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jc w:val="center"/>
        <w:rPr>
          <w:rFonts w:hint="default"/>
          <w:b/>
          <w:bCs/>
          <w:color w:val="auto"/>
          <w:spacing w:val="-6"/>
          <w:sz w:val="44"/>
          <w:szCs w:val="40"/>
          <w:lang w:val="en-US" w:eastAsia="zh-CN"/>
        </w:rPr>
      </w:pPr>
      <w:r>
        <w:rPr>
          <w:rFonts w:hint="eastAsia"/>
          <w:b/>
          <w:bCs/>
          <w:color w:val="auto"/>
          <w:spacing w:val="-6"/>
          <w:sz w:val="44"/>
          <w:szCs w:val="40"/>
          <w:lang w:val="en-US" w:eastAsia="zh-CN"/>
        </w:rPr>
        <w:t xml:space="preserve">                                                                                                                                                                                                                                                                                                                                                                                                                                                                                                                                                                                                                                                                                                                                                                                                                                                                                                                                                                                                                                                                                                                                                                                                                                                                                                                                                                                                                                                                                                                                                                                                                                                                                                                                                                                                                                                                                                                                                                                                                                                                                                                                                                                                                                                                                                                                                                                                                                                                                                                                                                                                                                                                                                                                                                                                                                                                                                                                                                                                                                                                                                                                                                                                                                                                                                                                                                                                                                                                                                                                                                                                                                                                                                                            唐河县天龙华府消防工程项目</w:t>
      </w:r>
    </w:p>
    <w:p>
      <w:pPr>
        <w:pStyle w:val="38"/>
        <w:rPr>
          <w:color w:val="auto"/>
        </w:rPr>
      </w:pPr>
    </w:p>
    <w:p>
      <w:pPr>
        <w:bidi w:val="0"/>
        <w:jc w:val="both"/>
        <w:rPr>
          <w:b/>
          <w:bCs/>
          <w:color w:val="auto"/>
          <w:sz w:val="56"/>
          <w:szCs w:val="52"/>
        </w:rPr>
      </w:pPr>
      <w:bookmarkStart w:id="0" w:name="_Toc31147"/>
      <w:bookmarkStart w:id="1" w:name="_Toc8792"/>
      <w:bookmarkStart w:id="2" w:name="_Toc2970"/>
      <w:bookmarkStart w:id="3" w:name="_Toc14461"/>
    </w:p>
    <w:p>
      <w:pPr>
        <w:pStyle w:val="36"/>
      </w:pPr>
    </w:p>
    <w:p>
      <w:pPr>
        <w:pStyle w:val="36"/>
      </w:pPr>
    </w:p>
    <w:p>
      <w:pPr>
        <w:bidi w:val="0"/>
        <w:jc w:val="center"/>
        <w:rPr>
          <w:b/>
          <w:bCs/>
          <w:color w:val="auto"/>
          <w:sz w:val="56"/>
          <w:szCs w:val="52"/>
        </w:rPr>
      </w:pPr>
      <w:r>
        <w:rPr>
          <w:b/>
          <w:bCs/>
          <w:color w:val="auto"/>
          <w:sz w:val="56"/>
          <w:szCs w:val="52"/>
        </w:rPr>
        <w:t>竞争性磋商文件</w:t>
      </w:r>
      <w:bookmarkEnd w:id="0"/>
      <w:bookmarkEnd w:id="1"/>
      <w:bookmarkEnd w:id="2"/>
      <w:bookmarkEnd w:id="3"/>
    </w:p>
    <w:p>
      <w:pPr>
        <w:pStyle w:val="14"/>
        <w:rPr>
          <w:b/>
          <w:bCs/>
          <w:color w:val="auto"/>
          <w:sz w:val="56"/>
          <w:szCs w:val="52"/>
        </w:rPr>
      </w:pPr>
    </w:p>
    <w:p>
      <w:pPr>
        <w:ind w:firstLine="1606" w:firstLineChars="500"/>
        <w:jc w:val="both"/>
        <w:rPr>
          <w:rFonts w:hint="eastAsia" w:eastAsia="仿宋"/>
          <w:color w:val="auto"/>
          <w:lang w:eastAsia="zh-CN"/>
        </w:rPr>
      </w:pPr>
      <w:r>
        <w:rPr>
          <w:b/>
          <w:bCs/>
          <w:color w:val="auto"/>
          <w:sz w:val="32"/>
          <w:szCs w:val="28"/>
        </w:rPr>
        <w:t>采购编号：</w:t>
      </w:r>
      <w:r>
        <w:rPr>
          <w:rFonts w:hint="eastAsia"/>
          <w:b/>
          <w:bCs/>
          <w:color w:val="auto"/>
          <w:sz w:val="32"/>
          <w:szCs w:val="28"/>
          <w:lang w:val="zh-CN"/>
        </w:rPr>
        <w:t>唐财采购竞争性磋商-202</w:t>
      </w:r>
      <w:r>
        <w:rPr>
          <w:rFonts w:hint="eastAsia"/>
          <w:b/>
          <w:bCs/>
          <w:color w:val="auto"/>
          <w:sz w:val="32"/>
          <w:szCs w:val="28"/>
          <w:lang w:val="en-US" w:eastAsia="zh-CN"/>
        </w:rPr>
        <w:t>4</w:t>
      </w:r>
      <w:r>
        <w:rPr>
          <w:rFonts w:hint="eastAsia"/>
          <w:b/>
          <w:bCs/>
          <w:color w:val="auto"/>
          <w:sz w:val="32"/>
          <w:szCs w:val="28"/>
          <w:lang w:val="zh-CN"/>
        </w:rPr>
        <w:t>-</w:t>
      </w:r>
      <w:r>
        <w:rPr>
          <w:rFonts w:hint="eastAsia"/>
          <w:b/>
          <w:bCs/>
          <w:color w:val="auto"/>
          <w:sz w:val="32"/>
          <w:szCs w:val="28"/>
          <w:lang w:val="en-US" w:eastAsia="zh-CN"/>
        </w:rPr>
        <w:t xml:space="preserve">38   </w:t>
      </w:r>
      <w:r>
        <w:rPr>
          <w:rFonts w:hint="eastAsia"/>
          <w:b/>
          <w:bCs/>
          <w:color w:val="auto"/>
          <w:sz w:val="32"/>
          <w:szCs w:val="28"/>
          <w:lang w:val="zh-CN" w:eastAsia="zh-CN"/>
        </w:rPr>
        <w:tab/>
      </w:r>
    </w:p>
    <w:p>
      <w:pPr>
        <w:jc w:val="center"/>
        <w:rPr>
          <w:color w:val="auto"/>
        </w:rPr>
      </w:pPr>
    </w:p>
    <w:p>
      <w:pPr>
        <w:pStyle w:val="8"/>
        <w:rPr>
          <w:color w:val="auto"/>
        </w:rPr>
      </w:pPr>
    </w:p>
    <w:p>
      <w:pPr>
        <w:pStyle w:val="9"/>
        <w:rPr>
          <w:color w:val="auto"/>
        </w:rPr>
      </w:pPr>
    </w:p>
    <w:p>
      <w:pPr>
        <w:pStyle w:val="10"/>
        <w:rPr>
          <w:rFonts w:hint="eastAsia" w:eastAsia="宋体"/>
          <w:color w:val="auto"/>
          <w:lang w:val="en-US" w:eastAsia="zh-CN"/>
        </w:rPr>
      </w:pPr>
      <w:r>
        <w:rPr>
          <w:rFonts w:hint="eastAsia"/>
          <w:color w:val="auto"/>
          <w:lang w:val="en-US" w:eastAsia="zh-CN"/>
        </w:rPr>
        <w:t xml:space="preserve"> </w:t>
      </w:r>
    </w:p>
    <w:p>
      <w:pPr>
        <w:rPr>
          <w:color w:val="auto"/>
        </w:rPr>
      </w:pPr>
    </w:p>
    <w:p>
      <w:pPr>
        <w:pStyle w:val="8"/>
        <w:rPr>
          <w:color w:val="auto"/>
        </w:rPr>
      </w:pPr>
    </w:p>
    <w:p>
      <w:pPr>
        <w:rPr>
          <w:color w:val="auto"/>
        </w:rPr>
      </w:pPr>
    </w:p>
    <w:p>
      <w:pPr>
        <w:pStyle w:val="8"/>
        <w:rPr>
          <w:color w:val="auto"/>
        </w:rPr>
      </w:pPr>
    </w:p>
    <w:p>
      <w:pPr>
        <w:rPr>
          <w:color w:val="auto"/>
        </w:rPr>
      </w:pPr>
    </w:p>
    <w:p>
      <w:pPr>
        <w:rPr>
          <w:color w:val="auto"/>
        </w:rPr>
      </w:pPr>
    </w:p>
    <w:p>
      <w:pPr>
        <w:rPr>
          <w:color w:val="auto"/>
        </w:rPr>
      </w:pPr>
    </w:p>
    <w:p>
      <w:pPr>
        <w:rPr>
          <w:color w:val="auto"/>
        </w:rPr>
      </w:pPr>
    </w:p>
    <w:p>
      <w:pPr>
        <w:rPr>
          <w:color w:val="auto"/>
        </w:rPr>
      </w:pPr>
    </w:p>
    <w:p>
      <w:pPr>
        <w:pStyle w:val="36"/>
        <w:rPr>
          <w:color w:val="auto"/>
        </w:rPr>
      </w:pPr>
    </w:p>
    <w:p>
      <w:pPr>
        <w:pStyle w:val="36"/>
        <w:rPr>
          <w:color w:val="auto"/>
        </w:rPr>
      </w:pPr>
    </w:p>
    <w:p>
      <w:pPr>
        <w:rPr>
          <w:color w:val="auto"/>
        </w:rPr>
      </w:pPr>
    </w:p>
    <w:p>
      <w:pPr>
        <w:rPr>
          <w:color w:val="auto"/>
        </w:rPr>
      </w:pPr>
    </w:p>
    <w:p>
      <w:pPr>
        <w:pStyle w:val="8"/>
        <w:rPr>
          <w:color w:val="auto"/>
        </w:rPr>
      </w:pPr>
    </w:p>
    <w:p>
      <w:pPr>
        <w:rPr>
          <w:color w:val="auto"/>
        </w:rPr>
      </w:pPr>
    </w:p>
    <w:p>
      <w:pPr>
        <w:ind w:firstLine="803"/>
        <w:jc w:val="center"/>
        <w:rPr>
          <w:rFonts w:hint="eastAsia"/>
          <w:b/>
          <w:bCs/>
          <w:color w:val="auto"/>
          <w:sz w:val="40"/>
          <w:szCs w:val="40"/>
          <w:lang w:val="en-US" w:eastAsia="zh-CN"/>
        </w:rPr>
      </w:pPr>
      <w:r>
        <w:rPr>
          <w:b/>
          <w:bCs/>
          <w:color w:val="auto"/>
          <w:sz w:val="40"/>
          <w:szCs w:val="40"/>
        </w:rPr>
        <w:t>采购人：</w:t>
      </w:r>
      <w:r>
        <w:rPr>
          <w:rFonts w:hint="eastAsia"/>
          <w:b/>
          <w:bCs/>
          <w:color w:val="auto"/>
          <w:spacing w:val="17"/>
          <w:sz w:val="40"/>
          <w:szCs w:val="40"/>
          <w:lang w:eastAsia="zh-CN"/>
        </w:rPr>
        <w:t>唐河县住房和城乡建设局</w:t>
      </w:r>
      <w:r>
        <w:rPr>
          <w:rFonts w:hint="eastAsia"/>
          <w:b/>
          <w:bCs/>
          <w:color w:val="auto"/>
          <w:sz w:val="40"/>
          <w:szCs w:val="40"/>
          <w:lang w:val="en-US" w:eastAsia="zh-CN"/>
        </w:rPr>
        <w:t xml:space="preserve">    </w:t>
      </w:r>
    </w:p>
    <w:p>
      <w:pPr>
        <w:ind w:firstLine="803"/>
        <w:jc w:val="center"/>
        <w:rPr>
          <w:b/>
          <w:bCs/>
          <w:color w:val="auto"/>
          <w:sz w:val="40"/>
          <w:szCs w:val="40"/>
        </w:rPr>
      </w:pP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type w:val="continuous"/>
          <w:pgSz w:w="11910" w:h="16840"/>
          <w:pgMar w:top="1440" w:right="1080" w:bottom="1440" w:left="1080" w:header="720" w:footer="720" w:gutter="0"/>
          <w:pgNumType w:fmt="decimal"/>
          <w:cols w:space="720" w:num="1"/>
        </w:sectPr>
      </w:pPr>
      <w:r>
        <w:rPr>
          <w:rFonts w:hint="eastAsia"/>
          <w:b/>
          <w:bCs/>
          <w:color w:val="auto"/>
          <w:sz w:val="40"/>
          <w:szCs w:val="40"/>
          <w:lang w:eastAsia="zh-CN"/>
        </w:rPr>
        <w:t>202</w:t>
      </w:r>
      <w:r>
        <w:rPr>
          <w:rFonts w:hint="eastAsia"/>
          <w:b/>
          <w:bCs/>
          <w:color w:val="auto"/>
          <w:sz w:val="40"/>
          <w:szCs w:val="40"/>
          <w:lang w:val="en-US" w:eastAsia="zh-CN"/>
        </w:rPr>
        <w:t>4</w:t>
      </w:r>
      <w:r>
        <w:rPr>
          <w:rFonts w:hint="eastAsia"/>
          <w:b/>
          <w:bCs/>
          <w:color w:val="auto"/>
          <w:sz w:val="40"/>
          <w:szCs w:val="40"/>
          <w:lang w:eastAsia="zh-CN"/>
        </w:rPr>
        <w:t>年</w:t>
      </w:r>
      <w:r>
        <w:rPr>
          <w:rFonts w:hint="eastAsia"/>
          <w:b/>
          <w:bCs/>
          <w:color w:val="auto"/>
          <w:sz w:val="40"/>
          <w:szCs w:val="40"/>
          <w:lang w:val="en-US" w:eastAsia="zh-CN"/>
        </w:rPr>
        <w:t>3月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7"/>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4</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27</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27</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27</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29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29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30</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30</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31</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32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33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34</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35</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35</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36</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37</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38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39</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41</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42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42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44</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46</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49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50</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53</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29165"/>
      <w:bookmarkStart w:id="5" w:name="_Toc9471"/>
    </w:p>
    <w:p>
      <w:pPr>
        <w:pStyle w:val="2"/>
        <w:rPr>
          <w:b/>
          <w:bCs/>
          <w:color w:val="auto"/>
        </w:rPr>
        <w:sectPr>
          <w:headerReference r:id="rId5" w:type="default"/>
          <w:footerReference r:id="rId6" w:type="default"/>
          <w:pgSz w:w="11910" w:h="16840"/>
          <w:pgMar w:top="1380" w:right="880" w:bottom="1100" w:left="880" w:header="888" w:footer="910" w:gutter="0"/>
          <w:pgNumType w:fmt="decimal" w:start="1"/>
          <w:cols w:space="720" w:num="1"/>
        </w:sectPr>
      </w:pPr>
      <w:bookmarkStart w:id="6" w:name="_Toc5263"/>
    </w:p>
    <w:p>
      <w:pPr>
        <w:pStyle w:val="2"/>
        <w:rPr>
          <w:color w:val="auto"/>
        </w:rPr>
      </w:pPr>
      <w:r>
        <w:rPr>
          <w:b/>
          <w:bCs/>
          <w:color w:val="auto"/>
        </w:rPr>
        <w:t>第一部分</w:t>
      </w:r>
      <w:r>
        <w:rPr>
          <w:rFonts w:hint="eastAsia"/>
          <w:b/>
          <w:bCs/>
          <w:color w:val="auto"/>
          <w:lang w:val="en-US" w:eastAsia="zh-CN"/>
        </w:rPr>
        <w:t xml:space="preserve"> </w:t>
      </w:r>
      <w:r>
        <w:rPr>
          <w:b/>
          <w:bCs/>
          <w:color w:val="auto"/>
        </w:rPr>
        <w:t>竞争性磋商公告</w:t>
      </w:r>
      <w:bookmarkEnd w:id="4"/>
      <w:bookmarkEnd w:id="5"/>
      <w:bookmarkEnd w:id="6"/>
    </w:p>
    <w:p>
      <w:pPr>
        <w:jc w:val="center"/>
        <w:rPr>
          <w:rFonts w:hint="eastAsia"/>
          <w:b/>
          <w:bCs/>
          <w:color w:val="auto"/>
          <w:spacing w:val="-6"/>
          <w:sz w:val="36"/>
          <w:szCs w:val="36"/>
          <w:lang w:val="en-US" w:eastAsia="zh-CN"/>
        </w:rPr>
      </w:pPr>
      <w:r>
        <w:rPr>
          <w:rFonts w:hint="eastAsia"/>
          <w:b/>
          <w:bCs/>
          <w:color w:val="auto"/>
          <w:spacing w:val="-6"/>
          <w:sz w:val="36"/>
          <w:szCs w:val="36"/>
          <w:lang w:val="en-US" w:eastAsia="zh-CN"/>
        </w:rPr>
        <w:t>唐河县天龙华府消防工程项目</w:t>
      </w:r>
    </w:p>
    <w:p>
      <w:pPr>
        <w:jc w:val="center"/>
        <w:rPr>
          <w:rFonts w:hint="eastAsia"/>
          <w:b/>
          <w:bCs/>
          <w:color w:val="auto"/>
          <w:sz w:val="28"/>
          <w:szCs w:val="36"/>
        </w:rPr>
      </w:pPr>
      <w:r>
        <w:rPr>
          <w:rFonts w:hint="eastAsia"/>
          <w:b/>
          <w:bCs/>
          <w:color w:val="auto"/>
          <w:spacing w:val="6"/>
          <w:sz w:val="36"/>
          <w:szCs w:val="44"/>
        </w:rPr>
        <w:t>-竞争性磋商公告</w:t>
      </w:r>
    </w:p>
    <w:p>
      <w:pPr>
        <w:tabs>
          <w:tab w:val="left" w:pos="8140"/>
        </w:tabs>
        <w:rPr>
          <w:rFonts w:hint="eastAsia"/>
          <w:color w:val="auto"/>
          <w:sz w:val="28"/>
          <w:szCs w:val="36"/>
        </w:rPr>
      </w:pPr>
      <w:r>
        <w:rPr>
          <w:rFonts w:hint="eastAsia"/>
          <w:color w:val="auto"/>
          <w:sz w:val="28"/>
          <w:szCs w:val="36"/>
        </w:rPr>
        <w:t>项目概况</w:t>
      </w:r>
    </w:p>
    <w:p>
      <w:pPr>
        <w:tabs>
          <w:tab w:val="left" w:pos="8140"/>
        </w:tabs>
        <w:ind w:firstLine="560" w:firstLineChars="200"/>
        <w:rPr>
          <w:rFonts w:hint="eastAsia"/>
          <w:color w:val="auto"/>
          <w:sz w:val="28"/>
          <w:szCs w:val="36"/>
        </w:rPr>
      </w:pPr>
      <w:r>
        <w:rPr>
          <w:rFonts w:hint="eastAsia"/>
          <w:color w:val="auto"/>
          <w:sz w:val="28"/>
          <w:szCs w:val="36"/>
          <w:lang w:eastAsia="zh-CN"/>
        </w:rPr>
        <w:t>唐河县住房和城乡建设局唐河县天龙华府消防工程项目招标项目的潜在投标人应在唐河县公共资源交易中心网站（http://www.thggzy.cn）获取招标文件，并于2024年</w:t>
      </w:r>
      <w:r>
        <w:rPr>
          <w:rFonts w:hint="eastAsia"/>
          <w:color w:val="auto"/>
          <w:sz w:val="28"/>
          <w:szCs w:val="36"/>
          <w:lang w:val="en-US" w:eastAsia="zh-CN"/>
        </w:rPr>
        <w:t>04</w:t>
      </w:r>
      <w:r>
        <w:rPr>
          <w:rFonts w:hint="eastAsia"/>
          <w:color w:val="auto"/>
          <w:sz w:val="28"/>
          <w:szCs w:val="36"/>
          <w:lang w:eastAsia="zh-CN"/>
        </w:rPr>
        <w:t>月</w:t>
      </w:r>
      <w:r>
        <w:rPr>
          <w:rFonts w:hint="eastAsia"/>
          <w:color w:val="auto"/>
          <w:sz w:val="28"/>
          <w:szCs w:val="36"/>
          <w:lang w:val="en-US" w:eastAsia="zh-CN"/>
        </w:rPr>
        <w:t>12</w:t>
      </w:r>
      <w:r>
        <w:rPr>
          <w:rFonts w:hint="eastAsia"/>
          <w:color w:val="auto"/>
          <w:sz w:val="28"/>
          <w:szCs w:val="36"/>
          <w:lang w:eastAsia="zh-CN"/>
        </w:rPr>
        <w:t>日09时30分（北京时间）前递交响应文件。</w:t>
      </w:r>
    </w:p>
    <w:p>
      <w:pPr>
        <w:tabs>
          <w:tab w:val="left" w:pos="8140"/>
        </w:tabs>
        <w:rPr>
          <w:rFonts w:hint="eastAsia"/>
          <w:color w:val="auto"/>
          <w:sz w:val="28"/>
          <w:szCs w:val="36"/>
        </w:rPr>
      </w:pPr>
      <w:r>
        <w:rPr>
          <w:rFonts w:hint="eastAsia"/>
          <w:color w:val="auto"/>
          <w:sz w:val="28"/>
          <w:szCs w:val="36"/>
        </w:rPr>
        <w:t xml:space="preserve">一、项目基本情况 </w:t>
      </w:r>
    </w:p>
    <w:p>
      <w:pPr>
        <w:tabs>
          <w:tab w:val="left" w:pos="8140"/>
        </w:tabs>
        <w:rPr>
          <w:rFonts w:hint="default" w:eastAsia="仿宋"/>
          <w:color w:val="auto"/>
          <w:sz w:val="28"/>
          <w:szCs w:val="36"/>
          <w:lang w:val="en-US" w:eastAsia="zh-CN"/>
        </w:rPr>
      </w:pPr>
      <w:r>
        <w:rPr>
          <w:rFonts w:hint="eastAsia"/>
          <w:color w:val="auto"/>
          <w:sz w:val="28"/>
          <w:szCs w:val="36"/>
        </w:rPr>
        <w:t>1、项目编号：唐财采购竞争性磋商-202</w:t>
      </w:r>
      <w:r>
        <w:rPr>
          <w:rFonts w:hint="eastAsia"/>
          <w:color w:val="auto"/>
          <w:sz w:val="28"/>
          <w:szCs w:val="36"/>
          <w:lang w:val="en-US" w:eastAsia="zh-CN"/>
        </w:rPr>
        <w:t>4</w:t>
      </w:r>
      <w:r>
        <w:rPr>
          <w:rFonts w:hint="eastAsia"/>
          <w:color w:val="auto"/>
          <w:sz w:val="28"/>
          <w:szCs w:val="36"/>
        </w:rPr>
        <w:t>-</w:t>
      </w:r>
      <w:r>
        <w:rPr>
          <w:rFonts w:hint="eastAsia"/>
          <w:color w:val="auto"/>
          <w:sz w:val="28"/>
          <w:szCs w:val="36"/>
          <w:lang w:val="en-US" w:eastAsia="zh-CN"/>
        </w:rPr>
        <w:t xml:space="preserve">38   </w:t>
      </w:r>
    </w:p>
    <w:p>
      <w:pPr>
        <w:tabs>
          <w:tab w:val="left" w:pos="8140"/>
        </w:tabs>
        <w:rPr>
          <w:rFonts w:hint="eastAsia"/>
          <w:color w:val="auto"/>
          <w:sz w:val="28"/>
          <w:szCs w:val="36"/>
          <w:lang w:eastAsia="zh-CN"/>
        </w:rPr>
      </w:pPr>
      <w:r>
        <w:rPr>
          <w:rFonts w:hint="eastAsia"/>
          <w:color w:val="auto"/>
          <w:sz w:val="28"/>
          <w:szCs w:val="36"/>
        </w:rPr>
        <w:t>2、项目名称：</w:t>
      </w:r>
      <w:r>
        <w:rPr>
          <w:rFonts w:hint="eastAsia"/>
          <w:color w:val="auto"/>
          <w:sz w:val="28"/>
          <w:szCs w:val="36"/>
          <w:lang w:eastAsia="zh-CN"/>
        </w:rPr>
        <w:t>唐河县天龙华府消防工程项目</w:t>
      </w:r>
    </w:p>
    <w:p>
      <w:pPr>
        <w:tabs>
          <w:tab w:val="left" w:pos="8140"/>
        </w:tabs>
        <w:rPr>
          <w:rFonts w:hint="eastAsia"/>
          <w:color w:val="auto"/>
          <w:sz w:val="28"/>
          <w:szCs w:val="36"/>
        </w:rPr>
      </w:pPr>
      <w:r>
        <w:rPr>
          <w:rFonts w:hint="eastAsia"/>
          <w:color w:val="auto"/>
          <w:sz w:val="28"/>
          <w:szCs w:val="36"/>
        </w:rPr>
        <w:t xml:space="preserve">3、采购方式：竞争性磋商 </w:t>
      </w:r>
    </w:p>
    <w:p>
      <w:pPr>
        <w:tabs>
          <w:tab w:val="left" w:pos="8140"/>
        </w:tabs>
        <w:rPr>
          <w:rFonts w:hint="eastAsia"/>
          <w:color w:val="auto"/>
          <w:sz w:val="28"/>
          <w:szCs w:val="36"/>
        </w:rPr>
      </w:pPr>
      <w:r>
        <w:rPr>
          <w:rFonts w:hint="eastAsia"/>
          <w:color w:val="auto"/>
          <w:sz w:val="28"/>
          <w:szCs w:val="36"/>
        </w:rPr>
        <w:t>4、预算金额：</w:t>
      </w:r>
      <w:r>
        <w:rPr>
          <w:rFonts w:hint="eastAsia"/>
          <w:color w:val="auto"/>
          <w:sz w:val="28"/>
          <w:szCs w:val="36"/>
          <w:lang w:val="en-US" w:eastAsia="zh-CN"/>
        </w:rPr>
        <w:t xml:space="preserve">2666759.00元   </w:t>
      </w:r>
      <w:r>
        <w:rPr>
          <w:rFonts w:hint="eastAsia"/>
          <w:color w:val="auto"/>
          <w:sz w:val="28"/>
          <w:szCs w:val="36"/>
        </w:rPr>
        <w:t>最高限价：</w:t>
      </w:r>
      <w:r>
        <w:rPr>
          <w:rFonts w:hint="eastAsia"/>
          <w:color w:val="auto"/>
          <w:sz w:val="28"/>
          <w:szCs w:val="36"/>
          <w:lang w:val="en-US" w:eastAsia="zh-CN"/>
        </w:rPr>
        <w:t>2666759.00元</w:t>
      </w:r>
    </w:p>
    <w:tbl>
      <w:tblPr>
        <w:tblStyle w:val="22"/>
        <w:tblW w:w="10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0"/>
        <w:gridCol w:w="1248"/>
        <w:gridCol w:w="2223"/>
        <w:gridCol w:w="1707"/>
        <w:gridCol w:w="1668"/>
        <w:gridCol w:w="1425"/>
        <w:gridCol w:w="17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序号</w:t>
            </w:r>
          </w:p>
        </w:tc>
        <w:tc>
          <w:tcPr>
            <w:tcW w:w="1248"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包号</w:t>
            </w:r>
          </w:p>
        </w:tc>
        <w:tc>
          <w:tcPr>
            <w:tcW w:w="2223"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包名称</w:t>
            </w:r>
          </w:p>
        </w:tc>
        <w:tc>
          <w:tcPr>
            <w:tcW w:w="1707"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包预算（元）</w:t>
            </w:r>
          </w:p>
        </w:tc>
        <w:tc>
          <w:tcPr>
            <w:tcW w:w="1668"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包最高限价（元）</w:t>
            </w:r>
          </w:p>
        </w:tc>
        <w:tc>
          <w:tcPr>
            <w:tcW w:w="1425"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是否专门面向中小企业</w:t>
            </w:r>
          </w:p>
        </w:tc>
        <w:tc>
          <w:tcPr>
            <w:tcW w:w="1725"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0"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1</w:t>
            </w:r>
          </w:p>
        </w:tc>
        <w:tc>
          <w:tcPr>
            <w:tcW w:w="1248" w:type="dxa"/>
            <w:vAlign w:val="center"/>
          </w:tcPr>
          <w:p>
            <w:pPr>
              <w:tabs>
                <w:tab w:val="left" w:pos="8140"/>
              </w:tabs>
              <w:jc w:val="center"/>
              <w:rPr>
                <w:rFonts w:hint="default"/>
                <w:color w:val="auto"/>
                <w:sz w:val="28"/>
                <w:szCs w:val="36"/>
                <w:lang w:val="en-US" w:eastAsia="zh-CN"/>
              </w:rPr>
            </w:pPr>
            <w:r>
              <w:rPr>
                <w:rFonts w:hint="eastAsia"/>
                <w:color w:val="auto"/>
                <w:sz w:val="28"/>
                <w:szCs w:val="36"/>
                <w:lang w:eastAsia="zh-CN"/>
              </w:rPr>
              <w:t>唐财采购竞争性磋商-202</w:t>
            </w:r>
            <w:r>
              <w:rPr>
                <w:rFonts w:hint="eastAsia"/>
                <w:color w:val="auto"/>
                <w:sz w:val="28"/>
                <w:szCs w:val="36"/>
                <w:lang w:val="en-US" w:eastAsia="zh-CN"/>
              </w:rPr>
              <w:t xml:space="preserve">4--38-1 </w:t>
            </w:r>
          </w:p>
        </w:tc>
        <w:tc>
          <w:tcPr>
            <w:tcW w:w="2223"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唐河县天龙华府消防工程项目</w:t>
            </w:r>
          </w:p>
        </w:tc>
        <w:tc>
          <w:tcPr>
            <w:tcW w:w="1707" w:type="dxa"/>
            <w:vAlign w:val="center"/>
          </w:tcPr>
          <w:p>
            <w:pPr>
              <w:ind w:left="0" w:leftChars="0" w:right="0" w:rightChars="0"/>
              <w:jc w:val="center"/>
              <w:rPr>
                <w:rFonts w:hint="eastAsia"/>
                <w:color w:val="auto"/>
                <w:sz w:val="28"/>
                <w:szCs w:val="36"/>
                <w:lang w:eastAsia="zh-CN"/>
              </w:rPr>
            </w:pPr>
            <w:r>
              <w:rPr>
                <w:rFonts w:hint="eastAsia"/>
                <w:color w:val="auto"/>
                <w:sz w:val="28"/>
                <w:szCs w:val="36"/>
                <w:lang w:val="en-US" w:eastAsia="zh-CN"/>
              </w:rPr>
              <w:t>2666759.00</w:t>
            </w:r>
          </w:p>
        </w:tc>
        <w:tc>
          <w:tcPr>
            <w:tcW w:w="1668" w:type="dxa"/>
            <w:vAlign w:val="center"/>
          </w:tcPr>
          <w:p>
            <w:pPr>
              <w:ind w:left="0" w:leftChars="0" w:right="0" w:rightChars="0"/>
              <w:jc w:val="center"/>
              <w:rPr>
                <w:rFonts w:hint="eastAsia"/>
                <w:color w:val="auto"/>
                <w:sz w:val="28"/>
                <w:szCs w:val="36"/>
                <w:lang w:eastAsia="zh-CN"/>
              </w:rPr>
            </w:pPr>
            <w:r>
              <w:rPr>
                <w:rFonts w:hint="eastAsia"/>
                <w:color w:val="auto"/>
                <w:sz w:val="28"/>
                <w:szCs w:val="36"/>
                <w:lang w:val="en-US" w:eastAsia="zh-CN"/>
              </w:rPr>
              <w:t>2666759.00</w:t>
            </w:r>
          </w:p>
        </w:tc>
        <w:tc>
          <w:tcPr>
            <w:tcW w:w="1425" w:type="dxa"/>
            <w:vAlign w:val="center"/>
          </w:tcPr>
          <w:p>
            <w:pPr>
              <w:tabs>
                <w:tab w:val="left" w:pos="8140"/>
              </w:tabs>
              <w:jc w:val="center"/>
              <w:rPr>
                <w:rFonts w:hint="eastAsia"/>
                <w:color w:val="auto"/>
                <w:sz w:val="28"/>
                <w:szCs w:val="36"/>
                <w:lang w:eastAsia="zh-CN"/>
              </w:rPr>
            </w:pPr>
            <w:r>
              <w:rPr>
                <w:rFonts w:hint="eastAsia"/>
                <w:color w:val="auto"/>
                <w:sz w:val="28"/>
                <w:szCs w:val="36"/>
                <w:lang w:eastAsia="zh-CN"/>
              </w:rPr>
              <w:t xml:space="preserve">是 </w:t>
            </w:r>
          </w:p>
        </w:tc>
        <w:tc>
          <w:tcPr>
            <w:tcW w:w="1725" w:type="dxa"/>
            <w:vAlign w:val="center"/>
          </w:tcPr>
          <w:p>
            <w:pPr>
              <w:tabs>
                <w:tab w:val="left" w:pos="8140"/>
              </w:tabs>
              <w:jc w:val="center"/>
              <w:rPr>
                <w:rFonts w:hint="eastAsia"/>
                <w:color w:val="auto"/>
                <w:sz w:val="28"/>
                <w:szCs w:val="36"/>
                <w:lang w:eastAsia="zh-CN"/>
              </w:rPr>
            </w:pPr>
            <w:r>
              <w:rPr>
                <w:rFonts w:hint="eastAsia"/>
                <w:color w:val="auto"/>
                <w:sz w:val="28"/>
                <w:szCs w:val="36"/>
                <w:lang w:val="en-US" w:eastAsia="zh-CN"/>
              </w:rPr>
              <w:t>2666759.00</w:t>
            </w:r>
          </w:p>
        </w:tc>
      </w:tr>
    </w:tbl>
    <w:p>
      <w:pPr>
        <w:tabs>
          <w:tab w:val="left" w:pos="8140"/>
        </w:tabs>
        <w:rPr>
          <w:rFonts w:hint="eastAsia"/>
          <w:color w:val="auto"/>
          <w:sz w:val="28"/>
          <w:szCs w:val="36"/>
        </w:rPr>
      </w:pPr>
      <w:r>
        <w:rPr>
          <w:rFonts w:hint="eastAsia"/>
          <w:color w:val="auto"/>
          <w:sz w:val="28"/>
          <w:szCs w:val="36"/>
        </w:rPr>
        <w:t xml:space="preserve">5、采购需求（包括但不限于标的的名称、数量、简要技术需求或服务要求等） </w:t>
      </w:r>
    </w:p>
    <w:p>
      <w:pPr>
        <w:tabs>
          <w:tab w:val="left" w:pos="8140"/>
        </w:tabs>
        <w:rPr>
          <w:rFonts w:hint="eastAsia"/>
          <w:color w:val="auto"/>
          <w:sz w:val="28"/>
          <w:szCs w:val="36"/>
          <w:lang w:eastAsia="zh-CN"/>
        </w:rPr>
      </w:pPr>
      <w:r>
        <w:rPr>
          <w:rFonts w:hint="eastAsia"/>
          <w:color w:val="auto"/>
          <w:sz w:val="28"/>
          <w:szCs w:val="36"/>
        </w:rPr>
        <w:t>（1）项目名称：</w:t>
      </w:r>
      <w:r>
        <w:rPr>
          <w:rFonts w:hint="eastAsia"/>
          <w:color w:val="auto"/>
          <w:sz w:val="28"/>
          <w:szCs w:val="36"/>
          <w:lang w:eastAsia="zh-CN"/>
        </w:rPr>
        <w:t>唐河县天龙华府消防工程项目</w:t>
      </w:r>
    </w:p>
    <w:p>
      <w:pPr>
        <w:tabs>
          <w:tab w:val="left" w:pos="8140"/>
        </w:tabs>
        <w:rPr>
          <w:rFonts w:hint="eastAsia"/>
          <w:color w:val="auto"/>
          <w:sz w:val="28"/>
          <w:szCs w:val="36"/>
        </w:rPr>
      </w:pPr>
      <w:r>
        <w:rPr>
          <w:rFonts w:hint="eastAsia"/>
          <w:color w:val="auto"/>
          <w:sz w:val="28"/>
          <w:szCs w:val="36"/>
        </w:rPr>
        <w:t>（2）项目实施地点：唐河县友兰大道南侧，廖源路西侧；</w:t>
      </w:r>
    </w:p>
    <w:p>
      <w:pPr>
        <w:tabs>
          <w:tab w:val="left" w:pos="8140"/>
        </w:tabs>
        <w:rPr>
          <w:rFonts w:hint="eastAsia"/>
          <w:color w:val="auto"/>
          <w:sz w:val="28"/>
          <w:szCs w:val="36"/>
        </w:rPr>
      </w:pPr>
      <w:r>
        <w:rPr>
          <w:rFonts w:hint="eastAsia"/>
          <w:color w:val="auto"/>
          <w:sz w:val="28"/>
          <w:szCs w:val="36"/>
        </w:rPr>
        <w:t>（3）资金来源：</w:t>
      </w:r>
      <w:r>
        <w:rPr>
          <w:rFonts w:hint="eastAsia"/>
          <w:color w:val="auto"/>
          <w:sz w:val="28"/>
          <w:szCs w:val="36"/>
          <w:lang w:val="en-US" w:eastAsia="zh-CN"/>
        </w:rPr>
        <w:t>财政资金</w:t>
      </w:r>
      <w:r>
        <w:rPr>
          <w:rFonts w:hint="eastAsia"/>
          <w:color w:val="auto"/>
          <w:sz w:val="28"/>
          <w:szCs w:val="36"/>
        </w:rPr>
        <w:t>，已落实；</w:t>
      </w:r>
    </w:p>
    <w:p>
      <w:pPr>
        <w:tabs>
          <w:tab w:val="left" w:pos="8140"/>
        </w:tabs>
        <w:rPr>
          <w:rFonts w:hint="eastAsia"/>
          <w:color w:val="auto"/>
          <w:sz w:val="28"/>
          <w:szCs w:val="36"/>
          <w:lang w:val="en-US" w:eastAsia="zh-CN"/>
        </w:rPr>
      </w:pPr>
      <w:r>
        <w:rPr>
          <w:rFonts w:hint="eastAsia"/>
          <w:color w:val="auto"/>
          <w:sz w:val="28"/>
          <w:szCs w:val="36"/>
        </w:rPr>
        <w:t>（4）采购内容：</w:t>
      </w:r>
      <w:r>
        <w:rPr>
          <w:rFonts w:hint="eastAsia"/>
          <w:color w:val="auto"/>
          <w:sz w:val="28"/>
          <w:szCs w:val="36"/>
          <w:lang w:val="en-US" w:eastAsia="zh-CN"/>
        </w:rPr>
        <w:t>楼顶防水、防火门更换、消防系统改造、给排水改造、通风系统升级、配线配管电箱等工程。详见本项目采购文件、工程量清单及施工图纸范围内的所有工程施工（以清单为准）。</w:t>
      </w:r>
    </w:p>
    <w:p>
      <w:pPr>
        <w:tabs>
          <w:tab w:val="left" w:pos="8140"/>
        </w:tabs>
        <w:rPr>
          <w:rFonts w:hint="eastAsia"/>
          <w:color w:val="auto"/>
          <w:sz w:val="28"/>
          <w:szCs w:val="36"/>
        </w:rPr>
      </w:pPr>
      <w:r>
        <w:rPr>
          <w:rFonts w:hint="eastAsia"/>
          <w:color w:val="auto"/>
          <w:sz w:val="28"/>
          <w:szCs w:val="36"/>
        </w:rPr>
        <w:t>（5）标段划分：本项目划分一个标段；</w:t>
      </w:r>
    </w:p>
    <w:p>
      <w:pPr>
        <w:tabs>
          <w:tab w:val="left" w:pos="8140"/>
        </w:tabs>
        <w:rPr>
          <w:rFonts w:hint="eastAsia"/>
          <w:color w:val="auto"/>
          <w:sz w:val="28"/>
          <w:szCs w:val="36"/>
        </w:rPr>
      </w:pPr>
      <w:r>
        <w:rPr>
          <w:rFonts w:hint="eastAsia"/>
          <w:color w:val="auto"/>
          <w:sz w:val="28"/>
          <w:szCs w:val="36"/>
        </w:rPr>
        <w:t xml:space="preserve">（6）质量要求：合格； </w:t>
      </w:r>
    </w:p>
    <w:p>
      <w:pPr>
        <w:tabs>
          <w:tab w:val="left" w:pos="8140"/>
        </w:tabs>
        <w:rPr>
          <w:rFonts w:hint="eastAsia"/>
          <w:color w:val="auto"/>
          <w:sz w:val="28"/>
          <w:szCs w:val="36"/>
        </w:rPr>
      </w:pPr>
      <w:r>
        <w:rPr>
          <w:rFonts w:hint="eastAsia"/>
          <w:color w:val="auto"/>
          <w:sz w:val="28"/>
          <w:szCs w:val="36"/>
        </w:rPr>
        <w:t>6、合同履行期限：合同签订后</w:t>
      </w:r>
      <w:r>
        <w:rPr>
          <w:rFonts w:hint="eastAsia"/>
          <w:color w:val="auto"/>
          <w:sz w:val="28"/>
          <w:szCs w:val="36"/>
          <w:lang w:val="en-US" w:eastAsia="zh-CN"/>
        </w:rPr>
        <w:t>30</w:t>
      </w:r>
      <w:r>
        <w:rPr>
          <w:rFonts w:hint="eastAsia"/>
          <w:color w:val="auto"/>
          <w:sz w:val="28"/>
          <w:szCs w:val="36"/>
        </w:rPr>
        <w:t xml:space="preserve">日历天内； </w:t>
      </w:r>
    </w:p>
    <w:p>
      <w:pPr>
        <w:tabs>
          <w:tab w:val="left" w:pos="8140"/>
        </w:tabs>
        <w:rPr>
          <w:rFonts w:hint="eastAsia"/>
          <w:color w:val="auto"/>
          <w:sz w:val="28"/>
          <w:szCs w:val="36"/>
        </w:rPr>
      </w:pPr>
      <w:r>
        <w:rPr>
          <w:rFonts w:hint="eastAsia"/>
          <w:color w:val="auto"/>
          <w:sz w:val="28"/>
          <w:szCs w:val="36"/>
        </w:rPr>
        <w:t xml:space="preserve">7、本项目是否接受联合体投标：否 </w:t>
      </w:r>
    </w:p>
    <w:p>
      <w:pPr>
        <w:tabs>
          <w:tab w:val="left" w:pos="8140"/>
        </w:tabs>
        <w:rPr>
          <w:rFonts w:hint="eastAsia"/>
          <w:color w:val="auto"/>
          <w:sz w:val="28"/>
          <w:szCs w:val="36"/>
        </w:rPr>
      </w:pPr>
      <w:r>
        <w:rPr>
          <w:rFonts w:hint="eastAsia"/>
          <w:color w:val="auto"/>
          <w:sz w:val="28"/>
          <w:szCs w:val="36"/>
        </w:rPr>
        <w:t xml:space="preserve">8、是否接受进口产品：否 </w:t>
      </w:r>
    </w:p>
    <w:p>
      <w:pPr>
        <w:pStyle w:val="36"/>
        <w:rPr>
          <w:rFonts w:hint="default" w:eastAsia="仿宋_GB2312"/>
          <w:lang w:val="en-US" w:eastAsia="zh-CN"/>
        </w:rPr>
      </w:pPr>
      <w:r>
        <w:rPr>
          <w:rFonts w:hint="eastAsia"/>
          <w:color w:val="auto"/>
          <w:sz w:val="28"/>
          <w:szCs w:val="36"/>
          <w:lang w:val="en-US" w:eastAsia="zh-CN"/>
        </w:rPr>
        <w:t>9、是否专门面向中小企业：是</w:t>
      </w:r>
    </w:p>
    <w:p>
      <w:pPr>
        <w:tabs>
          <w:tab w:val="left" w:pos="8140"/>
        </w:tabs>
        <w:rPr>
          <w:rFonts w:hint="eastAsia"/>
          <w:color w:val="auto"/>
          <w:sz w:val="28"/>
          <w:szCs w:val="36"/>
        </w:rPr>
      </w:pPr>
      <w:r>
        <w:rPr>
          <w:rFonts w:hint="eastAsia"/>
          <w:color w:val="auto"/>
          <w:sz w:val="28"/>
          <w:szCs w:val="36"/>
        </w:rPr>
        <w:t xml:space="preserve">二、申请人资格要求： </w:t>
      </w:r>
    </w:p>
    <w:p>
      <w:pPr>
        <w:tabs>
          <w:tab w:val="left" w:pos="8140"/>
        </w:tabs>
        <w:rPr>
          <w:rFonts w:hint="eastAsia"/>
          <w:color w:val="auto"/>
          <w:sz w:val="28"/>
          <w:szCs w:val="36"/>
        </w:rPr>
      </w:pPr>
      <w:r>
        <w:rPr>
          <w:rFonts w:hint="eastAsia"/>
          <w:color w:val="auto"/>
          <w:sz w:val="28"/>
          <w:szCs w:val="36"/>
        </w:rPr>
        <w:t xml:space="preserve">1、满足《中华人民共和国政府采购法》第二十二条规定； </w:t>
      </w:r>
    </w:p>
    <w:p>
      <w:pPr>
        <w:tabs>
          <w:tab w:val="left" w:pos="8140"/>
        </w:tabs>
        <w:rPr>
          <w:rFonts w:hint="eastAsia"/>
          <w:color w:val="auto"/>
          <w:sz w:val="28"/>
          <w:szCs w:val="36"/>
        </w:rPr>
      </w:pPr>
      <w:r>
        <w:rPr>
          <w:rFonts w:hint="eastAsia"/>
          <w:color w:val="auto"/>
          <w:sz w:val="28"/>
          <w:szCs w:val="36"/>
        </w:rPr>
        <w:t xml:space="preserve">2、落实政府采购政策满足的资格要求： </w:t>
      </w:r>
    </w:p>
    <w:p>
      <w:pPr>
        <w:tabs>
          <w:tab w:val="left" w:pos="8140"/>
        </w:tabs>
        <w:rPr>
          <w:rFonts w:hint="eastAsia"/>
          <w:color w:val="auto"/>
          <w:sz w:val="28"/>
          <w:szCs w:val="36"/>
        </w:rPr>
      </w:pPr>
      <w:r>
        <w:rPr>
          <w:rFonts w:hint="eastAsia"/>
          <w:color w:val="auto"/>
          <w:sz w:val="28"/>
          <w:szCs w:val="36"/>
        </w:rPr>
        <w:t xml:space="preserve">本项目执行扶持中小企业、监狱企业和残疾人福利性单位发展的政策。 </w:t>
      </w:r>
    </w:p>
    <w:p>
      <w:pPr>
        <w:tabs>
          <w:tab w:val="left" w:pos="8140"/>
        </w:tabs>
        <w:rPr>
          <w:rFonts w:hint="eastAsia"/>
          <w:color w:val="auto"/>
          <w:sz w:val="28"/>
          <w:szCs w:val="36"/>
          <w:lang w:val="en-US" w:eastAsia="zh-CN"/>
        </w:rPr>
      </w:pPr>
      <w:r>
        <w:rPr>
          <w:rFonts w:hint="eastAsia"/>
          <w:color w:val="auto"/>
          <w:sz w:val="28"/>
          <w:szCs w:val="36"/>
          <w:lang w:val="en-US" w:eastAsia="zh-CN"/>
        </w:rPr>
        <w:t>3、本项目的特定资格要求：</w:t>
      </w:r>
    </w:p>
    <w:p>
      <w:pPr>
        <w:tabs>
          <w:tab w:val="left" w:pos="8140"/>
        </w:tabs>
        <w:rPr>
          <w:rFonts w:hint="eastAsia"/>
          <w:color w:val="auto"/>
          <w:sz w:val="28"/>
          <w:szCs w:val="36"/>
        </w:rPr>
      </w:pPr>
      <w:r>
        <w:rPr>
          <w:rFonts w:hint="eastAsia"/>
          <w:color w:val="auto"/>
          <w:sz w:val="28"/>
          <w:szCs w:val="36"/>
          <w:lang w:val="en-US" w:eastAsia="zh-CN"/>
        </w:rPr>
        <w:t>3.1</w:t>
      </w:r>
      <w:r>
        <w:rPr>
          <w:rFonts w:hint="eastAsia"/>
          <w:color w:val="auto"/>
          <w:sz w:val="28"/>
          <w:szCs w:val="36"/>
        </w:rPr>
        <w:t>供应商具有独立法人资格，具有有效的营业执照、税务登记证、组织机构代码证（或三证合一）；</w:t>
      </w:r>
    </w:p>
    <w:p>
      <w:pPr>
        <w:tabs>
          <w:tab w:val="left" w:pos="8140"/>
        </w:tabs>
        <w:rPr>
          <w:rFonts w:hint="eastAsia"/>
          <w:color w:val="auto"/>
          <w:sz w:val="28"/>
          <w:szCs w:val="36"/>
          <w:lang w:eastAsia="zh-CN"/>
        </w:rPr>
      </w:pPr>
      <w:r>
        <w:rPr>
          <w:rFonts w:hint="eastAsia"/>
          <w:color w:val="auto"/>
          <w:sz w:val="28"/>
          <w:szCs w:val="36"/>
          <w:lang w:val="en-US" w:eastAsia="zh-CN"/>
        </w:rPr>
        <w:t>3.2</w:t>
      </w:r>
      <w:r>
        <w:rPr>
          <w:rFonts w:hint="eastAsia"/>
          <w:color w:val="auto"/>
          <w:sz w:val="28"/>
          <w:szCs w:val="36"/>
          <w:lang w:eastAsia="zh-CN"/>
        </w:rPr>
        <w:t>供应商须具有消防设施工程专业承包贰级及以上资质等级，且具有有效的安全生产许可证，并在人员、设备、资金等方面具有相应的施工能力；</w:t>
      </w:r>
    </w:p>
    <w:p>
      <w:pPr>
        <w:tabs>
          <w:tab w:val="left" w:pos="8140"/>
        </w:tabs>
        <w:rPr>
          <w:rFonts w:hint="eastAsia"/>
          <w:color w:val="auto"/>
          <w:sz w:val="28"/>
          <w:szCs w:val="36"/>
          <w:lang w:eastAsia="zh-CN"/>
        </w:rPr>
      </w:pPr>
      <w:r>
        <w:rPr>
          <w:rFonts w:hint="eastAsia"/>
          <w:color w:val="auto"/>
          <w:sz w:val="28"/>
          <w:szCs w:val="36"/>
          <w:lang w:val="en-US" w:eastAsia="zh-CN"/>
        </w:rPr>
        <w:t>3.3</w:t>
      </w:r>
      <w:r>
        <w:rPr>
          <w:rFonts w:hint="eastAsia"/>
          <w:color w:val="auto"/>
          <w:sz w:val="28"/>
          <w:szCs w:val="36"/>
          <w:lang w:eastAsia="zh-CN"/>
        </w:rPr>
        <w:t>拟派项目经理须具备相关专业贰级及以上注册建造师资格证书及有效的安全生产考核合格证，且未担任其他在建工程的项目经理并作出承诺；技术负责人具有相关专业中级及以上工程技术职称；</w:t>
      </w:r>
    </w:p>
    <w:p>
      <w:pPr>
        <w:tabs>
          <w:tab w:val="left" w:pos="8140"/>
        </w:tabs>
        <w:rPr>
          <w:rFonts w:hint="eastAsia"/>
          <w:color w:val="auto"/>
          <w:sz w:val="28"/>
          <w:szCs w:val="36"/>
          <w:lang w:val="en-US" w:eastAsia="zh-CN"/>
        </w:rPr>
      </w:pPr>
      <w:r>
        <w:rPr>
          <w:rFonts w:hint="eastAsia"/>
          <w:color w:val="auto"/>
          <w:sz w:val="28"/>
          <w:szCs w:val="36"/>
          <w:lang w:val="en-US" w:eastAsia="zh-CN"/>
        </w:rPr>
        <w:t>3.4参加本次政府采购活动前三年内，在经营活动中没有重大违法犯罪记录；</w:t>
      </w:r>
    </w:p>
    <w:p>
      <w:pPr>
        <w:tabs>
          <w:tab w:val="left" w:pos="8140"/>
        </w:tabs>
        <w:rPr>
          <w:rFonts w:hint="eastAsia"/>
          <w:color w:val="auto"/>
          <w:sz w:val="28"/>
          <w:szCs w:val="36"/>
        </w:rPr>
      </w:pPr>
      <w:r>
        <w:rPr>
          <w:rFonts w:hint="eastAsia"/>
          <w:color w:val="auto"/>
          <w:sz w:val="28"/>
          <w:szCs w:val="36"/>
          <w:lang w:val="en-US" w:eastAsia="zh-CN"/>
        </w:rPr>
        <w:t>3.5</w:t>
      </w:r>
      <w:r>
        <w:rPr>
          <w:rFonts w:hint="eastAsia"/>
          <w:color w:val="auto"/>
          <w:sz w:val="28"/>
          <w:szCs w:val="36"/>
        </w:rPr>
        <w:t>财务状况良好，没有处于被责令停业、破产状态，各投标人须提供具有近三年（20</w:t>
      </w:r>
      <w:r>
        <w:rPr>
          <w:rFonts w:hint="eastAsia"/>
          <w:color w:val="auto"/>
          <w:sz w:val="28"/>
          <w:szCs w:val="36"/>
          <w:lang w:val="en-US" w:eastAsia="zh-CN"/>
        </w:rPr>
        <w:t>20</w:t>
      </w:r>
      <w:r>
        <w:rPr>
          <w:rFonts w:hint="eastAsia"/>
          <w:color w:val="auto"/>
          <w:sz w:val="28"/>
          <w:szCs w:val="36"/>
        </w:rPr>
        <w:t>年度、20</w:t>
      </w:r>
      <w:r>
        <w:rPr>
          <w:rFonts w:hint="eastAsia"/>
          <w:color w:val="auto"/>
          <w:sz w:val="28"/>
          <w:szCs w:val="36"/>
          <w:lang w:val="en-US" w:eastAsia="zh-CN"/>
        </w:rPr>
        <w:t>21</w:t>
      </w:r>
      <w:r>
        <w:rPr>
          <w:rFonts w:hint="eastAsia"/>
          <w:color w:val="auto"/>
          <w:sz w:val="28"/>
          <w:szCs w:val="36"/>
        </w:rPr>
        <w:t>年度</w:t>
      </w:r>
      <w:r>
        <w:rPr>
          <w:rFonts w:hint="eastAsia"/>
          <w:color w:val="auto"/>
          <w:sz w:val="28"/>
          <w:szCs w:val="36"/>
          <w:lang w:eastAsia="zh-CN"/>
        </w:rPr>
        <w:t>、</w:t>
      </w:r>
      <w:r>
        <w:rPr>
          <w:rFonts w:hint="eastAsia"/>
          <w:color w:val="auto"/>
          <w:sz w:val="28"/>
          <w:szCs w:val="36"/>
          <w:lang w:val="en-US" w:eastAsia="zh-CN"/>
        </w:rPr>
        <w:t>2022年度</w:t>
      </w:r>
      <w:r>
        <w:rPr>
          <w:rFonts w:hint="eastAsia"/>
          <w:color w:val="auto"/>
          <w:sz w:val="28"/>
          <w:szCs w:val="36"/>
        </w:rPr>
        <w:t>）经审计的财务报告，信誉良好（成立不足三年的企业，从成立之日算起）。</w:t>
      </w:r>
    </w:p>
    <w:p>
      <w:pPr>
        <w:keepNext w:val="0"/>
        <w:keepLines w:val="0"/>
        <w:pageBreakBefore w:val="0"/>
        <w:widowControl w:val="0"/>
        <w:tabs>
          <w:tab w:val="left" w:pos="8140"/>
        </w:tabs>
        <w:kinsoku/>
        <w:wordWrap/>
        <w:overflowPunct/>
        <w:topLinePunct w:val="0"/>
        <w:autoSpaceDE w:val="0"/>
        <w:autoSpaceDN w:val="0"/>
        <w:bidi w:val="0"/>
        <w:adjustRightInd/>
        <w:snapToGrid/>
        <w:spacing w:line="380" w:lineRule="exact"/>
        <w:textAlignment w:val="auto"/>
        <w:rPr>
          <w:rFonts w:hint="default"/>
          <w:color w:val="auto"/>
          <w:sz w:val="28"/>
          <w:szCs w:val="36"/>
          <w:lang w:val="en-US" w:eastAsia="zh-CN"/>
        </w:rPr>
      </w:pPr>
      <w:r>
        <w:rPr>
          <w:rFonts w:hint="eastAsia"/>
          <w:color w:val="auto"/>
          <w:sz w:val="28"/>
          <w:szCs w:val="36"/>
          <w:lang w:val="en-US" w:eastAsia="zh-CN"/>
        </w:rPr>
        <w:t>3.6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keepNext w:val="0"/>
        <w:keepLines w:val="0"/>
        <w:pageBreakBefore w:val="0"/>
        <w:widowControl w:val="0"/>
        <w:tabs>
          <w:tab w:val="left" w:pos="8140"/>
        </w:tabs>
        <w:kinsoku/>
        <w:wordWrap/>
        <w:overflowPunct/>
        <w:topLinePunct w:val="0"/>
        <w:autoSpaceDE w:val="0"/>
        <w:autoSpaceDN w:val="0"/>
        <w:bidi w:val="0"/>
        <w:adjustRightInd/>
        <w:snapToGrid/>
        <w:spacing w:line="380" w:lineRule="exact"/>
        <w:textAlignment w:val="auto"/>
        <w:rPr>
          <w:rFonts w:hint="eastAsia"/>
          <w:color w:val="auto"/>
          <w:sz w:val="28"/>
          <w:szCs w:val="36"/>
        </w:rPr>
      </w:pPr>
      <w:r>
        <w:rPr>
          <w:rFonts w:hint="eastAsia"/>
          <w:color w:val="auto"/>
          <w:sz w:val="28"/>
          <w:szCs w:val="36"/>
          <w:lang w:val="en-US" w:eastAsia="zh-CN"/>
        </w:rPr>
        <w:t>3.7</w:t>
      </w:r>
      <w:r>
        <w:rPr>
          <w:rFonts w:hint="eastAsia"/>
          <w:color w:val="auto"/>
          <w:sz w:val="28"/>
          <w:szCs w:val="36"/>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keepNext w:val="0"/>
        <w:keepLines w:val="0"/>
        <w:pageBreakBefore w:val="0"/>
        <w:widowControl w:val="0"/>
        <w:tabs>
          <w:tab w:val="left" w:pos="8140"/>
        </w:tabs>
        <w:kinsoku/>
        <w:wordWrap/>
        <w:overflowPunct/>
        <w:topLinePunct w:val="0"/>
        <w:autoSpaceDE w:val="0"/>
        <w:autoSpaceDN w:val="0"/>
        <w:bidi w:val="0"/>
        <w:adjustRightInd/>
        <w:snapToGrid/>
        <w:spacing w:line="380" w:lineRule="exact"/>
        <w:textAlignment w:val="auto"/>
        <w:rPr>
          <w:rFonts w:hint="eastAsia"/>
          <w:color w:val="auto"/>
          <w:sz w:val="28"/>
          <w:szCs w:val="36"/>
        </w:rPr>
      </w:pPr>
      <w:r>
        <w:rPr>
          <w:rFonts w:hint="eastAsia"/>
          <w:color w:val="auto"/>
          <w:sz w:val="28"/>
          <w:szCs w:val="36"/>
          <w:lang w:val="en-US" w:eastAsia="zh-CN"/>
        </w:rPr>
        <w:t>3.8</w:t>
      </w:r>
      <w:r>
        <w:rPr>
          <w:rFonts w:hint="eastAsia"/>
          <w:color w:val="auto"/>
          <w:sz w:val="28"/>
          <w:szCs w:val="36"/>
        </w:rPr>
        <w:t>本次招标不接受联合体投标，不允许分包和转包。</w:t>
      </w:r>
    </w:p>
    <w:p>
      <w:pPr>
        <w:keepNext w:val="0"/>
        <w:keepLines w:val="0"/>
        <w:pageBreakBefore w:val="0"/>
        <w:widowControl w:val="0"/>
        <w:tabs>
          <w:tab w:val="left" w:pos="8140"/>
        </w:tabs>
        <w:kinsoku/>
        <w:wordWrap/>
        <w:overflowPunct/>
        <w:topLinePunct w:val="0"/>
        <w:autoSpaceDE w:val="0"/>
        <w:autoSpaceDN w:val="0"/>
        <w:bidi w:val="0"/>
        <w:adjustRightInd/>
        <w:snapToGrid/>
        <w:spacing w:line="380" w:lineRule="exact"/>
        <w:textAlignment w:val="auto"/>
        <w:rPr>
          <w:rFonts w:hint="eastAsia"/>
          <w:color w:val="auto"/>
          <w:sz w:val="28"/>
          <w:szCs w:val="36"/>
        </w:rPr>
      </w:pPr>
      <w:r>
        <w:rPr>
          <w:rFonts w:hint="eastAsia"/>
          <w:color w:val="auto"/>
          <w:sz w:val="28"/>
          <w:szCs w:val="36"/>
          <w:lang w:val="en-US" w:eastAsia="zh-CN"/>
        </w:rPr>
        <w:t>3.9满足法律、行政法规及本项目磋商文件规定的其他条件。</w:t>
      </w:r>
    </w:p>
    <w:p>
      <w:pPr>
        <w:keepNext w:val="0"/>
        <w:keepLines w:val="0"/>
        <w:pageBreakBefore w:val="0"/>
        <w:widowControl w:val="0"/>
        <w:tabs>
          <w:tab w:val="left" w:pos="8140"/>
        </w:tabs>
        <w:kinsoku/>
        <w:wordWrap/>
        <w:overflowPunct/>
        <w:topLinePunct w:val="0"/>
        <w:autoSpaceDE w:val="0"/>
        <w:autoSpaceDN w:val="0"/>
        <w:bidi w:val="0"/>
        <w:adjustRightInd/>
        <w:snapToGrid/>
        <w:spacing w:line="380" w:lineRule="exact"/>
        <w:textAlignment w:val="auto"/>
        <w:rPr>
          <w:rFonts w:hint="eastAsia"/>
          <w:color w:val="auto"/>
          <w:sz w:val="28"/>
          <w:szCs w:val="36"/>
          <w:lang w:val="en-US" w:eastAsia="zh-CN"/>
        </w:rPr>
      </w:pPr>
      <w:r>
        <w:rPr>
          <w:rFonts w:hint="eastAsia"/>
          <w:color w:val="auto"/>
          <w:sz w:val="28"/>
          <w:szCs w:val="36"/>
          <w:lang w:val="en-US" w:eastAsia="zh-CN"/>
        </w:rPr>
        <w:t>注：本项目实行资格后审，审查内容以投标截止时间前上传企业诚信库信息（南阳市诚信库网站www.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w:t>
      </w:r>
    </w:p>
    <w:p>
      <w:pPr>
        <w:tabs>
          <w:tab w:val="left" w:pos="8140"/>
        </w:tabs>
        <w:rPr>
          <w:rFonts w:hint="eastAsia"/>
          <w:color w:val="auto"/>
          <w:sz w:val="28"/>
          <w:szCs w:val="36"/>
        </w:rPr>
      </w:pPr>
      <w:r>
        <w:rPr>
          <w:rFonts w:hint="eastAsia"/>
          <w:color w:val="auto"/>
          <w:sz w:val="28"/>
          <w:szCs w:val="36"/>
        </w:rPr>
        <w:t xml:space="preserve">三、获取采购文件 </w:t>
      </w:r>
    </w:p>
    <w:p>
      <w:pPr>
        <w:tabs>
          <w:tab w:val="left" w:pos="8140"/>
        </w:tabs>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3</w:t>
      </w:r>
      <w:r>
        <w:rPr>
          <w:rFonts w:hint="eastAsia"/>
          <w:color w:val="auto"/>
          <w:sz w:val="28"/>
          <w:szCs w:val="36"/>
        </w:rPr>
        <w:t>月</w:t>
      </w:r>
      <w:r>
        <w:rPr>
          <w:rFonts w:hint="eastAsia"/>
          <w:color w:val="auto"/>
          <w:sz w:val="28"/>
          <w:szCs w:val="36"/>
          <w:lang w:val="en-US" w:eastAsia="zh-CN"/>
        </w:rPr>
        <w:t>15</w:t>
      </w:r>
      <w:r>
        <w:rPr>
          <w:rFonts w:hint="eastAsia"/>
          <w:color w:val="auto"/>
          <w:sz w:val="28"/>
          <w:szCs w:val="36"/>
        </w:rPr>
        <w:t>日至202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3</w:t>
      </w:r>
      <w:r>
        <w:rPr>
          <w:rFonts w:hint="eastAsia"/>
          <w:color w:val="000000" w:themeColor="text1"/>
          <w:sz w:val="28"/>
          <w:szCs w:val="36"/>
          <w14:textFill>
            <w14:solidFill>
              <w14:schemeClr w14:val="tx1"/>
            </w14:solidFill>
          </w14:textFill>
        </w:rPr>
        <w:t>月</w:t>
      </w:r>
      <w:r>
        <w:rPr>
          <w:rFonts w:hint="eastAsia"/>
          <w:color w:val="000000" w:themeColor="text1"/>
          <w:sz w:val="28"/>
          <w:szCs w:val="36"/>
          <w:lang w:val="en-US" w:eastAsia="zh-CN"/>
          <w14:textFill>
            <w14:solidFill>
              <w14:schemeClr w14:val="tx1"/>
            </w14:solidFill>
          </w14:textFill>
        </w:rPr>
        <w:t>22</w:t>
      </w:r>
      <w:r>
        <w:rPr>
          <w:rFonts w:hint="eastAsia"/>
          <w:color w:val="000000" w:themeColor="text1"/>
          <w:sz w:val="28"/>
          <w:szCs w:val="36"/>
          <w14:textFill>
            <w14:solidFill>
              <w14:schemeClr w14:val="tx1"/>
            </w14:solidFill>
          </w14:textFill>
        </w:rPr>
        <w:t>日</w:t>
      </w:r>
      <w:r>
        <w:rPr>
          <w:rFonts w:hint="eastAsia"/>
          <w:color w:val="auto"/>
          <w:sz w:val="28"/>
          <w:szCs w:val="36"/>
        </w:rPr>
        <w:t>，每天上午</w:t>
      </w:r>
      <w:r>
        <w:rPr>
          <w:rFonts w:hint="eastAsia"/>
          <w:color w:val="auto"/>
          <w:sz w:val="28"/>
          <w:szCs w:val="36"/>
          <w:lang w:val="en-US" w:eastAsia="zh-CN"/>
        </w:rPr>
        <w:t>09</w:t>
      </w:r>
      <w:r>
        <w:rPr>
          <w:rFonts w:hint="eastAsia"/>
          <w:color w:val="auto"/>
          <w:sz w:val="28"/>
          <w:szCs w:val="36"/>
        </w:rPr>
        <w:t>:</w:t>
      </w:r>
      <w:r>
        <w:rPr>
          <w:rFonts w:hint="eastAsia"/>
          <w:color w:val="auto"/>
          <w:sz w:val="28"/>
          <w:szCs w:val="36"/>
          <w:lang w:val="en-US" w:eastAsia="zh-CN"/>
        </w:rPr>
        <w:t>3</w:t>
      </w:r>
      <w:r>
        <w:rPr>
          <w:rFonts w:hint="eastAsia"/>
          <w:color w:val="auto"/>
          <w:sz w:val="28"/>
          <w:szCs w:val="36"/>
        </w:rPr>
        <w:t>0至12:00，下午12:00至1</w:t>
      </w:r>
      <w:r>
        <w:rPr>
          <w:rFonts w:hint="eastAsia"/>
          <w:color w:val="auto"/>
          <w:sz w:val="28"/>
          <w:szCs w:val="36"/>
          <w:lang w:val="en-US" w:eastAsia="zh-CN"/>
        </w:rPr>
        <w:t>8</w:t>
      </w:r>
      <w:r>
        <w:rPr>
          <w:rFonts w:hint="eastAsia"/>
          <w:color w:val="auto"/>
          <w:sz w:val="28"/>
          <w:szCs w:val="36"/>
        </w:rPr>
        <w:t>:</w:t>
      </w:r>
      <w:r>
        <w:rPr>
          <w:rFonts w:hint="eastAsia"/>
          <w:color w:val="auto"/>
          <w:sz w:val="28"/>
          <w:szCs w:val="36"/>
          <w:lang w:val="en-US" w:eastAsia="zh-CN"/>
        </w:rPr>
        <w:t>0</w:t>
      </w:r>
      <w:r>
        <w:rPr>
          <w:rFonts w:hint="eastAsia"/>
          <w:color w:val="auto"/>
          <w:sz w:val="28"/>
          <w:szCs w:val="36"/>
        </w:rPr>
        <w:t xml:space="preserve">0（北京时间，法定节假日除外。） </w:t>
      </w:r>
    </w:p>
    <w:p>
      <w:pPr>
        <w:tabs>
          <w:tab w:val="left" w:pos="8140"/>
        </w:tabs>
        <w:rPr>
          <w:rFonts w:hint="eastAsia"/>
          <w:color w:val="auto"/>
          <w:sz w:val="28"/>
          <w:szCs w:val="36"/>
        </w:rPr>
      </w:pPr>
      <w:r>
        <w:rPr>
          <w:rFonts w:hint="eastAsia"/>
          <w:color w:val="auto"/>
          <w:sz w:val="28"/>
          <w:szCs w:val="36"/>
        </w:rPr>
        <w:t>2.地点：</w:t>
      </w:r>
      <w:r>
        <w:rPr>
          <w:rFonts w:hint="eastAsia"/>
          <w:color w:val="auto"/>
          <w:sz w:val="28"/>
          <w:szCs w:val="36"/>
          <w:lang w:eastAsia="zh-CN"/>
        </w:rPr>
        <w:t>唐河县公共资源交易中心网站（</w:t>
      </w:r>
      <w:r>
        <w:rPr>
          <w:rFonts w:hint="eastAsia"/>
          <w:color w:val="auto"/>
          <w:sz w:val="28"/>
          <w:szCs w:val="36"/>
          <w:lang w:eastAsia="zh-CN"/>
        </w:rPr>
        <w:fldChar w:fldCharType="begin"/>
      </w:r>
      <w:r>
        <w:rPr>
          <w:rFonts w:hint="eastAsia"/>
          <w:color w:val="auto"/>
          <w:sz w:val="28"/>
          <w:szCs w:val="36"/>
          <w:lang w:eastAsia="zh-CN"/>
        </w:rPr>
        <w:instrText xml:space="preserve"> HYPERLINK "http://www.thggzy.com/" </w:instrText>
      </w:r>
      <w:r>
        <w:rPr>
          <w:rFonts w:hint="eastAsia"/>
          <w:color w:val="auto"/>
          <w:sz w:val="28"/>
          <w:szCs w:val="36"/>
          <w:lang w:eastAsia="zh-CN"/>
        </w:rPr>
        <w:fldChar w:fldCharType="separate"/>
      </w:r>
      <w:r>
        <w:rPr>
          <w:rFonts w:hint="eastAsia"/>
          <w:color w:val="auto"/>
          <w:sz w:val="28"/>
          <w:szCs w:val="36"/>
          <w:lang w:eastAsia="zh-CN"/>
        </w:rPr>
        <w:t>http://www.thggzy.c</w:t>
      </w:r>
      <w:r>
        <w:rPr>
          <w:rFonts w:hint="eastAsia"/>
          <w:color w:val="auto"/>
          <w:sz w:val="28"/>
          <w:szCs w:val="36"/>
          <w:lang w:eastAsia="zh-CN"/>
        </w:rPr>
        <w:fldChar w:fldCharType="end"/>
      </w:r>
      <w:r>
        <w:rPr>
          <w:rFonts w:hint="eastAsia"/>
          <w:color w:val="auto"/>
          <w:sz w:val="28"/>
          <w:szCs w:val="36"/>
          <w:lang w:val="en-US" w:eastAsia="zh-CN"/>
        </w:rPr>
        <w:t>n</w:t>
      </w:r>
      <w:r>
        <w:rPr>
          <w:rFonts w:hint="eastAsia"/>
          <w:color w:val="auto"/>
          <w:sz w:val="28"/>
          <w:szCs w:val="36"/>
          <w:lang w:eastAsia="zh-CN"/>
        </w:rPr>
        <w:t>）</w:t>
      </w:r>
      <w:r>
        <w:rPr>
          <w:rFonts w:hint="eastAsia"/>
          <w:color w:val="auto"/>
          <w:sz w:val="28"/>
          <w:szCs w:val="36"/>
        </w:rPr>
        <w:t xml:space="preserve"> </w:t>
      </w:r>
    </w:p>
    <w:p>
      <w:pPr>
        <w:tabs>
          <w:tab w:val="left" w:pos="8140"/>
        </w:tabs>
        <w:rPr>
          <w:rFonts w:hint="eastAsia"/>
          <w:color w:val="auto"/>
          <w:sz w:val="28"/>
          <w:szCs w:val="36"/>
        </w:rPr>
      </w:pPr>
      <w:r>
        <w:rPr>
          <w:rFonts w:hint="eastAsia"/>
          <w:color w:val="auto"/>
          <w:sz w:val="28"/>
          <w:szCs w:val="36"/>
        </w:rPr>
        <w:t>3.方式：网上下载，潜在供应商在南阳市公共资源交易中心办理CA数字证书，在南阳市交易平台诚信库进行登记注册，验证通过后可直接运用CA证书登录唐河县公共资源交易中心网站（www.thggzy.c</w:t>
      </w:r>
      <w:r>
        <w:rPr>
          <w:rFonts w:hint="eastAsia"/>
          <w:color w:val="auto"/>
          <w:sz w:val="28"/>
          <w:szCs w:val="36"/>
          <w:lang w:val="en-US" w:eastAsia="zh-CN"/>
        </w:rPr>
        <w:t>n</w:t>
      </w:r>
      <w:r>
        <w:rPr>
          <w:rFonts w:hint="eastAsia"/>
          <w:color w:val="auto"/>
          <w:sz w:val="28"/>
          <w:szCs w:val="36"/>
        </w:rPr>
        <w:t xml:space="preserve">）诚信库会员系统进行网上下载采购文件。唐河县公共资源交易平台与南阳市公共资源交易平台诚信库系统互认共享、CA数字证书互认共享。 </w:t>
      </w:r>
    </w:p>
    <w:p>
      <w:pPr>
        <w:tabs>
          <w:tab w:val="left" w:pos="8140"/>
        </w:tabs>
        <w:rPr>
          <w:rFonts w:hint="eastAsia"/>
          <w:color w:val="auto"/>
          <w:sz w:val="28"/>
          <w:szCs w:val="36"/>
        </w:rPr>
      </w:pPr>
      <w:r>
        <w:rPr>
          <w:rFonts w:hint="eastAsia"/>
          <w:color w:val="auto"/>
          <w:sz w:val="28"/>
          <w:szCs w:val="36"/>
        </w:rPr>
        <w:t xml:space="preserve">4.售价：0元 </w:t>
      </w:r>
    </w:p>
    <w:p>
      <w:pPr>
        <w:tabs>
          <w:tab w:val="left" w:pos="8140"/>
        </w:tabs>
        <w:rPr>
          <w:rFonts w:hint="eastAsia"/>
          <w:color w:val="auto"/>
          <w:sz w:val="28"/>
          <w:szCs w:val="36"/>
        </w:rPr>
      </w:pPr>
      <w:r>
        <w:rPr>
          <w:rFonts w:hint="eastAsia"/>
          <w:color w:val="auto"/>
          <w:sz w:val="28"/>
          <w:szCs w:val="36"/>
        </w:rPr>
        <w:t xml:space="preserve">四、响应文件提交 </w:t>
      </w:r>
    </w:p>
    <w:p>
      <w:pPr>
        <w:tabs>
          <w:tab w:val="left" w:pos="8140"/>
        </w:tabs>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4</w:t>
      </w:r>
      <w:r>
        <w:rPr>
          <w:rFonts w:hint="eastAsia"/>
          <w:color w:val="auto"/>
          <w:sz w:val="28"/>
          <w:szCs w:val="36"/>
        </w:rPr>
        <w:t>月</w:t>
      </w:r>
      <w:r>
        <w:rPr>
          <w:rFonts w:hint="eastAsia"/>
          <w:color w:val="auto"/>
          <w:sz w:val="28"/>
          <w:szCs w:val="36"/>
          <w:lang w:val="en-US" w:eastAsia="zh-CN"/>
        </w:rPr>
        <w:t>12</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tabs>
          <w:tab w:val="left" w:pos="8140"/>
        </w:tabs>
        <w:rPr>
          <w:rFonts w:hint="eastAsia"/>
          <w:color w:val="auto"/>
          <w:sz w:val="28"/>
          <w:szCs w:val="36"/>
        </w:rPr>
      </w:pPr>
      <w:r>
        <w:rPr>
          <w:rFonts w:hint="eastAsia"/>
          <w:color w:val="auto"/>
          <w:sz w:val="28"/>
          <w:szCs w:val="36"/>
        </w:rPr>
        <w:t xml:space="preserve">2.地点：唐河县公共资源交易中心网站，加密版响应文件应在磋商文件规定的开标截止时间前上传至交易系统，逾期上传交易系统或未上传成功的电子投标文件视为放弃本次投标。 </w:t>
      </w:r>
    </w:p>
    <w:p>
      <w:pPr>
        <w:tabs>
          <w:tab w:val="left" w:pos="8140"/>
        </w:tabs>
        <w:rPr>
          <w:rFonts w:hint="eastAsia"/>
          <w:color w:val="auto"/>
          <w:sz w:val="28"/>
          <w:szCs w:val="36"/>
        </w:rPr>
      </w:pPr>
      <w:r>
        <w:rPr>
          <w:rFonts w:hint="eastAsia"/>
          <w:color w:val="auto"/>
          <w:sz w:val="28"/>
          <w:szCs w:val="36"/>
        </w:rPr>
        <w:t xml:space="preserve">五、响应文件开启 </w:t>
      </w:r>
    </w:p>
    <w:p>
      <w:pPr>
        <w:tabs>
          <w:tab w:val="left" w:pos="8140"/>
        </w:tabs>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4</w:t>
      </w:r>
      <w:r>
        <w:rPr>
          <w:rFonts w:hint="eastAsia"/>
          <w:color w:val="auto"/>
          <w:sz w:val="28"/>
          <w:szCs w:val="36"/>
        </w:rPr>
        <w:t>月</w:t>
      </w:r>
      <w:r>
        <w:rPr>
          <w:rFonts w:hint="eastAsia"/>
          <w:color w:val="auto"/>
          <w:sz w:val="28"/>
          <w:szCs w:val="36"/>
          <w:lang w:val="en-US" w:eastAsia="zh-CN"/>
        </w:rPr>
        <w:t>12</w:t>
      </w:r>
      <w:r>
        <w:rPr>
          <w:rFonts w:hint="eastAsia"/>
          <w:color w:val="auto"/>
          <w:sz w:val="28"/>
          <w:szCs w:val="36"/>
        </w:rPr>
        <w:t xml:space="preserve">日09时30分（北京时间） </w:t>
      </w:r>
    </w:p>
    <w:p>
      <w:pPr>
        <w:tabs>
          <w:tab w:val="left" w:pos="8140"/>
        </w:tabs>
        <w:rPr>
          <w:rFonts w:hint="eastAsia"/>
          <w:color w:val="auto"/>
          <w:sz w:val="28"/>
          <w:szCs w:val="36"/>
        </w:rPr>
      </w:pPr>
      <w:r>
        <w:rPr>
          <w:rFonts w:hint="eastAsia"/>
          <w:color w:val="auto"/>
          <w:sz w:val="28"/>
          <w:szCs w:val="36"/>
        </w:rPr>
        <w:t>2.地点：</w:t>
      </w:r>
      <w:r>
        <w:rPr>
          <w:rFonts w:hint="eastAsia"/>
          <w:color w:val="auto"/>
          <w:sz w:val="28"/>
          <w:szCs w:val="36"/>
          <w:lang w:val="en-US"/>
        </w:rPr>
        <w:t>采用网上不见面方式开标，</w:t>
      </w:r>
      <w:r>
        <w:rPr>
          <w:rFonts w:hint="eastAsia"/>
          <w:color w:val="auto"/>
          <w:sz w:val="28"/>
          <w:szCs w:val="36"/>
          <w:lang w:val="en-US" w:eastAsia="zh-CN"/>
        </w:rPr>
        <w:t>投标供应商</w:t>
      </w:r>
      <w:r>
        <w:rPr>
          <w:rFonts w:hint="eastAsia"/>
          <w:color w:val="auto"/>
          <w:sz w:val="28"/>
          <w:szCs w:val="36"/>
          <w:lang w:val="en-US"/>
        </w:rPr>
        <w:t>无需到达开标现场参与投标。各供应商根据手册要求，自行提前做好所有相关准备工作，自行上传</w:t>
      </w:r>
      <w:r>
        <w:rPr>
          <w:rFonts w:hint="eastAsia"/>
          <w:color w:val="auto"/>
          <w:sz w:val="28"/>
          <w:szCs w:val="36"/>
          <w:lang w:val="en-US" w:eastAsia="zh-CN"/>
        </w:rPr>
        <w:t>响应文件</w:t>
      </w:r>
      <w:r>
        <w:rPr>
          <w:rFonts w:hint="eastAsia"/>
          <w:color w:val="auto"/>
          <w:sz w:val="28"/>
          <w:szCs w:val="36"/>
          <w:lang w:val="en-US"/>
        </w:rPr>
        <w:t>，无需寄送和递交非加密</w:t>
      </w:r>
      <w:r>
        <w:rPr>
          <w:rFonts w:hint="eastAsia"/>
          <w:color w:val="auto"/>
          <w:sz w:val="28"/>
          <w:szCs w:val="36"/>
          <w:lang w:val="en-US" w:eastAsia="zh-CN"/>
        </w:rPr>
        <w:t>响应文件</w:t>
      </w:r>
      <w:r>
        <w:rPr>
          <w:rFonts w:hint="eastAsia"/>
          <w:color w:val="auto"/>
          <w:sz w:val="28"/>
          <w:szCs w:val="36"/>
          <w:lang w:val="en-US"/>
        </w:rPr>
        <w:t>光盘等。</w:t>
      </w:r>
      <w:r>
        <w:rPr>
          <w:rFonts w:hint="eastAsia"/>
          <w:color w:val="auto"/>
          <w:sz w:val="28"/>
          <w:szCs w:val="36"/>
          <w:lang w:val="en-US" w:eastAsia="zh-CN"/>
        </w:rPr>
        <w:t>需提前登录不见面开标系统</w:t>
      </w:r>
      <w:r>
        <w:rPr>
          <w:rFonts w:hint="eastAsia"/>
          <w:color w:val="auto"/>
          <w:sz w:val="28"/>
          <w:szCs w:val="36"/>
          <w:lang w:val="en-US"/>
        </w:rPr>
        <w:t>，过程中如遇到紧急事项，可在不见面开标大厅中进行提出异议或文字交流。如供应商准备不到位，</w:t>
      </w:r>
      <w:r>
        <w:rPr>
          <w:rFonts w:hint="eastAsia"/>
          <w:color w:val="auto"/>
          <w:sz w:val="28"/>
          <w:szCs w:val="36"/>
          <w:lang w:val="en-US" w:eastAsia="zh-CN"/>
        </w:rPr>
        <w:t>或因</w:t>
      </w:r>
      <w:r>
        <w:rPr>
          <w:rFonts w:hint="eastAsia"/>
          <w:color w:val="auto"/>
          <w:sz w:val="28"/>
          <w:szCs w:val="36"/>
          <w:lang w:val="en-US"/>
        </w:rPr>
        <w:t>网络等问题造成无法及时解密、开标无法继续的，视为该供应商自动放弃投标（</w:t>
      </w:r>
      <w:r>
        <w:rPr>
          <w:rFonts w:hint="eastAsia"/>
          <w:color w:val="auto"/>
          <w:sz w:val="28"/>
          <w:szCs w:val="36"/>
          <w:lang w:val="en-US" w:eastAsia="zh-CN"/>
        </w:rPr>
        <w:t>30</w:t>
      </w:r>
      <w:r>
        <w:rPr>
          <w:rFonts w:hint="eastAsia"/>
          <w:color w:val="auto"/>
          <w:sz w:val="28"/>
          <w:szCs w:val="36"/>
          <w:lang w:val="en-US"/>
        </w:rPr>
        <w:t>分钟内）将被退回</w:t>
      </w:r>
      <w:r>
        <w:rPr>
          <w:rFonts w:hint="eastAsia"/>
          <w:color w:val="auto"/>
          <w:sz w:val="28"/>
          <w:szCs w:val="36"/>
          <w:lang w:val="en-US" w:eastAsia="zh-CN"/>
        </w:rPr>
        <w:t>响应文件</w:t>
      </w:r>
      <w:r>
        <w:rPr>
          <w:rFonts w:hint="eastAsia"/>
          <w:color w:val="auto"/>
          <w:sz w:val="28"/>
          <w:szCs w:val="36"/>
          <w:lang w:val="en-US"/>
        </w:rPr>
        <w:t>；附件：操作手册</w:t>
      </w:r>
      <w:r>
        <w:rPr>
          <w:rFonts w:hint="eastAsia"/>
          <w:color w:val="auto"/>
          <w:sz w:val="28"/>
          <w:szCs w:val="36"/>
          <w:lang w:val="en-US" w:eastAsia="zh-CN"/>
        </w:rPr>
        <w:t>在</w:t>
      </w:r>
      <w:r>
        <w:rPr>
          <w:rFonts w:hint="eastAsia"/>
          <w:color w:val="auto"/>
          <w:sz w:val="28"/>
          <w:szCs w:val="36"/>
          <w:lang w:val="en-US"/>
        </w:rPr>
        <w:t>下载中心或办事指南中自行下载</w:t>
      </w:r>
      <w:r>
        <w:rPr>
          <w:rFonts w:hint="eastAsia"/>
          <w:color w:val="auto"/>
          <w:sz w:val="28"/>
          <w:szCs w:val="36"/>
          <w:lang w:val="en-US" w:eastAsia="zh-CN"/>
        </w:rPr>
        <w:t>，</w:t>
      </w:r>
      <w:r>
        <w:rPr>
          <w:rFonts w:hint="eastAsia"/>
          <w:color w:val="auto"/>
          <w:sz w:val="28"/>
          <w:szCs w:val="36"/>
          <w:lang w:val="en-US"/>
        </w:rPr>
        <w:t>不见面开标大厅地址：唐河县公共资源交易中心网站首页“不见面开标大厅”模块。</w:t>
      </w:r>
      <w:r>
        <w:rPr>
          <w:rFonts w:hint="eastAsia"/>
          <w:color w:val="auto"/>
          <w:sz w:val="28"/>
          <w:szCs w:val="36"/>
        </w:rPr>
        <w:t xml:space="preserve"> </w:t>
      </w:r>
    </w:p>
    <w:p>
      <w:pPr>
        <w:tabs>
          <w:tab w:val="left" w:pos="8140"/>
        </w:tabs>
        <w:rPr>
          <w:rFonts w:hint="eastAsia"/>
          <w:color w:val="auto"/>
          <w:sz w:val="28"/>
          <w:szCs w:val="36"/>
        </w:rPr>
      </w:pPr>
      <w:r>
        <w:rPr>
          <w:rFonts w:hint="eastAsia"/>
          <w:color w:val="auto"/>
          <w:sz w:val="28"/>
          <w:szCs w:val="36"/>
        </w:rPr>
        <w:t xml:space="preserve">六、发布公告的媒介及招标公告期限 </w:t>
      </w:r>
    </w:p>
    <w:p>
      <w:pPr>
        <w:tabs>
          <w:tab w:val="left" w:pos="8140"/>
        </w:tabs>
        <w:rPr>
          <w:rFonts w:hint="eastAsia"/>
          <w:color w:val="auto"/>
          <w:sz w:val="28"/>
          <w:szCs w:val="36"/>
        </w:rPr>
      </w:pPr>
      <w:r>
        <w:rPr>
          <w:rFonts w:hint="eastAsia"/>
          <w:color w:val="auto"/>
          <w:sz w:val="28"/>
          <w:szCs w:val="36"/>
        </w:rPr>
        <w:t>本次招标公告在《河南省政府采购网》、《南阳市政府采购网》、《中国招标投标公共服务平台》、《唐河县公共资源交易中心》上发布，招标公告期限为三个工作日。</w:t>
      </w:r>
    </w:p>
    <w:p>
      <w:pPr>
        <w:tabs>
          <w:tab w:val="left" w:pos="8140"/>
        </w:tabs>
        <w:rPr>
          <w:rFonts w:hint="eastAsia"/>
          <w:color w:val="auto"/>
          <w:sz w:val="28"/>
          <w:szCs w:val="36"/>
        </w:rPr>
      </w:pPr>
      <w:r>
        <w:rPr>
          <w:rFonts w:hint="eastAsia"/>
          <w:color w:val="auto"/>
          <w:sz w:val="28"/>
          <w:szCs w:val="36"/>
        </w:rPr>
        <w:t>七、其他补充事宜</w:t>
      </w:r>
      <w:r>
        <w:rPr>
          <w:rFonts w:hint="eastAsia"/>
          <w:color w:val="auto"/>
          <w:sz w:val="28"/>
          <w:szCs w:val="36"/>
          <w:lang w:eastAsia="zh-CN"/>
        </w:rPr>
        <w:t>：</w:t>
      </w:r>
      <w:r>
        <w:rPr>
          <w:rFonts w:hint="eastAsia"/>
          <w:color w:val="auto"/>
          <w:sz w:val="28"/>
          <w:szCs w:val="36"/>
          <w:lang w:val="en-US" w:eastAsia="zh-CN"/>
        </w:rPr>
        <w:t>无</w:t>
      </w:r>
      <w:r>
        <w:rPr>
          <w:rFonts w:hint="eastAsia"/>
          <w:color w:val="auto"/>
          <w:sz w:val="28"/>
          <w:szCs w:val="36"/>
        </w:rPr>
        <w:t xml:space="preserve"> </w:t>
      </w:r>
    </w:p>
    <w:p>
      <w:pPr>
        <w:tabs>
          <w:tab w:val="left" w:pos="8140"/>
        </w:tabs>
        <w:rPr>
          <w:rFonts w:hint="eastAsia"/>
          <w:color w:val="auto"/>
          <w:sz w:val="28"/>
          <w:szCs w:val="36"/>
        </w:rPr>
      </w:pPr>
      <w:r>
        <w:rPr>
          <w:rFonts w:hint="eastAsia"/>
          <w:color w:val="auto"/>
          <w:sz w:val="28"/>
          <w:szCs w:val="36"/>
        </w:rPr>
        <w:t xml:space="preserve">八、凡对本次招标提出询问，请按照以下方式联系 </w:t>
      </w:r>
    </w:p>
    <w:p>
      <w:pPr>
        <w:tabs>
          <w:tab w:val="left" w:pos="8140"/>
        </w:tabs>
        <w:rPr>
          <w:rFonts w:hint="eastAsia"/>
          <w:color w:val="auto"/>
          <w:sz w:val="28"/>
          <w:szCs w:val="36"/>
        </w:rPr>
      </w:pPr>
      <w:r>
        <w:rPr>
          <w:rFonts w:hint="eastAsia"/>
          <w:color w:val="auto"/>
          <w:sz w:val="28"/>
          <w:szCs w:val="36"/>
        </w:rPr>
        <w:t xml:space="preserve">1. 采购人信息 </w:t>
      </w:r>
    </w:p>
    <w:p>
      <w:pPr>
        <w:tabs>
          <w:tab w:val="left" w:pos="8140"/>
        </w:tabs>
        <w:rPr>
          <w:rFonts w:hint="eastAsia"/>
          <w:color w:val="000000" w:themeColor="text1"/>
          <w:sz w:val="28"/>
          <w:szCs w:val="36"/>
          <w:lang w:eastAsia="zh-CN"/>
          <w14:textFill>
            <w14:solidFill>
              <w14:schemeClr w14:val="tx1"/>
            </w14:solidFill>
          </w14:textFill>
        </w:rPr>
      </w:pPr>
      <w:r>
        <w:rPr>
          <w:rFonts w:hint="eastAsia"/>
          <w:color w:val="000000" w:themeColor="text1"/>
          <w:sz w:val="28"/>
          <w:szCs w:val="36"/>
          <w14:textFill>
            <w14:solidFill>
              <w14:schemeClr w14:val="tx1"/>
            </w14:solidFill>
          </w14:textFill>
        </w:rPr>
        <w:t>名称：</w:t>
      </w:r>
      <w:r>
        <w:rPr>
          <w:rFonts w:hint="eastAsia"/>
          <w:color w:val="000000" w:themeColor="text1"/>
          <w:sz w:val="28"/>
          <w:szCs w:val="36"/>
          <w:lang w:eastAsia="zh-CN"/>
          <w14:textFill>
            <w14:solidFill>
              <w14:schemeClr w14:val="tx1"/>
            </w14:solidFill>
          </w14:textFill>
        </w:rPr>
        <w:t>唐河县住房和城乡建设局</w:t>
      </w:r>
    </w:p>
    <w:p>
      <w:pPr>
        <w:tabs>
          <w:tab w:val="left" w:pos="8140"/>
        </w:tabs>
        <w:rPr>
          <w:rFonts w:hint="eastAsia"/>
          <w:color w:val="000000" w:themeColor="text1"/>
          <w:sz w:val="28"/>
          <w:szCs w:val="36"/>
          <w:lang w:eastAsia="zh-CN"/>
          <w14:textFill>
            <w14:solidFill>
              <w14:schemeClr w14:val="tx1"/>
            </w14:solidFill>
          </w14:textFill>
        </w:rPr>
      </w:pPr>
      <w:r>
        <w:rPr>
          <w:rFonts w:hint="eastAsia"/>
          <w:color w:val="000000" w:themeColor="text1"/>
          <w:sz w:val="28"/>
          <w:szCs w:val="36"/>
          <w14:textFill>
            <w14:solidFill>
              <w14:schemeClr w14:val="tx1"/>
            </w14:solidFill>
          </w14:textFill>
        </w:rPr>
        <w:t>地址：</w:t>
      </w:r>
      <w:r>
        <w:rPr>
          <w:rFonts w:hint="eastAsia"/>
          <w:color w:val="000000" w:themeColor="text1"/>
          <w:sz w:val="28"/>
          <w:szCs w:val="36"/>
          <w:lang w:eastAsia="zh-CN"/>
          <w14:textFill>
            <w14:solidFill>
              <w14:schemeClr w14:val="tx1"/>
            </w14:solidFill>
          </w14:textFill>
        </w:rPr>
        <w:t>唐河县新春路北段</w:t>
      </w:r>
    </w:p>
    <w:p>
      <w:pPr>
        <w:tabs>
          <w:tab w:val="left" w:pos="8140"/>
        </w:tabs>
        <w:rPr>
          <w:rFonts w:hint="default"/>
          <w:color w:val="auto"/>
          <w:sz w:val="28"/>
          <w:szCs w:val="36"/>
          <w:lang w:val="en-US" w:eastAsia="zh-CN"/>
        </w:rPr>
      </w:pPr>
      <w:r>
        <w:rPr>
          <w:rFonts w:hint="eastAsia"/>
          <w:color w:val="auto"/>
          <w:sz w:val="28"/>
          <w:szCs w:val="36"/>
        </w:rPr>
        <w:t>联系人</w:t>
      </w:r>
      <w:r>
        <w:rPr>
          <w:rFonts w:hint="eastAsia"/>
          <w:color w:val="auto"/>
          <w:sz w:val="28"/>
          <w:szCs w:val="36"/>
          <w:lang w:eastAsia="zh-CN"/>
        </w:rPr>
        <w:t>：</w:t>
      </w:r>
      <w:r>
        <w:rPr>
          <w:rFonts w:hint="eastAsia"/>
          <w:color w:val="auto"/>
          <w:sz w:val="28"/>
          <w:szCs w:val="36"/>
          <w:lang w:val="en-US" w:eastAsia="zh-CN"/>
        </w:rPr>
        <w:t>周先生</w:t>
      </w:r>
    </w:p>
    <w:p>
      <w:pPr>
        <w:tabs>
          <w:tab w:val="left" w:pos="8140"/>
        </w:tabs>
        <w:rPr>
          <w:rFonts w:hint="eastAsia"/>
          <w:color w:val="auto"/>
          <w:sz w:val="28"/>
          <w:szCs w:val="36"/>
          <w:lang w:val="en-US" w:eastAsia="zh-CN"/>
        </w:rPr>
      </w:pPr>
      <w:r>
        <w:rPr>
          <w:rFonts w:hint="eastAsia"/>
          <w:color w:val="auto"/>
          <w:sz w:val="28"/>
          <w:szCs w:val="36"/>
          <w:lang w:eastAsia="zh-CN"/>
        </w:rPr>
        <w:t>联系方式：</w:t>
      </w:r>
      <w:r>
        <w:rPr>
          <w:rFonts w:hint="eastAsia"/>
          <w:color w:val="auto"/>
          <w:sz w:val="28"/>
          <w:szCs w:val="36"/>
          <w:lang w:val="en-US" w:eastAsia="zh-CN"/>
        </w:rPr>
        <w:t>0377-</w:t>
      </w:r>
      <w:r>
        <w:rPr>
          <w:rFonts w:hint="eastAsia"/>
          <w:color w:val="auto"/>
          <w:sz w:val="28"/>
          <w:szCs w:val="36"/>
          <w:lang w:eastAsia="zh-CN"/>
        </w:rPr>
        <w:t>68851588</w:t>
      </w:r>
    </w:p>
    <w:p>
      <w:pPr>
        <w:tabs>
          <w:tab w:val="left" w:pos="8140"/>
        </w:tabs>
        <w:rPr>
          <w:rFonts w:hint="eastAsia"/>
          <w:color w:val="auto"/>
          <w:sz w:val="28"/>
          <w:szCs w:val="36"/>
        </w:rPr>
      </w:pPr>
      <w:r>
        <w:rPr>
          <w:rFonts w:hint="eastAsia"/>
          <w:color w:val="auto"/>
          <w:sz w:val="28"/>
          <w:szCs w:val="36"/>
        </w:rPr>
        <w:t xml:space="preserve">2.采购代理机构信息（如有） </w:t>
      </w:r>
    </w:p>
    <w:p>
      <w:pPr>
        <w:tabs>
          <w:tab w:val="left" w:pos="8140"/>
        </w:tabs>
        <w:rPr>
          <w:rFonts w:hint="eastAsia"/>
          <w:color w:val="auto"/>
          <w:sz w:val="28"/>
          <w:szCs w:val="36"/>
        </w:rPr>
      </w:pPr>
      <w:r>
        <w:rPr>
          <w:rFonts w:hint="eastAsia"/>
          <w:color w:val="auto"/>
          <w:sz w:val="28"/>
          <w:szCs w:val="36"/>
        </w:rPr>
        <w:t xml:space="preserve">名称：唐河县龙建工程管理有限公司 </w:t>
      </w:r>
    </w:p>
    <w:p>
      <w:pPr>
        <w:tabs>
          <w:tab w:val="left" w:pos="8140"/>
        </w:tabs>
        <w:rPr>
          <w:rFonts w:hint="eastAsia"/>
          <w:color w:val="auto"/>
          <w:sz w:val="28"/>
          <w:szCs w:val="36"/>
        </w:rPr>
      </w:pPr>
      <w:r>
        <w:rPr>
          <w:rFonts w:hint="eastAsia"/>
          <w:color w:val="auto"/>
          <w:sz w:val="28"/>
          <w:szCs w:val="36"/>
        </w:rPr>
        <w:t>地址：唐河县文峰街道飞凤路飞凤游园管理楼二楼</w:t>
      </w:r>
    </w:p>
    <w:p>
      <w:pPr>
        <w:tabs>
          <w:tab w:val="left" w:pos="8140"/>
        </w:tabs>
        <w:rPr>
          <w:rFonts w:hint="eastAsia" w:eastAsia="仿宋"/>
          <w:color w:val="auto"/>
          <w:sz w:val="28"/>
          <w:szCs w:val="36"/>
          <w:lang w:eastAsia="zh-CN"/>
        </w:rPr>
      </w:pPr>
      <w:r>
        <w:rPr>
          <w:rFonts w:hint="eastAsia"/>
          <w:color w:val="auto"/>
          <w:sz w:val="28"/>
          <w:szCs w:val="36"/>
        </w:rPr>
        <w:t>联系人：白</w:t>
      </w:r>
      <w:r>
        <w:rPr>
          <w:rFonts w:hint="eastAsia"/>
          <w:color w:val="auto"/>
          <w:sz w:val="28"/>
          <w:szCs w:val="36"/>
          <w:lang w:val="en-US" w:eastAsia="zh-CN"/>
        </w:rPr>
        <w:t>萨</w:t>
      </w:r>
    </w:p>
    <w:p>
      <w:pPr>
        <w:tabs>
          <w:tab w:val="left" w:pos="8140"/>
        </w:tabs>
        <w:rPr>
          <w:rFonts w:hint="default"/>
          <w:color w:val="auto"/>
          <w:sz w:val="28"/>
          <w:szCs w:val="36"/>
          <w:lang w:val="en-US" w:eastAsia="zh-CN"/>
        </w:rPr>
      </w:pPr>
      <w:r>
        <w:rPr>
          <w:rFonts w:hint="eastAsia"/>
          <w:color w:val="auto"/>
          <w:sz w:val="28"/>
          <w:szCs w:val="36"/>
        </w:rPr>
        <w:t>联系方式：</w:t>
      </w:r>
      <w:r>
        <w:rPr>
          <w:rFonts w:hint="eastAsia"/>
          <w:color w:val="auto"/>
          <w:sz w:val="28"/>
          <w:szCs w:val="36"/>
          <w:lang w:val="en-US" w:eastAsia="zh-CN"/>
        </w:rPr>
        <w:t>13782062519</w:t>
      </w:r>
    </w:p>
    <w:p>
      <w:pPr>
        <w:tabs>
          <w:tab w:val="left" w:pos="8140"/>
        </w:tabs>
        <w:rPr>
          <w:rFonts w:hint="eastAsia"/>
          <w:color w:val="auto"/>
          <w:sz w:val="28"/>
          <w:szCs w:val="36"/>
        </w:rPr>
      </w:pPr>
      <w:r>
        <w:rPr>
          <w:rFonts w:hint="eastAsia"/>
          <w:color w:val="auto"/>
          <w:sz w:val="28"/>
          <w:szCs w:val="36"/>
        </w:rPr>
        <w:t xml:space="preserve">3.项目联系方式 </w:t>
      </w:r>
    </w:p>
    <w:p>
      <w:pPr>
        <w:tabs>
          <w:tab w:val="left" w:pos="8140"/>
        </w:tabs>
        <w:rPr>
          <w:rFonts w:hint="eastAsia"/>
          <w:color w:val="auto"/>
          <w:sz w:val="28"/>
          <w:szCs w:val="36"/>
        </w:rPr>
      </w:pPr>
      <w:r>
        <w:rPr>
          <w:rFonts w:hint="eastAsia"/>
          <w:color w:val="auto"/>
          <w:sz w:val="28"/>
          <w:szCs w:val="36"/>
        </w:rPr>
        <w:t>项目联系人：白</w:t>
      </w:r>
      <w:r>
        <w:rPr>
          <w:rFonts w:hint="eastAsia"/>
          <w:color w:val="auto"/>
          <w:sz w:val="28"/>
          <w:szCs w:val="36"/>
          <w:lang w:val="en-US" w:eastAsia="zh-CN"/>
        </w:rPr>
        <w:t>萨</w:t>
      </w:r>
      <w:r>
        <w:rPr>
          <w:rFonts w:hint="eastAsia"/>
          <w:color w:val="auto"/>
          <w:sz w:val="28"/>
          <w:szCs w:val="36"/>
        </w:rPr>
        <w:t xml:space="preserve"> </w:t>
      </w:r>
    </w:p>
    <w:p>
      <w:pPr>
        <w:tabs>
          <w:tab w:val="left" w:pos="8140"/>
        </w:tabs>
        <w:rPr>
          <w:rFonts w:hint="eastAsia"/>
          <w:color w:val="auto"/>
          <w:sz w:val="28"/>
          <w:szCs w:val="36"/>
          <w:lang w:val="en-US" w:eastAsia="zh-CN"/>
        </w:rPr>
      </w:pPr>
      <w:r>
        <w:rPr>
          <w:rFonts w:hint="eastAsia"/>
          <w:color w:val="auto"/>
          <w:sz w:val="28"/>
          <w:szCs w:val="36"/>
        </w:rPr>
        <w:t>联系方式：</w:t>
      </w:r>
      <w:r>
        <w:rPr>
          <w:rFonts w:hint="eastAsia"/>
          <w:color w:val="auto"/>
          <w:sz w:val="28"/>
          <w:szCs w:val="36"/>
          <w:lang w:val="en-US" w:eastAsia="zh-CN"/>
        </w:rPr>
        <w:t>13782062519</w:t>
      </w:r>
    </w:p>
    <w:p>
      <w:pPr>
        <w:pStyle w:val="36"/>
        <w:rPr>
          <w:rFonts w:hint="eastAsia"/>
          <w:color w:val="auto"/>
          <w:sz w:val="28"/>
          <w:szCs w:val="36"/>
          <w:lang w:val="en-US" w:eastAsia="zh-CN"/>
        </w:rPr>
      </w:pPr>
    </w:p>
    <w:p>
      <w:pPr>
        <w:pStyle w:val="36"/>
        <w:rPr>
          <w:rFonts w:hint="eastAsia"/>
          <w:color w:val="auto"/>
          <w:sz w:val="28"/>
          <w:szCs w:val="36"/>
          <w:lang w:val="en-US" w:eastAsia="zh-CN"/>
        </w:rPr>
      </w:pPr>
    </w:p>
    <w:p>
      <w:pPr>
        <w:pStyle w:val="36"/>
        <w:rPr>
          <w:rFonts w:hint="default"/>
          <w:color w:val="auto"/>
          <w:sz w:val="28"/>
          <w:szCs w:val="36"/>
          <w:lang w:val="en-US" w:eastAsia="zh-CN"/>
        </w:rPr>
      </w:pPr>
    </w:p>
    <w:p>
      <w:pPr>
        <w:pStyle w:val="36"/>
        <w:rPr>
          <w:rFonts w:hint="default"/>
          <w:color w:val="auto"/>
          <w:sz w:val="28"/>
          <w:szCs w:val="36"/>
          <w:lang w:val="en-US" w:eastAsia="zh-CN"/>
        </w:rPr>
      </w:pPr>
    </w:p>
    <w:p>
      <w:pPr>
        <w:pStyle w:val="36"/>
        <w:rPr>
          <w:rFonts w:hint="default"/>
          <w:color w:val="auto"/>
          <w:sz w:val="28"/>
          <w:szCs w:val="36"/>
          <w:lang w:val="en-US" w:eastAsia="zh-CN"/>
        </w:rPr>
      </w:pPr>
    </w:p>
    <w:p>
      <w:pPr>
        <w:pStyle w:val="36"/>
        <w:rPr>
          <w:rFonts w:hint="default"/>
          <w:color w:val="auto"/>
          <w:sz w:val="28"/>
          <w:szCs w:val="36"/>
          <w:lang w:val="en-US" w:eastAsia="zh-CN"/>
        </w:rPr>
      </w:pPr>
    </w:p>
    <w:p>
      <w:pPr>
        <w:pStyle w:val="2"/>
        <w:outlineLvl w:val="0"/>
        <w:rPr>
          <w:rFonts w:hint="eastAsia"/>
          <w:color w:val="auto"/>
        </w:rPr>
      </w:pPr>
      <w:bookmarkStart w:id="7" w:name="_Toc32681"/>
      <w:bookmarkStart w:id="8" w:name="_Toc25278"/>
      <w:bookmarkStart w:id="9" w:name="_Toc23066"/>
      <w:r>
        <w:rPr>
          <w:rFonts w:hint="eastAsia"/>
          <w:color w:val="auto"/>
        </w:rPr>
        <w:t>第二部分</w:t>
      </w:r>
      <w:r>
        <w:rPr>
          <w:rFonts w:hint="eastAsia"/>
          <w:color w:val="auto"/>
        </w:rPr>
        <w:tab/>
      </w:r>
      <w:r>
        <w:rPr>
          <w:rFonts w:hint="eastAsia"/>
          <w:color w:val="auto"/>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21"/>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唐河县天龙华府消防工程项目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p>
        </w:tc>
        <w:tc>
          <w:tcPr>
            <w:tcW w:w="6599" w:type="dxa"/>
            <w:vAlign w:val="center"/>
          </w:tcPr>
          <w:p>
            <w:pPr>
              <w:spacing w:line="360" w:lineRule="auto"/>
              <w:rPr>
                <w:rFonts w:hint="eastAsia" w:ascii="仿宋" w:hAnsi="仿宋" w:cs="仿宋"/>
                <w:color w:val="auto"/>
                <w:sz w:val="28"/>
                <w:szCs w:val="28"/>
                <w:lang w:eastAsia="zh-CN"/>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 xml:space="preserve">：唐河县住房和城乡建设局 </w:t>
            </w:r>
          </w:p>
          <w:p>
            <w:pPr>
              <w:spacing w:line="360" w:lineRule="auto"/>
              <w:rPr>
                <w:rFonts w:hint="eastAsia" w:ascii="仿宋" w:hAnsi="仿宋" w:cs="仿宋"/>
                <w:color w:val="auto"/>
                <w:sz w:val="28"/>
                <w:szCs w:val="28"/>
                <w:lang w:eastAsia="zh-CN"/>
              </w:rPr>
            </w:pPr>
            <w:r>
              <w:rPr>
                <w:rFonts w:hint="eastAsia" w:ascii="仿宋" w:hAnsi="仿宋" w:eastAsia="仿宋" w:cs="仿宋"/>
                <w:color w:val="auto"/>
                <w:sz w:val="28"/>
                <w:szCs w:val="28"/>
              </w:rPr>
              <w:t>地址：唐河县新春路北段</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联系人：周亚磊</w:t>
            </w:r>
          </w:p>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w:t>
            </w:r>
            <w:bookmarkStart w:id="83" w:name="_GoBack"/>
            <w:bookmarkEnd w:id="83"/>
            <w:r>
              <w:rPr>
                <w:rFonts w:hint="eastAsia" w:ascii="仿宋" w:hAnsi="仿宋" w:eastAsia="仿宋" w:cs="仿宋"/>
                <w:color w:val="auto"/>
                <w:sz w:val="28"/>
                <w:szCs w:val="28"/>
              </w:rPr>
              <w:t>68851588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default"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13782062519</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白萨</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13782062519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合同履行期限 </w:t>
            </w:r>
          </w:p>
        </w:tc>
        <w:tc>
          <w:tcPr>
            <w:tcW w:w="6599" w:type="dxa"/>
            <w:vAlign w:val="center"/>
          </w:tcPr>
          <w:p>
            <w:pPr>
              <w:spacing w:line="360" w:lineRule="auto"/>
              <w:jc w:val="both"/>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30</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《中国招标投标公共服务平台》、《</w:t>
            </w:r>
            <w:r>
              <w:rPr>
                <w:rFonts w:hint="eastAsia"/>
                <w:color w:val="auto"/>
                <w:sz w:val="28"/>
                <w:szCs w:val="36"/>
              </w:rPr>
              <w:t>南阳市政府采购网</w:t>
            </w:r>
            <w:r>
              <w:rPr>
                <w:rFonts w:hint="eastAsia" w:ascii="仿宋" w:hAnsi="仿宋" w:cs="仿宋"/>
                <w:color w:val="auto"/>
                <w:sz w:val="28"/>
                <w:szCs w:val="28"/>
                <w:lang w:eastAsia="zh-CN"/>
              </w:rPr>
              <w:t>》、《河南省政府采购网》和《唐河县公共资源交易中心》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仿宋" w:hAnsi="仿宋" w:cs="仿宋"/>
                <w:color w:val="auto"/>
                <w:sz w:val="28"/>
                <w:szCs w:val="28"/>
                <w:lang w:val="en-US" w:eastAsia="zh-CN"/>
              </w:rPr>
              <w:t>2666759.00元</w:t>
            </w:r>
          </w:p>
          <w:p>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贰佰陆拾陆万陆仟柒佰伍拾玖元整</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w:t>
            </w:r>
            <w:r>
              <w:rPr>
                <w:rFonts w:hint="eastAsia" w:ascii="仿宋" w:hAnsi="仿宋" w:cs="仿宋"/>
                <w:color w:val="auto"/>
                <w:sz w:val="28"/>
                <w:szCs w:val="28"/>
                <w:lang w:val="en-US" w:eastAsia="zh-CN"/>
              </w:rPr>
              <w:t>2020</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1"/>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jc w:val="both"/>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是否采用电子招投标</w:t>
            </w:r>
          </w:p>
        </w:tc>
        <w:tc>
          <w:tcPr>
            <w:tcW w:w="6599" w:type="dxa"/>
            <w:vAlign w:val="center"/>
          </w:tcPr>
          <w:p>
            <w:pPr>
              <w:numPr>
                <w:ilvl w:val="0"/>
                <w:numId w:val="0"/>
              </w:numPr>
              <w:spacing w:line="360" w:lineRule="auto"/>
              <w:ind w:right="0" w:rightChars="0"/>
              <w:jc w:val="both"/>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是，本项目实行电子招投标，供应商需编制电子响应文件，并按电子响应文件递交要求上传电子响应文件。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5</w:t>
            </w:r>
            <w:r>
              <w:rPr>
                <w:rFonts w:hint="eastAsia" w:ascii="仿宋" w:hAnsi="仿宋" w:eastAsia="仿宋" w:cs="仿宋"/>
                <w:color w:val="auto"/>
                <w:sz w:val="28"/>
                <w:szCs w:val="28"/>
              </w:rPr>
              <w:t xml:space="preserve">人组成；采购人 1 人，专家 </w:t>
            </w:r>
            <w:r>
              <w:rPr>
                <w:rFonts w:hint="eastAsia" w:ascii="仿宋" w:hAnsi="仿宋" w:cs="仿宋"/>
                <w:color w:val="auto"/>
                <w:sz w:val="28"/>
                <w:szCs w:val="28"/>
                <w:lang w:val="en-US" w:eastAsia="zh-CN"/>
              </w:rPr>
              <w:t>4</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cs="仿宋"/>
                <w:color w:val="auto"/>
                <w:sz w:val="28"/>
                <w:szCs w:val="28"/>
                <w:lang w:val="en-US" w:eastAsia="zh-CN"/>
              </w:rPr>
              <w:t>预付</w:t>
            </w:r>
            <w:r>
              <w:rPr>
                <w:rFonts w:hint="eastAsia" w:ascii="仿宋" w:hAnsi="仿宋" w:eastAsia="仿宋" w:cs="仿宋"/>
                <w:color w:val="auto"/>
                <w:sz w:val="28"/>
                <w:szCs w:val="28"/>
              </w:rPr>
              <w:t xml:space="preserve">合同总价的 30 %，完成工程量清单 80 %工作量支付至合同总价的 70 %，竣工验收合格后支付至结算总价的 </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numPr>
                <w:ilvl w:val="0"/>
                <w:numId w:val="2"/>
              </w:num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供应商代表持本单位CA数字证书需提前登录不见面开标系统。</w:t>
            </w:r>
          </w:p>
          <w:p>
            <w:pPr>
              <w:numPr>
                <w:ilvl w:val="0"/>
                <w:numId w:val="0"/>
              </w:numPr>
              <w:spacing w:line="360" w:lineRule="auto"/>
              <w:ind w:right="0" w:rightChars="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3"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w:t>
            </w:r>
            <w:r>
              <w:rPr>
                <w:rFonts w:hint="eastAsia"/>
                <w:color w:val="auto"/>
                <w:sz w:val="28"/>
                <w:szCs w:val="36"/>
                <w:lang w:val="en-US" w:eastAsia="zh-CN"/>
              </w:rPr>
              <w:t>需提前登录不见面开标系统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3"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14930"/>
            <w:bookmarkStart w:id="12" w:name="_Toc4198"/>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ascii="宋体" w:hAnsi="宋体" w:eastAsia="宋体" w:cs="宋体"/>
          <w:color w:val="auto"/>
          <w:sz w:val="24"/>
          <w:szCs w:val="24"/>
        </w:rPr>
      </w:pPr>
      <w:r>
        <w:rPr>
          <w:rFonts w:hint="eastAsia"/>
          <w:color w:val="auto"/>
        </w:rPr>
        <w:br w:type="page"/>
      </w:r>
    </w:p>
    <w:p>
      <w:pPr>
        <w:pStyle w:val="3"/>
        <w:bidi w:val="0"/>
        <w:jc w:val="center"/>
        <w:rPr>
          <w:rFonts w:hint="eastAsia"/>
          <w:color w:val="000000" w:themeColor="text1"/>
          <w:sz w:val="32"/>
          <w:szCs w:val="32"/>
          <w:lang w:val="en-US" w:eastAsia="zh-CN"/>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唐河县天龙华府消防工程项目</w:t>
      </w:r>
    </w:p>
    <w:p>
      <w:pPr>
        <w:pStyle w:val="3"/>
        <w:bidi w:val="0"/>
        <w:jc w:val="center"/>
        <w:rPr>
          <w:rFonts w:hint="eastAsia"/>
          <w:color w:val="000000" w:themeColor="text1"/>
          <w:sz w:val="32"/>
          <w:szCs w:val="32"/>
          <w:lang w:val="en-US" w:eastAsia="zh-CN"/>
          <w14:textFill>
            <w14:solidFill>
              <w14:schemeClr w14:val="tx1"/>
            </w14:solidFill>
          </w14:textFill>
        </w:rPr>
      </w:pPr>
      <w:r>
        <w:rPr>
          <w:rFonts w:hint="eastAsia"/>
          <w:color w:val="000000" w:themeColor="text1"/>
          <w:sz w:val="32"/>
          <w:szCs w:val="32"/>
          <w:lang w:val="en-US" w:eastAsia="zh-CN"/>
          <w14:textFill>
            <w14:solidFill>
              <w14:schemeClr w14:val="tx1"/>
            </w14:solidFill>
          </w14:textFill>
        </w:rPr>
        <w:t>情况说明及采购人要求</w:t>
      </w:r>
    </w:p>
    <w:p>
      <w:pPr>
        <w:rPr>
          <w:rFonts w:hint="eastAsia"/>
          <w:color w:val="000000" w:themeColor="text1"/>
          <w:lang w:val="en-US" w:eastAsia="zh-CN"/>
          <w14:textFill>
            <w14:solidFill>
              <w14:schemeClr w14:val="tx1"/>
            </w14:solidFill>
          </w14:textFill>
        </w:rPr>
      </w:pP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我单位就</w:t>
      </w:r>
      <w:r>
        <w:rPr>
          <w:rFonts w:hint="eastAsia" w:ascii="仿宋" w:hAnsi="仿宋" w:cs="仿宋"/>
          <w:color w:val="auto"/>
          <w:sz w:val="28"/>
          <w:szCs w:val="28"/>
          <w:lang w:val="en-US" w:eastAsia="zh-CN"/>
        </w:rPr>
        <w:t>唐河县天龙华府消防工程项目</w:t>
      </w:r>
      <w:r>
        <w:rPr>
          <w:rFonts w:hint="eastAsia" w:ascii="仿宋" w:hAnsi="仿宋" w:eastAsia="仿宋" w:cs="仿宋"/>
          <w:color w:val="auto"/>
          <w:sz w:val="28"/>
          <w:szCs w:val="28"/>
          <w:lang w:val="en-US" w:eastAsia="zh-CN"/>
        </w:rPr>
        <w:t>进行竞争性磋商采购，该项目共分为一个标段，总预算金额：</w:t>
      </w:r>
      <w:r>
        <w:rPr>
          <w:rFonts w:hint="eastAsia" w:ascii="仿宋" w:hAnsi="仿宋" w:cs="仿宋"/>
          <w:color w:val="auto"/>
          <w:sz w:val="28"/>
          <w:szCs w:val="28"/>
          <w:lang w:val="en-US" w:eastAsia="zh-CN"/>
        </w:rPr>
        <w:t>2666759.00</w:t>
      </w:r>
      <w:r>
        <w:rPr>
          <w:rFonts w:hint="eastAsia" w:ascii="仿宋" w:hAnsi="仿宋" w:eastAsia="仿宋" w:cs="仿宋"/>
          <w:color w:val="auto"/>
          <w:sz w:val="28"/>
          <w:szCs w:val="28"/>
          <w:lang w:val="en-US" w:eastAsia="zh-CN"/>
        </w:rPr>
        <w:t>元 。</w:t>
      </w:r>
    </w:p>
    <w:p>
      <w:pPr>
        <w:spacing w:line="360" w:lineRule="auto"/>
        <w:ind w:left="0" w:leftChars="0" w:right="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具体采购参数及需求如下：楼顶防水、防火门更换、消防系统改造、给排水改造、通风系统升级、配线配管电箱等工程。详见本项目采购文件、工程量清单及施工图纸范围内的所有工程施工（以清单为准）。</w:t>
      </w: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1、供应商具有独立法人资格，具有有效的营业执照、税务登记证、组织机构代码证（或三证合一）；</w:t>
      </w: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2、供应商须具有</w:t>
      </w:r>
      <w:r>
        <w:rPr>
          <w:rFonts w:hint="eastAsia" w:ascii="仿宋" w:hAnsi="仿宋" w:cs="仿宋"/>
          <w:color w:val="auto"/>
          <w:sz w:val="28"/>
          <w:szCs w:val="28"/>
          <w:lang w:val="en-US" w:eastAsia="zh-CN"/>
        </w:rPr>
        <w:t>消防设施工程专业承包贰级及以上</w:t>
      </w:r>
      <w:r>
        <w:rPr>
          <w:rFonts w:hint="eastAsia" w:ascii="仿宋" w:hAnsi="仿宋" w:eastAsia="仿宋" w:cs="仿宋"/>
          <w:color w:val="auto"/>
          <w:sz w:val="28"/>
          <w:szCs w:val="28"/>
          <w:lang w:val="en-US" w:eastAsia="zh-CN"/>
        </w:rPr>
        <w:t>资质等级，且具有有效的安全生产许可证，并在人员、设备、资金等方面具有相应的施工能力；</w:t>
      </w: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3、拟派项目经理须具备相关专业贰级及以上注册建造师资格证书及有效的安全生产考核合格证，且未担任其他在建工程的项目经理并作出承诺；技术负责人具有相关专业中级及以上工程技术职称；</w:t>
      </w: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4、参加本次政府采购活动前三年内，在经营活动中没有重大违法犯罪记录；</w:t>
      </w: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5、财务状况良好，没有处于被责令停业、破产状态，各投标人须提供具有近三年（2020年度、2021年度、2022年度）经审计的财务报告，信誉良好（成立不足三年的企业，从成立之日算起）。</w:t>
      </w:r>
    </w:p>
    <w:p>
      <w:pPr>
        <w:spacing w:line="360" w:lineRule="auto"/>
        <w:ind w:left="0" w:leftChars="0" w:right="0" w:firstLine="560" w:firstLineChars="20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spacing w:line="360" w:lineRule="auto"/>
        <w:ind w:left="0" w:leftChars="0" w:right="0"/>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w:t>
      </w:r>
      <w:r>
        <w:rPr>
          <w:rFonts w:hint="eastAsia" w:ascii="仿宋" w:hAnsi="仿宋" w:cs="仿宋"/>
          <w:color w:val="auto"/>
          <w:sz w:val="28"/>
          <w:szCs w:val="28"/>
          <w:lang w:val="en-US" w:eastAsia="zh-CN"/>
        </w:rPr>
        <w:t xml:space="preserve">  </w:t>
      </w:r>
      <w:r>
        <w:rPr>
          <w:rFonts w:hint="eastAsia" w:ascii="仿宋" w:hAnsi="仿宋" w:eastAsia="仿宋" w:cs="仿宋"/>
          <w:color w:val="auto"/>
          <w:sz w:val="28"/>
          <w:szCs w:val="28"/>
          <w:lang w:val="en-US" w:eastAsia="zh-CN"/>
        </w:rPr>
        <w:t>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spacing w:line="360" w:lineRule="auto"/>
        <w:ind w:left="0" w:leftChars="0" w:right="0"/>
        <w:jc w:val="both"/>
        <w:rPr>
          <w:rFonts w:hint="eastAsia" w:ascii="仿宋" w:hAnsi="仿宋" w:eastAsia="仿宋" w:cs="仿宋"/>
          <w:color w:val="auto"/>
          <w:sz w:val="28"/>
          <w:szCs w:val="28"/>
          <w:lang w:val="en-US" w:eastAsia="zh-CN"/>
        </w:rPr>
      </w:pPr>
    </w:p>
    <w:p>
      <w:pPr>
        <w:jc w:val="left"/>
        <w:rPr>
          <w:rFonts w:hint="eastAsia" w:ascii="仿宋" w:hAnsi="仿宋" w:cs="仿宋"/>
          <w:b w:val="0"/>
          <w:bCs w:val="0"/>
          <w:color w:val="auto"/>
          <w:sz w:val="28"/>
          <w:szCs w:val="28"/>
          <w:lang w:val="en-US" w:eastAsia="zh-CN"/>
        </w:rPr>
      </w:pPr>
      <w:r>
        <w:rPr>
          <w:rFonts w:hint="eastAsia" w:ascii="仿宋" w:hAnsi="仿宋" w:cs="仿宋"/>
          <w:b w:val="0"/>
          <w:bCs w:val="0"/>
          <w:color w:val="auto"/>
          <w:sz w:val="28"/>
          <w:szCs w:val="28"/>
          <w:lang w:val="en-US" w:eastAsia="zh-CN"/>
        </w:rPr>
        <w:t>工程量清单</w:t>
      </w:r>
      <w:bookmarkStart w:id="13" w:name="_Toc11661"/>
    </w:p>
    <w:p>
      <w:pPr>
        <w:pStyle w:val="36"/>
        <w:rPr>
          <w:rFonts w:hint="eastAsia"/>
          <w:lang w:val="en-US" w:eastAsia="zh-CN"/>
        </w:rPr>
      </w:pPr>
    </w:p>
    <w:p>
      <w:pPr>
        <w:pStyle w:val="36"/>
        <w:ind w:firstLine="560" w:firstLineChars="200"/>
        <w:rPr>
          <w:rFonts w:hint="default" w:ascii="仿宋" w:hAnsi="仿宋" w:cs="仿宋"/>
          <w:b w:val="0"/>
          <w:bCs w:val="0"/>
          <w:color w:val="auto"/>
          <w:sz w:val="28"/>
          <w:szCs w:val="28"/>
          <w:lang w:val="en-US" w:eastAsia="zh-CN"/>
        </w:rPr>
      </w:pPr>
      <w:r>
        <w:rPr>
          <w:rFonts w:hint="eastAsia" w:ascii="仿宋" w:hAnsi="仿宋" w:cs="仿宋"/>
          <w:b w:val="0"/>
          <w:bCs w:val="0"/>
          <w:color w:val="auto"/>
          <w:sz w:val="28"/>
          <w:szCs w:val="28"/>
          <w:lang w:val="en-US" w:eastAsia="zh-CN"/>
        </w:rPr>
        <w:t>详见系统附件自行下载</w:t>
      </w: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36"/>
        <w:rPr>
          <w:rFonts w:hint="eastAsia" w:ascii="仿宋" w:hAnsi="仿宋" w:cs="仿宋"/>
          <w:b w:val="0"/>
          <w:bCs w:val="0"/>
          <w:color w:val="auto"/>
          <w:sz w:val="28"/>
          <w:szCs w:val="28"/>
          <w:lang w:val="en-US" w:eastAsia="zh-CN"/>
        </w:rPr>
      </w:pPr>
    </w:p>
    <w:p>
      <w:pPr>
        <w:pStyle w:val="2"/>
        <w:outlineLvl w:val="0"/>
        <w:rPr>
          <w:rFonts w:hint="eastAsia"/>
          <w:color w:val="auto"/>
        </w:rPr>
      </w:pPr>
      <w:r>
        <w:rPr>
          <w:rFonts w:hint="eastAsia"/>
          <w:color w:val="auto"/>
        </w:rPr>
        <w:t>第三部分</w:t>
      </w:r>
      <w:r>
        <w:rPr>
          <w:rFonts w:hint="eastAsia"/>
          <w:color w:val="auto"/>
        </w:rPr>
        <w:tab/>
      </w:r>
      <w:r>
        <w:rPr>
          <w:rFonts w:hint="eastAsia"/>
          <w:color w:val="auto"/>
        </w:rPr>
        <w:t>供应商须知正文部分</w:t>
      </w:r>
      <w:bookmarkEnd w:id="11"/>
      <w:bookmarkEnd w:id="12"/>
      <w:bookmarkEnd w:id="13"/>
    </w:p>
    <w:p>
      <w:pPr>
        <w:pStyle w:val="3"/>
        <w:rPr>
          <w:rFonts w:hint="eastAsia"/>
          <w:color w:val="auto"/>
        </w:rPr>
      </w:pPr>
      <w:bookmarkStart w:id="14" w:name="一、总则"/>
      <w:bookmarkEnd w:id="14"/>
      <w:bookmarkStart w:id="15" w:name="_Toc13555"/>
      <w:bookmarkStart w:id="16" w:name="_Toc21660"/>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3"/>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 15 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3"/>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本项目不收取磋商保证金。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3"/>
        <w:rPr>
          <w:rFonts w:hint="eastAsia"/>
          <w:color w:val="auto"/>
        </w:rPr>
      </w:pPr>
      <w:bookmarkStart w:id="19" w:name="四、投标"/>
      <w:bookmarkEnd w:id="19"/>
      <w:bookmarkStart w:id="20" w:name="_Toc1371"/>
      <w:bookmarkStart w:id="21" w:name="_Toc22577"/>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3"/>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w:t>
      </w:r>
      <w:r>
        <w:rPr>
          <w:rFonts w:hint="eastAsia" w:ascii="仿宋" w:hAnsi="仿宋" w:cs="仿宋"/>
          <w:color w:val="auto"/>
          <w:sz w:val="28"/>
          <w:szCs w:val="28"/>
          <w:lang w:val="en-US" w:eastAsia="zh-CN"/>
        </w:rPr>
        <w:t>需</w:t>
      </w:r>
      <w:r>
        <w:rPr>
          <w:rFonts w:hint="eastAsia" w:ascii="仿宋" w:hAnsi="仿宋" w:eastAsia="仿宋" w:cs="仿宋"/>
          <w:color w:val="auto"/>
          <w:sz w:val="28"/>
          <w:szCs w:val="28"/>
          <w:lang w:val="en-US" w:eastAsia="zh-CN"/>
        </w:rPr>
        <w:t>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5.3_开标异议"/>
      <w:bookmarkEnd w:id="26"/>
      <w:bookmarkStart w:id="27" w:name="_bookmark35"/>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cs="仿宋"/>
          <w:b w:val="0"/>
          <w:bCs w:val="0"/>
          <w:color w:val="auto"/>
          <w:sz w:val="28"/>
          <w:szCs w:val="28"/>
          <w:lang w:val="en-US" w:eastAsia="zh-CN"/>
        </w:rPr>
        <w:t>④</w:t>
      </w:r>
      <w:r>
        <w:rPr>
          <w:rFonts w:hint="eastAsia" w:ascii="仿宋" w:hAnsi="仿宋" w:cs="仿宋"/>
          <w:color w:val="auto"/>
          <w:sz w:val="28"/>
          <w:szCs w:val="28"/>
          <w:lang w:val="en-US" w:eastAsia="zh-CN"/>
        </w:rPr>
        <w:t>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微软雅黑" w:hAnsi="微软雅黑" w:eastAsia="微软雅黑" w:cs="微软雅黑"/>
          <w:color w:val="auto"/>
          <w:sz w:val="28"/>
          <w:szCs w:val="28"/>
          <w:lang w:val="en-US" w:eastAsia="zh-CN"/>
        </w:rPr>
        <w:t>⑤</w:t>
      </w:r>
      <w:r>
        <w:rPr>
          <w:rFonts w:hint="eastAsia" w:ascii="仿宋" w:hAnsi="仿宋" w:cs="仿宋"/>
          <w:color w:val="auto"/>
          <w:sz w:val="28"/>
          <w:szCs w:val="28"/>
          <w:lang w:val="en-US" w:eastAsia="zh-CN"/>
        </w:rPr>
        <w:t>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（2）不见面开标过程中，如供应商准备不到位，造成无法及时解密、网络问题等情况造成开标无法继续的，视为该供应商自动放弃投标（30分钟内），将被退回响应文件。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4"/>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w:t>
      </w:r>
      <w:r>
        <w:rPr>
          <w:rFonts w:hint="eastAsia" w:ascii="仿宋" w:hAnsi="仿宋" w:cs="仿宋"/>
          <w:color w:val="auto"/>
          <w:sz w:val="28"/>
          <w:szCs w:val="28"/>
          <w:lang w:val="en-US" w:eastAsia="zh-CN"/>
        </w:rPr>
        <w:t>政府采购</w:t>
      </w:r>
      <w:r>
        <w:rPr>
          <w:rFonts w:hint="eastAsia" w:ascii="仿宋" w:hAnsi="仿宋" w:eastAsia="仿宋" w:cs="仿宋"/>
          <w:color w:val="auto"/>
          <w:sz w:val="28"/>
          <w:szCs w:val="28"/>
        </w:rPr>
        <w:t>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6"/>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eastAsia="仿宋" w:cs="仿宋"/>
          <w:color w:val="auto"/>
          <w:sz w:val="28"/>
          <w:szCs w:val="28"/>
        </w:rPr>
      </w:pPr>
      <w:bookmarkStart w:id="29" w:name="5.4磋商程序"/>
      <w:bookmarkEnd w:id="29"/>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9"/>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9"/>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9"/>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9"/>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9"/>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9"/>
        <w:rPr>
          <w:rFonts w:hint="eastAsia"/>
          <w:color w:val="auto"/>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2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1055"/>
        <w:gridCol w:w="2281"/>
        <w:gridCol w:w="5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gridSpan w:val="2"/>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100"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3"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8" w:type="pct"/>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3"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3"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3"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3"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7" w:type="pct"/>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8" w:type="pct"/>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3" w:type="pct"/>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3"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szCs w:val="21"/>
                <w:highlight w:val="none"/>
              </w:rPr>
              <w:t>符合第二章“</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3" w:type="pct"/>
            <w:vAlign w:val="center"/>
          </w:tcPr>
          <w:p>
            <w:pPr>
              <w:autoSpaceDE w:val="0"/>
              <w:autoSpaceDN w:val="0"/>
              <w:adjustRightInd w:val="0"/>
              <w:spacing w:line="320" w:lineRule="exact"/>
              <w:rPr>
                <w:color w:val="auto"/>
                <w:szCs w:val="21"/>
                <w:highlight w:val="none"/>
              </w:rPr>
            </w:pPr>
            <w:r>
              <w:rPr>
                <w:rFonts w:hint="eastAsia" w:ascii="宋体" w:hAnsi="宋体" w:cs="宋体"/>
                <w:color w:val="auto"/>
                <w:kern w:val="0"/>
                <w:szCs w:val="21"/>
                <w:highlight w:val="none"/>
              </w:rPr>
              <w:t>符合第二章“</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3" w:type="pct"/>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8" w:type="pct"/>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100"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3" w:type="pct"/>
            <w:vAlign w:val="center"/>
          </w:tcPr>
          <w:p>
            <w:pPr>
              <w:autoSpaceDE w:val="0"/>
              <w:autoSpaceDN w:val="0"/>
              <w:adjustRightInd w:val="0"/>
              <w:spacing w:line="320" w:lineRule="exact"/>
              <w:rPr>
                <w:rFonts w:hint="eastAsia"/>
                <w:color w:val="auto"/>
                <w:highlight w:val="none"/>
              </w:rPr>
            </w:pPr>
            <w:r>
              <w:rPr>
                <w:rFonts w:hint="eastAsia"/>
                <w:color w:val="auto"/>
                <w:highlight w:val="none"/>
              </w:rPr>
              <w:t>符合第二章“</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8" w:type="pct"/>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100"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3"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3"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3"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3" w:type="pct"/>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8" w:type="pct"/>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100"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3" w:type="pct"/>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tbl>
    <w:p>
      <w:pPr>
        <w:pStyle w:val="9"/>
        <w:rPr>
          <w:color w:val="auto"/>
        </w:rPr>
      </w:pPr>
    </w:p>
    <w:bookmarkEnd w:id="35"/>
    <w:tbl>
      <w:tblPr>
        <w:tblStyle w:val="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1230"/>
        <w:gridCol w:w="2591"/>
        <w:gridCol w:w="57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7" w:type="pct"/>
            <w:gridSpan w:val="2"/>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250"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762"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7" w:type="pct"/>
            <w:gridSpan w:val="2"/>
            <w:noWrap w:val="0"/>
            <w:vAlign w:val="center"/>
          </w:tcPr>
          <w:p>
            <w:pPr>
              <w:pStyle w:val="39"/>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250" w:type="pct"/>
            <w:noWrap w:val="0"/>
            <w:vAlign w:val="center"/>
          </w:tcPr>
          <w:p>
            <w:pPr>
              <w:pStyle w:val="39"/>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39"/>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762"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7" w:type="pct"/>
            <w:gridSpan w:val="2"/>
            <w:noWrap w:val="0"/>
            <w:vAlign w:val="center"/>
          </w:tcPr>
          <w:p>
            <w:pPr>
              <w:pStyle w:val="39"/>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250" w:type="pct"/>
            <w:noWrap w:val="0"/>
            <w:vAlign w:val="center"/>
          </w:tcPr>
          <w:p>
            <w:pPr>
              <w:pStyle w:val="39"/>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6" w:hRule="atLeast"/>
          <w:jc w:val="center"/>
        </w:trPr>
        <w:tc>
          <w:tcPr>
            <w:tcW w:w="987" w:type="pct"/>
            <w:gridSpan w:val="2"/>
            <w:noWrap w:val="0"/>
            <w:vAlign w:val="center"/>
          </w:tcPr>
          <w:p>
            <w:pPr>
              <w:pStyle w:val="39"/>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250" w:type="pct"/>
            <w:noWrap w:val="0"/>
            <w:vAlign w:val="center"/>
          </w:tcPr>
          <w:p>
            <w:pPr>
              <w:pStyle w:val="39"/>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39"/>
              <w:spacing w:line="240" w:lineRule="atLeast"/>
              <w:jc w:val="both"/>
              <w:rPr>
                <w:rFonts w:hint="eastAsia" w:ascii="宋体" w:hAnsi="宋体" w:eastAsia="仿宋" w:cs="宋体"/>
                <w:color w:val="auto"/>
                <w:kern w:val="0"/>
                <w:sz w:val="24"/>
                <w:szCs w:val="21"/>
                <w:highlight w:val="none"/>
                <w:lang w:val="zh-CN"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4、监狱企业及残疾人福利性单位视同小微企业。采购标的所属行业为: 工程类。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87" w:type="pct"/>
            <w:gridSpan w:val="2"/>
            <w:noWrap w:val="0"/>
            <w:vAlign w:val="center"/>
          </w:tcPr>
          <w:p>
            <w:pPr>
              <w:pStyle w:val="39"/>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250" w:type="pct"/>
            <w:noWrap w:val="0"/>
            <w:vAlign w:val="center"/>
          </w:tcPr>
          <w:p>
            <w:pPr>
              <w:pStyle w:val="39"/>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762" w:type="pct"/>
            <w:noWrap w:val="0"/>
            <w:vAlign w:val="center"/>
          </w:tcPr>
          <w:p>
            <w:pPr>
              <w:pStyle w:val="39"/>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restart"/>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593" w:type="pct"/>
            <w:vMerge w:val="restart"/>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39"/>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内容合理、针对性强，得 5-8 分；</w:t>
            </w:r>
          </w:p>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内容较合理、但针对性不强，较完整得 3-5 分；</w:t>
            </w:r>
          </w:p>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内容欠合理、针对性不强，不完整得 0-3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三档：安全体系与措施欠合理、针对性不强，不完整得</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三档：质量体系与措施欠合理、针对性不强，不完整得</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w:t>
            </w:r>
            <w:r>
              <w:rPr>
                <w:rFonts w:hint="eastAsia" w:ascii="宋体" w:hAnsi="宋体" w:eastAsia="仿宋" w:cs="宋体"/>
                <w:color w:val="auto"/>
                <w:kern w:val="0"/>
                <w:sz w:val="24"/>
                <w:szCs w:val="21"/>
                <w:highlight w:val="none"/>
                <w:lang w:val="en-US" w:eastAsia="zh-CN" w:bidi="zh-CN"/>
              </w:rPr>
              <w:t>得 5-8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三档：进度计划与措施欠合理、针对性不强，不完整</w:t>
            </w:r>
            <w:r>
              <w:rPr>
                <w:rFonts w:hint="eastAsia" w:ascii="宋体" w:hAnsi="宋体" w:eastAsia="仿宋" w:cs="宋体"/>
                <w:color w:val="auto"/>
                <w:kern w:val="0"/>
                <w:sz w:val="24"/>
                <w:szCs w:val="21"/>
                <w:highlight w:val="none"/>
                <w:lang w:val="en-US" w:eastAsia="zh-CN" w:bidi="zh-CN"/>
              </w:rPr>
              <w:t xml:space="preserve">得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拟投入资源配备计划（含项目组成员）</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一档：资源计划和成员配备合理、符合项目实际，完整</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二档：资源计划和成员配备较合理，较符合项目实际，较完整</w:t>
            </w:r>
            <w:r>
              <w:rPr>
                <w:rFonts w:hint="eastAsia" w:ascii="宋体" w:hAnsi="宋体" w:eastAsia="仿宋" w:cs="宋体"/>
                <w:color w:val="auto"/>
                <w:kern w:val="0"/>
                <w:sz w:val="24"/>
                <w:szCs w:val="21"/>
                <w:highlight w:val="none"/>
                <w:lang w:val="en-US" w:eastAsia="zh-CN" w:bidi="zh-CN"/>
              </w:rPr>
              <w:t xml:space="preserve"> 3-5 分</w:t>
            </w:r>
            <w:r>
              <w:rPr>
                <w:rFonts w:hint="eastAsia" w:hAnsi="宋体" w:eastAsia="仿宋" w:cs="宋体"/>
                <w:color w:val="auto"/>
                <w:kern w:val="0"/>
                <w:sz w:val="24"/>
                <w:szCs w:val="21"/>
                <w:highlight w:val="none"/>
                <w:lang w:val="en-US" w:eastAsia="zh-CN" w:bidi="zh-CN"/>
              </w:rPr>
              <w:t>；</w:t>
            </w:r>
          </w:p>
          <w:p>
            <w:pPr>
              <w:pStyle w:val="39"/>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三档：资源计划和成员配备欠合理，基本符合项目实际，不完整</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393" w:type="pct"/>
            <w:vMerge w:val="continue"/>
            <w:noWrap w:val="0"/>
            <w:vAlign w:val="center"/>
          </w:tcPr>
          <w:p>
            <w:pPr>
              <w:pStyle w:val="39"/>
              <w:spacing w:line="240" w:lineRule="atLeast"/>
              <w:jc w:val="center"/>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pStyle w:val="39"/>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 4-5 分；</w:t>
            </w:r>
          </w:p>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 2-4分；</w:t>
            </w:r>
          </w:p>
          <w:p>
            <w:pPr>
              <w:pStyle w:val="39"/>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 0-1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2" w:hRule="atLeast"/>
          <w:jc w:val="center"/>
        </w:trPr>
        <w:tc>
          <w:tcPr>
            <w:tcW w:w="393"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593"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250"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投标人的业绩、类似工程经历0-2分</w:t>
            </w:r>
          </w:p>
        </w:tc>
        <w:tc>
          <w:tcPr>
            <w:tcW w:w="2762" w:type="pct"/>
            <w:noWrap w:val="0"/>
            <w:vAlign w:val="center"/>
          </w:tcPr>
          <w:p>
            <w:pPr>
              <w:pStyle w:val="39"/>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2020年1月1日（合同签订时间）以来，承担过类似工程施工，每有1项得0.5分，最多得2分。否则不计分。投标文件中提供中标通知书、合同复印件，否则不得分；注：需提供合同（响应文件中附扫描件）。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jc w:val="center"/>
        </w:trPr>
        <w:tc>
          <w:tcPr>
            <w:tcW w:w="393"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0" w:hRule="atLeast"/>
          <w:jc w:val="center"/>
        </w:trPr>
        <w:tc>
          <w:tcPr>
            <w:tcW w:w="393"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93"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50"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响应文件总体评价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（0-8分）</w:t>
            </w:r>
          </w:p>
        </w:tc>
        <w:tc>
          <w:tcPr>
            <w:tcW w:w="2762"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1.投标文件完整，商务响应及技术应答具体、详实得5-8分；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2.投标文件较完整，商务响应及技术应答较具体、详实得2-4分；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3.投标文件不完整，商务响应及技术应答不具体、详实得0-1分；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5000" w:type="pct"/>
            <w:gridSpan w:val="4"/>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39"/>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7"/>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8"/>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7"/>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7"/>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7"/>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7"/>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7"/>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7"/>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7"/>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8"/>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8"/>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8"/>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8"/>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7"/>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7"/>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27915"/>
      <w:bookmarkStart w:id="38" w:name="_Toc17172"/>
      <w:r>
        <w:rPr>
          <w:rFonts w:hint="eastAsia"/>
          <w:color w:val="auto"/>
        </w:rPr>
        <w:br w:type="page"/>
      </w:r>
    </w:p>
    <w:p>
      <w:pPr>
        <w:pStyle w:val="2"/>
        <w:outlineLvl w:val="0"/>
        <w:rPr>
          <w:rFonts w:hint="eastAsia"/>
          <w:color w:val="auto"/>
        </w:rPr>
      </w:pPr>
      <w:bookmarkStart w:id="39" w:name="_Toc14137"/>
      <w:r>
        <w:rPr>
          <w:rFonts w:hint="eastAsia"/>
          <w:color w:val="auto"/>
        </w:rPr>
        <w:t>第四部分</w:t>
      </w:r>
      <w:r>
        <w:rPr>
          <w:rFonts w:hint="eastAsia"/>
          <w:color w:val="auto"/>
        </w:rPr>
        <w:tab/>
      </w:r>
      <w:r>
        <w:rPr>
          <w:rFonts w:hint="eastAsia"/>
          <w:color w:val="auto"/>
        </w:rPr>
        <w:t>合同格式</w:t>
      </w:r>
      <w:bookmarkEnd w:id="37"/>
      <w:bookmarkEnd w:id="38"/>
      <w:bookmarkEnd w:id="39"/>
      <w:r>
        <w:rPr>
          <w:rFonts w:hint="eastAsia"/>
          <w:color w:val="auto"/>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bookmark164"/>
      <w:bookmarkStart w:id="43" w:name="bookmark162"/>
      <w:bookmarkStart w:id="44" w:name="bookmark163"/>
      <w:bookmarkStart w:id="45" w:name="_Toc13065"/>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8"/>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100 %。</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2"/>
        <w:outlineLvl w:val="0"/>
        <w:rPr>
          <w:rFonts w:hint="eastAsia" w:ascii="仿宋" w:hAnsi="仿宋" w:eastAsia="仿宋" w:cs="仿宋"/>
          <w:color w:val="auto"/>
          <w:szCs w:val="28"/>
        </w:rPr>
      </w:pPr>
      <w:bookmarkStart w:id="46" w:name="第五部分  电子标响应文件格式"/>
      <w:bookmarkEnd w:id="46"/>
      <w:bookmarkStart w:id="47" w:name="_Toc21407"/>
      <w:bookmarkStart w:id="48" w:name="_Toc11"/>
      <w:bookmarkStart w:id="49" w:name="_Toc29534"/>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8"/>
        <w:ind w:left="0"/>
        <w:rPr>
          <w:b/>
          <w:color w:val="auto"/>
          <w:sz w:val="48"/>
        </w:rPr>
      </w:pPr>
    </w:p>
    <w:p>
      <w:pPr>
        <w:pStyle w:val="8"/>
        <w:ind w:left="0"/>
        <w:rPr>
          <w:b/>
          <w:color w:val="auto"/>
          <w:sz w:val="48"/>
        </w:rPr>
      </w:pPr>
    </w:p>
    <w:p>
      <w:pPr>
        <w:pStyle w:val="8"/>
        <w:ind w:left="0"/>
        <w:rPr>
          <w:b/>
          <w:color w:val="auto"/>
          <w:sz w:val="48"/>
        </w:rPr>
      </w:pPr>
    </w:p>
    <w:p>
      <w:pPr>
        <w:pStyle w:val="8"/>
        <w:spacing w:before="11"/>
        <w:ind w:left="0"/>
        <w:rPr>
          <w:b/>
          <w:color w:val="auto"/>
          <w:sz w:val="54"/>
        </w:rPr>
      </w:pPr>
    </w:p>
    <w:p>
      <w:pPr>
        <w:spacing w:before="0"/>
        <w:ind w:left="531" w:right="542" w:firstLine="0"/>
        <w:jc w:val="center"/>
        <w:outlineLvl w:val="0"/>
        <w:rPr>
          <w:b/>
          <w:color w:val="auto"/>
          <w:sz w:val="72"/>
        </w:rPr>
      </w:pPr>
      <w:bookmarkStart w:id="51" w:name="_Toc1586"/>
      <w:bookmarkStart w:id="52" w:name="_Toc26469"/>
      <w:r>
        <w:rPr>
          <w:b/>
          <w:color w:val="auto"/>
          <w:sz w:val="72"/>
        </w:rPr>
        <w:t>竞争性磋商响应文件</w:t>
      </w:r>
      <w:bookmarkEnd w:id="51"/>
      <w:bookmarkEnd w:id="52"/>
    </w:p>
    <w:p>
      <w:pPr>
        <w:pStyle w:val="8"/>
        <w:ind w:left="0"/>
        <w:rPr>
          <w:b/>
          <w:color w:val="auto"/>
          <w:sz w:val="72"/>
        </w:rPr>
      </w:pPr>
    </w:p>
    <w:p>
      <w:pPr>
        <w:pStyle w:val="8"/>
        <w:ind w:left="0"/>
        <w:rPr>
          <w:b/>
          <w:color w:val="auto"/>
          <w:sz w:val="72"/>
        </w:rPr>
      </w:pPr>
    </w:p>
    <w:p>
      <w:pPr>
        <w:pStyle w:val="8"/>
        <w:ind w:left="0"/>
        <w:rPr>
          <w:b/>
          <w:color w:val="auto"/>
          <w:sz w:val="72"/>
        </w:rPr>
      </w:pPr>
    </w:p>
    <w:p>
      <w:pPr>
        <w:pStyle w:val="8"/>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1606" w:firstLineChars="5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7" w:type="default"/>
          <w:pgSz w:w="11910" w:h="16840"/>
          <w:pgMar w:top="1380" w:right="880" w:bottom="1100" w:left="880"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5"/>
        <w:spacing w:before="242"/>
        <w:ind w:left="1105"/>
        <w:outlineLvl w:val="1"/>
        <w:rPr>
          <w:color w:val="auto"/>
        </w:rPr>
      </w:pPr>
      <w:bookmarkStart w:id="54" w:name="_Toc29018"/>
      <w:r>
        <w:rPr>
          <w:color w:val="auto"/>
        </w:rPr>
        <w:t>（一）报价函</w:t>
      </w:r>
      <w:bookmarkEnd w:id="54"/>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rFonts w:hint="eastAsia"/>
          <w:b/>
          <w:color w:val="auto"/>
          <w:sz w:val="20"/>
          <w:lang w:val="en-US" w:eastAsia="zh-CN"/>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9"/>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rFonts w:hint="eastAsia"/>
          <w:color w:val="auto"/>
          <w:spacing w:val="0"/>
          <w:w w:val="100"/>
          <w:position w:val="0"/>
          <w:u w:val="single"/>
          <w:lang w:val="en-US" w:eastAsia="zh-CN"/>
        </w:rPr>
        <w:t xml:space="preserve">                       </w:t>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rFonts w:hint="eastAsia"/>
          <w:color w:val="auto"/>
          <w:spacing w:val="0"/>
          <w:w w:val="100"/>
          <w:position w:val="0"/>
          <w:sz w:val="22"/>
          <w:szCs w:val="22"/>
          <w:u w:val="single"/>
          <w:lang w:val="en-US" w:eastAsia="zh-CN"/>
        </w:rPr>
        <w:t xml:space="preserve">                  </w:t>
      </w:r>
      <w:r>
        <w:rPr>
          <w:color w:val="auto"/>
          <w:spacing w:val="0"/>
          <w:w w:val="100"/>
          <w:position w:val="0"/>
          <w:sz w:val="22"/>
          <w:szCs w:val="22"/>
        </w:rPr>
        <w:t>（¥</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color w:val="auto"/>
          <w:sz w:val="22"/>
          <w:szCs w:val="22"/>
          <w:u w:val="single"/>
        </w:rPr>
        <w:tab/>
      </w:r>
      <w:r>
        <w:rPr>
          <w:rFonts w:hint="eastAsia"/>
          <w:color w:val="auto"/>
          <w:sz w:val="22"/>
          <w:szCs w:val="22"/>
          <w:u w:val="single"/>
          <w:lang w:val="en-US" w:eastAsia="zh-CN"/>
        </w:rPr>
        <w:t xml:space="preserve">       </w:t>
      </w:r>
      <w:r>
        <w:rPr>
          <w:rFonts w:hint="eastAsia"/>
          <w:color w:val="auto"/>
          <w:sz w:val="22"/>
          <w:szCs w:val="22"/>
          <w:u w:val="none"/>
          <w:lang w:val="en-US" w:eastAsia="zh-CN"/>
        </w:rPr>
        <w:t>。</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9"/>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9"/>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5"/>
        <w:ind w:left="1105"/>
        <w:outlineLvl w:val="1"/>
        <w:rPr>
          <w:color w:val="auto"/>
        </w:rPr>
      </w:pPr>
      <w:bookmarkStart w:id="64" w:name="_Toc4075"/>
      <w:r>
        <w:rPr>
          <w:color w:val="auto"/>
        </w:rPr>
        <w:t>（二）磋商报价表</w:t>
      </w:r>
      <w:bookmarkEnd w:id="64"/>
    </w:p>
    <w:p>
      <w:pPr>
        <w:pStyle w:val="8"/>
        <w:spacing w:before="4"/>
        <w:ind w:left="0"/>
        <w:rPr>
          <w:b/>
          <w:color w:val="auto"/>
          <w:sz w:val="10"/>
        </w:rPr>
      </w:pPr>
    </w:p>
    <w:tbl>
      <w:tblPr>
        <w:tblStyle w:val="21"/>
        <w:tblW w:w="0" w:type="auto"/>
        <w:jc w:val="center"/>
        <w:tblLayout w:type="fixed"/>
        <w:tblCellMar>
          <w:top w:w="0" w:type="dxa"/>
          <w:left w:w="10" w:type="dxa"/>
          <w:bottom w:w="0" w:type="dxa"/>
          <w:right w:w="10" w:type="dxa"/>
        </w:tblCellMar>
      </w:tblPr>
      <w:tblGrid>
        <w:gridCol w:w="1447"/>
        <w:gridCol w:w="2290"/>
        <w:gridCol w:w="6026"/>
      </w:tblGrid>
      <w:tr>
        <w:tblPrEx>
          <w:tblCellMar>
            <w:top w:w="0" w:type="dxa"/>
            <w:left w:w="10" w:type="dxa"/>
            <w:bottom w:w="0" w:type="dxa"/>
            <w:right w:w="10" w:type="dxa"/>
          </w:tblCellMar>
        </w:tblPrEx>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19"/>
        <w:rPr>
          <w:color w:val="auto"/>
        </w:rPr>
      </w:pPr>
    </w:p>
    <w:p>
      <w:pPr>
        <w:pStyle w:val="19"/>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8"/>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8"/>
        <w:ind w:left="0"/>
        <w:rPr>
          <w:b/>
          <w:color w:val="auto"/>
          <w:sz w:val="32"/>
        </w:rPr>
      </w:pPr>
    </w:p>
    <w:p>
      <w:pPr>
        <w:pStyle w:val="8"/>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8"/>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8"/>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8"/>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8"/>
        <w:ind w:left="0"/>
        <w:rPr>
          <w:rFonts w:hint="eastAsia" w:ascii="仿宋" w:hAnsi="仿宋" w:eastAsia="仿宋" w:cs="仿宋"/>
          <w:color w:val="auto"/>
          <w:sz w:val="28"/>
          <w:szCs w:val="28"/>
        </w:rPr>
      </w:pPr>
    </w:p>
    <w:p>
      <w:pPr>
        <w:pStyle w:val="8"/>
        <w:ind w:left="0"/>
        <w:rPr>
          <w:rFonts w:hint="eastAsia" w:ascii="仿宋" w:hAnsi="仿宋" w:eastAsia="仿宋" w:cs="仿宋"/>
          <w:color w:val="auto"/>
          <w:sz w:val="28"/>
          <w:szCs w:val="28"/>
        </w:rPr>
      </w:pPr>
    </w:p>
    <w:p>
      <w:pPr>
        <w:pStyle w:val="8"/>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8"/>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ind w:left="0"/>
        <w:rPr>
          <w:color w:val="auto"/>
          <w:sz w:val="20"/>
        </w:rPr>
      </w:pPr>
    </w:p>
    <w:p>
      <w:pPr>
        <w:pStyle w:val="8"/>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8"/>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8"/>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8"/>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8"/>
        <w:ind w:left="0"/>
        <w:rPr>
          <w:rFonts w:hint="eastAsia" w:ascii="仿宋" w:hAnsi="仿宋" w:eastAsia="仿宋" w:cs="仿宋"/>
          <w:color w:val="auto"/>
          <w:sz w:val="28"/>
          <w:szCs w:val="28"/>
        </w:rPr>
      </w:pPr>
    </w:p>
    <w:p>
      <w:pPr>
        <w:pStyle w:val="8"/>
        <w:spacing w:before="9"/>
        <w:ind w:left="0"/>
        <w:rPr>
          <w:rFonts w:hint="eastAsia" w:ascii="仿宋" w:hAnsi="仿宋" w:eastAsia="仿宋" w:cs="仿宋"/>
          <w:color w:val="auto"/>
          <w:sz w:val="28"/>
          <w:szCs w:val="28"/>
        </w:rPr>
      </w:pP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8"/>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8"/>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8"/>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5"/>
        <w:spacing w:before="242"/>
        <w:ind w:right="536"/>
        <w:outlineLvl w:val="1"/>
        <w:rPr>
          <w:color w:val="auto"/>
        </w:rPr>
      </w:pPr>
      <w:bookmarkStart w:id="69" w:name="_Toc17662"/>
      <w:r>
        <w:rPr>
          <w:color w:val="auto"/>
        </w:rPr>
        <w:t>（一）项目人员组成表</w:t>
      </w:r>
      <w:bookmarkEnd w:id="69"/>
    </w:p>
    <w:p>
      <w:pPr>
        <w:pStyle w:val="8"/>
        <w:spacing w:before="4"/>
        <w:ind w:left="0"/>
        <w:rPr>
          <w:b/>
          <w:color w:val="auto"/>
          <w:sz w:val="10"/>
        </w:rPr>
      </w:pPr>
    </w:p>
    <w:tbl>
      <w:tblPr>
        <w:tblStyle w:val="21"/>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5"/>
        <w:ind w:left="1103"/>
        <w:outlineLvl w:val="1"/>
        <w:rPr>
          <w:color w:val="auto"/>
        </w:rPr>
      </w:pPr>
      <w:bookmarkStart w:id="70" w:name="_Toc24225"/>
      <w:r>
        <w:rPr>
          <w:color w:val="auto"/>
        </w:rPr>
        <w:t>（二）项目负责人简历表</w:t>
      </w:r>
      <w:bookmarkEnd w:id="70"/>
    </w:p>
    <w:p>
      <w:pPr>
        <w:pStyle w:val="8"/>
        <w:spacing w:before="4"/>
        <w:ind w:left="0"/>
        <w:rPr>
          <w:b/>
          <w:color w:val="auto"/>
          <w:sz w:val="10"/>
        </w:rPr>
      </w:pPr>
    </w:p>
    <w:tbl>
      <w:tblPr>
        <w:tblStyle w:val="21"/>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8"/>
        <w:spacing w:before="6"/>
        <w:ind w:left="0"/>
        <w:rPr>
          <w:b/>
          <w:color w:val="auto"/>
          <w:sz w:val="8"/>
        </w:rPr>
      </w:pPr>
    </w:p>
    <w:tbl>
      <w:tblPr>
        <w:tblStyle w:val="21"/>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8"/>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spacing w:before="1"/>
        <w:ind w:left="0"/>
        <w:rPr>
          <w:color w:val="auto"/>
          <w:sz w:val="34"/>
        </w:rPr>
      </w:pPr>
    </w:p>
    <w:p>
      <w:pPr>
        <w:rPr>
          <w:b/>
          <w:color w:val="auto"/>
          <w:sz w:val="32"/>
        </w:rPr>
      </w:pPr>
      <w:bookmarkStart w:id="73" w:name="_Toc21953"/>
      <w:r>
        <w:rPr>
          <w:b/>
          <w:color w:val="auto"/>
          <w:sz w:val="32"/>
        </w:rPr>
        <w:br w:type="page"/>
      </w:r>
    </w:p>
    <w:p>
      <w:pPr>
        <w:spacing w:before="0"/>
        <w:ind w:left="538" w:right="541" w:firstLine="0"/>
        <w:jc w:val="center"/>
        <w:outlineLvl w:val="0"/>
        <w:rPr>
          <w:b/>
          <w:color w:val="auto"/>
          <w:sz w:val="32"/>
        </w:rPr>
      </w:pPr>
      <w:r>
        <w:rPr>
          <w:b/>
          <w:color w:val="auto"/>
          <w:sz w:val="32"/>
        </w:rPr>
        <w:t>八、</w:t>
      </w:r>
      <w:r>
        <w:rPr>
          <w:rFonts w:hint="eastAsia"/>
          <w:b/>
          <w:color w:val="auto"/>
          <w:sz w:val="32"/>
          <w:lang w:val="en-US" w:eastAsia="zh-CN"/>
        </w:rPr>
        <w:t>已标价工程量清单及</w:t>
      </w:r>
      <w:r>
        <w:rPr>
          <w:b/>
          <w:color w:val="auto"/>
          <w:sz w:val="32"/>
        </w:rPr>
        <w:t>供应商认为需提交的其他材料</w:t>
      </w:r>
      <w:bookmarkEnd w:id="73"/>
    </w:p>
    <w:p>
      <w:pPr>
        <w:rPr>
          <w:color w:val="auto"/>
        </w:rPr>
      </w:pPr>
      <w:r>
        <w:rPr>
          <w:color w:val="auto"/>
        </w:rPr>
        <w:br w:type="page"/>
      </w:r>
    </w:p>
    <w:p>
      <w:pPr>
        <w:pStyle w:val="2"/>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left="0" w:right="0" w:firstLine="0"/>
        <w:jc w:val="center"/>
        <w:textAlignment w:val="auto"/>
        <w:rPr>
          <w:rFonts w:hint="eastAsia" w:ascii="宋体" w:hAnsi="宋体" w:eastAsia="宋体" w:cs="宋体"/>
          <w:b/>
          <w:bCs/>
          <w:color w:val="auto"/>
          <w:spacing w:val="0"/>
          <w:w w:val="100"/>
          <w:kern w:val="0"/>
          <w:position w:val="0"/>
          <w:sz w:val="40"/>
          <w:szCs w:val="40"/>
          <w:lang w:eastAsia="zh-CN"/>
        </w:rPr>
      </w:pPr>
      <w:r>
        <w:rPr>
          <w:rFonts w:hint="eastAsia" w:ascii="宋体" w:hAnsi="宋体" w:eastAsia="宋体" w:cs="宋体"/>
          <w:b/>
          <w:bCs/>
          <w:color w:val="auto"/>
          <w:spacing w:val="0"/>
          <w:w w:val="100"/>
          <w:kern w:val="0"/>
          <w:position w:val="0"/>
          <w:sz w:val="40"/>
          <w:szCs w:val="40"/>
          <w:lang w:eastAsia="zh-CN"/>
        </w:rPr>
        <w:t>信用承诺书</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（四）本单位及项目经办人员信用状况良好，未被列为失信惩戒对象或"老赖""，符合参与公共资源交易活动的相关要求。</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（六）若中标，本单位将在规定的时间内与招标人签订合同并自觉履行合同义务，不转包或违法分包中标项目。</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（七）自觉接受政府、行业组织、社会公众、新闻舆论的监督。</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28"/>
          <w:szCs w:val="28"/>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28"/>
          <w:szCs w:val="28"/>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autoSpaceDE/>
        <w:autoSpaceDN/>
        <w:spacing w:before="0" w:after="0" w:line="240" w:lineRule="auto"/>
        <w:ind w:left="0" w:right="0" w:firstLine="560" w:firstLineChars="2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（九）本人已认真阅读了上述承诺，并向本单位员工作了宣传教育。</w:t>
      </w:r>
    </w:p>
    <w:p>
      <w:pPr>
        <w:autoSpaceDE/>
        <w:autoSpaceDN/>
        <w:spacing w:before="0" w:after="0" w:line="240" w:lineRule="auto"/>
        <w:ind w:left="0" w:right="0" w:firstLine="1120" w:firstLineChars="4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法定代表人或（委托代理人）签字∶</w:t>
      </w:r>
    </w:p>
    <w:p>
      <w:pPr>
        <w:autoSpaceDE/>
        <w:autoSpaceDN/>
        <w:spacing w:before="0" w:after="0" w:line="240" w:lineRule="auto"/>
        <w:ind w:left="0" w:right="0" w:firstLine="3080" w:firstLineChars="11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 xml:space="preserve">企业名称（盖章）∶ </w:t>
      </w:r>
    </w:p>
    <w:p>
      <w:pPr>
        <w:autoSpaceDE/>
        <w:autoSpaceDN/>
        <w:spacing w:before="0" w:after="0" w:line="240" w:lineRule="auto"/>
        <w:ind w:left="0" w:right="0" w:firstLine="2800" w:firstLineChars="1000"/>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项目负责人（签字）∶</w:t>
      </w:r>
    </w:p>
    <w:p>
      <w:pPr>
        <w:autoSpaceDE/>
        <w:autoSpaceDN/>
        <w:spacing w:before="0" w:after="0" w:line="240" w:lineRule="auto"/>
        <w:ind w:left="0" w:right="0"/>
        <w:jc w:val="right"/>
        <w:rPr>
          <w:rFonts w:hint="eastAsia" w:ascii="宋体" w:hAnsi="宋体" w:eastAsia="宋体" w:cs="宋体"/>
          <w:color w:val="auto"/>
          <w:kern w:val="0"/>
          <w:sz w:val="28"/>
          <w:szCs w:val="28"/>
          <w:u w:val="none"/>
          <w:shd w:val="clear" w:color="auto" w:fill="auto"/>
          <w:lang w:val="en-US" w:eastAsia="zh-CN" w:bidi="zh-TW"/>
        </w:rPr>
      </w:pPr>
      <w:r>
        <w:rPr>
          <w:rFonts w:hint="eastAsia" w:ascii="宋体" w:hAnsi="宋体" w:eastAsia="宋体" w:cs="宋体"/>
          <w:color w:val="auto"/>
          <w:kern w:val="0"/>
          <w:sz w:val="28"/>
          <w:szCs w:val="28"/>
          <w:u w:val="none"/>
          <w:shd w:val="clear" w:color="auto" w:fill="auto"/>
          <w:lang w:val="en-US" w:eastAsia="zh-CN" w:bidi="zh-TW"/>
        </w:rPr>
        <w:t xml:space="preserve"> 年   月   日</w:t>
      </w:r>
    </w:p>
    <w:p>
      <w:pPr>
        <w:autoSpaceDE/>
        <w:autoSpaceDN/>
        <w:spacing w:before="0" w:after="0" w:line="240" w:lineRule="auto"/>
        <w:ind w:left="0" w:right="0"/>
        <w:rPr>
          <w:rFonts w:hint="eastAsia" w:ascii="宋体" w:hAnsi="宋体" w:eastAsia="宋体" w:cs="宋体"/>
          <w:color w:val="auto"/>
          <w:kern w:val="0"/>
          <w:sz w:val="36"/>
          <w:szCs w:val="36"/>
          <w:u w:val="none"/>
          <w:shd w:val="clear" w:color="auto" w:fill="auto"/>
          <w:lang w:val="en-US" w:eastAsia="zh-CN" w:bidi="zh-TW"/>
        </w:rPr>
      </w:pPr>
    </w:p>
    <w:p>
      <w:pPr>
        <w:pStyle w:val="36"/>
        <w:rPr>
          <w:rFonts w:hint="eastAsia" w:eastAsia="仿宋_GB2312"/>
          <w:color w:val="auto"/>
          <w:lang w:val="en-US" w:eastAsia="zh-CN"/>
        </w:rPr>
      </w:pPr>
    </w:p>
    <w:p>
      <w:pPr>
        <w:pStyle w:val="36"/>
        <w:rPr>
          <w:color w:val="auto"/>
        </w:rPr>
        <w:sectPr>
          <w:pgSz w:w="11910" w:h="16840"/>
          <w:pgMar w:top="1380" w:right="880" w:bottom="1100" w:left="880" w:header="888" w:footer="910" w:gutter="0"/>
          <w:pgNumType w:fmt="decimal"/>
          <w:cols w:space="720" w:num="1"/>
        </w:sectPr>
      </w:pPr>
    </w:p>
    <w:p>
      <w:pPr>
        <w:pStyle w:val="2"/>
        <w:tabs>
          <w:tab w:val="left" w:pos="1291"/>
        </w:tabs>
        <w:ind w:left="4"/>
        <w:outlineLvl w:val="0"/>
        <w:rPr>
          <w:color w:val="auto"/>
        </w:rPr>
      </w:pPr>
      <w:bookmarkStart w:id="74" w:name="_TOC_250000"/>
      <w:bookmarkEnd w:id="74"/>
      <w:bookmarkStart w:id="75" w:name="_Toc21842"/>
    </w:p>
    <w:p>
      <w:pPr>
        <w:pStyle w:val="2"/>
        <w:numPr>
          <w:ilvl w:val="0"/>
          <w:numId w:val="10"/>
        </w:numPr>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中小企业声明函</w:t>
      </w:r>
    </w:p>
    <w:p>
      <w:pPr>
        <w:widowControl w:val="0"/>
        <w:numPr>
          <w:ilvl w:val="0"/>
          <w:numId w:val="0"/>
        </w:numPr>
        <w:autoSpaceDE w:val="0"/>
        <w:autoSpaceDN w:val="0"/>
        <w:spacing w:before="0" w:after="0" w:line="240" w:lineRule="auto"/>
        <w:ind w:right="0" w:rightChars="0"/>
        <w:jc w:val="both"/>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36"/>
        <w:rPr>
          <w:rFonts w:hint="eastAsia"/>
          <w:lang w:val="en-US" w:eastAsia="zh-CN"/>
        </w:rPr>
      </w:pPr>
    </w:p>
    <w:p>
      <w:pPr>
        <w:pStyle w:val="2"/>
        <w:numPr>
          <w:ilvl w:val="0"/>
          <w:numId w:val="0"/>
        </w:numPr>
        <w:tabs>
          <w:tab w:val="left" w:pos="1291"/>
        </w:tabs>
        <w:ind w:right="854" w:rightChars="0"/>
        <w:jc w:val="both"/>
        <w:outlineLvl w:val="0"/>
        <w:rPr>
          <w:color w:val="auto"/>
          <w:sz w:val="24"/>
          <w:szCs w:val="21"/>
        </w:rPr>
      </w:pPr>
    </w:p>
    <w:p>
      <w:pPr>
        <w:pStyle w:val="2"/>
        <w:numPr>
          <w:ilvl w:val="0"/>
          <w:numId w:val="0"/>
        </w:numPr>
        <w:tabs>
          <w:tab w:val="left" w:pos="1291"/>
        </w:tabs>
        <w:ind w:right="854" w:rightChars="0"/>
        <w:jc w:val="center"/>
        <w:outlineLvl w:val="0"/>
        <w:rPr>
          <w:rFonts w:hint="eastAsia" w:eastAsia="仿宋"/>
          <w:color w:val="auto"/>
          <w:sz w:val="24"/>
          <w:szCs w:val="21"/>
          <w:lang w:eastAsia="zh-CN"/>
        </w:rPr>
      </w:pPr>
      <w:r>
        <w:rPr>
          <w:rFonts w:hint="eastAsia"/>
          <w:color w:val="auto"/>
          <w:sz w:val="24"/>
          <w:szCs w:val="21"/>
          <w:lang w:val="en-US" w:eastAsia="zh-CN"/>
        </w:rPr>
        <w:t xml:space="preserve">        </w:t>
      </w:r>
      <w:r>
        <w:rPr>
          <w:color w:val="auto"/>
          <w:sz w:val="24"/>
          <w:szCs w:val="21"/>
        </w:rPr>
        <w:t>第</w:t>
      </w:r>
      <w:r>
        <w:rPr>
          <w:rFonts w:hint="eastAsia"/>
          <w:color w:val="auto"/>
          <w:sz w:val="24"/>
          <w:szCs w:val="21"/>
          <w:lang w:val="en-US" w:eastAsia="zh-CN"/>
        </w:rPr>
        <w:t>六部分   参考</w:t>
      </w:r>
      <w:r>
        <w:rPr>
          <w:color w:val="auto"/>
          <w:sz w:val="24"/>
          <w:szCs w:val="21"/>
        </w:rPr>
        <w:t>附件</w:t>
      </w:r>
      <w:bookmarkEnd w:id="75"/>
      <w:r>
        <w:rPr>
          <w:rFonts w:hint="eastAsia"/>
          <w:color w:val="auto"/>
          <w:sz w:val="24"/>
          <w:szCs w:val="21"/>
          <w:lang w:eastAsia="zh-CN"/>
        </w:rPr>
        <w:t>（本章非响应文件格式，符合则提供，否则不提供）</w:t>
      </w:r>
    </w:p>
    <w:p>
      <w:pPr>
        <w:pStyle w:val="8"/>
        <w:spacing w:before="1"/>
        <w:ind w:left="0"/>
        <w:rPr>
          <w:b/>
          <w:color w:val="auto"/>
          <w:sz w:val="14"/>
        </w:rPr>
      </w:pPr>
    </w:p>
    <w:p>
      <w:pPr>
        <w:pStyle w:val="6"/>
        <w:spacing w:before="61"/>
        <w:outlineLvl w:val="0"/>
        <w:rPr>
          <w:color w:val="auto"/>
        </w:rPr>
      </w:pPr>
      <w:bookmarkStart w:id="76" w:name="_Toc1959"/>
      <w:r>
        <w:rPr>
          <w:color w:val="auto"/>
        </w:rPr>
        <w:t>附件一</w:t>
      </w:r>
      <w:bookmarkEnd w:id="76"/>
    </w:p>
    <w:p>
      <w:pPr>
        <w:pStyle w:val="8"/>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8"/>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本公司（联合体）郑重声明，根据《关于进一步加大政府采购支持中小企业力度的通知》（财库【2022】19号）的规定，本公司（联合体）参加</w:t>
      </w:r>
      <w:r>
        <w:rPr>
          <w:rFonts w:hint="eastAsia" w:ascii="宋体" w:hAnsi="宋体" w:cs="宋体"/>
          <w:sz w:val="24"/>
          <w:szCs w:val="28"/>
          <w:u w:val="single"/>
        </w:rPr>
        <w:t>    （单位名称）</w:t>
      </w:r>
      <w:r>
        <w:rPr>
          <w:rFonts w:hint="eastAsia" w:ascii="宋体" w:hAnsi="宋体" w:cs="宋体"/>
          <w:sz w:val="24"/>
          <w:szCs w:val="28"/>
        </w:rPr>
        <w:t>的</w:t>
      </w:r>
      <w:r>
        <w:rPr>
          <w:rFonts w:hint="eastAsia" w:ascii="宋体" w:hAnsi="宋体" w:cs="宋体"/>
          <w:sz w:val="24"/>
          <w:szCs w:val="28"/>
          <w:u w:val="single"/>
        </w:rPr>
        <w:t>（项目名称）</w:t>
      </w:r>
      <w:r>
        <w:rPr>
          <w:rFonts w:hint="eastAsia" w:ascii="宋体" w:hAnsi="宋体" w:cs="宋体"/>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1.</w:t>
      </w:r>
      <w:r>
        <w:rPr>
          <w:rFonts w:hint="eastAsia" w:ascii="宋体" w:hAnsi="宋体" w:cs="宋体"/>
          <w:sz w:val="24"/>
          <w:szCs w:val="28"/>
          <w:u w:val="single"/>
        </w:rPr>
        <w:t>   （标的名称）</w:t>
      </w:r>
      <w:r>
        <w:rPr>
          <w:rFonts w:hint="eastAsia" w:ascii="宋体" w:hAnsi="宋体" w:cs="宋体"/>
          <w:sz w:val="24"/>
          <w:szCs w:val="28"/>
        </w:rPr>
        <w:t>，属于</w:t>
      </w:r>
      <w:r>
        <w:rPr>
          <w:rFonts w:hint="eastAsia" w:ascii="宋体" w:hAnsi="宋体" w:cs="宋体"/>
          <w:sz w:val="24"/>
          <w:szCs w:val="28"/>
          <w:u w:val="single"/>
        </w:rPr>
        <w:t>    （采购文件中明确的所属行业）</w:t>
      </w:r>
      <w:r>
        <w:rPr>
          <w:rFonts w:hint="eastAsia" w:ascii="宋体" w:hAnsi="宋体" w:cs="宋体"/>
          <w:sz w:val="24"/>
          <w:szCs w:val="28"/>
        </w:rPr>
        <w:t>；承建（承接）企业为</w:t>
      </w:r>
      <w:r>
        <w:rPr>
          <w:rFonts w:hint="eastAsia" w:ascii="宋体" w:hAnsi="宋体" w:cs="宋体"/>
          <w:sz w:val="24"/>
          <w:szCs w:val="28"/>
          <w:u w:val="single"/>
        </w:rPr>
        <w:t>    （企业名称）</w:t>
      </w:r>
      <w:r>
        <w:rPr>
          <w:rFonts w:hint="eastAsia" w:ascii="宋体" w:hAnsi="宋体" w:cs="宋体"/>
          <w:sz w:val="24"/>
          <w:szCs w:val="28"/>
        </w:rPr>
        <w:t>，从业人员</w:t>
      </w:r>
      <w:r>
        <w:rPr>
          <w:rFonts w:hint="eastAsia" w:ascii="宋体" w:hAnsi="宋体" w:cs="宋体"/>
          <w:sz w:val="24"/>
          <w:szCs w:val="28"/>
          <w:u w:val="single"/>
          <w:lang w:val="en-US" w:eastAsia="zh-CN"/>
        </w:rPr>
        <w:t xml:space="preserve">  </w:t>
      </w:r>
      <w:r>
        <w:rPr>
          <w:rFonts w:hint="eastAsia" w:ascii="宋体" w:hAnsi="宋体" w:cs="宋体"/>
          <w:sz w:val="24"/>
          <w:szCs w:val="28"/>
        </w:rPr>
        <w:t>人，营业收入为</w:t>
      </w:r>
      <w:r>
        <w:rPr>
          <w:rFonts w:hint="eastAsia" w:ascii="宋体" w:hAnsi="宋体" w:cs="宋体"/>
          <w:sz w:val="24"/>
          <w:szCs w:val="28"/>
          <w:u w:val="single"/>
          <w:lang w:val="en-US" w:eastAsia="zh-CN"/>
        </w:rPr>
        <w:t xml:space="preserve">  </w:t>
      </w:r>
      <w:r>
        <w:rPr>
          <w:rFonts w:hint="eastAsia" w:ascii="宋体" w:hAnsi="宋体" w:cs="宋体"/>
          <w:sz w:val="24"/>
          <w:szCs w:val="28"/>
        </w:rPr>
        <w:t>万元，资产总额为</w:t>
      </w:r>
      <w:r>
        <w:rPr>
          <w:rFonts w:hint="eastAsia" w:ascii="宋体" w:hAnsi="宋体" w:cs="宋体"/>
          <w:sz w:val="24"/>
          <w:szCs w:val="28"/>
          <w:u w:val="single"/>
          <w:lang w:val="en-US" w:eastAsia="zh-CN"/>
        </w:rPr>
        <w:t xml:space="preserve"> </w:t>
      </w:r>
      <w:r>
        <w:rPr>
          <w:rFonts w:hint="eastAsia" w:ascii="宋体" w:hAnsi="宋体" w:cs="宋体"/>
          <w:sz w:val="24"/>
          <w:szCs w:val="28"/>
        </w:rPr>
        <w:t>万元，属于</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（中型企业、小型企业、微型企业）</w:t>
      </w:r>
      <w:r>
        <w:rPr>
          <w:rFonts w:hint="eastAsia" w:ascii="宋体" w:hAnsi="宋体" w:cs="宋体"/>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lang w:val="en-US" w:eastAsia="zh-CN"/>
        </w:rPr>
      </w:pPr>
      <w:r>
        <w:rPr>
          <w:rFonts w:hint="eastAsia" w:ascii="宋体" w:hAnsi="宋体" w:cs="宋体"/>
          <w:sz w:val="24"/>
          <w:szCs w:val="28"/>
        </w:rPr>
        <w:t>2.</w:t>
      </w:r>
      <w:r>
        <w:rPr>
          <w:rFonts w:hint="eastAsia" w:ascii="宋体" w:hAnsi="宋体" w:cs="宋体"/>
          <w:sz w:val="24"/>
          <w:szCs w:val="28"/>
          <w:u w:val="single"/>
        </w:rPr>
        <w:t>   （标的名称）</w:t>
      </w:r>
      <w:r>
        <w:rPr>
          <w:rFonts w:hint="eastAsia" w:ascii="宋体" w:hAnsi="宋体" w:cs="宋体"/>
          <w:sz w:val="24"/>
          <w:szCs w:val="28"/>
        </w:rPr>
        <w:t>，属于</w:t>
      </w:r>
      <w:r>
        <w:rPr>
          <w:rFonts w:hint="eastAsia" w:ascii="宋体" w:hAnsi="宋体" w:cs="宋体"/>
          <w:sz w:val="24"/>
          <w:szCs w:val="28"/>
          <w:u w:val="single"/>
        </w:rPr>
        <w:t>     （采购文件中明确的所属行业）</w:t>
      </w:r>
      <w:r>
        <w:rPr>
          <w:rFonts w:hint="eastAsia" w:ascii="宋体" w:hAnsi="宋体" w:cs="宋体"/>
          <w:sz w:val="24"/>
          <w:szCs w:val="28"/>
        </w:rPr>
        <w:t>行业；制造商为</w:t>
      </w:r>
      <w:r>
        <w:rPr>
          <w:rFonts w:hint="eastAsia" w:ascii="宋体" w:hAnsi="宋体" w:cs="宋体"/>
          <w:sz w:val="24"/>
          <w:szCs w:val="28"/>
          <w:u w:val="single"/>
        </w:rPr>
        <w:t>  （企业名称）</w:t>
      </w:r>
      <w:r>
        <w:rPr>
          <w:rFonts w:hint="eastAsia" w:ascii="宋体" w:hAnsi="宋体" w:cs="宋体"/>
          <w:sz w:val="24"/>
          <w:szCs w:val="28"/>
        </w:rPr>
        <w:t>，从业人员</w:t>
      </w:r>
      <w:r>
        <w:rPr>
          <w:rFonts w:hint="eastAsia" w:ascii="宋体" w:hAnsi="宋体" w:cs="宋体"/>
          <w:sz w:val="24"/>
          <w:szCs w:val="28"/>
          <w:u w:val="single"/>
          <w:lang w:val="en-US" w:eastAsia="zh-CN"/>
        </w:rPr>
        <w:t xml:space="preserve">  </w:t>
      </w:r>
      <w:r>
        <w:rPr>
          <w:rFonts w:hint="eastAsia" w:ascii="宋体" w:hAnsi="宋体" w:cs="宋体"/>
          <w:sz w:val="24"/>
          <w:szCs w:val="28"/>
        </w:rPr>
        <w:t>人，营业收入为</w:t>
      </w:r>
      <w:r>
        <w:rPr>
          <w:rFonts w:hint="eastAsia" w:ascii="宋体" w:hAnsi="宋体" w:cs="宋体"/>
          <w:sz w:val="24"/>
          <w:szCs w:val="28"/>
          <w:u w:val="single"/>
          <w:lang w:val="en-US" w:eastAsia="zh-CN"/>
        </w:rPr>
        <w:t xml:space="preserve">  </w:t>
      </w:r>
      <w:r>
        <w:rPr>
          <w:rFonts w:hint="eastAsia" w:ascii="宋体" w:hAnsi="宋体" w:cs="宋体"/>
          <w:sz w:val="24"/>
          <w:szCs w:val="28"/>
        </w:rPr>
        <w:t>万元，资产总额为</w:t>
      </w:r>
      <w:r>
        <w:rPr>
          <w:rFonts w:hint="eastAsia" w:ascii="宋体" w:hAnsi="宋体" w:cs="宋体"/>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sz w:val="24"/>
          <w:szCs w:val="28"/>
        </w:rPr>
      </w:pPr>
      <w:r>
        <w:rPr>
          <w:rFonts w:hint="eastAsia" w:ascii="宋体" w:hAnsi="宋体" w:cs="宋体"/>
          <w:sz w:val="24"/>
          <w:szCs w:val="28"/>
          <w:u w:val="single"/>
          <w:lang w:val="en-US" w:eastAsia="zh-CN"/>
        </w:rPr>
        <w:t xml:space="preserve">  </w:t>
      </w:r>
      <w:r>
        <w:rPr>
          <w:rFonts w:hint="eastAsia" w:ascii="宋体" w:hAnsi="宋体" w:cs="宋体"/>
          <w:sz w:val="24"/>
          <w:szCs w:val="28"/>
        </w:rPr>
        <w:t>万元，属于</w:t>
      </w:r>
      <w:r>
        <w:rPr>
          <w:rFonts w:hint="eastAsia" w:ascii="宋体" w:hAnsi="宋体" w:cs="宋体"/>
          <w:sz w:val="24"/>
          <w:szCs w:val="28"/>
          <w:u w:val="single"/>
        </w:rPr>
        <w:t>     （中型企业、小型企业、微型企业）</w:t>
      </w:r>
      <w:r>
        <w:rPr>
          <w:rFonts w:hint="eastAsia" w:ascii="宋体" w:hAnsi="宋体" w:cs="宋体"/>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sz w:val="24"/>
          <w:szCs w:val="28"/>
        </w:rPr>
      </w:pPr>
      <w:r>
        <w:rPr>
          <w:rFonts w:hint="eastAsia" w:ascii="宋体" w:hAnsi="宋体" w:cs="宋体"/>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sz w:val="24"/>
          <w:szCs w:val="28"/>
        </w:rPr>
      </w:pPr>
    </w:p>
    <w:p>
      <w:pPr>
        <w:spacing w:line="360" w:lineRule="auto"/>
        <w:ind w:firstLine="4800" w:firstLineChars="2000"/>
        <w:jc w:val="left"/>
        <w:rPr>
          <w:rFonts w:hint="eastAsia" w:ascii="宋体" w:hAnsi="宋体" w:cs="宋体"/>
          <w:sz w:val="24"/>
          <w:szCs w:val="28"/>
        </w:rPr>
      </w:pPr>
      <w:r>
        <w:rPr>
          <w:rFonts w:hint="eastAsia" w:ascii="宋体" w:hAnsi="宋体" w:cs="宋体"/>
          <w:sz w:val="24"/>
          <w:szCs w:val="28"/>
        </w:rPr>
        <w:t>企业名称（盖章）：</w:t>
      </w:r>
    </w:p>
    <w:p>
      <w:pPr>
        <w:spacing w:line="360" w:lineRule="auto"/>
        <w:ind w:firstLine="5280" w:firstLineChars="2200"/>
        <w:jc w:val="left"/>
        <w:rPr>
          <w:rFonts w:hint="eastAsia" w:ascii="宋体" w:hAnsi="宋体" w:cs="宋体"/>
          <w:sz w:val="24"/>
          <w:szCs w:val="28"/>
        </w:rPr>
      </w:pPr>
      <w:r>
        <w:rPr>
          <w:rFonts w:hint="eastAsia" w:ascii="宋体" w:hAnsi="宋体" w:cs="宋体"/>
          <w:sz w:val="24"/>
          <w:szCs w:val="28"/>
        </w:rPr>
        <w:t>日 期：</w:t>
      </w: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ind w:left="0" w:leftChars="0" w:firstLine="0" w:firstLineChars="0"/>
        <w:outlineLvl w:val="0"/>
        <w:rPr>
          <w:color w:val="auto"/>
        </w:rPr>
      </w:pPr>
    </w:p>
    <w:p>
      <w:pPr>
        <w:pStyle w:val="6"/>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8"/>
        <w:spacing w:before="1"/>
        <w:ind w:left="356" w:right="542"/>
        <w:jc w:val="center"/>
        <w:rPr>
          <w:color w:val="auto"/>
        </w:rPr>
      </w:pPr>
      <w:r>
        <w:rPr>
          <w:color w:val="auto"/>
        </w:rPr>
        <w:t>各省、自治区、直辖市人民政府，国务院各部委、各直属机构及有关单位：</w:t>
      </w:r>
    </w:p>
    <w:p>
      <w:pPr>
        <w:pStyle w:val="8"/>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8"/>
        <w:spacing w:before="3"/>
        <w:ind w:left="0" w:right="534"/>
        <w:jc w:val="right"/>
        <w:rPr>
          <w:color w:val="auto"/>
        </w:rPr>
      </w:pPr>
      <w:r>
        <w:rPr>
          <w:color w:val="auto"/>
        </w:rPr>
        <w:t>工业和信息化部 国家统计局 国家发展和改革委员会 财政部</w:t>
      </w:r>
    </w:p>
    <w:p>
      <w:pPr>
        <w:pStyle w:val="8"/>
        <w:spacing w:before="161"/>
        <w:ind w:left="0" w:right="535"/>
        <w:jc w:val="right"/>
        <w:rPr>
          <w:color w:val="auto"/>
        </w:rPr>
      </w:pPr>
      <w:r>
        <w:rPr>
          <w:color w:val="auto"/>
        </w:rPr>
        <w:t>二○一一年六月十八日</w:t>
      </w:r>
    </w:p>
    <w:p>
      <w:pPr>
        <w:pStyle w:val="8"/>
        <w:spacing w:before="160"/>
        <w:ind w:left="4113"/>
        <w:rPr>
          <w:color w:val="auto"/>
        </w:rPr>
      </w:pPr>
      <w:r>
        <w:rPr>
          <w:color w:val="auto"/>
        </w:rPr>
        <w:t>中小企业划型标准规定</w:t>
      </w:r>
    </w:p>
    <w:p>
      <w:pPr>
        <w:pStyle w:val="8"/>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8"/>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8"/>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8"/>
        <w:spacing w:before="4"/>
        <w:ind w:left="1018"/>
        <w:rPr>
          <w:color w:val="auto"/>
        </w:rPr>
      </w:pPr>
      <w:r>
        <w:rPr>
          <w:color w:val="auto"/>
        </w:rPr>
        <w:t>四、各</w:t>
      </w:r>
      <w:r>
        <w:rPr>
          <w:color w:val="auto"/>
          <w:highlight w:val="none"/>
        </w:rPr>
        <w:t>行业划</w:t>
      </w:r>
      <w:r>
        <w:rPr>
          <w:color w:val="auto"/>
        </w:rPr>
        <w:t>型标准为：详见下表</w:t>
      </w:r>
    </w:p>
    <w:p>
      <w:pPr>
        <w:pStyle w:val="8"/>
        <w:spacing w:before="160"/>
        <w:ind w:left="1018"/>
        <w:rPr>
          <w:color w:val="auto"/>
        </w:rPr>
      </w:pPr>
      <w:r>
        <w:rPr>
          <w:color w:val="auto"/>
        </w:rPr>
        <w:t>五、企业类型的划分以统计部门的统计数据为依据。</w:t>
      </w:r>
    </w:p>
    <w:p>
      <w:pPr>
        <w:pStyle w:val="8"/>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8"/>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8"/>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8"/>
        <w:spacing w:before="1"/>
        <w:ind w:left="1018"/>
        <w:rPr>
          <w:color w:val="auto"/>
        </w:rPr>
      </w:pPr>
      <w:r>
        <w:rPr>
          <w:color w:val="auto"/>
        </w:rPr>
        <w:t>九、本规定由工业和信息化部、国家统计局会同有关部门负责解释。</w:t>
      </w:r>
    </w:p>
    <w:p>
      <w:pPr>
        <w:pStyle w:val="8"/>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8"/>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8"/>
                        <w:ind w:left="0"/>
                      </w:pPr>
                    </w:p>
                  </w:txbxContent>
                </v:textbox>
              </v:rect>
            </w:pict>
          </mc:Fallback>
        </mc:AlternateContent>
      </w:r>
      <w:r>
        <w:rPr>
          <w:b/>
          <w:bCs/>
          <w:color w:val="auto"/>
        </w:rPr>
        <w:t xml:space="preserve">《关于政府采购促进小型微型企业发展的实施意见》（豫财购[2013]14 号） </w:t>
      </w:r>
    </w:p>
    <w:tbl>
      <w:tblPr>
        <w:tblStyle w:val="21"/>
        <w:tblpPr w:leftFromText="180" w:rightFromText="180" w:vertAnchor="text" w:horzAnchor="page" w:tblpX="922" w:tblpY="1042"/>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481" w:type="pct"/>
            <w:vMerge w:val="restart"/>
            <w:vAlign w:val="top"/>
          </w:tcPr>
          <w:p>
            <w:pPr>
              <w:pStyle w:val="46"/>
              <w:spacing w:before="79"/>
              <w:ind w:left="96" w:right="88"/>
              <w:jc w:val="center"/>
              <w:rPr>
                <w:b/>
                <w:sz w:val="24"/>
              </w:rPr>
            </w:pPr>
            <w:r>
              <w:rPr>
                <w:b/>
                <w:sz w:val="24"/>
              </w:rPr>
              <w:t>行业类</w:t>
            </w:r>
          </w:p>
          <w:p>
            <w:pPr>
              <w:pStyle w:val="46"/>
              <w:spacing w:before="160"/>
              <w:ind w:left="12"/>
              <w:jc w:val="center"/>
              <w:rPr>
                <w:b/>
                <w:sz w:val="24"/>
              </w:rPr>
            </w:pPr>
            <w:r>
              <w:rPr>
                <w:b/>
                <w:w w:val="99"/>
                <w:sz w:val="24"/>
              </w:rPr>
              <w:t>型</w:t>
            </w:r>
          </w:p>
        </w:tc>
        <w:tc>
          <w:tcPr>
            <w:tcW w:w="732" w:type="pct"/>
            <w:vMerge w:val="restart"/>
            <w:vAlign w:val="top"/>
          </w:tcPr>
          <w:p>
            <w:pPr>
              <w:pStyle w:val="46"/>
              <w:spacing w:before="79"/>
              <w:ind w:left="101" w:right="95"/>
              <w:jc w:val="center"/>
              <w:rPr>
                <w:b/>
                <w:sz w:val="24"/>
              </w:rPr>
            </w:pPr>
            <w:r>
              <w:rPr>
                <w:b/>
                <w:sz w:val="24"/>
              </w:rPr>
              <w:t>中小微型企</w:t>
            </w:r>
          </w:p>
          <w:p>
            <w:pPr>
              <w:pStyle w:val="46"/>
              <w:spacing w:before="160"/>
              <w:ind w:left="7"/>
              <w:jc w:val="center"/>
              <w:rPr>
                <w:b/>
                <w:sz w:val="24"/>
              </w:rPr>
            </w:pPr>
            <w:r>
              <w:rPr>
                <w:b/>
                <w:w w:val="99"/>
                <w:sz w:val="24"/>
              </w:rPr>
              <w:t>业</w:t>
            </w:r>
          </w:p>
        </w:tc>
        <w:tc>
          <w:tcPr>
            <w:tcW w:w="1277" w:type="pct"/>
            <w:gridSpan w:val="3"/>
            <w:vAlign w:val="top"/>
          </w:tcPr>
          <w:p>
            <w:pPr>
              <w:pStyle w:val="46"/>
              <w:spacing w:before="79"/>
              <w:ind w:left="782"/>
              <w:rPr>
                <w:b/>
                <w:sz w:val="24"/>
              </w:rPr>
            </w:pPr>
            <w:r>
              <w:rPr>
                <w:b/>
                <w:sz w:val="24"/>
              </w:rPr>
              <w:t>营业收入</w:t>
            </w:r>
          </w:p>
        </w:tc>
        <w:tc>
          <w:tcPr>
            <w:tcW w:w="1227" w:type="pct"/>
            <w:gridSpan w:val="3"/>
            <w:vAlign w:val="top"/>
          </w:tcPr>
          <w:p>
            <w:pPr>
              <w:pStyle w:val="46"/>
              <w:spacing w:before="79"/>
              <w:ind w:left="733"/>
              <w:rPr>
                <w:b/>
                <w:sz w:val="24"/>
              </w:rPr>
            </w:pPr>
            <w:r>
              <w:rPr>
                <w:b/>
                <w:sz w:val="24"/>
              </w:rPr>
              <w:t>从业人员</w:t>
            </w:r>
          </w:p>
        </w:tc>
        <w:tc>
          <w:tcPr>
            <w:tcW w:w="1280" w:type="pct"/>
            <w:gridSpan w:val="3"/>
            <w:vAlign w:val="top"/>
          </w:tcPr>
          <w:p>
            <w:pPr>
              <w:pStyle w:val="46"/>
              <w:spacing w:before="79"/>
              <w:ind w:left="783"/>
              <w:rPr>
                <w:b/>
                <w:sz w:val="24"/>
              </w:rPr>
            </w:pPr>
            <w:r>
              <w:rPr>
                <w:b/>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sz w:val="2"/>
                <w:szCs w:val="2"/>
              </w:rPr>
            </w:pPr>
          </w:p>
        </w:tc>
        <w:tc>
          <w:tcPr>
            <w:tcW w:w="732" w:type="pct"/>
            <w:vMerge w:val="continue"/>
            <w:tcBorders>
              <w:top w:val="nil"/>
            </w:tcBorders>
            <w:vAlign w:val="top"/>
          </w:tcPr>
          <w:p>
            <w:pPr>
              <w:rPr>
                <w:sz w:val="2"/>
                <w:szCs w:val="2"/>
              </w:rPr>
            </w:pPr>
          </w:p>
        </w:tc>
        <w:tc>
          <w:tcPr>
            <w:tcW w:w="425" w:type="pct"/>
            <w:vAlign w:val="top"/>
          </w:tcPr>
          <w:p>
            <w:pPr>
              <w:pStyle w:val="46"/>
              <w:spacing w:before="79"/>
              <w:ind w:left="10"/>
              <w:jc w:val="center"/>
              <w:rPr>
                <w:b/>
                <w:sz w:val="24"/>
              </w:rPr>
            </w:pPr>
            <w:r>
              <w:rPr>
                <w:b/>
                <w:w w:val="99"/>
                <w:sz w:val="24"/>
              </w:rPr>
              <w:t>中</w:t>
            </w:r>
          </w:p>
        </w:tc>
        <w:tc>
          <w:tcPr>
            <w:tcW w:w="425" w:type="pct"/>
            <w:vAlign w:val="top"/>
          </w:tcPr>
          <w:p>
            <w:pPr>
              <w:pStyle w:val="46"/>
              <w:spacing w:before="79"/>
              <w:ind w:left="11"/>
              <w:jc w:val="center"/>
              <w:rPr>
                <w:b/>
                <w:sz w:val="24"/>
              </w:rPr>
            </w:pPr>
            <w:r>
              <w:rPr>
                <w:b/>
                <w:w w:val="99"/>
                <w:sz w:val="24"/>
              </w:rPr>
              <w:t>小</w:t>
            </w:r>
          </w:p>
        </w:tc>
        <w:tc>
          <w:tcPr>
            <w:tcW w:w="427" w:type="pct"/>
            <w:vAlign w:val="top"/>
          </w:tcPr>
          <w:p>
            <w:pPr>
              <w:pStyle w:val="46"/>
              <w:spacing w:before="79"/>
              <w:ind w:left="14"/>
              <w:jc w:val="center"/>
              <w:rPr>
                <w:b/>
                <w:sz w:val="24"/>
              </w:rPr>
            </w:pPr>
            <w:r>
              <w:rPr>
                <w:b/>
                <w:w w:val="99"/>
                <w:sz w:val="24"/>
              </w:rPr>
              <w:t>微</w:t>
            </w:r>
          </w:p>
        </w:tc>
        <w:tc>
          <w:tcPr>
            <w:tcW w:w="425" w:type="pct"/>
            <w:vAlign w:val="top"/>
          </w:tcPr>
          <w:p>
            <w:pPr>
              <w:pStyle w:val="46"/>
              <w:spacing w:before="79"/>
              <w:ind w:left="13"/>
              <w:jc w:val="center"/>
              <w:rPr>
                <w:b/>
                <w:sz w:val="24"/>
              </w:rPr>
            </w:pPr>
            <w:r>
              <w:rPr>
                <w:b/>
                <w:w w:val="99"/>
                <w:sz w:val="24"/>
              </w:rPr>
              <w:t>中</w:t>
            </w:r>
          </w:p>
        </w:tc>
        <w:tc>
          <w:tcPr>
            <w:tcW w:w="425" w:type="pct"/>
            <w:vAlign w:val="top"/>
          </w:tcPr>
          <w:p>
            <w:pPr>
              <w:pStyle w:val="46"/>
              <w:spacing w:before="79"/>
              <w:ind w:left="13"/>
              <w:jc w:val="center"/>
              <w:rPr>
                <w:b/>
                <w:sz w:val="24"/>
              </w:rPr>
            </w:pPr>
            <w:r>
              <w:rPr>
                <w:b/>
                <w:w w:val="99"/>
                <w:sz w:val="24"/>
              </w:rPr>
              <w:t>小</w:t>
            </w:r>
          </w:p>
        </w:tc>
        <w:tc>
          <w:tcPr>
            <w:tcW w:w="377" w:type="pct"/>
            <w:vAlign w:val="top"/>
          </w:tcPr>
          <w:p>
            <w:pPr>
              <w:pStyle w:val="46"/>
              <w:spacing w:before="79"/>
              <w:ind w:left="250"/>
              <w:rPr>
                <w:b/>
                <w:sz w:val="24"/>
              </w:rPr>
            </w:pPr>
            <w:r>
              <w:rPr>
                <w:b/>
                <w:w w:val="99"/>
                <w:sz w:val="24"/>
              </w:rPr>
              <w:t>微</w:t>
            </w:r>
          </w:p>
        </w:tc>
        <w:tc>
          <w:tcPr>
            <w:tcW w:w="425" w:type="pct"/>
            <w:vAlign w:val="top"/>
          </w:tcPr>
          <w:p>
            <w:pPr>
              <w:pStyle w:val="46"/>
              <w:spacing w:before="79"/>
              <w:ind w:left="10"/>
              <w:jc w:val="center"/>
              <w:rPr>
                <w:b/>
                <w:sz w:val="24"/>
              </w:rPr>
            </w:pPr>
            <w:r>
              <w:rPr>
                <w:b/>
                <w:w w:val="99"/>
                <w:sz w:val="24"/>
              </w:rPr>
              <w:t>中</w:t>
            </w:r>
          </w:p>
        </w:tc>
        <w:tc>
          <w:tcPr>
            <w:tcW w:w="426" w:type="pct"/>
            <w:vAlign w:val="top"/>
          </w:tcPr>
          <w:p>
            <w:pPr>
              <w:pStyle w:val="46"/>
              <w:spacing w:before="79"/>
              <w:ind w:left="11"/>
              <w:jc w:val="center"/>
              <w:rPr>
                <w:b/>
                <w:sz w:val="24"/>
              </w:rPr>
            </w:pPr>
            <w:r>
              <w:rPr>
                <w:b/>
                <w:w w:val="99"/>
                <w:sz w:val="24"/>
              </w:rPr>
              <w:t>小</w:t>
            </w:r>
          </w:p>
        </w:tc>
        <w:tc>
          <w:tcPr>
            <w:tcW w:w="429" w:type="pct"/>
            <w:vAlign w:val="top"/>
          </w:tcPr>
          <w:p>
            <w:pPr>
              <w:pStyle w:val="46"/>
              <w:spacing w:before="79"/>
              <w:ind w:left="11"/>
              <w:jc w:val="center"/>
              <w:rPr>
                <w:b/>
                <w:sz w:val="24"/>
              </w:rPr>
            </w:pPr>
            <w:r>
              <w:rPr>
                <w:b/>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sz w:val="24"/>
              </w:rPr>
            </w:pPr>
            <w:r>
              <w:rPr>
                <w:spacing w:val="-28"/>
                <w:sz w:val="24"/>
              </w:rPr>
              <w:t>农、林、</w:t>
            </w:r>
            <w:r>
              <w:rPr>
                <w:sz w:val="24"/>
              </w:rPr>
              <w:t>牧、渔业</w:t>
            </w:r>
          </w:p>
        </w:tc>
        <w:tc>
          <w:tcPr>
            <w:tcW w:w="732" w:type="pct"/>
            <w:vAlign w:val="top"/>
          </w:tcPr>
          <w:p>
            <w:pPr>
              <w:pStyle w:val="46"/>
              <w:spacing w:line="242" w:lineRule="auto"/>
              <w:ind w:left="101" w:right="92"/>
              <w:jc w:val="center"/>
              <w:rPr>
                <w:sz w:val="24"/>
              </w:rPr>
            </w:pPr>
            <w:r>
              <w:rPr>
                <w:sz w:val="24"/>
              </w:rPr>
              <w:t>营业收入20000 万元</w:t>
            </w:r>
          </w:p>
          <w:p>
            <w:pPr>
              <w:pStyle w:val="46"/>
              <w:spacing w:before="3"/>
              <w:ind w:left="101" w:right="94"/>
              <w:jc w:val="center"/>
              <w:rPr>
                <w:sz w:val="24"/>
              </w:rPr>
            </w:pPr>
            <w:r>
              <w:rPr>
                <w:sz w:val="24"/>
              </w:rPr>
              <w:t>以下</w:t>
            </w:r>
          </w:p>
        </w:tc>
        <w:tc>
          <w:tcPr>
            <w:tcW w:w="425" w:type="pct"/>
            <w:vAlign w:val="top"/>
          </w:tcPr>
          <w:p>
            <w:pPr>
              <w:pStyle w:val="46"/>
              <w:ind w:left="107"/>
              <w:rPr>
                <w:sz w:val="24"/>
              </w:rPr>
            </w:pPr>
            <w:r>
              <w:rPr>
                <w:sz w:val="24"/>
              </w:rPr>
              <w:t>500</w:t>
            </w:r>
          </w:p>
          <w:p>
            <w:pPr>
              <w:pStyle w:val="46"/>
              <w:spacing w:before="4"/>
              <w:ind w:left="107"/>
              <w:rPr>
                <w:sz w:val="24"/>
              </w:rPr>
            </w:pPr>
            <w:r>
              <w:rPr>
                <w:sz w:val="24"/>
              </w:rPr>
              <w:t>万 元</w:t>
            </w:r>
          </w:p>
          <w:p>
            <w:pPr>
              <w:pStyle w:val="46"/>
              <w:spacing w:before="2" w:line="310" w:lineRule="atLeast"/>
              <w:ind w:left="107" w:right="96"/>
              <w:rPr>
                <w:sz w:val="24"/>
              </w:rPr>
            </w:pPr>
            <w:r>
              <w:rPr>
                <w:sz w:val="24"/>
              </w:rPr>
              <w:t>及 以上</w:t>
            </w:r>
          </w:p>
        </w:tc>
        <w:tc>
          <w:tcPr>
            <w:tcW w:w="425" w:type="pct"/>
            <w:vAlign w:val="top"/>
          </w:tcPr>
          <w:p>
            <w:pPr>
              <w:pStyle w:val="46"/>
              <w:spacing w:line="242" w:lineRule="auto"/>
              <w:ind w:left="182" w:right="109" w:hanging="60"/>
              <w:jc w:val="both"/>
              <w:rPr>
                <w:sz w:val="24"/>
              </w:rPr>
            </w:pPr>
            <w:r>
              <w:rPr>
                <w:sz w:val="24"/>
              </w:rPr>
              <w:t>50 万元及以上</w:t>
            </w:r>
          </w:p>
        </w:tc>
        <w:tc>
          <w:tcPr>
            <w:tcW w:w="427" w:type="pct"/>
            <w:vAlign w:val="top"/>
          </w:tcPr>
          <w:p>
            <w:pPr>
              <w:pStyle w:val="46"/>
              <w:spacing w:line="242" w:lineRule="auto"/>
              <w:ind w:left="183" w:right="106" w:hanging="60"/>
              <w:jc w:val="both"/>
              <w:rPr>
                <w:sz w:val="24"/>
              </w:rPr>
            </w:pPr>
            <w:r>
              <w:rPr>
                <w:sz w:val="24"/>
              </w:rPr>
              <w:t>50 万元以下</w:t>
            </w:r>
          </w:p>
        </w:tc>
        <w:tc>
          <w:tcPr>
            <w:tcW w:w="425" w:type="pct"/>
            <w:vAlign w:val="top"/>
          </w:tcPr>
          <w:p>
            <w:pPr>
              <w:pStyle w:val="46"/>
              <w:rPr>
                <w:rFonts w:ascii="Times New Roman"/>
                <w:sz w:val="24"/>
              </w:rPr>
            </w:pPr>
          </w:p>
        </w:tc>
        <w:tc>
          <w:tcPr>
            <w:tcW w:w="425" w:type="pct"/>
            <w:vAlign w:val="top"/>
          </w:tcPr>
          <w:p>
            <w:pPr>
              <w:pStyle w:val="46"/>
              <w:rPr>
                <w:rFonts w:ascii="Times New Roman"/>
                <w:sz w:val="24"/>
              </w:rPr>
            </w:pPr>
          </w:p>
        </w:tc>
        <w:tc>
          <w:tcPr>
            <w:tcW w:w="377" w:type="pct"/>
            <w:vAlign w:val="top"/>
          </w:tcPr>
          <w:p>
            <w:pPr>
              <w:pStyle w:val="46"/>
              <w:rPr>
                <w:rFonts w:ascii="Times New Roman"/>
                <w:sz w:val="24"/>
              </w:rPr>
            </w:pP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sz w:val="24"/>
              </w:rPr>
            </w:pPr>
          </w:p>
          <w:p>
            <w:pPr>
              <w:pStyle w:val="46"/>
              <w:spacing w:before="160"/>
              <w:ind w:left="96" w:right="84"/>
              <w:jc w:val="center"/>
              <w:rPr>
                <w:sz w:val="24"/>
              </w:rPr>
            </w:pPr>
            <w:r>
              <w:rPr>
                <w:sz w:val="24"/>
              </w:rPr>
              <w:t>工业</w:t>
            </w:r>
          </w:p>
        </w:tc>
        <w:tc>
          <w:tcPr>
            <w:tcW w:w="732" w:type="pct"/>
            <w:vAlign w:val="top"/>
          </w:tcPr>
          <w:p>
            <w:pPr>
              <w:pStyle w:val="46"/>
              <w:spacing w:line="242" w:lineRule="auto"/>
              <w:ind w:left="124" w:right="115" w:firstLine="60"/>
              <w:jc w:val="both"/>
              <w:rPr>
                <w:sz w:val="24"/>
              </w:rPr>
            </w:pPr>
            <w:r>
              <w:rPr>
                <w:sz w:val="24"/>
              </w:rPr>
              <w:t>1000 人以</w:t>
            </w:r>
            <w:r>
              <w:rPr>
                <w:spacing w:val="-4"/>
                <w:sz w:val="24"/>
              </w:rPr>
              <w:t>下或营业收</w:t>
            </w:r>
            <w:r>
              <w:rPr>
                <w:sz w:val="24"/>
              </w:rPr>
              <w:t>入 40000</w:t>
            </w:r>
          </w:p>
          <w:p>
            <w:pPr>
              <w:pStyle w:val="46"/>
              <w:spacing w:before="4" w:line="292" w:lineRule="exact"/>
              <w:ind w:left="244"/>
              <w:rPr>
                <w:sz w:val="24"/>
              </w:rPr>
            </w:pPr>
            <w:r>
              <w:rPr>
                <w:sz w:val="24"/>
              </w:rPr>
              <w:t>万元以下</w:t>
            </w:r>
          </w:p>
        </w:tc>
        <w:tc>
          <w:tcPr>
            <w:tcW w:w="425" w:type="pct"/>
            <w:vAlign w:val="top"/>
          </w:tcPr>
          <w:p>
            <w:pPr>
              <w:pStyle w:val="46"/>
              <w:spacing w:line="307" w:lineRule="exact"/>
              <w:ind w:left="182"/>
              <w:rPr>
                <w:sz w:val="24"/>
              </w:rPr>
            </w:pPr>
            <w:r>
              <w:rPr>
                <w:sz w:val="24"/>
              </w:rPr>
              <w:t>2000</w:t>
            </w:r>
          </w:p>
          <w:p>
            <w:pPr>
              <w:pStyle w:val="46"/>
              <w:spacing w:before="2" w:line="310" w:lineRule="atLeast"/>
              <w:ind w:left="182" w:right="170"/>
              <w:jc w:val="both"/>
              <w:rPr>
                <w:sz w:val="24"/>
              </w:rPr>
            </w:pPr>
            <w:r>
              <w:rPr>
                <w:sz w:val="24"/>
              </w:rPr>
              <w:t>万元及以上</w:t>
            </w:r>
          </w:p>
        </w:tc>
        <w:tc>
          <w:tcPr>
            <w:tcW w:w="425" w:type="pct"/>
            <w:vAlign w:val="top"/>
          </w:tcPr>
          <w:p>
            <w:pPr>
              <w:pStyle w:val="46"/>
              <w:spacing w:line="307" w:lineRule="exact"/>
              <w:ind w:left="242"/>
              <w:rPr>
                <w:sz w:val="24"/>
              </w:rPr>
            </w:pPr>
            <w:r>
              <w:rPr>
                <w:sz w:val="24"/>
              </w:rPr>
              <w:t>300</w:t>
            </w:r>
          </w:p>
          <w:p>
            <w:pPr>
              <w:pStyle w:val="46"/>
              <w:spacing w:before="2" w:line="310" w:lineRule="atLeast"/>
              <w:ind w:left="182" w:right="169"/>
              <w:jc w:val="both"/>
              <w:rPr>
                <w:sz w:val="24"/>
              </w:rPr>
            </w:pPr>
            <w:r>
              <w:rPr>
                <w:sz w:val="24"/>
              </w:rPr>
              <w:t>万元及以上</w:t>
            </w:r>
          </w:p>
        </w:tc>
        <w:tc>
          <w:tcPr>
            <w:tcW w:w="427" w:type="pct"/>
            <w:vAlign w:val="top"/>
          </w:tcPr>
          <w:p>
            <w:pPr>
              <w:pStyle w:val="46"/>
              <w:spacing w:line="307" w:lineRule="exact"/>
              <w:ind w:left="243"/>
              <w:rPr>
                <w:sz w:val="24"/>
              </w:rPr>
            </w:pPr>
            <w:r>
              <w:rPr>
                <w:sz w:val="24"/>
              </w:rPr>
              <w:t>300</w:t>
            </w:r>
          </w:p>
          <w:p>
            <w:pPr>
              <w:pStyle w:val="46"/>
              <w:spacing w:before="2" w:line="310" w:lineRule="atLeast"/>
              <w:ind w:left="183" w:right="166"/>
              <w:jc w:val="both"/>
              <w:rPr>
                <w:sz w:val="24"/>
              </w:rPr>
            </w:pPr>
            <w:r>
              <w:rPr>
                <w:sz w:val="24"/>
              </w:rPr>
              <w:t>万元及以上</w:t>
            </w:r>
          </w:p>
        </w:tc>
        <w:tc>
          <w:tcPr>
            <w:tcW w:w="425" w:type="pct"/>
            <w:vAlign w:val="top"/>
          </w:tcPr>
          <w:p>
            <w:pPr>
              <w:pStyle w:val="46"/>
              <w:spacing w:line="307" w:lineRule="exact"/>
              <w:ind w:left="244"/>
              <w:rPr>
                <w:sz w:val="24"/>
              </w:rPr>
            </w:pPr>
            <w:r>
              <w:rPr>
                <w:sz w:val="24"/>
              </w:rPr>
              <w:t>300</w:t>
            </w:r>
          </w:p>
          <w:p>
            <w:pPr>
              <w:pStyle w:val="46"/>
              <w:spacing w:before="4" w:line="242" w:lineRule="auto"/>
              <w:ind w:left="184" w:right="168"/>
              <w:rPr>
                <w:sz w:val="24"/>
              </w:rPr>
            </w:pPr>
            <w:r>
              <w:rPr>
                <w:spacing w:val="-9"/>
                <w:sz w:val="24"/>
              </w:rPr>
              <w:t>人及以上</w:t>
            </w:r>
          </w:p>
        </w:tc>
        <w:tc>
          <w:tcPr>
            <w:tcW w:w="425" w:type="pct"/>
            <w:vAlign w:val="top"/>
          </w:tcPr>
          <w:p>
            <w:pPr>
              <w:pStyle w:val="46"/>
              <w:spacing w:line="242" w:lineRule="auto"/>
              <w:ind w:left="183" w:right="110" w:hanging="60"/>
              <w:jc w:val="both"/>
              <w:rPr>
                <w:sz w:val="24"/>
              </w:rPr>
            </w:pPr>
            <w:r>
              <w:rPr>
                <w:sz w:val="24"/>
              </w:rPr>
              <w:t>20 人及以上</w:t>
            </w:r>
          </w:p>
        </w:tc>
        <w:tc>
          <w:tcPr>
            <w:tcW w:w="377" w:type="pct"/>
            <w:vAlign w:val="top"/>
          </w:tcPr>
          <w:p>
            <w:pPr>
              <w:pStyle w:val="46"/>
              <w:spacing w:line="307" w:lineRule="exact"/>
              <w:ind w:left="130" w:right="120"/>
              <w:jc w:val="center"/>
              <w:rPr>
                <w:sz w:val="24"/>
              </w:rPr>
            </w:pPr>
            <w:r>
              <w:rPr>
                <w:sz w:val="24"/>
              </w:rPr>
              <w:t>20</w:t>
            </w:r>
          </w:p>
          <w:p>
            <w:pPr>
              <w:pStyle w:val="46"/>
              <w:spacing w:before="4" w:line="242" w:lineRule="auto"/>
              <w:ind w:left="130" w:right="120"/>
              <w:jc w:val="center"/>
              <w:rPr>
                <w:sz w:val="24"/>
              </w:rPr>
            </w:pPr>
            <w:r>
              <w:rPr>
                <w:spacing w:val="-9"/>
                <w:sz w:val="24"/>
              </w:rPr>
              <w:t>人以</w:t>
            </w:r>
            <w:r>
              <w:rPr>
                <w:sz w:val="24"/>
              </w:rPr>
              <w:t>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sz w:val="24"/>
              </w:rPr>
            </w:pPr>
          </w:p>
          <w:p>
            <w:pPr>
              <w:pStyle w:val="46"/>
              <w:spacing w:before="160"/>
              <w:ind w:left="96" w:right="85"/>
              <w:jc w:val="center"/>
              <w:rPr>
                <w:sz w:val="24"/>
              </w:rPr>
            </w:pPr>
            <w:r>
              <w:rPr>
                <w:sz w:val="24"/>
              </w:rPr>
              <w:t>建筑业</w:t>
            </w:r>
          </w:p>
        </w:tc>
        <w:tc>
          <w:tcPr>
            <w:tcW w:w="732" w:type="pct"/>
            <w:vAlign w:val="top"/>
          </w:tcPr>
          <w:p>
            <w:pPr>
              <w:pStyle w:val="46"/>
              <w:spacing w:line="307" w:lineRule="exact"/>
              <w:ind w:left="124"/>
              <w:rPr>
                <w:sz w:val="24"/>
              </w:rPr>
            </w:pPr>
            <w:r>
              <w:rPr>
                <w:sz w:val="24"/>
              </w:rPr>
              <w:t>收入 80000</w:t>
            </w:r>
          </w:p>
          <w:p>
            <w:pPr>
              <w:pStyle w:val="46"/>
              <w:spacing w:before="4" w:line="242" w:lineRule="auto"/>
              <w:ind w:left="244" w:right="115" w:hanging="120"/>
              <w:rPr>
                <w:sz w:val="24"/>
              </w:rPr>
            </w:pPr>
            <w:r>
              <w:rPr>
                <w:spacing w:val="-4"/>
                <w:sz w:val="24"/>
              </w:rPr>
              <w:t>万元以下或</w:t>
            </w:r>
            <w:r>
              <w:rPr>
                <w:sz w:val="24"/>
              </w:rPr>
              <w:t>资产总额</w:t>
            </w:r>
          </w:p>
          <w:p>
            <w:pPr>
              <w:pStyle w:val="46"/>
              <w:spacing w:before="4" w:line="292" w:lineRule="exact"/>
              <w:ind w:left="124"/>
              <w:rPr>
                <w:sz w:val="24"/>
              </w:rPr>
            </w:pPr>
            <w:r>
              <w:rPr>
                <w:sz w:val="24"/>
              </w:rPr>
              <w:t>80000 万元</w:t>
            </w:r>
          </w:p>
        </w:tc>
        <w:tc>
          <w:tcPr>
            <w:tcW w:w="425" w:type="pct"/>
            <w:vAlign w:val="top"/>
          </w:tcPr>
          <w:p>
            <w:pPr>
              <w:pStyle w:val="46"/>
              <w:spacing w:line="307" w:lineRule="exact"/>
              <w:ind w:left="162" w:right="153"/>
              <w:jc w:val="center"/>
              <w:rPr>
                <w:sz w:val="24"/>
              </w:rPr>
            </w:pPr>
            <w:r>
              <w:rPr>
                <w:sz w:val="24"/>
              </w:rPr>
              <w:t>6000</w:t>
            </w:r>
          </w:p>
          <w:p>
            <w:pPr>
              <w:pStyle w:val="46"/>
              <w:spacing w:before="4" w:line="242" w:lineRule="auto"/>
              <w:ind w:left="182" w:right="170"/>
              <w:jc w:val="center"/>
              <w:rPr>
                <w:sz w:val="24"/>
              </w:rPr>
            </w:pPr>
            <w:r>
              <w:rPr>
                <w:spacing w:val="-9"/>
                <w:sz w:val="24"/>
              </w:rPr>
              <w:t>万元及以</w:t>
            </w:r>
          </w:p>
          <w:p>
            <w:pPr>
              <w:pStyle w:val="46"/>
              <w:spacing w:before="4" w:line="292" w:lineRule="exact"/>
              <w:ind w:left="10"/>
              <w:jc w:val="center"/>
              <w:rPr>
                <w:sz w:val="24"/>
              </w:rPr>
            </w:pPr>
            <w:r>
              <w:rPr>
                <w:sz w:val="24"/>
              </w:rPr>
              <w:t>上</w:t>
            </w:r>
          </w:p>
        </w:tc>
        <w:tc>
          <w:tcPr>
            <w:tcW w:w="425" w:type="pct"/>
            <w:vAlign w:val="top"/>
          </w:tcPr>
          <w:p>
            <w:pPr>
              <w:pStyle w:val="46"/>
              <w:spacing w:line="307" w:lineRule="exact"/>
              <w:ind w:left="180" w:right="169"/>
              <w:jc w:val="center"/>
              <w:rPr>
                <w:sz w:val="24"/>
              </w:rPr>
            </w:pPr>
            <w:r>
              <w:rPr>
                <w:sz w:val="24"/>
              </w:rPr>
              <w:t>300</w:t>
            </w:r>
          </w:p>
          <w:p>
            <w:pPr>
              <w:pStyle w:val="46"/>
              <w:spacing w:before="4" w:line="242" w:lineRule="auto"/>
              <w:ind w:left="182" w:right="169"/>
              <w:jc w:val="center"/>
              <w:rPr>
                <w:sz w:val="24"/>
              </w:rPr>
            </w:pPr>
            <w:r>
              <w:rPr>
                <w:spacing w:val="-9"/>
                <w:sz w:val="24"/>
              </w:rPr>
              <w:t>万元及以</w:t>
            </w:r>
          </w:p>
          <w:p>
            <w:pPr>
              <w:pStyle w:val="46"/>
              <w:spacing w:before="4" w:line="292" w:lineRule="exact"/>
              <w:ind w:left="11"/>
              <w:jc w:val="center"/>
              <w:rPr>
                <w:sz w:val="24"/>
              </w:rPr>
            </w:pPr>
            <w:r>
              <w:rPr>
                <w:sz w:val="24"/>
              </w:rPr>
              <w:t>上</w:t>
            </w:r>
          </w:p>
        </w:tc>
        <w:tc>
          <w:tcPr>
            <w:tcW w:w="427" w:type="pct"/>
            <w:vAlign w:val="top"/>
          </w:tcPr>
          <w:p>
            <w:pPr>
              <w:pStyle w:val="46"/>
              <w:spacing w:line="307" w:lineRule="exact"/>
              <w:ind w:left="180" w:right="166"/>
              <w:jc w:val="center"/>
              <w:rPr>
                <w:sz w:val="24"/>
              </w:rPr>
            </w:pPr>
            <w:r>
              <w:rPr>
                <w:sz w:val="24"/>
              </w:rPr>
              <w:t>300</w:t>
            </w:r>
          </w:p>
          <w:p>
            <w:pPr>
              <w:pStyle w:val="46"/>
              <w:spacing w:before="4" w:line="242" w:lineRule="auto"/>
              <w:ind w:left="183" w:right="166"/>
              <w:jc w:val="center"/>
              <w:rPr>
                <w:sz w:val="24"/>
              </w:rPr>
            </w:pPr>
            <w:r>
              <w:rPr>
                <w:spacing w:val="-9"/>
                <w:sz w:val="24"/>
              </w:rPr>
              <w:t>万元及以</w:t>
            </w:r>
          </w:p>
          <w:p>
            <w:pPr>
              <w:pStyle w:val="46"/>
              <w:spacing w:before="4" w:line="292" w:lineRule="exact"/>
              <w:ind w:left="14"/>
              <w:jc w:val="center"/>
              <w:rPr>
                <w:sz w:val="24"/>
              </w:rPr>
            </w:pPr>
            <w:r>
              <w:rPr>
                <w:sz w:val="24"/>
              </w:rPr>
              <w:t>下</w:t>
            </w:r>
          </w:p>
        </w:tc>
        <w:tc>
          <w:tcPr>
            <w:tcW w:w="425" w:type="pct"/>
            <w:vAlign w:val="top"/>
          </w:tcPr>
          <w:p>
            <w:pPr>
              <w:pStyle w:val="46"/>
              <w:rPr>
                <w:rFonts w:ascii="Times New Roman"/>
                <w:sz w:val="24"/>
              </w:rPr>
            </w:pPr>
          </w:p>
        </w:tc>
        <w:tc>
          <w:tcPr>
            <w:tcW w:w="425" w:type="pct"/>
            <w:vAlign w:val="top"/>
          </w:tcPr>
          <w:p>
            <w:pPr>
              <w:pStyle w:val="46"/>
              <w:rPr>
                <w:rFonts w:ascii="Times New Roman"/>
                <w:sz w:val="24"/>
              </w:rPr>
            </w:pPr>
          </w:p>
        </w:tc>
        <w:tc>
          <w:tcPr>
            <w:tcW w:w="377" w:type="pct"/>
            <w:vAlign w:val="top"/>
          </w:tcPr>
          <w:p>
            <w:pPr>
              <w:pStyle w:val="46"/>
              <w:rPr>
                <w:rFonts w:ascii="Times New Roman"/>
                <w:sz w:val="24"/>
              </w:rPr>
            </w:pPr>
          </w:p>
        </w:tc>
        <w:tc>
          <w:tcPr>
            <w:tcW w:w="425" w:type="pct"/>
            <w:vAlign w:val="top"/>
          </w:tcPr>
          <w:p>
            <w:pPr>
              <w:pStyle w:val="46"/>
              <w:spacing w:line="307" w:lineRule="exact"/>
              <w:ind w:left="161" w:right="151"/>
              <w:jc w:val="center"/>
              <w:rPr>
                <w:sz w:val="24"/>
              </w:rPr>
            </w:pPr>
            <w:r>
              <w:rPr>
                <w:sz w:val="24"/>
              </w:rPr>
              <w:t>5000</w:t>
            </w:r>
          </w:p>
          <w:p>
            <w:pPr>
              <w:pStyle w:val="46"/>
              <w:spacing w:before="4" w:line="242" w:lineRule="auto"/>
              <w:ind w:left="181" w:right="169"/>
              <w:jc w:val="center"/>
              <w:rPr>
                <w:sz w:val="24"/>
              </w:rPr>
            </w:pPr>
            <w:r>
              <w:rPr>
                <w:spacing w:val="-9"/>
                <w:sz w:val="24"/>
              </w:rPr>
              <w:t>万元及以</w:t>
            </w:r>
          </w:p>
          <w:p>
            <w:pPr>
              <w:pStyle w:val="46"/>
              <w:spacing w:before="4" w:line="292" w:lineRule="exact"/>
              <w:ind w:left="10"/>
              <w:jc w:val="center"/>
              <w:rPr>
                <w:sz w:val="24"/>
              </w:rPr>
            </w:pPr>
            <w:r>
              <w:rPr>
                <w:sz w:val="24"/>
              </w:rPr>
              <w:t>上</w:t>
            </w:r>
          </w:p>
        </w:tc>
        <w:tc>
          <w:tcPr>
            <w:tcW w:w="426" w:type="pct"/>
            <w:vAlign w:val="top"/>
          </w:tcPr>
          <w:p>
            <w:pPr>
              <w:pStyle w:val="46"/>
              <w:spacing w:line="307" w:lineRule="exact"/>
              <w:ind w:left="162" w:right="151"/>
              <w:jc w:val="center"/>
              <w:rPr>
                <w:sz w:val="24"/>
              </w:rPr>
            </w:pPr>
            <w:r>
              <w:rPr>
                <w:sz w:val="24"/>
              </w:rPr>
              <w:t>300</w:t>
            </w:r>
          </w:p>
          <w:p>
            <w:pPr>
              <w:pStyle w:val="46"/>
              <w:spacing w:before="4" w:line="242" w:lineRule="auto"/>
              <w:ind w:left="183" w:right="169"/>
              <w:jc w:val="center"/>
              <w:rPr>
                <w:sz w:val="24"/>
              </w:rPr>
            </w:pPr>
            <w:r>
              <w:rPr>
                <w:spacing w:val="-9"/>
                <w:sz w:val="24"/>
              </w:rPr>
              <w:t>万元及以</w:t>
            </w:r>
          </w:p>
          <w:p>
            <w:pPr>
              <w:pStyle w:val="46"/>
              <w:spacing w:before="4" w:line="292" w:lineRule="exact"/>
              <w:ind w:left="11"/>
              <w:jc w:val="center"/>
              <w:rPr>
                <w:sz w:val="24"/>
              </w:rPr>
            </w:pPr>
            <w:r>
              <w:rPr>
                <w:sz w:val="24"/>
              </w:rPr>
              <w:t>上</w:t>
            </w:r>
          </w:p>
        </w:tc>
        <w:tc>
          <w:tcPr>
            <w:tcW w:w="429" w:type="pct"/>
            <w:vAlign w:val="top"/>
          </w:tcPr>
          <w:p>
            <w:pPr>
              <w:pStyle w:val="46"/>
              <w:spacing w:line="307" w:lineRule="exact"/>
              <w:ind w:left="162" w:right="151"/>
              <w:jc w:val="center"/>
              <w:rPr>
                <w:sz w:val="24"/>
              </w:rPr>
            </w:pPr>
            <w:r>
              <w:rPr>
                <w:sz w:val="24"/>
              </w:rPr>
              <w:t>300</w:t>
            </w:r>
          </w:p>
          <w:p>
            <w:pPr>
              <w:pStyle w:val="46"/>
              <w:spacing w:before="4" w:line="242" w:lineRule="auto"/>
              <w:ind w:left="183" w:right="169"/>
              <w:jc w:val="center"/>
              <w:rPr>
                <w:sz w:val="24"/>
              </w:rPr>
            </w:pPr>
            <w:r>
              <w:rPr>
                <w:spacing w:val="-9"/>
                <w:sz w:val="24"/>
              </w:rPr>
              <w:t>万元及以</w:t>
            </w:r>
          </w:p>
          <w:p>
            <w:pPr>
              <w:pStyle w:val="46"/>
              <w:spacing w:before="4" w:line="292" w:lineRule="exact"/>
              <w:ind w:left="11"/>
              <w:jc w:val="center"/>
              <w:rPr>
                <w:sz w:val="24"/>
              </w:rPr>
            </w:pPr>
            <w:r>
              <w:rPr>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sz w:val="24"/>
              </w:rPr>
            </w:pPr>
          </w:p>
          <w:p>
            <w:pPr>
              <w:pStyle w:val="46"/>
              <w:spacing w:before="8"/>
              <w:rPr>
                <w:b/>
                <w:sz w:val="24"/>
              </w:rPr>
            </w:pPr>
          </w:p>
          <w:p>
            <w:pPr>
              <w:pStyle w:val="46"/>
              <w:ind w:left="96" w:right="85"/>
              <w:jc w:val="center"/>
              <w:rPr>
                <w:sz w:val="24"/>
              </w:rPr>
            </w:pPr>
            <w:r>
              <w:rPr>
                <w:sz w:val="24"/>
              </w:rPr>
              <w:t>批发业</w:t>
            </w:r>
          </w:p>
        </w:tc>
        <w:tc>
          <w:tcPr>
            <w:tcW w:w="732" w:type="pct"/>
            <w:vAlign w:val="top"/>
          </w:tcPr>
          <w:p>
            <w:pPr>
              <w:pStyle w:val="46"/>
              <w:spacing w:line="242" w:lineRule="auto"/>
              <w:ind w:left="124" w:right="115"/>
              <w:jc w:val="center"/>
              <w:rPr>
                <w:sz w:val="24"/>
              </w:rPr>
            </w:pPr>
            <w:r>
              <w:rPr>
                <w:sz w:val="24"/>
              </w:rPr>
              <w:t xml:space="preserve">人员 200 </w:t>
            </w:r>
            <w:r>
              <w:rPr>
                <w:spacing w:val="-4"/>
                <w:sz w:val="24"/>
              </w:rPr>
              <w:t>人以下或营</w:t>
            </w:r>
            <w:r>
              <w:rPr>
                <w:sz w:val="24"/>
              </w:rPr>
              <w:t>业收入40000</w:t>
            </w:r>
            <w:r>
              <w:rPr>
                <w:spacing w:val="-20"/>
                <w:sz w:val="24"/>
              </w:rPr>
              <w:t xml:space="preserve"> 万元</w:t>
            </w:r>
          </w:p>
          <w:p>
            <w:pPr>
              <w:pStyle w:val="46"/>
              <w:spacing w:before="5" w:line="292" w:lineRule="exact"/>
              <w:ind w:left="101" w:right="94"/>
              <w:jc w:val="center"/>
              <w:rPr>
                <w:sz w:val="24"/>
              </w:rPr>
            </w:pPr>
            <w:r>
              <w:rPr>
                <w:sz w:val="24"/>
              </w:rPr>
              <w:t>以下</w:t>
            </w:r>
          </w:p>
        </w:tc>
        <w:tc>
          <w:tcPr>
            <w:tcW w:w="425" w:type="pct"/>
            <w:vAlign w:val="top"/>
          </w:tcPr>
          <w:p>
            <w:pPr>
              <w:pStyle w:val="46"/>
              <w:spacing w:line="307" w:lineRule="exact"/>
              <w:ind w:left="182"/>
              <w:rPr>
                <w:sz w:val="24"/>
              </w:rPr>
            </w:pPr>
            <w:r>
              <w:rPr>
                <w:sz w:val="24"/>
              </w:rPr>
              <w:t>5000</w:t>
            </w:r>
          </w:p>
          <w:p>
            <w:pPr>
              <w:pStyle w:val="46"/>
              <w:spacing w:before="4" w:line="242" w:lineRule="auto"/>
              <w:ind w:left="182" w:right="170"/>
              <w:jc w:val="both"/>
              <w:rPr>
                <w:sz w:val="24"/>
              </w:rPr>
            </w:pPr>
            <w:r>
              <w:rPr>
                <w:sz w:val="24"/>
              </w:rPr>
              <w:t>万元及以上</w:t>
            </w:r>
          </w:p>
        </w:tc>
        <w:tc>
          <w:tcPr>
            <w:tcW w:w="425" w:type="pct"/>
            <w:vAlign w:val="top"/>
          </w:tcPr>
          <w:p>
            <w:pPr>
              <w:pStyle w:val="46"/>
              <w:spacing w:line="307" w:lineRule="exact"/>
              <w:ind w:left="182"/>
              <w:rPr>
                <w:sz w:val="24"/>
              </w:rPr>
            </w:pPr>
            <w:r>
              <w:rPr>
                <w:sz w:val="24"/>
              </w:rPr>
              <w:t>1000</w:t>
            </w:r>
          </w:p>
          <w:p>
            <w:pPr>
              <w:pStyle w:val="46"/>
              <w:spacing w:before="4" w:line="242" w:lineRule="auto"/>
              <w:ind w:left="182" w:right="169"/>
              <w:jc w:val="both"/>
              <w:rPr>
                <w:sz w:val="24"/>
              </w:rPr>
            </w:pPr>
            <w:r>
              <w:rPr>
                <w:sz w:val="24"/>
              </w:rPr>
              <w:t>万元及以上</w:t>
            </w:r>
          </w:p>
        </w:tc>
        <w:tc>
          <w:tcPr>
            <w:tcW w:w="427" w:type="pct"/>
            <w:vAlign w:val="top"/>
          </w:tcPr>
          <w:p>
            <w:pPr>
              <w:pStyle w:val="46"/>
              <w:spacing w:line="307" w:lineRule="exact"/>
              <w:ind w:left="183"/>
              <w:rPr>
                <w:sz w:val="24"/>
              </w:rPr>
            </w:pPr>
            <w:r>
              <w:rPr>
                <w:sz w:val="24"/>
              </w:rPr>
              <w:t>1000</w:t>
            </w:r>
          </w:p>
          <w:p>
            <w:pPr>
              <w:pStyle w:val="46"/>
              <w:spacing w:before="4" w:line="242" w:lineRule="auto"/>
              <w:ind w:left="183" w:right="166"/>
              <w:jc w:val="both"/>
              <w:rPr>
                <w:sz w:val="24"/>
              </w:rPr>
            </w:pPr>
            <w:r>
              <w:rPr>
                <w:sz w:val="24"/>
              </w:rPr>
              <w:t>万元及以下</w:t>
            </w:r>
          </w:p>
        </w:tc>
        <w:tc>
          <w:tcPr>
            <w:tcW w:w="425" w:type="pct"/>
            <w:vAlign w:val="top"/>
          </w:tcPr>
          <w:p>
            <w:pPr>
              <w:pStyle w:val="46"/>
              <w:spacing w:line="242" w:lineRule="auto"/>
              <w:ind w:left="184" w:right="108" w:hanging="60"/>
              <w:jc w:val="both"/>
              <w:rPr>
                <w:sz w:val="24"/>
              </w:rPr>
            </w:pPr>
            <w:r>
              <w:rPr>
                <w:sz w:val="24"/>
              </w:rPr>
              <w:t>20 人及以上</w:t>
            </w:r>
          </w:p>
        </w:tc>
        <w:tc>
          <w:tcPr>
            <w:tcW w:w="425" w:type="pct"/>
            <w:vAlign w:val="top"/>
          </w:tcPr>
          <w:p>
            <w:pPr>
              <w:pStyle w:val="46"/>
              <w:spacing w:line="242" w:lineRule="auto"/>
              <w:ind w:left="183" w:right="170" w:firstLine="28"/>
              <w:jc w:val="both"/>
              <w:rPr>
                <w:sz w:val="24"/>
              </w:rPr>
            </w:pPr>
            <w:r>
              <w:rPr>
                <w:sz w:val="24"/>
              </w:rPr>
              <w:t>5</w:t>
            </w:r>
            <w:r>
              <w:rPr>
                <w:spacing w:val="-30"/>
                <w:sz w:val="24"/>
              </w:rPr>
              <w:t xml:space="preserve"> 人</w:t>
            </w:r>
            <w:r>
              <w:rPr>
                <w:spacing w:val="-24"/>
                <w:sz w:val="24"/>
              </w:rPr>
              <w:t>及以</w:t>
            </w:r>
            <w:r>
              <w:rPr>
                <w:sz w:val="24"/>
              </w:rPr>
              <w:t>上</w:t>
            </w:r>
          </w:p>
        </w:tc>
        <w:tc>
          <w:tcPr>
            <w:tcW w:w="377" w:type="pct"/>
            <w:vAlign w:val="top"/>
          </w:tcPr>
          <w:p>
            <w:pPr>
              <w:pStyle w:val="46"/>
              <w:spacing w:line="242" w:lineRule="auto"/>
              <w:ind w:left="130" w:right="120"/>
              <w:rPr>
                <w:sz w:val="24"/>
              </w:rPr>
            </w:pPr>
            <w:r>
              <w:rPr>
                <w:sz w:val="24"/>
              </w:rPr>
              <w:t>5 人以下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sz w:val="24"/>
              </w:rPr>
            </w:pPr>
          </w:p>
          <w:p>
            <w:pPr>
              <w:pStyle w:val="46"/>
              <w:spacing w:before="8"/>
              <w:rPr>
                <w:b/>
                <w:sz w:val="24"/>
              </w:rPr>
            </w:pPr>
          </w:p>
          <w:p>
            <w:pPr>
              <w:pStyle w:val="46"/>
              <w:spacing w:before="1"/>
              <w:ind w:left="96" w:right="85"/>
              <w:jc w:val="center"/>
              <w:rPr>
                <w:sz w:val="24"/>
              </w:rPr>
            </w:pPr>
            <w:r>
              <w:rPr>
                <w:sz w:val="24"/>
              </w:rPr>
              <w:t>零售业</w:t>
            </w:r>
          </w:p>
        </w:tc>
        <w:tc>
          <w:tcPr>
            <w:tcW w:w="732" w:type="pct"/>
            <w:vAlign w:val="top"/>
          </w:tcPr>
          <w:p>
            <w:pPr>
              <w:pStyle w:val="46"/>
              <w:spacing w:line="242" w:lineRule="auto"/>
              <w:ind w:left="124" w:right="115"/>
              <w:jc w:val="center"/>
              <w:rPr>
                <w:sz w:val="24"/>
              </w:rPr>
            </w:pPr>
            <w:r>
              <w:rPr>
                <w:sz w:val="24"/>
              </w:rPr>
              <w:t xml:space="preserve">人员 300 </w:t>
            </w:r>
            <w:r>
              <w:rPr>
                <w:spacing w:val="-4"/>
                <w:sz w:val="24"/>
              </w:rPr>
              <w:t>人以下或营</w:t>
            </w:r>
            <w:r>
              <w:rPr>
                <w:sz w:val="24"/>
              </w:rPr>
              <w:t>业收入20000</w:t>
            </w:r>
            <w:r>
              <w:rPr>
                <w:spacing w:val="-20"/>
                <w:sz w:val="24"/>
              </w:rPr>
              <w:t xml:space="preserve"> 万元</w:t>
            </w:r>
          </w:p>
          <w:p>
            <w:pPr>
              <w:pStyle w:val="46"/>
              <w:spacing w:before="6" w:line="292" w:lineRule="exact"/>
              <w:ind w:left="101" w:right="94"/>
              <w:jc w:val="center"/>
              <w:rPr>
                <w:sz w:val="24"/>
              </w:rPr>
            </w:pPr>
            <w:r>
              <w:rPr>
                <w:sz w:val="24"/>
              </w:rPr>
              <w:t>以下</w:t>
            </w:r>
          </w:p>
        </w:tc>
        <w:tc>
          <w:tcPr>
            <w:tcW w:w="425" w:type="pct"/>
            <w:vAlign w:val="top"/>
          </w:tcPr>
          <w:p>
            <w:pPr>
              <w:pStyle w:val="46"/>
              <w:ind w:left="242"/>
              <w:rPr>
                <w:sz w:val="24"/>
              </w:rPr>
            </w:pPr>
            <w:r>
              <w:rPr>
                <w:sz w:val="24"/>
              </w:rPr>
              <w:t>500</w:t>
            </w:r>
          </w:p>
          <w:p>
            <w:pPr>
              <w:pStyle w:val="46"/>
              <w:spacing w:before="4" w:line="242" w:lineRule="auto"/>
              <w:ind w:left="182" w:right="170"/>
              <w:jc w:val="both"/>
              <w:rPr>
                <w:sz w:val="24"/>
              </w:rPr>
            </w:pPr>
            <w:r>
              <w:rPr>
                <w:sz w:val="24"/>
              </w:rPr>
              <w:t>万元及以上</w:t>
            </w:r>
          </w:p>
        </w:tc>
        <w:tc>
          <w:tcPr>
            <w:tcW w:w="425" w:type="pct"/>
            <w:vAlign w:val="top"/>
          </w:tcPr>
          <w:p>
            <w:pPr>
              <w:pStyle w:val="46"/>
              <w:ind w:left="242"/>
              <w:rPr>
                <w:sz w:val="24"/>
              </w:rPr>
            </w:pPr>
            <w:r>
              <w:rPr>
                <w:sz w:val="24"/>
              </w:rPr>
              <w:t>100</w:t>
            </w:r>
          </w:p>
          <w:p>
            <w:pPr>
              <w:pStyle w:val="46"/>
              <w:spacing w:before="4" w:line="242" w:lineRule="auto"/>
              <w:ind w:left="182" w:right="169"/>
              <w:jc w:val="both"/>
              <w:rPr>
                <w:sz w:val="24"/>
              </w:rPr>
            </w:pPr>
            <w:r>
              <w:rPr>
                <w:sz w:val="24"/>
              </w:rPr>
              <w:t>万元及以上</w:t>
            </w:r>
          </w:p>
        </w:tc>
        <w:tc>
          <w:tcPr>
            <w:tcW w:w="427" w:type="pct"/>
            <w:vAlign w:val="top"/>
          </w:tcPr>
          <w:p>
            <w:pPr>
              <w:pStyle w:val="46"/>
              <w:ind w:left="243"/>
              <w:rPr>
                <w:sz w:val="24"/>
              </w:rPr>
            </w:pPr>
            <w:r>
              <w:rPr>
                <w:sz w:val="24"/>
              </w:rPr>
              <w:t>100</w:t>
            </w:r>
          </w:p>
          <w:p>
            <w:pPr>
              <w:pStyle w:val="46"/>
              <w:spacing w:before="4" w:line="242" w:lineRule="auto"/>
              <w:ind w:left="183" w:right="166"/>
              <w:rPr>
                <w:sz w:val="24"/>
              </w:rPr>
            </w:pPr>
            <w:r>
              <w:rPr>
                <w:spacing w:val="-9"/>
                <w:sz w:val="24"/>
              </w:rPr>
              <w:t>万元以下</w:t>
            </w:r>
          </w:p>
        </w:tc>
        <w:tc>
          <w:tcPr>
            <w:tcW w:w="425" w:type="pct"/>
            <w:vAlign w:val="top"/>
          </w:tcPr>
          <w:p>
            <w:pPr>
              <w:pStyle w:val="46"/>
              <w:spacing w:line="242" w:lineRule="auto"/>
              <w:ind w:left="184" w:right="108" w:hanging="60"/>
              <w:jc w:val="both"/>
              <w:rPr>
                <w:sz w:val="24"/>
              </w:rPr>
            </w:pPr>
            <w:r>
              <w:rPr>
                <w:sz w:val="24"/>
              </w:rPr>
              <w:t>50 人及以上</w:t>
            </w:r>
          </w:p>
        </w:tc>
        <w:tc>
          <w:tcPr>
            <w:tcW w:w="425" w:type="pct"/>
            <w:vAlign w:val="top"/>
          </w:tcPr>
          <w:p>
            <w:pPr>
              <w:pStyle w:val="46"/>
              <w:spacing w:line="242" w:lineRule="auto"/>
              <w:ind w:left="183" w:right="110" w:hanging="60"/>
              <w:jc w:val="both"/>
              <w:rPr>
                <w:sz w:val="24"/>
              </w:rPr>
            </w:pPr>
            <w:r>
              <w:rPr>
                <w:sz w:val="24"/>
              </w:rPr>
              <w:t>10 人及以上</w:t>
            </w:r>
          </w:p>
        </w:tc>
        <w:tc>
          <w:tcPr>
            <w:tcW w:w="377" w:type="pct"/>
            <w:vAlign w:val="top"/>
          </w:tcPr>
          <w:p>
            <w:pPr>
              <w:pStyle w:val="46"/>
              <w:ind w:left="130" w:right="120"/>
              <w:jc w:val="center"/>
              <w:rPr>
                <w:sz w:val="24"/>
              </w:rPr>
            </w:pPr>
            <w:r>
              <w:rPr>
                <w:sz w:val="24"/>
              </w:rPr>
              <w:t>10</w:t>
            </w:r>
          </w:p>
          <w:p>
            <w:pPr>
              <w:pStyle w:val="46"/>
              <w:spacing w:before="4" w:line="242" w:lineRule="auto"/>
              <w:ind w:left="130" w:right="120"/>
              <w:jc w:val="center"/>
              <w:rPr>
                <w:sz w:val="24"/>
              </w:rPr>
            </w:pPr>
            <w:r>
              <w:rPr>
                <w:spacing w:val="-9"/>
                <w:sz w:val="24"/>
              </w:rPr>
              <w:t>人以</w:t>
            </w:r>
            <w:r>
              <w:rPr>
                <w:sz w:val="24"/>
              </w:rPr>
              <w:t>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ind w:left="-240" w:leftChars="-100" w:right="118" w:rightChars="49" w:firstLine="240" w:firstLineChars="100"/>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sz w:val="24"/>
              </w:rPr>
            </w:pPr>
            <w:r>
              <w:rPr>
                <w:sz w:val="24"/>
              </w:rPr>
              <w:t>交通运</w:t>
            </w:r>
          </w:p>
          <w:p>
            <w:pPr>
              <w:pStyle w:val="46"/>
              <w:spacing w:before="4" w:line="292" w:lineRule="exact"/>
              <w:ind w:left="96" w:right="84"/>
              <w:jc w:val="center"/>
              <w:rPr>
                <w:sz w:val="24"/>
              </w:rPr>
            </w:pPr>
            <w:r>
              <w:rPr>
                <w:sz w:val="24"/>
              </w:rPr>
              <w:t>输业</w:t>
            </w:r>
          </w:p>
        </w:tc>
        <w:tc>
          <w:tcPr>
            <w:tcW w:w="732" w:type="pct"/>
            <w:vAlign w:val="top"/>
          </w:tcPr>
          <w:p>
            <w:pPr>
              <w:pStyle w:val="46"/>
              <w:spacing w:before="2"/>
              <w:ind w:left="184"/>
              <w:rPr>
                <w:sz w:val="24"/>
              </w:rPr>
            </w:pPr>
            <w:r>
              <w:rPr>
                <w:sz w:val="24"/>
              </w:rPr>
              <w:t>人员 1000</w:t>
            </w:r>
          </w:p>
          <w:p>
            <w:pPr>
              <w:pStyle w:val="46"/>
              <w:spacing w:before="4" w:line="292" w:lineRule="exact"/>
              <w:ind w:left="124"/>
              <w:rPr>
                <w:sz w:val="24"/>
              </w:rPr>
            </w:pPr>
            <w:r>
              <w:rPr>
                <w:sz w:val="24"/>
              </w:rPr>
              <w:t>人以下或营</w:t>
            </w:r>
          </w:p>
        </w:tc>
        <w:tc>
          <w:tcPr>
            <w:tcW w:w="425" w:type="pct"/>
            <w:vAlign w:val="top"/>
          </w:tcPr>
          <w:p>
            <w:pPr>
              <w:pStyle w:val="46"/>
              <w:spacing w:before="2"/>
              <w:ind w:left="182"/>
              <w:rPr>
                <w:sz w:val="24"/>
              </w:rPr>
            </w:pPr>
            <w:r>
              <w:rPr>
                <w:sz w:val="24"/>
              </w:rPr>
              <w:t>3000</w:t>
            </w:r>
          </w:p>
          <w:p>
            <w:pPr>
              <w:pStyle w:val="46"/>
              <w:spacing w:before="4" w:line="292" w:lineRule="exact"/>
              <w:ind w:left="182"/>
              <w:rPr>
                <w:sz w:val="24"/>
              </w:rPr>
            </w:pPr>
            <w:r>
              <w:rPr>
                <w:sz w:val="24"/>
              </w:rPr>
              <w:t>万元</w:t>
            </w:r>
          </w:p>
        </w:tc>
        <w:tc>
          <w:tcPr>
            <w:tcW w:w="425" w:type="pct"/>
            <w:vAlign w:val="top"/>
          </w:tcPr>
          <w:p>
            <w:pPr>
              <w:pStyle w:val="46"/>
              <w:spacing w:before="2"/>
              <w:ind w:left="242"/>
              <w:rPr>
                <w:sz w:val="24"/>
              </w:rPr>
            </w:pPr>
            <w:r>
              <w:rPr>
                <w:sz w:val="24"/>
              </w:rPr>
              <w:t>200</w:t>
            </w:r>
          </w:p>
          <w:p>
            <w:pPr>
              <w:pStyle w:val="46"/>
              <w:spacing w:before="4" w:line="292" w:lineRule="exact"/>
              <w:ind w:left="182"/>
              <w:rPr>
                <w:sz w:val="24"/>
              </w:rPr>
            </w:pPr>
            <w:r>
              <w:rPr>
                <w:sz w:val="24"/>
              </w:rPr>
              <w:t>万元</w:t>
            </w:r>
          </w:p>
        </w:tc>
        <w:tc>
          <w:tcPr>
            <w:tcW w:w="427" w:type="pct"/>
            <w:vAlign w:val="top"/>
          </w:tcPr>
          <w:p>
            <w:pPr>
              <w:pStyle w:val="46"/>
              <w:spacing w:before="2"/>
              <w:ind w:left="243"/>
              <w:rPr>
                <w:sz w:val="24"/>
              </w:rPr>
            </w:pPr>
            <w:r>
              <w:rPr>
                <w:sz w:val="24"/>
              </w:rPr>
              <w:t>200</w:t>
            </w:r>
          </w:p>
          <w:p>
            <w:pPr>
              <w:pStyle w:val="46"/>
              <w:spacing w:before="4" w:line="292" w:lineRule="exact"/>
              <w:ind w:left="183"/>
              <w:rPr>
                <w:sz w:val="24"/>
              </w:rPr>
            </w:pPr>
            <w:r>
              <w:rPr>
                <w:sz w:val="24"/>
              </w:rPr>
              <w:t>万元</w:t>
            </w:r>
          </w:p>
        </w:tc>
        <w:tc>
          <w:tcPr>
            <w:tcW w:w="425" w:type="pct"/>
            <w:vAlign w:val="top"/>
          </w:tcPr>
          <w:p>
            <w:pPr>
              <w:pStyle w:val="46"/>
              <w:spacing w:before="2"/>
              <w:ind w:left="244"/>
              <w:rPr>
                <w:sz w:val="24"/>
              </w:rPr>
            </w:pPr>
            <w:r>
              <w:rPr>
                <w:sz w:val="24"/>
              </w:rPr>
              <w:t>300</w:t>
            </w:r>
          </w:p>
          <w:p>
            <w:pPr>
              <w:pStyle w:val="46"/>
              <w:spacing w:before="4" w:line="292" w:lineRule="exact"/>
              <w:ind w:left="184"/>
              <w:rPr>
                <w:sz w:val="24"/>
              </w:rPr>
            </w:pPr>
            <w:r>
              <w:rPr>
                <w:sz w:val="24"/>
              </w:rPr>
              <w:t>人及</w:t>
            </w:r>
          </w:p>
        </w:tc>
        <w:tc>
          <w:tcPr>
            <w:tcW w:w="425" w:type="pct"/>
            <w:vAlign w:val="top"/>
          </w:tcPr>
          <w:p>
            <w:pPr>
              <w:pStyle w:val="46"/>
              <w:spacing w:before="2"/>
              <w:ind w:left="152"/>
              <w:rPr>
                <w:sz w:val="24"/>
              </w:rPr>
            </w:pPr>
            <w:r>
              <w:rPr>
                <w:sz w:val="24"/>
              </w:rPr>
              <w:t>20</w:t>
            </w:r>
            <w:r>
              <w:rPr>
                <w:spacing w:val="-30"/>
                <w:sz w:val="24"/>
              </w:rPr>
              <w:t xml:space="preserve"> 人</w:t>
            </w:r>
          </w:p>
          <w:p>
            <w:pPr>
              <w:pStyle w:val="46"/>
              <w:spacing w:before="4" w:line="292" w:lineRule="exact"/>
              <w:ind w:left="183"/>
              <w:rPr>
                <w:sz w:val="24"/>
              </w:rPr>
            </w:pPr>
            <w:r>
              <w:rPr>
                <w:sz w:val="24"/>
              </w:rPr>
              <w:t>及以</w:t>
            </w:r>
          </w:p>
        </w:tc>
        <w:tc>
          <w:tcPr>
            <w:tcW w:w="377" w:type="pct"/>
            <w:vAlign w:val="top"/>
          </w:tcPr>
          <w:p>
            <w:pPr>
              <w:pStyle w:val="46"/>
              <w:spacing w:before="2"/>
              <w:ind w:left="109"/>
              <w:rPr>
                <w:sz w:val="24"/>
              </w:rPr>
            </w:pPr>
            <w:r>
              <w:rPr>
                <w:sz w:val="24"/>
              </w:rPr>
              <w:t>20</w:t>
            </w:r>
            <w:r>
              <w:rPr>
                <w:spacing w:val="-38"/>
                <w:sz w:val="24"/>
              </w:rPr>
              <w:t xml:space="preserve"> 人</w:t>
            </w:r>
          </w:p>
          <w:p>
            <w:pPr>
              <w:pStyle w:val="46"/>
              <w:spacing w:before="4" w:line="292" w:lineRule="exact"/>
              <w:ind w:left="130"/>
              <w:rPr>
                <w:sz w:val="24"/>
              </w:rPr>
            </w:pPr>
            <w:r>
              <w:rPr>
                <w:sz w:val="24"/>
              </w:rPr>
              <w:t>以下</w:t>
            </w:r>
          </w:p>
        </w:tc>
        <w:tc>
          <w:tcPr>
            <w:tcW w:w="425" w:type="pct"/>
            <w:vAlign w:val="top"/>
          </w:tcPr>
          <w:p>
            <w:pPr>
              <w:pStyle w:val="46"/>
              <w:rPr>
                <w:rFonts w:ascii="Times New Roman"/>
                <w:sz w:val="24"/>
              </w:rPr>
            </w:pPr>
          </w:p>
        </w:tc>
        <w:tc>
          <w:tcPr>
            <w:tcW w:w="426" w:type="pct"/>
            <w:vAlign w:val="top"/>
          </w:tcPr>
          <w:p>
            <w:pPr>
              <w:pStyle w:val="46"/>
              <w:rPr>
                <w:rFonts w:ascii="Times New Roman"/>
                <w:sz w:val="24"/>
              </w:rPr>
            </w:pPr>
          </w:p>
        </w:tc>
        <w:tc>
          <w:tcPr>
            <w:tcW w:w="429" w:type="pct"/>
            <w:vAlign w:val="top"/>
          </w:tcPr>
          <w:p>
            <w:pPr>
              <w:pStyle w:val="46"/>
              <w:rPr>
                <w:rFonts w:ascii="Times New Roman"/>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21"/>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8"/>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8"/>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8"/>
        <w:spacing w:before="2"/>
        <w:ind w:left="1018"/>
        <w:rPr>
          <w:color w:val="auto"/>
        </w:rPr>
      </w:pPr>
      <w:r>
        <w:rPr>
          <w:color w:val="auto"/>
        </w:rPr>
        <w:t>一、享受政府采购支持政策的残疾人福利性单位应当同时满足以下条件：</w:t>
      </w:r>
    </w:p>
    <w:p>
      <w:pPr>
        <w:pStyle w:val="8"/>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8"/>
        <w:spacing w:before="1"/>
        <w:ind w:left="1018"/>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8"/>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8"/>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8"/>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8"/>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8"/>
        <w:spacing w:before="2"/>
        <w:ind w:left="1018"/>
        <w:rPr>
          <w:color w:val="auto"/>
        </w:rPr>
      </w:pPr>
      <w:r>
        <w:rPr>
          <w:color w:val="auto"/>
        </w:rPr>
        <w:t>二、符合条件的残疾人福利性单位在参加政府采购活动时，应当提供本通知规定的</w:t>
      </w:r>
    </w:p>
    <w:p>
      <w:pPr>
        <w:pStyle w:val="8"/>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8"/>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8"/>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8"/>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8"/>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8"/>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8"/>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8"/>
        <w:spacing w:before="2"/>
        <w:ind w:left="1018"/>
        <w:jc w:val="both"/>
        <w:rPr>
          <w:color w:val="auto"/>
        </w:rPr>
      </w:pPr>
      <w:r>
        <w:rPr>
          <w:color w:val="auto"/>
        </w:rPr>
        <w:t>七、本通知自 2017 年 10 月 1 日起执行。</w:t>
      </w:r>
    </w:p>
    <w:p>
      <w:pPr>
        <w:pStyle w:val="8"/>
        <w:spacing w:before="161" w:line="364" w:lineRule="auto"/>
        <w:ind w:left="8890" w:right="534"/>
        <w:jc w:val="right"/>
        <w:rPr>
          <w:color w:val="auto"/>
        </w:rPr>
      </w:pPr>
      <w:r>
        <w:rPr>
          <w:color w:val="auto"/>
          <w:spacing w:val="-7"/>
        </w:rPr>
        <w:t>财政部民政部</w:t>
      </w:r>
    </w:p>
    <w:p>
      <w:pPr>
        <w:pStyle w:val="8"/>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rFonts w:hint="eastAsia"/>
          <w:color w:val="auto"/>
          <w:spacing w:val="-40"/>
          <w:lang w:val="en-US" w:eastAsia="zh-CN"/>
        </w:rPr>
        <w:t xml:space="preserve">   </w:t>
      </w:r>
      <w:r>
        <w:rPr>
          <w:color w:val="auto"/>
        </w:rPr>
        <w:t>8</w:t>
      </w:r>
      <w:r>
        <w:rPr>
          <w:color w:val="auto"/>
          <w:spacing w:val="-40"/>
        </w:rPr>
        <w:t xml:space="preserve"> 月 </w:t>
      </w:r>
      <w:r>
        <w:rPr>
          <w:rFonts w:hint="eastAsia"/>
          <w:color w:val="auto"/>
          <w:spacing w:val="-40"/>
          <w:lang w:val="en-US" w:eastAsia="zh-CN"/>
        </w:rPr>
        <w:t xml:space="preserve">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8"/>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8"/>
        <w:ind w:left="0"/>
        <w:rPr>
          <w:b/>
          <w:color w:val="auto"/>
          <w:sz w:val="32"/>
        </w:rPr>
      </w:pPr>
    </w:p>
    <w:p>
      <w:pPr>
        <w:pStyle w:val="8"/>
        <w:spacing w:before="5"/>
        <w:ind w:left="0"/>
        <w:rPr>
          <w:b/>
          <w:color w:val="auto"/>
          <w:sz w:val="29"/>
        </w:rPr>
      </w:pP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8"/>
        <w:spacing w:before="84" w:line="364" w:lineRule="auto"/>
        <w:ind w:right="416" w:firstLine="480"/>
        <w:rPr>
          <w:color w:val="auto"/>
          <w:spacing w:val="-5"/>
        </w:rPr>
      </w:pPr>
      <w:r>
        <w:rPr>
          <w:color w:val="auto"/>
          <w:spacing w:val="-5"/>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w:t>
      </w:r>
      <w:r>
        <w:rPr>
          <w:rFonts w:hint="eastAsia"/>
          <w:color w:val="auto"/>
          <w:spacing w:val="-5"/>
          <w:lang w:val="en-US" w:eastAsia="zh-CN"/>
        </w:rPr>
        <w:t xml:space="preserve"> </w:t>
      </w:r>
      <w:r>
        <w:rPr>
          <w:color w:val="auto"/>
          <w:spacing w:val="-5"/>
        </w:rPr>
        <w:t>市</w:t>
      </w:r>
      <w:r>
        <w:rPr>
          <w:rFonts w:hint="eastAsia"/>
          <w:color w:val="auto"/>
          <w:spacing w:val="-5"/>
          <w:lang w:val="en-US" w:eastAsia="zh-CN"/>
        </w:rPr>
        <w:t xml:space="preserve"> </w:t>
      </w:r>
      <w:r>
        <w:rPr>
          <w:color w:val="auto"/>
          <w:spacing w:val="-5"/>
        </w:rPr>
        <w:t>财</w:t>
      </w:r>
      <w:r>
        <w:rPr>
          <w:rFonts w:hint="eastAsia"/>
          <w:color w:val="auto"/>
          <w:spacing w:val="-5"/>
          <w:lang w:val="en-US" w:eastAsia="zh-CN"/>
        </w:rPr>
        <w:t xml:space="preserve"> </w:t>
      </w:r>
      <w:r>
        <w:rPr>
          <w:color w:val="auto"/>
          <w:spacing w:val="-5"/>
        </w:rPr>
        <w:t>政</w:t>
      </w:r>
      <w:r>
        <w:rPr>
          <w:rFonts w:hint="eastAsia"/>
          <w:color w:val="auto"/>
          <w:spacing w:val="-5"/>
          <w:lang w:val="en-US" w:eastAsia="zh-CN"/>
        </w:rPr>
        <w:t xml:space="preserve"> </w:t>
      </w:r>
      <w:r>
        <w:rPr>
          <w:color w:val="auto"/>
          <w:spacing w:val="-5"/>
        </w:rPr>
        <w:t>厅（局）</w:t>
      </w:r>
      <w:r>
        <w:rPr>
          <w:rFonts w:hint="eastAsia"/>
          <w:color w:val="auto"/>
          <w:spacing w:val="-5"/>
          <w:lang w:val="en-US" w:eastAsia="zh-CN"/>
        </w:rPr>
        <w:t xml:space="preserve">  </w:t>
      </w:r>
      <w:r>
        <w:rPr>
          <w:color w:val="auto"/>
          <w:spacing w:val="-5"/>
        </w:rPr>
        <w:t>、司法厅（局），新疆生产建设兵团财务局、司法局、监狱管理局：</w:t>
      </w:r>
    </w:p>
    <w:p>
      <w:pPr>
        <w:pStyle w:val="8"/>
        <w:spacing w:before="84" w:line="364" w:lineRule="auto"/>
        <w:ind w:right="416" w:firstLine="480"/>
        <w:rPr>
          <w:color w:val="auto"/>
          <w:spacing w:val="-5"/>
        </w:rPr>
      </w:pPr>
      <w:r>
        <w:rPr>
          <w:color w:val="auto"/>
          <w:spacing w:val="-5"/>
        </w:rPr>
        <w:t>政府采购支持监狱和戒毒企业（以下简称监狱企业）发展对稳定监狱企业生产，提高</w:t>
      </w:r>
      <w:r>
        <w:rPr>
          <w:rFonts w:hint="eastAsia"/>
          <w:color w:val="auto"/>
          <w:spacing w:val="-5"/>
          <w:lang w:eastAsia="zh-CN"/>
        </w:rPr>
        <w:t>单位自筹</w:t>
      </w:r>
      <w:r>
        <w:rPr>
          <w:color w:val="auto"/>
          <w:spacing w:val="-5"/>
        </w:rPr>
        <w:t>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pPr>
        <w:pStyle w:val="8"/>
        <w:spacing w:before="84" w:line="364" w:lineRule="auto"/>
        <w:ind w:right="416" w:firstLine="480"/>
        <w:rPr>
          <w:color w:val="auto"/>
          <w:spacing w:val="-5"/>
        </w:rPr>
      </w:pPr>
      <w:r>
        <w:rPr>
          <w:color w:val="auto"/>
          <w:spacing w:val="-5"/>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 以及新疆生产建设兵团监狱管理局、戒毒管理局的企业。监狱企业参加政府采购活动时， 应当提供由省级以上监狱管理局、戒毒管理局（含新疆生产建设兵团）出具的属于监狱企业的证明文件。</w:t>
      </w:r>
    </w:p>
    <w:p>
      <w:pPr>
        <w:pStyle w:val="8"/>
        <w:spacing w:before="84" w:line="364" w:lineRule="auto"/>
        <w:ind w:right="416" w:firstLine="480"/>
        <w:rPr>
          <w:color w:val="auto"/>
          <w:spacing w:val="-5"/>
        </w:rPr>
      </w:pPr>
      <w:r>
        <w:rPr>
          <w:color w:val="auto"/>
          <w:spacing w:val="-5"/>
        </w:rPr>
        <w:t>二、在政府采购活动中，监狱企业视同小型、微型企业，享受预留份额、评审中价格扣除等政府采购促进中小企业发展的政府采购政策。向监狱企业采购的金额，计入面向中小企业采购的统计数据。</w:t>
      </w:r>
    </w:p>
    <w:p>
      <w:pPr>
        <w:pStyle w:val="8"/>
        <w:spacing w:before="84" w:line="364" w:lineRule="auto"/>
        <w:ind w:right="416" w:firstLine="480"/>
        <w:rPr>
          <w:color w:val="auto"/>
          <w:spacing w:val="-5"/>
        </w:rPr>
      </w:pPr>
      <w:r>
        <w:rPr>
          <w:color w:val="auto"/>
          <w:spacing w:val="-5"/>
        </w:rPr>
        <w:t>三、各地区、各部门要积极通过预留采购份额支持监狱企业。有制服采购项目的部门，应加强对政府采购预算和计划编制工作的统筹，预留本部门制服采购项目预算总额的 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 提出由监狱企业印刷的比例要求。</w:t>
      </w:r>
    </w:p>
    <w:p>
      <w:pPr>
        <w:pStyle w:val="8"/>
        <w:spacing w:before="84" w:line="364" w:lineRule="auto"/>
        <w:ind w:right="416" w:firstLine="480"/>
        <w:rPr>
          <w:color w:val="auto"/>
          <w:spacing w:val="-5"/>
        </w:rPr>
      </w:pPr>
      <w:r>
        <w:rPr>
          <w:color w:val="auto"/>
          <w:spacing w:val="-5"/>
        </w:rPr>
        <w:t>四、各地区可以结合本地区实际，对监狱企业生产的办公用品、家具用具、车辆维修和提供的保养服务、消防设备等，提出预留份额等政府采购支持措施，加大对监狱企业产品的采购力度。</w:t>
      </w:r>
    </w:p>
    <w:p>
      <w:pPr>
        <w:pStyle w:val="8"/>
        <w:spacing w:before="84" w:line="364" w:lineRule="auto"/>
        <w:ind w:right="416" w:firstLine="480"/>
        <w:rPr>
          <w:color w:val="auto"/>
          <w:sz w:val="25"/>
        </w:rPr>
      </w:pPr>
      <w:r>
        <w:rPr>
          <w:color w:val="auto"/>
          <w:spacing w:val="-5"/>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pStyle w:val="8"/>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1" w:name="_Toc9526"/>
      <w:r>
        <w:rPr>
          <w:color w:val="auto"/>
        </w:rPr>
        <w:t>附件六</w:t>
      </w:r>
      <w:bookmarkEnd w:id="81"/>
    </w:p>
    <w:p>
      <w:pPr>
        <w:pStyle w:val="8"/>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8"/>
        <w:ind w:left="0"/>
        <w:rPr>
          <w:color w:val="auto"/>
        </w:rPr>
      </w:pPr>
    </w:p>
    <w:p>
      <w:pPr>
        <w:pStyle w:val="8"/>
        <w:spacing w:before="1"/>
        <w:ind w:left="0"/>
        <w:rPr>
          <w:color w:val="auto"/>
          <w:sz w:val="19"/>
        </w:rPr>
      </w:pPr>
    </w:p>
    <w:p>
      <w:pPr>
        <w:pStyle w:val="8"/>
        <w:spacing w:line="364" w:lineRule="auto"/>
        <w:ind w:right="472" w:firstLine="420" w:firstLineChars="200"/>
        <w:rPr>
          <w:color w:val="auto"/>
        </w:rPr>
      </w:pPr>
      <w:r>
        <w:rPr>
          <w:color w:val="auto"/>
        </w:rPr>
        <w:t>各省辖市、省直管县（市）住房和城乡建设局（委），郑州航空港经济综合实验区市政建设环保局，林州市住房城乡建设主管部门：</w:t>
      </w:r>
    </w:p>
    <w:p>
      <w:pPr>
        <w:pStyle w:val="8"/>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8"/>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8"/>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180"/>
          <w:u w:val="single"/>
          <w:lang w:val="en-US" w:eastAsia="zh-CN"/>
        </w:rPr>
        <w:t xml:space="preserve">   </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8"/>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8"/>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8"/>
        <w:spacing w:before="1"/>
        <w:ind w:left="1018"/>
        <w:rPr>
          <w:color w:val="auto"/>
        </w:rPr>
      </w:pPr>
      <w:r>
        <w:rPr>
          <w:color w:val="auto"/>
        </w:rPr>
        <w:t>（一）擅自设置任何审批、备案事项或者告知条件；</w:t>
      </w:r>
    </w:p>
    <w:p>
      <w:pPr>
        <w:pStyle w:val="8"/>
        <w:spacing w:before="161"/>
        <w:ind w:left="1018"/>
        <w:rPr>
          <w:color w:val="auto"/>
        </w:rPr>
      </w:pPr>
      <w:r>
        <w:rPr>
          <w:color w:val="auto"/>
        </w:rPr>
        <w:t>（二）收取没有法律法规依据的任何费用等；</w:t>
      </w:r>
    </w:p>
    <w:p>
      <w:pPr>
        <w:pStyle w:val="8"/>
        <w:spacing w:before="160"/>
        <w:ind w:left="1018"/>
        <w:rPr>
          <w:color w:val="auto"/>
        </w:rPr>
      </w:pPr>
      <w:r>
        <w:rPr>
          <w:color w:val="auto"/>
        </w:rPr>
        <w:t>（三）要求外地企业在本地区注册设立独立子公司或分公司；</w:t>
      </w:r>
    </w:p>
    <w:p>
      <w:pPr>
        <w:pStyle w:val="8"/>
        <w:spacing w:before="161"/>
        <w:ind w:left="1018"/>
        <w:rPr>
          <w:color w:val="auto"/>
        </w:rPr>
      </w:pPr>
      <w:r>
        <w:rPr>
          <w:color w:val="auto"/>
        </w:rPr>
        <w:t>（四）强制扣押外地企业和人员的相关证照资料；</w:t>
      </w:r>
    </w:p>
    <w:p>
      <w:pPr>
        <w:pStyle w:val="8"/>
        <w:spacing w:before="161" w:line="364" w:lineRule="auto"/>
        <w:ind w:right="535" w:firstLine="48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8"/>
        <w:spacing w:before="1"/>
        <w:ind w:left="1018"/>
        <w:rPr>
          <w:color w:val="auto"/>
        </w:rPr>
      </w:pPr>
      <w:r>
        <w:rPr>
          <w:color w:val="auto"/>
        </w:rPr>
        <w:t>（六）将资质资格等级作为外地企业进入本地区承揽业务的条件；</w:t>
      </w:r>
    </w:p>
    <w:p>
      <w:pPr>
        <w:pStyle w:val="8"/>
        <w:spacing w:before="161"/>
        <w:ind w:left="1018"/>
        <w:rPr>
          <w:color w:val="auto"/>
        </w:rPr>
      </w:pPr>
      <w:r>
        <w:rPr>
          <w:color w:val="auto"/>
        </w:rPr>
        <w:t>（七）以本地区承揽工程业绩、本地区获奖情况作为企业进入本地市场条件；</w:t>
      </w:r>
    </w:p>
    <w:p>
      <w:pPr>
        <w:pStyle w:val="8"/>
        <w:spacing w:before="160"/>
        <w:ind w:left="1018"/>
        <w:rPr>
          <w:color w:val="auto"/>
        </w:rPr>
      </w:pPr>
      <w:r>
        <w:rPr>
          <w:color w:val="auto"/>
        </w:rPr>
        <w:t>（八）要求企业法定代表人到场办理入省（市）手续；</w:t>
      </w:r>
    </w:p>
    <w:p>
      <w:pPr>
        <w:pStyle w:val="8"/>
        <w:spacing w:before="161"/>
        <w:ind w:left="1018"/>
        <w:rPr>
          <w:color w:val="auto"/>
        </w:rPr>
      </w:pPr>
      <w:r>
        <w:rPr>
          <w:color w:val="auto"/>
        </w:rPr>
        <w:t>（九）其他妨碍企业自主经营、公平竞争的行为。</w:t>
      </w:r>
    </w:p>
    <w:p>
      <w:pPr>
        <w:pStyle w:val="8"/>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8"/>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8"/>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8"/>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8"/>
        <w:spacing w:before="1" w:line="364" w:lineRule="auto"/>
        <w:ind w:right="532" w:firstLine="719"/>
        <w:jc w:val="both"/>
        <w:rPr>
          <w:color w:val="auto"/>
        </w:rPr>
      </w:pPr>
      <w:r>
        <w:rPr>
          <w:color w:val="auto"/>
          <w:spacing w:val="32"/>
        </w:rPr>
        <w:t>省厅举报投诉受理邮箱：</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3"/>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pStyle w:val="36"/>
        <w:rPr>
          <w:rFonts w:hint="eastAsia" w:ascii="宋体" w:hAnsi="宋体" w:cs="宋体"/>
          <w:color w:val="auto"/>
          <w:kern w:val="0"/>
          <w:sz w:val="32"/>
          <w:szCs w:val="32"/>
          <w:lang w:val="zh-CN" w:eastAsia="zh-CN"/>
        </w:rPr>
      </w:pPr>
    </w:p>
    <w:p>
      <w:pPr>
        <w:tabs>
          <w:tab w:val="left" w:pos="5773"/>
          <w:tab w:val="left" w:pos="6810"/>
          <w:tab w:val="right" w:pos="8426"/>
        </w:tabs>
        <w:jc w:val="both"/>
        <w:rPr>
          <w:rFonts w:hint="eastAsia"/>
          <w:lang w:val="zh-CN" w:eastAsia="zh-CN"/>
        </w:rPr>
      </w:pPr>
    </w:p>
    <w:p>
      <w:pPr>
        <w:jc w:val="center"/>
        <w:rPr>
          <w:rFonts w:hint="eastAsia"/>
          <w:b/>
          <w:bCs/>
          <w:sz w:val="44"/>
          <w:szCs w:val="44"/>
        </w:rPr>
      </w:pPr>
      <w:r>
        <w:rPr>
          <w:rFonts w:hint="eastAsia"/>
          <w:b/>
          <w:bCs/>
          <w:sz w:val="44"/>
          <w:szCs w:val="44"/>
          <w:lang w:val="en-US" w:eastAsia="zh-CN"/>
        </w:rPr>
        <w:t xml:space="preserve"> </w:t>
      </w:r>
      <w:r>
        <w:rPr>
          <w:rFonts w:hint="eastAsia"/>
          <w:b/>
          <w:bCs/>
          <w:sz w:val="44"/>
          <w:szCs w:val="44"/>
        </w:rPr>
        <w:t>告知函</w:t>
      </w:r>
    </w:p>
    <w:p>
      <w:pPr>
        <w:spacing w:line="400" w:lineRule="exact"/>
        <w:jc w:val="left"/>
        <w:rPr>
          <w:rFonts w:hint="eastAsia"/>
          <w:sz w:val="24"/>
        </w:rPr>
      </w:pPr>
      <w:r>
        <w:rPr>
          <w:rFonts w:hint="eastAsia"/>
          <w:sz w:val="24"/>
        </w:rPr>
        <w:t>采购单位（签字、公章）：                             日期：202</w:t>
      </w:r>
      <w:r>
        <w:rPr>
          <w:rFonts w:hint="eastAsia"/>
          <w:sz w:val="24"/>
          <w:lang w:val="en-US" w:eastAsia="zh-CN"/>
        </w:rPr>
        <w:t>4</w:t>
      </w:r>
      <w:r>
        <w:rPr>
          <w:rFonts w:hint="eastAsia"/>
          <w:sz w:val="24"/>
        </w:rPr>
        <w:t>年 月  日</w:t>
      </w:r>
    </w:p>
    <w:p>
      <w:pPr>
        <w:spacing w:line="400" w:lineRule="exact"/>
        <w:jc w:val="left"/>
        <w:rPr>
          <w:rFonts w:hint="eastAsia" w:eastAsia="宋体"/>
          <w:sz w:val="24"/>
          <w:lang w:eastAsia="zh-CN"/>
        </w:rPr>
      </w:pPr>
      <w:r>
        <w:rPr>
          <w:rFonts w:hint="eastAsia"/>
          <w:sz w:val="24"/>
        </w:rPr>
        <w:t>项目名称：</w:t>
      </w:r>
      <w:r>
        <w:rPr>
          <w:rFonts w:hint="eastAsia"/>
          <w:sz w:val="24"/>
          <w:lang w:eastAsia="zh-CN"/>
        </w:rPr>
        <w:t>唐河县天龙华府消防工程项目</w:t>
      </w:r>
    </w:p>
    <w:tbl>
      <w:tblPr>
        <w:tblStyle w:val="21"/>
        <w:tblpPr w:leftFromText="180" w:rightFromText="180" w:vertAnchor="text" w:horzAnchor="page" w:tblpX="1791" w:tblpY="213"/>
        <w:tblOverlap w:val="never"/>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2094"/>
        <w:gridCol w:w="53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22" w:type="dxa"/>
            <w:noWrap w:val="0"/>
            <w:vAlign w:val="center"/>
          </w:tcPr>
          <w:p>
            <w:pPr>
              <w:spacing w:line="300" w:lineRule="exact"/>
              <w:jc w:val="center"/>
              <w:rPr>
                <w:rFonts w:hint="eastAsia"/>
                <w:sz w:val="24"/>
                <w:szCs w:val="32"/>
              </w:rPr>
            </w:pPr>
            <w:r>
              <w:rPr>
                <w:rFonts w:hint="eastAsia"/>
                <w:sz w:val="24"/>
                <w:szCs w:val="32"/>
              </w:rPr>
              <w:t>事项</w:t>
            </w:r>
          </w:p>
        </w:tc>
        <w:tc>
          <w:tcPr>
            <w:tcW w:w="2094" w:type="dxa"/>
            <w:noWrap w:val="0"/>
            <w:vAlign w:val="center"/>
          </w:tcPr>
          <w:p>
            <w:pPr>
              <w:spacing w:line="300" w:lineRule="exact"/>
              <w:jc w:val="center"/>
              <w:rPr>
                <w:rFonts w:hint="eastAsia"/>
                <w:b/>
                <w:bCs/>
                <w:sz w:val="24"/>
                <w:szCs w:val="32"/>
              </w:rPr>
            </w:pPr>
            <w:r>
              <w:rPr>
                <w:rFonts w:hint="eastAsia"/>
                <w:sz w:val="24"/>
                <w:szCs w:val="32"/>
              </w:rPr>
              <w:t>时限</w:t>
            </w:r>
          </w:p>
        </w:tc>
        <w:tc>
          <w:tcPr>
            <w:tcW w:w="5302" w:type="dxa"/>
            <w:noWrap w:val="0"/>
            <w:vAlign w:val="center"/>
          </w:tcPr>
          <w:p>
            <w:pPr>
              <w:spacing w:line="300" w:lineRule="exact"/>
              <w:jc w:val="center"/>
              <w:rPr>
                <w:rFonts w:hint="eastAsia"/>
                <w:sz w:val="24"/>
                <w:szCs w:val="32"/>
              </w:rPr>
            </w:pPr>
            <w:r>
              <w:rPr>
                <w:rFonts w:hint="eastAsia"/>
                <w:sz w:val="24"/>
                <w:szCs w:val="32"/>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3" w:hRule="atLeast"/>
        </w:trPr>
        <w:tc>
          <w:tcPr>
            <w:tcW w:w="1222" w:type="dxa"/>
            <w:noWrap w:val="0"/>
            <w:vAlign w:val="center"/>
          </w:tcPr>
          <w:p>
            <w:pPr>
              <w:pStyle w:val="55"/>
              <w:spacing w:line="300" w:lineRule="exact"/>
              <w:ind w:firstLine="0"/>
              <w:rPr>
                <w:rFonts w:hint="eastAsia"/>
                <w:sz w:val="24"/>
                <w:szCs w:val="24"/>
                <w:lang w:eastAsia="zh-CN"/>
              </w:rPr>
            </w:pPr>
            <w:r>
              <w:rPr>
                <w:color w:val="000000"/>
                <w:sz w:val="24"/>
                <w:szCs w:val="24"/>
              </w:rPr>
              <w:t>合同签订</w:t>
            </w:r>
          </w:p>
        </w:tc>
        <w:tc>
          <w:tcPr>
            <w:tcW w:w="2094" w:type="dxa"/>
            <w:noWrap w:val="0"/>
            <w:vAlign w:val="center"/>
          </w:tcPr>
          <w:p>
            <w:pPr>
              <w:pStyle w:val="55"/>
              <w:spacing w:line="300" w:lineRule="exact"/>
              <w:ind w:firstLine="0"/>
              <w:jc w:val="left"/>
              <w:rPr>
                <w:rFonts w:hint="eastAsia"/>
                <w:sz w:val="24"/>
                <w:szCs w:val="24"/>
                <w:lang w:eastAsia="zh-CN"/>
              </w:rPr>
            </w:pPr>
            <w:r>
              <w:rPr>
                <w:color w:val="000000"/>
                <w:sz w:val="24"/>
                <w:szCs w:val="24"/>
              </w:rPr>
              <w:t>中标（成交）通知书 发出之日起</w:t>
            </w:r>
            <w:r>
              <w:rPr>
                <w:rFonts w:hint="eastAsia" w:cs="Times New Roman"/>
                <w:color w:val="000000"/>
                <w:sz w:val="24"/>
                <w:szCs w:val="24"/>
                <w:lang w:eastAsia="zh-CN"/>
              </w:rPr>
              <w:t>1</w:t>
            </w:r>
            <w:r>
              <w:rPr>
                <w:color w:val="000000"/>
                <w:sz w:val="24"/>
                <w:szCs w:val="24"/>
              </w:rPr>
              <w:t>个工作日内釆购人与供应商签订政府釆购合同。</w:t>
            </w:r>
          </w:p>
        </w:tc>
        <w:tc>
          <w:tcPr>
            <w:tcW w:w="5302" w:type="dxa"/>
            <w:noWrap w:val="0"/>
            <w:vAlign w:val="center"/>
          </w:tcPr>
          <w:p>
            <w:pPr>
              <w:pStyle w:val="55"/>
              <w:spacing w:line="300" w:lineRule="exact"/>
              <w:ind w:firstLine="0"/>
              <w:rPr>
                <w:rFonts w:hint="eastAsia"/>
                <w:sz w:val="24"/>
                <w:szCs w:val="24"/>
                <w:lang w:eastAsia="zh-CN"/>
              </w:rPr>
            </w:pPr>
            <w:r>
              <w:rPr>
                <w:color w:val="000000"/>
                <w:sz w:val="24"/>
                <w:szCs w:val="24"/>
              </w:rPr>
              <w:t>釆购人应当按照釆购文件要求，拟制符合采购项目特点的技术耍求，包括釆购人与供应商权利义务、验收程序和要求、合同内容、交付时间、付款程序和条件、 签订日期、供应商账户信息、违约赔偿和处罚程序、争议处理</w:t>
            </w:r>
            <w:r>
              <w:rPr>
                <w:rFonts w:hint="eastAsia"/>
                <w:color w:val="000000"/>
                <w:sz w:val="24"/>
                <w:szCs w:val="24"/>
                <w:lang w:eastAsia="zh-CN"/>
              </w:rPr>
              <w:t>等</w:t>
            </w:r>
            <w:r>
              <w:rPr>
                <w:color w:val="000000"/>
                <w:sz w:val="24"/>
                <w:szCs w:val="24"/>
              </w:rPr>
              <w:t>内容的合同文本，经本单位法制审查或集体决策后与供应商签订政府采购合同。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8" w:hRule="atLeast"/>
        </w:trPr>
        <w:tc>
          <w:tcPr>
            <w:tcW w:w="1222" w:type="dxa"/>
            <w:noWrap w:val="0"/>
            <w:vAlign w:val="center"/>
          </w:tcPr>
          <w:p>
            <w:pPr>
              <w:pStyle w:val="55"/>
              <w:spacing w:line="300" w:lineRule="exact"/>
              <w:ind w:firstLine="0"/>
              <w:jc w:val="left"/>
              <w:rPr>
                <w:rFonts w:hint="eastAsia"/>
                <w:sz w:val="24"/>
                <w:szCs w:val="24"/>
                <w:lang w:eastAsia="zh-CN"/>
              </w:rPr>
            </w:pPr>
            <w:r>
              <w:rPr>
                <w:color w:val="000000"/>
                <w:sz w:val="24"/>
                <w:szCs w:val="24"/>
              </w:rPr>
              <w:t>合同备案</w:t>
            </w:r>
          </w:p>
        </w:tc>
        <w:tc>
          <w:tcPr>
            <w:tcW w:w="2094" w:type="dxa"/>
            <w:noWrap w:val="0"/>
            <w:vAlign w:val="center"/>
          </w:tcPr>
          <w:p>
            <w:pPr>
              <w:pStyle w:val="55"/>
              <w:spacing w:line="300" w:lineRule="exact"/>
              <w:ind w:firstLine="0"/>
              <w:jc w:val="left"/>
              <w:rPr>
                <w:rFonts w:hint="eastAsia"/>
                <w:sz w:val="24"/>
                <w:szCs w:val="24"/>
                <w:lang w:eastAsia="zh-CN"/>
              </w:rPr>
            </w:pPr>
            <w:r>
              <w:rPr>
                <w:color w:val="000000"/>
                <w:sz w:val="24"/>
                <w:szCs w:val="24"/>
              </w:rPr>
              <w:t>政府采购合同签订之日起</w:t>
            </w:r>
            <w:r>
              <w:rPr>
                <w:rFonts w:hint="eastAsia" w:cs="Times New Roman"/>
                <w:color w:val="000000"/>
                <w:sz w:val="24"/>
                <w:szCs w:val="24"/>
                <w:lang w:eastAsia="zh-CN"/>
              </w:rPr>
              <w:t>1</w:t>
            </w:r>
            <w:r>
              <w:rPr>
                <w:color w:val="000000"/>
                <w:sz w:val="24"/>
                <w:szCs w:val="24"/>
              </w:rPr>
              <w:t>个工作日内，合同备案并公示。</w:t>
            </w:r>
          </w:p>
        </w:tc>
        <w:tc>
          <w:tcPr>
            <w:tcW w:w="5302" w:type="dxa"/>
            <w:noWrap w:val="0"/>
            <w:vAlign w:val="center"/>
          </w:tcPr>
          <w:p>
            <w:pPr>
              <w:pStyle w:val="55"/>
              <w:spacing w:line="300" w:lineRule="exact"/>
              <w:ind w:firstLine="0"/>
              <w:jc w:val="left"/>
              <w:rPr>
                <w:rFonts w:hint="eastAsia"/>
                <w:sz w:val="24"/>
                <w:szCs w:val="24"/>
                <w:lang w:eastAsia="zh-CN"/>
              </w:rPr>
            </w:pPr>
            <w:r>
              <w:rPr>
                <w:color w:val="000000"/>
                <w:sz w:val="24"/>
                <w:szCs w:val="24"/>
              </w:rPr>
              <w:t xml:space="preserve">政府釆购合同公告备案是法定要求，采购人应及时履行备案手续。采购人应当自政府采购合同签订之日起 </w:t>
            </w:r>
            <w:r>
              <w:rPr>
                <w:rFonts w:hint="eastAsia" w:cs="Times New Roman"/>
                <w:color w:val="000000"/>
                <w:sz w:val="24"/>
                <w:szCs w:val="24"/>
                <w:lang w:eastAsia="zh-CN"/>
              </w:rPr>
              <w:t>1</w:t>
            </w:r>
            <w:r>
              <w:rPr>
                <w:color w:val="000000"/>
                <w:sz w:val="24"/>
                <w:szCs w:val="24"/>
              </w:rPr>
              <w:t>个工作日内，登录河南省电子化政府采购系统</w:t>
            </w:r>
            <w:r>
              <w:rPr>
                <w:color w:val="000000"/>
                <w:sz w:val="24"/>
                <w:szCs w:val="24"/>
                <w:lang w:val="zh-CN" w:eastAsia="zh-CN" w:bidi="zh-CN"/>
              </w:rPr>
              <w:t>“合同</w:t>
            </w:r>
            <w:r>
              <w:rPr>
                <w:color w:val="000000"/>
                <w:sz w:val="24"/>
                <w:szCs w:val="24"/>
              </w:rPr>
              <w:t>管理”模块，填写合同基本信息，并上传政府釆购合同、中标（成交）通知书、中标结果和成交确认书。政府釆购监督管理部门对采购人提交的合同基本信息及上传资料进行审核，审核通过后完成合同备案。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7" w:hRule="atLeast"/>
        </w:trPr>
        <w:tc>
          <w:tcPr>
            <w:tcW w:w="1222" w:type="dxa"/>
            <w:noWrap w:val="0"/>
            <w:vAlign w:val="center"/>
          </w:tcPr>
          <w:p>
            <w:pPr>
              <w:pStyle w:val="55"/>
              <w:spacing w:line="300" w:lineRule="exact"/>
              <w:ind w:firstLine="0"/>
              <w:rPr>
                <w:rFonts w:hint="eastAsia"/>
                <w:sz w:val="24"/>
                <w:szCs w:val="24"/>
                <w:lang w:eastAsia="zh-CN"/>
              </w:rPr>
            </w:pPr>
            <w:r>
              <w:rPr>
                <w:color w:val="000000"/>
                <w:sz w:val="24"/>
                <w:szCs w:val="24"/>
              </w:rPr>
              <w:t>履约验收</w:t>
            </w:r>
          </w:p>
        </w:tc>
        <w:tc>
          <w:tcPr>
            <w:tcW w:w="2094" w:type="dxa"/>
            <w:noWrap w:val="0"/>
            <w:vAlign w:val="center"/>
          </w:tcPr>
          <w:p>
            <w:pPr>
              <w:pStyle w:val="55"/>
              <w:spacing w:line="300" w:lineRule="exact"/>
              <w:ind w:firstLine="0"/>
              <w:jc w:val="left"/>
              <w:rPr>
                <w:rFonts w:hint="eastAsia"/>
                <w:sz w:val="24"/>
                <w:szCs w:val="24"/>
                <w:lang w:eastAsia="zh-CN"/>
              </w:rPr>
            </w:pPr>
            <w:r>
              <w:rPr>
                <w:color w:val="000000"/>
                <w:sz w:val="24"/>
                <w:szCs w:val="24"/>
              </w:rPr>
              <w:t>釆购人应该在供应 商提岀验收申请之日起</w:t>
            </w:r>
            <w:r>
              <w:rPr>
                <w:rFonts w:hint="eastAsia" w:cs="Times New Roman"/>
                <w:color w:val="000000"/>
                <w:sz w:val="24"/>
                <w:szCs w:val="24"/>
                <w:lang w:eastAsia="zh-CN"/>
              </w:rPr>
              <w:t>3</w:t>
            </w:r>
            <w:r>
              <w:rPr>
                <w:rFonts w:ascii="Times New Roman" w:hAnsi="Times New Roman" w:eastAsia="Times New Roman" w:cs="Times New Roman"/>
                <w:color w:val="000000"/>
                <w:sz w:val="24"/>
                <w:szCs w:val="24"/>
              </w:rPr>
              <w:t xml:space="preserve"> </w:t>
            </w:r>
            <w:r>
              <w:rPr>
                <w:color w:val="000000"/>
                <w:sz w:val="24"/>
                <w:szCs w:val="24"/>
              </w:rPr>
              <w:t>个工作日内完成验收， 验收完成之日起</w:t>
            </w:r>
            <w:r>
              <w:rPr>
                <w:rFonts w:hint="eastAsia" w:cs="Times New Roman"/>
                <w:color w:val="000000"/>
                <w:sz w:val="24"/>
                <w:szCs w:val="24"/>
                <w:lang w:eastAsia="zh-CN"/>
              </w:rPr>
              <w:t>2</w:t>
            </w:r>
            <w:r>
              <w:rPr>
                <w:color w:val="000000"/>
                <w:sz w:val="24"/>
                <w:szCs w:val="24"/>
              </w:rPr>
              <w:t>个</w:t>
            </w:r>
            <w:r>
              <w:rPr>
                <w:rFonts w:hint="eastAsia"/>
                <w:color w:val="000000"/>
                <w:sz w:val="24"/>
                <w:szCs w:val="24"/>
                <w:lang w:eastAsia="zh-CN"/>
              </w:rPr>
              <w:t>日</w:t>
            </w:r>
            <w:r>
              <w:rPr>
                <w:color w:val="000000"/>
                <w:sz w:val="24"/>
                <w:szCs w:val="24"/>
              </w:rPr>
              <w:t>内，合同履约验收</w:t>
            </w:r>
            <w:r>
              <w:rPr>
                <w:rFonts w:hint="eastAsia"/>
                <w:color w:val="000000"/>
                <w:sz w:val="24"/>
                <w:szCs w:val="24"/>
                <w:lang w:eastAsia="zh-CN"/>
              </w:rPr>
              <w:t>公示。</w:t>
            </w:r>
          </w:p>
        </w:tc>
        <w:tc>
          <w:tcPr>
            <w:tcW w:w="5302" w:type="dxa"/>
            <w:noWrap w:val="0"/>
            <w:vAlign w:val="center"/>
          </w:tcPr>
          <w:p>
            <w:pPr>
              <w:pStyle w:val="55"/>
              <w:spacing w:line="300" w:lineRule="exact"/>
              <w:ind w:firstLine="0"/>
              <w:rPr>
                <w:rFonts w:hint="eastAsia"/>
                <w:sz w:val="24"/>
                <w:szCs w:val="24"/>
                <w:lang w:eastAsia="zh-CN"/>
              </w:rPr>
            </w:pPr>
            <w:r>
              <w:rPr>
                <w:color w:val="000000"/>
                <w:sz w:val="24"/>
                <w:szCs w:val="24"/>
              </w:rPr>
              <w:t>政府采购项目供应商履约完成后，应及吋向采购人 提出验收申请。验收合格的项目，采购人应在验收完成之日起</w:t>
            </w:r>
            <w:r>
              <w:rPr>
                <w:rFonts w:hint="eastAsia" w:ascii="Times New Roman" w:hAnsi="Times New Roman" w:cs="Times New Roman"/>
                <w:color w:val="000000"/>
                <w:sz w:val="24"/>
                <w:szCs w:val="24"/>
                <w:lang w:val="en-US" w:eastAsia="zh-CN"/>
              </w:rPr>
              <w:t>2</w:t>
            </w:r>
            <w:r>
              <w:rPr>
                <w:color w:val="000000"/>
                <w:sz w:val="24"/>
                <w:szCs w:val="24"/>
              </w:rPr>
              <w:t>个工作日内</w:t>
            </w:r>
            <w:r>
              <w:rPr>
                <w:rFonts w:hint="eastAsia"/>
                <w:color w:val="000000"/>
                <w:sz w:val="24"/>
                <w:szCs w:val="24"/>
                <w:lang w:eastAsia="zh-CN"/>
              </w:rPr>
              <w:t>，</w:t>
            </w:r>
            <w:r>
              <w:rPr>
                <w:color w:val="000000"/>
                <w:sz w:val="24"/>
                <w:szCs w:val="24"/>
              </w:rPr>
              <w:t xml:space="preserve">登录河南省电子化政府采购系统 </w:t>
            </w:r>
            <w:r>
              <w:rPr>
                <w:color w:val="000000"/>
                <w:sz w:val="24"/>
                <w:szCs w:val="24"/>
                <w:lang w:val="zh-CN" w:eastAsia="zh-CN" w:bidi="zh-CN"/>
              </w:rPr>
              <w:t>“合同</w:t>
            </w:r>
            <w:r>
              <w:rPr>
                <w:color w:val="000000"/>
                <w:sz w:val="24"/>
                <w:szCs w:val="24"/>
              </w:rPr>
              <w:t>管理”模块下的</w:t>
            </w:r>
            <w:r>
              <w:rPr>
                <w:color w:val="000000"/>
                <w:sz w:val="24"/>
                <w:szCs w:val="24"/>
                <w:lang w:val="zh-CN" w:eastAsia="zh-CN" w:bidi="zh-CN"/>
              </w:rPr>
              <w:t>“合</w:t>
            </w:r>
            <w:r>
              <w:rPr>
                <w:color w:val="000000"/>
                <w:sz w:val="24"/>
                <w:szCs w:val="24"/>
              </w:rPr>
              <w:t>同履约验收”，填写合同、 验收基本情况，并上传验收报告和发票</w:t>
            </w:r>
            <w:r>
              <w:rPr>
                <w:rFonts w:hint="eastAsia"/>
                <w:color w:val="000000"/>
                <w:sz w:val="24"/>
                <w:szCs w:val="24"/>
                <w:lang w:eastAsia="zh-CN"/>
              </w:rPr>
              <w:t>的</w:t>
            </w:r>
            <w:r>
              <w:rPr>
                <w:color w:val="000000"/>
                <w:sz w:val="24"/>
                <w:szCs w:val="24"/>
              </w:rPr>
              <w:t>扫描件，保存并提交。提交合同履约验收后，打印《唐河县政府采购资金申请表》到政府采购办理支付手续。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3" w:hRule="atLeast"/>
        </w:trPr>
        <w:tc>
          <w:tcPr>
            <w:tcW w:w="1222" w:type="dxa"/>
            <w:noWrap w:val="0"/>
            <w:vAlign w:val="center"/>
          </w:tcPr>
          <w:p>
            <w:pPr>
              <w:pStyle w:val="55"/>
              <w:spacing w:line="300" w:lineRule="exact"/>
              <w:ind w:firstLine="140"/>
              <w:rPr>
                <w:rFonts w:hint="eastAsia"/>
                <w:sz w:val="24"/>
                <w:szCs w:val="24"/>
                <w:lang w:eastAsia="zh-CN"/>
              </w:rPr>
            </w:pPr>
            <w:r>
              <w:rPr>
                <w:color w:val="000000"/>
                <w:sz w:val="24"/>
                <w:szCs w:val="24"/>
              </w:rPr>
              <w:t>资金</w:t>
            </w:r>
            <w:r>
              <w:rPr>
                <w:rFonts w:hint="eastAsia"/>
                <w:color w:val="000000"/>
                <w:sz w:val="24"/>
                <w:szCs w:val="24"/>
                <w:lang w:eastAsia="zh-CN"/>
              </w:rPr>
              <w:t>支持</w:t>
            </w:r>
          </w:p>
        </w:tc>
        <w:tc>
          <w:tcPr>
            <w:tcW w:w="2094" w:type="dxa"/>
            <w:noWrap w:val="0"/>
            <w:vAlign w:val="center"/>
          </w:tcPr>
          <w:p>
            <w:pPr>
              <w:pStyle w:val="55"/>
              <w:spacing w:line="300" w:lineRule="exact"/>
              <w:ind w:firstLine="0"/>
              <w:jc w:val="left"/>
              <w:rPr>
                <w:rFonts w:hint="eastAsia"/>
                <w:sz w:val="24"/>
                <w:szCs w:val="24"/>
                <w:lang w:eastAsia="zh-CN"/>
              </w:rPr>
            </w:pPr>
            <w:r>
              <w:rPr>
                <w:color w:val="000000"/>
                <w:sz w:val="24"/>
                <w:szCs w:val="24"/>
              </w:rPr>
              <w:t>验收合格具备付款条件的项目，釆购人应</w:t>
            </w:r>
            <w:r>
              <w:rPr>
                <w:color w:val="000000"/>
                <w:sz w:val="24"/>
                <w:szCs w:val="24"/>
                <w:lang w:val="zh-CN" w:eastAsia="zh-CN" w:bidi="zh-CN"/>
              </w:rPr>
              <w:t>在</w:t>
            </w:r>
            <w:r>
              <w:rPr>
                <w:rFonts w:hint="eastAsia" w:cs="Times New Roman"/>
                <w:color w:val="000000"/>
                <w:sz w:val="24"/>
                <w:szCs w:val="24"/>
                <w:lang w:eastAsia="zh-CN"/>
              </w:rPr>
              <w:t>3</w:t>
            </w:r>
            <w:r>
              <w:rPr>
                <w:color w:val="000000"/>
                <w:sz w:val="24"/>
                <w:szCs w:val="24"/>
              </w:rPr>
              <w:t>个工作日内将资金支付到釆购合同约定的供应商账户。</w:t>
            </w:r>
          </w:p>
        </w:tc>
        <w:tc>
          <w:tcPr>
            <w:tcW w:w="5302" w:type="dxa"/>
            <w:noWrap w:val="0"/>
            <w:vAlign w:val="center"/>
          </w:tcPr>
          <w:p>
            <w:pPr>
              <w:pStyle w:val="55"/>
              <w:spacing w:line="300" w:lineRule="exact"/>
              <w:ind w:firstLine="0"/>
              <w:jc w:val="left"/>
              <w:rPr>
                <w:rFonts w:hint="eastAsia"/>
                <w:sz w:val="24"/>
                <w:szCs w:val="24"/>
                <w:lang w:eastAsia="zh-CN"/>
              </w:rPr>
            </w:pPr>
            <w:r>
              <w:rPr>
                <w:color w:val="000000"/>
                <w:sz w:val="24"/>
                <w:szCs w:val="24"/>
              </w:rPr>
              <w:t>釆购人持《唐河县政府采购资金申请表》，按照政府釆购合同约定的支付方式、支付时间，及时支付</w:t>
            </w:r>
            <w:r>
              <w:rPr>
                <w:rFonts w:hint="eastAsia"/>
                <w:color w:val="000000"/>
                <w:sz w:val="24"/>
                <w:szCs w:val="24"/>
                <w:lang w:eastAsia="zh-CN"/>
              </w:rPr>
              <w:t>政府</w:t>
            </w:r>
            <w:r>
              <w:rPr>
                <w:color w:val="000000"/>
                <w:sz w:val="24"/>
                <w:szCs w:val="24"/>
              </w:rPr>
              <w:t>釆购资金。验收合格具备付款条件的项目，采购人应</w:t>
            </w:r>
            <w:r>
              <w:rPr>
                <w:rFonts w:hint="eastAsia"/>
                <w:color w:val="000000"/>
                <w:sz w:val="24"/>
                <w:szCs w:val="24"/>
                <w:lang w:eastAsia="zh-CN"/>
              </w:rPr>
              <w:t>在</w:t>
            </w:r>
            <w:r>
              <w:rPr>
                <w:rFonts w:hint="eastAsia"/>
                <w:color w:val="000000"/>
                <w:sz w:val="24"/>
                <w:szCs w:val="24"/>
                <w:lang w:val="en-US" w:eastAsia="zh-CN"/>
              </w:rPr>
              <w:t>3</w:t>
            </w:r>
            <w:r>
              <w:rPr>
                <w:color w:val="000000"/>
                <w:sz w:val="24"/>
                <w:szCs w:val="24"/>
              </w:rPr>
              <w:t>个工作日内将资金支付到采购合同约定的供应商</w:t>
            </w:r>
            <w:r>
              <w:rPr>
                <w:rFonts w:hint="eastAsia"/>
                <w:color w:val="000000"/>
                <w:sz w:val="24"/>
                <w:szCs w:val="24"/>
                <w:lang w:eastAsia="zh-CN"/>
              </w:rPr>
              <w:t>账户。</w:t>
            </w:r>
          </w:p>
        </w:tc>
      </w:tr>
    </w:tbl>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p>
    <w:p>
      <w:pPr>
        <w:tabs>
          <w:tab w:val="left" w:pos="5773"/>
          <w:tab w:val="left" w:pos="6810"/>
          <w:tab w:val="right" w:pos="8426"/>
        </w:tabs>
        <w:jc w:val="left"/>
        <w:rPr>
          <w:rFonts w:hint="eastAsia"/>
          <w:sz w:val="24"/>
          <w:szCs w:val="32"/>
        </w:rPr>
      </w:pPr>
      <w:r>
        <w:rPr>
          <w:rFonts w:hint="eastAsia"/>
          <w:sz w:val="24"/>
          <w:szCs w:val="32"/>
        </w:rPr>
        <w:t xml:space="preserve">代理机构名称：唐河县龙建工程管理有限公司                              </w:t>
      </w:r>
    </w:p>
    <w:p>
      <w:pPr>
        <w:tabs>
          <w:tab w:val="left" w:pos="5773"/>
          <w:tab w:val="left" w:pos="6810"/>
          <w:tab w:val="right" w:pos="8426"/>
        </w:tabs>
        <w:jc w:val="right"/>
        <w:rPr>
          <w:rFonts w:hint="eastAsia"/>
          <w:sz w:val="24"/>
          <w:szCs w:val="32"/>
        </w:rPr>
      </w:pPr>
      <w:r>
        <w:rPr>
          <w:rFonts w:hint="eastAsia"/>
          <w:sz w:val="24"/>
          <w:szCs w:val="32"/>
        </w:rPr>
        <w:tab/>
      </w:r>
    </w:p>
    <w:p>
      <w:pPr>
        <w:tabs>
          <w:tab w:val="left" w:pos="5773"/>
          <w:tab w:val="left" w:pos="6810"/>
          <w:tab w:val="right" w:pos="8426"/>
        </w:tabs>
        <w:jc w:val="left"/>
        <w:rPr>
          <w:rFonts w:hint="eastAsia"/>
          <w:sz w:val="24"/>
          <w:szCs w:val="32"/>
        </w:rPr>
      </w:pPr>
      <w:r>
        <w:rPr>
          <w:rFonts w:hint="eastAsia"/>
          <w:sz w:val="24"/>
          <w:szCs w:val="32"/>
        </w:rPr>
        <w:t>联系人：白萨     联系电话：</w:t>
      </w:r>
      <w:r>
        <w:rPr>
          <w:rFonts w:hint="eastAsia"/>
          <w:sz w:val="24"/>
          <w:szCs w:val="32"/>
          <w:lang w:val="en-US" w:eastAsia="zh-CN"/>
        </w:rPr>
        <w:t>13782062519</w:t>
      </w:r>
      <w:r>
        <w:rPr>
          <w:rFonts w:hint="eastAsia"/>
          <w:sz w:val="24"/>
          <w:szCs w:val="32"/>
        </w:rPr>
        <w:t xml:space="preserve">    </w:t>
      </w:r>
    </w:p>
    <w:p>
      <w:pPr>
        <w:tabs>
          <w:tab w:val="left" w:pos="5773"/>
          <w:tab w:val="left" w:pos="6810"/>
          <w:tab w:val="right" w:pos="8426"/>
        </w:tabs>
        <w:jc w:val="left"/>
        <w:rPr>
          <w:rFonts w:hint="eastAsia"/>
          <w:sz w:val="24"/>
          <w:szCs w:val="32"/>
        </w:rPr>
      </w:pPr>
      <w:r>
        <w:rPr>
          <w:rFonts w:hint="eastAsia"/>
          <w:sz w:val="24"/>
          <w:szCs w:val="32"/>
        </w:rPr>
        <w:t xml:space="preserve">                 </w:t>
      </w:r>
    </w:p>
    <w:p>
      <w:pPr>
        <w:tabs>
          <w:tab w:val="left" w:pos="5773"/>
          <w:tab w:val="left" w:pos="6810"/>
          <w:tab w:val="right" w:pos="8426"/>
        </w:tabs>
        <w:jc w:val="right"/>
        <w:rPr>
          <w:rFonts w:hint="eastAsia" w:ascii="宋体" w:hAnsi="宋体" w:eastAsia="宋体" w:cs="宋体"/>
          <w:color w:val="000000"/>
          <w:kern w:val="2"/>
          <w:sz w:val="24"/>
          <w:szCs w:val="24"/>
          <w:u w:val="none"/>
          <w:shd w:val="clear" w:color="auto" w:fill="auto"/>
          <w:lang w:val="zh-TW" w:eastAsia="zh-TW" w:bidi="zh-TW"/>
        </w:rPr>
      </w:pPr>
      <w:r>
        <w:rPr>
          <w:rFonts w:hint="eastAsia"/>
          <w:sz w:val="24"/>
          <w:szCs w:val="32"/>
        </w:rPr>
        <w:t xml:space="preserve">  </w:t>
      </w:r>
      <w:r>
        <w:rPr>
          <w:rFonts w:hint="eastAsia" w:ascii="宋体" w:hAnsi="宋体" w:eastAsia="宋体" w:cs="宋体"/>
          <w:color w:val="000000"/>
          <w:kern w:val="2"/>
          <w:sz w:val="24"/>
          <w:szCs w:val="24"/>
          <w:u w:val="none"/>
          <w:shd w:val="clear" w:color="auto" w:fill="auto"/>
          <w:lang w:val="zh-TW" w:eastAsia="zh-TW" w:bidi="zh-TW"/>
        </w:rPr>
        <w:t>唐河县财政局政府采购科</w:t>
      </w:r>
    </w:p>
    <w:p>
      <w:pPr>
        <w:tabs>
          <w:tab w:val="left" w:pos="5773"/>
          <w:tab w:val="left" w:pos="6810"/>
          <w:tab w:val="right" w:pos="8426"/>
        </w:tabs>
        <w:jc w:val="right"/>
        <w:rPr>
          <w:rFonts w:hint="eastAsia"/>
          <w:lang w:val="zh-CN" w:eastAsia="zh-CN"/>
        </w:rPr>
      </w:pPr>
      <w:r>
        <w:rPr>
          <w:rFonts w:hint="eastAsia" w:ascii="宋体" w:hAnsi="宋体" w:eastAsia="宋体" w:cs="宋体"/>
          <w:color w:val="000000"/>
          <w:kern w:val="2"/>
          <w:sz w:val="24"/>
          <w:szCs w:val="24"/>
          <w:u w:val="none"/>
          <w:shd w:val="clear" w:color="auto" w:fill="auto"/>
          <w:lang w:val="zh-TW" w:eastAsia="zh-TW" w:bidi="zh-TW"/>
        </w:rPr>
        <w:t xml:space="preserve">   年   月   日</w:t>
      </w:r>
    </w:p>
    <w:sectPr>
      <w:pgSz w:w="11910" w:h="16840"/>
      <w:pgMar w:top="1134" w:right="1080" w:bottom="1134"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唐河县天龙华府消防工程项目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唐河县天龙华府消防工程项目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35EFCA"/>
    <w:multiLevelType w:val="singleLevel"/>
    <w:tmpl w:val="A535EFCA"/>
    <w:lvl w:ilvl="0" w:tentative="0">
      <w:start w:val="4"/>
      <w:numFmt w:val="chineseCounting"/>
      <w:suff w:val="nothing"/>
      <w:lvlText w:val="%1、"/>
      <w:lvlJc w:val="left"/>
      <w:rPr>
        <w:rFonts w:hint="eastAsia"/>
      </w:rPr>
    </w:lvl>
  </w:abstractNum>
  <w:abstractNum w:abstractNumId="1">
    <w:nsid w:val="C1F4F364"/>
    <w:multiLevelType w:val="singleLevel"/>
    <w:tmpl w:val="C1F4F364"/>
    <w:lvl w:ilvl="0" w:tentative="0">
      <w:start w:val="10"/>
      <w:numFmt w:val="chineseCounting"/>
      <w:suff w:val="nothing"/>
      <w:lvlText w:val="%1、"/>
      <w:lvlJc w:val="left"/>
      <w:rPr>
        <w:rFonts w:hint="eastAsia"/>
      </w:rPr>
    </w:lvl>
  </w:abstractNum>
  <w:abstractNum w:abstractNumId="2">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3">
    <w:nsid w:val="00000011"/>
    <w:multiLevelType w:val="singleLevel"/>
    <w:tmpl w:val="00000011"/>
    <w:lvl w:ilvl="0" w:tentative="0">
      <w:start w:val="1"/>
      <w:numFmt w:val="decimal"/>
      <w:suff w:val="nothing"/>
      <w:lvlText w:val="（%1）"/>
      <w:lvlJc w:val="left"/>
    </w:lvl>
  </w:abstractNum>
  <w:abstractNum w:abstractNumId="4">
    <w:nsid w:val="00000012"/>
    <w:multiLevelType w:val="singleLevel"/>
    <w:tmpl w:val="00000012"/>
    <w:lvl w:ilvl="0" w:tentative="0">
      <w:start w:val="1"/>
      <w:numFmt w:val="decimal"/>
      <w:suff w:val="nothing"/>
      <w:lvlText w:val="（%1）"/>
      <w:lvlJc w:val="left"/>
    </w:lvl>
  </w:abstractNum>
  <w:abstractNum w:abstractNumId="5">
    <w:nsid w:val="00000015"/>
    <w:multiLevelType w:val="singleLevel"/>
    <w:tmpl w:val="00000015"/>
    <w:lvl w:ilvl="0" w:tentative="0">
      <w:start w:val="1"/>
      <w:numFmt w:val="decimal"/>
      <w:suff w:val="nothing"/>
      <w:lvlText w:val="（%1）"/>
      <w:lvlJc w:val="left"/>
    </w:lvl>
  </w:abstractNum>
  <w:abstractNum w:abstractNumId="6">
    <w:nsid w:val="00000016"/>
    <w:multiLevelType w:val="singleLevel"/>
    <w:tmpl w:val="00000016"/>
    <w:lvl w:ilvl="0" w:tentative="0">
      <w:start w:val="1"/>
      <w:numFmt w:val="decimal"/>
      <w:suff w:val="nothing"/>
      <w:lvlText w:val="%1、"/>
      <w:lvlJc w:val="left"/>
    </w:lvl>
  </w:abstractNum>
  <w:abstractNum w:abstractNumId="7">
    <w:nsid w:val="00000019"/>
    <w:multiLevelType w:val="singleLevel"/>
    <w:tmpl w:val="00000019"/>
    <w:lvl w:ilvl="0" w:tentative="0">
      <w:start w:val="1"/>
      <w:numFmt w:val="decimal"/>
      <w:suff w:val="nothing"/>
      <w:lvlText w:val="（%1）"/>
      <w:lvlJc w:val="left"/>
    </w:lvl>
  </w:abstractNum>
  <w:abstractNum w:abstractNumId="8">
    <w:nsid w:val="71A15351"/>
    <w:multiLevelType w:val="singleLevel"/>
    <w:tmpl w:val="71A15351"/>
    <w:lvl w:ilvl="0" w:tentative="0">
      <w:start w:val="1"/>
      <w:numFmt w:val="decimal"/>
      <w:suff w:val="nothing"/>
      <w:lvlText w:val="%1、"/>
      <w:lvlJc w:val="left"/>
    </w:lvl>
  </w:abstractNum>
  <w:abstractNum w:abstractNumId="9">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6"/>
  </w:num>
  <w:num w:numId="2">
    <w:abstractNumId w:val="8"/>
  </w:num>
  <w:num w:numId="3">
    <w:abstractNumId w:val="3"/>
  </w:num>
  <w:num w:numId="4">
    <w:abstractNumId w:val="4"/>
  </w:num>
  <w:num w:numId="5">
    <w:abstractNumId w:val="5"/>
  </w:num>
  <w:num w:numId="6">
    <w:abstractNumId w:val="7"/>
  </w:num>
  <w:num w:numId="7">
    <w:abstractNumId w:val="2"/>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hNWEyYWQ0MTdkNjQ0YjlhMjRiZjcxM2Q2Y2QxOGEifQ=="/>
  </w:docVars>
  <w:rsids>
    <w:rsidRoot w:val="00000000"/>
    <w:rsid w:val="00710E82"/>
    <w:rsid w:val="007A6F63"/>
    <w:rsid w:val="00A328EF"/>
    <w:rsid w:val="00F9257D"/>
    <w:rsid w:val="0149039A"/>
    <w:rsid w:val="015641EF"/>
    <w:rsid w:val="01C40DDD"/>
    <w:rsid w:val="01C773D1"/>
    <w:rsid w:val="01E47C09"/>
    <w:rsid w:val="02022E05"/>
    <w:rsid w:val="021F7E80"/>
    <w:rsid w:val="0233386D"/>
    <w:rsid w:val="027F6C55"/>
    <w:rsid w:val="02B05AF3"/>
    <w:rsid w:val="02FA62B0"/>
    <w:rsid w:val="03074478"/>
    <w:rsid w:val="034A5C10"/>
    <w:rsid w:val="05516106"/>
    <w:rsid w:val="05544226"/>
    <w:rsid w:val="057661EC"/>
    <w:rsid w:val="062108F7"/>
    <w:rsid w:val="0629509E"/>
    <w:rsid w:val="07011FB6"/>
    <w:rsid w:val="071018DF"/>
    <w:rsid w:val="073D6ADE"/>
    <w:rsid w:val="07C16914"/>
    <w:rsid w:val="087370B9"/>
    <w:rsid w:val="08802037"/>
    <w:rsid w:val="08CE1DFC"/>
    <w:rsid w:val="090B4B8F"/>
    <w:rsid w:val="090F532B"/>
    <w:rsid w:val="099E571B"/>
    <w:rsid w:val="0A240688"/>
    <w:rsid w:val="0A2A19F9"/>
    <w:rsid w:val="0A6E7AE5"/>
    <w:rsid w:val="0B2539B0"/>
    <w:rsid w:val="0B393908"/>
    <w:rsid w:val="0B574A70"/>
    <w:rsid w:val="0BE6062F"/>
    <w:rsid w:val="0C520CC6"/>
    <w:rsid w:val="0C686809"/>
    <w:rsid w:val="0C9135E5"/>
    <w:rsid w:val="0D52231F"/>
    <w:rsid w:val="0D6B0B10"/>
    <w:rsid w:val="0E1F54EC"/>
    <w:rsid w:val="0E7671F3"/>
    <w:rsid w:val="0EDB39C9"/>
    <w:rsid w:val="0F2F562C"/>
    <w:rsid w:val="0FCD6F3C"/>
    <w:rsid w:val="0FF66EF1"/>
    <w:rsid w:val="10096FFD"/>
    <w:rsid w:val="1020192E"/>
    <w:rsid w:val="107B5D70"/>
    <w:rsid w:val="10E072B6"/>
    <w:rsid w:val="11671270"/>
    <w:rsid w:val="117874CF"/>
    <w:rsid w:val="117E6780"/>
    <w:rsid w:val="118F4078"/>
    <w:rsid w:val="11E84674"/>
    <w:rsid w:val="12117E48"/>
    <w:rsid w:val="12395E8B"/>
    <w:rsid w:val="12774E25"/>
    <w:rsid w:val="128868DB"/>
    <w:rsid w:val="134902A9"/>
    <w:rsid w:val="13CA3F0E"/>
    <w:rsid w:val="13D97E08"/>
    <w:rsid w:val="14373691"/>
    <w:rsid w:val="14517654"/>
    <w:rsid w:val="14AB1989"/>
    <w:rsid w:val="14B66628"/>
    <w:rsid w:val="14CC3E9D"/>
    <w:rsid w:val="14E03F5A"/>
    <w:rsid w:val="15155054"/>
    <w:rsid w:val="15191E2C"/>
    <w:rsid w:val="15AA1C40"/>
    <w:rsid w:val="15E6711C"/>
    <w:rsid w:val="16467E24"/>
    <w:rsid w:val="167B4357"/>
    <w:rsid w:val="16AF07A6"/>
    <w:rsid w:val="17467FB8"/>
    <w:rsid w:val="17E928DD"/>
    <w:rsid w:val="183F48C2"/>
    <w:rsid w:val="18585984"/>
    <w:rsid w:val="18D05E62"/>
    <w:rsid w:val="190D35BA"/>
    <w:rsid w:val="19A41464"/>
    <w:rsid w:val="19B7492C"/>
    <w:rsid w:val="1A926782"/>
    <w:rsid w:val="1AE77CB7"/>
    <w:rsid w:val="1B7C7C0C"/>
    <w:rsid w:val="1B7D20CE"/>
    <w:rsid w:val="1BB92278"/>
    <w:rsid w:val="1BBD6B0A"/>
    <w:rsid w:val="1C5E596F"/>
    <w:rsid w:val="1C69015F"/>
    <w:rsid w:val="1C8573DF"/>
    <w:rsid w:val="1C931EA4"/>
    <w:rsid w:val="1C9571A6"/>
    <w:rsid w:val="1D665F6C"/>
    <w:rsid w:val="1DCF0496"/>
    <w:rsid w:val="1E054B64"/>
    <w:rsid w:val="1E503D12"/>
    <w:rsid w:val="1EE46E20"/>
    <w:rsid w:val="1FD71884"/>
    <w:rsid w:val="204F3B10"/>
    <w:rsid w:val="20691C80"/>
    <w:rsid w:val="207C2ED1"/>
    <w:rsid w:val="21016F40"/>
    <w:rsid w:val="22083BD2"/>
    <w:rsid w:val="22656D3C"/>
    <w:rsid w:val="22C00CF5"/>
    <w:rsid w:val="230B4487"/>
    <w:rsid w:val="231A6657"/>
    <w:rsid w:val="23244062"/>
    <w:rsid w:val="23D92C08"/>
    <w:rsid w:val="244D0366"/>
    <w:rsid w:val="24727DCD"/>
    <w:rsid w:val="24C31057"/>
    <w:rsid w:val="24F5557D"/>
    <w:rsid w:val="25675458"/>
    <w:rsid w:val="26091D60"/>
    <w:rsid w:val="2610789E"/>
    <w:rsid w:val="26D22ABE"/>
    <w:rsid w:val="27211BDC"/>
    <w:rsid w:val="27406451"/>
    <w:rsid w:val="27882998"/>
    <w:rsid w:val="27F21951"/>
    <w:rsid w:val="27F60D15"/>
    <w:rsid w:val="27FA6A57"/>
    <w:rsid w:val="28305FD5"/>
    <w:rsid w:val="2887771E"/>
    <w:rsid w:val="28936755"/>
    <w:rsid w:val="28AB6DE9"/>
    <w:rsid w:val="28BA0971"/>
    <w:rsid w:val="291E0523"/>
    <w:rsid w:val="292B46A4"/>
    <w:rsid w:val="295E6B72"/>
    <w:rsid w:val="29863660"/>
    <w:rsid w:val="29A749BD"/>
    <w:rsid w:val="2A1C1510"/>
    <w:rsid w:val="2A4B599E"/>
    <w:rsid w:val="2A513C53"/>
    <w:rsid w:val="2A6C52BE"/>
    <w:rsid w:val="2A944F41"/>
    <w:rsid w:val="2B6162ED"/>
    <w:rsid w:val="2BBE0D81"/>
    <w:rsid w:val="2C117430"/>
    <w:rsid w:val="2C344C36"/>
    <w:rsid w:val="2C6B584B"/>
    <w:rsid w:val="2CAF69EA"/>
    <w:rsid w:val="2D1E6D44"/>
    <w:rsid w:val="2DEA7A6B"/>
    <w:rsid w:val="2E1910A5"/>
    <w:rsid w:val="2E260E45"/>
    <w:rsid w:val="2E3D144C"/>
    <w:rsid w:val="2E401CE0"/>
    <w:rsid w:val="2E710005"/>
    <w:rsid w:val="2F4E4940"/>
    <w:rsid w:val="2F594063"/>
    <w:rsid w:val="2FB51C84"/>
    <w:rsid w:val="2FB76FDC"/>
    <w:rsid w:val="30274D50"/>
    <w:rsid w:val="3029612C"/>
    <w:rsid w:val="3072522F"/>
    <w:rsid w:val="31232B7B"/>
    <w:rsid w:val="312D14E5"/>
    <w:rsid w:val="314B4A30"/>
    <w:rsid w:val="31850012"/>
    <w:rsid w:val="31A07466"/>
    <w:rsid w:val="31EF784A"/>
    <w:rsid w:val="32ED6CBC"/>
    <w:rsid w:val="332E6A40"/>
    <w:rsid w:val="336E4E5A"/>
    <w:rsid w:val="33705E1F"/>
    <w:rsid w:val="337150BC"/>
    <w:rsid w:val="33797BAA"/>
    <w:rsid w:val="33CA19D4"/>
    <w:rsid w:val="33EE0579"/>
    <w:rsid w:val="34144B2B"/>
    <w:rsid w:val="345319C9"/>
    <w:rsid w:val="34C46423"/>
    <w:rsid w:val="34EC63F1"/>
    <w:rsid w:val="35332511"/>
    <w:rsid w:val="358562DD"/>
    <w:rsid w:val="35917D03"/>
    <w:rsid w:val="369260AD"/>
    <w:rsid w:val="36BA5D2F"/>
    <w:rsid w:val="36C97D20"/>
    <w:rsid w:val="36EF01B4"/>
    <w:rsid w:val="37271D49"/>
    <w:rsid w:val="37405600"/>
    <w:rsid w:val="379A346B"/>
    <w:rsid w:val="37A21963"/>
    <w:rsid w:val="3865611B"/>
    <w:rsid w:val="389600D6"/>
    <w:rsid w:val="38A3781B"/>
    <w:rsid w:val="38B907BB"/>
    <w:rsid w:val="3982415F"/>
    <w:rsid w:val="39CB4D94"/>
    <w:rsid w:val="39CD3978"/>
    <w:rsid w:val="3A461688"/>
    <w:rsid w:val="3A643816"/>
    <w:rsid w:val="3BC51FFD"/>
    <w:rsid w:val="3BCB3B36"/>
    <w:rsid w:val="3BD170E3"/>
    <w:rsid w:val="3C771FCD"/>
    <w:rsid w:val="3C803E06"/>
    <w:rsid w:val="3CA35DC3"/>
    <w:rsid w:val="3D634797"/>
    <w:rsid w:val="3D874491"/>
    <w:rsid w:val="3D897C60"/>
    <w:rsid w:val="3E3C527C"/>
    <w:rsid w:val="3ECB0F13"/>
    <w:rsid w:val="3ECF60F0"/>
    <w:rsid w:val="3F7F390B"/>
    <w:rsid w:val="40053A0C"/>
    <w:rsid w:val="40460634"/>
    <w:rsid w:val="40F328E0"/>
    <w:rsid w:val="411A71B3"/>
    <w:rsid w:val="415519C2"/>
    <w:rsid w:val="41797FF3"/>
    <w:rsid w:val="417D2D3B"/>
    <w:rsid w:val="41A75102"/>
    <w:rsid w:val="41F87458"/>
    <w:rsid w:val="41FB6FC0"/>
    <w:rsid w:val="42635182"/>
    <w:rsid w:val="426B68F2"/>
    <w:rsid w:val="426C704F"/>
    <w:rsid w:val="42A930FC"/>
    <w:rsid w:val="431F35DB"/>
    <w:rsid w:val="435D4053"/>
    <w:rsid w:val="435E4815"/>
    <w:rsid w:val="441B468E"/>
    <w:rsid w:val="44803468"/>
    <w:rsid w:val="448672AC"/>
    <w:rsid w:val="44913C79"/>
    <w:rsid w:val="44C24DAC"/>
    <w:rsid w:val="44F56185"/>
    <w:rsid w:val="45094B04"/>
    <w:rsid w:val="45343151"/>
    <w:rsid w:val="454C6909"/>
    <w:rsid w:val="45D17E40"/>
    <w:rsid w:val="45D67D64"/>
    <w:rsid w:val="4743767B"/>
    <w:rsid w:val="47751E1D"/>
    <w:rsid w:val="47757CD5"/>
    <w:rsid w:val="47CA149D"/>
    <w:rsid w:val="47D310B2"/>
    <w:rsid w:val="47E425E8"/>
    <w:rsid w:val="48675D7A"/>
    <w:rsid w:val="48B71CDF"/>
    <w:rsid w:val="495711BC"/>
    <w:rsid w:val="49E14F29"/>
    <w:rsid w:val="4ACF1226"/>
    <w:rsid w:val="4AE20F59"/>
    <w:rsid w:val="4B7101FD"/>
    <w:rsid w:val="4B857608"/>
    <w:rsid w:val="4BB46D99"/>
    <w:rsid w:val="4BB9400E"/>
    <w:rsid w:val="4BC31E83"/>
    <w:rsid w:val="4BEE5DD9"/>
    <w:rsid w:val="4C0F0D70"/>
    <w:rsid w:val="4C63431C"/>
    <w:rsid w:val="4C9777EB"/>
    <w:rsid w:val="4CD27B31"/>
    <w:rsid w:val="4CE6440D"/>
    <w:rsid w:val="4D090380"/>
    <w:rsid w:val="4D4952BF"/>
    <w:rsid w:val="4D720CBA"/>
    <w:rsid w:val="4E2A7AE8"/>
    <w:rsid w:val="4E7F7D86"/>
    <w:rsid w:val="4EDE6966"/>
    <w:rsid w:val="4EEC05F8"/>
    <w:rsid w:val="4F183B1F"/>
    <w:rsid w:val="50D779E5"/>
    <w:rsid w:val="513636F5"/>
    <w:rsid w:val="51B12DBD"/>
    <w:rsid w:val="51C15CED"/>
    <w:rsid w:val="51FB15BD"/>
    <w:rsid w:val="524504B3"/>
    <w:rsid w:val="52A631B4"/>
    <w:rsid w:val="52F26C48"/>
    <w:rsid w:val="5332746D"/>
    <w:rsid w:val="53465AE9"/>
    <w:rsid w:val="53682217"/>
    <w:rsid w:val="5399627F"/>
    <w:rsid w:val="53B536AF"/>
    <w:rsid w:val="54331FD2"/>
    <w:rsid w:val="547075D6"/>
    <w:rsid w:val="549B1260"/>
    <w:rsid w:val="54BD0350"/>
    <w:rsid w:val="54E26510"/>
    <w:rsid w:val="54F65A1E"/>
    <w:rsid w:val="55114BEC"/>
    <w:rsid w:val="556116AD"/>
    <w:rsid w:val="55C776C9"/>
    <w:rsid w:val="55E262B1"/>
    <w:rsid w:val="56254FAC"/>
    <w:rsid w:val="562A159A"/>
    <w:rsid w:val="565371AF"/>
    <w:rsid w:val="56573C61"/>
    <w:rsid w:val="56CE3A56"/>
    <w:rsid w:val="56D7393C"/>
    <w:rsid w:val="57014B0C"/>
    <w:rsid w:val="587A107C"/>
    <w:rsid w:val="58A642B1"/>
    <w:rsid w:val="58EA2085"/>
    <w:rsid w:val="594912F5"/>
    <w:rsid w:val="59736B5E"/>
    <w:rsid w:val="59CF4D9E"/>
    <w:rsid w:val="59D913C3"/>
    <w:rsid w:val="59F20A8D"/>
    <w:rsid w:val="5A1955DA"/>
    <w:rsid w:val="5A505D5B"/>
    <w:rsid w:val="5A557852"/>
    <w:rsid w:val="5AC70B15"/>
    <w:rsid w:val="5AD51DAF"/>
    <w:rsid w:val="5AE84834"/>
    <w:rsid w:val="5AF45B16"/>
    <w:rsid w:val="5B6065F6"/>
    <w:rsid w:val="5B61236E"/>
    <w:rsid w:val="5BA622B5"/>
    <w:rsid w:val="5BD62414"/>
    <w:rsid w:val="5BF967FE"/>
    <w:rsid w:val="5BFE196B"/>
    <w:rsid w:val="5C1E58B2"/>
    <w:rsid w:val="5C270EC2"/>
    <w:rsid w:val="5CBF2CDE"/>
    <w:rsid w:val="5CE7762E"/>
    <w:rsid w:val="5D310D71"/>
    <w:rsid w:val="5D7C24D2"/>
    <w:rsid w:val="5DF93E7C"/>
    <w:rsid w:val="5E385608"/>
    <w:rsid w:val="5E941281"/>
    <w:rsid w:val="5ED60E71"/>
    <w:rsid w:val="5F066402"/>
    <w:rsid w:val="5F155A9F"/>
    <w:rsid w:val="5F1E5230"/>
    <w:rsid w:val="5F3A7BFC"/>
    <w:rsid w:val="5F3E5DB5"/>
    <w:rsid w:val="5FC64F55"/>
    <w:rsid w:val="5FC86518"/>
    <w:rsid w:val="602E24CA"/>
    <w:rsid w:val="607C1D25"/>
    <w:rsid w:val="609C2115"/>
    <w:rsid w:val="612E4AA0"/>
    <w:rsid w:val="618741B1"/>
    <w:rsid w:val="626C14F9"/>
    <w:rsid w:val="632C14B3"/>
    <w:rsid w:val="633640E0"/>
    <w:rsid w:val="636A1976"/>
    <w:rsid w:val="63847E92"/>
    <w:rsid w:val="63D86709"/>
    <w:rsid w:val="63D87AEE"/>
    <w:rsid w:val="646A4041"/>
    <w:rsid w:val="64CB73E7"/>
    <w:rsid w:val="650D67AB"/>
    <w:rsid w:val="65C43C25"/>
    <w:rsid w:val="65C90A5C"/>
    <w:rsid w:val="65D73958"/>
    <w:rsid w:val="6605398E"/>
    <w:rsid w:val="66E91188"/>
    <w:rsid w:val="67226E55"/>
    <w:rsid w:val="6726106A"/>
    <w:rsid w:val="677E6496"/>
    <w:rsid w:val="67ED54BD"/>
    <w:rsid w:val="685F7C35"/>
    <w:rsid w:val="68BF709D"/>
    <w:rsid w:val="68D80676"/>
    <w:rsid w:val="68DE0B5A"/>
    <w:rsid w:val="68DF1E9C"/>
    <w:rsid w:val="68EC771B"/>
    <w:rsid w:val="69033469"/>
    <w:rsid w:val="69077737"/>
    <w:rsid w:val="69087F0D"/>
    <w:rsid w:val="69E06B54"/>
    <w:rsid w:val="69F85C4B"/>
    <w:rsid w:val="6A003194"/>
    <w:rsid w:val="6A266D8A"/>
    <w:rsid w:val="6A336CA7"/>
    <w:rsid w:val="6A9C2A7B"/>
    <w:rsid w:val="6AD35AF7"/>
    <w:rsid w:val="6AE61F48"/>
    <w:rsid w:val="6B9E6EB5"/>
    <w:rsid w:val="6BF306DC"/>
    <w:rsid w:val="6BF34083"/>
    <w:rsid w:val="6C4F33A4"/>
    <w:rsid w:val="6CB65154"/>
    <w:rsid w:val="6CEB00DF"/>
    <w:rsid w:val="6CFA617E"/>
    <w:rsid w:val="6D066B1B"/>
    <w:rsid w:val="6D613A27"/>
    <w:rsid w:val="6D943EDD"/>
    <w:rsid w:val="6E1B41EB"/>
    <w:rsid w:val="6E2E7E40"/>
    <w:rsid w:val="6E5D50E6"/>
    <w:rsid w:val="6E8D6012"/>
    <w:rsid w:val="6E980156"/>
    <w:rsid w:val="6E9C545B"/>
    <w:rsid w:val="6EDA1DC4"/>
    <w:rsid w:val="6EE33335"/>
    <w:rsid w:val="6F193CBB"/>
    <w:rsid w:val="6F23376B"/>
    <w:rsid w:val="70117A67"/>
    <w:rsid w:val="70413805"/>
    <w:rsid w:val="70425E72"/>
    <w:rsid w:val="70741DA4"/>
    <w:rsid w:val="7089584F"/>
    <w:rsid w:val="70960D94"/>
    <w:rsid w:val="71AF4EEA"/>
    <w:rsid w:val="722F1B2A"/>
    <w:rsid w:val="724D00A1"/>
    <w:rsid w:val="725E2D0C"/>
    <w:rsid w:val="72604CD6"/>
    <w:rsid w:val="727D1923"/>
    <w:rsid w:val="73BB169B"/>
    <w:rsid w:val="746F1200"/>
    <w:rsid w:val="749B262E"/>
    <w:rsid w:val="74C07CAE"/>
    <w:rsid w:val="74C635F2"/>
    <w:rsid w:val="759979D3"/>
    <w:rsid w:val="759C4277"/>
    <w:rsid w:val="764F7806"/>
    <w:rsid w:val="769764FC"/>
    <w:rsid w:val="76E43A02"/>
    <w:rsid w:val="771039D6"/>
    <w:rsid w:val="77572DB1"/>
    <w:rsid w:val="786A7BE2"/>
    <w:rsid w:val="7872306D"/>
    <w:rsid w:val="788A621A"/>
    <w:rsid w:val="78B4504A"/>
    <w:rsid w:val="79000405"/>
    <w:rsid w:val="79067DE8"/>
    <w:rsid w:val="79745E2B"/>
    <w:rsid w:val="798647BC"/>
    <w:rsid w:val="79B07F8E"/>
    <w:rsid w:val="79E57AF6"/>
    <w:rsid w:val="7A4D1FE3"/>
    <w:rsid w:val="7B0162C8"/>
    <w:rsid w:val="7B18614D"/>
    <w:rsid w:val="7BCB51C2"/>
    <w:rsid w:val="7C7A6862"/>
    <w:rsid w:val="7CFE6908"/>
    <w:rsid w:val="7DDF2D6E"/>
    <w:rsid w:val="7EB00A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2">
    <w:name w:val="heading 1"/>
    <w:basedOn w:val="1"/>
    <w:next w:val="1"/>
    <w:link w:val="50"/>
    <w:autoRedefine/>
    <w:qFormat/>
    <w:uiPriority w:val="0"/>
    <w:pPr>
      <w:spacing w:before="17"/>
      <w:ind w:right="854"/>
      <w:jc w:val="center"/>
      <w:outlineLvl w:val="1"/>
    </w:pPr>
    <w:rPr>
      <w:rFonts w:eastAsia="仿宋"/>
      <w:kern w:val="44"/>
      <w:sz w:val="28"/>
    </w:rPr>
  </w:style>
  <w:style w:type="paragraph" w:styleId="3">
    <w:name w:val="heading 2"/>
    <w:basedOn w:val="1"/>
    <w:next w:val="1"/>
    <w:link w:val="40"/>
    <w:autoRedefine/>
    <w:qFormat/>
    <w:uiPriority w:val="0"/>
    <w:pPr>
      <w:ind w:left="537" w:hanging="318"/>
      <w:outlineLvl w:val="2"/>
    </w:pPr>
    <w:rPr>
      <w:rFonts w:ascii="宋体" w:hAnsi="宋体" w:eastAsia="宋体" w:cs="宋体"/>
      <w:b/>
      <w:bCs/>
      <w:sz w:val="21"/>
      <w:szCs w:val="21"/>
      <w:lang w:val="zh-CN" w:eastAsia="zh-CN" w:bidi="zh-CN"/>
    </w:rPr>
  </w:style>
  <w:style w:type="paragraph" w:styleId="4">
    <w:name w:val="heading 3"/>
    <w:basedOn w:val="1"/>
    <w:next w:val="1"/>
    <w:autoRedefine/>
    <w:qFormat/>
    <w:uiPriority w:val="0"/>
    <w:pPr>
      <w:ind w:left="538" w:right="428" w:firstLine="623"/>
      <w:outlineLvl w:val="3"/>
    </w:pPr>
    <w:rPr>
      <w:rFonts w:ascii="仿宋" w:hAnsi="仿宋" w:eastAsia="仿宋" w:cs="仿宋"/>
      <w:sz w:val="30"/>
      <w:szCs w:val="30"/>
      <w:lang w:val="zh-CN" w:eastAsia="zh-CN" w:bidi="zh-CN"/>
    </w:rPr>
  </w:style>
  <w:style w:type="paragraph" w:styleId="5">
    <w:name w:val="heading 4"/>
    <w:basedOn w:val="1"/>
    <w:next w:val="1"/>
    <w:autoRedefine/>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6">
    <w:name w:val="heading 5"/>
    <w:basedOn w:val="1"/>
    <w:next w:val="1"/>
    <w:autoRedefine/>
    <w:qFormat/>
    <w:uiPriority w:val="0"/>
    <w:pPr>
      <w:spacing w:before="153"/>
      <w:ind w:left="1098"/>
      <w:outlineLvl w:val="5"/>
    </w:pPr>
    <w:rPr>
      <w:rFonts w:ascii="仿宋" w:hAnsi="仿宋" w:eastAsia="仿宋" w:cs="仿宋"/>
      <w:sz w:val="28"/>
      <w:szCs w:val="28"/>
      <w:lang w:val="zh-CN" w:eastAsia="zh-CN" w:bidi="zh-CN"/>
    </w:rPr>
  </w:style>
  <w:style w:type="paragraph" w:styleId="7">
    <w:name w:val="heading 6"/>
    <w:basedOn w:val="1"/>
    <w:next w:val="1"/>
    <w:autoRedefine/>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3">
    <w:name w:val="Default Paragraph Font"/>
    <w:autoRedefine/>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8">
    <w:name w:val="Body Text"/>
    <w:basedOn w:val="1"/>
    <w:next w:val="9"/>
    <w:autoRedefine/>
    <w:qFormat/>
    <w:uiPriority w:val="0"/>
    <w:rPr>
      <w:rFonts w:ascii="宋体" w:hAnsi="宋体" w:eastAsia="宋体" w:cs="宋体"/>
      <w:sz w:val="21"/>
      <w:szCs w:val="21"/>
      <w:lang w:val="zh-CN" w:eastAsia="zh-CN" w:bidi="zh-CN"/>
    </w:rPr>
  </w:style>
  <w:style w:type="paragraph" w:customStyle="1" w:styleId="9">
    <w:name w:val="style4"/>
    <w:basedOn w:val="1"/>
    <w:next w:val="10"/>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10">
    <w:name w:val="2"/>
    <w:next w:val="1"/>
    <w:autoRedefine/>
    <w:qFormat/>
    <w:uiPriority w:val="0"/>
    <w:pPr>
      <w:widowControl w:val="0"/>
      <w:jc w:val="both"/>
    </w:pPr>
    <w:rPr>
      <w:rFonts w:ascii="Times New Roman" w:hAnsi="Times New Roman" w:eastAsia="宋体" w:cs="Times New Roman"/>
      <w:sz w:val="21"/>
      <w:lang w:val="en-US" w:eastAsia="zh-CN" w:bidi="ar-SA"/>
    </w:rPr>
  </w:style>
  <w:style w:type="paragraph" w:styleId="11">
    <w:name w:val="Body Text Indent"/>
    <w:basedOn w:val="1"/>
    <w:next w:val="12"/>
    <w:autoRedefine/>
    <w:unhideWhenUsed/>
    <w:qFormat/>
    <w:uiPriority w:val="99"/>
    <w:pPr>
      <w:spacing w:before="100" w:beforeAutospacing="1"/>
      <w:ind w:left="420" w:leftChars="200"/>
    </w:pPr>
    <w:rPr>
      <w:rFonts w:ascii="Calibri" w:hAnsi="Calibri"/>
      <w:kern w:val="0"/>
      <w:sz w:val="20"/>
      <w:szCs w:val="21"/>
    </w:rPr>
  </w:style>
  <w:style w:type="paragraph" w:styleId="12">
    <w:name w:val="envelope return"/>
    <w:basedOn w:val="1"/>
    <w:autoRedefine/>
    <w:qFormat/>
    <w:uiPriority w:val="0"/>
    <w:pPr>
      <w:snapToGrid w:val="0"/>
    </w:pPr>
    <w:rPr>
      <w:rFonts w:ascii="Arial" w:hAnsi="Arial"/>
    </w:rPr>
  </w:style>
  <w:style w:type="paragraph" w:styleId="13">
    <w:name w:val="toc 3"/>
    <w:basedOn w:val="1"/>
    <w:next w:val="1"/>
    <w:autoRedefine/>
    <w:qFormat/>
    <w:uiPriority w:val="0"/>
    <w:pPr>
      <w:ind w:left="840" w:leftChars="400"/>
    </w:p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7">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8">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9">
    <w:name w:val="Body Text First Indent"/>
    <w:basedOn w:val="8"/>
    <w:next w:val="1"/>
    <w:autoRedefine/>
    <w:qFormat/>
    <w:uiPriority w:val="0"/>
    <w:pPr>
      <w:ind w:firstLine="420" w:firstLineChars="100"/>
    </w:pPr>
  </w:style>
  <w:style w:type="paragraph" w:styleId="20">
    <w:name w:val="Body Text First Indent 2"/>
    <w:basedOn w:val="11"/>
    <w:next w:val="1"/>
    <w:autoRedefine/>
    <w:qFormat/>
    <w:uiPriority w:val="0"/>
    <w:pPr>
      <w:ind w:firstLine="420" w:firstLineChars="200"/>
    </w:p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autoRedefine/>
    <w:qFormat/>
    <w:uiPriority w:val="0"/>
  </w:style>
  <w:style w:type="character" w:styleId="25">
    <w:name w:val="FollowedHyperlink"/>
    <w:basedOn w:val="23"/>
    <w:autoRedefine/>
    <w:qFormat/>
    <w:uiPriority w:val="0"/>
    <w:rPr>
      <w:color w:val="800080"/>
      <w:u w:val="none"/>
    </w:rPr>
  </w:style>
  <w:style w:type="character" w:styleId="26">
    <w:name w:val="Emphasis"/>
    <w:basedOn w:val="23"/>
    <w:autoRedefine/>
    <w:qFormat/>
    <w:uiPriority w:val="0"/>
  </w:style>
  <w:style w:type="character" w:styleId="27">
    <w:name w:val="HTML Definition"/>
    <w:basedOn w:val="23"/>
    <w:autoRedefine/>
    <w:qFormat/>
    <w:uiPriority w:val="0"/>
  </w:style>
  <w:style w:type="character" w:styleId="28">
    <w:name w:val="HTML Typewriter"/>
    <w:basedOn w:val="23"/>
    <w:autoRedefine/>
    <w:qFormat/>
    <w:uiPriority w:val="0"/>
    <w:rPr>
      <w:rFonts w:hint="default" w:ascii="monospace" w:hAnsi="monospace" w:eastAsia="monospace" w:cs="monospace"/>
      <w:sz w:val="20"/>
    </w:rPr>
  </w:style>
  <w:style w:type="character" w:styleId="29">
    <w:name w:val="HTML Acronym"/>
    <w:basedOn w:val="23"/>
    <w:autoRedefine/>
    <w:qFormat/>
    <w:uiPriority w:val="0"/>
  </w:style>
  <w:style w:type="character" w:styleId="30">
    <w:name w:val="HTML Variable"/>
    <w:basedOn w:val="23"/>
    <w:autoRedefine/>
    <w:qFormat/>
    <w:uiPriority w:val="0"/>
  </w:style>
  <w:style w:type="character" w:styleId="31">
    <w:name w:val="Hyperlink"/>
    <w:basedOn w:val="23"/>
    <w:autoRedefine/>
    <w:qFormat/>
    <w:uiPriority w:val="0"/>
    <w:rPr>
      <w:color w:val="0000FF"/>
      <w:u w:val="none"/>
    </w:rPr>
  </w:style>
  <w:style w:type="character" w:styleId="32">
    <w:name w:val="HTML Code"/>
    <w:basedOn w:val="23"/>
    <w:autoRedefine/>
    <w:qFormat/>
    <w:uiPriority w:val="0"/>
    <w:rPr>
      <w:rFonts w:ascii="monospace" w:hAnsi="monospace" w:eastAsia="monospace" w:cs="monospace"/>
      <w:sz w:val="20"/>
    </w:rPr>
  </w:style>
  <w:style w:type="character" w:styleId="33">
    <w:name w:val="HTML Cite"/>
    <w:basedOn w:val="23"/>
    <w:autoRedefine/>
    <w:qFormat/>
    <w:uiPriority w:val="0"/>
  </w:style>
  <w:style w:type="character" w:styleId="34">
    <w:name w:val="HTML Keyboard"/>
    <w:basedOn w:val="23"/>
    <w:autoRedefine/>
    <w:qFormat/>
    <w:uiPriority w:val="0"/>
    <w:rPr>
      <w:rFonts w:hint="default" w:ascii="monospace" w:hAnsi="monospace" w:eastAsia="monospace" w:cs="monospace"/>
      <w:sz w:val="20"/>
    </w:rPr>
  </w:style>
  <w:style w:type="character" w:styleId="35">
    <w:name w:val="HTML Sample"/>
    <w:basedOn w:val="23"/>
    <w:autoRedefine/>
    <w:qFormat/>
    <w:uiPriority w:val="0"/>
    <w:rPr>
      <w:rFonts w:hint="default" w:ascii="monospace" w:hAnsi="monospace" w:eastAsia="monospace" w:cs="monospace"/>
    </w:rPr>
  </w:style>
  <w:style w:type="paragraph" w:customStyle="1" w:styleId="36">
    <w:name w:val="BodyText"/>
    <w:basedOn w:val="1"/>
    <w:autoRedefine/>
    <w:qFormat/>
    <w:uiPriority w:val="0"/>
    <w:pPr>
      <w:widowControl/>
      <w:spacing w:after="120" w:line="259" w:lineRule="auto"/>
      <w:jc w:val="left"/>
    </w:pPr>
    <w:rPr>
      <w:rFonts w:ascii="FuturaA Bk BT" w:hAnsi="FuturaA Bk BT" w:eastAsia="仿宋_GB2312"/>
      <w:kern w:val="0"/>
      <w:sz w:val="20"/>
      <w:szCs w:val="20"/>
    </w:rPr>
  </w:style>
  <w:style w:type="character" w:customStyle="1" w:styleId="37">
    <w:name w:val="标题 1 Char"/>
    <w:link w:val="2"/>
    <w:autoRedefine/>
    <w:semiHidden/>
    <w:qFormat/>
    <w:uiPriority w:val="0"/>
    <w:rPr>
      <w:rFonts w:ascii="黑体" w:hAnsi="黑体" w:eastAsia="黑体" w:cs="黑体"/>
      <w:sz w:val="40"/>
      <w:szCs w:val="40"/>
      <w:lang w:val="zh-CN" w:eastAsia="zh-CN" w:bidi="zh-CN"/>
    </w:rPr>
  </w:style>
  <w:style w:type="paragraph" w:customStyle="1" w:styleId="38">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0">
    <w:name w:val="标题 2 Char"/>
    <w:link w:val="3"/>
    <w:autoRedefine/>
    <w:semiHidden/>
    <w:qFormat/>
    <w:uiPriority w:val="0"/>
    <w:rPr>
      <w:rFonts w:ascii="宋体" w:hAnsi="宋体" w:eastAsia="宋体" w:cs="宋体"/>
      <w:b/>
      <w:bCs/>
      <w:sz w:val="21"/>
      <w:szCs w:val="21"/>
      <w:lang w:val="zh-CN" w:eastAsia="zh-CN" w:bidi="zh-CN"/>
    </w:rPr>
  </w:style>
  <w:style w:type="paragraph" w:customStyle="1" w:styleId="41">
    <w:name w:val="Body Text Indent"/>
    <w:basedOn w:val="1"/>
    <w:autoRedefine/>
    <w:qFormat/>
    <w:uiPriority w:val="0"/>
    <w:pPr>
      <w:ind w:left="2481" w:hanging="2481" w:hangingChars="700"/>
    </w:pPr>
    <w:rPr>
      <w:rFonts w:ascii="宋体" w:hAnsi="宋体" w:eastAsia="宋体" w:cs="Times New Roman"/>
      <w:b/>
      <w:bCs/>
      <w:sz w:val="36"/>
    </w:rPr>
  </w:style>
  <w:style w:type="paragraph" w:customStyle="1" w:styleId="4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8"/>
    <w:next w:val="44"/>
    <w:autoRedefine/>
    <w:qFormat/>
    <w:uiPriority w:val="0"/>
    <w:pPr>
      <w:ind w:firstLine="420" w:firstLineChars="100"/>
    </w:pPr>
  </w:style>
  <w:style w:type="paragraph" w:customStyle="1" w:styleId="44">
    <w:name w:val="Body Text First Indent 2"/>
    <w:basedOn w:val="41"/>
    <w:autoRedefine/>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autoRedefine/>
    <w:qFormat/>
    <w:uiPriority w:val="0"/>
    <w:pPr>
      <w:ind w:left="220" w:hanging="530"/>
    </w:pPr>
    <w:rPr>
      <w:rFonts w:ascii="宋体" w:hAnsi="宋体" w:eastAsia="宋体" w:cs="宋体"/>
      <w:lang w:val="zh-CN" w:eastAsia="zh-CN" w:bidi="zh-CN"/>
    </w:rPr>
  </w:style>
  <w:style w:type="paragraph" w:customStyle="1" w:styleId="46">
    <w:name w:val="Table Paragraph"/>
    <w:basedOn w:val="1"/>
    <w:autoRedefine/>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autoRedefine/>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autoRedefine/>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2"/>
    <w:autoRedefine/>
    <w:semiHidden/>
    <w:qFormat/>
    <w:uiPriority w:val="0"/>
    <w:rPr>
      <w:rFonts w:eastAsia="仿宋"/>
      <w:kern w:val="44"/>
      <w:sz w:val="28"/>
    </w:rPr>
  </w:style>
  <w:style w:type="paragraph" w:customStyle="1" w:styleId="51">
    <w:name w:val="Body text|3"/>
    <w:basedOn w:val="1"/>
    <w:autoRedefine/>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 w:type="character" w:customStyle="1" w:styleId="57">
    <w:name w:val="toolbarlabel2"/>
    <w:basedOn w:val="23"/>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103</Pages>
  <Words>26130</Words>
  <Characters>28290</Characters>
  <Lines>1</Lines>
  <Paragraphs>1</Paragraphs>
  <TotalTime>75</TotalTime>
  <ScaleCrop>false</ScaleCrop>
  <LinksUpToDate>false</LinksUpToDate>
  <CharactersWithSpaces>32919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暖暖</cp:lastModifiedBy>
  <cp:lastPrinted>2024-02-27T08:29:00Z</cp:lastPrinted>
  <dcterms:modified xsi:type="dcterms:W3CDTF">2024-03-14T01:07:32Z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2052-12.1.0.16388</vt:lpwstr>
  </property>
  <property fmtid="{D5CDD505-2E9C-101B-9397-08002B2CF9AE}" pid="6" name="ICV">
    <vt:lpwstr>8C04E7B4EB9440EEA76004E32AE818D8</vt:lpwstr>
  </property>
</Properties>
</file>