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2"/>
        <w:adjustRightInd w:val="0"/>
        <w:snapToGrid w:val="0"/>
        <w:spacing w:line="360" w:lineRule="auto"/>
        <w:jc w:val="center"/>
        <w:rPr>
          <w:rFonts w:hint="eastAsia" w:ascii="宋体" w:hAnsi="宋体" w:eastAsia="宋体" w:cs="宋体"/>
          <w:b/>
          <w:bCs/>
          <w:color w:val="auto"/>
          <w:sz w:val="44"/>
          <w:szCs w:val="44"/>
          <w:highlight w:val="none"/>
        </w:rPr>
      </w:pPr>
    </w:p>
    <w:p>
      <w:pPr>
        <w:pStyle w:val="32"/>
        <w:adjustRightInd w:val="0"/>
        <w:snapToGrid w:val="0"/>
        <w:spacing w:line="360" w:lineRule="auto"/>
        <w:jc w:val="center"/>
        <w:rPr>
          <w:rFonts w:hint="default" w:ascii="宋体" w:hAnsi="宋体" w:eastAsia="宋体" w:cs="宋体"/>
          <w:b/>
          <w:bCs/>
          <w:color w:val="auto"/>
          <w:sz w:val="44"/>
          <w:szCs w:val="44"/>
          <w:highlight w:val="none"/>
          <w:lang w:val="en-US" w:eastAsia="zh-CN"/>
        </w:rPr>
      </w:pPr>
      <w:r>
        <w:rPr>
          <w:rFonts w:hint="eastAsia" w:ascii="宋体" w:hAnsi="宋体" w:cs="宋体"/>
          <w:b/>
          <w:bCs/>
          <w:color w:val="auto"/>
          <w:sz w:val="44"/>
          <w:szCs w:val="44"/>
          <w:highlight w:val="none"/>
          <w:lang w:eastAsia="zh-CN"/>
        </w:rPr>
        <w:t xml:space="preserve"> 淅川县水利局淅川县丹江口库区及上游水土流失综合治理工程荆寺西项目区监理</w:t>
      </w:r>
    </w:p>
    <w:p>
      <w:pPr>
        <w:pStyle w:val="32"/>
        <w:adjustRightInd w:val="0"/>
        <w:snapToGrid w:val="0"/>
        <w:spacing w:line="360" w:lineRule="auto"/>
        <w:rPr>
          <w:rFonts w:hint="eastAsia" w:ascii="宋体" w:hAnsi="宋体" w:eastAsia="宋体" w:cs="宋体"/>
          <w:color w:val="auto"/>
          <w:highlight w:val="none"/>
        </w:rPr>
      </w:pPr>
    </w:p>
    <w:p>
      <w:pPr>
        <w:adjustRightInd w:val="0"/>
        <w:snapToGrid w:val="0"/>
        <w:spacing w:line="360" w:lineRule="auto"/>
        <w:ind w:firstLine="2600" w:firstLineChars="400"/>
        <w:rPr>
          <w:rFonts w:hint="eastAsia" w:ascii="仿宋" w:hAnsi="仿宋" w:eastAsia="仿宋" w:cs="仿宋"/>
          <w:b/>
          <w:bCs/>
          <w:color w:val="auto"/>
          <w:w w:val="125"/>
          <w:sz w:val="52"/>
          <w:szCs w:val="52"/>
          <w:highlight w:val="none"/>
          <w:lang w:val="en-US" w:eastAsia="zh-CN"/>
        </w:rPr>
      </w:pPr>
    </w:p>
    <w:p>
      <w:pPr>
        <w:pStyle w:val="18"/>
        <w:rPr>
          <w:rFonts w:hint="eastAsia"/>
          <w:color w:val="auto"/>
          <w:highlight w:val="none"/>
          <w:lang w:val="en-US" w:eastAsia="zh-CN"/>
        </w:rPr>
      </w:pPr>
    </w:p>
    <w:p>
      <w:pPr>
        <w:adjustRightInd w:val="0"/>
        <w:snapToGrid w:val="0"/>
        <w:spacing w:line="360" w:lineRule="auto"/>
        <w:ind w:firstLine="2600" w:firstLineChars="400"/>
        <w:rPr>
          <w:rFonts w:hint="eastAsia" w:ascii="仿宋" w:hAnsi="仿宋" w:eastAsia="仿宋" w:cs="仿宋"/>
          <w:b/>
          <w:bCs/>
          <w:color w:val="auto"/>
          <w:w w:val="125"/>
          <w:sz w:val="52"/>
          <w:szCs w:val="52"/>
          <w:highlight w:val="none"/>
          <w:lang w:val="en-US" w:eastAsia="zh-CN"/>
        </w:rPr>
      </w:pPr>
      <w:r>
        <w:rPr>
          <w:rFonts w:hint="eastAsia" w:ascii="仿宋" w:hAnsi="仿宋" w:eastAsia="仿宋" w:cs="仿宋"/>
          <w:b/>
          <w:bCs/>
          <w:color w:val="auto"/>
          <w:w w:val="125"/>
          <w:sz w:val="52"/>
          <w:szCs w:val="52"/>
          <w:highlight w:val="none"/>
          <w:lang w:val="en-US" w:eastAsia="zh-CN"/>
        </w:rPr>
        <w:t>竞争性磋商文件</w:t>
      </w:r>
    </w:p>
    <w:p>
      <w:pPr>
        <w:pStyle w:val="8"/>
        <w:jc w:val="center"/>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项目编号：淅财磋商采购-2024-12 </w:t>
      </w:r>
    </w:p>
    <w:p>
      <w:pPr>
        <w:adjustRightInd w:val="0"/>
        <w:snapToGrid w:val="0"/>
        <w:spacing w:line="360" w:lineRule="auto"/>
        <w:jc w:val="both"/>
        <w:rPr>
          <w:rFonts w:hint="eastAsia" w:ascii="宋体" w:hAnsi="宋体" w:eastAsia="宋体" w:cs="宋体"/>
          <w:b/>
          <w:bCs/>
          <w:color w:val="auto"/>
          <w:sz w:val="32"/>
          <w:szCs w:val="32"/>
          <w:highlight w:val="none"/>
        </w:rPr>
      </w:pPr>
    </w:p>
    <w:p>
      <w:pPr>
        <w:pStyle w:val="8"/>
        <w:rPr>
          <w:rFonts w:hint="eastAsia" w:ascii="宋体" w:hAnsi="宋体" w:eastAsia="宋体" w:cs="宋体"/>
          <w:b/>
          <w:bCs/>
          <w:color w:val="auto"/>
          <w:sz w:val="32"/>
          <w:szCs w:val="32"/>
          <w:highlight w:val="none"/>
        </w:rPr>
      </w:pPr>
    </w:p>
    <w:p>
      <w:pPr>
        <w:pStyle w:val="2"/>
        <w:rPr>
          <w:rFonts w:hint="eastAsia"/>
          <w:color w:val="auto"/>
          <w:highlight w:val="none"/>
        </w:rPr>
      </w:pPr>
    </w:p>
    <w:p>
      <w:pPr>
        <w:adjustRightInd w:val="0"/>
        <w:snapToGrid w:val="0"/>
        <w:spacing w:line="360" w:lineRule="auto"/>
        <w:ind w:left="420" w:leftChars="200" w:firstLine="0" w:firstLineChars="0"/>
        <w:jc w:val="both"/>
        <w:rPr>
          <w:rFonts w:hint="eastAsia" w:ascii="宋体" w:hAnsi="宋体" w:eastAsia="宋体" w:cs="宋体"/>
          <w:b/>
          <w:bCs/>
          <w:color w:val="auto"/>
          <w:sz w:val="32"/>
          <w:szCs w:val="32"/>
          <w:highlight w:val="none"/>
        </w:rPr>
      </w:pPr>
    </w:p>
    <w:p>
      <w:pPr>
        <w:pStyle w:val="8"/>
        <w:rPr>
          <w:rFonts w:hint="eastAsia" w:ascii="宋体" w:hAnsi="宋体" w:eastAsia="宋体" w:cs="宋体"/>
          <w:b/>
          <w:bCs/>
          <w:color w:val="auto"/>
          <w:sz w:val="32"/>
          <w:szCs w:val="32"/>
          <w:highlight w:val="none"/>
        </w:rPr>
      </w:pPr>
    </w:p>
    <w:p>
      <w:pPr>
        <w:pStyle w:val="2"/>
        <w:rPr>
          <w:rFonts w:hint="eastAsia" w:ascii="宋体" w:hAnsi="宋体" w:eastAsia="宋体" w:cs="宋体"/>
          <w:b/>
          <w:bCs/>
          <w:color w:val="auto"/>
          <w:sz w:val="32"/>
          <w:szCs w:val="32"/>
          <w:highlight w:val="none"/>
        </w:rPr>
      </w:pPr>
    </w:p>
    <w:p>
      <w:pPr>
        <w:rPr>
          <w:rFonts w:hint="eastAsia" w:ascii="宋体" w:hAnsi="宋体" w:eastAsia="宋体" w:cs="宋体"/>
          <w:b/>
          <w:bCs/>
          <w:color w:val="auto"/>
          <w:sz w:val="32"/>
          <w:szCs w:val="32"/>
          <w:highlight w:val="none"/>
        </w:rPr>
      </w:pPr>
    </w:p>
    <w:p>
      <w:pPr>
        <w:pStyle w:val="2"/>
        <w:rPr>
          <w:rFonts w:hint="eastAsia"/>
          <w:color w:val="auto"/>
          <w:highlight w:val="none"/>
        </w:rPr>
      </w:pPr>
    </w:p>
    <w:p>
      <w:pPr>
        <w:pStyle w:val="8"/>
        <w:rPr>
          <w:rFonts w:hint="eastAsia" w:ascii="仿宋" w:hAnsi="仿宋" w:eastAsia="仿宋" w:cs="仿宋"/>
          <w:color w:val="auto"/>
          <w:highlight w:val="none"/>
        </w:rPr>
      </w:pPr>
    </w:p>
    <w:p>
      <w:pPr>
        <w:adjustRightInd w:val="0"/>
        <w:snapToGrid w:val="0"/>
        <w:spacing w:line="360" w:lineRule="auto"/>
        <w:ind w:left="420" w:leftChars="200" w:firstLine="320" w:firstLineChars="100"/>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eastAsia="zh-CN"/>
        </w:rPr>
        <w:t>采购人</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eastAsia="zh-CN"/>
        </w:rPr>
        <w:t>淅川县水利局</w:t>
      </w:r>
    </w:p>
    <w:p>
      <w:pPr>
        <w:adjustRightInd w:val="0"/>
        <w:snapToGrid w:val="0"/>
        <w:spacing w:line="360" w:lineRule="auto"/>
        <w:ind w:left="420" w:leftChars="200" w:firstLine="320" w:firstLineChars="100"/>
        <w:jc w:val="both"/>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代理机构：</w:t>
      </w:r>
      <w:r>
        <w:rPr>
          <w:rFonts w:hint="eastAsia" w:ascii="仿宋" w:hAnsi="仿宋" w:eastAsia="仿宋" w:cs="仿宋"/>
          <w:b/>
          <w:bCs/>
          <w:color w:val="auto"/>
          <w:sz w:val="32"/>
          <w:szCs w:val="32"/>
          <w:highlight w:val="none"/>
          <w:lang w:eastAsia="zh-CN"/>
        </w:rPr>
        <w:t>河南同盛工程管理咨询有限公司</w:t>
      </w:r>
    </w:p>
    <w:p>
      <w:pPr>
        <w:adjustRightInd w:val="0"/>
        <w:snapToGrid w:val="0"/>
        <w:spacing w:line="360" w:lineRule="auto"/>
        <w:ind w:left="420" w:leftChars="200" w:firstLine="320" w:firstLineChars="1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日    期：二零二</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月</w:t>
      </w:r>
    </w:p>
    <w:p>
      <w:pPr>
        <w:rPr>
          <w:rFonts w:hint="eastAsia" w:ascii="仿宋" w:hAnsi="仿宋" w:eastAsia="仿宋" w:cs="仿宋"/>
          <w:b/>
          <w:bCs/>
          <w:color w:val="auto"/>
          <w:sz w:val="32"/>
          <w:szCs w:val="32"/>
          <w:highlight w:val="none"/>
        </w:rPr>
      </w:pPr>
    </w:p>
    <w:p>
      <w:pPr>
        <w:pStyle w:val="8"/>
        <w:rPr>
          <w:rFonts w:hint="eastAsia" w:ascii="仿宋" w:hAnsi="仿宋" w:eastAsia="仿宋" w:cs="仿宋"/>
          <w:b/>
          <w:bCs/>
          <w:color w:val="auto"/>
          <w:sz w:val="32"/>
          <w:szCs w:val="32"/>
          <w:highlight w:val="none"/>
        </w:rPr>
        <w:sectPr>
          <w:headerReference r:id="rId4" w:type="first"/>
          <w:footerReference r:id="rId6" w:type="first"/>
          <w:headerReference r:id="rId3" w:type="default"/>
          <w:footerReference r:id="rId5" w:type="default"/>
          <w:pgSz w:w="11906" w:h="16838"/>
          <w:pgMar w:top="1418" w:right="1466" w:bottom="1361" w:left="1418" w:header="851" w:footer="992" w:gutter="0"/>
          <w:pgNumType w:fmt="decimal" w:start="1"/>
          <w:cols w:space="720" w:num="1"/>
          <w:titlePg/>
          <w:docGrid w:type="linesAndChars" w:linePitch="312" w:charSpace="0"/>
        </w:sectPr>
      </w:pPr>
    </w:p>
    <w:p>
      <w:pPr>
        <w:pStyle w:val="2"/>
        <w:rPr>
          <w:rFonts w:hint="eastAsia"/>
          <w:color w:val="auto"/>
          <w:highlight w:val="none"/>
        </w:rPr>
      </w:pPr>
    </w:p>
    <w:p>
      <w:pPr>
        <w:snapToGrid w:val="0"/>
        <w:spacing w:line="48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pPr>
        <w:rPr>
          <w:color w:val="auto"/>
          <w:highlight w:val="none"/>
        </w:rPr>
      </w:pPr>
    </w:p>
    <w:p>
      <w:pPr>
        <w:pStyle w:val="15"/>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bCs w:val="0"/>
          <w:caps w:val="0"/>
          <w:color w:val="auto"/>
          <w:sz w:val="28"/>
          <w:szCs w:val="28"/>
          <w:highlight w:val="none"/>
        </w:rPr>
        <w:fldChar w:fldCharType="begin"/>
      </w:r>
      <w:r>
        <w:rPr>
          <w:rFonts w:hint="eastAsia" w:ascii="仿宋" w:hAnsi="仿宋" w:eastAsia="仿宋" w:cs="仿宋"/>
          <w:bCs w:val="0"/>
          <w:caps w:val="0"/>
          <w:color w:val="auto"/>
          <w:sz w:val="28"/>
          <w:szCs w:val="28"/>
          <w:highlight w:val="none"/>
        </w:rPr>
        <w:instrText xml:space="preserve"> TOC \o "1-1" \h \z \u </w:instrText>
      </w:r>
      <w:r>
        <w:rPr>
          <w:rFonts w:hint="eastAsia" w:ascii="仿宋" w:hAnsi="仿宋" w:eastAsia="仿宋" w:cs="仿宋"/>
          <w:bCs w:val="0"/>
          <w:caps w:val="0"/>
          <w:color w:val="auto"/>
          <w:sz w:val="28"/>
          <w:szCs w:val="28"/>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"_Toc478314723"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8"/>
          <w:szCs w:val="28"/>
          <w:highlight w:val="none"/>
        </w:rPr>
        <w:t xml:space="preserve">第一章 </w:t>
      </w:r>
      <w:bookmarkStart w:id="0" w:name="_Hlt482465224"/>
      <w:bookmarkStart w:id="1" w:name="_Hlt482465225"/>
      <w:r>
        <w:rPr>
          <w:rStyle w:val="27"/>
          <w:rFonts w:hint="eastAsia" w:ascii="仿宋" w:hAnsi="仿宋" w:eastAsia="仿宋" w:cs="仿宋"/>
          <w:color w:val="auto"/>
          <w:sz w:val="28"/>
          <w:szCs w:val="28"/>
          <w:highlight w:val="none"/>
          <w:lang w:eastAsia="zh-CN"/>
        </w:rPr>
        <w:t>竞争性磋商</w:t>
      </w:r>
      <w:r>
        <w:rPr>
          <w:rStyle w:val="27"/>
          <w:rFonts w:hint="eastAsia" w:ascii="仿宋" w:hAnsi="仿宋" w:eastAsia="仿宋" w:cs="仿宋"/>
          <w:color w:val="auto"/>
          <w:sz w:val="28"/>
          <w:szCs w:val="28"/>
          <w:highlight w:val="none"/>
        </w:rPr>
        <w:t>公</w:t>
      </w:r>
      <w:bookmarkEnd w:id="0"/>
      <w:bookmarkEnd w:id="1"/>
      <w:bookmarkStart w:id="2" w:name="_Hlt482695964"/>
      <w:bookmarkStart w:id="3" w:name="_Hlt482695963"/>
      <w:r>
        <w:rPr>
          <w:rStyle w:val="27"/>
          <w:rFonts w:hint="eastAsia" w:ascii="仿宋" w:hAnsi="仿宋" w:eastAsia="仿宋" w:cs="仿宋"/>
          <w:color w:val="auto"/>
          <w:sz w:val="28"/>
          <w:szCs w:val="28"/>
          <w:highlight w:val="none"/>
        </w:rPr>
        <w:t>告</w:t>
      </w:r>
      <w:bookmarkEnd w:id="2"/>
      <w:bookmarkEnd w:id="3"/>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_Toc478314723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5"/>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"_Toc478314724"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8"/>
          <w:szCs w:val="28"/>
          <w:highlight w:val="none"/>
        </w:rPr>
        <w:t xml:space="preserve">第二章 </w:t>
      </w:r>
      <w:r>
        <w:rPr>
          <w:rStyle w:val="27"/>
          <w:rFonts w:hint="eastAsia" w:ascii="仿宋" w:hAnsi="仿宋" w:eastAsia="仿宋" w:cs="仿宋"/>
          <w:color w:val="auto"/>
          <w:sz w:val="28"/>
          <w:szCs w:val="28"/>
          <w:highlight w:val="none"/>
          <w:lang w:eastAsia="zh-CN"/>
        </w:rPr>
        <w:t>响应人</w:t>
      </w:r>
      <w:r>
        <w:rPr>
          <w:rStyle w:val="27"/>
          <w:rFonts w:hint="eastAsia" w:ascii="仿宋" w:hAnsi="仿宋" w:eastAsia="仿宋" w:cs="仿宋"/>
          <w:color w:val="auto"/>
          <w:sz w:val="28"/>
          <w:szCs w:val="28"/>
          <w:highlight w:val="none"/>
        </w:rPr>
        <w:t>须知</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rPr>
        <w:fldChar w:fldCharType="end"/>
      </w:r>
    </w:p>
    <w:p>
      <w:pPr>
        <w:pStyle w:val="15"/>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"_Toc478314727"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8"/>
          <w:szCs w:val="28"/>
          <w:highlight w:val="none"/>
        </w:rPr>
        <w:t>第三章 评标办</w:t>
      </w:r>
      <w:bookmarkStart w:id="4" w:name="_Hlt482711946"/>
      <w:bookmarkStart w:id="5" w:name="_Hlt482711945"/>
      <w:r>
        <w:rPr>
          <w:rStyle w:val="27"/>
          <w:rFonts w:hint="eastAsia" w:ascii="仿宋" w:hAnsi="仿宋" w:eastAsia="仿宋" w:cs="仿宋"/>
          <w:color w:val="auto"/>
          <w:sz w:val="28"/>
          <w:szCs w:val="28"/>
          <w:highlight w:val="none"/>
        </w:rPr>
        <w:t>法</w:t>
      </w:r>
      <w:bookmarkEnd w:id="4"/>
      <w:bookmarkEnd w:id="5"/>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_Toc478314727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5"/>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"_Toc478314728"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8"/>
          <w:szCs w:val="28"/>
          <w:highlight w:val="none"/>
        </w:rPr>
        <w:t>第四章 合同条款及格式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5"/>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"_Toc478314729"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8"/>
          <w:szCs w:val="28"/>
          <w:highlight w:val="none"/>
        </w:rPr>
        <w:t>第五章 服务内容</w:t>
      </w:r>
      <w:r>
        <w:rPr>
          <w:rStyle w:val="27"/>
          <w:rFonts w:hint="eastAsia" w:ascii="仿宋" w:hAnsi="仿宋" w:eastAsia="仿宋" w:cs="仿宋"/>
          <w:color w:val="auto"/>
          <w:sz w:val="28"/>
          <w:szCs w:val="28"/>
          <w:highlight w:val="none"/>
          <w:lang w:val="en-US" w:eastAsia="zh-CN"/>
        </w:rPr>
        <w:t>及要求</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_Toc478314729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pStyle w:val="15"/>
        <w:tabs>
          <w:tab w:val="right" w:leader="hyphen" w:pos="9012"/>
        </w:tabs>
        <w:rPr>
          <w:rFonts w:hint="eastAsia" w:ascii="仿宋" w:hAnsi="仿宋" w:eastAsia="仿宋" w:cs="仿宋"/>
          <w:b w:val="0"/>
          <w:bCs w:val="0"/>
          <w:caps w:val="0"/>
          <w:color w:val="auto"/>
          <w:sz w:val="28"/>
          <w:szCs w:val="28"/>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"_Toc478314730" </w:instrText>
      </w:r>
      <w:r>
        <w:rPr>
          <w:rFonts w:hint="eastAsia" w:ascii="仿宋" w:hAnsi="仿宋" w:eastAsia="仿宋" w:cs="仿宋"/>
          <w:color w:val="auto"/>
          <w:highlight w:val="none"/>
        </w:rPr>
        <w:fldChar w:fldCharType="separate"/>
      </w:r>
      <w:r>
        <w:rPr>
          <w:rStyle w:val="27"/>
          <w:rFonts w:hint="eastAsia" w:ascii="仿宋" w:hAnsi="仿宋" w:eastAsia="仿宋" w:cs="仿宋"/>
          <w:color w:val="auto"/>
          <w:sz w:val="28"/>
          <w:szCs w:val="28"/>
          <w:highlight w:val="none"/>
        </w:rPr>
        <w:t>第六章 投标文件格</w:t>
      </w:r>
      <w:bookmarkStart w:id="6" w:name="_Hlt484418314"/>
      <w:r>
        <w:rPr>
          <w:rStyle w:val="27"/>
          <w:rFonts w:hint="eastAsia" w:ascii="仿宋" w:hAnsi="仿宋" w:eastAsia="仿宋" w:cs="仿宋"/>
          <w:color w:val="auto"/>
          <w:sz w:val="28"/>
          <w:szCs w:val="28"/>
          <w:highlight w:val="none"/>
        </w:rPr>
        <w:t>式</w:t>
      </w:r>
      <w:bookmarkEnd w:id="6"/>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_Toc478314730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25</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pPr>
        <w:spacing w:line="600" w:lineRule="auto"/>
        <w:rPr>
          <w:rFonts w:hint="eastAsia" w:ascii="仿宋" w:hAnsi="仿宋" w:eastAsia="仿宋" w:cs="仿宋"/>
          <w:color w:val="auto"/>
          <w:sz w:val="28"/>
          <w:szCs w:val="28"/>
          <w:highlight w:val="none"/>
        </w:rPr>
      </w:pPr>
      <w:r>
        <w:rPr>
          <w:rFonts w:hint="eastAsia" w:ascii="仿宋" w:hAnsi="仿宋" w:eastAsia="仿宋" w:cs="仿宋"/>
          <w:bCs/>
          <w:caps/>
          <w:color w:val="auto"/>
          <w:sz w:val="28"/>
          <w:szCs w:val="28"/>
          <w:highlight w:val="none"/>
        </w:rPr>
        <w:fldChar w:fldCharType="end"/>
      </w:r>
    </w:p>
    <w:p>
      <w:pPr>
        <w:shd w:val="solid" w:color="FFFFFF" w:fill="auto"/>
        <w:autoSpaceDN w:val="0"/>
        <w:spacing w:before="141" w:after="141" w:line="360" w:lineRule="auto"/>
        <w:rPr>
          <w:rFonts w:hint="eastAsia" w:ascii="仿宋" w:hAnsi="仿宋" w:eastAsia="仿宋" w:cs="仿宋"/>
          <w:b/>
          <w:color w:val="auto"/>
          <w:sz w:val="28"/>
          <w:szCs w:val="28"/>
          <w:highlight w:val="none"/>
        </w:rPr>
      </w:pPr>
    </w:p>
    <w:p>
      <w:pPr>
        <w:pStyle w:val="3"/>
        <w:spacing w:before="0" w:after="0"/>
        <w:rPr>
          <w:rFonts w:hint="eastAsia" w:ascii="仿宋" w:hAnsi="仿宋" w:eastAsia="仿宋" w:cs="仿宋"/>
          <w:color w:val="auto"/>
          <w:highlight w:val="none"/>
        </w:rPr>
      </w:pPr>
      <w:bookmarkStart w:id="7" w:name="_Toc478314723"/>
    </w:p>
    <w:p>
      <w:pPr>
        <w:pStyle w:val="3"/>
        <w:spacing w:before="0" w:after="0"/>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8"/>
        <w:rPr>
          <w:rFonts w:hint="eastAsia" w:ascii="仿宋" w:hAnsi="仿宋" w:eastAsia="仿宋" w:cs="仿宋"/>
          <w:color w:val="auto"/>
          <w:highlight w:val="none"/>
        </w:rPr>
      </w:pPr>
    </w:p>
    <w:p>
      <w:pPr>
        <w:pStyle w:val="19"/>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18"/>
        <w:rPr>
          <w:rFonts w:hint="eastAsia" w:ascii="仿宋" w:hAnsi="仿宋" w:eastAsia="仿宋" w:cs="仿宋"/>
          <w:color w:val="auto"/>
          <w:highlight w:val="none"/>
        </w:rPr>
      </w:pPr>
      <w:bookmarkStart w:id="91" w:name="_GoBack"/>
      <w:bookmarkEnd w:id="91"/>
    </w:p>
    <w:p>
      <w:pPr>
        <w:pStyle w:val="19"/>
        <w:rPr>
          <w:rFonts w:hint="eastAsia" w:ascii="仿宋" w:hAnsi="仿宋" w:eastAsia="仿宋" w:cs="仿宋"/>
          <w:color w:val="auto"/>
          <w:highlight w:val="none"/>
        </w:rPr>
      </w:pPr>
    </w:p>
    <w:p>
      <w:pPr>
        <w:rPr>
          <w:rFonts w:hint="eastAsia"/>
        </w:rPr>
      </w:pP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
        <w:spacing w:before="0" w:after="0"/>
        <w:rPr>
          <w:rFonts w:hint="eastAsia" w:ascii="仿宋" w:hAnsi="仿宋" w:eastAsia="仿宋" w:cs="仿宋"/>
          <w:color w:val="auto"/>
          <w:szCs w:val="40"/>
          <w:highlight w:val="none"/>
        </w:rPr>
      </w:pPr>
      <w:r>
        <w:rPr>
          <w:rFonts w:hint="eastAsia" w:ascii="仿宋" w:hAnsi="仿宋" w:eastAsia="仿宋" w:cs="仿宋"/>
          <w:color w:val="auto"/>
          <w:highlight w:val="none"/>
        </w:rPr>
        <w:t xml:space="preserve">第一章 </w:t>
      </w:r>
      <w:r>
        <w:rPr>
          <w:rFonts w:hint="eastAsia" w:ascii="仿宋" w:hAnsi="仿宋" w:eastAsia="仿宋" w:cs="仿宋"/>
          <w:color w:val="auto"/>
          <w:highlight w:val="none"/>
          <w:lang w:eastAsia="zh-CN"/>
        </w:rPr>
        <w:t>竞争性</w:t>
      </w:r>
      <w:r>
        <w:rPr>
          <w:rFonts w:hint="eastAsia" w:ascii="仿宋" w:hAnsi="仿宋" w:eastAsia="仿宋" w:cs="仿宋"/>
          <w:color w:val="auto"/>
          <w:szCs w:val="40"/>
          <w:highlight w:val="none"/>
          <w:lang w:eastAsia="zh-CN"/>
        </w:rPr>
        <w:t>磋商</w:t>
      </w:r>
      <w:r>
        <w:rPr>
          <w:rFonts w:hint="eastAsia" w:ascii="仿宋" w:hAnsi="仿宋" w:eastAsia="仿宋" w:cs="仿宋"/>
          <w:color w:val="auto"/>
          <w:szCs w:val="40"/>
          <w:highlight w:val="none"/>
        </w:rPr>
        <w:t>公告</w:t>
      </w:r>
      <w:bookmarkEnd w:id="7"/>
    </w:p>
    <w:p>
      <w:pPr>
        <w:pStyle w:val="8"/>
        <w:spacing w:line="480" w:lineRule="exact"/>
        <w:jc w:val="center"/>
        <w:rPr>
          <w:rFonts w:hint="eastAsia" w:ascii="仿宋" w:hAnsi="仿宋" w:eastAsia="仿宋" w:cs="仿宋"/>
          <w:b/>
          <w:color w:val="auto"/>
          <w:sz w:val="32"/>
          <w:szCs w:val="32"/>
          <w:highlight w:val="none"/>
        </w:rPr>
      </w:pPr>
      <w:bookmarkStart w:id="8" w:name="OLE_LINK1"/>
      <w:bookmarkStart w:id="9" w:name="_Toc15021"/>
      <w:bookmarkStart w:id="10" w:name="_Toc478314724"/>
      <w:r>
        <w:rPr>
          <w:rFonts w:hint="eastAsia" w:ascii="仿宋" w:hAnsi="仿宋" w:eastAsia="仿宋" w:cs="仿宋"/>
          <w:b/>
          <w:color w:val="auto"/>
          <w:sz w:val="32"/>
          <w:szCs w:val="32"/>
          <w:highlight w:val="none"/>
          <w:lang w:eastAsia="zh-CN"/>
        </w:rPr>
        <w:t xml:space="preserve"> 淅川县水利局淅川县丹江口库区及上游水土流失综合治理工程荆寺西项目区监理竞争性磋商</w:t>
      </w:r>
      <w:r>
        <w:rPr>
          <w:rFonts w:hint="eastAsia" w:ascii="仿宋" w:hAnsi="仿宋" w:eastAsia="仿宋" w:cs="仿宋"/>
          <w:b/>
          <w:color w:val="auto"/>
          <w:sz w:val="32"/>
          <w:szCs w:val="32"/>
          <w:highlight w:val="none"/>
        </w:rPr>
        <w:t>公告</w:t>
      </w:r>
    </w:p>
    <w:p>
      <w:pPr>
        <w:pStyle w:val="17"/>
        <w:keepNext w:val="0"/>
        <w:keepLines w:val="0"/>
        <w:widowControl/>
        <w:suppressLineNumbers w:val="0"/>
        <w:spacing w:before="0" w:beforeAutospacing="0" w:after="0" w:afterAutospacing="0" w:line="360" w:lineRule="atLeast"/>
        <w:ind w:left="0" w:right="0"/>
        <w:jc w:val="both"/>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shd w:val="clear" w:color="auto" w:fill="FFFFFF"/>
        </w:rPr>
        <w:t>项目概况</w:t>
      </w:r>
    </w:p>
    <w:p>
      <w:pPr>
        <w:pStyle w:val="18"/>
        <w:spacing w:after="0" w:line="360" w:lineRule="exact"/>
        <w:ind w:firstLine="22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 xml:space="preserve"> 淅川县水利局淅川县丹江口库区及上游水土流失综合治理工程荆寺西项目区监理</w:t>
      </w:r>
      <w:r>
        <w:rPr>
          <w:rFonts w:hint="eastAsia" w:ascii="仿宋" w:hAnsi="仿宋" w:eastAsia="仿宋" w:cs="仿宋"/>
          <w:color w:val="auto"/>
          <w:sz w:val="28"/>
          <w:szCs w:val="28"/>
          <w:highlight w:val="none"/>
        </w:rPr>
        <w:t>的潜在</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应在南阳市公共资源交易中心电子交易系统淅川区（http://ggzyjy.nanyang.gov.cn/XCXWeb/）获取</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文件，并于202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00</w:t>
      </w:r>
      <w:r>
        <w:rPr>
          <w:rFonts w:hint="eastAsia" w:ascii="仿宋" w:hAnsi="仿宋" w:eastAsia="仿宋" w:cs="仿宋"/>
          <w:color w:val="auto"/>
          <w:sz w:val="28"/>
          <w:szCs w:val="28"/>
          <w:highlight w:val="none"/>
        </w:rPr>
        <w:t>分（北京时间）前递交</w:t>
      </w:r>
      <w:r>
        <w:rPr>
          <w:rFonts w:hint="eastAsia" w:ascii="仿宋" w:hAnsi="仿宋" w:eastAsia="仿宋" w:cs="仿宋"/>
          <w:color w:val="auto"/>
          <w:sz w:val="28"/>
          <w:szCs w:val="28"/>
          <w:highlight w:val="none"/>
          <w:lang w:eastAsia="zh-CN"/>
        </w:rPr>
        <w:t>响应</w:t>
      </w:r>
      <w:r>
        <w:rPr>
          <w:rFonts w:hint="eastAsia" w:ascii="仿宋" w:hAnsi="仿宋" w:eastAsia="仿宋" w:cs="仿宋"/>
          <w:color w:val="auto"/>
          <w:sz w:val="28"/>
          <w:szCs w:val="28"/>
          <w:highlight w:val="none"/>
        </w:rPr>
        <w:t>文件。</w:t>
      </w:r>
    </w:p>
    <w:p>
      <w:pPr>
        <w:pStyle w:val="17"/>
        <w:keepNext w:val="0"/>
        <w:keepLines w:val="0"/>
        <w:widowControl/>
        <w:suppressLineNumbers w:val="0"/>
        <w:spacing w:before="0" w:beforeAutospacing="0" w:after="0" w:afterAutospacing="0" w:line="360" w:lineRule="atLeast"/>
        <w:ind w:left="0" w:right="0"/>
        <w:jc w:val="both"/>
        <w:rPr>
          <w:rFonts w:hint="eastAsia" w:ascii="仿宋" w:hAnsi="仿宋" w:eastAsia="仿宋" w:cs="仿宋"/>
          <w:b/>
          <w:bCs/>
          <w:color w:val="auto"/>
          <w:sz w:val="28"/>
          <w:szCs w:val="28"/>
          <w:highlight w:val="none"/>
          <w:shd w:val="clear" w:color="auto" w:fill="FFFFFF"/>
        </w:rPr>
      </w:pPr>
      <w:r>
        <w:rPr>
          <w:rFonts w:hint="eastAsia" w:ascii="仿宋" w:hAnsi="仿宋" w:eastAsia="仿宋" w:cs="仿宋"/>
          <w:b/>
          <w:bCs/>
          <w:color w:val="auto"/>
          <w:sz w:val="28"/>
          <w:szCs w:val="28"/>
          <w:highlight w:val="none"/>
          <w:shd w:val="clear" w:color="auto" w:fill="FFFFFF"/>
        </w:rPr>
        <w:t>一、项目基本情况</w:t>
      </w:r>
    </w:p>
    <w:p>
      <w:pPr>
        <w:pStyle w:val="18"/>
        <w:spacing w:after="0" w:line="360" w:lineRule="exact"/>
        <w:ind w:firstLine="22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1、项目编号：淅财磋商采购-2024-12</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2、项目名称：淅川县水利局淅川县丹江口库区及上游水土流失综合治理工程荆寺西项目区监理</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3、采购方式：竞争性磋商</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4、预算金额：470700.00元</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最高限价：470700.00元</w:t>
      </w:r>
    </w:p>
    <w:tbl>
      <w:tblPr>
        <w:tblStyle w:val="20"/>
        <w:tblW w:w="10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
        <w:gridCol w:w="1591"/>
        <w:gridCol w:w="3337"/>
        <w:gridCol w:w="1359"/>
        <w:gridCol w:w="1418"/>
        <w:gridCol w:w="1323"/>
        <w:gridCol w:w="1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6" w:type="dxa"/>
            <w:noWrap w:val="0"/>
            <w:vAlign w:val="top"/>
          </w:tcPr>
          <w:p>
            <w:pPr>
              <w:adjustRightInd/>
              <w:snapToGrid/>
              <w:spacing w:after="0"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1591" w:type="dxa"/>
            <w:noWrap w:val="0"/>
            <w:vAlign w:val="top"/>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包号</w:t>
            </w:r>
          </w:p>
        </w:tc>
        <w:tc>
          <w:tcPr>
            <w:tcW w:w="3337" w:type="dxa"/>
            <w:noWrap w:val="0"/>
            <w:vAlign w:val="top"/>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包名称</w:t>
            </w:r>
          </w:p>
        </w:tc>
        <w:tc>
          <w:tcPr>
            <w:tcW w:w="1359" w:type="dxa"/>
            <w:noWrap w:val="0"/>
            <w:vAlign w:val="top"/>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包预算（元）</w:t>
            </w:r>
          </w:p>
        </w:tc>
        <w:tc>
          <w:tcPr>
            <w:tcW w:w="1418" w:type="dxa"/>
            <w:noWrap w:val="0"/>
            <w:vAlign w:val="top"/>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color w:val="auto"/>
                <w:sz w:val="28"/>
                <w:szCs w:val="28"/>
                <w:highlight w:val="none"/>
              </w:rPr>
              <w:t>包最高限价（元）</w:t>
            </w:r>
          </w:p>
        </w:tc>
        <w:tc>
          <w:tcPr>
            <w:tcW w:w="1323" w:type="dxa"/>
            <w:noWrap w:val="0"/>
            <w:vAlign w:val="top"/>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i w:val="0"/>
                <w:iCs w:val="0"/>
                <w:caps w:val="0"/>
                <w:color w:val="auto"/>
                <w:spacing w:val="0"/>
                <w:sz w:val="28"/>
                <w:szCs w:val="28"/>
                <w:highlight w:val="none"/>
                <w:shd w:val="clear" w:color="auto" w:fill="FFFFFF"/>
              </w:rPr>
              <w:t>是否专门面向中小企业</w:t>
            </w:r>
          </w:p>
        </w:tc>
        <w:tc>
          <w:tcPr>
            <w:tcW w:w="1207" w:type="dxa"/>
            <w:noWrap w:val="0"/>
            <w:vAlign w:val="top"/>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rPr>
            </w:pPr>
            <w:r>
              <w:rPr>
                <w:rFonts w:hint="eastAsia" w:asciiTheme="majorEastAsia" w:hAnsiTheme="majorEastAsia" w:eastAsiaTheme="majorEastAsia" w:cstheme="majorEastAsia"/>
                <w:i w:val="0"/>
                <w:iCs w:val="0"/>
                <w:caps w:val="0"/>
                <w:color w:val="auto"/>
                <w:spacing w:val="0"/>
                <w:sz w:val="28"/>
                <w:szCs w:val="28"/>
                <w:highlight w:val="none"/>
                <w:shd w:val="clear" w:color="auto" w:fill="FFFFFF"/>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16" w:type="dxa"/>
            <w:noWrap w:val="0"/>
            <w:vAlign w:val="center"/>
          </w:tcPr>
          <w:p>
            <w:pPr>
              <w:adjustRightInd/>
              <w:snapToGrid/>
              <w:spacing w:after="0" w:line="36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591" w:type="dxa"/>
            <w:noWrap w:val="0"/>
            <w:vAlign w:val="center"/>
          </w:tcPr>
          <w:p>
            <w:pPr>
              <w:adjustRightInd/>
              <w:snapToGrid/>
              <w:spacing w:after="0" w:line="360" w:lineRule="exact"/>
              <w:jc w:val="both"/>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淅财磋商采购-2024-12</w:t>
            </w:r>
          </w:p>
        </w:tc>
        <w:tc>
          <w:tcPr>
            <w:tcW w:w="3337" w:type="dxa"/>
            <w:noWrap w:val="0"/>
            <w:vAlign w:val="top"/>
          </w:tcPr>
          <w:p>
            <w:pPr>
              <w:adjustRightInd/>
              <w:snapToGrid/>
              <w:spacing w:after="0" w:line="360" w:lineRule="exact"/>
              <w:rPr>
                <w:rFonts w:hint="eastAsia" w:asciiTheme="majorEastAsia" w:hAnsiTheme="majorEastAsia" w:eastAsiaTheme="majorEastAsia" w:cstheme="majorEastAsia"/>
                <w:color w:val="auto"/>
                <w:sz w:val="28"/>
                <w:szCs w:val="28"/>
                <w:highlight w:val="none"/>
                <w:lang w:eastAsia="zh-CN"/>
              </w:rPr>
            </w:pPr>
            <w:r>
              <w:rPr>
                <w:rFonts w:hint="eastAsia" w:asciiTheme="majorEastAsia" w:hAnsiTheme="majorEastAsia" w:eastAsiaTheme="majorEastAsia" w:cstheme="majorEastAsia"/>
                <w:color w:val="auto"/>
                <w:sz w:val="28"/>
                <w:szCs w:val="28"/>
                <w:highlight w:val="none"/>
                <w:lang w:eastAsia="zh-CN"/>
              </w:rPr>
              <w:t>淅川县水利局淅川县丹江口库区及上游水土流失综合治理工程荆寺西项目区监理</w:t>
            </w:r>
          </w:p>
        </w:tc>
        <w:tc>
          <w:tcPr>
            <w:tcW w:w="1359" w:type="dxa"/>
            <w:noWrap w:val="0"/>
            <w:vAlign w:val="center"/>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470700.00</w:t>
            </w:r>
          </w:p>
        </w:tc>
        <w:tc>
          <w:tcPr>
            <w:tcW w:w="1418" w:type="dxa"/>
            <w:noWrap w:val="0"/>
            <w:vAlign w:val="center"/>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lang w:val="en-US"/>
              </w:rPr>
            </w:pPr>
            <w:r>
              <w:rPr>
                <w:rFonts w:hint="eastAsia" w:asciiTheme="majorEastAsia" w:hAnsiTheme="majorEastAsia" w:eastAsiaTheme="majorEastAsia" w:cstheme="majorEastAsia"/>
                <w:color w:val="auto"/>
                <w:sz w:val="28"/>
                <w:szCs w:val="28"/>
                <w:highlight w:val="none"/>
                <w:lang w:val="en-US" w:eastAsia="zh-CN"/>
              </w:rPr>
              <w:t>470700.00</w:t>
            </w:r>
          </w:p>
        </w:tc>
        <w:tc>
          <w:tcPr>
            <w:tcW w:w="1323" w:type="dxa"/>
            <w:noWrap w:val="0"/>
            <w:vAlign w:val="center"/>
          </w:tcPr>
          <w:p>
            <w:pPr>
              <w:adjustRightInd/>
              <w:snapToGrid/>
              <w:spacing w:after="0" w:line="360" w:lineRule="exact"/>
              <w:jc w:val="center"/>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是</w:t>
            </w:r>
          </w:p>
        </w:tc>
        <w:tc>
          <w:tcPr>
            <w:tcW w:w="1207" w:type="dxa"/>
            <w:noWrap w:val="0"/>
            <w:vAlign w:val="center"/>
          </w:tcPr>
          <w:p>
            <w:pPr>
              <w:adjustRightInd/>
              <w:snapToGrid/>
              <w:spacing w:after="0" w:line="360" w:lineRule="exact"/>
              <w:jc w:val="both"/>
              <w:rPr>
                <w:rFonts w:hint="eastAsia" w:asciiTheme="majorEastAsia" w:hAnsiTheme="majorEastAsia" w:eastAsiaTheme="majorEastAsia" w:cstheme="majorEastAsia"/>
                <w:color w:val="auto"/>
                <w:sz w:val="28"/>
                <w:szCs w:val="28"/>
                <w:highlight w:val="none"/>
                <w:lang w:val="en-US" w:eastAsia="zh-CN"/>
              </w:rPr>
            </w:pPr>
            <w:r>
              <w:rPr>
                <w:rFonts w:hint="eastAsia" w:asciiTheme="majorEastAsia" w:hAnsiTheme="majorEastAsia" w:eastAsiaTheme="majorEastAsia" w:cstheme="majorEastAsia"/>
                <w:color w:val="auto"/>
                <w:sz w:val="28"/>
                <w:szCs w:val="28"/>
                <w:highlight w:val="none"/>
                <w:lang w:val="en-US" w:eastAsia="zh-CN"/>
              </w:rPr>
              <w:t>470700.00</w:t>
            </w:r>
          </w:p>
        </w:tc>
      </w:tr>
    </w:tbl>
    <w:p>
      <w:pPr>
        <w:adjustRightInd/>
        <w:snapToGrid/>
        <w:spacing w:after="0" w:line="360" w:lineRule="exact"/>
        <w:ind w:firstLine="280" w:firstLine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5、采购需求：</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5.1、服务内容：淅川县水利局淅川县丹江口库区及上游水土流失综合治理工程荆寺西项目区施工及保修期阶段全过程监理；</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5.2、标段划分：1个标段；</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5.3、工期：施工及保修期阶段全过程监理</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5.4、资金来源：国债水利资金；</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5.5、质量要求：合格，符合国家相关标准和行业规范要求</w:t>
      </w:r>
    </w:p>
    <w:p>
      <w:pPr>
        <w:pStyle w:val="18"/>
        <w:spacing w:after="0" w:line="360" w:lineRule="exact"/>
        <w:ind w:firstLine="22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6、本项目是否接受联合体投标：否</w:t>
      </w:r>
    </w:p>
    <w:p>
      <w:pPr>
        <w:pStyle w:val="18"/>
        <w:spacing w:after="0" w:line="360" w:lineRule="exact"/>
        <w:ind w:firstLine="22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7、是否专门面向中小企业：是</w:t>
      </w:r>
    </w:p>
    <w:p>
      <w:pPr>
        <w:pStyle w:val="33"/>
        <w:tabs>
          <w:tab w:val="left" w:pos="1191"/>
        </w:tabs>
        <w:adjustRightInd/>
        <w:snapToGrid/>
        <w:spacing w:after="0" w:line="360" w:lineRule="exact"/>
        <w:ind w:firstLine="0" w:firstLineChars="0"/>
        <w:rPr>
          <w:rFonts w:hint="eastAsia" w:ascii="宋体" w:hAnsi="宋体" w:eastAsia="宋体" w:cs="宋体"/>
          <w:color w:val="auto"/>
          <w:sz w:val="28"/>
          <w:szCs w:val="28"/>
          <w:highlight w:val="none"/>
        </w:rPr>
      </w:pPr>
      <w:r>
        <w:rPr>
          <w:rFonts w:hint="eastAsia" w:ascii="仿宋" w:hAnsi="仿宋" w:eastAsia="仿宋" w:cs="仿宋"/>
          <w:b/>
          <w:bCs/>
          <w:color w:val="auto"/>
          <w:kern w:val="0"/>
          <w:sz w:val="28"/>
          <w:szCs w:val="28"/>
          <w:highlight w:val="none"/>
          <w:shd w:val="clear" w:color="auto" w:fill="FFFFFF"/>
          <w:lang w:val="en-US" w:eastAsia="zh-CN" w:bidi="ar-SA"/>
        </w:rPr>
        <w:t>二、申请人资格要求：</w:t>
      </w:r>
      <w:r>
        <w:rPr>
          <w:rFonts w:hint="eastAsia" w:ascii="宋体" w:hAnsi="宋体" w:eastAsia="宋体" w:cs="宋体"/>
          <w:b/>
          <w:bCs/>
          <w:color w:val="auto"/>
          <w:kern w:val="0"/>
          <w:sz w:val="28"/>
          <w:szCs w:val="28"/>
          <w:highlight w:val="none"/>
          <w:shd w:val="clear" w:color="auto" w:fill="FFFFFF"/>
          <w:lang w:val="en-US" w:eastAsia="zh-CN" w:bidi="ar-SA"/>
        </w:rPr>
        <w:t xml:space="preserve"> </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1、满足《中华人民共和国政府采购法》第二十二条规定；</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2、落实政府采购政策满足的资格要求：本项目执行促进中小型企业发展政策（残疾人福利性企业、监狱企业视同小微企业）。</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3、本项目的特定资格要求：</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3.1、响应人须符合《中华人民共和国政府采购法》第二十二条的规定，应具</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有有效的营业执照、税务登记证、组织机构代码证，或有效的三证合一的营业执照。</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3.2、响应人应具有主管部门核发的水利工程施工监理乙级及以上资质，同时具备水土保持乙级及以上监理资质；并在人员、设备、财务、信誉等方面具备相应能力；拟派项目总监须具有水利专业注册监理工程师资格和工程类中级及以上技术职称。</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响应人需提供无行贿犯罪记录承诺函（承诺对象包括：响应人、法定代表人、授权委托人、项目总监）,并对其真实性负责，若承诺不实，造成的后果由响应人自行负责。经公检法司、纪检监察、行政监督部门查证“以向采购人或者评标委员会成员行贿的手段谋取中标的”投标企业不得参与本项目投标。</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3.4、根据《关于在政府采购活动中查询及使用信用记录有关问题的通知》  (财库[2016]125 号) 的规定，对列入失信被执行人、重大税收违法失信主体、政府采购严重违法失信行为记录名单的响应人，不得参与本项目采购活动，响应人须提供信用报告（信用报告从“信用中国”网站下载，生成日期不得早于公告发布日期）。注：响应人应通过“信用中国”网站（www.creditchina.gov.cn）查询“失信被执行人”、“重大税收违法失信主体”，中国政府采购网（www.ccgp.gov.cn）查询“政府采购严重违法失信行为记录名单”渠道查询自身信用记录，查询时间需在本公告发布之后。</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3.5、本项目不接受联合体投标。 </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响应人自行承担责任。</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3.7、本项目中标/成交结果公示时，同时公示中标/成交人诚信库信息，接受社会监督。</w:t>
      </w:r>
    </w:p>
    <w:p>
      <w:pPr>
        <w:pStyle w:val="18"/>
        <w:spacing w:after="0" w:line="360" w:lineRule="exact"/>
        <w:ind w:firstLine="0" w:firstLineChars="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 xml:space="preserve">三、获取采购文件 </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1.时间：2024年4月12日09:00分至2024年4月29日18  : 00 分</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2.地点：南阳市公共资源交易平台电子交易系统淅川（http://ggzyjy.nanyang.gov.cn/XCXWeb/）。 </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3.方式：潜在响应人登录南阳市公共资源交易中心电子交易系统淅川区（http://ggzyjy.nanyang.gov.cn/XCXWeb/）参与采购项目，可直接下载磋商文件</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4.售价：0元。</w:t>
      </w:r>
    </w:p>
    <w:p>
      <w:pPr>
        <w:pStyle w:val="18"/>
        <w:spacing w:after="0" w:line="360" w:lineRule="exact"/>
        <w:ind w:firstLine="0" w:firstLineChars="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 xml:space="preserve">四、响应文件提交 </w:t>
      </w:r>
    </w:p>
    <w:p>
      <w:pPr>
        <w:pStyle w:val="18"/>
        <w:spacing w:after="0" w:line="360" w:lineRule="exact"/>
        <w:ind w:firstLine="22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1.时间：2024年4月30日 9 时 00 分（北京时间） </w:t>
      </w:r>
    </w:p>
    <w:p>
      <w:pPr>
        <w:pStyle w:val="18"/>
        <w:spacing w:after="0" w:line="360" w:lineRule="exact"/>
        <w:ind w:firstLine="220"/>
        <w:rPr>
          <w:rFonts w:hint="eastAsia" w:ascii="宋体" w:hAnsi="宋体" w:eastAsia="宋体" w:cs="宋体"/>
          <w:color w:val="auto"/>
          <w:sz w:val="28"/>
          <w:szCs w:val="28"/>
          <w:highlight w:val="none"/>
        </w:rPr>
      </w:pPr>
      <w:r>
        <w:rPr>
          <w:rFonts w:hint="eastAsia" w:ascii="仿宋" w:hAnsi="仿宋" w:eastAsia="仿宋" w:cs="仿宋"/>
          <w:color w:val="auto"/>
          <w:sz w:val="28"/>
          <w:szCs w:val="28"/>
          <w:highlight w:val="none"/>
          <w:lang w:val="en-US" w:eastAsia="zh-CN"/>
        </w:rPr>
        <w:t>2.地点：该项目自行上传响应文件，无需寄送和递交非加密响应文件U盘等。需要注意开标前登录不见面系统。</w:t>
      </w:r>
      <w:r>
        <w:rPr>
          <w:rFonts w:hint="eastAsia" w:ascii="宋体" w:hAnsi="宋体" w:eastAsia="宋体" w:cs="宋体"/>
          <w:color w:val="auto"/>
          <w:sz w:val="28"/>
          <w:szCs w:val="28"/>
          <w:highlight w:val="none"/>
        </w:rPr>
        <w:t xml:space="preserve"> </w:t>
      </w:r>
    </w:p>
    <w:p>
      <w:pPr>
        <w:pStyle w:val="18"/>
        <w:spacing w:after="0" w:line="360" w:lineRule="exact"/>
        <w:ind w:firstLine="0" w:firstLineChars="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 xml:space="preserve">五、响应文件开启 </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1.时间：2024年4月30日9时 00 分（北京时间） </w:t>
      </w:r>
    </w:p>
    <w:p>
      <w:pPr>
        <w:pStyle w:val="18"/>
        <w:spacing w:after="0" w:line="360" w:lineRule="exact"/>
        <w:ind w:firstLine="0" w:firstLine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2.地点：该项目需要使用不见面开标，响应人无需前往现场来参与投标。各响应人根据手册要求，提前做好相关准备工作。附件：操作手册地址(下载专区中自行下载)、不见面开标大厅地址 https://ggzyjy.nanyang.gov.cn/BidOpening/bidopeninghallaction/hall/login </w:t>
      </w:r>
    </w:p>
    <w:p>
      <w:pPr>
        <w:pStyle w:val="18"/>
        <w:spacing w:after="0" w:line="360" w:lineRule="exact"/>
        <w:ind w:firstLine="0" w:firstLineChars="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六、发布公告的媒介</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本次磋商公告同时在《河南省政府采购网》、《中国招标投标公共服务平台》、《河南省电子招标投标公共服务平台》、《全国公共资源交易平台（河南省·淅川县）》网站上发布，公告期限为三个工作日。</w:t>
      </w:r>
    </w:p>
    <w:p>
      <w:pPr>
        <w:pStyle w:val="18"/>
        <w:spacing w:after="0" w:line="360" w:lineRule="exact"/>
        <w:ind w:firstLine="0" w:firstLineChars="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 xml:space="preserve">七、其他补充事宜 </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1、企业诚信库注册</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本项目只接受南阳市公共资源电子交易平台中已加入企业诚信库的企业投标,未入库的响应人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2、办理CA数字证书</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响应人完成企业诚信库注册后，必须办理CA数字证书方可在网上办理招投标相关业务。CA数字证书办理请参见南阳市公共资源交易中心网站下载专区《CA办理所需资料》。</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3、因响应人无需现场参与开标，所有准备工作需要自行到位。开标过程中如遇到紧急事项，可在不见面开标大厅中进行提出异议或文字交流，严重问题可拨打技术支持电话400-998-0000。</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4、不见面开标过程中，各响应人应在解密指令发出后30分钟内完成响应文件的解密。如遇特殊情况，解密时间可延迟30分钟。</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5、本项目为电子评标项目，响应人须提供电子响应文件，电子响应文件需要使用响应文件制作工具制作，制作工具及操作手册可在南阳市公共资源交易中心网站“下载专区”中下载。</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 xml:space="preserve"> 6、请各潜在响应人在获取文件后及时关注网站更新信息，若因其他原因未能及时看到网上更新信息而造成的损失，采购人及采购代理机构将不负任何责任。</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电子交易系统技术支持电话：400-998-0000</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CA数字证书技术支持电话：详见淅川县公共资源交易中心网站首页CA办理和咨询</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7、监督部门：淅川县财政局</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监督部门代码： 11411326006042033B</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 址：淅川县金河镇</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 系 人：陈先生</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 0377-60668835</w:t>
      </w:r>
      <w:bookmarkEnd w:id="8"/>
    </w:p>
    <w:p>
      <w:pPr>
        <w:pStyle w:val="18"/>
        <w:spacing w:after="0" w:line="360" w:lineRule="exact"/>
        <w:ind w:firstLine="0" w:firstLineChars="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八、凡对本次磋商提出询问，请按照以下方式联系</w:t>
      </w:r>
    </w:p>
    <w:p>
      <w:pPr>
        <w:pStyle w:val="18"/>
        <w:spacing w:after="0" w:line="360" w:lineRule="exact"/>
        <w:ind w:firstLine="281" w:firstLineChars="100"/>
        <w:rPr>
          <w:rFonts w:hint="eastAsia" w:ascii="仿宋" w:hAnsi="仿宋" w:eastAsia="仿宋" w:cs="仿宋"/>
          <w:b/>
          <w:bCs/>
          <w:color w:val="auto"/>
          <w:kern w:val="0"/>
          <w:sz w:val="28"/>
          <w:szCs w:val="28"/>
          <w:highlight w:val="none"/>
          <w:shd w:val="clear" w:color="auto" w:fill="FFFFFF"/>
          <w:lang w:val="en-US" w:eastAsia="zh-CN" w:bidi="ar-SA"/>
        </w:rPr>
      </w:pPr>
      <w:r>
        <w:rPr>
          <w:rFonts w:hint="eastAsia" w:ascii="仿宋" w:hAnsi="仿宋" w:eastAsia="仿宋" w:cs="仿宋"/>
          <w:b/>
          <w:bCs/>
          <w:color w:val="auto"/>
          <w:kern w:val="0"/>
          <w:sz w:val="28"/>
          <w:szCs w:val="28"/>
          <w:highlight w:val="none"/>
          <w:shd w:val="clear" w:color="auto" w:fill="FFFFFF"/>
          <w:lang w:val="en-US" w:eastAsia="zh-CN" w:bidi="ar-SA"/>
        </w:rPr>
        <w:t>1. 采购人信息</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采购人：淅川县水利局</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 址：淅川县健康路</w:t>
      </w:r>
    </w:p>
    <w:p>
      <w:pPr>
        <w:adjustRightInd/>
        <w:snapToGrid/>
        <w:spacing w:after="0" w:line="360" w:lineRule="exact"/>
        <w:ind w:firstLine="280" w:firstLineChars="1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联系人：张先生</w:t>
      </w:r>
    </w:p>
    <w:p>
      <w:pPr>
        <w:adjustRightInd/>
        <w:snapToGrid/>
        <w:spacing w:after="0" w:line="360" w:lineRule="exact"/>
        <w:ind w:firstLine="280" w:firstLineChars="100"/>
        <w:rPr>
          <w:rFonts w:hint="default"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电话：0377-69238875</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2.采购代理机构信息（如有）</w:t>
      </w:r>
    </w:p>
    <w:p>
      <w:pPr>
        <w:adjustRightInd/>
        <w:snapToGrid/>
        <w:spacing w:after="0" w:line="360" w:lineRule="exact"/>
        <w:ind w:firstLine="280" w:firstLineChars="1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采购代理机构：河南同盛工程管理咨询有限公司</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联系人：樊先生</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地址：淅川县上集镇城区工业园区36号</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联系电话：13103771000</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p>
    <w:p>
      <w:pPr>
        <w:pStyle w:val="18"/>
        <w:rPr>
          <w:rFonts w:hint="eastAsia"/>
          <w:color w:val="auto"/>
          <w:highlight w:val="none"/>
          <w:lang w:val="en-US" w:eastAsia="zh-CN"/>
        </w:rPr>
      </w:pPr>
    </w:p>
    <w:p>
      <w:pPr>
        <w:pStyle w:val="19"/>
        <w:rPr>
          <w:rFonts w:hint="eastAsia"/>
          <w:color w:val="auto"/>
          <w:highlight w:val="none"/>
          <w:lang w:val="en-US" w:eastAsia="zh-CN"/>
        </w:rPr>
      </w:pPr>
    </w:p>
    <w:p>
      <w:pPr>
        <w:adjustRightInd/>
        <w:snapToGrid/>
        <w:spacing w:after="0" w:line="360" w:lineRule="exact"/>
        <w:ind w:firstLine="5600" w:firstLineChars="2000"/>
        <w:rPr>
          <w:rFonts w:hint="eastAsia"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河南同盛工程管理咨询有限公司</w:t>
      </w:r>
    </w:p>
    <w:p>
      <w:pPr>
        <w:adjustRightInd/>
        <w:snapToGrid/>
        <w:spacing w:after="0" w:line="360" w:lineRule="exact"/>
        <w:ind w:firstLine="280" w:firstLineChars="100"/>
        <w:rPr>
          <w:rFonts w:hint="default" w:ascii="仿宋" w:hAnsi="仿宋" w:eastAsia="仿宋" w:cs="仿宋"/>
          <w:color w:val="auto"/>
          <w:kern w:val="2"/>
          <w:sz w:val="28"/>
          <w:szCs w:val="24"/>
          <w:highlight w:val="none"/>
          <w:lang w:val="en-US" w:eastAsia="zh-CN" w:bidi="ar-SA"/>
        </w:rPr>
      </w:pPr>
      <w:r>
        <w:rPr>
          <w:rFonts w:hint="eastAsia" w:ascii="仿宋" w:hAnsi="仿宋" w:eastAsia="仿宋" w:cs="仿宋"/>
          <w:color w:val="auto"/>
          <w:kern w:val="2"/>
          <w:sz w:val="28"/>
          <w:szCs w:val="24"/>
          <w:highlight w:val="none"/>
          <w:lang w:val="en-US" w:eastAsia="zh-CN" w:bidi="ar-SA"/>
        </w:rPr>
        <w:t xml:space="preserve">                                       发布时间;2024年4月11日</w:t>
      </w:r>
    </w:p>
    <w:p>
      <w:pPr>
        <w:adjustRightInd/>
        <w:snapToGrid/>
        <w:spacing w:after="0" w:line="360" w:lineRule="exact"/>
        <w:ind w:firstLine="280" w:firstLineChars="100"/>
        <w:rPr>
          <w:rFonts w:hint="eastAsia" w:ascii="仿宋" w:hAnsi="仿宋" w:eastAsia="仿宋" w:cs="仿宋"/>
          <w:color w:val="auto"/>
          <w:kern w:val="2"/>
          <w:sz w:val="28"/>
          <w:szCs w:val="24"/>
          <w:highlight w:val="none"/>
          <w:lang w:val="en-US" w:eastAsia="zh-CN" w:bidi="ar-SA"/>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adjustRightInd w:val="0"/>
        <w:snapToGrid w:val="0"/>
        <w:spacing w:line="520" w:lineRule="exact"/>
        <w:ind w:firstLine="480" w:firstLineChars="200"/>
        <w:jc w:val="left"/>
        <w:rPr>
          <w:rFonts w:hint="eastAsia" w:ascii="宋体" w:hAnsi="宋体" w:cs="宋体"/>
          <w:color w:val="auto"/>
          <w:sz w:val="24"/>
          <w:highlight w:val="none"/>
        </w:rPr>
      </w:pPr>
    </w:p>
    <w:p>
      <w:pPr>
        <w:pStyle w:val="18"/>
        <w:rPr>
          <w:rFonts w:hint="eastAsia" w:ascii="宋体" w:hAnsi="宋体" w:cs="宋体"/>
          <w:color w:val="auto"/>
          <w:sz w:val="24"/>
          <w:highlight w:val="none"/>
        </w:rPr>
      </w:pPr>
    </w:p>
    <w:p>
      <w:pPr>
        <w:pStyle w:val="19"/>
        <w:rPr>
          <w:rFonts w:hint="eastAsia" w:ascii="宋体" w:hAnsi="宋体" w:cs="宋体"/>
          <w:color w:val="auto"/>
          <w:sz w:val="24"/>
          <w:highlight w:val="none"/>
        </w:rPr>
      </w:pPr>
    </w:p>
    <w:p>
      <w:pPr>
        <w:rPr>
          <w:rFonts w:hint="eastAsia"/>
          <w:color w:val="auto"/>
          <w:highlight w:val="none"/>
        </w:rPr>
      </w:pPr>
    </w:p>
    <w:p>
      <w:pPr>
        <w:adjustRightInd w:val="0"/>
        <w:snapToGrid w:val="0"/>
        <w:spacing w:line="520" w:lineRule="exact"/>
        <w:jc w:val="left"/>
        <w:rPr>
          <w:rFonts w:hint="eastAsia" w:ascii="宋体" w:hAnsi="宋体" w:cs="宋体"/>
          <w:color w:val="auto"/>
          <w:sz w:val="24"/>
          <w:highlight w:val="none"/>
        </w:rPr>
      </w:pPr>
    </w:p>
    <w:p>
      <w:pPr>
        <w:bidi w:val="0"/>
        <w:rPr>
          <w:rFonts w:hint="eastAsia"/>
          <w:color w:val="auto"/>
          <w:highlight w:val="none"/>
        </w:rPr>
      </w:pPr>
    </w:p>
    <w:p>
      <w:pPr>
        <w:bidi w:val="0"/>
        <w:rPr>
          <w:rFonts w:hint="eastAsia"/>
          <w:color w:val="auto"/>
          <w:highlight w:val="none"/>
        </w:rPr>
      </w:pPr>
    </w:p>
    <w:p>
      <w:pPr>
        <w:pStyle w:val="3"/>
        <w:spacing w:before="0" w:after="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第二章</w:t>
      </w:r>
      <w:r>
        <w:rPr>
          <w:rFonts w:hint="eastAsia" w:cs="Times New Roman"/>
          <w:color w:val="auto"/>
          <w:highlight w:val="none"/>
          <w:lang w:eastAsia="zh-CN"/>
        </w:rPr>
        <w:t>响应人</w:t>
      </w:r>
      <w:r>
        <w:rPr>
          <w:rFonts w:hint="eastAsia" w:ascii="Times New Roman" w:hAnsi="Times New Roman" w:eastAsia="宋体" w:cs="Times New Roman"/>
          <w:color w:val="auto"/>
          <w:highlight w:val="none"/>
        </w:rPr>
        <w:t>须知</w:t>
      </w:r>
      <w:bookmarkEnd w:id="9"/>
      <w:bookmarkEnd w:id="10"/>
    </w:p>
    <w:p>
      <w:pPr>
        <w:jc w:val="center"/>
        <w:rPr>
          <w:color w:val="auto"/>
          <w:highlight w:val="none"/>
        </w:rPr>
      </w:pPr>
      <w:r>
        <w:rPr>
          <w:rFonts w:hint="eastAsia"/>
          <w:color w:val="auto"/>
          <w:highlight w:val="none"/>
          <w:lang w:eastAsia="zh-CN"/>
        </w:rPr>
        <w:t>响应人</w:t>
      </w:r>
      <w:r>
        <w:rPr>
          <w:rFonts w:hint="eastAsia"/>
          <w:color w:val="auto"/>
          <w:highlight w:val="none"/>
        </w:rPr>
        <w:t>须知前附表</w:t>
      </w:r>
    </w:p>
    <w:tbl>
      <w:tblPr>
        <w:tblStyle w:val="20"/>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636"/>
        <w:gridCol w:w="5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pStyle w:val="7"/>
              <w:topLinePunct/>
              <w:spacing w:line="276" w:lineRule="auto"/>
              <w:jc w:val="center"/>
              <w:rPr>
                <w:rFonts w:hAnsi="宋体"/>
                <w:b/>
                <w:color w:val="auto"/>
                <w:szCs w:val="24"/>
                <w:highlight w:val="none"/>
              </w:rPr>
            </w:pPr>
            <w:r>
              <w:rPr>
                <w:rFonts w:hAnsi="宋体"/>
                <w:b/>
                <w:color w:val="auto"/>
                <w:szCs w:val="24"/>
                <w:highlight w:val="none"/>
              </w:rPr>
              <w:t>条款号</w:t>
            </w:r>
          </w:p>
        </w:tc>
        <w:tc>
          <w:tcPr>
            <w:tcW w:w="2636" w:type="dxa"/>
            <w:shd w:val="clear" w:color="auto" w:fill="auto"/>
            <w:vAlign w:val="center"/>
          </w:tcPr>
          <w:p>
            <w:pPr>
              <w:pStyle w:val="7"/>
              <w:topLinePunct/>
              <w:spacing w:line="276" w:lineRule="auto"/>
              <w:jc w:val="center"/>
              <w:rPr>
                <w:rFonts w:hAnsi="宋体"/>
                <w:b/>
                <w:color w:val="auto"/>
                <w:szCs w:val="24"/>
                <w:highlight w:val="none"/>
              </w:rPr>
            </w:pPr>
            <w:r>
              <w:rPr>
                <w:rFonts w:hAnsi="宋体"/>
                <w:b/>
                <w:color w:val="auto"/>
                <w:szCs w:val="24"/>
                <w:highlight w:val="none"/>
              </w:rPr>
              <w:t>条 款 名 称</w:t>
            </w:r>
          </w:p>
        </w:tc>
        <w:tc>
          <w:tcPr>
            <w:tcW w:w="5574" w:type="dxa"/>
            <w:shd w:val="clear" w:color="auto" w:fill="auto"/>
            <w:vAlign w:val="center"/>
          </w:tcPr>
          <w:p>
            <w:pPr>
              <w:pStyle w:val="7"/>
              <w:topLinePunct/>
              <w:spacing w:line="276" w:lineRule="auto"/>
              <w:jc w:val="center"/>
              <w:rPr>
                <w:rFonts w:hAnsi="宋体"/>
                <w:b/>
                <w:color w:val="auto"/>
                <w:szCs w:val="24"/>
                <w:highlight w:val="none"/>
              </w:rPr>
            </w:pPr>
            <w:r>
              <w:rPr>
                <w:rFonts w:hAnsi="宋体"/>
                <w:b/>
                <w:color w:val="auto"/>
                <w:szCs w:val="24"/>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p>
        </w:tc>
        <w:tc>
          <w:tcPr>
            <w:tcW w:w="5574" w:type="dxa"/>
            <w:shd w:val="clear" w:color="auto" w:fill="auto"/>
            <w:vAlign w:val="center"/>
          </w:tcPr>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采购人：淅川县水利局</w:t>
            </w:r>
          </w:p>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地 址：</w:t>
            </w:r>
            <w:r>
              <w:rPr>
                <w:rFonts w:hint="eastAsia" w:ascii="仿宋" w:hAnsi="仿宋" w:eastAsia="仿宋" w:cs="仿宋"/>
                <w:color w:val="auto"/>
                <w:kern w:val="2"/>
                <w:sz w:val="28"/>
                <w:szCs w:val="24"/>
                <w:highlight w:val="none"/>
                <w:lang w:val="en-US" w:eastAsia="zh-CN" w:bidi="ar-SA"/>
              </w:rPr>
              <w:t>淅川县健康路</w:t>
            </w:r>
          </w:p>
          <w:p>
            <w:pPr>
              <w:adjustRightInd w:val="0"/>
              <w:snapToGrid w:val="0"/>
              <w:spacing w:line="520" w:lineRule="exact"/>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w:t>
            </w:r>
            <w:r>
              <w:rPr>
                <w:rFonts w:hint="eastAsia" w:ascii="仿宋" w:hAnsi="仿宋" w:eastAsia="仿宋" w:cs="仿宋"/>
                <w:color w:val="auto"/>
                <w:kern w:val="2"/>
                <w:sz w:val="28"/>
                <w:szCs w:val="24"/>
                <w:highlight w:val="none"/>
                <w:lang w:val="en-US" w:eastAsia="zh-CN" w:bidi="ar-SA"/>
              </w:rPr>
              <w:t>张先生</w:t>
            </w:r>
          </w:p>
          <w:p>
            <w:pPr>
              <w:adjustRightInd w:val="0"/>
              <w:snapToGrid w:val="0"/>
              <w:spacing w:line="520" w:lineRule="exact"/>
              <w:jc w:val="left"/>
              <w:rPr>
                <w:rFonts w:hint="default" w:ascii="仿宋" w:hAnsi="仿宋" w:eastAsia="仿宋" w:cs="仿宋"/>
                <w:color w:val="auto"/>
                <w:sz w:val="28"/>
                <w:szCs w:val="28"/>
                <w:highlight w:val="none"/>
                <w:lang w:val="en-US" w:bidi="en-US"/>
              </w:rPr>
            </w:pPr>
            <w:r>
              <w:rPr>
                <w:rFonts w:hint="eastAsia" w:ascii="仿宋" w:hAnsi="仿宋" w:eastAsia="仿宋" w:cs="仿宋"/>
                <w:color w:val="auto"/>
                <w:sz w:val="28"/>
                <w:szCs w:val="28"/>
                <w:highlight w:val="none"/>
                <w:lang w:val="en-US" w:eastAsia="zh-CN"/>
              </w:rPr>
              <w:t>电话：</w:t>
            </w:r>
            <w:r>
              <w:rPr>
                <w:rFonts w:hint="eastAsia" w:ascii="仿宋" w:hAnsi="仿宋" w:eastAsia="仿宋" w:cs="仿宋"/>
                <w:color w:val="auto"/>
                <w:kern w:val="2"/>
                <w:sz w:val="28"/>
                <w:szCs w:val="24"/>
                <w:highlight w:val="none"/>
                <w:lang w:val="en-US" w:eastAsia="zh-CN" w:bidi="ar-SA"/>
              </w:rPr>
              <w:t xml:space="preserve"> 0377-69238875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2</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采购代理</w:t>
            </w:r>
            <w:r>
              <w:rPr>
                <w:rFonts w:hint="eastAsia" w:ascii="仿宋" w:hAnsi="仿宋" w:eastAsia="仿宋" w:cs="仿宋"/>
                <w:color w:val="auto"/>
                <w:sz w:val="28"/>
                <w:szCs w:val="28"/>
                <w:highlight w:val="none"/>
              </w:rPr>
              <w:t>机构</w:t>
            </w:r>
          </w:p>
        </w:tc>
        <w:tc>
          <w:tcPr>
            <w:tcW w:w="5574" w:type="dxa"/>
            <w:shd w:val="clear" w:color="auto" w:fill="auto"/>
            <w:vAlign w:val="center"/>
          </w:tcPr>
          <w:p>
            <w:pPr>
              <w:adjustRightInd w:val="0"/>
              <w:snapToGrid w:val="0"/>
              <w:spacing w:line="52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采购代理机构：河南同盛工程管理咨询有限公司</w:t>
            </w:r>
          </w:p>
          <w:p>
            <w:pPr>
              <w:adjustRightInd w:val="0"/>
              <w:snapToGrid w:val="0"/>
              <w:spacing w:line="52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联系人：樊先生</w:t>
            </w:r>
          </w:p>
          <w:p>
            <w:pPr>
              <w:adjustRightInd w:val="0"/>
              <w:snapToGrid w:val="0"/>
              <w:spacing w:line="52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地址：淅川县上集镇城区工业园区36号</w:t>
            </w:r>
          </w:p>
          <w:p>
            <w:pPr>
              <w:adjustRightInd w:val="0"/>
              <w:snapToGrid w:val="0"/>
              <w:spacing w:line="520" w:lineRule="exact"/>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联系电话：13103771000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3</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574" w:type="dxa"/>
            <w:shd w:val="clear" w:color="auto" w:fill="auto"/>
            <w:vAlign w:val="center"/>
          </w:tcPr>
          <w:p>
            <w:pPr>
              <w:pStyle w:val="18"/>
              <w:spacing w:after="0" w:line="360" w:lineRule="exact"/>
              <w:ind w:left="0" w:leftChars="0" w:firstLine="0" w:firstLine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淅川县水利局淅川县丹江口库区及上游水土流失综合治理工程荆寺西项目区监理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标段划分</w:t>
            </w:r>
          </w:p>
        </w:tc>
        <w:tc>
          <w:tcPr>
            <w:tcW w:w="5574" w:type="dxa"/>
            <w:shd w:val="clear" w:color="auto" w:fill="auto"/>
            <w:vAlign w:val="center"/>
          </w:tcPr>
          <w:p>
            <w:pPr>
              <w:spacing w:line="3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本项目共划分为1个标段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5</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rPr>
              <w:t>方式</w:t>
            </w:r>
          </w:p>
        </w:tc>
        <w:tc>
          <w:tcPr>
            <w:tcW w:w="5574" w:type="dxa"/>
            <w:shd w:val="clear" w:color="auto" w:fill="auto"/>
            <w:vAlign w:val="center"/>
          </w:tcPr>
          <w:p>
            <w:pPr>
              <w:adjustRightInd w:val="0"/>
              <w:snapToGrid w:val="0"/>
              <w:spacing w:line="52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6</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资金来源</w:t>
            </w:r>
          </w:p>
        </w:tc>
        <w:tc>
          <w:tcPr>
            <w:tcW w:w="5574" w:type="dxa"/>
            <w:shd w:val="clear" w:color="auto" w:fill="auto"/>
            <w:vAlign w:val="center"/>
          </w:tcPr>
          <w:p>
            <w:pPr>
              <w:pStyle w:val="7"/>
              <w:topLinePunct/>
              <w:spacing w:line="30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国债水利资金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7</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资金落实情况</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8</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服务</w:t>
            </w:r>
            <w:r>
              <w:rPr>
                <w:rFonts w:hint="eastAsia" w:ascii="仿宋" w:hAnsi="仿宋" w:eastAsia="仿宋" w:cs="仿宋"/>
                <w:color w:val="auto"/>
                <w:sz w:val="28"/>
                <w:szCs w:val="28"/>
                <w:highlight w:val="none"/>
              </w:rPr>
              <w:t>内容</w:t>
            </w:r>
          </w:p>
        </w:tc>
        <w:tc>
          <w:tcPr>
            <w:tcW w:w="5574" w:type="dxa"/>
            <w:shd w:val="clear" w:color="auto" w:fill="auto"/>
            <w:vAlign w:val="center"/>
          </w:tcPr>
          <w:p>
            <w:pPr>
              <w:pStyle w:val="7"/>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见公告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9</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监理</w:t>
            </w:r>
            <w:r>
              <w:rPr>
                <w:rFonts w:hint="eastAsia" w:ascii="仿宋" w:hAnsi="仿宋" w:eastAsia="仿宋" w:cs="仿宋"/>
                <w:color w:val="auto"/>
                <w:sz w:val="28"/>
                <w:szCs w:val="28"/>
                <w:highlight w:val="none"/>
              </w:rPr>
              <w:t>工期</w:t>
            </w:r>
          </w:p>
        </w:tc>
        <w:tc>
          <w:tcPr>
            <w:tcW w:w="5574" w:type="dxa"/>
            <w:shd w:val="clear" w:color="auto" w:fill="auto"/>
            <w:vAlign w:val="center"/>
          </w:tcPr>
          <w:p>
            <w:pPr>
              <w:pStyle w:val="7"/>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lang w:val="en-US" w:eastAsia="zh-CN"/>
              </w:rPr>
              <w:t xml:space="preserve"> 施工及保修期阶段全过程监理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10</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质量要求</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shd w:val="clear" w:color="auto" w:fill="FFFFFF"/>
                <w:lang w:bidi="en-US"/>
              </w:rPr>
              <w:t>符合国家相关标准和行业规范要求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11</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资质条件、能力和信誉</w:t>
            </w:r>
          </w:p>
        </w:tc>
        <w:tc>
          <w:tcPr>
            <w:tcW w:w="5574" w:type="dxa"/>
            <w:shd w:val="clear" w:color="auto" w:fill="auto"/>
            <w:vAlign w:val="center"/>
          </w:tcPr>
          <w:p>
            <w:pPr>
              <w:spacing w:line="30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bidi="en-US"/>
              </w:rPr>
              <w:t>详见本项目</w:t>
            </w:r>
            <w:r>
              <w:rPr>
                <w:rFonts w:hint="eastAsia" w:ascii="仿宋" w:hAnsi="仿宋" w:eastAsia="仿宋" w:cs="仿宋"/>
                <w:bCs/>
                <w:color w:val="auto"/>
                <w:sz w:val="28"/>
                <w:szCs w:val="28"/>
                <w:highlight w:val="none"/>
                <w:lang w:eastAsia="zh-CN" w:bidi="en-US"/>
              </w:rPr>
              <w:t>磋商</w:t>
            </w:r>
            <w:r>
              <w:rPr>
                <w:rFonts w:hint="eastAsia" w:ascii="仿宋" w:hAnsi="仿宋" w:eastAsia="仿宋" w:cs="仿宋"/>
                <w:bCs/>
                <w:color w:val="auto"/>
                <w:sz w:val="28"/>
                <w:szCs w:val="28"/>
                <w:highlight w:val="none"/>
                <w:lang w:bidi="en-US"/>
              </w:rPr>
              <w:t>公告 3、</w:t>
            </w:r>
            <w:r>
              <w:rPr>
                <w:rFonts w:hint="eastAsia" w:ascii="仿宋" w:hAnsi="仿宋" w:eastAsia="仿宋" w:cs="仿宋"/>
                <w:bCs/>
                <w:color w:val="auto"/>
                <w:sz w:val="28"/>
                <w:szCs w:val="28"/>
                <w:highlight w:val="none"/>
                <w:lang w:eastAsia="zh-CN" w:bidi="en-US"/>
              </w:rPr>
              <w:t>响应人</w:t>
            </w:r>
            <w:r>
              <w:rPr>
                <w:rFonts w:hint="eastAsia" w:ascii="仿宋" w:hAnsi="仿宋" w:eastAsia="仿宋" w:cs="仿宋"/>
                <w:bCs/>
                <w:color w:val="auto"/>
                <w:sz w:val="28"/>
                <w:szCs w:val="28"/>
                <w:highlight w:val="none"/>
                <w:lang w:bidi="en-US"/>
              </w:rPr>
              <w:t>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pStyle w:val="7"/>
              <w:topLinePunct/>
              <w:spacing w:line="276" w:lineRule="auto"/>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12</w:t>
            </w:r>
          </w:p>
        </w:tc>
        <w:tc>
          <w:tcPr>
            <w:tcW w:w="2636" w:type="dxa"/>
            <w:shd w:val="clear" w:color="auto" w:fill="auto"/>
            <w:vAlign w:val="center"/>
          </w:tcPr>
          <w:p>
            <w:pPr>
              <w:pStyle w:val="7"/>
              <w:topLinePunct/>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是否接受联合体投标</w:t>
            </w:r>
          </w:p>
        </w:tc>
        <w:tc>
          <w:tcPr>
            <w:tcW w:w="5574" w:type="dxa"/>
            <w:shd w:val="clear" w:color="auto" w:fill="auto"/>
            <w:vAlign w:val="center"/>
          </w:tcPr>
          <w:p>
            <w:pPr>
              <w:pStyle w:val="7"/>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踏勘现场</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投标预备会</w:t>
            </w:r>
          </w:p>
        </w:tc>
        <w:tc>
          <w:tcPr>
            <w:tcW w:w="5574" w:type="dxa"/>
            <w:shd w:val="clear" w:color="auto" w:fill="auto"/>
          </w:tcPr>
          <w:p>
            <w:pPr>
              <w:pStyle w:val="7"/>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提出问题的截止时间</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若有疑问，请于投标截止时间5天前将问题以书面形式</w:t>
            </w:r>
            <w:r>
              <w:rPr>
                <w:rFonts w:hint="eastAsia" w:ascii="仿宋" w:hAnsi="仿宋" w:eastAsia="仿宋" w:cs="仿宋"/>
                <w:color w:val="auto"/>
                <w:sz w:val="28"/>
                <w:szCs w:val="28"/>
                <w:highlight w:val="none"/>
                <w:lang w:eastAsia="zh-CN"/>
              </w:rPr>
              <w:t>或者通过交易系统</w:t>
            </w:r>
            <w:r>
              <w:rPr>
                <w:rFonts w:hint="eastAsia" w:ascii="仿宋" w:hAnsi="仿宋" w:eastAsia="仿宋" w:cs="仿宋"/>
                <w:color w:val="auto"/>
                <w:sz w:val="28"/>
                <w:szCs w:val="28"/>
                <w:highlight w:val="none"/>
              </w:rPr>
              <w:t xml:space="preserve">提交代理人（注明单位名称、工程名称并加盖公章）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澄清的时间</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投标截止时间5天前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w:t>
            </w:r>
          </w:p>
        </w:tc>
        <w:tc>
          <w:tcPr>
            <w:tcW w:w="5574" w:type="dxa"/>
            <w:shd w:val="clear" w:color="auto" w:fill="auto"/>
          </w:tcPr>
          <w:p>
            <w:pPr>
              <w:pStyle w:val="7"/>
              <w:topLinePunct/>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偏离</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文件的其他材料</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文件的修改、澄清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要求澄清</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文件的截止时间</w:t>
            </w:r>
          </w:p>
        </w:tc>
        <w:tc>
          <w:tcPr>
            <w:tcW w:w="5574" w:type="dxa"/>
            <w:shd w:val="clear" w:color="auto" w:fill="auto"/>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若有疑问，请于投标截止时间5天前将问题以书面形式提交代理人（注明单位名称、工程名称并加盖公章）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w:t>
            </w:r>
          </w:p>
        </w:tc>
        <w:tc>
          <w:tcPr>
            <w:tcW w:w="2636" w:type="dxa"/>
            <w:shd w:val="clear" w:color="auto" w:fill="auto"/>
            <w:vAlign w:val="center"/>
          </w:tcPr>
          <w:p>
            <w:pPr>
              <w:spacing w:line="2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电子投标文件上传截止时间</w:t>
            </w:r>
          </w:p>
          <w:p>
            <w:pPr>
              <w:spacing w:line="2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（即投标截止时间）</w:t>
            </w:r>
          </w:p>
        </w:tc>
        <w:tc>
          <w:tcPr>
            <w:tcW w:w="5574" w:type="dxa"/>
            <w:shd w:val="clear" w:color="auto" w:fill="auto"/>
            <w:vAlign w:val="center"/>
          </w:tcPr>
          <w:p>
            <w:pPr>
              <w:spacing w:line="2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4</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lang w:val="en-US" w:eastAsia="zh-CN"/>
              </w:rPr>
              <w:t xml:space="preserve"> 9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lang w:val="en-US" w:eastAsia="zh-CN"/>
              </w:rPr>
              <w:t xml:space="preserve">  00</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确认收到</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文件澄清的时间</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在收到相应澄清文件24小时内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确认收到</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文件修改的时间</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在收到相应澄清文件24小时内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构成投标文件的其他材料</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投标有效期</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60日历天（从投标截止之日起）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保证金</w:t>
            </w:r>
          </w:p>
        </w:tc>
        <w:tc>
          <w:tcPr>
            <w:tcW w:w="5574" w:type="dxa"/>
            <w:shd w:val="clear" w:color="auto" w:fill="auto"/>
            <w:vAlign w:val="center"/>
          </w:tcPr>
          <w:p>
            <w:pPr>
              <w:tabs>
                <w:tab w:val="left" w:pos="540"/>
              </w:tabs>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w:t>
            </w:r>
          </w:p>
        </w:tc>
        <w:tc>
          <w:tcPr>
            <w:tcW w:w="2636" w:type="dxa"/>
            <w:shd w:val="clear" w:color="auto" w:fill="auto"/>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是否允许递交备选投标方案</w:t>
            </w:r>
          </w:p>
        </w:tc>
        <w:tc>
          <w:tcPr>
            <w:tcW w:w="5574" w:type="dxa"/>
            <w:shd w:val="clear" w:color="auto" w:fill="auto"/>
            <w:vAlign w:val="center"/>
          </w:tcPr>
          <w:p>
            <w:pPr>
              <w:pStyle w:val="7"/>
              <w:topLinePun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28</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签章要求</w:t>
            </w:r>
          </w:p>
        </w:tc>
        <w:tc>
          <w:tcPr>
            <w:tcW w:w="5574" w:type="dxa"/>
            <w:shd w:val="clear" w:color="auto" w:fill="auto"/>
            <w:vAlign w:val="top"/>
          </w:tcPr>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电子投标文件:1、所有要求</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加盖公章的地方都应用</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单位的CA印章。</w:t>
            </w:r>
          </w:p>
          <w:p>
            <w:pPr>
              <w:adjustRightInd w:val="0"/>
              <w:snapToGrid w:val="0"/>
              <w:spacing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2、所有要求法定代表人或其委托代理人签章（字）的地方都应用法定代表人CA章。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 w:type="dxa"/>
            <w:shd w:val="clear" w:color="auto" w:fill="auto"/>
            <w:vAlign w:val="center"/>
          </w:tcPr>
          <w:p>
            <w:pPr>
              <w:spacing w:line="276"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29</w:t>
            </w:r>
          </w:p>
        </w:tc>
        <w:tc>
          <w:tcPr>
            <w:tcW w:w="2636" w:type="dxa"/>
            <w:shd w:val="clear" w:color="auto" w:fill="auto"/>
            <w:vAlign w:val="center"/>
          </w:tcPr>
          <w:p>
            <w:pPr>
              <w:spacing w:line="240" w:lineRule="auto"/>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投标文件上传要求</w:t>
            </w:r>
          </w:p>
        </w:tc>
        <w:tc>
          <w:tcPr>
            <w:tcW w:w="5574" w:type="dxa"/>
            <w:shd w:val="clear" w:color="auto" w:fill="auto"/>
            <w:vAlign w:val="center"/>
          </w:tcPr>
          <w:p>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响应人应在南阳市公共资源交易系统下载“电子投标文件制作工具”，并按照磋商文件要求编制和上传递交加密的电子投标文件(.NYTF格式)。响应人上传时必须得到系统“上传成功”的确认回复，并认真检查电子投标文件是否完整、正确。</w:t>
            </w:r>
          </w:p>
          <w:p>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2、递交网址：https://ggzyjy.nanyang.gov.cn/XCXWeb/。 </w:t>
            </w:r>
          </w:p>
          <w:p>
            <w:pPr>
              <w:spacing w:line="360" w:lineRule="auto"/>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3、响应人的电子投标文件应在磋商文件规定的投标截止时间前到达交易系统。逾期到达交易系统的电子投标文件视为放弃本次投标。</w:t>
            </w:r>
          </w:p>
          <w:p>
            <w:pPr>
              <w:spacing w:line="360" w:lineRule="auto"/>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4、响应人所递交的电子投标文件在投标截止时间之</w:t>
            </w:r>
            <w:r>
              <w:rPr>
                <w:rFonts w:hint="eastAsia" w:ascii="仿宋" w:hAnsi="仿宋" w:eastAsia="仿宋" w:cs="仿宋"/>
                <w:bCs/>
                <w:color w:val="auto"/>
                <w:kern w:val="0"/>
                <w:sz w:val="28"/>
                <w:szCs w:val="28"/>
                <w:highlight w:val="none"/>
              </w:rPr>
              <w:t>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30</w:t>
            </w:r>
          </w:p>
        </w:tc>
        <w:tc>
          <w:tcPr>
            <w:tcW w:w="2636" w:type="dxa"/>
            <w:shd w:val="clear" w:color="auto" w:fill="auto"/>
            <w:vAlign w:val="center"/>
          </w:tcPr>
          <w:p>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是否退还投标文件</w:t>
            </w:r>
          </w:p>
        </w:tc>
        <w:tc>
          <w:tcPr>
            <w:tcW w:w="5574" w:type="dxa"/>
            <w:shd w:val="clear" w:color="auto" w:fill="auto"/>
            <w:vAlign w:val="center"/>
          </w:tcPr>
          <w:p>
            <w:pPr>
              <w:pStyle w:val="7"/>
              <w:topLinePunct/>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开标时间和地点</w:t>
            </w:r>
          </w:p>
        </w:tc>
        <w:tc>
          <w:tcPr>
            <w:tcW w:w="5574" w:type="dxa"/>
            <w:shd w:val="clear" w:color="auto" w:fill="auto"/>
          </w:tcPr>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开标时间：同投标截止时间</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开标地点：</w:t>
            </w:r>
            <w:r>
              <w:rPr>
                <w:rFonts w:hint="eastAsia" w:ascii="仿宋" w:hAnsi="仿宋" w:eastAsia="仿宋" w:cs="仿宋"/>
                <w:color w:val="auto"/>
                <w:sz w:val="28"/>
                <w:szCs w:val="28"/>
                <w:highlight w:val="none"/>
                <w:lang w:val="en-US" w:eastAsia="zh-CN"/>
              </w:rPr>
              <w:t>网上不见面大厅开标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开标程序</w:t>
            </w:r>
          </w:p>
        </w:tc>
        <w:tc>
          <w:tcPr>
            <w:tcW w:w="5574" w:type="dxa"/>
            <w:shd w:val="clear" w:color="auto" w:fill="auto"/>
            <w:vAlign w:val="center"/>
          </w:tcPr>
          <w:p>
            <w:pPr>
              <w:pStyle w:val="34"/>
              <w:spacing w:before="43" w:line="360" w:lineRule="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1、按电子响应文件上传的顺序进行开标唱标</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2、本项目为不见面开标项目即响应人不再到现场参与开标会议，等开标时间截止后，各投标企业自行在30分钟内远程解密响应文件，超过时限未解密的按无效标处理，若在30分钟内未提出异议，视为无异议，认可开标结果；本项目采用竞争性磋商方式，开标结束后，响应人在谈判大厅等待，各响应单位必须安排专人值守，确保在线，二次报价在专家提起报价后完成。在评标期间，随时接受评标委员会在线问询，若未在评标委员会发起质疑30分钟内进行答疑的，视为放弃答疑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33</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评标委员会的组建</w:t>
            </w:r>
          </w:p>
        </w:tc>
        <w:tc>
          <w:tcPr>
            <w:tcW w:w="5574" w:type="dxa"/>
            <w:shd w:val="clear" w:color="auto" w:fill="auto"/>
          </w:tcPr>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评标委员会构成：共</w:t>
            </w:r>
            <w:r>
              <w:rPr>
                <w:rFonts w:hint="eastAsia" w:ascii="仿宋" w:hAnsi="仿宋" w:eastAsia="仿宋" w:cs="仿宋"/>
                <w:color w:val="auto"/>
                <w:sz w:val="28"/>
                <w:szCs w:val="28"/>
                <w:highlight w:val="none"/>
                <w:u w:val="single"/>
                <w:lang w:val="en-US" w:eastAsia="zh-CN"/>
              </w:rPr>
              <w:t>3</w:t>
            </w:r>
            <w:r>
              <w:rPr>
                <w:rFonts w:hint="eastAsia" w:ascii="仿宋" w:hAnsi="仿宋" w:eastAsia="仿宋" w:cs="仿宋"/>
                <w:color w:val="auto"/>
                <w:sz w:val="28"/>
                <w:szCs w:val="28"/>
                <w:highlight w:val="none"/>
              </w:rPr>
              <w:t>人；其中经济、技术类专家</w:t>
            </w:r>
            <w:r>
              <w:rPr>
                <w:rFonts w:hint="eastAsia" w:ascii="仿宋" w:hAnsi="仿宋" w:eastAsia="仿宋" w:cs="仿宋"/>
                <w:color w:val="auto"/>
                <w:sz w:val="28"/>
                <w:szCs w:val="28"/>
                <w:highlight w:val="none"/>
                <w:u w:val="single"/>
                <w:lang w:val="en-US" w:eastAsia="zh-CN"/>
              </w:rPr>
              <w:t>2</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代表</w:t>
            </w:r>
            <w:r>
              <w:rPr>
                <w:rFonts w:hint="eastAsia" w:ascii="仿宋" w:hAnsi="仿宋" w:eastAsia="仿宋" w:cs="仿宋"/>
                <w:color w:val="auto"/>
                <w:sz w:val="28"/>
                <w:szCs w:val="28"/>
                <w:highlight w:val="none"/>
                <w:u w:val="single"/>
              </w:rPr>
              <w:t>1</w:t>
            </w:r>
            <w:r>
              <w:rPr>
                <w:rFonts w:hint="eastAsia" w:ascii="仿宋" w:hAnsi="仿宋" w:eastAsia="仿宋" w:cs="仿宋"/>
                <w:color w:val="auto"/>
                <w:sz w:val="28"/>
                <w:szCs w:val="28"/>
                <w:highlight w:val="none"/>
              </w:rPr>
              <w:t>人；</w:t>
            </w:r>
          </w:p>
          <w:p>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专家确定方式：从政府采购评标专家库中抽取。。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w:t>
            </w:r>
          </w:p>
        </w:tc>
        <w:tc>
          <w:tcPr>
            <w:tcW w:w="2636" w:type="dxa"/>
            <w:shd w:val="clear" w:color="auto" w:fill="auto"/>
            <w:vAlign w:val="center"/>
          </w:tcPr>
          <w:p>
            <w:pPr>
              <w:pStyle w:val="34"/>
              <w:spacing w:before="21"/>
              <w:ind w:right="167"/>
              <w:jc w:val="both"/>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是否授权磋商小组确</w:t>
            </w:r>
            <w:r>
              <w:rPr>
                <w:rFonts w:hint="eastAsia" w:ascii="仿宋" w:hAnsi="仿宋" w:eastAsia="仿宋" w:cs="仿宋"/>
                <w:color w:val="auto"/>
                <w:sz w:val="28"/>
                <w:szCs w:val="28"/>
                <w:highlight w:val="none"/>
              </w:rPr>
              <w:t>定成交人</w:t>
            </w:r>
          </w:p>
        </w:tc>
        <w:tc>
          <w:tcPr>
            <w:tcW w:w="5574" w:type="dxa"/>
            <w:shd w:val="clear" w:color="auto" w:fill="auto"/>
            <w:vAlign w:val="center"/>
          </w:tcPr>
          <w:p>
            <w:pPr>
              <w:spacing w:line="3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否，推荐的中标候选人数：前</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w:t>
            </w:r>
          </w:p>
        </w:tc>
        <w:tc>
          <w:tcPr>
            <w:tcW w:w="2636" w:type="dxa"/>
            <w:shd w:val="clear" w:color="auto" w:fill="auto"/>
            <w:vAlign w:val="center"/>
          </w:tcPr>
          <w:p>
            <w:pPr>
              <w:spacing w:line="276"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控制价</w:t>
            </w:r>
          </w:p>
        </w:tc>
        <w:tc>
          <w:tcPr>
            <w:tcW w:w="5574" w:type="dxa"/>
            <w:shd w:val="clear" w:color="auto" w:fill="auto"/>
            <w:vAlign w:val="center"/>
          </w:tcPr>
          <w:p>
            <w:pPr>
              <w:spacing w:line="276"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本项目设有</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控制价，</w:t>
            </w:r>
            <w:r>
              <w:rPr>
                <w:rFonts w:hint="eastAsia" w:ascii="仿宋" w:hAnsi="仿宋" w:eastAsia="仿宋" w:cs="仿宋"/>
                <w:color w:val="auto"/>
                <w:sz w:val="28"/>
                <w:szCs w:val="28"/>
                <w:highlight w:val="none"/>
                <w:lang w:eastAsia="zh-CN"/>
              </w:rPr>
              <w:t>响应人</w:t>
            </w:r>
            <w:r>
              <w:rPr>
                <w:rFonts w:hint="eastAsia" w:ascii="仿宋" w:hAnsi="仿宋" w:eastAsia="仿宋" w:cs="仿宋"/>
                <w:color w:val="auto"/>
                <w:sz w:val="28"/>
                <w:szCs w:val="28"/>
                <w:highlight w:val="none"/>
              </w:rPr>
              <w:t>报价超出控制价的视为不响应</w:t>
            </w:r>
            <w:r>
              <w:rPr>
                <w:rFonts w:hint="eastAsia" w:ascii="仿宋" w:hAnsi="仿宋" w:eastAsia="仿宋" w:cs="仿宋"/>
                <w:color w:val="auto"/>
                <w:sz w:val="28"/>
                <w:szCs w:val="28"/>
                <w:highlight w:val="none"/>
                <w:lang w:eastAsia="zh-CN"/>
              </w:rPr>
              <w:t>磋商</w:t>
            </w:r>
            <w:r>
              <w:rPr>
                <w:rFonts w:hint="eastAsia" w:ascii="仿宋" w:hAnsi="仿宋" w:eastAsia="仿宋" w:cs="仿宋"/>
                <w:color w:val="auto"/>
                <w:sz w:val="28"/>
                <w:szCs w:val="28"/>
                <w:highlight w:val="none"/>
              </w:rPr>
              <w:t>文件要求，其投标将被拒绝。</w:t>
            </w:r>
          </w:p>
          <w:p>
            <w:pPr>
              <w:spacing w:line="276"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磋商</w:t>
            </w:r>
            <w:r>
              <w:rPr>
                <w:rFonts w:hint="eastAsia" w:ascii="仿宋" w:hAnsi="仿宋" w:eastAsia="仿宋" w:cs="仿宋"/>
                <w:b/>
                <w:color w:val="auto"/>
                <w:sz w:val="28"/>
                <w:szCs w:val="28"/>
                <w:highlight w:val="none"/>
              </w:rPr>
              <w:t>控制价：</w:t>
            </w:r>
            <w:r>
              <w:rPr>
                <w:rFonts w:hint="eastAsia" w:ascii="仿宋" w:hAnsi="仿宋" w:eastAsia="仿宋" w:cs="仿宋"/>
                <w:b/>
                <w:color w:val="auto"/>
                <w:sz w:val="28"/>
                <w:szCs w:val="28"/>
                <w:highlight w:val="none"/>
                <w:lang w:val="en-US" w:eastAsia="zh-CN"/>
              </w:rPr>
              <w:t>470700.00元</w:t>
            </w:r>
            <w:r>
              <w:rPr>
                <w:rFonts w:hint="eastAsia" w:ascii="仿宋" w:hAnsi="仿宋" w:eastAsia="仿宋" w:cs="仿宋"/>
                <w:b/>
                <w:color w:val="auto"/>
                <w:sz w:val="28"/>
                <w:szCs w:val="28"/>
                <w:highlight w:val="none"/>
              </w:rPr>
              <w:t>（</w:t>
            </w:r>
            <w:r>
              <w:rPr>
                <w:rFonts w:hint="eastAsia" w:ascii="仿宋" w:hAnsi="仿宋" w:eastAsia="仿宋" w:cs="仿宋"/>
                <w:b/>
                <w:color w:val="auto"/>
                <w:sz w:val="28"/>
                <w:szCs w:val="28"/>
                <w:highlight w:val="none"/>
                <w:lang w:val="en-US" w:eastAsia="zh-CN"/>
              </w:rPr>
              <w:t>肆拾柒万零柒佰元整</w:t>
            </w:r>
            <w:r>
              <w:rPr>
                <w:rFonts w:hint="eastAsia" w:ascii="仿宋" w:hAnsi="仿宋" w:eastAsia="仿宋" w:cs="仿宋"/>
                <w:b/>
                <w:color w:val="auto"/>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5" w:hRule="atLeast"/>
          <w:jc w:val="center"/>
        </w:trPr>
        <w:tc>
          <w:tcPr>
            <w:tcW w:w="907" w:type="dxa"/>
            <w:shd w:val="clear" w:color="auto" w:fill="auto"/>
            <w:vAlign w:val="center"/>
          </w:tcPr>
          <w:p>
            <w:pPr>
              <w:pStyle w:val="32"/>
              <w:adjustRightInd w:val="0"/>
              <w:snapToGrid w:val="0"/>
              <w:spacing w:line="360" w:lineRule="auto"/>
              <w:ind w:firstLine="280" w:firstLineChars="1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w:t>
            </w:r>
          </w:p>
        </w:tc>
        <w:tc>
          <w:tcPr>
            <w:tcW w:w="2636" w:type="dxa"/>
            <w:shd w:val="clear" w:color="auto" w:fill="auto"/>
            <w:vAlign w:val="center"/>
          </w:tcPr>
          <w:p>
            <w:pPr>
              <w:pStyle w:val="32"/>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代理报酬</w:t>
            </w:r>
          </w:p>
        </w:tc>
        <w:tc>
          <w:tcPr>
            <w:tcW w:w="5574" w:type="dxa"/>
            <w:shd w:val="clear" w:color="auto" w:fill="auto"/>
            <w:vAlign w:val="center"/>
          </w:tcPr>
          <w:p>
            <w:pPr>
              <w:pStyle w:val="34"/>
              <w:tabs>
                <w:tab w:val="left" w:pos="326"/>
              </w:tabs>
              <w:spacing w:before="21" w:line="278" w:lineRule="auto"/>
              <w:ind w:right="97"/>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本项目代理服务费参照《河南省招标代理服务收费指导意见》豫招协〔2023〕002号文规定；由中标人在领取成交通知书时向本采购代理机构支付（并计入投标总报价），请响应人充分考虑这一因素。</w:t>
            </w:r>
          </w:p>
          <w:p>
            <w:pPr>
              <w:pStyle w:val="34"/>
              <w:tabs>
                <w:tab w:val="left" w:pos="326"/>
              </w:tabs>
              <w:spacing w:before="21" w:line="278" w:lineRule="auto"/>
              <w:ind w:right="97"/>
              <w:jc w:val="both"/>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本磋商文件解释权归采购人。</w:t>
            </w:r>
          </w:p>
          <w:p>
            <w:pPr>
              <w:pStyle w:val="32"/>
              <w:adjustRightInd w:val="0"/>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color w:val="auto"/>
                <w:kern w:val="2"/>
                <w:sz w:val="28"/>
                <w:szCs w:val="28"/>
                <w:highlight w:val="none"/>
                <w:lang w:val="en-US" w:eastAsia="zh-CN" w:bidi="ar-SA"/>
              </w:rPr>
              <w:t>未尽事宜，按《中华人民共和国政府采购法》及有关规定执行。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07" w:type="dxa"/>
            <w:shd w:val="clear" w:color="auto" w:fill="auto"/>
            <w:vAlign w:val="center"/>
          </w:tcPr>
          <w:p>
            <w:pPr>
              <w:spacing w:line="276"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7</w:t>
            </w:r>
          </w:p>
        </w:tc>
        <w:tc>
          <w:tcPr>
            <w:tcW w:w="2636" w:type="dxa"/>
            <w:shd w:val="clear" w:color="auto" w:fill="auto"/>
            <w:vAlign w:val="center"/>
          </w:tcPr>
          <w:p>
            <w:pPr>
              <w:pStyle w:val="34"/>
              <w:spacing w:before="7"/>
              <w:rPr>
                <w:rFonts w:hint="eastAsia" w:ascii="仿宋" w:hAnsi="仿宋" w:eastAsia="仿宋" w:cs="仿宋"/>
                <w:color w:val="auto"/>
                <w:sz w:val="28"/>
                <w:szCs w:val="28"/>
                <w:highlight w:val="none"/>
              </w:rPr>
            </w:pPr>
          </w:p>
          <w:p>
            <w:pPr>
              <w:spacing w:line="276"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lang w:val="en-US" w:eastAsia="zh-CN" w:bidi="ar-SA"/>
              </w:rPr>
              <w:t>履约保证金</w:t>
            </w:r>
          </w:p>
        </w:tc>
        <w:tc>
          <w:tcPr>
            <w:tcW w:w="5574" w:type="dxa"/>
            <w:shd w:val="clear" w:color="auto" w:fill="auto"/>
            <w:vAlign w:val="center"/>
          </w:tcPr>
          <w:p>
            <w:pPr>
              <w:spacing w:line="276" w:lineRule="auto"/>
              <w:jc w:val="left"/>
              <w:rPr>
                <w:rFonts w:hint="eastAsia" w:ascii="仿宋" w:hAnsi="仿宋" w:eastAsia="仿宋" w:cs="仿宋"/>
                <w:b w:val="0"/>
                <w:bCs/>
                <w:color w:val="auto"/>
                <w:sz w:val="28"/>
                <w:szCs w:val="28"/>
                <w:highlight w:val="none"/>
                <w:lang w:eastAsia="zh-CN"/>
              </w:rPr>
            </w:pPr>
            <w:r>
              <w:rPr>
                <w:rFonts w:hint="eastAsia" w:ascii="仿宋" w:hAnsi="仿宋" w:eastAsia="仿宋" w:cs="仿宋"/>
                <w:color w:val="auto"/>
                <w:kern w:val="2"/>
                <w:sz w:val="28"/>
                <w:szCs w:val="28"/>
                <w:highlight w:val="none"/>
                <w:lang w:val="en-US" w:eastAsia="zh-CN" w:bidi="ar-SA"/>
              </w:rPr>
              <w:t>不收取履约保证金。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9117" w:type="dxa"/>
            <w:gridSpan w:val="3"/>
            <w:shd w:val="clear" w:color="auto" w:fill="auto"/>
            <w:vAlign w:val="center"/>
          </w:tcPr>
          <w:p>
            <w:pPr>
              <w:spacing w:line="276"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pPr>
              <w:spacing w:line="276" w:lineRule="auto"/>
              <w:jc w:val="left"/>
              <w:rPr>
                <w:rFonts w:hint="eastAsia" w:ascii="仿宋" w:hAnsi="仿宋" w:eastAsia="仿宋" w:cs="仿宋"/>
                <w:color w:val="auto"/>
                <w:sz w:val="28"/>
                <w:szCs w:val="28"/>
                <w:highlight w:val="none"/>
              </w:rPr>
            </w:pPr>
            <w:r>
              <w:rPr>
                <w:rFonts w:hint="eastAsia" w:ascii="仿宋" w:hAnsi="仿宋" w:eastAsia="仿宋" w:cs="仿宋"/>
                <w:b/>
                <w:color w:val="auto"/>
                <w:spacing w:val="-2"/>
                <w:sz w:val="28"/>
                <w:szCs w:val="28"/>
                <w:highlight w:val="none"/>
              </w:rPr>
              <w:t>注：依据豫发改公管〔</w:t>
            </w:r>
            <w:r>
              <w:rPr>
                <w:rFonts w:hint="eastAsia" w:ascii="仿宋" w:hAnsi="仿宋" w:eastAsia="仿宋" w:cs="仿宋"/>
                <w:b/>
                <w:color w:val="auto"/>
                <w:sz w:val="28"/>
                <w:szCs w:val="28"/>
                <w:highlight w:val="none"/>
              </w:rPr>
              <w:t>2019</w:t>
            </w:r>
            <w:r>
              <w:rPr>
                <w:rFonts w:hint="eastAsia" w:ascii="仿宋" w:hAnsi="仿宋" w:eastAsia="仿宋" w:cs="仿宋"/>
                <w:b/>
                <w:color w:val="auto"/>
                <w:spacing w:val="-5"/>
                <w:sz w:val="28"/>
                <w:szCs w:val="28"/>
                <w:highlight w:val="none"/>
              </w:rPr>
              <w:t>〕</w:t>
            </w:r>
            <w:r>
              <w:rPr>
                <w:rFonts w:hint="eastAsia" w:ascii="仿宋" w:hAnsi="仿宋" w:eastAsia="仿宋" w:cs="仿宋"/>
                <w:b/>
                <w:color w:val="auto"/>
                <w:sz w:val="28"/>
                <w:szCs w:val="28"/>
                <w:highlight w:val="none"/>
              </w:rPr>
              <w:t>198</w:t>
            </w:r>
            <w:r>
              <w:rPr>
                <w:rFonts w:hint="eastAsia" w:ascii="仿宋" w:hAnsi="仿宋" w:eastAsia="仿宋" w:cs="仿宋"/>
                <w:b/>
                <w:color w:val="auto"/>
                <w:spacing w:val="-9"/>
                <w:sz w:val="28"/>
                <w:szCs w:val="28"/>
                <w:highlight w:val="none"/>
              </w:rPr>
              <w:t xml:space="preserve"> 号文要求，</w:t>
            </w:r>
            <w:r>
              <w:rPr>
                <w:rFonts w:hint="eastAsia" w:ascii="仿宋" w:hAnsi="仿宋" w:eastAsia="仿宋" w:cs="仿宋"/>
                <w:b/>
                <w:color w:val="auto"/>
                <w:spacing w:val="-9"/>
                <w:sz w:val="28"/>
                <w:szCs w:val="28"/>
                <w:highlight w:val="none"/>
                <w:lang w:eastAsia="zh-CN"/>
              </w:rPr>
              <w:t>响应人响应</w:t>
            </w:r>
            <w:r>
              <w:rPr>
                <w:rFonts w:hint="eastAsia" w:ascii="仿宋" w:hAnsi="仿宋" w:eastAsia="仿宋" w:cs="仿宋"/>
                <w:b/>
                <w:color w:val="auto"/>
                <w:spacing w:val="-9"/>
                <w:sz w:val="28"/>
                <w:szCs w:val="28"/>
                <w:highlight w:val="none"/>
              </w:rPr>
              <w:t>文件制作器码一致视为串通投标行为，做废标处理，需</w:t>
            </w:r>
            <w:r>
              <w:rPr>
                <w:rFonts w:hint="eastAsia" w:ascii="仿宋" w:hAnsi="仿宋" w:eastAsia="仿宋" w:cs="仿宋"/>
                <w:b/>
                <w:color w:val="auto"/>
                <w:spacing w:val="-9"/>
                <w:sz w:val="28"/>
                <w:szCs w:val="28"/>
                <w:highlight w:val="none"/>
                <w:lang w:eastAsia="zh-CN"/>
              </w:rPr>
              <w:t>响应人</w:t>
            </w:r>
            <w:r>
              <w:rPr>
                <w:rFonts w:hint="eastAsia" w:ascii="仿宋" w:hAnsi="仿宋" w:eastAsia="仿宋" w:cs="仿宋"/>
                <w:b/>
                <w:color w:val="auto"/>
                <w:spacing w:val="-9"/>
                <w:sz w:val="28"/>
                <w:szCs w:val="28"/>
                <w:highlight w:val="none"/>
              </w:rPr>
              <w:t>自行承担责任。</w:t>
            </w:r>
          </w:p>
        </w:tc>
      </w:tr>
    </w:tbl>
    <w:p>
      <w:pPr>
        <w:widowControl w:val="0"/>
        <w:numPr>
          <w:ilvl w:val="0"/>
          <w:numId w:val="1"/>
        </w:numPr>
        <w:tabs>
          <w:tab w:val="left" w:pos="869"/>
        </w:tabs>
        <w:autoSpaceDE w:val="0"/>
        <w:autoSpaceDN w:val="0"/>
        <w:spacing w:before="22"/>
        <w:rPr>
          <w:rFonts w:hint="eastAsia" w:ascii="宋体" w:hAnsi="宋体" w:eastAsia="宋体" w:cs="宋体"/>
          <w:b/>
          <w:color w:val="auto"/>
          <w:sz w:val="22"/>
          <w:szCs w:val="18"/>
          <w:highlight w:val="none"/>
          <w:lang w:val="zh-CN" w:bidi="zh-CN"/>
        </w:rPr>
      </w:pPr>
      <w:bookmarkStart w:id="11" w:name="_Toc12948"/>
      <w:bookmarkStart w:id="12" w:name="_Toc29120"/>
      <w:r>
        <w:rPr>
          <w:rFonts w:hint="eastAsia" w:ascii="仿宋" w:hAnsi="仿宋" w:eastAsia="仿宋" w:cs="仿宋"/>
          <w:b/>
          <w:color w:val="auto"/>
          <w:sz w:val="28"/>
          <w:szCs w:val="28"/>
          <w:highlight w:val="none"/>
          <w:lang w:val="zh-CN" w:bidi="zh-CN"/>
        </w:rPr>
        <w:t>总则</w:t>
      </w:r>
    </w:p>
    <w:p>
      <w:pPr>
        <w:widowControl w:val="0"/>
        <w:numPr>
          <w:ilvl w:val="1"/>
          <w:numId w:val="1"/>
        </w:numPr>
        <w:tabs>
          <w:tab w:val="left" w:pos="876"/>
        </w:tabs>
        <w:autoSpaceDE w:val="0"/>
        <w:autoSpaceDN w:val="0"/>
        <w:spacing w:before="22"/>
        <w:outlineLvl w:val="4"/>
        <w:rPr>
          <w:rFonts w:hint="eastAsia" w:ascii="宋体" w:hAnsi="宋体" w:eastAsia="宋体" w:cs="宋体"/>
          <w:b/>
          <w:bCs/>
          <w:color w:val="auto"/>
          <w:sz w:val="20"/>
          <w:szCs w:val="20"/>
          <w:highlight w:val="none"/>
          <w:lang w:val="zh-CN" w:bidi="zh-CN"/>
        </w:rPr>
      </w:pPr>
      <w:bookmarkStart w:id="13" w:name="1.1项目概况"/>
      <w:bookmarkEnd w:id="13"/>
      <w:r>
        <w:rPr>
          <w:rFonts w:hint="eastAsia" w:ascii="宋体" w:hAnsi="宋体" w:eastAsia="宋体" w:cs="宋体"/>
          <w:b/>
          <w:bCs/>
          <w:color w:val="auto"/>
          <w:sz w:val="20"/>
          <w:szCs w:val="20"/>
          <w:highlight w:val="none"/>
          <w:lang w:val="zh-CN" w:bidi="zh-CN"/>
        </w:rPr>
        <w:t>项目概况</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根据《中华人民共和国政府采购法》《中华人民共和国政府采购法实施条例》等有关法律、法规和规章的规定，本采购项目已具备竞争性磋商条件，现对本项目进行竞争性磋商。</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采购人：</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须知前附表中所述的，依法进行政府采购的国家机关、事业单位、团体组织。</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采购代理机构：受采购人委托组织采购活动，在采购过程中负有相应责任的社会中介组织。</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采购方式：见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r>
        <w:rPr>
          <w:rFonts w:hint="eastAsia" w:ascii="宋体" w:hAnsi="宋体" w:eastAsia="宋体" w:cs="宋体"/>
          <w:color w:val="auto"/>
          <w:sz w:val="22"/>
          <w:szCs w:val="22"/>
          <w:highlight w:val="none"/>
          <w:lang w:val="zh-CN" w:bidi="zh-CN"/>
        </w:rPr>
        <w:t>项目名称及采购编号：见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资金来源：见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须知前应商须知前附表。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4" w:name="1.2资金来源和落实情况"/>
      <w:bookmarkEnd w:id="14"/>
      <w:r>
        <w:rPr>
          <w:rFonts w:hint="eastAsia" w:ascii="宋体" w:hAnsi="宋体" w:eastAsia="宋体" w:cs="宋体"/>
          <w:b/>
          <w:bCs/>
          <w:color w:val="auto"/>
          <w:sz w:val="20"/>
          <w:szCs w:val="20"/>
          <w:highlight w:val="none"/>
          <w:lang w:val="zh-CN" w:bidi="zh-CN"/>
        </w:rPr>
        <w:t>资金来源和落实情况</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资金来源：</w:t>
      </w:r>
      <w:r>
        <w:rPr>
          <w:rFonts w:hint="eastAsia" w:ascii="宋体" w:hAnsi="宋体" w:eastAsia="宋体" w:cs="宋体"/>
          <w:color w:val="auto"/>
          <w:sz w:val="22"/>
          <w:szCs w:val="22"/>
          <w:highlight w:val="none"/>
          <w:lang w:val="zh-CN" w:bidi="zh-CN"/>
        </w:rPr>
        <w:t>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采购预算：见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采购项目性质：见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资金落实情况：见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1"/>
          <w:numId w:val="1"/>
        </w:numPr>
        <w:tabs>
          <w:tab w:val="left" w:pos="876"/>
        </w:tabs>
        <w:autoSpaceDE w:val="0"/>
        <w:autoSpaceDN w:val="0"/>
        <w:spacing w:before="42"/>
        <w:outlineLvl w:val="4"/>
        <w:rPr>
          <w:rFonts w:hint="eastAsia" w:ascii="宋体" w:hAnsi="宋体" w:eastAsia="宋体" w:cs="宋体"/>
          <w:b/>
          <w:bCs/>
          <w:color w:val="auto"/>
          <w:sz w:val="20"/>
          <w:szCs w:val="20"/>
          <w:highlight w:val="none"/>
          <w:lang w:val="zh-CN" w:bidi="zh-CN"/>
        </w:rPr>
      </w:pPr>
      <w:bookmarkStart w:id="15" w:name="1.3采购内容、服务期和质量标准"/>
      <w:bookmarkEnd w:id="15"/>
      <w:r>
        <w:rPr>
          <w:rFonts w:hint="eastAsia" w:ascii="宋体" w:hAnsi="宋体" w:eastAsia="宋体" w:cs="宋体"/>
          <w:b/>
          <w:bCs/>
          <w:color w:val="auto"/>
          <w:sz w:val="20"/>
          <w:szCs w:val="20"/>
          <w:highlight w:val="none"/>
          <w:lang w:val="zh-CN" w:bidi="zh-CN"/>
        </w:rPr>
        <w:t>采购内容、服务期和质量标准</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采购内容：见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质量要求：见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eastAsia="zh-CN" w:bidi="zh-CN"/>
        </w:rPr>
        <w:t>设计工期</w:t>
      </w:r>
      <w:r>
        <w:rPr>
          <w:rFonts w:hint="eastAsia" w:ascii="宋体" w:hAnsi="宋体" w:eastAsia="宋体" w:cs="宋体"/>
          <w:color w:val="auto"/>
          <w:sz w:val="22"/>
          <w:szCs w:val="22"/>
          <w:highlight w:val="none"/>
          <w:lang w:val="zh-CN" w:bidi="zh-CN"/>
        </w:rPr>
        <w:t>：见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6" w:name="1.4供应商资格要求"/>
      <w:bookmarkEnd w:id="16"/>
      <w:r>
        <w:rPr>
          <w:rFonts w:hint="eastAsia" w:ascii="宋体" w:hAnsi="宋体" w:cs="宋体"/>
          <w:b/>
          <w:bCs/>
          <w:color w:val="auto"/>
          <w:sz w:val="20"/>
          <w:szCs w:val="20"/>
          <w:highlight w:val="none"/>
          <w:lang w:val="zh-CN" w:bidi="zh-CN"/>
        </w:rPr>
        <w:t>响应人</w:t>
      </w:r>
      <w:r>
        <w:rPr>
          <w:rFonts w:hint="eastAsia" w:ascii="宋体" w:hAnsi="宋体" w:eastAsia="宋体" w:cs="宋体"/>
          <w:b/>
          <w:bCs/>
          <w:color w:val="auto"/>
          <w:sz w:val="20"/>
          <w:szCs w:val="20"/>
          <w:highlight w:val="none"/>
          <w:lang w:val="zh-CN" w:bidi="zh-CN"/>
        </w:rPr>
        <w:t>资格要求</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应具备的资格条件：见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不得存在下列情形之一：</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1)</w:t>
      </w:r>
      <w:r>
        <w:rPr>
          <w:rFonts w:hint="eastAsia" w:ascii="宋体" w:hAnsi="宋体" w:eastAsia="宋体" w:cs="宋体"/>
          <w:color w:val="auto"/>
          <w:sz w:val="22"/>
          <w:szCs w:val="22"/>
          <w:highlight w:val="none"/>
          <w:lang w:val="zh-CN" w:bidi="zh-CN"/>
        </w:rPr>
        <w:t>与采购人存在利害关系且可能影响招标公正性；</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2</w:t>
      </w:r>
      <w:r>
        <w:rPr>
          <w:rFonts w:hint="eastAsia" w:ascii="宋体" w:hAnsi="宋体" w:eastAsia="宋体" w:cs="宋体"/>
          <w:color w:val="auto"/>
          <w:sz w:val="22"/>
          <w:szCs w:val="22"/>
          <w:highlight w:val="none"/>
          <w:lang w:val="zh-CN" w:bidi="zh-CN"/>
        </w:rPr>
        <w:t>与本招标项目的其他</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为同一个单位负责人；</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3）</w:t>
      </w:r>
      <w:r>
        <w:rPr>
          <w:rFonts w:hint="eastAsia" w:ascii="宋体" w:hAnsi="宋体" w:eastAsia="宋体" w:cs="宋体"/>
          <w:color w:val="auto"/>
          <w:sz w:val="22"/>
          <w:szCs w:val="22"/>
          <w:highlight w:val="none"/>
          <w:lang w:val="zh-CN" w:bidi="zh-CN"/>
        </w:rPr>
        <w:t>与本招标项目的其他</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存在控股、管理关系；</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4）</w:t>
      </w:r>
      <w:r>
        <w:rPr>
          <w:rFonts w:hint="eastAsia" w:ascii="宋体" w:hAnsi="宋体" w:eastAsia="宋体" w:cs="宋体"/>
          <w:color w:val="auto"/>
          <w:sz w:val="22"/>
          <w:szCs w:val="22"/>
          <w:highlight w:val="none"/>
          <w:lang w:val="zh-CN" w:bidi="zh-CN"/>
        </w:rPr>
        <w:t>为本招标项目提供过整体设计、规范编制或者项目管理、监理、检测等服务；</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5）</w:t>
      </w:r>
      <w:r>
        <w:rPr>
          <w:rFonts w:hint="eastAsia" w:ascii="宋体" w:hAnsi="宋体" w:eastAsia="宋体" w:cs="宋体"/>
          <w:color w:val="auto"/>
          <w:sz w:val="22"/>
          <w:szCs w:val="22"/>
          <w:highlight w:val="none"/>
          <w:lang w:val="zh-CN" w:bidi="zh-CN"/>
        </w:rPr>
        <w:t>为本招标项目的采购代理机构；</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6）</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以他人名义投标、串通投标、以行贿手段牟取中标，或在投标中弄虚作假的；</w:t>
      </w:r>
    </w:p>
    <w:p>
      <w:pPr>
        <w:widowControl w:val="0"/>
        <w:numPr>
          <w:ilvl w:val="0"/>
          <w:numId w:val="0"/>
        </w:numPr>
        <w:tabs>
          <w:tab w:val="left" w:pos="1349"/>
        </w:tabs>
        <w:autoSpaceDE w:val="0"/>
        <w:autoSpaceDN w:val="0"/>
        <w:spacing w:before="43"/>
        <w:ind w:left="927" w:leftChars="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en-US" w:bidi="zh-CN"/>
        </w:rPr>
        <w:t>7）</w:t>
      </w:r>
      <w:r>
        <w:rPr>
          <w:rFonts w:hint="eastAsia" w:ascii="宋体" w:hAnsi="宋体" w:eastAsia="宋体" w:cs="宋体"/>
          <w:color w:val="auto"/>
          <w:sz w:val="22"/>
          <w:szCs w:val="22"/>
          <w:highlight w:val="none"/>
          <w:lang w:val="zh-CN" w:bidi="zh-CN"/>
        </w:rPr>
        <w:t>法律法规规定的其他情形。</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7" w:name="1.5费用承担"/>
      <w:bookmarkEnd w:id="17"/>
      <w:r>
        <w:rPr>
          <w:rFonts w:hint="eastAsia" w:ascii="宋体" w:hAnsi="宋体" w:eastAsia="宋体" w:cs="宋体"/>
          <w:b/>
          <w:bCs/>
          <w:color w:val="auto"/>
          <w:sz w:val="20"/>
          <w:szCs w:val="20"/>
          <w:highlight w:val="none"/>
          <w:lang w:val="zh-CN" w:bidi="zh-CN"/>
        </w:rPr>
        <w:t>费用承担</w:t>
      </w:r>
    </w:p>
    <w:p>
      <w:pPr>
        <w:widowControl w:val="0"/>
        <w:autoSpaceDE w:val="0"/>
        <w:autoSpaceDN w:val="0"/>
        <w:spacing w:before="42"/>
        <w:ind w:left="928"/>
        <w:rPr>
          <w:rFonts w:hint="eastAsia" w:ascii="宋体" w:hAnsi="宋体" w:eastAsia="宋体" w:cs="宋体"/>
          <w:color w:val="auto"/>
          <w:sz w:val="20"/>
          <w:szCs w:val="20"/>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准备和参加竞争性磋商活动发生的费用自理。</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18" w:name="1.6保密"/>
      <w:bookmarkEnd w:id="18"/>
      <w:r>
        <w:rPr>
          <w:rFonts w:hint="eastAsia" w:ascii="宋体" w:hAnsi="宋体" w:eastAsia="宋体" w:cs="宋体"/>
          <w:b/>
          <w:bCs/>
          <w:color w:val="auto"/>
          <w:sz w:val="20"/>
          <w:szCs w:val="20"/>
          <w:highlight w:val="none"/>
          <w:lang w:val="zh-CN" w:bidi="zh-CN"/>
        </w:rPr>
        <w:t>保密</w:t>
      </w:r>
    </w:p>
    <w:p>
      <w:pPr>
        <w:widowControl w:val="0"/>
        <w:autoSpaceDE w:val="0"/>
        <w:autoSpaceDN w:val="0"/>
        <w:spacing w:before="43" w:line="278"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3"/>
          <w:sz w:val="22"/>
          <w:szCs w:val="22"/>
          <w:highlight w:val="none"/>
          <w:lang w:val="zh-CN" w:bidi="zh-CN"/>
        </w:rPr>
        <w:t>参与竞争性磋商活动的各方应对竞争性磋商文件和响应文件中的商业和技术等秘密保密，否则应承担相应的法律责任。</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0"/>
          <w:szCs w:val="20"/>
          <w:highlight w:val="none"/>
          <w:lang w:val="zh-CN" w:bidi="zh-CN"/>
        </w:rPr>
      </w:pPr>
      <w:bookmarkStart w:id="19" w:name="1.7语言文字"/>
      <w:bookmarkEnd w:id="19"/>
      <w:r>
        <w:rPr>
          <w:rFonts w:hint="eastAsia" w:ascii="宋体" w:hAnsi="宋体" w:eastAsia="宋体" w:cs="宋体"/>
          <w:b/>
          <w:bCs/>
          <w:color w:val="auto"/>
          <w:sz w:val="20"/>
          <w:szCs w:val="20"/>
          <w:highlight w:val="none"/>
          <w:lang w:val="zh-CN" w:bidi="zh-CN"/>
        </w:rPr>
        <w:t>语言文字</w:t>
      </w:r>
    </w:p>
    <w:p>
      <w:pPr>
        <w:widowControl w:val="0"/>
        <w:autoSpaceDE w:val="0"/>
        <w:autoSpaceDN w:val="0"/>
        <w:spacing w:before="43"/>
        <w:ind w:left="928"/>
        <w:rPr>
          <w:rFonts w:hint="eastAsia" w:ascii="宋体" w:hAnsi="宋体" w:eastAsia="宋体" w:cs="宋体"/>
          <w:color w:val="auto"/>
          <w:sz w:val="20"/>
          <w:szCs w:val="20"/>
          <w:highlight w:val="none"/>
          <w:lang w:val="zh-CN" w:bidi="zh-CN"/>
        </w:rPr>
      </w:pPr>
      <w:r>
        <w:rPr>
          <w:rFonts w:hint="eastAsia" w:ascii="宋体" w:hAnsi="宋体" w:eastAsia="宋体" w:cs="宋体"/>
          <w:color w:val="auto"/>
          <w:sz w:val="22"/>
          <w:szCs w:val="22"/>
          <w:highlight w:val="none"/>
          <w:lang w:val="zh-CN" w:bidi="zh-CN"/>
        </w:rPr>
        <w:t>竞争性磋商文件及相应文件使用语言文字应为中文。专用术语使用外文的，应附有中文注释。</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0"/>
          <w:szCs w:val="20"/>
          <w:highlight w:val="none"/>
          <w:lang w:val="zh-CN" w:bidi="zh-CN"/>
        </w:rPr>
      </w:pPr>
      <w:bookmarkStart w:id="20" w:name="1.8计量单位"/>
      <w:bookmarkEnd w:id="20"/>
      <w:r>
        <w:rPr>
          <w:rFonts w:hint="eastAsia" w:ascii="宋体" w:hAnsi="宋体" w:eastAsia="宋体" w:cs="宋体"/>
          <w:b/>
          <w:bCs/>
          <w:color w:val="auto"/>
          <w:sz w:val="20"/>
          <w:szCs w:val="20"/>
          <w:highlight w:val="none"/>
          <w:lang w:val="zh-CN" w:bidi="zh-CN"/>
        </w:rPr>
        <w:t>计量单位</w:t>
      </w:r>
    </w:p>
    <w:p>
      <w:pPr>
        <w:widowControl w:val="0"/>
        <w:autoSpaceDE w:val="0"/>
        <w:autoSpaceDN w:val="0"/>
        <w:spacing w:before="24"/>
        <w:ind w:left="928"/>
        <w:rPr>
          <w:rFonts w:hint="eastAsia" w:ascii="宋体" w:hAnsi="宋体" w:eastAsia="宋体" w:cs="宋体"/>
          <w:color w:val="auto"/>
          <w:sz w:val="20"/>
          <w:szCs w:val="20"/>
          <w:highlight w:val="none"/>
          <w:lang w:val="zh-CN" w:bidi="zh-CN"/>
        </w:rPr>
      </w:pPr>
      <w:r>
        <w:rPr>
          <w:rFonts w:hint="eastAsia" w:ascii="宋体" w:hAnsi="宋体" w:eastAsia="宋体" w:cs="宋体"/>
          <w:color w:val="auto"/>
          <w:sz w:val="22"/>
          <w:szCs w:val="22"/>
          <w:highlight w:val="none"/>
          <w:lang w:val="zh-CN" w:bidi="zh-CN"/>
        </w:rPr>
        <w:t>所有计量均采用中华人民共和国法定计量标准单位。</w:t>
      </w:r>
    </w:p>
    <w:p>
      <w:pPr>
        <w:widowControl w:val="0"/>
        <w:numPr>
          <w:ilvl w:val="1"/>
          <w:numId w:val="1"/>
        </w:numPr>
        <w:tabs>
          <w:tab w:val="left" w:pos="876"/>
        </w:tabs>
        <w:autoSpaceDE w:val="0"/>
        <w:autoSpaceDN w:val="0"/>
        <w:spacing w:before="24"/>
        <w:outlineLvl w:val="4"/>
        <w:rPr>
          <w:rFonts w:hint="eastAsia" w:ascii="宋体" w:hAnsi="宋体" w:eastAsia="宋体" w:cs="宋体"/>
          <w:b/>
          <w:bCs/>
          <w:color w:val="auto"/>
          <w:sz w:val="20"/>
          <w:szCs w:val="20"/>
          <w:highlight w:val="none"/>
          <w:lang w:val="zh-CN" w:bidi="zh-CN"/>
        </w:rPr>
      </w:pPr>
      <w:bookmarkStart w:id="21" w:name="1.9现场考察或答疑会"/>
      <w:bookmarkEnd w:id="21"/>
      <w:r>
        <w:rPr>
          <w:rFonts w:hint="eastAsia" w:ascii="宋体" w:hAnsi="宋体" w:eastAsia="宋体" w:cs="宋体"/>
          <w:b/>
          <w:bCs/>
          <w:color w:val="auto"/>
          <w:sz w:val="20"/>
          <w:szCs w:val="20"/>
          <w:highlight w:val="none"/>
          <w:lang w:val="zh-CN" w:bidi="zh-CN"/>
        </w:rPr>
        <w:t>现场考察或答疑会</w:t>
      </w:r>
    </w:p>
    <w:p>
      <w:pPr>
        <w:widowControl w:val="0"/>
        <w:numPr>
          <w:ilvl w:val="2"/>
          <w:numId w:val="1"/>
        </w:numPr>
        <w:tabs>
          <w:tab w:val="left" w:pos="1558"/>
        </w:tabs>
        <w:autoSpaceDE w:val="0"/>
        <w:autoSpaceDN w:val="0"/>
        <w:spacing w:before="43"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1"/>
          <w:sz w:val="22"/>
          <w:szCs w:val="22"/>
          <w:highlight w:val="none"/>
          <w:lang w:val="zh-CN" w:bidi="zh-CN"/>
        </w:rPr>
        <w:t>现场考察：</w:t>
      </w:r>
      <w:r>
        <w:rPr>
          <w:rFonts w:hint="eastAsia" w:ascii="宋体" w:hAnsi="宋体" w:cs="宋体"/>
          <w:color w:val="auto"/>
          <w:spacing w:val="-11"/>
          <w:sz w:val="22"/>
          <w:szCs w:val="22"/>
          <w:highlight w:val="none"/>
          <w:lang w:val="zh-CN" w:bidi="zh-CN"/>
        </w:rPr>
        <w:t>响应人</w:t>
      </w:r>
      <w:r>
        <w:rPr>
          <w:rFonts w:hint="eastAsia" w:ascii="宋体" w:hAnsi="宋体" w:eastAsia="宋体" w:cs="宋体"/>
          <w:color w:val="auto"/>
          <w:spacing w:val="-11"/>
          <w:sz w:val="22"/>
          <w:szCs w:val="22"/>
          <w:highlight w:val="none"/>
          <w:lang w:val="zh-CN" w:bidi="zh-CN"/>
        </w:rPr>
        <w:t>须知前附表规定组织现场考察的，采购人按</w:t>
      </w:r>
      <w:r>
        <w:rPr>
          <w:rFonts w:hint="eastAsia" w:ascii="宋体" w:hAnsi="宋体" w:cs="宋体"/>
          <w:color w:val="auto"/>
          <w:spacing w:val="-11"/>
          <w:sz w:val="22"/>
          <w:szCs w:val="22"/>
          <w:highlight w:val="none"/>
          <w:lang w:val="zh-CN" w:bidi="zh-CN"/>
        </w:rPr>
        <w:t>响应人</w:t>
      </w:r>
      <w:r>
        <w:rPr>
          <w:rFonts w:hint="eastAsia" w:ascii="宋体" w:hAnsi="宋体" w:eastAsia="宋体" w:cs="宋体"/>
          <w:color w:val="auto"/>
          <w:spacing w:val="-11"/>
          <w:sz w:val="22"/>
          <w:szCs w:val="22"/>
          <w:highlight w:val="none"/>
          <w:lang w:val="zh-CN" w:bidi="zh-CN"/>
        </w:rPr>
        <w:t>须知前附表规定的时间、地点组织</w:t>
      </w:r>
      <w:r>
        <w:rPr>
          <w:rFonts w:hint="eastAsia" w:ascii="宋体" w:hAnsi="宋体" w:cs="宋体"/>
          <w:color w:val="auto"/>
          <w:spacing w:val="-11"/>
          <w:sz w:val="22"/>
          <w:szCs w:val="22"/>
          <w:highlight w:val="none"/>
          <w:lang w:val="zh-CN" w:bidi="zh-CN"/>
        </w:rPr>
        <w:t>响应人</w:t>
      </w:r>
      <w:r>
        <w:rPr>
          <w:rFonts w:hint="eastAsia" w:ascii="宋体" w:hAnsi="宋体" w:eastAsia="宋体" w:cs="宋体"/>
          <w:color w:val="auto"/>
          <w:spacing w:val="-11"/>
          <w:sz w:val="22"/>
          <w:szCs w:val="22"/>
          <w:highlight w:val="none"/>
          <w:lang w:val="zh-CN" w:bidi="zh-CN"/>
        </w:rPr>
        <w:t>考察项目现场。部分</w:t>
      </w:r>
      <w:r>
        <w:rPr>
          <w:rFonts w:hint="eastAsia" w:ascii="宋体" w:hAnsi="宋体" w:cs="宋体"/>
          <w:color w:val="auto"/>
          <w:spacing w:val="-11"/>
          <w:sz w:val="22"/>
          <w:szCs w:val="22"/>
          <w:highlight w:val="none"/>
          <w:lang w:val="zh-CN" w:bidi="zh-CN"/>
        </w:rPr>
        <w:t>响应人</w:t>
      </w:r>
      <w:r>
        <w:rPr>
          <w:rFonts w:hint="eastAsia" w:ascii="宋体" w:hAnsi="宋体" w:eastAsia="宋体" w:cs="宋体"/>
          <w:color w:val="auto"/>
          <w:spacing w:val="-11"/>
          <w:sz w:val="22"/>
          <w:szCs w:val="22"/>
          <w:highlight w:val="none"/>
          <w:lang w:val="zh-CN" w:bidi="zh-CN"/>
        </w:rPr>
        <w:t>未按时参加现场考察的，不影响现场考察的正常进行。</w:t>
      </w:r>
    </w:p>
    <w:p>
      <w:pPr>
        <w:widowControl w:val="0"/>
        <w:numPr>
          <w:ilvl w:val="2"/>
          <w:numId w:val="1"/>
        </w:numPr>
        <w:tabs>
          <w:tab w:val="left" w:pos="1452"/>
        </w:tabs>
        <w:autoSpaceDE w:val="0"/>
        <w:autoSpaceDN w:val="0"/>
        <w:spacing w:line="269" w:lineRule="exact"/>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现场考察发生的费用自理。</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除采购人的原因外，</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自行负责在现场考察中所发生的人员伤亡和财产损失。</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采购人在现场考察中介绍的项目场地和相关的周边环境情况，供</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在编制响应文件时参考，采购人不对</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据此作出的判断和决策负责。</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答疑会：见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1"/>
          <w:numId w:val="1"/>
        </w:numPr>
        <w:tabs>
          <w:tab w:val="left" w:pos="980"/>
        </w:tabs>
        <w:autoSpaceDE w:val="0"/>
        <w:autoSpaceDN w:val="0"/>
        <w:spacing w:before="43"/>
        <w:jc w:val="both"/>
        <w:outlineLvl w:val="4"/>
        <w:rPr>
          <w:rFonts w:hint="eastAsia" w:ascii="宋体" w:hAnsi="宋体" w:eastAsia="宋体" w:cs="宋体"/>
          <w:b/>
          <w:bCs/>
          <w:color w:val="auto"/>
          <w:sz w:val="20"/>
          <w:szCs w:val="20"/>
          <w:highlight w:val="none"/>
          <w:lang w:val="zh-CN" w:bidi="zh-CN"/>
        </w:rPr>
      </w:pPr>
      <w:bookmarkStart w:id="22" w:name="1.10分包"/>
      <w:bookmarkEnd w:id="22"/>
      <w:r>
        <w:rPr>
          <w:rFonts w:hint="eastAsia" w:ascii="宋体" w:hAnsi="宋体" w:eastAsia="宋体" w:cs="宋体"/>
          <w:b/>
          <w:bCs/>
          <w:color w:val="auto"/>
          <w:sz w:val="20"/>
          <w:szCs w:val="20"/>
          <w:highlight w:val="none"/>
          <w:lang w:val="zh-CN" w:bidi="zh-CN"/>
        </w:rPr>
        <w:t>分包</w:t>
      </w:r>
    </w:p>
    <w:p>
      <w:pPr>
        <w:widowControl w:val="0"/>
        <w:numPr>
          <w:ilvl w:val="2"/>
          <w:numId w:val="1"/>
        </w:numPr>
        <w:tabs>
          <w:tab w:val="left" w:pos="166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拟在成交后将成交项目的非主体、非关键性工作进行分包的，应符合</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须知前附表规定的分包内容、分包金额和资质要求等限制性条件，除</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须知前附表规定的非主体、非关键性工作外，其他工作不得分包。</w:t>
      </w:r>
    </w:p>
    <w:p>
      <w:pPr>
        <w:widowControl w:val="0"/>
        <w:numPr>
          <w:ilvl w:val="2"/>
          <w:numId w:val="1"/>
        </w:numPr>
        <w:tabs>
          <w:tab w:val="left" w:pos="1558"/>
        </w:tabs>
        <w:autoSpaceDE w:val="0"/>
        <w:autoSpaceDN w:val="0"/>
        <w:spacing w:line="278" w:lineRule="auto"/>
        <w:ind w:right="526"/>
        <w:jc w:val="both"/>
        <w:rPr>
          <w:rFonts w:hint="eastAsia" w:ascii="宋体" w:hAnsi="宋体" w:eastAsia="宋体" w:cs="宋体"/>
          <w:color w:val="auto"/>
          <w:spacing w:val="-5"/>
          <w:sz w:val="22"/>
          <w:szCs w:val="22"/>
          <w:highlight w:val="none"/>
          <w:lang w:val="zh-CN" w:bidi="zh-CN"/>
        </w:rPr>
      </w:pPr>
      <w:r>
        <w:rPr>
          <w:rFonts w:hint="eastAsia" w:ascii="宋体" w:hAnsi="宋体" w:eastAsia="宋体" w:cs="宋体"/>
          <w:color w:val="auto"/>
          <w:spacing w:val="-5"/>
          <w:sz w:val="22"/>
          <w:szCs w:val="22"/>
          <w:highlight w:val="none"/>
          <w:lang w:bidi="zh-CN"/>
        </w:rPr>
        <w:t xml:space="preserve"> </w:t>
      </w:r>
      <w:r>
        <w:rPr>
          <w:rFonts w:hint="eastAsia" w:ascii="宋体" w:hAnsi="宋体" w:eastAsia="宋体" w:cs="宋体"/>
          <w:color w:val="auto"/>
          <w:spacing w:val="-5"/>
          <w:sz w:val="22"/>
          <w:szCs w:val="22"/>
          <w:highlight w:val="none"/>
          <w:lang w:val="zh-CN" w:bidi="zh-CN"/>
        </w:rPr>
        <w:t>成交人不得向他人转让成交项目，接受分包的人不得再次分包。成交人应当就分包项目向采购人负责，接受分包的人就分包项目承担连带责任。</w:t>
      </w:r>
    </w:p>
    <w:p>
      <w:pPr>
        <w:widowControl w:val="0"/>
        <w:numPr>
          <w:ilvl w:val="1"/>
          <w:numId w:val="1"/>
        </w:numPr>
        <w:tabs>
          <w:tab w:val="left" w:pos="968"/>
        </w:tabs>
        <w:autoSpaceDE w:val="0"/>
        <w:autoSpaceDN w:val="0"/>
        <w:spacing w:line="269" w:lineRule="exact"/>
        <w:jc w:val="both"/>
        <w:outlineLvl w:val="4"/>
        <w:rPr>
          <w:rFonts w:hint="eastAsia" w:ascii="宋体" w:hAnsi="宋体" w:eastAsia="宋体" w:cs="宋体"/>
          <w:b/>
          <w:bCs/>
          <w:color w:val="auto"/>
          <w:sz w:val="20"/>
          <w:szCs w:val="20"/>
          <w:highlight w:val="none"/>
          <w:lang w:val="zh-CN" w:bidi="zh-CN"/>
        </w:rPr>
      </w:pPr>
      <w:bookmarkStart w:id="23" w:name="1.11响应和偏差"/>
      <w:bookmarkEnd w:id="23"/>
      <w:r>
        <w:rPr>
          <w:rFonts w:hint="eastAsia" w:ascii="宋体" w:hAnsi="宋体" w:eastAsia="宋体" w:cs="宋体"/>
          <w:b/>
          <w:bCs/>
          <w:color w:val="auto"/>
          <w:sz w:val="20"/>
          <w:szCs w:val="20"/>
          <w:highlight w:val="none"/>
          <w:lang w:val="zh-CN" w:bidi="zh-CN"/>
        </w:rPr>
        <w:t>响应和偏差</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响应文件应当对竞争性磋商文件的实质性要求和条件作出满足性或更有利于采购人的响应，否则，</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的响应文件将被否决。实质性要求和条件见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应根据竞争性磋商文件的要求提供投标服务方案等内容以对竞争性磋商文件作出响应。</w:t>
      </w:r>
    </w:p>
    <w:p>
      <w:pPr>
        <w:widowControl w:val="0"/>
        <w:numPr>
          <w:ilvl w:val="2"/>
          <w:numId w:val="1"/>
        </w:numPr>
        <w:tabs>
          <w:tab w:val="left" w:pos="166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允许响应文件偏离竞争性磋商文件某些要求的，偏差应当符合竞争性磋商文件规定的偏差范围和幅度。</w:t>
      </w:r>
    </w:p>
    <w:p>
      <w:pPr>
        <w:widowControl w:val="0"/>
        <w:numPr>
          <w:ilvl w:val="1"/>
          <w:numId w:val="1"/>
        </w:numPr>
        <w:tabs>
          <w:tab w:val="left" w:pos="980"/>
        </w:tabs>
        <w:autoSpaceDE w:val="0"/>
        <w:autoSpaceDN w:val="0"/>
        <w:spacing w:line="269" w:lineRule="exact"/>
        <w:outlineLvl w:val="4"/>
        <w:rPr>
          <w:rFonts w:hint="eastAsia" w:ascii="宋体" w:hAnsi="宋体" w:eastAsia="宋体" w:cs="宋体"/>
          <w:b/>
          <w:bCs/>
          <w:color w:val="auto"/>
          <w:sz w:val="20"/>
          <w:szCs w:val="20"/>
          <w:highlight w:val="none"/>
          <w:lang w:val="zh-CN" w:bidi="zh-CN"/>
        </w:rPr>
      </w:pPr>
      <w:bookmarkStart w:id="24" w:name="1.12选择性报价方案"/>
      <w:bookmarkEnd w:id="24"/>
      <w:r>
        <w:rPr>
          <w:rFonts w:hint="eastAsia" w:ascii="宋体" w:hAnsi="宋体" w:eastAsia="宋体" w:cs="宋体"/>
          <w:b/>
          <w:bCs/>
          <w:color w:val="auto"/>
          <w:sz w:val="20"/>
          <w:szCs w:val="20"/>
          <w:highlight w:val="none"/>
          <w:lang w:val="zh-CN" w:bidi="zh-CN"/>
        </w:rPr>
        <w:t>选择性报价方案</w:t>
      </w:r>
    </w:p>
    <w:p>
      <w:pPr>
        <w:widowControl w:val="0"/>
        <w:autoSpaceDE w:val="0"/>
        <w:autoSpaceDN w:val="0"/>
        <w:spacing w:before="21"/>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选择性报价方案：见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0"/>
          <w:numId w:val="1"/>
        </w:numPr>
        <w:tabs>
          <w:tab w:val="left" w:pos="988"/>
          <w:tab w:val="left" w:pos="989"/>
        </w:tabs>
        <w:autoSpaceDE w:val="0"/>
        <w:autoSpaceDN w:val="0"/>
        <w:spacing w:before="6"/>
        <w:outlineLvl w:val="3"/>
        <w:rPr>
          <w:rFonts w:hint="eastAsia" w:ascii="宋体" w:hAnsi="宋体" w:eastAsia="宋体" w:cs="宋体"/>
          <w:b/>
          <w:bCs/>
          <w:color w:val="auto"/>
          <w:sz w:val="22"/>
          <w:szCs w:val="22"/>
          <w:highlight w:val="none"/>
          <w:lang w:val="zh-CN" w:bidi="zh-CN"/>
        </w:rPr>
      </w:pPr>
      <w:bookmarkStart w:id="25" w:name="_bookmark4"/>
      <w:bookmarkEnd w:id="25"/>
      <w:bookmarkStart w:id="26" w:name="2. 竞争性磋商文件"/>
      <w:bookmarkEnd w:id="26"/>
      <w:r>
        <w:rPr>
          <w:rFonts w:hint="eastAsia" w:ascii="宋体" w:hAnsi="宋体" w:eastAsia="宋体" w:cs="宋体"/>
          <w:b/>
          <w:bCs/>
          <w:color w:val="auto"/>
          <w:sz w:val="22"/>
          <w:szCs w:val="22"/>
          <w:highlight w:val="none"/>
          <w:lang w:val="zh-CN" w:bidi="zh-CN"/>
        </w:rPr>
        <w:t>竞争性磋商文件</w:t>
      </w:r>
    </w:p>
    <w:p>
      <w:pPr>
        <w:widowControl w:val="0"/>
        <w:numPr>
          <w:ilvl w:val="1"/>
          <w:numId w:val="1"/>
        </w:numPr>
        <w:tabs>
          <w:tab w:val="left" w:pos="876"/>
        </w:tabs>
        <w:autoSpaceDE w:val="0"/>
        <w:autoSpaceDN w:val="0"/>
        <w:spacing w:before="22" w:line="259" w:lineRule="auto"/>
        <w:ind w:right="5610" w:rightChars="0"/>
        <w:rPr>
          <w:rFonts w:hint="eastAsia" w:ascii="宋体" w:hAnsi="宋体" w:eastAsia="宋体" w:cs="宋体"/>
          <w:color w:val="auto"/>
          <w:sz w:val="22"/>
          <w:szCs w:val="22"/>
          <w:highlight w:val="none"/>
          <w:lang w:val="zh-CN" w:bidi="zh-CN"/>
        </w:rPr>
      </w:pPr>
      <w:bookmarkStart w:id="27" w:name="2.1竞争性磋商文件的组成"/>
      <w:bookmarkEnd w:id="27"/>
      <w:r>
        <w:rPr>
          <w:rFonts w:hint="eastAsia" w:ascii="宋体" w:hAnsi="宋体" w:eastAsia="宋体" w:cs="宋体"/>
          <w:b/>
          <w:color w:val="auto"/>
          <w:sz w:val="20"/>
          <w:szCs w:val="18"/>
          <w:highlight w:val="none"/>
          <w:lang w:val="zh-CN" w:bidi="zh-CN"/>
        </w:rPr>
        <w:t xml:space="preserve">竞争性磋商文件的组成 </w:t>
      </w:r>
    </w:p>
    <w:p>
      <w:pPr>
        <w:widowControl w:val="0"/>
        <w:numPr>
          <w:ilvl w:val="1"/>
          <w:numId w:val="1"/>
        </w:numPr>
        <w:tabs>
          <w:tab w:val="left" w:pos="876"/>
        </w:tabs>
        <w:autoSpaceDE w:val="0"/>
        <w:autoSpaceDN w:val="0"/>
        <w:spacing w:before="22" w:line="259" w:lineRule="auto"/>
        <w:ind w:right="5610" w:righ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2"/>
          <w:sz w:val="22"/>
          <w:szCs w:val="22"/>
          <w:highlight w:val="none"/>
          <w:lang w:val="zh-CN" w:bidi="zh-CN"/>
        </w:rPr>
        <w:t>本竞争性磋商文件包括：</w:t>
      </w:r>
    </w:p>
    <w:p>
      <w:pPr>
        <w:widowControl w:val="0"/>
        <w:numPr>
          <w:ilvl w:val="0"/>
          <w:numId w:val="0"/>
        </w:numPr>
        <w:tabs>
          <w:tab w:val="left" w:pos="1349"/>
        </w:tabs>
        <w:autoSpaceDE w:val="0"/>
        <w:autoSpaceDN w:val="0"/>
        <w:spacing w:before="2"/>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1)</w:t>
      </w:r>
      <w:r>
        <w:rPr>
          <w:rFonts w:hint="eastAsia" w:ascii="宋体" w:hAnsi="宋体" w:eastAsia="宋体" w:cs="宋体"/>
          <w:color w:val="auto"/>
          <w:sz w:val="22"/>
          <w:szCs w:val="22"/>
          <w:highlight w:val="none"/>
          <w:lang w:val="zh-CN" w:bidi="zh-CN"/>
        </w:rPr>
        <w:t>竞争性磋商公告</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2)</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3)</w:t>
      </w:r>
      <w:r>
        <w:rPr>
          <w:rFonts w:hint="eastAsia" w:ascii="宋体" w:hAnsi="宋体" w:eastAsia="宋体" w:cs="宋体"/>
          <w:color w:val="auto"/>
          <w:sz w:val="22"/>
          <w:szCs w:val="22"/>
          <w:highlight w:val="none"/>
          <w:lang w:val="zh-CN" w:bidi="zh-CN"/>
        </w:rPr>
        <w:t>评分办法</w:t>
      </w:r>
    </w:p>
    <w:p>
      <w:pPr>
        <w:widowControl w:val="0"/>
        <w:numPr>
          <w:ilvl w:val="0"/>
          <w:numId w:val="0"/>
        </w:numPr>
        <w:tabs>
          <w:tab w:val="left" w:pos="1349"/>
        </w:tabs>
        <w:autoSpaceDE w:val="0"/>
        <w:autoSpaceDN w:val="0"/>
        <w:spacing w:before="43"/>
        <w:ind w:left="927" w:leftChars="0" w:firstLine="220" w:firstLineChars="1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4)</w:t>
      </w:r>
      <w:r>
        <w:rPr>
          <w:rFonts w:hint="eastAsia" w:ascii="宋体" w:hAnsi="宋体" w:eastAsia="宋体" w:cs="宋体"/>
          <w:color w:val="auto"/>
          <w:sz w:val="22"/>
          <w:szCs w:val="22"/>
          <w:highlight w:val="none"/>
          <w:lang w:val="zh-CN" w:bidi="zh-CN"/>
        </w:rPr>
        <w:t>合同条款及格式（仅供参考）</w:t>
      </w:r>
    </w:p>
    <w:p>
      <w:pPr>
        <w:widowControl w:val="0"/>
        <w:numPr>
          <w:ilvl w:val="0"/>
          <w:numId w:val="0"/>
        </w:numPr>
        <w:tabs>
          <w:tab w:val="left" w:pos="1349"/>
        </w:tabs>
        <w:autoSpaceDE w:val="0"/>
        <w:autoSpaceDN w:val="0"/>
        <w:spacing w:before="43"/>
        <w:ind w:left="927" w:leftChars="0" w:firstLine="220" w:firstLineChars="10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5)服务</w:t>
      </w:r>
      <w:r>
        <w:rPr>
          <w:rFonts w:hint="eastAsia" w:ascii="宋体" w:hAnsi="宋体" w:eastAsia="宋体" w:cs="宋体"/>
          <w:color w:val="auto"/>
          <w:sz w:val="22"/>
          <w:szCs w:val="22"/>
          <w:highlight w:val="none"/>
          <w:lang w:val="zh-CN" w:bidi="zh-CN"/>
        </w:rPr>
        <w:t>内容</w:t>
      </w:r>
    </w:p>
    <w:p>
      <w:pPr>
        <w:widowControl w:val="0"/>
        <w:numPr>
          <w:ilvl w:val="0"/>
          <w:numId w:val="0"/>
        </w:numPr>
        <w:tabs>
          <w:tab w:val="left" w:pos="1349"/>
        </w:tabs>
        <w:autoSpaceDE w:val="0"/>
        <w:autoSpaceDN w:val="0"/>
        <w:spacing w:before="43"/>
        <w:ind w:left="927" w:leftChars="0" w:firstLine="220" w:firstLineChars="10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6)</w:t>
      </w:r>
      <w:r>
        <w:rPr>
          <w:rFonts w:hint="eastAsia" w:ascii="宋体" w:hAnsi="宋体" w:eastAsia="宋体" w:cs="宋体"/>
          <w:color w:val="auto"/>
          <w:sz w:val="22"/>
          <w:szCs w:val="22"/>
          <w:highlight w:val="none"/>
          <w:lang w:val="zh-CN" w:bidi="zh-CN"/>
        </w:rPr>
        <w:t>响应文件格式</w:t>
      </w:r>
    </w:p>
    <w:p>
      <w:pPr>
        <w:widowControl w:val="0"/>
        <w:autoSpaceDE w:val="0"/>
        <w:autoSpaceDN w:val="0"/>
        <w:spacing w:before="24" w:line="242" w:lineRule="auto"/>
        <w:ind w:left="508" w:right="528" w:firstLine="472"/>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根据本章第2.2 款和第2.3</w:t>
      </w:r>
      <w:r>
        <w:rPr>
          <w:rFonts w:hint="eastAsia" w:ascii="宋体" w:hAnsi="宋体" w:eastAsia="宋体" w:cs="宋体"/>
          <w:color w:val="auto"/>
          <w:sz w:val="22"/>
          <w:szCs w:val="22"/>
          <w:highlight w:val="none"/>
          <w:lang w:bidi="zh-CN"/>
        </w:rPr>
        <w:t xml:space="preserve"> </w:t>
      </w:r>
      <w:r>
        <w:rPr>
          <w:rFonts w:hint="eastAsia" w:ascii="宋体" w:hAnsi="宋体" w:eastAsia="宋体" w:cs="宋体"/>
          <w:color w:val="auto"/>
          <w:sz w:val="22"/>
          <w:szCs w:val="22"/>
          <w:highlight w:val="none"/>
          <w:lang w:val="zh-CN" w:bidi="zh-CN"/>
        </w:rPr>
        <w:t>款对竞争性磋商文件所作的澄清、修改，构成竞争性磋商文件的组成部分。</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0"/>
          <w:szCs w:val="20"/>
          <w:highlight w:val="none"/>
          <w:lang w:val="zh-CN" w:bidi="zh-CN"/>
        </w:rPr>
      </w:pPr>
      <w:bookmarkStart w:id="28" w:name="2.2竞争性磋商文件的澄清"/>
      <w:bookmarkEnd w:id="28"/>
      <w:r>
        <w:rPr>
          <w:rFonts w:hint="eastAsia" w:ascii="宋体" w:hAnsi="宋体" w:eastAsia="宋体" w:cs="宋体"/>
          <w:b/>
          <w:bCs/>
          <w:color w:val="auto"/>
          <w:sz w:val="22"/>
          <w:szCs w:val="22"/>
          <w:highlight w:val="none"/>
          <w:lang w:val="zh-CN" w:bidi="zh-CN"/>
        </w:rPr>
        <w:t>竞争性磋商文件的澄清</w:t>
      </w:r>
    </w:p>
    <w:p>
      <w:pPr>
        <w:widowControl w:val="0"/>
        <w:numPr>
          <w:ilvl w:val="2"/>
          <w:numId w:val="1"/>
        </w:numPr>
        <w:tabs>
          <w:tab w:val="left" w:pos="1558"/>
        </w:tabs>
        <w:autoSpaceDE w:val="0"/>
        <w:autoSpaceDN w:val="0"/>
        <w:spacing w:before="43" w:line="278" w:lineRule="auto"/>
        <w:ind w:right="528"/>
        <w:jc w:val="both"/>
        <w:rPr>
          <w:rFonts w:hint="eastAsia" w:ascii="宋体" w:hAnsi="宋体" w:eastAsia="宋体" w:cs="宋体"/>
          <w:color w:val="auto"/>
          <w:spacing w:val="-12"/>
          <w:sz w:val="22"/>
          <w:szCs w:val="22"/>
          <w:highlight w:val="none"/>
          <w:lang w:val="zh-CN" w:bidi="zh-CN"/>
        </w:rPr>
      </w:pPr>
      <w:r>
        <w:rPr>
          <w:rFonts w:hint="eastAsia" w:ascii="宋体" w:hAnsi="宋体" w:cs="宋体"/>
          <w:color w:val="auto"/>
          <w:spacing w:val="-12"/>
          <w:sz w:val="22"/>
          <w:szCs w:val="22"/>
          <w:highlight w:val="none"/>
          <w:lang w:val="zh-CN" w:bidi="zh-CN"/>
        </w:rPr>
        <w:t>响应人</w:t>
      </w:r>
      <w:r>
        <w:rPr>
          <w:rFonts w:hint="eastAsia" w:ascii="宋体" w:hAnsi="宋体" w:eastAsia="宋体" w:cs="宋体"/>
          <w:color w:val="auto"/>
          <w:spacing w:val="-12"/>
          <w:sz w:val="22"/>
          <w:szCs w:val="22"/>
          <w:highlight w:val="none"/>
          <w:lang w:val="zh-CN" w:bidi="zh-CN"/>
        </w:rPr>
        <w:t>应仔细阅读和检查竞争性磋商文件的全部内容。如发现缺页或附件不全，应及时向采购人提出，以便补齐。如有疑问，应按</w:t>
      </w:r>
      <w:r>
        <w:rPr>
          <w:rFonts w:hint="eastAsia" w:ascii="宋体" w:hAnsi="宋体" w:cs="宋体"/>
          <w:color w:val="auto"/>
          <w:spacing w:val="-12"/>
          <w:sz w:val="22"/>
          <w:szCs w:val="22"/>
          <w:highlight w:val="none"/>
          <w:lang w:val="zh-CN" w:bidi="zh-CN"/>
        </w:rPr>
        <w:t>响应人</w:t>
      </w:r>
      <w:r>
        <w:rPr>
          <w:rFonts w:hint="eastAsia" w:ascii="宋体" w:hAnsi="宋体" w:eastAsia="宋体" w:cs="宋体"/>
          <w:color w:val="auto"/>
          <w:spacing w:val="-12"/>
          <w:sz w:val="22"/>
          <w:szCs w:val="22"/>
          <w:highlight w:val="none"/>
          <w:lang w:val="zh-CN" w:bidi="zh-CN"/>
        </w:rPr>
        <w:t>须知前附表规定的时间和形式将提出的问题送达采购人，要求采购人对竞争性磋商文件予以澄清。</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2"/>
          <w:sz w:val="22"/>
          <w:szCs w:val="22"/>
          <w:highlight w:val="none"/>
          <w:lang w:val="zh-CN" w:bidi="zh-CN"/>
        </w:rPr>
        <w:t>竞争性磋商文件的澄清以</w:t>
      </w:r>
      <w:r>
        <w:rPr>
          <w:rFonts w:hint="eastAsia" w:ascii="宋体" w:hAnsi="宋体" w:cs="宋体"/>
          <w:color w:val="auto"/>
          <w:spacing w:val="-12"/>
          <w:sz w:val="22"/>
          <w:szCs w:val="22"/>
          <w:highlight w:val="none"/>
          <w:lang w:val="zh-CN" w:bidi="zh-CN"/>
        </w:rPr>
        <w:t>响应人</w:t>
      </w:r>
      <w:r>
        <w:rPr>
          <w:rFonts w:hint="eastAsia" w:ascii="宋体" w:hAnsi="宋体" w:eastAsia="宋体" w:cs="宋体"/>
          <w:color w:val="auto"/>
          <w:spacing w:val="-12"/>
          <w:sz w:val="22"/>
          <w:szCs w:val="22"/>
          <w:highlight w:val="none"/>
          <w:lang w:val="zh-CN" w:bidi="zh-CN"/>
        </w:rPr>
        <w:t>须知前附表规定的形式发给所有购买竞争性磋商文件的</w:t>
      </w:r>
      <w:r>
        <w:rPr>
          <w:rFonts w:hint="eastAsia" w:ascii="宋体" w:hAnsi="宋体" w:cs="宋体"/>
          <w:color w:val="auto"/>
          <w:spacing w:val="-12"/>
          <w:sz w:val="22"/>
          <w:szCs w:val="22"/>
          <w:highlight w:val="none"/>
          <w:lang w:val="zh-CN" w:bidi="zh-CN"/>
        </w:rPr>
        <w:t>响应人</w:t>
      </w:r>
      <w:r>
        <w:rPr>
          <w:rFonts w:hint="eastAsia" w:ascii="宋体" w:hAnsi="宋体" w:eastAsia="宋体" w:cs="宋体"/>
          <w:color w:val="auto"/>
          <w:spacing w:val="-12"/>
          <w:sz w:val="22"/>
          <w:szCs w:val="22"/>
          <w:highlight w:val="none"/>
          <w:lang w:val="zh-CN" w:bidi="zh-CN"/>
        </w:rPr>
        <w:t>，同时在原公告媒体发布澄清公告，但不指明澄清问题的来源。澄清发出的时间距本章</w:t>
      </w:r>
      <w:r>
        <w:rPr>
          <w:rFonts w:hint="eastAsia" w:ascii="宋体" w:hAnsi="宋体" w:eastAsia="宋体" w:cs="宋体"/>
          <w:color w:val="auto"/>
          <w:spacing w:val="-31"/>
          <w:sz w:val="22"/>
          <w:szCs w:val="22"/>
          <w:highlight w:val="none"/>
          <w:lang w:val="zh-CN" w:bidi="zh-CN"/>
        </w:rPr>
        <w:t xml:space="preserve">第 </w:t>
      </w:r>
      <w:r>
        <w:rPr>
          <w:rFonts w:hint="eastAsia" w:ascii="宋体" w:hAnsi="宋体" w:eastAsia="宋体" w:cs="宋体"/>
          <w:color w:val="auto"/>
          <w:sz w:val="22"/>
          <w:szCs w:val="22"/>
          <w:highlight w:val="none"/>
          <w:lang w:val="zh-CN" w:bidi="zh-CN"/>
        </w:rPr>
        <w:t>4.1.1</w:t>
      </w:r>
      <w:r>
        <w:rPr>
          <w:rFonts w:hint="eastAsia" w:ascii="宋体" w:hAnsi="宋体" w:eastAsia="宋体" w:cs="宋体"/>
          <w:color w:val="auto"/>
          <w:spacing w:val="-1"/>
          <w:sz w:val="22"/>
          <w:szCs w:val="22"/>
          <w:highlight w:val="none"/>
          <w:lang w:val="zh-CN" w:bidi="zh-CN"/>
        </w:rPr>
        <w:t xml:space="preserve"> </w:t>
      </w:r>
      <w:r>
        <w:rPr>
          <w:rFonts w:hint="eastAsia" w:ascii="宋体" w:hAnsi="宋体" w:eastAsia="宋体" w:cs="宋体"/>
          <w:color w:val="auto"/>
          <w:spacing w:val="-3"/>
          <w:sz w:val="22"/>
          <w:szCs w:val="22"/>
          <w:highlight w:val="none"/>
          <w:lang w:val="zh-CN" w:bidi="zh-CN"/>
        </w:rPr>
        <w:t xml:space="preserve">项规定的投标截止时间及响应文件提交截止时间不足 </w:t>
      </w:r>
      <w:r>
        <w:rPr>
          <w:rFonts w:hint="eastAsia" w:ascii="宋体" w:hAnsi="宋体" w:eastAsia="宋体" w:cs="宋体"/>
          <w:color w:val="auto"/>
          <w:sz w:val="22"/>
          <w:szCs w:val="22"/>
          <w:highlight w:val="none"/>
          <w:lang w:val="zh-CN" w:bidi="zh-CN"/>
        </w:rPr>
        <w:t>5</w:t>
      </w:r>
      <w:r>
        <w:rPr>
          <w:rFonts w:hint="eastAsia" w:ascii="宋体" w:hAnsi="宋体" w:eastAsia="宋体" w:cs="宋体"/>
          <w:color w:val="auto"/>
          <w:spacing w:val="-1"/>
          <w:sz w:val="22"/>
          <w:szCs w:val="22"/>
          <w:highlight w:val="none"/>
          <w:lang w:val="zh-CN" w:bidi="zh-CN"/>
        </w:rPr>
        <w:t xml:space="preserve"> </w:t>
      </w:r>
      <w:r>
        <w:rPr>
          <w:rFonts w:hint="eastAsia" w:ascii="宋体" w:hAnsi="宋体" w:eastAsia="宋体" w:cs="宋体"/>
          <w:color w:val="auto"/>
          <w:sz w:val="22"/>
          <w:szCs w:val="22"/>
          <w:highlight w:val="none"/>
          <w:lang w:val="zh-CN" w:bidi="zh-CN"/>
        </w:rPr>
        <w:t>日的，并且澄清内容可能影响响应文件编制的，将相应延长投标截止时间及响应文件提交截止时间。</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9"/>
          <w:sz w:val="22"/>
          <w:szCs w:val="22"/>
          <w:highlight w:val="none"/>
          <w:lang w:val="zh-CN" w:bidi="zh-CN"/>
        </w:rPr>
        <w:t>除非采购人认为确有必要答复，否则，采购人有权拒绝回复</w:t>
      </w:r>
      <w:r>
        <w:rPr>
          <w:rFonts w:hint="eastAsia" w:ascii="宋体" w:hAnsi="宋体" w:cs="宋体"/>
          <w:color w:val="auto"/>
          <w:spacing w:val="-9"/>
          <w:sz w:val="22"/>
          <w:szCs w:val="22"/>
          <w:highlight w:val="none"/>
          <w:lang w:val="zh-CN" w:bidi="zh-CN"/>
        </w:rPr>
        <w:t>响应人</w:t>
      </w:r>
      <w:r>
        <w:rPr>
          <w:rFonts w:hint="eastAsia" w:ascii="宋体" w:hAnsi="宋体" w:eastAsia="宋体" w:cs="宋体"/>
          <w:color w:val="auto"/>
          <w:spacing w:val="-9"/>
          <w:sz w:val="22"/>
          <w:szCs w:val="22"/>
          <w:highlight w:val="none"/>
          <w:lang w:val="zh-CN" w:bidi="zh-CN"/>
        </w:rPr>
        <w:t>在本章第 2.2.1 项规定的时间后的任何澄清要求。在规定的时间内未提出疑问的，将被视为对竞争性磋商文件完全认可。</w:t>
      </w:r>
    </w:p>
    <w:p>
      <w:pPr>
        <w:widowControl w:val="0"/>
        <w:numPr>
          <w:ilvl w:val="1"/>
          <w:numId w:val="1"/>
        </w:numPr>
        <w:tabs>
          <w:tab w:val="left" w:pos="876"/>
        </w:tabs>
        <w:autoSpaceDE w:val="0"/>
        <w:autoSpaceDN w:val="0"/>
        <w:spacing w:line="269" w:lineRule="exact"/>
        <w:jc w:val="both"/>
        <w:outlineLvl w:val="4"/>
        <w:rPr>
          <w:rFonts w:hint="eastAsia" w:ascii="宋体" w:hAnsi="宋体" w:eastAsia="宋体" w:cs="宋体"/>
          <w:b/>
          <w:bCs/>
          <w:color w:val="auto"/>
          <w:sz w:val="20"/>
          <w:szCs w:val="20"/>
          <w:highlight w:val="none"/>
          <w:lang w:val="zh-CN" w:bidi="zh-CN"/>
        </w:rPr>
      </w:pPr>
      <w:bookmarkStart w:id="29" w:name="2.3竞争性磋商文件的修改"/>
      <w:bookmarkEnd w:id="29"/>
      <w:r>
        <w:rPr>
          <w:rFonts w:hint="eastAsia" w:ascii="宋体" w:hAnsi="宋体" w:eastAsia="宋体" w:cs="宋体"/>
          <w:b/>
          <w:bCs/>
          <w:color w:val="auto"/>
          <w:sz w:val="20"/>
          <w:szCs w:val="20"/>
          <w:highlight w:val="none"/>
          <w:lang w:val="zh-CN" w:bidi="zh-CN"/>
        </w:rPr>
        <w:t>竞争性磋商文件的修改</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pacing w:val="-12"/>
          <w:sz w:val="22"/>
          <w:szCs w:val="22"/>
          <w:highlight w:val="none"/>
          <w:lang w:val="zh-CN" w:bidi="zh-CN"/>
        </w:rPr>
      </w:pPr>
      <w:r>
        <w:rPr>
          <w:rFonts w:hint="eastAsia" w:ascii="宋体" w:hAnsi="宋体" w:eastAsia="宋体" w:cs="宋体"/>
          <w:color w:val="auto"/>
          <w:spacing w:val="-12"/>
          <w:sz w:val="22"/>
          <w:szCs w:val="22"/>
          <w:highlight w:val="none"/>
          <w:lang w:val="zh-CN" w:bidi="zh-CN"/>
        </w:rPr>
        <w:t>采购人或者采购代理机构可以对已发出的竞争性磋商文件进行必要的修改，但不得改变采购标的和资格条件，修改的内容为竞争性磋商文件的组成部分。</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2"/>
          <w:sz w:val="22"/>
          <w:szCs w:val="22"/>
          <w:highlight w:val="none"/>
          <w:lang w:val="zh-CN" w:bidi="zh-CN"/>
        </w:rPr>
        <w:t>采</w:t>
      </w:r>
      <w:r>
        <w:rPr>
          <w:rFonts w:hint="eastAsia" w:ascii="宋体" w:hAnsi="宋体" w:eastAsia="宋体" w:cs="宋体"/>
          <w:color w:val="auto"/>
          <w:sz w:val="22"/>
          <w:szCs w:val="22"/>
          <w:highlight w:val="none"/>
          <w:lang w:val="zh-CN" w:bidi="zh-CN"/>
        </w:rPr>
        <w:t>购人或采购代理机构以</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须知前附表规定的形式修改竞争性磋商文件，并通知所有已购买竞争性磋商文件的</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，同时在原公告媒体发布变更公告。修改竞争性磋商文件的时间距本章第 4.1.1 项规定的投标截止时间及响应文件提交截止时间不足5日的，并且修改内容可能影响响应文件编制的，将相应延长投标截止时间及响应文件提交截止时间。</w:t>
      </w:r>
    </w:p>
    <w:p>
      <w:pPr>
        <w:widowControl w:val="0"/>
        <w:numPr>
          <w:ilvl w:val="0"/>
          <w:numId w:val="1"/>
        </w:numPr>
        <w:tabs>
          <w:tab w:val="left" w:pos="989"/>
        </w:tabs>
        <w:autoSpaceDE w:val="0"/>
        <w:autoSpaceDN w:val="0"/>
        <w:spacing w:line="287" w:lineRule="exact"/>
        <w:jc w:val="both"/>
        <w:outlineLvl w:val="3"/>
        <w:rPr>
          <w:rFonts w:hint="eastAsia" w:ascii="宋体" w:hAnsi="宋体" w:eastAsia="宋体" w:cs="宋体"/>
          <w:b/>
          <w:bCs/>
          <w:color w:val="auto"/>
          <w:sz w:val="22"/>
          <w:szCs w:val="22"/>
          <w:highlight w:val="none"/>
          <w:lang w:val="zh-CN" w:bidi="zh-CN"/>
        </w:rPr>
      </w:pPr>
      <w:r>
        <w:rPr>
          <w:rFonts w:hint="eastAsia" w:ascii="宋体" w:hAnsi="宋体" w:eastAsia="宋体" w:cs="宋体"/>
          <w:b/>
          <w:bCs/>
          <w:color w:val="auto"/>
          <w:sz w:val="22"/>
          <w:szCs w:val="22"/>
          <w:highlight w:val="none"/>
          <w:lang w:val="zh-CN" w:bidi="zh-CN"/>
        </w:rPr>
        <w:t>磋商响应文件编写</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val="0"/>
          <w:bCs w:val="0"/>
          <w:color w:val="auto"/>
          <w:sz w:val="22"/>
          <w:szCs w:val="22"/>
          <w:highlight w:val="none"/>
        </w:rPr>
      </w:pPr>
      <w:bookmarkStart w:id="30" w:name="3.1磋商响应文件的组成"/>
      <w:bookmarkEnd w:id="30"/>
      <w:r>
        <w:rPr>
          <w:rFonts w:hint="eastAsia" w:ascii="宋体" w:hAnsi="宋体" w:eastAsia="宋体" w:cs="宋体"/>
          <w:b w:val="0"/>
          <w:bCs w:val="0"/>
          <w:color w:val="auto"/>
          <w:sz w:val="22"/>
          <w:szCs w:val="22"/>
          <w:highlight w:val="none"/>
          <w:lang w:val="zh-CN" w:bidi="zh-CN"/>
        </w:rPr>
        <w:t>磋商响应文件的组成响应文件应包括下列内容：</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bidi="zh-CN"/>
        </w:rPr>
        <w:t>1.</w:t>
      </w:r>
      <w:r>
        <w:rPr>
          <w:rFonts w:hint="eastAsia" w:ascii="宋体" w:hAnsi="宋体" w:eastAsia="宋体" w:cs="宋体"/>
          <w:b w:val="0"/>
          <w:bCs w:val="0"/>
          <w:color w:val="auto"/>
          <w:sz w:val="22"/>
          <w:szCs w:val="22"/>
          <w:highlight w:val="none"/>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2.</w:t>
      </w:r>
      <w:r>
        <w:rPr>
          <w:rFonts w:hint="eastAsia" w:ascii="宋体" w:hAnsi="宋体" w:eastAsia="宋体" w:cs="宋体"/>
          <w:b w:val="0"/>
          <w:bCs w:val="0"/>
          <w:color w:val="auto"/>
          <w:sz w:val="22"/>
          <w:szCs w:val="22"/>
          <w:highlight w:val="none"/>
          <w:lang w:val="zh-CN" w:bidi="zh-CN"/>
        </w:rPr>
        <w:t>投标报价表</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3.</w:t>
      </w:r>
      <w:r>
        <w:rPr>
          <w:rFonts w:hint="eastAsia" w:ascii="宋体" w:hAnsi="宋体" w:eastAsia="宋体" w:cs="宋体"/>
          <w:b w:val="0"/>
          <w:bCs w:val="0"/>
          <w:color w:val="auto"/>
          <w:sz w:val="22"/>
          <w:szCs w:val="22"/>
          <w:highlight w:val="none"/>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4.</w:t>
      </w:r>
      <w:r>
        <w:rPr>
          <w:rFonts w:hint="eastAsia" w:ascii="宋体" w:hAnsi="宋体" w:eastAsia="宋体" w:cs="宋体"/>
          <w:b w:val="0"/>
          <w:bCs w:val="0"/>
          <w:color w:val="auto"/>
          <w:sz w:val="22"/>
          <w:szCs w:val="22"/>
          <w:highlight w:val="none"/>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5.</w:t>
      </w:r>
      <w:r>
        <w:rPr>
          <w:rFonts w:hint="eastAsia" w:ascii="宋体" w:hAnsi="宋体" w:eastAsia="宋体" w:cs="宋体"/>
          <w:b w:val="0"/>
          <w:bCs w:val="0"/>
          <w:color w:val="auto"/>
          <w:sz w:val="22"/>
          <w:szCs w:val="22"/>
          <w:highlight w:val="none"/>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6.</w:t>
      </w:r>
      <w:r>
        <w:rPr>
          <w:rFonts w:hint="eastAsia" w:ascii="宋体" w:hAnsi="宋体" w:eastAsia="宋体" w:cs="宋体"/>
          <w:b w:val="0"/>
          <w:bCs w:val="0"/>
          <w:color w:val="auto"/>
          <w:sz w:val="22"/>
          <w:szCs w:val="22"/>
          <w:highlight w:val="none"/>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7.</w:t>
      </w:r>
      <w:r>
        <w:rPr>
          <w:rFonts w:hint="eastAsia" w:ascii="宋体" w:hAnsi="宋体" w:eastAsia="宋体" w:cs="宋体"/>
          <w:b w:val="0"/>
          <w:bCs w:val="0"/>
          <w:color w:val="auto"/>
          <w:sz w:val="22"/>
          <w:szCs w:val="22"/>
          <w:highlight w:val="none"/>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8.</w:t>
      </w:r>
      <w:r>
        <w:rPr>
          <w:rFonts w:hint="eastAsia" w:ascii="宋体" w:hAnsi="宋体" w:eastAsia="宋体" w:cs="宋体"/>
          <w:b w:val="0"/>
          <w:bCs w:val="0"/>
          <w:color w:val="auto"/>
          <w:sz w:val="22"/>
          <w:szCs w:val="22"/>
          <w:highlight w:val="none"/>
          <w:lang w:val="zh-CN" w:bidi="zh-CN"/>
        </w:rPr>
        <w:t>承诺</w:t>
      </w:r>
      <w:r>
        <w:rPr>
          <w:rFonts w:hint="eastAsia" w:ascii="宋体" w:hAnsi="宋体" w:eastAsia="宋体" w:cs="宋体"/>
          <w:b w:val="0"/>
          <w:bCs w:val="0"/>
          <w:color w:val="auto"/>
          <w:sz w:val="22"/>
          <w:szCs w:val="22"/>
          <w:highlight w:val="none"/>
          <w:lang w:val="zh-CN" w:eastAsia="zh-CN" w:bidi="zh-CN"/>
        </w:rPr>
        <w:t>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9.</w:t>
      </w:r>
      <w:r>
        <w:rPr>
          <w:rFonts w:hint="eastAsia" w:ascii="宋体" w:hAnsi="宋体" w:eastAsia="宋体" w:cs="宋体"/>
          <w:b w:val="0"/>
          <w:bCs w:val="0"/>
          <w:color w:val="auto"/>
          <w:sz w:val="22"/>
          <w:szCs w:val="22"/>
          <w:highlight w:val="none"/>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10.</w:t>
      </w:r>
      <w:r>
        <w:rPr>
          <w:rFonts w:hint="eastAsia" w:ascii="宋体" w:hAnsi="宋体" w:cs="宋体"/>
          <w:b w:val="0"/>
          <w:bCs w:val="0"/>
          <w:color w:val="auto"/>
          <w:sz w:val="22"/>
          <w:szCs w:val="22"/>
          <w:highlight w:val="none"/>
          <w:lang w:val="zh-CN" w:bidi="zh-CN"/>
        </w:rPr>
        <w:t>响应人</w:t>
      </w:r>
      <w:r>
        <w:rPr>
          <w:rFonts w:hint="eastAsia" w:ascii="宋体" w:hAnsi="宋体" w:eastAsia="宋体" w:cs="宋体"/>
          <w:b w:val="0"/>
          <w:bCs w:val="0"/>
          <w:color w:val="auto"/>
          <w:sz w:val="22"/>
          <w:szCs w:val="22"/>
          <w:highlight w:val="none"/>
          <w:lang w:val="zh-CN" w:bidi="zh-CN"/>
        </w:rPr>
        <w:t>认为响应磋商文件应提供的其它资料</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en-US" w:eastAsia="zh-CN" w:bidi="zh-CN"/>
        </w:rPr>
        <w:t>11.</w:t>
      </w:r>
      <w:r>
        <w:rPr>
          <w:rFonts w:hint="eastAsia" w:ascii="宋体" w:hAnsi="宋体" w:eastAsia="宋体" w:cs="宋体"/>
          <w:b w:val="0"/>
          <w:bCs w:val="0"/>
          <w:color w:val="auto"/>
          <w:sz w:val="22"/>
          <w:szCs w:val="22"/>
          <w:highlight w:val="none"/>
          <w:lang w:val="zh-CN" w:bidi="zh-CN"/>
        </w:rPr>
        <w:t>享受政府采购政策的证明材料</w:t>
      </w:r>
    </w:p>
    <w:p>
      <w:pPr>
        <w:widowControl w:val="0"/>
        <w:numPr>
          <w:ilvl w:val="1"/>
          <w:numId w:val="1"/>
        </w:numPr>
        <w:tabs>
          <w:tab w:val="left" w:pos="876"/>
        </w:tabs>
        <w:autoSpaceDE w:val="0"/>
        <w:autoSpaceDN w:val="0"/>
        <w:spacing w:before="43"/>
        <w:jc w:val="both"/>
        <w:outlineLvl w:val="4"/>
        <w:rPr>
          <w:rFonts w:hint="eastAsia" w:ascii="宋体" w:hAnsi="宋体" w:eastAsia="宋体" w:cs="宋体"/>
          <w:b/>
          <w:bCs/>
          <w:color w:val="auto"/>
          <w:sz w:val="22"/>
          <w:szCs w:val="22"/>
          <w:highlight w:val="none"/>
          <w:lang w:val="zh-CN" w:bidi="zh-CN"/>
        </w:rPr>
      </w:pPr>
      <w:bookmarkStart w:id="31" w:name="3.2磋商价格构成及报价要求"/>
      <w:bookmarkEnd w:id="31"/>
      <w:r>
        <w:rPr>
          <w:rFonts w:hint="eastAsia" w:ascii="宋体" w:hAnsi="宋体" w:eastAsia="宋体" w:cs="宋体"/>
          <w:b/>
          <w:bCs/>
          <w:color w:val="auto"/>
          <w:sz w:val="22"/>
          <w:szCs w:val="22"/>
          <w:highlight w:val="none"/>
          <w:lang w:val="zh-CN" w:bidi="zh-CN"/>
        </w:rPr>
        <w:t>磋商价格构成及报价要求</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eastAsia="zh-CN" w:bidi="zh-CN"/>
        </w:rPr>
      </w:pPr>
      <w:bookmarkStart w:id="32" w:name="3.3磋商有效期"/>
      <w:bookmarkEnd w:id="32"/>
      <w:r>
        <w:rPr>
          <w:rFonts w:hint="eastAsia" w:ascii="宋体" w:hAnsi="宋体" w:eastAsia="宋体" w:cs="宋体"/>
          <w:color w:val="auto"/>
          <w:sz w:val="22"/>
          <w:szCs w:val="22"/>
          <w:highlight w:val="none"/>
          <w:lang w:val="zh-CN" w:bidi="zh-CN"/>
        </w:rPr>
        <w:t>磋商报价：全部费用</w:t>
      </w:r>
      <w:r>
        <w:rPr>
          <w:rFonts w:hint="eastAsia" w:ascii="宋体" w:hAnsi="宋体" w:eastAsia="宋体" w:cs="宋体"/>
          <w:color w:val="auto"/>
          <w:sz w:val="22"/>
          <w:szCs w:val="22"/>
          <w:highlight w:val="none"/>
          <w:lang w:val="zh-CN" w:eastAsia="zh-CN" w:bidi="zh-CN"/>
        </w:rPr>
        <w:t>。</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响应文件递交时的报价为第一轮报价，本轮报价不是最终承诺报价。第二轮报价，</w:t>
      </w:r>
      <w:r>
        <w:rPr>
          <w:rFonts w:hint="eastAsia" w:ascii="宋体" w:hAnsi="宋体" w:eastAsia="宋体" w:cs="宋体"/>
          <w:color w:val="auto"/>
          <w:sz w:val="22"/>
          <w:szCs w:val="22"/>
          <w:highlight w:val="none"/>
          <w:lang w:val="en-US" w:bidi="zh-CN"/>
        </w:rPr>
        <w:t xml:space="preserve"> </w:t>
      </w:r>
      <w:r>
        <w:rPr>
          <w:rFonts w:hint="eastAsia" w:ascii="宋体" w:hAnsi="宋体" w:eastAsia="宋体" w:cs="宋体"/>
          <w:color w:val="auto"/>
          <w:sz w:val="22"/>
          <w:szCs w:val="22"/>
          <w:highlight w:val="none"/>
          <w:lang w:val="zh-CN" w:bidi="zh-CN"/>
        </w:rPr>
        <w:t>即最终承诺报价。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参与磋商的竞标人第一次报价不得高于招标控制价；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参与磋商的竞标人第二次报价不得高于竞标人第一次报价；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磋商结束后，磋商小组将要求所有实质性响应竞标人在规定时间内提交的最后报价。</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经提交最后报价的竞标人后，由磋商小组采用综合评分法对提交最后报价的</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的响应文件和最后报价进行综合评分。</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本项目的磋商报价应按照竞争性磋商文件、补充通知、答疑纪要、现场情况、承包范围，并充分考虑服务期间各类市场风险和国家政策性调整等风险系数，由各</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根据自身情况，在合理范围内，自主考虑、优惠报价，但不得低于企业成本。</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r>
        <w:rPr>
          <w:rFonts w:hint="eastAsia" w:ascii="宋体" w:hAnsi="宋体" w:eastAsia="宋体" w:cs="宋体"/>
          <w:b/>
          <w:bCs/>
          <w:color w:val="auto"/>
          <w:sz w:val="22"/>
          <w:szCs w:val="22"/>
          <w:highlight w:val="none"/>
          <w:lang w:val="zh-CN" w:bidi="zh-CN"/>
        </w:rPr>
        <w:t>磋商有效期</w:t>
      </w:r>
    </w:p>
    <w:p>
      <w:pPr>
        <w:widowControl w:val="0"/>
        <w:numPr>
          <w:ilvl w:val="2"/>
          <w:numId w:val="1"/>
        </w:numPr>
        <w:tabs>
          <w:tab w:val="left" w:pos="1452"/>
        </w:tabs>
        <w:autoSpaceDE w:val="0"/>
        <w:autoSpaceDN w:val="0"/>
        <w:spacing w:before="42"/>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磋商有效期见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须知前附表，从提交首次响应文件的截止之日起算。</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9"/>
          <w:sz w:val="22"/>
          <w:szCs w:val="22"/>
          <w:highlight w:val="none"/>
          <w:lang w:val="zh-CN" w:bidi="zh-CN"/>
        </w:rPr>
        <w:t>在磋商有效期内，</w:t>
      </w:r>
      <w:r>
        <w:rPr>
          <w:rFonts w:hint="eastAsia" w:ascii="宋体" w:hAnsi="宋体" w:cs="宋体"/>
          <w:color w:val="auto"/>
          <w:spacing w:val="-9"/>
          <w:sz w:val="22"/>
          <w:szCs w:val="22"/>
          <w:highlight w:val="none"/>
          <w:lang w:val="zh-CN" w:bidi="zh-CN"/>
        </w:rPr>
        <w:t>响应人</w:t>
      </w:r>
      <w:r>
        <w:rPr>
          <w:rFonts w:hint="eastAsia" w:ascii="宋体" w:hAnsi="宋体" w:eastAsia="宋体" w:cs="宋体"/>
          <w:color w:val="auto"/>
          <w:spacing w:val="-9"/>
          <w:sz w:val="22"/>
          <w:szCs w:val="22"/>
          <w:highlight w:val="none"/>
          <w:lang w:val="zh-CN" w:bidi="zh-CN"/>
        </w:rPr>
        <w:t>撤销响应文件的，应承担竞争性磋商文件和法律规定的责任。</w:t>
      </w:r>
    </w:p>
    <w:p>
      <w:pPr>
        <w:widowControl w:val="0"/>
        <w:numPr>
          <w:ilvl w:val="2"/>
          <w:numId w:val="1"/>
        </w:numPr>
        <w:tabs>
          <w:tab w:val="left" w:pos="1452"/>
        </w:tabs>
        <w:autoSpaceDE w:val="0"/>
        <w:autoSpaceDN w:val="0"/>
        <w:spacing w:before="43"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出现特殊情况需要延长磋商有效期的，采购人以线上形式通知所有</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延长磋商有效期。</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bookmarkStart w:id="33" w:name="3.4磋商响应文件的编制"/>
      <w:bookmarkEnd w:id="33"/>
      <w:r>
        <w:rPr>
          <w:rFonts w:hint="eastAsia" w:ascii="宋体" w:hAnsi="宋体" w:eastAsia="宋体" w:cs="宋体"/>
          <w:b/>
          <w:bCs/>
          <w:color w:val="auto"/>
          <w:sz w:val="22"/>
          <w:szCs w:val="22"/>
          <w:highlight w:val="none"/>
          <w:lang w:val="zh-CN" w:bidi="zh-CN"/>
        </w:rPr>
        <w:t>磋商响应文件的编制</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响应文件应按第六章磋商响应文件格式进行编写，如有必要，可以增加附页，作为磋商响应文件的组成部分。其中，投标函附录在满足竞争性磋商文件实质性要求的基础上，可以提出比竞争性磋商文件要求更有利于采购人的承诺。</w:t>
      </w:r>
    </w:p>
    <w:p>
      <w:pPr>
        <w:widowControl w:val="0"/>
        <w:autoSpaceDE w:val="0"/>
        <w:autoSpaceDN w:val="0"/>
        <w:spacing w:line="266" w:lineRule="auto"/>
        <w:ind w:left="508" w:right="492" w:firstLine="439"/>
        <w:jc w:val="both"/>
        <w:rPr>
          <w:rFonts w:hint="eastAsia" w:ascii="宋体" w:hAnsi="宋体" w:eastAsia="宋体" w:cs="宋体"/>
          <w:b w:val="0"/>
          <w:bCs/>
          <w:color w:val="auto"/>
          <w:kern w:val="0"/>
          <w:sz w:val="22"/>
          <w:szCs w:val="22"/>
          <w:highlight w:val="none"/>
          <w:lang w:val="zh-CN" w:bidi="zh-CN"/>
        </w:rPr>
      </w:pPr>
      <w:r>
        <w:rPr>
          <w:rFonts w:hint="eastAsia" w:ascii="宋体" w:hAnsi="宋体" w:eastAsia="宋体" w:cs="宋体"/>
          <w:b w:val="0"/>
          <w:bCs/>
          <w:color w:val="auto"/>
          <w:kern w:val="0"/>
          <w:sz w:val="22"/>
          <w:szCs w:val="22"/>
          <w:highlight w:val="none"/>
          <w:lang w:val="zh-CN" w:bidi="zh-CN"/>
        </w:rPr>
        <w:t>注：本项目为电子评标项目，电子响应文件需要使用响应文件制作工具制作，并使用CA 数字证书认证并加密，具体详见《淅川县公共资源全电子流程操作手册》。否则，被视为无效响应文件，其响应文件将被电子交易系统拒绝。</w:t>
      </w:r>
    </w:p>
    <w:p>
      <w:pPr>
        <w:widowControl w:val="0"/>
        <w:numPr>
          <w:ilvl w:val="2"/>
          <w:numId w:val="1"/>
        </w:numPr>
        <w:tabs>
          <w:tab w:val="left" w:pos="1557"/>
          <w:tab w:val="left" w:pos="1558"/>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磋商响应文件应当对竞争性磋商文件有关磋商报价、服务期限、服务质量要求、磋商有效期、等实质性内容作出响应。</w:t>
      </w:r>
    </w:p>
    <w:p>
      <w:pPr>
        <w:widowControl w:val="0"/>
        <w:numPr>
          <w:ilvl w:val="2"/>
          <w:numId w:val="1"/>
        </w:numPr>
        <w:tabs>
          <w:tab w:val="left" w:pos="1557"/>
          <w:tab w:val="left" w:pos="1558"/>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响应文件签字和盖章要求见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557"/>
          <w:tab w:val="left" w:pos="1558"/>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响应文件的份数见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bidi="zh-CN"/>
        </w:rPr>
        <w:t xml:space="preserve"> </w:t>
      </w:r>
      <w:r>
        <w:rPr>
          <w:rFonts w:hint="eastAsia" w:ascii="宋体" w:hAnsi="宋体" w:eastAsia="宋体" w:cs="宋体"/>
          <w:color w:val="auto"/>
          <w:sz w:val="22"/>
          <w:szCs w:val="22"/>
          <w:highlight w:val="none"/>
          <w:lang w:val="zh-CN" w:bidi="zh-CN"/>
        </w:rPr>
        <w:t>废标条款</w:t>
      </w:r>
    </w:p>
    <w:p>
      <w:pPr>
        <w:widowControl w:val="0"/>
        <w:autoSpaceDE w:val="0"/>
        <w:autoSpaceDN w:val="0"/>
        <w:spacing w:before="124"/>
        <w:ind w:left="104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磋商响应文件有下列情形之一的，由磋商小组初审后按废标处理：</w:t>
      </w:r>
    </w:p>
    <w:p>
      <w:pPr>
        <w:widowControl w:val="0"/>
        <w:autoSpaceDE w:val="0"/>
        <w:autoSpaceDN w:val="0"/>
        <w:spacing w:before="120"/>
        <w:ind w:left="1048"/>
        <w:outlineLvl w:val="4"/>
        <w:rPr>
          <w:rFonts w:hint="eastAsia" w:ascii="宋体" w:hAnsi="宋体" w:eastAsia="宋体" w:cs="宋体"/>
          <w:b w:val="0"/>
          <w:bCs w:val="0"/>
          <w:color w:val="auto"/>
          <w:sz w:val="22"/>
          <w:szCs w:val="22"/>
          <w:highlight w:val="none"/>
          <w:lang w:val="zh-CN" w:bidi="zh-CN"/>
        </w:rPr>
      </w:pPr>
      <w:r>
        <w:rPr>
          <w:rFonts w:hint="eastAsia" w:ascii="宋体" w:hAnsi="宋体" w:eastAsia="宋体" w:cs="宋体"/>
          <w:b w:val="0"/>
          <w:bCs w:val="0"/>
          <w:color w:val="auto"/>
          <w:sz w:val="22"/>
          <w:szCs w:val="22"/>
          <w:highlight w:val="none"/>
          <w:lang w:val="zh-CN" w:bidi="zh-CN"/>
        </w:rPr>
        <w:t>（一）超过竞争性磋商文件规定的项目完成期限的；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（二）附有采购人不能接受的条件的；</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（三）明显不符合技术规范、技术标准要求的；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（四）以联合体方式投标的；</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（五）以他人名义投标的；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（六）采取不正当手段谋取中标的；</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w w:val="95"/>
          <w:kern w:val="0"/>
          <w:sz w:val="22"/>
          <w:szCs w:val="22"/>
          <w:highlight w:val="none"/>
          <w:lang w:val="zh-CN" w:bidi="zh-CN"/>
        </w:rPr>
        <w:t>（七）</w:t>
      </w:r>
      <w:r>
        <w:rPr>
          <w:rFonts w:hint="eastAsia" w:ascii="宋体" w:hAnsi="宋体" w:cs="宋体"/>
          <w:b w:val="0"/>
          <w:bCs w:val="0"/>
          <w:color w:val="auto"/>
          <w:w w:val="95"/>
          <w:kern w:val="0"/>
          <w:sz w:val="22"/>
          <w:szCs w:val="22"/>
          <w:highlight w:val="none"/>
          <w:lang w:val="zh-CN" w:bidi="zh-CN"/>
        </w:rPr>
        <w:t>响应人</w:t>
      </w:r>
      <w:r>
        <w:rPr>
          <w:rFonts w:hint="eastAsia" w:ascii="宋体" w:hAnsi="宋体" w:eastAsia="宋体" w:cs="宋体"/>
          <w:b w:val="0"/>
          <w:bCs w:val="0"/>
          <w:color w:val="auto"/>
          <w:w w:val="95"/>
          <w:kern w:val="0"/>
          <w:sz w:val="22"/>
          <w:szCs w:val="22"/>
          <w:highlight w:val="none"/>
          <w:lang w:val="zh-CN" w:bidi="zh-CN"/>
        </w:rPr>
        <w:t>名称或组织机构与资格预审时不一致的；</w:t>
      </w:r>
    </w:p>
    <w:p>
      <w:pPr>
        <w:widowControl w:val="0"/>
        <w:autoSpaceDE w:val="0"/>
        <w:autoSpaceDN w:val="0"/>
        <w:spacing w:before="122"/>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w w:val="95"/>
          <w:kern w:val="0"/>
          <w:sz w:val="22"/>
          <w:szCs w:val="22"/>
          <w:highlight w:val="none"/>
          <w:lang w:val="zh-CN" w:bidi="zh-CN"/>
        </w:rPr>
        <w:t>（八）不同</w:t>
      </w:r>
      <w:r>
        <w:rPr>
          <w:rFonts w:hint="eastAsia" w:ascii="宋体" w:hAnsi="宋体" w:cs="宋体"/>
          <w:b w:val="0"/>
          <w:bCs w:val="0"/>
          <w:color w:val="auto"/>
          <w:w w:val="95"/>
          <w:kern w:val="0"/>
          <w:sz w:val="22"/>
          <w:szCs w:val="22"/>
          <w:highlight w:val="none"/>
          <w:lang w:val="zh-CN" w:bidi="zh-CN"/>
        </w:rPr>
        <w:t>响应单位</w:t>
      </w:r>
      <w:r>
        <w:rPr>
          <w:rFonts w:hint="eastAsia" w:ascii="宋体" w:hAnsi="宋体" w:eastAsia="宋体" w:cs="宋体"/>
          <w:b w:val="0"/>
          <w:bCs w:val="0"/>
          <w:color w:val="auto"/>
          <w:w w:val="95"/>
          <w:kern w:val="0"/>
          <w:sz w:val="22"/>
          <w:szCs w:val="22"/>
          <w:highlight w:val="none"/>
          <w:lang w:val="zh-CN" w:bidi="zh-CN"/>
        </w:rPr>
        <w:t>的电子响应文件制作机器码一致；</w:t>
      </w:r>
    </w:p>
    <w:p>
      <w:pPr>
        <w:widowControl w:val="0"/>
        <w:autoSpaceDE w:val="0"/>
        <w:autoSpaceDN w:val="0"/>
        <w:spacing w:before="120"/>
        <w:ind w:left="1048"/>
        <w:rPr>
          <w:rFonts w:hint="eastAsia" w:ascii="宋体" w:hAnsi="宋体" w:eastAsia="宋体" w:cs="宋体"/>
          <w:b w:val="0"/>
          <w:bCs w:val="0"/>
          <w:color w:val="auto"/>
          <w:kern w:val="0"/>
          <w:sz w:val="22"/>
          <w:szCs w:val="22"/>
          <w:highlight w:val="none"/>
          <w:lang w:val="zh-CN" w:bidi="zh-CN"/>
        </w:rPr>
      </w:pPr>
      <w:r>
        <w:rPr>
          <w:rFonts w:hint="eastAsia" w:ascii="宋体" w:hAnsi="宋体" w:eastAsia="宋体" w:cs="宋体"/>
          <w:b w:val="0"/>
          <w:bCs w:val="0"/>
          <w:color w:val="auto"/>
          <w:kern w:val="0"/>
          <w:sz w:val="22"/>
          <w:szCs w:val="22"/>
          <w:highlight w:val="none"/>
          <w:lang w:val="zh-CN" w:bidi="zh-CN"/>
        </w:rPr>
        <w:t>（九）其他不符合竞争性磋商文件实质性要求的。</w:t>
      </w:r>
    </w:p>
    <w:p>
      <w:pPr>
        <w:widowControl w:val="0"/>
        <w:numPr>
          <w:ilvl w:val="0"/>
          <w:numId w:val="1"/>
        </w:numPr>
        <w:tabs>
          <w:tab w:val="left" w:pos="988"/>
          <w:tab w:val="left" w:pos="989"/>
        </w:tabs>
        <w:autoSpaceDE w:val="0"/>
        <w:autoSpaceDN w:val="0"/>
        <w:spacing w:before="20"/>
        <w:rPr>
          <w:rFonts w:hint="eastAsia" w:ascii="宋体" w:hAnsi="宋体" w:eastAsia="宋体" w:cs="宋体"/>
          <w:b/>
          <w:color w:val="auto"/>
          <w:sz w:val="22"/>
          <w:szCs w:val="22"/>
          <w:highlight w:val="none"/>
          <w:lang w:val="zh-CN" w:bidi="zh-CN"/>
        </w:rPr>
      </w:pPr>
      <w:bookmarkStart w:id="34" w:name="_bookmark6"/>
      <w:bookmarkEnd w:id="34"/>
      <w:bookmarkStart w:id="35" w:name="4. 响应文件的递交"/>
      <w:bookmarkEnd w:id="35"/>
      <w:r>
        <w:rPr>
          <w:rFonts w:hint="eastAsia" w:ascii="宋体" w:hAnsi="宋体" w:eastAsia="宋体" w:cs="宋体"/>
          <w:b/>
          <w:color w:val="auto"/>
          <w:sz w:val="22"/>
          <w:szCs w:val="22"/>
          <w:highlight w:val="none"/>
          <w:lang w:val="zh-CN" w:bidi="zh-CN"/>
        </w:rPr>
        <w:t>响应文件的递交</w:t>
      </w:r>
    </w:p>
    <w:p>
      <w:pPr>
        <w:widowControl w:val="0"/>
        <w:numPr>
          <w:ilvl w:val="1"/>
          <w:numId w:val="1"/>
        </w:numPr>
        <w:tabs>
          <w:tab w:val="left" w:pos="876"/>
        </w:tabs>
        <w:autoSpaceDE w:val="0"/>
        <w:autoSpaceDN w:val="0"/>
        <w:spacing w:before="22"/>
        <w:rPr>
          <w:rFonts w:hint="eastAsia" w:ascii="宋体" w:hAnsi="宋体" w:eastAsia="宋体" w:cs="宋体"/>
          <w:b/>
          <w:color w:val="auto"/>
          <w:sz w:val="22"/>
          <w:szCs w:val="22"/>
          <w:highlight w:val="none"/>
          <w:lang w:val="zh-CN" w:bidi="zh-CN"/>
        </w:rPr>
      </w:pPr>
      <w:bookmarkStart w:id="36" w:name="4.1磋商响应文件的递交"/>
      <w:bookmarkEnd w:id="36"/>
      <w:r>
        <w:rPr>
          <w:rFonts w:hint="eastAsia" w:ascii="宋体" w:hAnsi="宋体" w:eastAsia="宋体" w:cs="宋体"/>
          <w:b/>
          <w:color w:val="auto"/>
          <w:sz w:val="22"/>
          <w:szCs w:val="22"/>
          <w:highlight w:val="none"/>
          <w:lang w:val="zh-CN" w:bidi="zh-CN"/>
        </w:rPr>
        <w:t>磋商响应文件的递交</w:t>
      </w:r>
    </w:p>
    <w:p>
      <w:pPr>
        <w:widowControl w:val="0"/>
        <w:numPr>
          <w:ilvl w:val="2"/>
          <w:numId w:val="1"/>
        </w:numPr>
        <w:tabs>
          <w:tab w:val="left" w:pos="1452"/>
        </w:tabs>
        <w:autoSpaceDE w:val="0"/>
        <w:autoSpaceDN w:val="0"/>
        <w:spacing w:line="278" w:lineRule="auto"/>
        <w:ind w:right="42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应在</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须知前附表规定的投标截止时间及响应文件提交截止时间前递交响应文件。</w:t>
      </w:r>
    </w:p>
    <w:p>
      <w:pPr>
        <w:widowControl w:val="0"/>
        <w:numPr>
          <w:ilvl w:val="2"/>
          <w:numId w:val="1"/>
        </w:numPr>
        <w:tabs>
          <w:tab w:val="left" w:pos="1452"/>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cs="宋体"/>
          <w:color w:val="auto"/>
          <w:spacing w:val="-3"/>
          <w:sz w:val="22"/>
          <w:szCs w:val="22"/>
          <w:highlight w:val="none"/>
          <w:lang w:val="zh-CN" w:bidi="zh-CN"/>
        </w:rPr>
        <w:t>响应人</w:t>
      </w:r>
      <w:r>
        <w:rPr>
          <w:rFonts w:hint="eastAsia" w:ascii="宋体" w:hAnsi="宋体" w:eastAsia="宋体" w:cs="宋体"/>
          <w:color w:val="auto"/>
          <w:spacing w:val="-3"/>
          <w:sz w:val="22"/>
          <w:szCs w:val="22"/>
          <w:highlight w:val="none"/>
          <w:lang w:val="zh-CN" w:bidi="zh-CN"/>
        </w:rPr>
        <w:t>递交响应文件的方式地点：见</w:t>
      </w:r>
      <w:r>
        <w:rPr>
          <w:rFonts w:hint="eastAsia" w:ascii="宋体" w:hAnsi="宋体" w:cs="宋体"/>
          <w:color w:val="auto"/>
          <w:spacing w:val="-3"/>
          <w:sz w:val="22"/>
          <w:szCs w:val="22"/>
          <w:highlight w:val="none"/>
          <w:lang w:val="zh-CN" w:bidi="zh-CN"/>
        </w:rPr>
        <w:t>响应人</w:t>
      </w:r>
      <w:r>
        <w:rPr>
          <w:rFonts w:hint="eastAsia" w:ascii="宋体" w:hAnsi="宋体" w:eastAsia="宋体" w:cs="宋体"/>
          <w:color w:val="auto"/>
          <w:spacing w:val="-3"/>
          <w:sz w:val="22"/>
          <w:szCs w:val="22"/>
          <w:highlight w:val="none"/>
          <w:lang w:val="zh-CN" w:bidi="zh-CN"/>
        </w:rPr>
        <w:t>须知前附表。</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5"/>
          <w:sz w:val="22"/>
          <w:szCs w:val="22"/>
          <w:highlight w:val="none"/>
          <w:lang w:val="zh-CN" w:bidi="zh-CN"/>
        </w:rPr>
        <w:t>除</w:t>
      </w:r>
      <w:r>
        <w:rPr>
          <w:rFonts w:hint="eastAsia" w:ascii="宋体" w:hAnsi="宋体" w:cs="宋体"/>
          <w:color w:val="auto"/>
          <w:spacing w:val="-5"/>
          <w:sz w:val="22"/>
          <w:szCs w:val="22"/>
          <w:highlight w:val="none"/>
          <w:lang w:val="zh-CN" w:bidi="zh-CN"/>
        </w:rPr>
        <w:t>响应人</w:t>
      </w:r>
      <w:r>
        <w:rPr>
          <w:rFonts w:hint="eastAsia" w:ascii="宋体" w:hAnsi="宋体" w:eastAsia="宋体" w:cs="宋体"/>
          <w:color w:val="auto"/>
          <w:spacing w:val="-5"/>
          <w:sz w:val="22"/>
          <w:szCs w:val="22"/>
          <w:highlight w:val="none"/>
          <w:lang w:val="zh-CN" w:bidi="zh-CN"/>
        </w:rPr>
        <w:t>须知前附表另有规定外</w:t>
      </w:r>
      <w:r>
        <w:rPr>
          <w:rFonts w:hint="eastAsia" w:ascii="宋体" w:hAnsi="宋体" w:cs="宋体"/>
          <w:color w:val="auto"/>
          <w:spacing w:val="-5"/>
          <w:sz w:val="22"/>
          <w:szCs w:val="22"/>
          <w:highlight w:val="none"/>
          <w:lang w:val="zh-CN" w:bidi="zh-CN"/>
        </w:rPr>
        <w:t>响应人</w:t>
      </w:r>
      <w:r>
        <w:rPr>
          <w:rFonts w:hint="eastAsia" w:ascii="宋体" w:hAnsi="宋体" w:eastAsia="宋体" w:cs="宋体"/>
          <w:color w:val="auto"/>
          <w:spacing w:val="-5"/>
          <w:sz w:val="22"/>
          <w:szCs w:val="22"/>
          <w:highlight w:val="none"/>
          <w:lang w:val="zh-CN" w:bidi="zh-CN"/>
        </w:rPr>
        <w:t>所递交的响应文件不予退还。</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5"/>
          <w:sz w:val="22"/>
          <w:szCs w:val="22"/>
          <w:highlight w:val="none"/>
          <w:lang w:val="zh-CN" w:bidi="zh-CN"/>
        </w:rPr>
        <w:t>采购人或采购代理机构收到响应文件后，向</w:t>
      </w:r>
      <w:r>
        <w:rPr>
          <w:rFonts w:hint="eastAsia" w:ascii="宋体" w:hAnsi="宋体" w:cs="宋体"/>
          <w:color w:val="auto"/>
          <w:spacing w:val="-5"/>
          <w:sz w:val="22"/>
          <w:szCs w:val="22"/>
          <w:highlight w:val="none"/>
          <w:lang w:val="zh-CN" w:bidi="zh-CN"/>
        </w:rPr>
        <w:t>响应人</w:t>
      </w:r>
      <w:r>
        <w:rPr>
          <w:rFonts w:hint="eastAsia" w:ascii="宋体" w:hAnsi="宋体" w:eastAsia="宋体" w:cs="宋体"/>
          <w:color w:val="auto"/>
          <w:spacing w:val="-5"/>
          <w:sz w:val="22"/>
          <w:szCs w:val="22"/>
          <w:highlight w:val="none"/>
          <w:lang w:val="zh-CN" w:bidi="zh-CN"/>
        </w:rPr>
        <w:t>出具签收凭证。</w:t>
      </w:r>
    </w:p>
    <w:p>
      <w:pPr>
        <w:widowControl w:val="0"/>
        <w:numPr>
          <w:ilvl w:val="2"/>
          <w:numId w:val="1"/>
        </w:numPr>
        <w:tabs>
          <w:tab w:val="left" w:pos="1452"/>
        </w:tabs>
        <w:autoSpaceDE w:val="0"/>
        <w:autoSpaceDN w:val="0"/>
        <w:spacing w:before="43"/>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4"/>
          <w:sz w:val="22"/>
          <w:szCs w:val="22"/>
          <w:highlight w:val="none"/>
          <w:lang w:val="zh-CN" w:bidi="zh-CN"/>
        </w:rPr>
        <w:t>逾期送达的响应文件，采购人将予以拒收。</w:t>
      </w:r>
    </w:p>
    <w:p>
      <w:pPr>
        <w:widowControl w:val="0"/>
        <w:numPr>
          <w:ilvl w:val="1"/>
          <w:numId w:val="1"/>
        </w:numPr>
        <w:tabs>
          <w:tab w:val="left" w:pos="876"/>
        </w:tabs>
        <w:autoSpaceDE w:val="0"/>
        <w:autoSpaceDN w:val="0"/>
        <w:spacing w:before="43"/>
        <w:outlineLvl w:val="4"/>
        <w:rPr>
          <w:rFonts w:hint="eastAsia" w:ascii="宋体" w:hAnsi="宋体" w:eastAsia="宋体" w:cs="宋体"/>
          <w:b/>
          <w:bCs/>
          <w:color w:val="auto"/>
          <w:sz w:val="22"/>
          <w:szCs w:val="22"/>
          <w:highlight w:val="none"/>
          <w:lang w:val="zh-CN" w:bidi="zh-CN"/>
        </w:rPr>
      </w:pPr>
      <w:bookmarkStart w:id="37" w:name="4.2磋商响应文件的补充、修改与撤回"/>
      <w:bookmarkEnd w:id="37"/>
      <w:r>
        <w:rPr>
          <w:rFonts w:hint="eastAsia" w:ascii="宋体" w:hAnsi="宋体" w:eastAsia="宋体" w:cs="宋体"/>
          <w:b/>
          <w:bCs/>
          <w:color w:val="auto"/>
          <w:sz w:val="22"/>
          <w:szCs w:val="22"/>
          <w:highlight w:val="none"/>
          <w:lang w:val="zh-CN" w:bidi="zh-CN"/>
        </w:rPr>
        <w:t>磋商响应文件的补充、修改与撤回</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13"/>
          <w:sz w:val="22"/>
          <w:szCs w:val="22"/>
          <w:highlight w:val="none"/>
          <w:lang w:val="zh-CN" w:bidi="zh-CN"/>
        </w:rPr>
        <w:t xml:space="preserve">在本章第 </w:t>
      </w:r>
      <w:r>
        <w:rPr>
          <w:rFonts w:hint="eastAsia" w:ascii="宋体" w:hAnsi="宋体" w:eastAsia="宋体" w:cs="宋体"/>
          <w:color w:val="auto"/>
          <w:sz w:val="22"/>
          <w:szCs w:val="22"/>
          <w:highlight w:val="none"/>
          <w:lang w:val="zh-CN" w:bidi="zh-CN"/>
        </w:rPr>
        <w:t>4.1.1</w:t>
      </w:r>
      <w:r>
        <w:rPr>
          <w:rFonts w:hint="eastAsia" w:ascii="宋体" w:hAnsi="宋体" w:eastAsia="宋体" w:cs="宋体"/>
          <w:color w:val="auto"/>
          <w:spacing w:val="-8"/>
          <w:sz w:val="22"/>
          <w:szCs w:val="22"/>
          <w:highlight w:val="none"/>
          <w:lang w:val="zh-CN" w:bidi="zh-CN"/>
        </w:rPr>
        <w:t xml:space="preserve"> </w:t>
      </w:r>
      <w:r>
        <w:rPr>
          <w:rFonts w:hint="eastAsia" w:ascii="宋体" w:hAnsi="宋体" w:eastAsia="宋体" w:cs="宋体"/>
          <w:color w:val="auto"/>
          <w:spacing w:val="-5"/>
          <w:sz w:val="22"/>
          <w:szCs w:val="22"/>
          <w:highlight w:val="none"/>
          <w:lang w:val="zh-CN" w:bidi="zh-CN"/>
        </w:rPr>
        <w:t>项规定的递交首次磋商截止时间前，</w:t>
      </w:r>
      <w:r>
        <w:rPr>
          <w:rFonts w:hint="eastAsia" w:ascii="宋体" w:hAnsi="宋体" w:cs="宋体"/>
          <w:color w:val="auto"/>
          <w:spacing w:val="-5"/>
          <w:sz w:val="22"/>
          <w:szCs w:val="22"/>
          <w:highlight w:val="none"/>
          <w:lang w:val="zh-CN" w:bidi="zh-CN"/>
        </w:rPr>
        <w:t>响应人</w:t>
      </w:r>
      <w:r>
        <w:rPr>
          <w:rFonts w:hint="eastAsia" w:ascii="宋体" w:hAnsi="宋体" w:eastAsia="宋体" w:cs="宋体"/>
          <w:color w:val="auto"/>
          <w:spacing w:val="-5"/>
          <w:sz w:val="22"/>
          <w:szCs w:val="22"/>
          <w:highlight w:val="none"/>
          <w:lang w:val="zh-CN" w:bidi="zh-CN"/>
        </w:rPr>
        <w:t>可以补充、修改或撤回已递交的磋商响应文件，但应通知采购人、采购代理机构。</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z w:val="22"/>
          <w:szCs w:val="22"/>
          <w:highlight w:val="none"/>
          <w:lang w:val="zh-CN" w:bidi="zh-CN"/>
        </w:rPr>
      </w:pPr>
      <w:r>
        <w:rPr>
          <w:rFonts w:hint="eastAsia" w:ascii="宋体" w:hAnsi="宋体" w:cs="宋体"/>
          <w:color w:val="auto"/>
          <w:spacing w:val="-12"/>
          <w:sz w:val="22"/>
          <w:szCs w:val="22"/>
          <w:highlight w:val="none"/>
          <w:lang w:val="zh-CN" w:bidi="zh-CN"/>
        </w:rPr>
        <w:t>响应人</w:t>
      </w:r>
      <w:r>
        <w:rPr>
          <w:rFonts w:hint="eastAsia" w:ascii="宋体" w:hAnsi="宋体" w:eastAsia="宋体" w:cs="宋体"/>
          <w:color w:val="auto"/>
          <w:spacing w:val="-12"/>
          <w:sz w:val="22"/>
          <w:szCs w:val="22"/>
          <w:highlight w:val="none"/>
          <w:lang w:val="zh-CN" w:bidi="zh-CN"/>
        </w:rPr>
        <w:t xml:space="preserve">补充、修改或撤回已递交磋商响应文件的通知应按照本章第 </w:t>
      </w:r>
      <w:r>
        <w:rPr>
          <w:rFonts w:hint="eastAsia" w:ascii="宋体" w:hAnsi="宋体" w:eastAsia="宋体" w:cs="宋体"/>
          <w:color w:val="auto"/>
          <w:sz w:val="22"/>
          <w:szCs w:val="22"/>
          <w:highlight w:val="none"/>
          <w:lang w:val="zh-CN" w:bidi="zh-CN"/>
        </w:rPr>
        <w:t>3.4.3</w:t>
      </w:r>
      <w:r>
        <w:rPr>
          <w:rFonts w:hint="eastAsia" w:ascii="宋体" w:hAnsi="宋体" w:eastAsia="宋体" w:cs="宋体"/>
          <w:color w:val="auto"/>
          <w:spacing w:val="-6"/>
          <w:sz w:val="22"/>
          <w:szCs w:val="22"/>
          <w:highlight w:val="none"/>
          <w:lang w:val="zh-CN" w:bidi="zh-CN"/>
        </w:rPr>
        <w:t xml:space="preserve"> </w:t>
      </w:r>
      <w:r>
        <w:rPr>
          <w:rFonts w:hint="eastAsia" w:ascii="宋体" w:hAnsi="宋体" w:eastAsia="宋体" w:cs="宋体"/>
          <w:color w:val="auto"/>
          <w:sz w:val="22"/>
          <w:szCs w:val="22"/>
          <w:highlight w:val="none"/>
          <w:lang w:val="zh-CN" w:bidi="zh-CN"/>
        </w:rPr>
        <w:t>项的要求签字或盖章。采购人收到通知后，向</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出具签收凭证。</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补充</w:t>
      </w:r>
      <w:r>
        <w:rPr>
          <w:rFonts w:hint="eastAsia" w:ascii="宋体" w:hAnsi="宋体" w:eastAsia="宋体" w:cs="宋体"/>
          <w:color w:val="auto"/>
          <w:spacing w:val="-5"/>
          <w:sz w:val="22"/>
          <w:szCs w:val="22"/>
          <w:highlight w:val="none"/>
          <w:lang w:val="zh-CN" w:bidi="zh-CN"/>
        </w:rPr>
        <w:t>、修改的内容为磋商响应文件的组成部分。补充、修改的内容与响应文件不一致的，以补充、修改的无内容为准。修改的磋商响应文件应按照本章规定进行编制、密封、标记和递交，并标明“修改”字样。</w:t>
      </w:r>
    </w:p>
    <w:p>
      <w:pPr>
        <w:widowControl w:val="0"/>
        <w:numPr>
          <w:ilvl w:val="0"/>
          <w:numId w:val="1"/>
        </w:numPr>
        <w:tabs>
          <w:tab w:val="left" w:pos="989"/>
        </w:tabs>
        <w:autoSpaceDE w:val="0"/>
        <w:autoSpaceDN w:val="0"/>
        <w:spacing w:line="289" w:lineRule="exact"/>
        <w:jc w:val="both"/>
        <w:outlineLvl w:val="3"/>
        <w:rPr>
          <w:rFonts w:hint="eastAsia" w:ascii="宋体" w:hAnsi="宋体" w:eastAsia="宋体" w:cs="宋体"/>
          <w:b/>
          <w:bCs/>
          <w:color w:val="auto"/>
          <w:sz w:val="22"/>
          <w:szCs w:val="22"/>
          <w:highlight w:val="none"/>
          <w:lang w:val="zh-CN" w:bidi="zh-CN"/>
        </w:rPr>
      </w:pPr>
      <w:bookmarkStart w:id="38" w:name="5. 竞争性磋商"/>
      <w:bookmarkEnd w:id="38"/>
      <w:bookmarkStart w:id="39" w:name="_bookmark7"/>
      <w:bookmarkEnd w:id="39"/>
      <w:r>
        <w:rPr>
          <w:rFonts w:hint="eastAsia" w:ascii="宋体" w:hAnsi="宋体" w:eastAsia="宋体" w:cs="宋体"/>
          <w:b/>
          <w:bCs/>
          <w:color w:val="auto"/>
          <w:sz w:val="22"/>
          <w:szCs w:val="22"/>
          <w:highlight w:val="none"/>
          <w:lang w:val="zh-CN" w:bidi="zh-CN"/>
        </w:rPr>
        <w:t>竞争性磋商</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bCs/>
          <w:color w:val="auto"/>
          <w:sz w:val="22"/>
          <w:szCs w:val="22"/>
          <w:highlight w:val="none"/>
          <w:lang w:val="zh-CN" w:bidi="zh-CN"/>
        </w:rPr>
      </w:pPr>
      <w:bookmarkStart w:id="40" w:name="5.1开启时间和地点"/>
      <w:bookmarkEnd w:id="40"/>
      <w:r>
        <w:rPr>
          <w:rFonts w:hint="eastAsia" w:ascii="宋体" w:hAnsi="宋体" w:eastAsia="宋体" w:cs="宋体"/>
          <w:b/>
          <w:bCs/>
          <w:color w:val="auto"/>
          <w:sz w:val="22"/>
          <w:szCs w:val="22"/>
          <w:highlight w:val="none"/>
          <w:lang w:val="zh-CN" w:bidi="zh-CN"/>
        </w:rPr>
        <w:t>开启时间和地点</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13"/>
          <w:sz w:val="22"/>
          <w:szCs w:val="22"/>
          <w:highlight w:val="none"/>
          <w:lang w:val="zh-CN" w:bidi="zh-CN"/>
        </w:rPr>
      </w:pPr>
      <w:r>
        <w:rPr>
          <w:rFonts w:hint="eastAsia" w:ascii="宋体" w:hAnsi="宋体" w:cs="宋体"/>
          <w:color w:val="auto"/>
          <w:spacing w:val="-13"/>
          <w:sz w:val="22"/>
          <w:szCs w:val="22"/>
          <w:highlight w:val="none"/>
          <w:lang w:val="zh-CN" w:bidi="zh-CN"/>
        </w:rPr>
        <w:t>采购人</w:t>
      </w:r>
      <w:r>
        <w:rPr>
          <w:rFonts w:hint="eastAsia" w:ascii="宋体" w:hAnsi="宋体" w:eastAsia="宋体" w:cs="宋体"/>
          <w:color w:val="auto"/>
          <w:spacing w:val="-13"/>
          <w:sz w:val="22"/>
          <w:szCs w:val="22"/>
          <w:highlight w:val="none"/>
          <w:lang w:val="zh-CN" w:bidi="zh-CN"/>
        </w:rPr>
        <w:t>在本章第 4.1.1 项规定的投标截止时间及响应文件提交截止时间（开启时间）和</w:t>
      </w:r>
      <w:r>
        <w:rPr>
          <w:rFonts w:hint="eastAsia" w:ascii="宋体" w:hAnsi="宋体" w:cs="宋体"/>
          <w:color w:val="auto"/>
          <w:spacing w:val="-13"/>
          <w:sz w:val="22"/>
          <w:szCs w:val="22"/>
          <w:highlight w:val="none"/>
          <w:lang w:val="zh-CN" w:bidi="zh-CN"/>
        </w:rPr>
        <w:t>响应人</w:t>
      </w:r>
      <w:r>
        <w:rPr>
          <w:rFonts w:hint="eastAsia" w:ascii="宋体" w:hAnsi="宋体" w:eastAsia="宋体" w:cs="宋体"/>
          <w:color w:val="auto"/>
          <w:spacing w:val="-13"/>
          <w:sz w:val="22"/>
          <w:szCs w:val="22"/>
          <w:highlight w:val="none"/>
          <w:lang w:val="zh-CN" w:bidi="zh-CN"/>
        </w:rPr>
        <w:t>须知前附表规定的地点进行竞争性磋商。届时</w:t>
      </w:r>
      <w:r>
        <w:rPr>
          <w:rFonts w:hint="eastAsia" w:ascii="宋体" w:hAnsi="宋体" w:cs="宋体"/>
          <w:color w:val="auto"/>
          <w:spacing w:val="-13"/>
          <w:sz w:val="22"/>
          <w:szCs w:val="22"/>
          <w:highlight w:val="none"/>
          <w:lang w:val="zh-CN" w:bidi="zh-CN"/>
        </w:rPr>
        <w:t>响应人</w:t>
      </w:r>
      <w:r>
        <w:rPr>
          <w:rFonts w:hint="eastAsia" w:ascii="宋体" w:hAnsi="宋体" w:eastAsia="宋体" w:cs="宋体"/>
          <w:color w:val="auto"/>
          <w:spacing w:val="-13"/>
          <w:sz w:val="22"/>
          <w:szCs w:val="22"/>
          <w:highlight w:val="none"/>
          <w:lang w:val="zh-CN" w:bidi="zh-CN"/>
        </w:rPr>
        <w:t>应在开标截止时间前，用信安 CA 数字证书登录淅川县公共资源交易中心并进入“不见面开标大厅”等候开标，在线准时参加开标活动并进行响应文件解密、答疑澄清等。</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13"/>
          <w:sz w:val="22"/>
          <w:szCs w:val="22"/>
          <w:highlight w:val="none"/>
          <w:lang w:val="zh-CN" w:bidi="zh-CN"/>
        </w:rPr>
      </w:pPr>
      <w:bookmarkStart w:id="41" w:name="5.2磋商程序"/>
      <w:bookmarkEnd w:id="41"/>
      <w:r>
        <w:rPr>
          <w:rFonts w:hint="eastAsia" w:ascii="宋体" w:hAnsi="宋体" w:eastAsia="宋体" w:cs="宋体"/>
          <w:color w:val="auto"/>
          <w:spacing w:val="-13"/>
          <w:sz w:val="22"/>
          <w:szCs w:val="22"/>
          <w:highlight w:val="none"/>
          <w:lang w:val="zh-CN" w:bidi="zh-CN"/>
        </w:rPr>
        <w:t>磋商程序</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pacing w:val="-12"/>
          <w:sz w:val="22"/>
          <w:szCs w:val="22"/>
          <w:highlight w:val="none"/>
          <w:lang w:val="zh-CN" w:bidi="zh-CN"/>
        </w:rPr>
      </w:pPr>
      <w:r>
        <w:rPr>
          <w:rFonts w:hint="eastAsia" w:ascii="宋体" w:hAnsi="宋体" w:eastAsia="宋体" w:cs="宋体"/>
          <w:color w:val="auto"/>
          <w:spacing w:val="-12"/>
          <w:sz w:val="22"/>
          <w:szCs w:val="22"/>
          <w:highlight w:val="none"/>
          <w:lang w:val="zh-CN" w:bidi="zh-CN"/>
        </w:rPr>
        <w:t>、按电子响应文件上传的顺序进行开标唱标</w:t>
      </w:r>
    </w:p>
    <w:p>
      <w:pPr>
        <w:widowControl w:val="0"/>
        <w:numPr>
          <w:ilvl w:val="2"/>
          <w:numId w:val="1"/>
        </w:numPr>
        <w:tabs>
          <w:tab w:val="left" w:pos="1452"/>
        </w:tabs>
        <w:autoSpaceDE w:val="0"/>
        <w:autoSpaceDN w:val="0"/>
        <w:spacing w:line="278" w:lineRule="auto"/>
        <w:ind w:right="523"/>
        <w:jc w:val="both"/>
        <w:rPr>
          <w:rFonts w:hint="eastAsia" w:ascii="宋体" w:hAnsi="宋体" w:eastAsia="宋体" w:cs="宋体"/>
          <w:color w:val="auto"/>
          <w:spacing w:val="-12"/>
          <w:sz w:val="22"/>
          <w:szCs w:val="22"/>
          <w:highlight w:val="none"/>
          <w:lang w:val="zh-CN" w:bidi="zh-CN"/>
        </w:rPr>
      </w:pPr>
      <w:r>
        <w:rPr>
          <w:rFonts w:hint="eastAsia" w:ascii="宋体" w:hAnsi="宋体" w:eastAsia="宋体" w:cs="宋体"/>
          <w:color w:val="auto"/>
          <w:spacing w:val="-12"/>
          <w:sz w:val="22"/>
          <w:szCs w:val="22"/>
          <w:highlight w:val="none"/>
          <w:lang w:val="zh-CN" w:bidi="zh-CN"/>
        </w:rPr>
        <w:t>、</w:t>
      </w:r>
      <w:r>
        <w:rPr>
          <w:rFonts w:hint="eastAsia" w:ascii="宋体" w:hAnsi="宋体" w:eastAsia="宋体" w:cs="宋体"/>
          <w:color w:val="auto"/>
          <w:spacing w:val="-12"/>
          <w:sz w:val="22"/>
          <w:szCs w:val="22"/>
          <w:highlight w:val="none"/>
          <w:lang w:bidi="zh-CN"/>
        </w:rPr>
        <w:t>本项目为不见面开标项目即</w:t>
      </w:r>
      <w:r>
        <w:rPr>
          <w:rFonts w:hint="eastAsia" w:ascii="宋体" w:hAnsi="宋体" w:cs="宋体"/>
          <w:color w:val="auto"/>
          <w:spacing w:val="-12"/>
          <w:sz w:val="22"/>
          <w:szCs w:val="22"/>
          <w:highlight w:val="none"/>
          <w:lang w:bidi="zh-CN"/>
        </w:rPr>
        <w:t>响应人</w:t>
      </w:r>
      <w:r>
        <w:rPr>
          <w:rFonts w:hint="eastAsia" w:ascii="宋体" w:hAnsi="宋体" w:eastAsia="宋体" w:cs="宋体"/>
          <w:color w:val="auto"/>
          <w:spacing w:val="-12"/>
          <w:sz w:val="22"/>
          <w:szCs w:val="22"/>
          <w:highlight w:val="none"/>
          <w:lang w:bidi="zh-CN"/>
        </w:rPr>
        <w:t>不再到现场参与开标会议，等开标时间截止后，各投标企业自行在</w:t>
      </w:r>
      <w:r>
        <w:rPr>
          <w:rFonts w:hint="eastAsia" w:ascii="宋体" w:hAnsi="宋体" w:eastAsia="宋体" w:cs="宋体"/>
          <w:color w:val="auto"/>
          <w:spacing w:val="-12"/>
          <w:sz w:val="22"/>
          <w:szCs w:val="22"/>
          <w:highlight w:val="none"/>
          <w:lang w:val="en-US" w:bidi="zh-CN"/>
        </w:rPr>
        <w:t>3</w:t>
      </w:r>
      <w:r>
        <w:rPr>
          <w:rFonts w:hint="eastAsia" w:ascii="宋体" w:hAnsi="宋体" w:eastAsia="宋体" w:cs="宋体"/>
          <w:color w:val="auto"/>
          <w:spacing w:val="-12"/>
          <w:sz w:val="22"/>
          <w:szCs w:val="22"/>
          <w:highlight w:val="none"/>
          <w:lang w:bidi="zh-CN"/>
        </w:rPr>
        <w:t>0分钟内远程解密响应文件，超过时限未解密的按无效标处理，若在</w:t>
      </w:r>
      <w:r>
        <w:rPr>
          <w:rFonts w:hint="eastAsia" w:ascii="宋体" w:hAnsi="宋体" w:eastAsia="宋体" w:cs="宋体"/>
          <w:color w:val="auto"/>
          <w:spacing w:val="-12"/>
          <w:sz w:val="22"/>
          <w:szCs w:val="22"/>
          <w:highlight w:val="none"/>
          <w:lang w:val="en-US" w:bidi="zh-CN"/>
        </w:rPr>
        <w:t>3</w:t>
      </w:r>
      <w:r>
        <w:rPr>
          <w:rFonts w:hint="eastAsia" w:ascii="宋体" w:hAnsi="宋体" w:eastAsia="宋体" w:cs="宋体"/>
          <w:color w:val="auto"/>
          <w:spacing w:val="-12"/>
          <w:sz w:val="22"/>
          <w:szCs w:val="22"/>
          <w:highlight w:val="none"/>
          <w:lang w:bidi="zh-CN"/>
        </w:rPr>
        <w:t>0分钟内未提出异议，视为无异议，认可开标结果；本项目采用竞争性磋商方式，开标结束后，</w:t>
      </w:r>
      <w:r>
        <w:rPr>
          <w:rFonts w:hint="eastAsia" w:ascii="宋体" w:hAnsi="宋体" w:cs="宋体"/>
          <w:color w:val="auto"/>
          <w:spacing w:val="-12"/>
          <w:sz w:val="22"/>
          <w:szCs w:val="22"/>
          <w:highlight w:val="none"/>
          <w:lang w:bidi="zh-CN"/>
        </w:rPr>
        <w:t>响应人</w:t>
      </w:r>
      <w:r>
        <w:rPr>
          <w:rFonts w:hint="eastAsia" w:ascii="宋体" w:hAnsi="宋体" w:eastAsia="宋体" w:cs="宋体"/>
          <w:color w:val="auto"/>
          <w:spacing w:val="-12"/>
          <w:sz w:val="22"/>
          <w:szCs w:val="22"/>
          <w:highlight w:val="none"/>
          <w:lang w:bidi="zh-CN"/>
        </w:rPr>
        <w:t>在谈判大厅等待，各</w:t>
      </w:r>
      <w:r>
        <w:rPr>
          <w:rFonts w:hint="eastAsia" w:ascii="宋体" w:hAnsi="宋体" w:cs="宋体"/>
          <w:color w:val="auto"/>
          <w:spacing w:val="-12"/>
          <w:sz w:val="22"/>
          <w:szCs w:val="22"/>
          <w:highlight w:val="none"/>
          <w:lang w:bidi="zh-CN"/>
        </w:rPr>
        <w:t>响应单位</w:t>
      </w:r>
      <w:r>
        <w:rPr>
          <w:rFonts w:hint="eastAsia" w:ascii="宋体" w:hAnsi="宋体" w:eastAsia="宋体" w:cs="宋体"/>
          <w:color w:val="auto"/>
          <w:spacing w:val="-12"/>
          <w:sz w:val="22"/>
          <w:szCs w:val="22"/>
          <w:highlight w:val="none"/>
          <w:lang w:bidi="zh-CN"/>
        </w:rPr>
        <w:t>必须安排专人值守，确保在线，二次报价在专家提起报价后完成。在评标期间，随时接受评标委员会在线问询，若未在评标委员会发起质疑30分钟内进行答疑的，视为放弃答疑机会。</w:t>
      </w:r>
    </w:p>
    <w:p>
      <w:pPr>
        <w:widowControl w:val="0"/>
        <w:numPr>
          <w:ilvl w:val="1"/>
          <w:numId w:val="1"/>
        </w:numPr>
        <w:tabs>
          <w:tab w:val="left" w:pos="876"/>
        </w:tabs>
        <w:autoSpaceDE w:val="0"/>
        <w:autoSpaceDN w:val="0"/>
        <w:spacing w:before="19"/>
        <w:rPr>
          <w:rFonts w:hint="eastAsia" w:ascii="宋体" w:hAnsi="宋体" w:eastAsia="宋体" w:cs="宋体"/>
          <w:b/>
          <w:color w:val="auto"/>
          <w:sz w:val="22"/>
          <w:szCs w:val="22"/>
          <w:highlight w:val="none"/>
          <w:lang w:val="zh-CN" w:bidi="zh-CN"/>
        </w:rPr>
      </w:pPr>
      <w:r>
        <w:rPr>
          <w:rFonts w:hint="eastAsia" w:ascii="宋体" w:hAnsi="宋体" w:eastAsia="宋体" w:cs="宋体"/>
          <w:b/>
          <w:color w:val="auto"/>
          <w:sz w:val="22"/>
          <w:szCs w:val="22"/>
          <w:highlight w:val="none"/>
          <w:lang w:val="zh-CN" w:bidi="zh-CN"/>
        </w:rPr>
        <w:t>磋商</w:t>
      </w:r>
    </w:p>
    <w:p>
      <w:pPr>
        <w:widowControl w:val="0"/>
        <w:numPr>
          <w:ilvl w:val="2"/>
          <w:numId w:val="1"/>
        </w:numPr>
        <w:tabs>
          <w:tab w:val="left" w:pos="1452"/>
        </w:tabs>
        <w:autoSpaceDE w:val="0"/>
        <w:autoSpaceDN w:val="0"/>
        <w:spacing w:before="23"/>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磋商小组</w:t>
      </w:r>
    </w:p>
    <w:p>
      <w:pPr>
        <w:widowControl w:val="0"/>
        <w:autoSpaceDE w:val="0"/>
        <w:autoSpaceDN w:val="0"/>
        <w:spacing w:before="2" w:line="244" w:lineRule="auto"/>
        <w:ind w:left="508" w:right="526" w:firstLine="420"/>
        <w:rPr>
          <w:rFonts w:hint="eastAsia" w:ascii="宋体" w:hAnsi="宋体" w:eastAsia="宋体" w:cs="宋体"/>
          <w:color w:val="auto"/>
          <w:spacing w:val="2"/>
          <w:sz w:val="22"/>
          <w:szCs w:val="22"/>
          <w:highlight w:val="none"/>
          <w:lang w:val="zh-CN" w:bidi="zh-CN"/>
        </w:rPr>
      </w:pPr>
      <w:r>
        <w:rPr>
          <w:rFonts w:hint="eastAsia" w:ascii="宋体" w:hAnsi="宋体" w:eastAsia="宋体" w:cs="宋体"/>
          <w:color w:val="auto"/>
          <w:spacing w:val="-12"/>
          <w:sz w:val="22"/>
          <w:szCs w:val="22"/>
          <w:highlight w:val="none"/>
          <w:lang w:val="zh-CN" w:bidi="zh-CN"/>
        </w:rPr>
        <w:t>(1) 磋商工作由采购人依法组建的磋商小组负责。磋商小组由采购人或其委托的</w:t>
      </w:r>
      <w:r>
        <w:rPr>
          <w:rFonts w:hint="eastAsia" w:ascii="宋体" w:hAnsi="宋体" w:cs="宋体"/>
          <w:color w:val="auto"/>
          <w:spacing w:val="-12"/>
          <w:sz w:val="22"/>
          <w:szCs w:val="22"/>
          <w:highlight w:val="none"/>
          <w:lang w:val="zh-CN" w:bidi="zh-CN"/>
        </w:rPr>
        <w:t>采购代理</w:t>
      </w:r>
      <w:r>
        <w:rPr>
          <w:rFonts w:hint="eastAsia" w:ascii="宋体" w:hAnsi="宋体" w:eastAsia="宋体" w:cs="宋体"/>
          <w:color w:val="auto"/>
          <w:spacing w:val="-12"/>
          <w:sz w:val="22"/>
          <w:szCs w:val="22"/>
          <w:highlight w:val="none"/>
          <w:lang w:val="zh-CN" w:bidi="zh-CN"/>
        </w:rPr>
        <w:t>机构熟悉相关业务的代表，以及有关技术、经济等方面的专家组成。磋商小组成员人数以及技术、经济等方面专</w:t>
      </w:r>
      <w:r>
        <w:rPr>
          <w:rFonts w:hint="eastAsia" w:ascii="宋体" w:hAnsi="宋体" w:eastAsia="宋体" w:cs="宋体"/>
          <w:color w:val="auto"/>
          <w:spacing w:val="2"/>
          <w:sz w:val="22"/>
          <w:szCs w:val="22"/>
          <w:highlight w:val="none"/>
          <w:lang w:val="zh-CN" w:bidi="zh-CN"/>
        </w:rPr>
        <w:t>家的确定方式见</w:t>
      </w:r>
      <w:r>
        <w:rPr>
          <w:rFonts w:hint="eastAsia" w:ascii="宋体" w:hAnsi="宋体" w:cs="宋体"/>
          <w:color w:val="auto"/>
          <w:spacing w:val="2"/>
          <w:sz w:val="22"/>
          <w:szCs w:val="22"/>
          <w:highlight w:val="none"/>
          <w:lang w:val="zh-CN" w:bidi="zh-CN"/>
        </w:rPr>
        <w:t>响应人</w:t>
      </w:r>
      <w:r>
        <w:rPr>
          <w:rFonts w:hint="eastAsia" w:ascii="宋体" w:hAnsi="宋体" w:eastAsia="宋体" w:cs="宋体"/>
          <w:color w:val="auto"/>
          <w:spacing w:val="2"/>
          <w:sz w:val="22"/>
          <w:szCs w:val="22"/>
          <w:highlight w:val="none"/>
          <w:lang w:val="zh-CN" w:bidi="zh-CN"/>
        </w:rPr>
        <w:t>须知前附表。</w:t>
      </w:r>
    </w:p>
    <w:p>
      <w:pPr>
        <w:widowControl w:val="0"/>
        <w:numPr>
          <w:ilvl w:val="2"/>
          <w:numId w:val="1"/>
        </w:numPr>
        <w:tabs>
          <w:tab w:val="left" w:pos="1452"/>
        </w:tabs>
        <w:autoSpaceDE w:val="0"/>
        <w:autoSpaceDN w:val="0"/>
        <w:spacing w:before="15"/>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w:t>
      </w:r>
    </w:p>
    <w:p>
      <w:pPr>
        <w:widowControl w:val="0"/>
        <w:numPr>
          <w:ilvl w:val="0"/>
          <w:numId w:val="0"/>
        </w:numPr>
        <w:tabs>
          <w:tab w:val="left" w:pos="1349"/>
        </w:tabs>
        <w:autoSpaceDE w:val="0"/>
        <w:autoSpaceDN w:val="0"/>
        <w:spacing w:before="24" w:line="242" w:lineRule="auto"/>
        <w:ind w:left="928" w:leftChars="0" w:right="420" w:rightChars="0"/>
        <w:rPr>
          <w:rFonts w:hint="eastAsia" w:ascii="宋体" w:hAnsi="宋体" w:eastAsia="宋体" w:cs="宋体"/>
          <w:color w:val="auto"/>
          <w:spacing w:val="-7"/>
          <w:sz w:val="22"/>
          <w:szCs w:val="22"/>
          <w:highlight w:val="none"/>
          <w:lang w:val="zh-CN" w:bidi="zh-CN"/>
        </w:rPr>
      </w:pPr>
      <w:r>
        <w:rPr>
          <w:rFonts w:hint="eastAsia" w:ascii="宋体" w:hAnsi="宋体" w:eastAsia="宋体" w:cs="宋体"/>
          <w:color w:val="auto"/>
          <w:spacing w:val="-7"/>
          <w:sz w:val="22"/>
          <w:szCs w:val="22"/>
          <w:highlight w:val="none"/>
          <w:lang w:val="zh-CN" w:bidi="zh-CN"/>
        </w:rPr>
        <w:t>（</w:t>
      </w:r>
      <w:r>
        <w:rPr>
          <w:rFonts w:hint="eastAsia" w:ascii="宋体" w:hAnsi="宋体" w:eastAsia="宋体" w:cs="宋体"/>
          <w:color w:val="auto"/>
          <w:spacing w:val="-7"/>
          <w:sz w:val="22"/>
          <w:szCs w:val="22"/>
          <w:highlight w:val="none"/>
          <w:lang w:val="en-US" w:bidi="zh-CN"/>
        </w:rPr>
        <w:t>1</w:t>
      </w:r>
      <w:r>
        <w:rPr>
          <w:rFonts w:hint="eastAsia" w:ascii="宋体" w:hAnsi="宋体" w:eastAsia="宋体" w:cs="宋体"/>
          <w:color w:val="auto"/>
          <w:spacing w:val="-7"/>
          <w:sz w:val="22"/>
          <w:szCs w:val="22"/>
          <w:highlight w:val="none"/>
          <w:lang w:val="zh-CN" w:bidi="zh-CN"/>
        </w:rPr>
        <w:t>）磋商小组成员应当按照客观、公正、审慎的原则，根据竞争性磋商文件第三章规定的评审程序、评审方法和评审标准进行独立评审。未实质性响应磋商文件的响应文件按无效响应处理</w:t>
      </w:r>
      <w:r>
        <w:rPr>
          <w:rFonts w:hint="eastAsia" w:ascii="宋体" w:hAnsi="宋体" w:eastAsia="宋体" w:cs="宋体"/>
          <w:color w:val="auto"/>
          <w:spacing w:val="-7"/>
          <w:sz w:val="22"/>
          <w:szCs w:val="22"/>
          <w:highlight w:val="none"/>
          <w:lang w:val="zh-CN" w:eastAsia="zh-CN" w:bidi="zh-CN"/>
        </w:rPr>
        <w:t>，</w:t>
      </w:r>
      <w:r>
        <w:rPr>
          <w:rFonts w:hint="eastAsia" w:ascii="宋体" w:hAnsi="宋体" w:eastAsia="宋体" w:cs="宋体"/>
          <w:color w:val="auto"/>
          <w:spacing w:val="-7"/>
          <w:sz w:val="22"/>
          <w:szCs w:val="22"/>
          <w:highlight w:val="none"/>
          <w:lang w:val="zh-CN" w:bidi="zh-CN"/>
        </w:rPr>
        <w:t>磋商小组应当告知提交响应文件的</w:t>
      </w:r>
      <w:r>
        <w:rPr>
          <w:rFonts w:hint="eastAsia" w:ascii="宋体" w:hAnsi="宋体" w:cs="宋体"/>
          <w:color w:val="auto"/>
          <w:spacing w:val="-7"/>
          <w:sz w:val="22"/>
          <w:szCs w:val="22"/>
          <w:highlight w:val="none"/>
          <w:lang w:val="zh-CN" w:bidi="zh-CN"/>
        </w:rPr>
        <w:t>响应人</w:t>
      </w:r>
      <w:r>
        <w:rPr>
          <w:rFonts w:hint="eastAsia" w:ascii="宋体" w:hAnsi="宋体" w:eastAsia="宋体" w:cs="宋体"/>
          <w:color w:val="auto"/>
          <w:spacing w:val="-7"/>
          <w:sz w:val="22"/>
          <w:szCs w:val="22"/>
          <w:highlight w:val="none"/>
          <w:lang w:val="zh-CN" w:bidi="zh-CN"/>
        </w:rPr>
        <w:t>。</w:t>
      </w:r>
    </w:p>
    <w:p>
      <w:pPr>
        <w:widowControl w:val="0"/>
        <w:numPr>
          <w:ilvl w:val="0"/>
          <w:numId w:val="0"/>
        </w:numPr>
        <w:tabs>
          <w:tab w:val="left" w:pos="1349"/>
        </w:tabs>
        <w:autoSpaceDE w:val="0"/>
        <w:autoSpaceDN w:val="0"/>
        <w:spacing w:before="24" w:line="242" w:lineRule="auto"/>
        <w:ind w:left="928" w:leftChars="0" w:right="420" w:rightChars="0"/>
        <w:rPr>
          <w:rFonts w:hint="eastAsia" w:ascii="宋体" w:hAnsi="宋体" w:eastAsia="宋体" w:cs="宋体"/>
          <w:color w:val="auto"/>
          <w:spacing w:val="-7"/>
          <w:sz w:val="22"/>
          <w:szCs w:val="22"/>
          <w:highlight w:val="none"/>
          <w:lang w:val="zh-CN" w:bidi="zh-CN"/>
        </w:rPr>
      </w:pPr>
      <w:r>
        <w:rPr>
          <w:rFonts w:hint="eastAsia" w:ascii="宋体" w:hAnsi="宋体" w:eastAsia="宋体" w:cs="宋体"/>
          <w:color w:val="auto"/>
          <w:spacing w:val="-7"/>
          <w:sz w:val="22"/>
          <w:szCs w:val="22"/>
          <w:highlight w:val="none"/>
          <w:lang w:val="zh-CN" w:bidi="zh-CN"/>
        </w:rPr>
        <w:t>（</w:t>
      </w:r>
      <w:r>
        <w:rPr>
          <w:rFonts w:hint="eastAsia" w:ascii="宋体" w:hAnsi="宋体" w:eastAsia="宋体" w:cs="宋体"/>
          <w:color w:val="auto"/>
          <w:spacing w:val="-7"/>
          <w:sz w:val="22"/>
          <w:szCs w:val="22"/>
          <w:highlight w:val="none"/>
          <w:lang w:val="en-US" w:bidi="zh-CN"/>
        </w:rPr>
        <w:t>2</w:t>
      </w:r>
      <w:r>
        <w:rPr>
          <w:rFonts w:hint="eastAsia" w:ascii="宋体" w:hAnsi="宋体" w:eastAsia="宋体" w:cs="宋体"/>
          <w:color w:val="auto"/>
          <w:spacing w:val="-7"/>
          <w:sz w:val="22"/>
          <w:szCs w:val="22"/>
          <w:highlight w:val="none"/>
          <w:lang w:val="zh-CN" w:bidi="zh-CN"/>
        </w:rPr>
        <w:t>）竞争性磋商文件内容违反国家有关强制性规定的，磋商小组应当停止评审并向</w:t>
      </w:r>
      <w:r>
        <w:rPr>
          <w:rFonts w:hint="eastAsia" w:ascii="宋体" w:hAnsi="宋体" w:cs="宋体"/>
          <w:color w:val="auto"/>
          <w:spacing w:val="-7"/>
          <w:sz w:val="22"/>
          <w:szCs w:val="22"/>
          <w:highlight w:val="none"/>
          <w:lang w:val="zh-CN" w:bidi="zh-CN"/>
        </w:rPr>
        <w:t>采购人</w:t>
      </w:r>
      <w:r>
        <w:rPr>
          <w:rFonts w:hint="eastAsia" w:ascii="宋体" w:hAnsi="宋体" w:eastAsia="宋体" w:cs="宋体"/>
          <w:color w:val="auto"/>
          <w:spacing w:val="-7"/>
          <w:sz w:val="22"/>
          <w:szCs w:val="22"/>
          <w:highlight w:val="none"/>
          <w:lang w:val="zh-CN" w:bidi="zh-CN"/>
        </w:rPr>
        <w:t>或者</w:t>
      </w:r>
      <w:r>
        <w:rPr>
          <w:rFonts w:hint="eastAsia" w:ascii="宋体" w:hAnsi="宋体" w:cs="宋体"/>
          <w:color w:val="auto"/>
          <w:spacing w:val="-7"/>
          <w:sz w:val="22"/>
          <w:szCs w:val="22"/>
          <w:highlight w:val="none"/>
          <w:lang w:val="zh-CN" w:bidi="zh-CN"/>
        </w:rPr>
        <w:t>采购代理</w:t>
      </w:r>
      <w:r>
        <w:rPr>
          <w:rFonts w:hint="eastAsia" w:ascii="宋体" w:hAnsi="宋体" w:eastAsia="宋体" w:cs="宋体"/>
          <w:color w:val="auto"/>
          <w:spacing w:val="-7"/>
          <w:sz w:val="22"/>
          <w:szCs w:val="22"/>
          <w:highlight w:val="none"/>
          <w:lang w:val="zh-CN" w:bidi="zh-CN"/>
        </w:rPr>
        <w:t>机构说明情况。</w:t>
      </w:r>
    </w:p>
    <w:p>
      <w:pPr>
        <w:widowControl w:val="0"/>
        <w:numPr>
          <w:ilvl w:val="2"/>
          <w:numId w:val="1"/>
        </w:numPr>
        <w:tabs>
          <w:tab w:val="left" w:pos="1452"/>
        </w:tabs>
        <w:autoSpaceDE w:val="0"/>
        <w:autoSpaceDN w:val="0"/>
        <w:spacing w:before="11"/>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评审报告</w:t>
      </w:r>
    </w:p>
    <w:p>
      <w:pPr>
        <w:widowControl w:val="0"/>
        <w:autoSpaceDE w:val="0"/>
        <w:autoSpaceDN w:val="0"/>
        <w:spacing w:before="21"/>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磋商小组应当根据评审记录和评审结果编写评审报告，其主要内容包括：</w:t>
      </w:r>
    </w:p>
    <w:p>
      <w:pPr>
        <w:widowControl w:val="0"/>
        <w:numPr>
          <w:ilvl w:val="0"/>
          <w:numId w:val="0"/>
        </w:numPr>
        <w:tabs>
          <w:tab w:val="left" w:pos="1349"/>
        </w:tabs>
        <w:autoSpaceDE w:val="0"/>
        <w:autoSpaceDN w:val="0"/>
        <w:spacing w:before="4"/>
        <w:ind w:left="927" w:lef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1</w:t>
      </w:r>
      <w:r>
        <w:rPr>
          <w:rFonts w:hint="eastAsia" w:ascii="宋体" w:hAnsi="宋体" w:eastAsia="宋体" w:cs="宋体"/>
          <w:color w:val="auto"/>
          <w:sz w:val="22"/>
          <w:szCs w:val="22"/>
          <w:highlight w:val="none"/>
          <w:lang w:val="zh-CN" w:bidi="zh-CN"/>
        </w:rPr>
        <w:t>）邀请</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参加采购活动的具体方式和相关情况；</w:t>
      </w:r>
    </w:p>
    <w:p>
      <w:pPr>
        <w:widowControl w:val="0"/>
        <w:numPr>
          <w:ilvl w:val="0"/>
          <w:numId w:val="0"/>
        </w:numPr>
        <w:tabs>
          <w:tab w:val="left" w:pos="1349"/>
        </w:tabs>
        <w:autoSpaceDE w:val="0"/>
        <w:autoSpaceDN w:val="0"/>
        <w:spacing w:before="3"/>
        <w:ind w:left="927" w:lef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2</w:t>
      </w:r>
      <w:r>
        <w:rPr>
          <w:rFonts w:hint="eastAsia" w:ascii="宋体" w:hAnsi="宋体" w:eastAsia="宋体" w:cs="宋体"/>
          <w:color w:val="auto"/>
          <w:sz w:val="22"/>
          <w:szCs w:val="22"/>
          <w:highlight w:val="none"/>
          <w:lang w:val="zh-CN" w:bidi="zh-CN"/>
        </w:rPr>
        <w:t>）响应文件开启日期和地点；</w:t>
      </w:r>
    </w:p>
    <w:p>
      <w:pPr>
        <w:widowControl w:val="0"/>
        <w:numPr>
          <w:ilvl w:val="0"/>
          <w:numId w:val="0"/>
        </w:numPr>
        <w:tabs>
          <w:tab w:val="left" w:pos="1349"/>
        </w:tabs>
        <w:autoSpaceDE w:val="0"/>
        <w:autoSpaceDN w:val="0"/>
        <w:spacing w:before="4"/>
        <w:ind w:left="927" w:leftChars="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3</w:t>
      </w:r>
      <w:r>
        <w:rPr>
          <w:rFonts w:hint="eastAsia" w:ascii="宋体" w:hAnsi="宋体" w:eastAsia="宋体" w:cs="宋体"/>
          <w:color w:val="auto"/>
          <w:sz w:val="22"/>
          <w:szCs w:val="22"/>
          <w:highlight w:val="none"/>
          <w:lang w:val="zh-CN" w:bidi="zh-CN"/>
        </w:rPr>
        <w:t>）获取竞争性磋商文件的</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名单和磋商小组成员名单；</w:t>
      </w:r>
    </w:p>
    <w:p>
      <w:pPr>
        <w:widowControl w:val="0"/>
        <w:numPr>
          <w:ilvl w:val="0"/>
          <w:numId w:val="0"/>
        </w:numPr>
        <w:tabs>
          <w:tab w:val="left" w:pos="1349"/>
        </w:tabs>
        <w:autoSpaceDE w:val="0"/>
        <w:autoSpaceDN w:val="0"/>
        <w:spacing w:before="4"/>
        <w:ind w:left="1586" w:leftChars="441" w:hanging="660" w:hangingChars="30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4</w:t>
      </w:r>
      <w:r>
        <w:rPr>
          <w:rFonts w:hint="eastAsia" w:ascii="宋体" w:hAnsi="宋体" w:eastAsia="宋体" w:cs="宋体"/>
          <w:color w:val="auto"/>
          <w:sz w:val="22"/>
          <w:szCs w:val="22"/>
          <w:highlight w:val="none"/>
          <w:lang w:val="zh-CN" w:bidi="zh-CN"/>
        </w:rPr>
        <w:t>）评审情况记录和说明，包括对</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的资格审查情况、</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响应文件评审情况、磋商情况、报价情况等；</w:t>
      </w:r>
    </w:p>
    <w:p>
      <w:pPr>
        <w:widowControl w:val="0"/>
        <w:numPr>
          <w:ilvl w:val="0"/>
          <w:numId w:val="0"/>
        </w:numPr>
        <w:tabs>
          <w:tab w:val="left" w:pos="1349"/>
        </w:tabs>
        <w:autoSpaceDE w:val="0"/>
        <w:autoSpaceDN w:val="0"/>
        <w:spacing w:line="268" w:lineRule="exact"/>
        <w:ind w:left="927" w:leftChars="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w:t>
      </w:r>
      <w:r>
        <w:rPr>
          <w:rFonts w:hint="eastAsia" w:ascii="宋体" w:hAnsi="宋体" w:eastAsia="宋体" w:cs="宋体"/>
          <w:color w:val="auto"/>
          <w:sz w:val="22"/>
          <w:szCs w:val="22"/>
          <w:highlight w:val="none"/>
          <w:lang w:val="en-US" w:bidi="zh-CN"/>
        </w:rPr>
        <w:t>5</w:t>
      </w:r>
      <w:r>
        <w:rPr>
          <w:rFonts w:hint="eastAsia" w:ascii="宋体" w:hAnsi="宋体" w:eastAsia="宋体" w:cs="宋体"/>
          <w:color w:val="auto"/>
          <w:sz w:val="22"/>
          <w:szCs w:val="22"/>
          <w:highlight w:val="none"/>
          <w:lang w:val="zh-CN" w:bidi="zh-CN"/>
        </w:rPr>
        <w:t>）提出的成交候选</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的排序名单及理由。</w:t>
      </w:r>
    </w:p>
    <w:p>
      <w:pPr>
        <w:widowControl w:val="0"/>
        <w:autoSpaceDE w:val="0"/>
        <w:autoSpaceDN w:val="0"/>
        <w:spacing w:before="4" w:line="242" w:lineRule="auto"/>
        <w:ind w:left="508" w:right="528"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评审报告应当由磋商小组全体人员签字认可。磋商小组成员对评审报告有异议的，磋商小组按照少数服从多数的原则推荐成交候选人，采购程序继续进行。对评审报告有异议的磋商小组成员，应当在报告上签署不同意见并说明理由，由磋商小组记录相关情况。磋商小组成员拒绝在报告上签字又不说明其不同意见和理由的，视为同意评审报告。</w:t>
      </w:r>
    </w:p>
    <w:p>
      <w:pPr>
        <w:widowControl w:val="0"/>
        <w:autoSpaceDE w:val="0"/>
        <w:autoSpaceDN w:val="0"/>
        <w:spacing w:before="3"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9"/>
          <w:sz w:val="22"/>
          <w:szCs w:val="22"/>
          <w:highlight w:val="none"/>
          <w:lang w:val="zh-CN" w:bidi="zh-CN"/>
        </w:rPr>
        <w:t>评审完成后，磋商小组应当向采购人提交评审报告和成交候选人名单。磋商小组推荐成交候选人的人数见</w:t>
      </w:r>
      <w:r>
        <w:rPr>
          <w:rFonts w:hint="eastAsia" w:ascii="宋体" w:hAnsi="宋体" w:cs="宋体"/>
          <w:color w:val="auto"/>
          <w:spacing w:val="-9"/>
          <w:sz w:val="22"/>
          <w:szCs w:val="22"/>
          <w:highlight w:val="none"/>
          <w:lang w:val="zh-CN" w:bidi="zh-CN"/>
        </w:rPr>
        <w:t>响应人</w:t>
      </w:r>
      <w:r>
        <w:rPr>
          <w:rFonts w:hint="eastAsia" w:ascii="宋体" w:hAnsi="宋体" w:eastAsia="宋体" w:cs="宋体"/>
          <w:color w:val="auto"/>
          <w:spacing w:val="-9"/>
          <w:sz w:val="22"/>
          <w:szCs w:val="22"/>
          <w:highlight w:val="none"/>
          <w:lang w:val="zh-CN" w:bidi="zh-CN"/>
        </w:rPr>
        <w:t>须知前附表。</w:t>
      </w:r>
    </w:p>
    <w:p>
      <w:pPr>
        <w:widowControl w:val="0"/>
        <w:numPr>
          <w:ilvl w:val="1"/>
          <w:numId w:val="1"/>
        </w:numPr>
        <w:tabs>
          <w:tab w:val="left" w:pos="876"/>
        </w:tabs>
        <w:autoSpaceDE w:val="0"/>
        <w:autoSpaceDN w:val="0"/>
        <w:spacing w:before="20"/>
        <w:outlineLvl w:val="4"/>
        <w:rPr>
          <w:rFonts w:hint="eastAsia" w:ascii="宋体" w:hAnsi="宋体" w:eastAsia="宋体" w:cs="宋体"/>
          <w:b/>
          <w:bCs/>
          <w:color w:val="auto"/>
          <w:sz w:val="22"/>
          <w:szCs w:val="22"/>
          <w:highlight w:val="none"/>
          <w:lang w:val="zh-CN" w:bidi="zh-CN"/>
        </w:rPr>
      </w:pPr>
      <w:bookmarkStart w:id="42" w:name="5.4磋商过程的保密性"/>
      <w:bookmarkEnd w:id="42"/>
      <w:r>
        <w:rPr>
          <w:rFonts w:hint="eastAsia" w:ascii="宋体" w:hAnsi="宋体" w:eastAsia="宋体" w:cs="宋体"/>
          <w:b/>
          <w:bCs/>
          <w:color w:val="auto"/>
          <w:sz w:val="22"/>
          <w:szCs w:val="22"/>
          <w:highlight w:val="none"/>
          <w:lang w:val="zh-CN" w:bidi="zh-CN"/>
        </w:rPr>
        <w:t>磋商过程的保密性</w:t>
      </w:r>
    </w:p>
    <w:p>
      <w:pPr>
        <w:widowControl w:val="0"/>
        <w:numPr>
          <w:ilvl w:val="2"/>
          <w:numId w:val="1"/>
        </w:numPr>
        <w:tabs>
          <w:tab w:val="left" w:pos="1558"/>
        </w:tabs>
        <w:autoSpaceDE w:val="0"/>
        <w:autoSpaceDN w:val="0"/>
        <w:spacing w:before="43" w:line="278" w:lineRule="auto"/>
        <w:ind w:right="526"/>
        <w:rPr>
          <w:rFonts w:hint="eastAsia" w:ascii="宋体" w:hAnsi="宋体" w:eastAsia="宋体" w:cs="宋体"/>
          <w:color w:val="auto"/>
          <w:spacing w:val="-8"/>
          <w:sz w:val="22"/>
          <w:szCs w:val="22"/>
          <w:highlight w:val="none"/>
          <w:lang w:val="zh-CN" w:bidi="zh-CN"/>
        </w:rPr>
      </w:pPr>
      <w:r>
        <w:rPr>
          <w:rFonts w:hint="eastAsia" w:ascii="宋体" w:hAnsi="宋体" w:eastAsia="宋体" w:cs="宋体"/>
          <w:color w:val="auto"/>
          <w:spacing w:val="-8"/>
          <w:sz w:val="22"/>
          <w:szCs w:val="22"/>
          <w:highlight w:val="none"/>
          <w:lang w:val="zh-CN" w:bidi="zh-CN"/>
        </w:rPr>
        <w:t>磋商期间，直到授予成交人合同止，凡是与磋商响应文件审查、澄清、评价、比较以及推荐成交人等方面的情况，均不得向</w:t>
      </w:r>
      <w:r>
        <w:rPr>
          <w:rFonts w:hint="eastAsia" w:ascii="宋体" w:hAnsi="宋体" w:cs="宋体"/>
          <w:color w:val="auto"/>
          <w:spacing w:val="-8"/>
          <w:sz w:val="22"/>
          <w:szCs w:val="22"/>
          <w:highlight w:val="none"/>
          <w:lang w:val="zh-CN" w:bidi="zh-CN"/>
        </w:rPr>
        <w:t>响应人</w:t>
      </w:r>
      <w:r>
        <w:rPr>
          <w:rFonts w:hint="eastAsia" w:ascii="宋体" w:hAnsi="宋体" w:eastAsia="宋体" w:cs="宋体"/>
          <w:color w:val="auto"/>
          <w:spacing w:val="-8"/>
          <w:sz w:val="22"/>
          <w:szCs w:val="22"/>
          <w:highlight w:val="none"/>
          <w:lang w:val="zh-CN" w:bidi="zh-CN"/>
        </w:rPr>
        <w:t>或其他无关的人员透露。</w:t>
      </w:r>
    </w:p>
    <w:p>
      <w:pPr>
        <w:widowControl w:val="0"/>
        <w:numPr>
          <w:ilvl w:val="2"/>
          <w:numId w:val="1"/>
        </w:numPr>
        <w:tabs>
          <w:tab w:val="left" w:pos="1452"/>
        </w:tabs>
        <w:autoSpaceDE w:val="0"/>
        <w:autoSpaceDN w:val="0"/>
        <w:spacing w:line="278" w:lineRule="auto"/>
        <w:ind w:right="5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在磋商过程中，</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如向磋商小组成员施加任何影响，都将会导致其磋商被拒绝，政府采购监管部门将记录其不良行为。</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bookmarkStart w:id="43" w:name="5.5终止竞争性磋商采购活动"/>
      <w:bookmarkEnd w:id="43"/>
      <w:r>
        <w:rPr>
          <w:rFonts w:hint="eastAsia" w:ascii="宋体" w:hAnsi="宋体" w:eastAsia="宋体" w:cs="宋体"/>
          <w:b/>
          <w:bCs/>
          <w:color w:val="auto"/>
          <w:sz w:val="22"/>
          <w:szCs w:val="22"/>
          <w:highlight w:val="none"/>
          <w:lang w:val="zh-CN" w:bidi="zh-CN"/>
        </w:rPr>
        <w:t>终止竞争性磋商采购活动</w:t>
      </w:r>
    </w:p>
    <w:p>
      <w:pPr>
        <w:widowControl w:val="0"/>
        <w:autoSpaceDE w:val="0"/>
        <w:autoSpaceDN w:val="0"/>
        <w:spacing w:before="24" w:line="242" w:lineRule="auto"/>
        <w:ind w:left="508" w:right="526" w:firstLine="420"/>
        <w:rPr>
          <w:rFonts w:hint="eastAsia" w:ascii="宋体" w:hAnsi="宋体" w:eastAsia="宋体" w:cs="宋体"/>
          <w:color w:val="auto"/>
          <w:spacing w:val="-7"/>
          <w:sz w:val="22"/>
          <w:szCs w:val="22"/>
          <w:highlight w:val="none"/>
          <w:lang w:val="zh-CN" w:bidi="zh-CN"/>
        </w:rPr>
      </w:pPr>
      <w:r>
        <w:rPr>
          <w:rFonts w:hint="eastAsia" w:ascii="宋体" w:hAnsi="宋体" w:eastAsia="宋体" w:cs="宋体"/>
          <w:color w:val="auto"/>
          <w:spacing w:val="-7"/>
          <w:sz w:val="22"/>
          <w:szCs w:val="22"/>
          <w:highlight w:val="none"/>
          <w:lang w:val="zh-CN" w:bidi="zh-CN"/>
        </w:rPr>
        <w:t>出现下列情形之一的，采购人或者采购代理机构应当终止竞争性磋商采购活动，发布项目终止公告并说明原因，重新开展采购活动：</w:t>
      </w:r>
    </w:p>
    <w:p>
      <w:pPr>
        <w:widowControl w:val="0"/>
        <w:numPr>
          <w:ilvl w:val="0"/>
          <w:numId w:val="2"/>
        </w:numPr>
        <w:tabs>
          <w:tab w:val="left" w:pos="1349"/>
        </w:tabs>
        <w:autoSpaceDE w:val="0"/>
        <w:autoSpaceDN w:val="0"/>
        <w:spacing w:line="268" w:lineRule="exact"/>
        <w:ind w:left="1348" w:hanging="421"/>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因情况变化，不再符合规定的竞争性磋商采购方式适用情形的；</w:t>
      </w:r>
    </w:p>
    <w:p>
      <w:pPr>
        <w:widowControl w:val="0"/>
        <w:numPr>
          <w:ilvl w:val="0"/>
          <w:numId w:val="2"/>
        </w:numPr>
        <w:tabs>
          <w:tab w:val="left" w:pos="1349"/>
        </w:tabs>
        <w:autoSpaceDE w:val="0"/>
        <w:autoSpaceDN w:val="0"/>
        <w:spacing w:before="4"/>
        <w:ind w:left="1348" w:hanging="421"/>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出现影响采购公正的违法、违规行为的；</w:t>
      </w:r>
    </w:p>
    <w:p>
      <w:pPr>
        <w:widowControl w:val="0"/>
        <w:numPr>
          <w:ilvl w:val="0"/>
          <w:numId w:val="2"/>
        </w:numPr>
        <w:tabs>
          <w:tab w:val="left" w:pos="1349"/>
        </w:tabs>
        <w:autoSpaceDE w:val="0"/>
        <w:autoSpaceDN w:val="0"/>
        <w:spacing w:before="5" w:line="242" w:lineRule="auto"/>
        <w:ind w:left="508" w:right="496" w:firstLine="420"/>
        <w:jc w:val="both"/>
        <w:rPr>
          <w:rFonts w:hint="eastAsia" w:ascii="宋体" w:hAnsi="宋体" w:eastAsia="宋体" w:cs="宋体"/>
          <w:b/>
          <w:color w:val="auto"/>
          <w:sz w:val="22"/>
          <w:szCs w:val="22"/>
          <w:highlight w:val="none"/>
          <w:lang w:val="zh-CN" w:bidi="zh-CN"/>
        </w:rPr>
      </w:pPr>
      <w:r>
        <w:rPr>
          <w:rFonts w:hint="eastAsia" w:ascii="宋体" w:hAnsi="宋体" w:eastAsia="宋体" w:cs="宋体"/>
          <w:color w:val="auto"/>
          <w:spacing w:val="-2"/>
          <w:sz w:val="22"/>
          <w:szCs w:val="22"/>
          <w:highlight w:val="none"/>
          <w:lang w:val="zh-CN" w:bidi="zh-CN"/>
        </w:rPr>
        <w:t>在采购过程中符合要求的</w:t>
      </w:r>
      <w:r>
        <w:rPr>
          <w:rFonts w:hint="eastAsia" w:ascii="宋体" w:hAnsi="宋体" w:cs="宋体"/>
          <w:color w:val="auto"/>
          <w:spacing w:val="-2"/>
          <w:sz w:val="22"/>
          <w:szCs w:val="22"/>
          <w:highlight w:val="none"/>
          <w:lang w:val="zh-CN" w:bidi="zh-CN"/>
        </w:rPr>
        <w:t>响应人</w:t>
      </w:r>
      <w:r>
        <w:rPr>
          <w:rFonts w:hint="eastAsia" w:ascii="宋体" w:hAnsi="宋体" w:eastAsia="宋体" w:cs="宋体"/>
          <w:color w:val="auto"/>
          <w:spacing w:val="-2"/>
          <w:sz w:val="22"/>
          <w:szCs w:val="22"/>
          <w:highlight w:val="none"/>
          <w:lang w:val="zh-CN" w:bidi="zh-CN"/>
        </w:rPr>
        <w:t>或者报价未超过采购预算的</w:t>
      </w:r>
      <w:r>
        <w:rPr>
          <w:rFonts w:hint="eastAsia" w:ascii="宋体" w:hAnsi="宋体" w:cs="宋体"/>
          <w:color w:val="auto"/>
          <w:spacing w:val="-2"/>
          <w:sz w:val="22"/>
          <w:szCs w:val="22"/>
          <w:highlight w:val="none"/>
          <w:lang w:val="zh-CN" w:bidi="zh-CN"/>
        </w:rPr>
        <w:t>响应人</w:t>
      </w:r>
      <w:r>
        <w:rPr>
          <w:rFonts w:hint="eastAsia" w:ascii="宋体" w:hAnsi="宋体" w:eastAsia="宋体" w:cs="宋体"/>
          <w:color w:val="auto"/>
          <w:spacing w:val="-2"/>
          <w:sz w:val="22"/>
          <w:szCs w:val="22"/>
          <w:highlight w:val="none"/>
          <w:lang w:val="zh-CN" w:bidi="zh-CN"/>
        </w:rPr>
        <w:t>不足</w:t>
      </w:r>
      <w:r>
        <w:rPr>
          <w:rFonts w:hint="eastAsia" w:ascii="宋体" w:hAnsi="宋体" w:eastAsia="宋体" w:cs="宋体"/>
          <w:color w:val="auto"/>
          <w:spacing w:val="-2"/>
          <w:sz w:val="22"/>
          <w:szCs w:val="22"/>
          <w:highlight w:val="none"/>
          <w:lang w:bidi="zh-CN"/>
        </w:rPr>
        <w:t>3</w:t>
      </w:r>
      <w:r>
        <w:rPr>
          <w:rFonts w:hint="eastAsia" w:ascii="宋体" w:hAnsi="宋体" w:eastAsia="宋体" w:cs="宋体"/>
          <w:color w:val="auto"/>
          <w:spacing w:val="-31"/>
          <w:sz w:val="22"/>
          <w:szCs w:val="22"/>
          <w:highlight w:val="none"/>
          <w:lang w:val="zh-CN" w:bidi="zh-CN"/>
        </w:rPr>
        <w:t>家的。</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2"/>
          <w:szCs w:val="22"/>
          <w:highlight w:val="none"/>
          <w:lang w:val="zh-CN" w:bidi="zh-CN"/>
        </w:rPr>
      </w:pPr>
      <w:bookmarkStart w:id="44" w:name="5.6确定成交人"/>
      <w:bookmarkEnd w:id="44"/>
      <w:r>
        <w:rPr>
          <w:rFonts w:hint="eastAsia" w:ascii="宋体" w:hAnsi="宋体" w:eastAsia="宋体" w:cs="宋体"/>
          <w:b/>
          <w:bCs/>
          <w:color w:val="auto"/>
          <w:sz w:val="22"/>
          <w:szCs w:val="22"/>
          <w:highlight w:val="none"/>
          <w:lang w:val="zh-CN" w:bidi="zh-CN"/>
        </w:rPr>
        <w:t>确定成交人</w:t>
      </w:r>
    </w:p>
    <w:p>
      <w:pPr>
        <w:widowControl w:val="0"/>
        <w:numPr>
          <w:ilvl w:val="2"/>
          <w:numId w:val="1"/>
        </w:numPr>
        <w:tabs>
          <w:tab w:val="left" w:pos="1558"/>
        </w:tabs>
        <w:autoSpaceDE w:val="0"/>
        <w:autoSpaceDN w:val="0"/>
        <w:spacing w:before="43" w:line="278" w:lineRule="auto"/>
        <w:ind w:right="437"/>
        <w:jc w:val="both"/>
        <w:rPr>
          <w:rFonts w:hint="eastAsia" w:ascii="宋体" w:hAnsi="宋体" w:eastAsia="宋体" w:cs="宋体"/>
          <w:color w:val="auto"/>
          <w:sz w:val="22"/>
          <w:szCs w:val="22"/>
          <w:highlight w:val="none"/>
          <w:lang w:val="zh-CN" w:bidi="zh-CN"/>
        </w:rPr>
      </w:pPr>
      <w:r>
        <w:rPr>
          <w:rFonts w:hint="eastAsia" w:ascii="宋体" w:hAnsi="宋体" w:cs="宋体"/>
          <w:color w:val="auto"/>
          <w:spacing w:val="-4"/>
          <w:sz w:val="22"/>
          <w:szCs w:val="22"/>
          <w:highlight w:val="none"/>
          <w:lang w:val="zh-CN" w:bidi="zh-CN"/>
        </w:rPr>
        <w:t>采购代理</w:t>
      </w:r>
      <w:r>
        <w:rPr>
          <w:rFonts w:hint="eastAsia" w:ascii="宋体" w:hAnsi="宋体" w:eastAsia="宋体" w:cs="宋体"/>
          <w:color w:val="auto"/>
          <w:spacing w:val="-4"/>
          <w:sz w:val="22"/>
          <w:szCs w:val="22"/>
          <w:highlight w:val="none"/>
          <w:lang w:val="zh-CN" w:bidi="zh-CN"/>
        </w:rPr>
        <w:t xml:space="preserve">机构应当自评审结束之日起 </w:t>
      </w:r>
      <w:r>
        <w:rPr>
          <w:rFonts w:hint="eastAsia" w:ascii="宋体" w:hAnsi="宋体" w:eastAsia="宋体" w:cs="宋体"/>
          <w:color w:val="auto"/>
          <w:sz w:val="22"/>
          <w:szCs w:val="22"/>
          <w:highlight w:val="none"/>
          <w:lang w:val="zh-CN" w:bidi="zh-CN"/>
        </w:rPr>
        <w:t>2</w:t>
      </w:r>
      <w:r>
        <w:rPr>
          <w:rFonts w:hint="eastAsia" w:ascii="宋体" w:hAnsi="宋体" w:eastAsia="宋体" w:cs="宋体"/>
          <w:color w:val="auto"/>
          <w:spacing w:val="-3"/>
          <w:sz w:val="22"/>
          <w:szCs w:val="22"/>
          <w:highlight w:val="none"/>
          <w:lang w:val="zh-CN" w:bidi="zh-CN"/>
        </w:rPr>
        <w:t xml:space="preserve"> </w:t>
      </w:r>
      <w:r>
        <w:rPr>
          <w:rFonts w:hint="eastAsia" w:ascii="宋体" w:hAnsi="宋体" w:eastAsia="宋体" w:cs="宋体"/>
          <w:color w:val="auto"/>
          <w:spacing w:val="-6"/>
          <w:sz w:val="22"/>
          <w:szCs w:val="22"/>
          <w:highlight w:val="none"/>
          <w:lang w:val="zh-CN" w:bidi="zh-CN"/>
        </w:rPr>
        <w:t>个工作日内将评审报告送交采购人。</w:t>
      </w:r>
      <w:r>
        <w:rPr>
          <w:rFonts w:hint="eastAsia" w:ascii="宋体" w:hAnsi="宋体" w:cs="宋体"/>
          <w:color w:val="auto"/>
          <w:spacing w:val="-6"/>
          <w:sz w:val="22"/>
          <w:szCs w:val="22"/>
          <w:highlight w:val="none"/>
          <w:lang w:val="zh-CN" w:bidi="zh-CN"/>
        </w:rPr>
        <w:t>采购人</w:t>
      </w:r>
      <w:r>
        <w:rPr>
          <w:rFonts w:hint="eastAsia" w:ascii="宋体" w:hAnsi="宋体" w:eastAsia="宋体" w:cs="宋体"/>
          <w:color w:val="auto"/>
          <w:spacing w:val="-6"/>
          <w:sz w:val="22"/>
          <w:szCs w:val="22"/>
          <w:highlight w:val="none"/>
          <w:lang w:val="zh-CN" w:bidi="zh-CN"/>
        </w:rPr>
        <w:t>应</w:t>
      </w:r>
      <w:r>
        <w:rPr>
          <w:rFonts w:hint="eastAsia" w:ascii="宋体" w:hAnsi="宋体" w:eastAsia="宋体" w:cs="宋体"/>
          <w:color w:val="auto"/>
          <w:spacing w:val="-11"/>
          <w:sz w:val="22"/>
          <w:szCs w:val="22"/>
          <w:highlight w:val="none"/>
          <w:lang w:val="zh-CN" w:bidi="zh-CN"/>
        </w:rPr>
        <w:t xml:space="preserve">当自收到评审报告之日起 </w:t>
      </w:r>
      <w:r>
        <w:rPr>
          <w:rFonts w:hint="eastAsia" w:ascii="宋体" w:hAnsi="宋体" w:eastAsia="宋体" w:cs="宋体"/>
          <w:color w:val="auto"/>
          <w:sz w:val="22"/>
          <w:szCs w:val="22"/>
          <w:highlight w:val="none"/>
          <w:lang w:val="zh-CN" w:bidi="zh-CN"/>
        </w:rPr>
        <w:t>5</w:t>
      </w:r>
      <w:r>
        <w:rPr>
          <w:rFonts w:hint="eastAsia" w:ascii="宋体" w:hAnsi="宋体" w:eastAsia="宋体" w:cs="宋体"/>
          <w:color w:val="auto"/>
          <w:spacing w:val="-8"/>
          <w:sz w:val="22"/>
          <w:szCs w:val="22"/>
          <w:highlight w:val="none"/>
          <w:lang w:val="zh-CN" w:bidi="zh-CN"/>
        </w:rPr>
        <w:t xml:space="preserve"> </w:t>
      </w:r>
      <w:r>
        <w:rPr>
          <w:rFonts w:hint="eastAsia" w:ascii="宋体" w:hAnsi="宋体" w:eastAsia="宋体" w:cs="宋体"/>
          <w:color w:val="auto"/>
          <w:sz w:val="22"/>
          <w:szCs w:val="22"/>
          <w:highlight w:val="none"/>
          <w:lang w:val="zh-CN" w:bidi="zh-CN"/>
        </w:rPr>
        <w:t>个工作日内在评审报告推荐的成交候选人中按顺序确定成交</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采购人也可以授权磋商小组直接确定成交</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。磋商小组直接确定成交</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的应在竞争性磋商文件中写明。</w:t>
      </w:r>
    </w:p>
    <w:p>
      <w:pPr>
        <w:widowControl w:val="0"/>
        <w:autoSpaceDE w:val="0"/>
        <w:autoSpaceDN w:val="0"/>
        <w:spacing w:line="87" w:lineRule="exact"/>
        <w:ind w:left="479"/>
        <w:rPr>
          <w:rFonts w:hint="eastAsia" w:ascii="宋体" w:hAnsi="宋体" w:eastAsia="宋体" w:cs="宋体"/>
          <w:color w:val="auto"/>
          <w:sz w:val="22"/>
          <w:szCs w:val="22"/>
          <w:highlight w:val="none"/>
          <w:lang w:val="zh-CN" w:bidi="zh-CN"/>
        </w:rPr>
      </w:pPr>
    </w:p>
    <w:p>
      <w:pPr>
        <w:widowControl w:val="0"/>
        <w:numPr>
          <w:ilvl w:val="1"/>
          <w:numId w:val="1"/>
        </w:numPr>
        <w:tabs>
          <w:tab w:val="left" w:pos="876"/>
        </w:tabs>
        <w:autoSpaceDE w:val="0"/>
        <w:autoSpaceDN w:val="0"/>
        <w:spacing w:before="43"/>
        <w:jc w:val="both"/>
        <w:outlineLvl w:val="4"/>
        <w:rPr>
          <w:rFonts w:hint="eastAsia" w:ascii="宋体" w:hAnsi="宋体" w:eastAsia="宋体" w:cs="宋体"/>
          <w:b/>
          <w:bCs/>
          <w:color w:val="auto"/>
          <w:sz w:val="22"/>
          <w:szCs w:val="22"/>
          <w:highlight w:val="none"/>
          <w:lang w:val="zh-CN" w:bidi="zh-CN"/>
        </w:rPr>
      </w:pPr>
      <w:bookmarkStart w:id="45" w:name="5.7成交结果公告"/>
      <w:bookmarkEnd w:id="45"/>
      <w:r>
        <w:rPr>
          <w:rFonts w:hint="eastAsia" w:ascii="宋体" w:hAnsi="宋体" w:eastAsia="宋体" w:cs="宋体"/>
          <w:b/>
          <w:bCs/>
          <w:color w:val="auto"/>
          <w:sz w:val="22"/>
          <w:szCs w:val="22"/>
          <w:highlight w:val="none"/>
          <w:lang w:val="zh-CN" w:bidi="zh-CN"/>
        </w:rPr>
        <w:t>成交结果公告</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pacing w:val="-3"/>
          <w:sz w:val="22"/>
          <w:szCs w:val="22"/>
          <w:highlight w:val="none"/>
          <w:lang w:val="zh-CN" w:bidi="zh-CN"/>
        </w:rPr>
      </w:pPr>
      <w:r>
        <w:rPr>
          <w:rFonts w:hint="eastAsia" w:ascii="宋体" w:hAnsi="宋体" w:cs="宋体"/>
          <w:color w:val="auto"/>
          <w:spacing w:val="-3"/>
          <w:sz w:val="22"/>
          <w:szCs w:val="22"/>
          <w:highlight w:val="none"/>
          <w:lang w:val="zh-CN" w:bidi="zh-CN"/>
        </w:rPr>
        <w:t>采购人</w:t>
      </w:r>
      <w:r>
        <w:rPr>
          <w:rFonts w:hint="eastAsia" w:ascii="宋体" w:hAnsi="宋体" w:eastAsia="宋体" w:cs="宋体"/>
          <w:color w:val="auto"/>
          <w:spacing w:val="-3"/>
          <w:sz w:val="22"/>
          <w:szCs w:val="22"/>
          <w:highlight w:val="none"/>
          <w:lang w:val="zh-CN" w:bidi="zh-CN"/>
        </w:rPr>
        <w:t>或者</w:t>
      </w:r>
      <w:r>
        <w:rPr>
          <w:rFonts w:hint="eastAsia" w:ascii="宋体" w:hAnsi="宋体" w:cs="宋体"/>
          <w:color w:val="auto"/>
          <w:spacing w:val="-3"/>
          <w:sz w:val="22"/>
          <w:szCs w:val="22"/>
          <w:highlight w:val="none"/>
          <w:lang w:val="zh-CN" w:bidi="zh-CN"/>
        </w:rPr>
        <w:t>采购代理</w:t>
      </w:r>
      <w:r>
        <w:rPr>
          <w:rFonts w:hint="eastAsia" w:ascii="宋体" w:hAnsi="宋体" w:eastAsia="宋体" w:cs="宋体"/>
          <w:color w:val="auto"/>
          <w:spacing w:val="-3"/>
          <w:sz w:val="22"/>
          <w:szCs w:val="22"/>
          <w:highlight w:val="none"/>
          <w:lang w:val="zh-CN" w:bidi="zh-CN"/>
        </w:rPr>
        <w:t>机构自成交</w:t>
      </w:r>
      <w:r>
        <w:rPr>
          <w:rFonts w:hint="eastAsia" w:ascii="宋体" w:hAnsi="宋体" w:cs="宋体"/>
          <w:color w:val="auto"/>
          <w:spacing w:val="-3"/>
          <w:sz w:val="22"/>
          <w:szCs w:val="22"/>
          <w:highlight w:val="none"/>
          <w:lang w:val="zh-CN" w:bidi="zh-CN"/>
        </w:rPr>
        <w:t>响应人</w:t>
      </w:r>
      <w:r>
        <w:rPr>
          <w:rFonts w:hint="eastAsia" w:ascii="宋体" w:hAnsi="宋体" w:eastAsia="宋体" w:cs="宋体"/>
          <w:color w:val="auto"/>
          <w:spacing w:val="-3"/>
          <w:sz w:val="22"/>
          <w:szCs w:val="22"/>
          <w:highlight w:val="none"/>
          <w:lang w:val="zh-CN" w:bidi="zh-CN"/>
        </w:rPr>
        <w:t>确定之日起 2 个工作日内，在公告发布的同一媒介上公告成交结果，同时向成交</w:t>
      </w:r>
      <w:r>
        <w:rPr>
          <w:rFonts w:hint="eastAsia" w:ascii="宋体" w:hAnsi="宋体" w:cs="宋体"/>
          <w:color w:val="auto"/>
          <w:spacing w:val="-3"/>
          <w:sz w:val="22"/>
          <w:szCs w:val="22"/>
          <w:highlight w:val="none"/>
          <w:lang w:val="zh-CN" w:bidi="zh-CN"/>
        </w:rPr>
        <w:t>响应人</w:t>
      </w:r>
      <w:r>
        <w:rPr>
          <w:rFonts w:hint="eastAsia" w:ascii="宋体" w:hAnsi="宋体" w:eastAsia="宋体" w:cs="宋体"/>
          <w:color w:val="auto"/>
          <w:spacing w:val="-3"/>
          <w:sz w:val="22"/>
          <w:szCs w:val="22"/>
          <w:highlight w:val="none"/>
          <w:lang w:val="zh-CN" w:bidi="zh-CN"/>
        </w:rPr>
        <w:t>发出成交通知书，并将竞争性磋商文件随成交结果同时公告，公告期限 1 个工作日。</w:t>
      </w:r>
    </w:p>
    <w:p>
      <w:pPr>
        <w:widowControl w:val="0"/>
        <w:numPr>
          <w:ilvl w:val="2"/>
          <w:numId w:val="1"/>
        </w:numPr>
        <w:tabs>
          <w:tab w:val="left" w:pos="1452"/>
        </w:tabs>
        <w:autoSpaceDE w:val="0"/>
        <w:autoSpaceDN w:val="0"/>
        <w:spacing w:line="278" w:lineRule="auto"/>
        <w:ind w:right="437"/>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成交结果公告内容包括采购人和采购代理机构的名称、地址和联系方式、项目名称和项目编号、成交</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名称、地址和成交金额、主要成交标的的名称、规格型号、数量、单价、质量要求、磋商小组成员名单。</w:t>
      </w:r>
    </w:p>
    <w:p>
      <w:pPr>
        <w:widowControl w:val="0"/>
        <w:numPr>
          <w:ilvl w:val="1"/>
          <w:numId w:val="1"/>
        </w:numPr>
        <w:tabs>
          <w:tab w:val="left" w:pos="876"/>
        </w:tabs>
        <w:autoSpaceDE w:val="0"/>
        <w:autoSpaceDN w:val="0"/>
        <w:spacing w:line="269" w:lineRule="exact"/>
        <w:outlineLvl w:val="4"/>
        <w:rPr>
          <w:rFonts w:hint="eastAsia" w:ascii="宋体" w:hAnsi="宋体" w:eastAsia="宋体" w:cs="宋体"/>
          <w:b/>
          <w:bCs/>
          <w:color w:val="auto"/>
          <w:sz w:val="22"/>
          <w:szCs w:val="22"/>
          <w:highlight w:val="none"/>
          <w:lang w:val="zh-CN" w:bidi="zh-CN"/>
        </w:rPr>
      </w:pPr>
      <w:bookmarkStart w:id="46" w:name="5.8成交通知书"/>
      <w:bookmarkEnd w:id="46"/>
      <w:r>
        <w:rPr>
          <w:rFonts w:hint="eastAsia" w:ascii="宋体" w:hAnsi="宋体" w:eastAsia="宋体" w:cs="宋体"/>
          <w:b/>
          <w:bCs/>
          <w:color w:val="auto"/>
          <w:sz w:val="22"/>
          <w:szCs w:val="22"/>
          <w:highlight w:val="none"/>
          <w:lang w:val="zh-CN" w:bidi="zh-CN"/>
        </w:rPr>
        <w:t>成交通知书</w:t>
      </w:r>
    </w:p>
    <w:p>
      <w:pPr>
        <w:widowControl w:val="0"/>
        <w:autoSpaceDE w:val="0"/>
        <w:autoSpaceDN w:val="0"/>
        <w:spacing w:before="42" w:line="278" w:lineRule="auto"/>
        <w:ind w:left="508" w:right="528"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7"/>
          <w:sz w:val="22"/>
          <w:szCs w:val="22"/>
          <w:highlight w:val="none"/>
          <w:lang w:val="zh-CN" w:eastAsia="zh-CN" w:bidi="zh-CN"/>
        </w:rPr>
        <w:t>在公告成交结果的同时</w:t>
      </w:r>
      <w:r>
        <w:rPr>
          <w:rFonts w:hint="eastAsia" w:ascii="宋体" w:hAnsi="宋体" w:eastAsia="宋体" w:cs="宋体"/>
          <w:color w:val="auto"/>
          <w:spacing w:val="-7"/>
          <w:sz w:val="22"/>
          <w:szCs w:val="22"/>
          <w:highlight w:val="none"/>
          <w:lang w:val="zh-CN" w:bidi="zh-CN"/>
        </w:rPr>
        <w:t>，采购人与代理机构应在线签</w:t>
      </w:r>
      <w:r>
        <w:rPr>
          <w:rFonts w:hint="eastAsia" w:ascii="宋体" w:hAnsi="宋体" w:eastAsia="宋体" w:cs="宋体"/>
          <w:color w:val="auto"/>
          <w:spacing w:val="-7"/>
          <w:sz w:val="22"/>
          <w:szCs w:val="22"/>
          <w:highlight w:val="none"/>
          <w:lang w:val="zh-CN" w:eastAsia="zh-CN" w:bidi="zh-CN"/>
        </w:rPr>
        <w:t>发成交</w:t>
      </w:r>
      <w:r>
        <w:rPr>
          <w:rFonts w:hint="eastAsia" w:ascii="宋体" w:hAnsi="宋体" w:eastAsia="宋体" w:cs="宋体"/>
          <w:color w:val="auto"/>
          <w:spacing w:val="-7"/>
          <w:sz w:val="22"/>
          <w:szCs w:val="22"/>
          <w:highlight w:val="none"/>
          <w:lang w:val="zh-CN" w:bidi="zh-CN"/>
        </w:rPr>
        <w:t>通知书，</w:t>
      </w:r>
      <w:r>
        <w:rPr>
          <w:rFonts w:hint="eastAsia" w:ascii="宋体" w:hAnsi="宋体" w:eastAsia="宋体" w:cs="宋体"/>
          <w:color w:val="auto"/>
          <w:spacing w:val="-7"/>
          <w:sz w:val="22"/>
          <w:szCs w:val="22"/>
          <w:highlight w:val="none"/>
          <w:lang w:val="zh-CN" w:eastAsia="zh-CN" w:bidi="zh-CN"/>
        </w:rPr>
        <w:t>成交</w:t>
      </w:r>
      <w:r>
        <w:rPr>
          <w:rFonts w:hint="eastAsia" w:ascii="宋体" w:hAnsi="宋体" w:eastAsia="宋体" w:cs="宋体"/>
          <w:color w:val="auto"/>
          <w:spacing w:val="-7"/>
          <w:sz w:val="22"/>
          <w:szCs w:val="22"/>
          <w:highlight w:val="none"/>
          <w:lang w:val="zh-CN" w:bidi="zh-CN"/>
        </w:rPr>
        <w:t>通知书将作为进行合同签订的依据。</w:t>
      </w:r>
    </w:p>
    <w:p>
      <w:pPr>
        <w:widowControl w:val="0"/>
        <w:numPr>
          <w:ilvl w:val="0"/>
          <w:numId w:val="1"/>
        </w:numPr>
        <w:tabs>
          <w:tab w:val="left" w:pos="988"/>
          <w:tab w:val="left" w:pos="989"/>
        </w:tabs>
        <w:autoSpaceDE w:val="0"/>
        <w:autoSpaceDN w:val="0"/>
        <w:spacing w:line="287" w:lineRule="exact"/>
        <w:outlineLvl w:val="3"/>
        <w:rPr>
          <w:rFonts w:hint="eastAsia" w:ascii="宋体" w:hAnsi="宋体" w:eastAsia="宋体" w:cs="宋体"/>
          <w:b/>
          <w:bCs/>
          <w:color w:val="auto"/>
          <w:sz w:val="22"/>
          <w:szCs w:val="22"/>
          <w:highlight w:val="none"/>
          <w:lang w:val="zh-CN" w:bidi="zh-CN"/>
        </w:rPr>
      </w:pPr>
      <w:bookmarkStart w:id="47" w:name="6. 授予合同"/>
      <w:bookmarkEnd w:id="47"/>
      <w:bookmarkStart w:id="48" w:name="_bookmark8"/>
      <w:bookmarkEnd w:id="48"/>
      <w:r>
        <w:rPr>
          <w:rFonts w:hint="eastAsia" w:ascii="宋体" w:hAnsi="宋体" w:eastAsia="宋体" w:cs="宋体"/>
          <w:b/>
          <w:bCs/>
          <w:color w:val="auto"/>
          <w:sz w:val="22"/>
          <w:szCs w:val="22"/>
          <w:highlight w:val="none"/>
          <w:lang w:val="zh-CN" w:bidi="zh-CN"/>
        </w:rPr>
        <w:t>授予合同</w:t>
      </w:r>
    </w:p>
    <w:p>
      <w:pPr>
        <w:widowControl w:val="0"/>
        <w:numPr>
          <w:ilvl w:val="1"/>
          <w:numId w:val="1"/>
        </w:numPr>
        <w:tabs>
          <w:tab w:val="left" w:pos="1246"/>
        </w:tabs>
        <w:autoSpaceDE w:val="0"/>
        <w:autoSpaceDN w:val="0"/>
        <w:spacing w:before="23" w:line="278" w:lineRule="auto"/>
        <w:ind w:right="526"/>
        <w:jc w:val="both"/>
        <w:rPr>
          <w:rFonts w:hint="eastAsia" w:ascii="宋体" w:hAnsi="宋体" w:eastAsia="宋体" w:cs="宋体"/>
          <w:color w:val="auto"/>
          <w:spacing w:val="-8"/>
          <w:sz w:val="22"/>
          <w:szCs w:val="22"/>
          <w:highlight w:val="none"/>
          <w:lang w:val="zh-CN" w:bidi="zh-CN"/>
        </w:rPr>
      </w:pPr>
      <w:r>
        <w:rPr>
          <w:rFonts w:hint="eastAsia" w:ascii="宋体" w:hAnsi="宋体" w:cs="宋体"/>
          <w:color w:val="auto"/>
          <w:spacing w:val="-8"/>
          <w:sz w:val="22"/>
          <w:szCs w:val="22"/>
          <w:highlight w:val="none"/>
          <w:lang w:val="zh-CN" w:bidi="zh-CN"/>
        </w:rPr>
        <w:t>采购人</w:t>
      </w:r>
      <w:r>
        <w:rPr>
          <w:rFonts w:hint="eastAsia" w:ascii="宋体" w:hAnsi="宋体" w:eastAsia="宋体" w:cs="宋体"/>
          <w:color w:val="auto"/>
          <w:spacing w:val="-8"/>
          <w:sz w:val="22"/>
          <w:szCs w:val="22"/>
          <w:highlight w:val="none"/>
          <w:lang w:val="zh-CN" w:bidi="zh-CN"/>
        </w:rPr>
        <w:t>自成交通知书发出之日起 3日内，根据磋商文件和成交人的响应文件</w:t>
      </w:r>
      <w:r>
        <w:rPr>
          <w:rFonts w:hint="eastAsia" w:ascii="宋体" w:hAnsi="宋体" w:eastAsia="宋体" w:cs="宋体"/>
          <w:color w:val="auto"/>
          <w:spacing w:val="-8"/>
          <w:sz w:val="22"/>
          <w:szCs w:val="22"/>
          <w:highlight w:val="none"/>
          <w:lang w:val="zh-CN" w:eastAsia="zh-CN" w:bidi="zh-CN"/>
        </w:rPr>
        <w:t>在线</w:t>
      </w:r>
      <w:r>
        <w:rPr>
          <w:rFonts w:hint="eastAsia" w:ascii="宋体" w:hAnsi="宋体" w:eastAsia="宋体" w:cs="宋体"/>
          <w:color w:val="auto"/>
          <w:spacing w:val="-8"/>
          <w:sz w:val="22"/>
          <w:szCs w:val="22"/>
          <w:highlight w:val="none"/>
          <w:lang w:val="zh-CN" w:bidi="zh-CN"/>
        </w:rPr>
        <w:t>签订合同。成交人无正当理由拒签合同的，采购人取消其中标资格，按照相关法律规定进行处罚。</w:t>
      </w:r>
    </w:p>
    <w:p>
      <w:pPr>
        <w:widowControl w:val="0"/>
        <w:numPr>
          <w:ilvl w:val="1"/>
          <w:numId w:val="1"/>
        </w:numPr>
        <w:tabs>
          <w:tab w:val="left" w:pos="1244"/>
        </w:tabs>
        <w:autoSpaceDE w:val="0"/>
        <w:autoSpaceDN w:val="0"/>
        <w:spacing w:line="269" w:lineRule="exact"/>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竞争性磋商文件、成交人的响应文件和澄清文件等，均应作为签约的合同文本的基础。</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政府采购合同包括</w:t>
      </w:r>
      <w:r>
        <w:rPr>
          <w:rFonts w:hint="eastAsia" w:ascii="宋体" w:hAnsi="宋体" w:cs="宋体"/>
          <w:color w:val="auto"/>
          <w:sz w:val="22"/>
          <w:szCs w:val="22"/>
          <w:highlight w:val="none"/>
          <w:lang w:val="zh-CN" w:bidi="zh-CN"/>
        </w:rPr>
        <w:t>采购人</w:t>
      </w:r>
      <w:r>
        <w:rPr>
          <w:rFonts w:hint="eastAsia" w:ascii="宋体" w:hAnsi="宋体" w:eastAsia="宋体" w:cs="宋体"/>
          <w:color w:val="auto"/>
          <w:sz w:val="22"/>
          <w:szCs w:val="22"/>
          <w:highlight w:val="none"/>
          <w:lang w:val="zh-CN" w:bidi="zh-CN"/>
        </w:rPr>
        <w:t>与成交人的名称和住所、标的、数量、质量、价款或者报酬、履行期限及地点和方式、验收要求、违约责任、解决争议的方法等内容。</w:t>
      </w:r>
    </w:p>
    <w:p>
      <w:pPr>
        <w:widowControl w:val="0"/>
        <w:numPr>
          <w:ilvl w:val="1"/>
          <w:numId w:val="1"/>
        </w:numPr>
        <w:tabs>
          <w:tab w:val="left" w:pos="1244"/>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5"/>
          <w:sz w:val="22"/>
          <w:szCs w:val="22"/>
          <w:highlight w:val="none"/>
          <w:lang w:val="zh-CN" w:bidi="zh-CN"/>
        </w:rPr>
        <w:t xml:space="preserve">如成交人不按本章第 </w:t>
      </w:r>
      <w:r>
        <w:rPr>
          <w:rFonts w:hint="eastAsia" w:ascii="宋体" w:hAnsi="宋体" w:eastAsia="宋体" w:cs="宋体"/>
          <w:color w:val="auto"/>
          <w:sz w:val="22"/>
          <w:szCs w:val="22"/>
          <w:highlight w:val="none"/>
          <w:lang w:val="zh-CN" w:bidi="zh-CN"/>
        </w:rPr>
        <w:t>6.1</w:t>
      </w:r>
      <w:r>
        <w:rPr>
          <w:rFonts w:hint="eastAsia" w:ascii="宋体" w:hAnsi="宋体" w:eastAsia="宋体" w:cs="宋体"/>
          <w:color w:val="auto"/>
          <w:spacing w:val="6"/>
          <w:sz w:val="22"/>
          <w:szCs w:val="22"/>
          <w:highlight w:val="none"/>
          <w:lang w:val="zh-CN" w:bidi="zh-CN"/>
        </w:rPr>
        <w:t xml:space="preserve"> </w:t>
      </w:r>
      <w:r>
        <w:rPr>
          <w:rFonts w:hint="eastAsia" w:ascii="宋体" w:hAnsi="宋体" w:eastAsia="宋体" w:cs="宋体"/>
          <w:color w:val="auto"/>
          <w:sz w:val="22"/>
          <w:szCs w:val="22"/>
          <w:highlight w:val="none"/>
          <w:lang w:val="zh-CN" w:bidi="zh-CN"/>
        </w:rPr>
        <w:t>项约定签订合同，</w:t>
      </w:r>
      <w:r>
        <w:rPr>
          <w:rFonts w:hint="eastAsia" w:ascii="宋体" w:hAnsi="宋体" w:cs="宋体"/>
          <w:color w:val="auto"/>
          <w:sz w:val="22"/>
          <w:szCs w:val="22"/>
          <w:highlight w:val="none"/>
          <w:lang w:val="zh-CN" w:bidi="zh-CN"/>
        </w:rPr>
        <w:t>采购人</w:t>
      </w:r>
      <w:r>
        <w:rPr>
          <w:rFonts w:hint="eastAsia" w:ascii="宋体" w:hAnsi="宋体" w:eastAsia="宋体" w:cs="宋体"/>
          <w:color w:val="auto"/>
          <w:sz w:val="22"/>
          <w:szCs w:val="22"/>
          <w:highlight w:val="none"/>
          <w:lang w:val="zh-CN" w:bidi="zh-CN"/>
        </w:rPr>
        <w:t>将报请取消其成交决定。</w:t>
      </w:r>
      <w:r>
        <w:rPr>
          <w:rFonts w:hint="eastAsia" w:ascii="宋体" w:hAnsi="宋体" w:cs="宋体"/>
          <w:color w:val="auto"/>
          <w:sz w:val="22"/>
          <w:szCs w:val="22"/>
          <w:highlight w:val="none"/>
          <w:lang w:val="zh-CN" w:bidi="zh-CN"/>
        </w:rPr>
        <w:t>采购人</w:t>
      </w:r>
      <w:r>
        <w:rPr>
          <w:rFonts w:hint="eastAsia" w:ascii="宋体" w:hAnsi="宋体" w:eastAsia="宋体" w:cs="宋体"/>
          <w:color w:val="auto"/>
          <w:sz w:val="22"/>
          <w:szCs w:val="22"/>
          <w:highlight w:val="none"/>
          <w:lang w:val="zh-CN" w:bidi="zh-CN"/>
        </w:rPr>
        <w:t>可按照磋商小组推荐的成交候选人名单排序，确定下一候选人为成交人或者重新采购。</w:t>
      </w:r>
    </w:p>
    <w:p>
      <w:pPr>
        <w:widowControl w:val="0"/>
        <w:numPr>
          <w:ilvl w:val="0"/>
          <w:numId w:val="1"/>
        </w:numPr>
        <w:tabs>
          <w:tab w:val="left" w:pos="989"/>
        </w:tabs>
        <w:autoSpaceDE w:val="0"/>
        <w:autoSpaceDN w:val="0"/>
        <w:spacing w:line="289" w:lineRule="exact"/>
        <w:jc w:val="both"/>
        <w:outlineLvl w:val="3"/>
        <w:rPr>
          <w:rFonts w:hint="eastAsia" w:ascii="宋体" w:hAnsi="宋体" w:eastAsia="宋体" w:cs="宋体"/>
          <w:b/>
          <w:bCs/>
          <w:color w:val="auto"/>
          <w:sz w:val="22"/>
          <w:szCs w:val="22"/>
          <w:highlight w:val="none"/>
          <w:lang w:val="zh-CN" w:bidi="zh-CN"/>
        </w:rPr>
      </w:pPr>
      <w:bookmarkStart w:id="49" w:name="7. 纪律和监督"/>
      <w:bookmarkEnd w:id="49"/>
      <w:bookmarkStart w:id="50" w:name="_bookmark9"/>
      <w:bookmarkEnd w:id="50"/>
      <w:r>
        <w:rPr>
          <w:rFonts w:hint="eastAsia" w:ascii="宋体" w:hAnsi="宋体" w:eastAsia="宋体" w:cs="宋体"/>
          <w:b/>
          <w:bCs/>
          <w:color w:val="auto"/>
          <w:sz w:val="22"/>
          <w:szCs w:val="22"/>
          <w:highlight w:val="none"/>
          <w:lang w:val="zh-CN" w:bidi="zh-CN"/>
        </w:rPr>
        <w:t>纪律和监督</w:t>
      </w:r>
    </w:p>
    <w:p>
      <w:pPr>
        <w:widowControl w:val="0"/>
        <w:numPr>
          <w:ilvl w:val="1"/>
          <w:numId w:val="1"/>
        </w:numPr>
        <w:tabs>
          <w:tab w:val="left" w:pos="876"/>
        </w:tabs>
        <w:autoSpaceDE w:val="0"/>
        <w:autoSpaceDN w:val="0"/>
        <w:spacing w:before="22"/>
        <w:jc w:val="both"/>
        <w:outlineLvl w:val="4"/>
        <w:rPr>
          <w:rFonts w:hint="eastAsia" w:ascii="宋体" w:hAnsi="宋体" w:eastAsia="宋体" w:cs="宋体"/>
          <w:b/>
          <w:bCs/>
          <w:color w:val="auto"/>
          <w:sz w:val="22"/>
          <w:szCs w:val="22"/>
          <w:highlight w:val="none"/>
          <w:lang w:val="zh-CN" w:bidi="zh-CN"/>
        </w:rPr>
      </w:pPr>
      <w:bookmarkStart w:id="51" w:name="7.1对采购人的纪律要求"/>
      <w:bookmarkEnd w:id="51"/>
      <w:r>
        <w:rPr>
          <w:rFonts w:hint="eastAsia" w:ascii="宋体" w:hAnsi="宋体" w:eastAsia="宋体" w:cs="宋体"/>
          <w:b/>
          <w:bCs/>
          <w:color w:val="auto"/>
          <w:sz w:val="22"/>
          <w:szCs w:val="22"/>
          <w:highlight w:val="none"/>
          <w:lang w:val="zh-CN" w:bidi="zh-CN"/>
        </w:rPr>
        <w:t>对</w:t>
      </w:r>
      <w:r>
        <w:rPr>
          <w:rFonts w:hint="eastAsia" w:ascii="宋体" w:hAnsi="宋体" w:cs="宋体"/>
          <w:b/>
          <w:bCs/>
          <w:color w:val="auto"/>
          <w:sz w:val="22"/>
          <w:szCs w:val="22"/>
          <w:highlight w:val="none"/>
          <w:lang w:val="zh-CN" w:bidi="zh-CN"/>
        </w:rPr>
        <w:t>采购人</w:t>
      </w:r>
      <w:r>
        <w:rPr>
          <w:rFonts w:hint="eastAsia" w:ascii="宋体" w:hAnsi="宋体" w:eastAsia="宋体" w:cs="宋体"/>
          <w:b/>
          <w:bCs/>
          <w:color w:val="auto"/>
          <w:sz w:val="22"/>
          <w:szCs w:val="22"/>
          <w:highlight w:val="none"/>
          <w:lang w:val="zh-CN" w:bidi="zh-CN"/>
        </w:rPr>
        <w:t>的纪律要求</w:t>
      </w:r>
    </w:p>
    <w:p>
      <w:pPr>
        <w:widowControl w:val="0"/>
        <w:autoSpaceDE w:val="0"/>
        <w:autoSpaceDN w:val="0"/>
        <w:spacing w:before="24"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cs="宋体"/>
          <w:color w:val="auto"/>
          <w:spacing w:val="-4"/>
          <w:w w:val="95"/>
          <w:sz w:val="22"/>
          <w:szCs w:val="22"/>
          <w:highlight w:val="none"/>
          <w:lang w:val="zh-CN" w:bidi="zh-CN"/>
        </w:rPr>
        <w:t>采购人</w:t>
      </w:r>
      <w:r>
        <w:rPr>
          <w:rFonts w:hint="eastAsia" w:ascii="宋体" w:hAnsi="宋体" w:eastAsia="宋体" w:cs="宋体"/>
          <w:color w:val="auto"/>
          <w:sz w:val="22"/>
          <w:szCs w:val="22"/>
          <w:highlight w:val="none"/>
          <w:lang w:val="zh-CN" w:bidi="zh-CN"/>
        </w:rPr>
        <w:t>不得泄漏竞争性磋商中应当保密的情况和资料，不得与</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串通损害国家利益、社</w:t>
      </w:r>
      <w:r>
        <w:rPr>
          <w:rFonts w:hint="eastAsia" w:ascii="宋体" w:hAnsi="宋体" w:eastAsia="宋体" w:cs="宋体"/>
          <w:color w:val="auto"/>
          <w:spacing w:val="-4"/>
          <w:sz w:val="22"/>
          <w:szCs w:val="22"/>
          <w:highlight w:val="none"/>
          <w:lang w:val="zh-CN" w:bidi="zh-CN"/>
        </w:rPr>
        <w:t>会公共利益或者他人合法权益。</w:t>
      </w:r>
    </w:p>
    <w:p>
      <w:pPr>
        <w:widowControl w:val="0"/>
        <w:numPr>
          <w:ilvl w:val="1"/>
          <w:numId w:val="1"/>
        </w:numPr>
        <w:tabs>
          <w:tab w:val="left" w:pos="876"/>
        </w:tabs>
        <w:autoSpaceDE w:val="0"/>
        <w:autoSpaceDN w:val="0"/>
        <w:spacing w:before="20"/>
        <w:outlineLvl w:val="4"/>
        <w:rPr>
          <w:rFonts w:hint="eastAsia" w:ascii="宋体" w:hAnsi="宋体" w:eastAsia="宋体" w:cs="宋体"/>
          <w:b/>
          <w:bCs/>
          <w:color w:val="auto"/>
          <w:sz w:val="22"/>
          <w:szCs w:val="22"/>
          <w:highlight w:val="none"/>
          <w:lang w:val="zh-CN" w:bidi="zh-CN"/>
        </w:rPr>
      </w:pPr>
      <w:bookmarkStart w:id="52" w:name="7.2对供应商的纪律要求"/>
      <w:bookmarkEnd w:id="52"/>
      <w:r>
        <w:rPr>
          <w:rFonts w:hint="eastAsia" w:ascii="宋体" w:hAnsi="宋体" w:eastAsia="宋体" w:cs="宋体"/>
          <w:b/>
          <w:bCs/>
          <w:color w:val="auto"/>
          <w:sz w:val="22"/>
          <w:szCs w:val="22"/>
          <w:highlight w:val="none"/>
          <w:lang w:val="zh-CN" w:bidi="zh-CN"/>
        </w:rPr>
        <w:t>对</w:t>
      </w:r>
      <w:r>
        <w:rPr>
          <w:rFonts w:hint="eastAsia" w:ascii="宋体" w:hAnsi="宋体" w:cs="宋体"/>
          <w:b/>
          <w:bCs/>
          <w:color w:val="auto"/>
          <w:sz w:val="22"/>
          <w:szCs w:val="22"/>
          <w:highlight w:val="none"/>
          <w:lang w:val="zh-CN" w:bidi="zh-CN"/>
        </w:rPr>
        <w:t>响应人</w:t>
      </w:r>
      <w:r>
        <w:rPr>
          <w:rFonts w:hint="eastAsia" w:ascii="宋体" w:hAnsi="宋体" w:eastAsia="宋体" w:cs="宋体"/>
          <w:b/>
          <w:bCs/>
          <w:color w:val="auto"/>
          <w:sz w:val="22"/>
          <w:szCs w:val="22"/>
          <w:highlight w:val="none"/>
          <w:lang w:val="zh-CN" w:bidi="zh-CN"/>
        </w:rPr>
        <w:t>的纪律要求</w:t>
      </w:r>
    </w:p>
    <w:p>
      <w:pPr>
        <w:widowControl w:val="0"/>
        <w:autoSpaceDE w:val="0"/>
        <w:autoSpaceDN w:val="0"/>
        <w:spacing w:before="2"/>
        <w:ind w:left="598" w:leftChars="285" w:firstLine="220" w:firstLineChars="100"/>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不得相互串通或者与采购人串通，不得向采购人或者磋商小组成员行贿谋取成交，不得以他人名义磋商或者以其他方式弄虚作假骗取成交；</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不得以任何方式干扰、影响磋商工作。</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有下列情形之一的，属于（或视为）</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相互串通投标：</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之间协商投标报价等响应文件的实质性内容；</w:t>
      </w:r>
    </w:p>
    <w:p>
      <w:pPr>
        <w:widowControl w:val="0"/>
        <w:autoSpaceDE w:val="0"/>
        <w:autoSpaceDN w:val="0"/>
        <w:spacing w:before="4"/>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2、</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之间约定中标人；</w:t>
      </w:r>
    </w:p>
    <w:p>
      <w:pPr>
        <w:widowControl w:val="0"/>
        <w:autoSpaceDE w:val="0"/>
        <w:autoSpaceDN w:val="0"/>
        <w:spacing w:before="5"/>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3、</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之间约定部分</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放弃投标或者中标；</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4、属于同一集团、协会、商会等组织成员的</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按照该组织要求协同投标；</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5、</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之间为谋取中标或者排斥特定</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而采取的其他联合行动。</w:t>
      </w:r>
    </w:p>
    <w:p>
      <w:pPr>
        <w:widowControl w:val="0"/>
        <w:autoSpaceDE w:val="0"/>
        <w:autoSpaceDN w:val="0"/>
        <w:spacing w:before="5"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w w:val="95"/>
          <w:sz w:val="22"/>
          <w:szCs w:val="22"/>
          <w:highlight w:val="none"/>
          <w:lang w:val="zh-CN" w:bidi="zh-CN"/>
        </w:rPr>
        <w:t>6</w:t>
      </w:r>
      <w:r>
        <w:rPr>
          <w:rFonts w:hint="eastAsia" w:ascii="宋体" w:hAnsi="宋体" w:eastAsia="宋体" w:cs="宋体"/>
          <w:color w:val="auto"/>
          <w:spacing w:val="-5"/>
          <w:w w:val="95"/>
          <w:sz w:val="22"/>
          <w:szCs w:val="22"/>
          <w:highlight w:val="none"/>
          <w:lang w:val="zh-CN" w:bidi="zh-CN"/>
        </w:rPr>
        <w:t>、</w:t>
      </w:r>
      <w:r>
        <w:rPr>
          <w:rFonts w:hint="eastAsia" w:ascii="宋体" w:hAnsi="宋体" w:eastAsia="宋体" w:cs="宋体"/>
          <w:color w:val="auto"/>
          <w:sz w:val="22"/>
          <w:szCs w:val="22"/>
          <w:highlight w:val="none"/>
          <w:lang w:val="zh-CN" w:bidi="zh-CN"/>
        </w:rPr>
        <w:t>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的响应文件由同一单位或者个人编制；不同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的已标价工程量清单XML 电子文档记录的计价软件加密锁序列号信息有一条及以上相同，或者记录的硬件信息中存在一条及以上的计算机网卡MAC地址（如有）、CPU序列号和硬盘序列号均相同的（招标控制价的XML格式文件或计价软件版成果文件发布之前的软硬件信息相同的除外），或者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的电子响   应文件（已标价工程量清单XML电子文档除外）编制时的计算机硬件信息中存在一条及以上的计算机网卡MAC地址（如有）、CPU序列号和硬盘序列号均相同的视为“不同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的响应文件由同一单位或者个人编制”。</w:t>
      </w:r>
    </w:p>
    <w:p>
      <w:pPr>
        <w:widowControl w:val="0"/>
        <w:autoSpaceDE w:val="0"/>
        <w:autoSpaceDN w:val="0"/>
        <w:spacing w:before="3" w:line="242" w:lineRule="auto"/>
        <w:ind w:left="508" w:right="543"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w w:val="95"/>
          <w:sz w:val="22"/>
          <w:szCs w:val="22"/>
          <w:highlight w:val="none"/>
          <w:lang w:val="zh-CN" w:bidi="zh-CN"/>
        </w:rPr>
        <w:t>7、</w:t>
      </w:r>
      <w:r>
        <w:rPr>
          <w:rFonts w:hint="eastAsia" w:ascii="宋体" w:hAnsi="宋体" w:eastAsia="宋体" w:cs="宋体"/>
          <w:color w:val="auto"/>
          <w:sz w:val="22"/>
          <w:szCs w:val="22"/>
          <w:highlight w:val="none"/>
          <w:lang w:val="zh-CN" w:bidi="zh-CN"/>
        </w:rPr>
        <w:t>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委托同一单位或者个人办理投标事宜；不同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的电子响应文件上传计算机的网卡MAC地址、CPU序列号和硬盘序列号等硬件信息均相同的（开标现场上传电子响应文件的除外）视为：“不同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委托同一单位或者个人办理投标事宜”。</w:t>
      </w:r>
    </w:p>
    <w:p>
      <w:pPr>
        <w:widowControl w:val="0"/>
        <w:autoSpaceDE w:val="0"/>
        <w:autoSpaceDN w:val="0"/>
        <w:spacing w:before="3"/>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8、不同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为同一法定代表人的；不同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的响应文件载明的项目管理成员为同一人；</w:t>
      </w:r>
    </w:p>
    <w:p>
      <w:pPr>
        <w:widowControl w:val="0"/>
        <w:autoSpaceDE w:val="0"/>
        <w:autoSpaceDN w:val="0"/>
        <w:spacing w:before="2" w:line="242" w:lineRule="auto"/>
        <w:ind w:left="508" w:right="528"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9、不同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的响应文件异常一致或者投标报价呈规律性差异；不同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的技术文件经电子招标投标交易平台查重分析，内容异常一致或者实质性相同的视为“不同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的响应文件异常一致”。</w:t>
      </w:r>
    </w:p>
    <w:p>
      <w:pPr>
        <w:widowControl w:val="0"/>
        <w:autoSpaceDE w:val="0"/>
        <w:autoSpaceDN w:val="0"/>
        <w:spacing w:line="87" w:lineRule="exact"/>
        <w:ind w:left="479"/>
        <w:rPr>
          <w:rFonts w:hint="eastAsia" w:ascii="宋体" w:hAnsi="宋体" w:eastAsia="宋体" w:cs="宋体"/>
          <w:color w:val="auto"/>
          <w:sz w:val="22"/>
          <w:szCs w:val="22"/>
          <w:highlight w:val="none"/>
          <w:lang w:val="zh-CN" w:bidi="zh-CN"/>
        </w:rPr>
      </w:pPr>
    </w:p>
    <w:p>
      <w:pPr>
        <w:widowControl w:val="0"/>
        <w:autoSpaceDE w:val="0"/>
        <w:autoSpaceDN w:val="0"/>
        <w:spacing w:before="21"/>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10、不同</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的响应文件相互混装；</w:t>
      </w:r>
    </w:p>
    <w:p>
      <w:pPr>
        <w:widowControl w:val="0"/>
        <w:autoSpaceDE w:val="0"/>
        <w:autoSpaceDN w:val="0"/>
        <w:spacing w:before="5"/>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11、</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之间相互约定抬高或压低投标报价；</w:t>
      </w:r>
    </w:p>
    <w:p>
      <w:pPr>
        <w:widowControl w:val="0"/>
        <w:autoSpaceDE w:val="0"/>
        <w:autoSpaceDN w:val="0"/>
        <w:spacing w:before="2"/>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12、</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之间相互约定，在磋商项目中分别以高、中、低价位报价；</w:t>
      </w:r>
    </w:p>
    <w:p>
      <w:pPr>
        <w:widowControl w:val="0"/>
        <w:autoSpaceDE w:val="0"/>
        <w:autoSpaceDN w:val="0"/>
        <w:spacing w:before="4"/>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13、</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之间先进行内部竞价，内定中标人，然后再参加投标；</w:t>
      </w:r>
    </w:p>
    <w:p>
      <w:pPr>
        <w:widowControl w:val="0"/>
        <w:autoSpaceDE w:val="0"/>
        <w:autoSpaceDN w:val="0"/>
        <w:spacing w:before="3"/>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14、</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之间其他串通投标报价的行为。</w:t>
      </w:r>
    </w:p>
    <w:p>
      <w:pPr>
        <w:widowControl w:val="0"/>
        <w:numPr>
          <w:ilvl w:val="1"/>
          <w:numId w:val="1"/>
        </w:numPr>
        <w:tabs>
          <w:tab w:val="left" w:pos="876"/>
        </w:tabs>
        <w:autoSpaceDE w:val="0"/>
        <w:autoSpaceDN w:val="0"/>
        <w:spacing w:before="23"/>
        <w:outlineLvl w:val="4"/>
        <w:rPr>
          <w:rFonts w:hint="eastAsia" w:ascii="宋体" w:hAnsi="宋体" w:eastAsia="宋体" w:cs="宋体"/>
          <w:b/>
          <w:bCs/>
          <w:color w:val="auto"/>
          <w:sz w:val="22"/>
          <w:szCs w:val="22"/>
          <w:highlight w:val="none"/>
          <w:lang w:val="zh-CN" w:bidi="zh-CN"/>
        </w:rPr>
      </w:pPr>
      <w:bookmarkStart w:id="53" w:name="7.3对磋商小组成员的纪律要求"/>
      <w:bookmarkEnd w:id="53"/>
      <w:r>
        <w:rPr>
          <w:rFonts w:hint="eastAsia" w:ascii="宋体" w:hAnsi="宋体" w:eastAsia="宋体" w:cs="宋体"/>
          <w:b/>
          <w:bCs/>
          <w:color w:val="auto"/>
          <w:sz w:val="22"/>
          <w:szCs w:val="22"/>
          <w:highlight w:val="none"/>
          <w:lang w:val="zh-CN" w:bidi="zh-CN"/>
        </w:rPr>
        <w:t>对磋商小组成员的纪律要求</w:t>
      </w:r>
    </w:p>
    <w:p>
      <w:pPr>
        <w:widowControl w:val="0"/>
        <w:autoSpaceDE w:val="0"/>
        <w:autoSpaceDN w:val="0"/>
        <w:spacing w:before="5"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pPr>
        <w:widowControl w:val="0"/>
        <w:numPr>
          <w:ilvl w:val="1"/>
          <w:numId w:val="1"/>
        </w:numPr>
        <w:tabs>
          <w:tab w:val="left" w:pos="876"/>
        </w:tabs>
        <w:autoSpaceDE w:val="0"/>
        <w:autoSpaceDN w:val="0"/>
        <w:spacing w:before="20"/>
        <w:jc w:val="both"/>
        <w:outlineLvl w:val="4"/>
        <w:rPr>
          <w:rFonts w:hint="eastAsia" w:ascii="宋体" w:hAnsi="宋体" w:eastAsia="宋体" w:cs="宋体"/>
          <w:b/>
          <w:bCs/>
          <w:color w:val="auto"/>
          <w:sz w:val="22"/>
          <w:szCs w:val="22"/>
          <w:highlight w:val="none"/>
          <w:lang w:val="zh-CN" w:bidi="zh-CN"/>
        </w:rPr>
      </w:pPr>
      <w:bookmarkStart w:id="54" w:name="7.4对与磋商活动有关的工作人员的纪律要求"/>
      <w:bookmarkEnd w:id="54"/>
      <w:r>
        <w:rPr>
          <w:rFonts w:hint="eastAsia" w:ascii="宋体" w:hAnsi="宋体" w:eastAsia="宋体" w:cs="宋体"/>
          <w:b/>
          <w:bCs/>
          <w:color w:val="auto"/>
          <w:sz w:val="22"/>
          <w:szCs w:val="22"/>
          <w:highlight w:val="none"/>
          <w:lang w:val="zh-CN" w:bidi="zh-CN"/>
        </w:rPr>
        <w:t>对与磋商活动有关的工作人员的纪律要求</w:t>
      </w:r>
    </w:p>
    <w:p>
      <w:pPr>
        <w:widowControl w:val="0"/>
        <w:autoSpaceDE w:val="0"/>
        <w:autoSpaceDN w:val="0"/>
        <w:spacing w:before="5" w:line="242" w:lineRule="auto"/>
        <w:ind w:left="508" w:right="526" w:firstLine="420"/>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pPr>
        <w:widowControl w:val="0"/>
        <w:numPr>
          <w:ilvl w:val="1"/>
          <w:numId w:val="1"/>
        </w:numPr>
        <w:tabs>
          <w:tab w:val="left" w:pos="980"/>
        </w:tabs>
        <w:autoSpaceDE w:val="0"/>
        <w:autoSpaceDN w:val="0"/>
        <w:spacing w:before="22"/>
        <w:jc w:val="both"/>
        <w:outlineLvl w:val="4"/>
        <w:rPr>
          <w:rFonts w:hint="eastAsia" w:ascii="宋体" w:hAnsi="宋体" w:eastAsia="宋体" w:cs="宋体"/>
          <w:b/>
          <w:bCs/>
          <w:color w:val="auto"/>
          <w:sz w:val="22"/>
          <w:szCs w:val="22"/>
          <w:highlight w:val="none"/>
          <w:lang w:val="zh-CN" w:bidi="zh-CN"/>
        </w:rPr>
      </w:pPr>
      <w:bookmarkStart w:id="55" w:name="7.5 询问、质疑和投诉"/>
      <w:bookmarkEnd w:id="55"/>
      <w:r>
        <w:rPr>
          <w:rFonts w:hint="eastAsia" w:ascii="宋体" w:hAnsi="宋体" w:eastAsia="宋体" w:cs="宋体"/>
          <w:b/>
          <w:bCs/>
          <w:color w:val="auto"/>
          <w:sz w:val="22"/>
          <w:szCs w:val="22"/>
          <w:highlight w:val="none"/>
          <w:lang w:val="zh-CN" w:bidi="zh-CN"/>
        </w:rPr>
        <w:t>询问、质疑和投诉</w:t>
      </w:r>
    </w:p>
    <w:p>
      <w:pPr>
        <w:widowControl w:val="0"/>
        <w:numPr>
          <w:ilvl w:val="2"/>
          <w:numId w:val="1"/>
        </w:numPr>
        <w:tabs>
          <w:tab w:val="left" w:pos="1558"/>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或有关当事人对磋商过程、成交结果有异议的，可以向采购人或者采购代理机构提出询问。</w:t>
      </w:r>
    </w:p>
    <w:p>
      <w:pPr>
        <w:widowControl w:val="0"/>
        <w:numPr>
          <w:ilvl w:val="2"/>
          <w:numId w:val="1"/>
        </w:numPr>
        <w:tabs>
          <w:tab w:val="left" w:pos="1452"/>
        </w:tabs>
        <w:autoSpaceDE w:val="0"/>
        <w:autoSpaceDN w:val="0"/>
        <w:spacing w:line="269" w:lineRule="exact"/>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采购人</w:t>
      </w:r>
      <w:r>
        <w:rPr>
          <w:rFonts w:hint="eastAsia" w:ascii="宋体" w:hAnsi="宋体" w:eastAsia="宋体" w:cs="宋体"/>
          <w:color w:val="auto"/>
          <w:sz w:val="22"/>
          <w:szCs w:val="22"/>
          <w:highlight w:val="none"/>
          <w:lang w:val="zh-CN" w:bidi="zh-CN"/>
        </w:rPr>
        <w:t>或者</w:t>
      </w:r>
      <w:r>
        <w:rPr>
          <w:rFonts w:hint="eastAsia" w:ascii="宋体" w:hAnsi="宋体" w:cs="宋体"/>
          <w:color w:val="auto"/>
          <w:sz w:val="22"/>
          <w:szCs w:val="22"/>
          <w:highlight w:val="none"/>
          <w:lang w:val="zh-CN" w:bidi="zh-CN"/>
        </w:rPr>
        <w:t>采购代理</w:t>
      </w:r>
      <w:r>
        <w:rPr>
          <w:rFonts w:hint="eastAsia" w:ascii="宋体" w:hAnsi="宋体" w:eastAsia="宋体" w:cs="宋体"/>
          <w:color w:val="auto"/>
          <w:sz w:val="22"/>
          <w:szCs w:val="22"/>
          <w:highlight w:val="none"/>
          <w:lang w:val="zh-CN" w:bidi="zh-CN"/>
        </w:rPr>
        <w:t>机构应当在三个工作日内对</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依法提出的询问作出答复。</w:t>
      </w:r>
    </w:p>
    <w:p>
      <w:pPr>
        <w:widowControl w:val="0"/>
        <w:numPr>
          <w:ilvl w:val="2"/>
          <w:numId w:val="1"/>
        </w:numPr>
        <w:tabs>
          <w:tab w:val="left" w:pos="1452"/>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认为竞争性磋商文件、采购过程使自己的权益受到损害的，可以在知道或者应知其权益受到损害之日起七个工作日内，以线上</w:t>
      </w:r>
      <w:r>
        <w:rPr>
          <w:rFonts w:hint="eastAsia" w:ascii="宋体" w:hAnsi="宋体" w:cs="宋体"/>
          <w:color w:val="auto"/>
          <w:sz w:val="22"/>
          <w:szCs w:val="22"/>
          <w:highlight w:val="none"/>
          <w:lang w:val="en-US" w:bidi="zh-CN"/>
        </w:rPr>
        <w:t>或书面</w:t>
      </w:r>
      <w:r>
        <w:rPr>
          <w:rFonts w:hint="eastAsia" w:ascii="宋体" w:hAnsi="宋体" w:eastAsia="宋体" w:cs="宋体"/>
          <w:color w:val="auto"/>
          <w:sz w:val="22"/>
          <w:szCs w:val="22"/>
          <w:highlight w:val="none"/>
          <w:lang w:val="zh-CN" w:bidi="zh-CN"/>
        </w:rPr>
        <w:t>形式向采购人提出质疑。</w:t>
      </w:r>
    </w:p>
    <w:p>
      <w:pPr>
        <w:widowControl w:val="0"/>
        <w:numPr>
          <w:ilvl w:val="2"/>
          <w:numId w:val="1"/>
        </w:numPr>
        <w:tabs>
          <w:tab w:val="left" w:pos="1452"/>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认为成交结果使自己的权益受到损害的，可以在成交结果公告期限届满之日起七个工作日内，以线上</w:t>
      </w:r>
      <w:r>
        <w:rPr>
          <w:rFonts w:hint="eastAsia" w:ascii="宋体" w:hAnsi="宋体" w:cs="宋体"/>
          <w:color w:val="auto"/>
          <w:sz w:val="22"/>
          <w:szCs w:val="22"/>
          <w:highlight w:val="none"/>
          <w:lang w:val="en-US" w:bidi="zh-CN"/>
        </w:rPr>
        <w:t>或书面</w:t>
      </w:r>
      <w:r>
        <w:rPr>
          <w:rFonts w:hint="eastAsia" w:ascii="宋体" w:hAnsi="宋体" w:eastAsia="宋体" w:cs="宋体"/>
          <w:color w:val="auto"/>
          <w:sz w:val="22"/>
          <w:szCs w:val="22"/>
          <w:highlight w:val="none"/>
          <w:lang w:val="zh-CN" w:bidi="zh-CN"/>
        </w:rPr>
        <w:t>形式向采购人提出质疑，接收质疑函联系部门、电话及地址详见竞争性磋商公告。在法定质疑期内</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针对同一采购程序环节的质疑应当一次性提出。</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采购人</w:t>
      </w:r>
      <w:r>
        <w:rPr>
          <w:rFonts w:hint="eastAsia" w:ascii="宋体" w:hAnsi="宋体" w:eastAsia="宋体" w:cs="宋体"/>
          <w:color w:val="auto"/>
          <w:sz w:val="22"/>
          <w:szCs w:val="22"/>
          <w:highlight w:val="none"/>
          <w:lang w:val="zh-CN" w:bidi="zh-CN"/>
        </w:rPr>
        <w:t>或者</w:t>
      </w:r>
      <w:r>
        <w:rPr>
          <w:rFonts w:hint="eastAsia" w:ascii="宋体" w:hAnsi="宋体" w:cs="宋体"/>
          <w:color w:val="auto"/>
          <w:sz w:val="22"/>
          <w:szCs w:val="22"/>
          <w:highlight w:val="none"/>
          <w:lang w:val="zh-CN" w:bidi="zh-CN"/>
        </w:rPr>
        <w:t>采购代理</w:t>
      </w:r>
      <w:r>
        <w:rPr>
          <w:rFonts w:hint="eastAsia" w:ascii="宋体" w:hAnsi="宋体" w:eastAsia="宋体" w:cs="宋体"/>
          <w:color w:val="auto"/>
          <w:sz w:val="22"/>
          <w:szCs w:val="22"/>
          <w:highlight w:val="none"/>
          <w:lang w:val="zh-CN" w:bidi="zh-CN"/>
        </w:rPr>
        <w:t>机构应当在收到</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的质疑后七个工作日内作出答复，并以线上</w:t>
      </w:r>
      <w:r>
        <w:rPr>
          <w:rFonts w:hint="eastAsia" w:ascii="宋体" w:hAnsi="宋体" w:cs="宋体"/>
          <w:color w:val="auto"/>
          <w:sz w:val="22"/>
          <w:szCs w:val="22"/>
          <w:highlight w:val="none"/>
          <w:lang w:val="en-US" w:bidi="zh-CN"/>
        </w:rPr>
        <w:t>或书面</w:t>
      </w:r>
      <w:r>
        <w:rPr>
          <w:rFonts w:hint="eastAsia" w:ascii="宋体" w:hAnsi="宋体" w:eastAsia="宋体" w:cs="宋体"/>
          <w:color w:val="auto"/>
          <w:sz w:val="22"/>
          <w:szCs w:val="22"/>
          <w:highlight w:val="none"/>
          <w:lang w:val="zh-CN" w:bidi="zh-CN"/>
        </w:rPr>
        <w:t>形式通知质疑</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和其他有关</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，但答复的内容不得涉及商业秘密。</w:t>
      </w:r>
    </w:p>
    <w:p>
      <w:pPr>
        <w:widowControl w:val="0"/>
        <w:numPr>
          <w:ilvl w:val="2"/>
          <w:numId w:val="1"/>
        </w:numPr>
        <w:tabs>
          <w:tab w:val="left" w:pos="1452"/>
        </w:tabs>
        <w:autoSpaceDE w:val="0"/>
        <w:autoSpaceDN w:val="0"/>
        <w:spacing w:line="278" w:lineRule="auto"/>
        <w:ind w:right="437"/>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质疑</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对采购人、采购代理机构的答复不满意或者采购人、</w:t>
      </w:r>
      <w:r>
        <w:rPr>
          <w:rFonts w:hint="eastAsia" w:ascii="宋体" w:hAnsi="宋体" w:cs="宋体"/>
          <w:color w:val="auto"/>
          <w:sz w:val="22"/>
          <w:szCs w:val="22"/>
          <w:highlight w:val="none"/>
          <w:lang w:val="zh-CN" w:bidi="zh-CN"/>
        </w:rPr>
        <w:t>采购代理</w:t>
      </w:r>
      <w:r>
        <w:rPr>
          <w:rFonts w:hint="eastAsia" w:ascii="宋体" w:hAnsi="宋体" w:eastAsia="宋体" w:cs="宋体"/>
          <w:color w:val="auto"/>
          <w:sz w:val="22"/>
          <w:szCs w:val="22"/>
          <w:highlight w:val="none"/>
          <w:lang w:val="zh-CN" w:bidi="zh-CN"/>
        </w:rPr>
        <w:t>机构未在规定的时间内作出答复的，可以在答复期满后十五个工作日内向同级政府采购监督管理部门投诉。</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质疑、投诉应当有明确的请求和必要的证明材料。</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投诉的事项不得超出已质疑事项的范围。</w:t>
      </w:r>
    </w:p>
    <w:p>
      <w:pPr>
        <w:widowControl w:val="0"/>
        <w:numPr>
          <w:ilvl w:val="0"/>
          <w:numId w:val="1"/>
        </w:numPr>
        <w:tabs>
          <w:tab w:val="left" w:pos="989"/>
        </w:tabs>
        <w:autoSpaceDE w:val="0"/>
        <w:autoSpaceDN w:val="0"/>
        <w:spacing w:line="287" w:lineRule="exact"/>
        <w:jc w:val="both"/>
        <w:outlineLvl w:val="3"/>
        <w:rPr>
          <w:rFonts w:hint="eastAsia" w:ascii="宋体" w:hAnsi="宋体" w:eastAsia="宋体" w:cs="宋体"/>
          <w:b/>
          <w:bCs/>
          <w:color w:val="auto"/>
          <w:sz w:val="22"/>
          <w:szCs w:val="22"/>
          <w:highlight w:val="none"/>
          <w:lang w:val="zh-CN" w:bidi="zh-CN"/>
        </w:rPr>
      </w:pPr>
      <w:bookmarkStart w:id="56" w:name="_bookmark10"/>
      <w:bookmarkEnd w:id="56"/>
      <w:bookmarkStart w:id="57" w:name="8. 政府采购政策"/>
      <w:bookmarkEnd w:id="57"/>
      <w:r>
        <w:rPr>
          <w:rFonts w:hint="eastAsia" w:ascii="宋体" w:hAnsi="宋体" w:eastAsia="宋体" w:cs="宋体"/>
          <w:b/>
          <w:bCs/>
          <w:color w:val="auto"/>
          <w:sz w:val="22"/>
          <w:szCs w:val="22"/>
          <w:highlight w:val="none"/>
          <w:lang w:val="zh-CN" w:bidi="zh-CN"/>
        </w:rPr>
        <w:t>政府采购政策</w:t>
      </w:r>
    </w:p>
    <w:p>
      <w:pPr>
        <w:widowControl w:val="0"/>
        <w:numPr>
          <w:ilvl w:val="2"/>
          <w:numId w:val="1"/>
        </w:numPr>
        <w:tabs>
          <w:tab w:val="left" w:pos="1452"/>
        </w:tabs>
        <w:autoSpaceDE w:val="0"/>
        <w:autoSpaceDN w:val="0"/>
        <w:spacing w:line="278" w:lineRule="auto"/>
        <w:ind w:right="528"/>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提供产品如为“节能产品政府采购品目清单”非强制采购内的产品，给予投标的加分。</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 xml:space="preserve">须在响应文件中附所投产品属于节能产品政府采购品目清单所在页的复印件，及国家确定的认证机构出具的、处于有效期之内的《国家节能产品认证证书》复印件， 否 则 评 标小 组 有 权 不 予 认 可 。 清 单 可 在 中 华 人 民 共 和 国 财 政 部 网 站（ </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"http://www.mof.gov.cn/"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http://www.mof.gov.cn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）、中国政府采购网（</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"http://www.ccgp.gov.cn/"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http://www.ccgp.gov.cn/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）查阅。</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提供产品如为“环境标志产品政府采购品目清单”内的产品，给予投标的加分。</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须在响应文件中附该产品在国家有关部门公布的环境标志产品政府采购品目清单所在页   的复印件，及国家确定的认证机构出具的、处于有效期之内的《中国环境标志产品认证证书》复印件，否则评标小组有权不予认可。清单可在中华人民共和国财政部网站（</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"http://www.mof.gov.cn/"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http://www.mof.gov.cn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 xml:space="preserve">）、中国政府采购网（ </w:t>
      </w:r>
      <w:r>
        <w:rPr>
          <w:rFonts w:hint="eastAsia" w:ascii="宋体" w:hAnsi="宋体" w:eastAsia="宋体" w:cs="宋体"/>
          <w:color w:val="auto"/>
          <w:sz w:val="22"/>
          <w:szCs w:val="22"/>
          <w:highlight w:val="none"/>
          <w:lang w:val="zh-CN" w:bidi="zh-CN"/>
        </w:rPr>
        <w:fldChar w:fldCharType="begin"/>
      </w:r>
      <w:r>
        <w:rPr>
          <w:rFonts w:hint="eastAsia" w:ascii="宋体" w:hAnsi="宋体" w:eastAsia="宋体" w:cs="宋体"/>
          <w:color w:val="auto"/>
          <w:sz w:val="22"/>
          <w:szCs w:val="22"/>
          <w:highlight w:val="none"/>
          <w:lang w:val="zh-CN" w:bidi="zh-CN"/>
        </w:rPr>
        <w:instrText xml:space="preserve"> HYPERLINK "http://www.ccgp.gov.cn/" \h </w:instrText>
      </w:r>
      <w:r>
        <w:rPr>
          <w:rFonts w:hint="eastAsia" w:ascii="宋体" w:hAnsi="宋体" w:eastAsia="宋体" w:cs="宋体"/>
          <w:color w:val="auto"/>
          <w:sz w:val="22"/>
          <w:szCs w:val="22"/>
          <w:highlight w:val="none"/>
          <w:lang w:val="zh-CN" w:bidi="zh-CN"/>
        </w:rPr>
        <w:fldChar w:fldCharType="separate"/>
      </w:r>
      <w:r>
        <w:rPr>
          <w:rFonts w:hint="eastAsia" w:ascii="宋体" w:hAnsi="宋体" w:eastAsia="宋体" w:cs="宋体"/>
          <w:color w:val="auto"/>
          <w:sz w:val="22"/>
          <w:szCs w:val="22"/>
          <w:highlight w:val="none"/>
          <w:lang w:val="zh-CN" w:bidi="zh-CN"/>
        </w:rPr>
        <w:t>http://www.ccgp.gov.cn/</w:t>
      </w:r>
      <w:r>
        <w:rPr>
          <w:rFonts w:hint="eastAsia" w:ascii="宋体" w:hAnsi="宋体" w:eastAsia="宋体" w:cs="宋体"/>
          <w:color w:val="auto"/>
          <w:sz w:val="22"/>
          <w:szCs w:val="22"/>
          <w:highlight w:val="none"/>
          <w:lang w:val="zh-CN" w:bidi="zh-CN"/>
        </w:rPr>
        <w:fldChar w:fldCharType="end"/>
      </w:r>
      <w:r>
        <w:rPr>
          <w:rFonts w:hint="eastAsia" w:ascii="宋体" w:hAnsi="宋体" w:eastAsia="宋体" w:cs="宋体"/>
          <w:color w:val="auto"/>
          <w:sz w:val="22"/>
          <w:szCs w:val="22"/>
          <w:highlight w:val="none"/>
          <w:lang w:val="zh-CN" w:bidi="zh-CN"/>
        </w:rPr>
        <w:t>）查阅。</w:t>
      </w:r>
    </w:p>
    <w:p>
      <w:pPr>
        <w:widowControl w:val="0"/>
        <w:numPr>
          <w:ilvl w:val="1"/>
          <w:numId w:val="1"/>
        </w:numPr>
        <w:tabs>
          <w:tab w:val="left" w:pos="1244"/>
        </w:tabs>
        <w:autoSpaceDE w:val="0"/>
        <w:autoSpaceDN w:val="0"/>
        <w:spacing w:before="43"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关于无线局域网产品，必须执行国家财政部、发改委、信息产业部等部门的规定，</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必须提供所投货物的《无限局域网认证产品政府采购清单》等证明材料文件复印件。</w:t>
      </w:r>
    </w:p>
    <w:p>
      <w:pPr>
        <w:widowControl w:val="0"/>
        <w:numPr>
          <w:ilvl w:val="1"/>
          <w:numId w:val="1"/>
        </w:numPr>
        <w:tabs>
          <w:tab w:val="left" w:pos="1244"/>
        </w:tabs>
        <w:autoSpaceDE w:val="0"/>
        <w:autoSpaceDN w:val="0"/>
        <w:spacing w:line="278" w:lineRule="auto"/>
        <w:ind w:right="424"/>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关于计算机办公设备，必须执行国家版权局、信息产业部、财政部等部门规定，</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所投货物必须是国家信息部、版权局、商务部等部门认可的预装正版操作系统软件的计算机产品。</w:t>
      </w:r>
    </w:p>
    <w:p>
      <w:pPr>
        <w:widowControl w:val="0"/>
        <w:numPr>
          <w:ilvl w:val="1"/>
          <w:numId w:val="1"/>
        </w:numPr>
        <w:tabs>
          <w:tab w:val="left" w:pos="1244"/>
        </w:tabs>
        <w:autoSpaceDE w:val="0"/>
        <w:autoSpaceDN w:val="0"/>
        <w:spacing w:line="269" w:lineRule="exact"/>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采购货物为国家强制性认证产品的，必须符合强制性标准。</w:t>
      </w:r>
    </w:p>
    <w:p>
      <w:pPr>
        <w:widowControl w:val="0"/>
        <w:numPr>
          <w:ilvl w:val="1"/>
          <w:numId w:val="1"/>
        </w:numPr>
        <w:tabs>
          <w:tab w:val="left" w:pos="1244"/>
        </w:tabs>
        <w:autoSpaceDE w:val="0"/>
        <w:autoSpaceDN w:val="0"/>
        <w:spacing w:before="42" w:line="278" w:lineRule="auto"/>
        <w:ind w:right="526"/>
        <w:rPr>
          <w:rFonts w:hint="eastAsia" w:ascii="宋体" w:hAnsi="宋体" w:eastAsia="宋体" w:cs="宋体"/>
          <w:color w:val="auto"/>
          <w:sz w:val="22"/>
          <w:szCs w:val="22"/>
          <w:highlight w:val="none"/>
          <w:lang w:val="zh-CN" w:bidi="zh-CN"/>
        </w:rPr>
      </w:pPr>
      <w:r>
        <w:rPr>
          <w:rFonts w:hint="eastAsia" w:ascii="宋体" w:hAnsi="宋体" w:eastAsia="宋体" w:cs="宋体"/>
          <w:color w:val="auto"/>
          <w:spacing w:val="-8"/>
          <w:sz w:val="22"/>
          <w:szCs w:val="22"/>
          <w:highlight w:val="none"/>
          <w:lang w:val="zh-CN" w:bidi="zh-CN"/>
        </w:rPr>
        <w:t>优先采购本国产品。采购进口产品应符合《中华人民共和国政府采购法》并依法办 理论证、公示、审批手续。</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采购信息安全产品的，应当采购经国家认证的信息安全产品，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应提供由中国信息安全认证中心按国家标准颁发的有效认证证书。</w:t>
      </w:r>
    </w:p>
    <w:p>
      <w:pPr>
        <w:widowControl w:val="0"/>
        <w:numPr>
          <w:ilvl w:val="1"/>
          <w:numId w:val="1"/>
        </w:numPr>
        <w:tabs>
          <w:tab w:val="left" w:pos="1244"/>
        </w:tabs>
        <w:autoSpaceDE w:val="0"/>
        <w:autoSpaceDN w:val="0"/>
        <w:spacing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鼓励创新，首购和订购的产品具有首创和自主研发性质，属于自主创新产品的，必须执行《自主创新产品政府收购和订购管理办法》。</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促进中小型企业发展，必须执行财政部、工信部印发的《政府采购促进中小型企业发展暂行办法》，对小型和微型企业产品的价格给予</w:t>
      </w:r>
      <w:r>
        <w:rPr>
          <w:rFonts w:hint="eastAsia" w:ascii="宋体" w:hAnsi="宋体" w:eastAsia="宋体" w:cs="宋体"/>
          <w:color w:val="auto"/>
          <w:sz w:val="22"/>
          <w:szCs w:val="22"/>
          <w:highlight w:val="none"/>
          <w:lang w:val="en-US" w:bidi="zh-CN"/>
        </w:rPr>
        <w:t>20</w:t>
      </w:r>
      <w:r>
        <w:rPr>
          <w:rFonts w:hint="eastAsia" w:ascii="宋体" w:hAnsi="宋体" w:eastAsia="宋体" w:cs="宋体"/>
          <w:color w:val="auto"/>
          <w:sz w:val="22"/>
          <w:szCs w:val="22"/>
          <w:highlight w:val="none"/>
          <w:lang w:val="zh-CN" w:bidi="zh-CN"/>
        </w:rPr>
        <w:t>%的扣除（监狱企业/残疾人福利性企业视同小型、微型企业），用扣除后的价格参与评审。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中标人如为小型和微型企业的，并在投标时填写了中小企业声明函，则需要在领取中标通知书时提供由相关政府部门出具的企业划型认定材料；中标人如为残疾人福利性企业的，并在投标时填写了残疾人福利性单位声明函，则需要在领取中标通知书时提供由相关政府部门出具的相关证明材料，若不能提供或提供的材料与投标时做出的声明不符，采购人有权取消该中标人的中标资格，并对因其造成的损失进行追责。</w:t>
      </w:r>
    </w:p>
    <w:p>
      <w:pPr>
        <w:widowControl w:val="0"/>
        <w:numPr>
          <w:ilvl w:val="1"/>
          <w:numId w:val="1"/>
        </w:numPr>
        <w:tabs>
          <w:tab w:val="left" w:pos="1244"/>
        </w:tabs>
        <w:autoSpaceDE w:val="0"/>
        <w:autoSpaceDN w:val="0"/>
        <w:spacing w:before="43" w:line="278" w:lineRule="auto"/>
        <w:ind w:right="526"/>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en-US" w:bidi="zh-CN"/>
        </w:rPr>
        <w:t xml:space="preserve"> </w:t>
      </w:r>
      <w:r>
        <w:rPr>
          <w:rFonts w:hint="eastAsia" w:ascii="宋体" w:hAnsi="宋体" w:eastAsia="宋体" w:cs="宋体"/>
          <w:color w:val="auto"/>
          <w:sz w:val="22"/>
          <w:szCs w:val="22"/>
          <w:highlight w:val="none"/>
          <w:lang w:val="zh-CN" w:bidi="zh-CN"/>
        </w:rPr>
        <w:t>开源节流，执行低价优先的采购政策规定。</w:t>
      </w:r>
    </w:p>
    <w:p>
      <w:pPr>
        <w:widowControl w:val="0"/>
        <w:numPr>
          <w:ilvl w:val="0"/>
          <w:numId w:val="1"/>
        </w:numPr>
        <w:tabs>
          <w:tab w:val="left" w:pos="989"/>
        </w:tabs>
        <w:autoSpaceDE w:val="0"/>
        <w:autoSpaceDN w:val="0"/>
        <w:spacing w:before="22"/>
        <w:jc w:val="both"/>
        <w:outlineLvl w:val="3"/>
        <w:rPr>
          <w:rFonts w:hint="eastAsia" w:ascii="宋体" w:hAnsi="宋体" w:eastAsia="宋体" w:cs="宋体"/>
          <w:b/>
          <w:bCs/>
          <w:color w:val="auto"/>
          <w:sz w:val="22"/>
          <w:szCs w:val="22"/>
          <w:highlight w:val="none"/>
          <w:lang w:val="zh-CN" w:bidi="zh-CN"/>
        </w:rPr>
      </w:pPr>
      <w:bookmarkStart w:id="58" w:name="9. 信用记录"/>
      <w:bookmarkEnd w:id="58"/>
      <w:bookmarkStart w:id="59" w:name="_bookmark11"/>
      <w:bookmarkEnd w:id="59"/>
      <w:r>
        <w:rPr>
          <w:rFonts w:hint="eastAsia" w:ascii="宋体" w:hAnsi="宋体" w:eastAsia="宋体" w:cs="宋体"/>
          <w:b/>
          <w:bCs/>
          <w:color w:val="auto"/>
          <w:sz w:val="22"/>
          <w:szCs w:val="22"/>
          <w:highlight w:val="none"/>
          <w:lang w:val="zh-CN" w:bidi="zh-CN"/>
        </w:rPr>
        <w:t>信用记录</w:t>
      </w:r>
    </w:p>
    <w:p>
      <w:pPr>
        <w:widowControl w:val="0"/>
        <w:autoSpaceDE w:val="0"/>
        <w:autoSpaceDN w:val="0"/>
        <w:spacing w:before="22" w:line="278" w:lineRule="auto"/>
        <w:ind w:left="508" w:right="526" w:firstLine="420"/>
        <w:jc w:val="both"/>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根据《关于在政府采购活动中查询及使用信用记录有关问题的通知》  (财库[2016]125 号) 的规定，对列入失信被执行人、重大税收违法失信主体、政府采购严重违法失信行为记录名单的</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，不得参与本项目采购活动，</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须提供信用报告（信用报告从“信用中国”网站下载，生成日期不得早于公告发布日期）。注：</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应通过“信用中国”网站（www.creditchina.gov.cn）查询“失信被执行人”、“重大税收违法失信主体”，中国政府采购网（www.ccgp.gov.cn）查询“政府采购严重违法失信行为记录名单”渠道查询自身信用记录，查询时间需在本招标公告发布之后。</w:t>
      </w:r>
    </w:p>
    <w:p>
      <w:pPr>
        <w:widowControl w:val="0"/>
        <w:numPr>
          <w:ilvl w:val="0"/>
          <w:numId w:val="1"/>
        </w:numPr>
        <w:tabs>
          <w:tab w:val="left" w:pos="1049"/>
        </w:tabs>
        <w:autoSpaceDE w:val="0"/>
        <w:autoSpaceDN w:val="0"/>
        <w:outlineLvl w:val="3"/>
        <w:rPr>
          <w:rFonts w:hint="eastAsia" w:ascii="宋体" w:hAnsi="宋体" w:eastAsia="宋体" w:cs="宋体"/>
          <w:b/>
          <w:bCs/>
          <w:color w:val="auto"/>
          <w:sz w:val="22"/>
          <w:szCs w:val="22"/>
          <w:highlight w:val="none"/>
          <w:lang w:val="zh-CN" w:bidi="zh-CN"/>
        </w:rPr>
      </w:pPr>
      <w:bookmarkStart w:id="60" w:name="_bookmark12"/>
      <w:bookmarkEnd w:id="60"/>
      <w:bookmarkStart w:id="61" w:name="10. 需要补充的其他内容"/>
      <w:bookmarkEnd w:id="61"/>
      <w:r>
        <w:rPr>
          <w:rFonts w:hint="eastAsia" w:ascii="宋体" w:hAnsi="宋体" w:eastAsia="宋体" w:cs="宋体"/>
          <w:b/>
          <w:bCs/>
          <w:color w:val="auto"/>
          <w:sz w:val="22"/>
          <w:szCs w:val="22"/>
          <w:highlight w:val="none"/>
          <w:lang w:val="zh-CN" w:bidi="zh-CN"/>
        </w:rPr>
        <w:t>需要补充的其他内容</w:t>
      </w:r>
    </w:p>
    <w:p>
      <w:pPr>
        <w:widowControl w:val="0"/>
        <w:autoSpaceDE w:val="0"/>
        <w:autoSpaceDN w:val="0"/>
        <w:spacing w:before="3"/>
        <w:ind w:left="928"/>
        <w:rPr>
          <w:rFonts w:hint="eastAsia" w:ascii="宋体" w:hAnsi="宋体" w:eastAsia="宋体" w:cs="宋体"/>
          <w:color w:val="auto"/>
          <w:sz w:val="22"/>
          <w:szCs w:val="22"/>
          <w:highlight w:val="none"/>
          <w:lang w:val="zh-CN" w:bidi="zh-CN"/>
        </w:rPr>
      </w:pPr>
      <w:r>
        <w:rPr>
          <w:rFonts w:hint="eastAsia" w:ascii="宋体" w:hAnsi="宋体" w:eastAsia="宋体" w:cs="宋体"/>
          <w:color w:val="auto"/>
          <w:sz w:val="22"/>
          <w:szCs w:val="22"/>
          <w:highlight w:val="none"/>
          <w:lang w:val="zh-CN" w:bidi="zh-CN"/>
        </w:rPr>
        <w:t>需要补充的其他内容：见</w:t>
      </w:r>
      <w:r>
        <w:rPr>
          <w:rFonts w:hint="eastAsia" w:ascii="宋体" w:hAnsi="宋体" w:cs="宋体"/>
          <w:color w:val="auto"/>
          <w:sz w:val="22"/>
          <w:szCs w:val="22"/>
          <w:highlight w:val="none"/>
          <w:lang w:val="zh-CN" w:bidi="zh-CN"/>
        </w:rPr>
        <w:t>响应人</w:t>
      </w:r>
      <w:r>
        <w:rPr>
          <w:rFonts w:hint="eastAsia" w:ascii="宋体" w:hAnsi="宋体" w:eastAsia="宋体" w:cs="宋体"/>
          <w:color w:val="auto"/>
          <w:sz w:val="22"/>
          <w:szCs w:val="22"/>
          <w:highlight w:val="none"/>
          <w:lang w:val="zh-CN" w:bidi="zh-CN"/>
        </w:rPr>
        <w:t>须知前附表。</w:t>
      </w:r>
    </w:p>
    <w:p>
      <w:pPr>
        <w:spacing w:line="460" w:lineRule="exact"/>
        <w:ind w:firstLine="480" w:firstLineChars="200"/>
        <w:rPr>
          <w:rFonts w:hint="eastAsia" w:ascii="宋体" w:hAnsi="宋体" w:eastAsia="宋体" w:cs="宋体"/>
          <w:bCs/>
          <w:color w:val="auto"/>
          <w:sz w:val="24"/>
          <w:szCs w:val="24"/>
          <w:highlight w:val="none"/>
        </w:rPr>
      </w:pPr>
    </w:p>
    <w:bookmarkEnd w:id="11"/>
    <w:bookmarkEnd w:id="12"/>
    <w:p>
      <w:pPr>
        <w:bidi w:val="0"/>
        <w:rPr>
          <w:color w:val="auto"/>
          <w:highlight w:val="none"/>
        </w:rPr>
      </w:pPr>
      <w:bookmarkStart w:id="62" w:name="_Toc362618985"/>
    </w:p>
    <w:p>
      <w:pPr>
        <w:bidi w:val="0"/>
        <w:rPr>
          <w:color w:val="auto"/>
          <w:highlight w:val="none"/>
        </w:rPr>
      </w:pPr>
    </w:p>
    <w:p>
      <w:pPr>
        <w:pStyle w:val="3"/>
        <w:spacing w:before="0" w:after="0"/>
        <w:ind w:firstLine="3614" w:firstLineChars="1000"/>
        <w:jc w:val="both"/>
        <w:rPr>
          <w:color w:val="auto"/>
          <w:highlight w:val="none"/>
        </w:rPr>
      </w:pPr>
      <w:bookmarkStart w:id="63" w:name="_Toc478314726"/>
      <w:bookmarkStart w:id="64" w:name="_Toc465848101"/>
      <w:bookmarkStart w:id="65" w:name="_Toc452970828"/>
      <w:bookmarkStart w:id="66" w:name="_Toc478314727"/>
      <w:r>
        <w:rPr>
          <w:rFonts w:hint="eastAsia"/>
          <w:color w:val="auto"/>
          <w:highlight w:val="none"/>
        </w:rPr>
        <w:t>第三章评标办法</w:t>
      </w:r>
      <w:bookmarkEnd w:id="62"/>
      <w:bookmarkEnd w:id="63"/>
      <w:bookmarkEnd w:id="64"/>
      <w:bookmarkEnd w:id="65"/>
      <w:bookmarkEnd w:id="66"/>
    </w:p>
    <w:tbl>
      <w:tblPr>
        <w:tblStyle w:val="20"/>
        <w:tblpPr w:leftFromText="180" w:rightFromText="180" w:vertAnchor="text" w:horzAnchor="margin" w:tblpXSpec="center" w:tblpY="333"/>
        <w:tblOverlap w:val="never"/>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751"/>
        <w:gridCol w:w="923"/>
        <w:gridCol w:w="1801"/>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exact"/>
        </w:trPr>
        <w:tc>
          <w:tcPr>
            <w:tcW w:w="2351" w:type="dxa"/>
            <w:gridSpan w:val="3"/>
            <w:tcBorders>
              <w:bottom w:val="single" w:color="auto" w:sz="4" w:space="0"/>
            </w:tcBorders>
            <w:vAlign w:val="center"/>
          </w:tcPr>
          <w:p>
            <w:pPr>
              <w:spacing w:line="400" w:lineRule="atLeast"/>
              <w:jc w:val="center"/>
              <w:rPr>
                <w:b/>
                <w:color w:val="auto"/>
                <w:sz w:val="24"/>
                <w:highlight w:val="none"/>
              </w:rPr>
            </w:pPr>
            <w:r>
              <w:rPr>
                <w:rFonts w:hint="eastAsia" w:ascii="宋体" w:hAnsi="宋体"/>
                <w:b/>
                <w:color w:val="auto"/>
                <w:sz w:val="24"/>
                <w:highlight w:val="none"/>
              </w:rPr>
              <w:t>条款号</w:t>
            </w:r>
          </w:p>
        </w:tc>
        <w:tc>
          <w:tcPr>
            <w:tcW w:w="1801" w:type="dxa"/>
            <w:tcBorders>
              <w:bottom w:val="single" w:color="auto" w:sz="4" w:space="0"/>
            </w:tcBorders>
            <w:vAlign w:val="center"/>
          </w:tcPr>
          <w:p>
            <w:pPr>
              <w:spacing w:line="400" w:lineRule="atLeast"/>
              <w:jc w:val="center"/>
              <w:rPr>
                <w:b/>
                <w:color w:val="auto"/>
                <w:sz w:val="24"/>
                <w:highlight w:val="none"/>
              </w:rPr>
            </w:pPr>
            <w:r>
              <w:rPr>
                <w:rFonts w:hint="eastAsia" w:ascii="宋体" w:hAnsi="宋体"/>
                <w:b/>
                <w:color w:val="auto"/>
                <w:sz w:val="24"/>
                <w:highlight w:val="none"/>
              </w:rPr>
              <w:t>评审因素</w:t>
            </w:r>
          </w:p>
        </w:tc>
        <w:tc>
          <w:tcPr>
            <w:tcW w:w="5301" w:type="dxa"/>
            <w:tcBorders>
              <w:bottom w:val="single" w:color="auto" w:sz="4" w:space="0"/>
            </w:tcBorders>
            <w:vAlign w:val="center"/>
          </w:tcPr>
          <w:p>
            <w:pPr>
              <w:spacing w:line="400" w:lineRule="atLeast"/>
              <w:jc w:val="center"/>
              <w:rPr>
                <w:b/>
                <w:color w:val="auto"/>
                <w:sz w:val="24"/>
                <w:highlight w:val="none"/>
              </w:rPr>
            </w:pPr>
            <w:r>
              <w:rPr>
                <w:rFonts w:hint="eastAsia" w:ascii="宋体" w:hAnsi="宋体"/>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初</w:t>
            </w:r>
          </w:p>
          <w:p>
            <w:pPr>
              <w:jc w:val="center"/>
              <w:rPr>
                <w:rFonts w:ascii="宋体" w:hAnsi="宋体"/>
                <w:b/>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步</w:t>
            </w:r>
          </w:p>
          <w:p>
            <w:pPr>
              <w:jc w:val="center"/>
              <w:rPr>
                <w:rFonts w:ascii="宋体" w:hAnsi="宋体"/>
                <w:b/>
                <w:color w:val="auto"/>
                <w:szCs w:val="21"/>
                <w:highlight w:val="none"/>
              </w:rPr>
            </w:pPr>
          </w:p>
          <w:p>
            <w:pPr>
              <w:jc w:val="center"/>
              <w:rPr>
                <w:rFonts w:ascii="宋体" w:hAnsi="宋体"/>
                <w:b/>
                <w:color w:val="auto"/>
                <w:szCs w:val="21"/>
                <w:highlight w:val="none"/>
              </w:rPr>
            </w:pPr>
            <w:r>
              <w:rPr>
                <w:rFonts w:hint="eastAsia" w:ascii="宋体" w:hAnsi="宋体"/>
                <w:b/>
                <w:color w:val="auto"/>
                <w:szCs w:val="21"/>
                <w:highlight w:val="none"/>
              </w:rPr>
              <w:t>评</w:t>
            </w:r>
          </w:p>
          <w:p>
            <w:pPr>
              <w:jc w:val="center"/>
              <w:rPr>
                <w:rFonts w:ascii="宋体" w:hAnsi="宋体"/>
                <w:b/>
                <w:color w:val="auto"/>
                <w:szCs w:val="21"/>
                <w:highlight w:val="none"/>
              </w:rPr>
            </w:pPr>
          </w:p>
          <w:p>
            <w:pPr>
              <w:jc w:val="center"/>
              <w:rPr>
                <w:rFonts w:ascii="宋体" w:hAnsi="宋体"/>
                <w:color w:val="auto"/>
                <w:szCs w:val="21"/>
                <w:highlight w:val="none"/>
              </w:rPr>
            </w:pPr>
            <w:r>
              <w:rPr>
                <w:rFonts w:hint="eastAsia" w:ascii="宋体" w:hAnsi="宋体"/>
                <w:b/>
                <w:color w:val="auto"/>
                <w:szCs w:val="21"/>
                <w:highlight w:val="none"/>
              </w:rPr>
              <w:t>审</w:t>
            </w: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2.1.1</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形式</w:t>
            </w:r>
          </w:p>
          <w:p>
            <w:pPr>
              <w:jc w:val="center"/>
              <w:rPr>
                <w:rFonts w:ascii="宋体" w:hAnsi="宋体"/>
                <w:color w:val="auto"/>
                <w:sz w:val="24"/>
                <w:highlight w:val="none"/>
              </w:rPr>
            </w:pPr>
            <w:r>
              <w:rPr>
                <w:rFonts w:hint="eastAsia" w:ascii="宋体" w:hAnsi="宋体"/>
                <w:color w:val="auto"/>
                <w:sz w:val="24"/>
                <w:highlight w:val="none"/>
              </w:rPr>
              <w:t>评审</w:t>
            </w:r>
          </w:p>
          <w:p>
            <w:pPr>
              <w:jc w:val="center"/>
              <w:rPr>
                <w:rFonts w:ascii="宋体" w:hAnsi="宋体"/>
                <w:color w:val="auto"/>
                <w:sz w:val="24"/>
                <w:highlight w:val="none"/>
              </w:rPr>
            </w:pPr>
            <w:r>
              <w:rPr>
                <w:rFonts w:hint="eastAsia" w:ascii="宋体" w:hAnsi="宋体"/>
                <w:color w:val="auto"/>
                <w:sz w:val="24"/>
                <w:highlight w:val="none"/>
              </w:rPr>
              <w:t>标准</w:t>
            </w: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lang w:eastAsia="zh-CN"/>
              </w:rPr>
              <w:t>响应人</w:t>
            </w:r>
            <w:r>
              <w:rPr>
                <w:rFonts w:hint="eastAsia" w:ascii="宋体" w:hAnsi="宋体"/>
                <w:color w:val="auto"/>
                <w:sz w:val="24"/>
                <w:highlight w:val="none"/>
              </w:rPr>
              <w:t>名称</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751" w:type="dxa"/>
            <w:vMerge w:val="continue"/>
            <w:tcBorders>
              <w:left w:val="single" w:color="auto" w:sz="4" w:space="0"/>
              <w:right w:val="single" w:color="auto" w:sz="4" w:space="0"/>
            </w:tcBorders>
          </w:tcPr>
          <w:p>
            <w:pPr>
              <w:jc w:val="right"/>
              <w:rPr>
                <w:rFonts w:ascii="宋体" w:hAnsi="宋体"/>
                <w:color w:val="auto"/>
                <w:szCs w:val="21"/>
                <w:highlight w:val="none"/>
              </w:rPr>
            </w:pPr>
          </w:p>
        </w:tc>
        <w:tc>
          <w:tcPr>
            <w:tcW w:w="923" w:type="dxa"/>
            <w:vMerge w:val="continue"/>
            <w:tcBorders>
              <w:left w:val="single" w:color="auto" w:sz="4" w:space="0"/>
              <w:right w:val="single" w:color="auto" w:sz="4" w:space="0"/>
            </w:tcBorders>
          </w:tcPr>
          <w:p>
            <w:pPr>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highlight w:val="none"/>
              </w:rPr>
            </w:pPr>
            <w:r>
              <w:rPr>
                <w:rFonts w:hint="eastAsia" w:ascii="宋体" w:hAnsi="宋体"/>
                <w:color w:val="auto"/>
                <w:sz w:val="24"/>
                <w:highlight w:val="none"/>
              </w:rPr>
              <w:t>磋商报价</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报价未超过竞争性磋商文件中规定的预算金额或者最高限价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751" w:type="dxa"/>
            <w:vMerge w:val="continue"/>
            <w:tcBorders>
              <w:left w:val="single" w:color="auto" w:sz="4" w:space="0"/>
              <w:right w:val="single" w:color="auto" w:sz="4" w:space="0"/>
            </w:tcBorders>
          </w:tcPr>
          <w:p>
            <w:pPr>
              <w:jc w:val="right"/>
              <w:rPr>
                <w:rFonts w:ascii="宋体" w:hAnsi="宋体"/>
                <w:color w:val="auto"/>
                <w:szCs w:val="21"/>
                <w:highlight w:val="none"/>
              </w:rPr>
            </w:pPr>
          </w:p>
        </w:tc>
        <w:tc>
          <w:tcPr>
            <w:tcW w:w="923" w:type="dxa"/>
            <w:vMerge w:val="continue"/>
            <w:tcBorders>
              <w:left w:val="single" w:color="auto" w:sz="4" w:space="0"/>
              <w:right w:val="single" w:color="auto" w:sz="4" w:space="0"/>
            </w:tcBorders>
          </w:tcPr>
          <w:p>
            <w:pPr>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olor w:val="auto"/>
                <w:sz w:val="24"/>
                <w:highlight w:val="none"/>
              </w:rPr>
            </w:pPr>
            <w:r>
              <w:rPr>
                <w:rFonts w:hint="eastAsia" w:ascii="宋体" w:hAnsi="宋体" w:eastAsia="宋体" w:cs="宋体"/>
                <w:color w:val="auto"/>
                <w:highlight w:val="none"/>
              </w:rPr>
              <w:t>响应文件签字、盖章</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ascii="宋体" w:hAnsi="宋体" w:eastAsia="宋体" w:cs="宋体"/>
                <w:color w:val="auto"/>
                <w:highlight w:val="none"/>
              </w:rPr>
              <w:t>响应文件按竞争性磋商文件要求签字、盖章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2.1.2</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资格</w:t>
            </w:r>
          </w:p>
          <w:p>
            <w:pPr>
              <w:jc w:val="center"/>
              <w:rPr>
                <w:rFonts w:ascii="宋体" w:hAnsi="宋体"/>
                <w:color w:val="auto"/>
                <w:sz w:val="24"/>
                <w:highlight w:val="none"/>
              </w:rPr>
            </w:pPr>
            <w:r>
              <w:rPr>
                <w:rFonts w:hint="eastAsia" w:ascii="宋体" w:hAnsi="宋体"/>
                <w:color w:val="auto"/>
                <w:sz w:val="24"/>
                <w:highlight w:val="none"/>
              </w:rPr>
              <w:t>评审</w:t>
            </w:r>
          </w:p>
          <w:p>
            <w:pPr>
              <w:jc w:val="center"/>
              <w:rPr>
                <w:rFonts w:ascii="宋体" w:hAnsi="宋体"/>
                <w:color w:val="auto"/>
                <w:sz w:val="24"/>
                <w:highlight w:val="none"/>
              </w:rPr>
            </w:pPr>
            <w:r>
              <w:rPr>
                <w:rFonts w:hint="eastAsia" w:ascii="宋体" w:hAnsi="宋体"/>
                <w:color w:val="auto"/>
                <w:sz w:val="24"/>
                <w:highlight w:val="none"/>
              </w:rPr>
              <w:t>标准</w:t>
            </w:r>
          </w:p>
        </w:tc>
        <w:tc>
          <w:tcPr>
            <w:tcW w:w="18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营业执照</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具备有效的营业执照或有效的三证合一的营业执照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资质要求</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响应人应具有建设行政主管部门核发的水利工程施工监理乙级及以上资质，同时具备水土保持乙级及以上监理资质；并在人员、设备、财务、信誉等方面具备相应能力；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Theme="minorEastAsia"/>
                <w:color w:val="auto"/>
                <w:sz w:val="24"/>
                <w:highlight w:val="none"/>
                <w:lang w:val="en-US" w:eastAsia="zh-CN"/>
              </w:rPr>
            </w:pPr>
            <w:r>
              <w:rPr>
                <w:rFonts w:hint="eastAsia" w:cs="宋体" w:asciiTheme="minorEastAsia" w:hAnsiTheme="minorEastAsia" w:eastAsiaTheme="minorEastAsia"/>
                <w:color w:val="auto"/>
                <w:sz w:val="24"/>
                <w:highlight w:val="none"/>
              </w:rPr>
              <w:t>项目</w:t>
            </w:r>
            <w:r>
              <w:rPr>
                <w:rFonts w:hint="eastAsia" w:cs="宋体" w:asciiTheme="minorEastAsia" w:hAnsiTheme="minorEastAsia" w:eastAsiaTheme="minorEastAsia"/>
                <w:color w:val="auto"/>
                <w:sz w:val="24"/>
                <w:highlight w:val="none"/>
                <w:lang w:val="en-US" w:eastAsia="zh-CN"/>
              </w:rPr>
              <w:t>总监</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拟派项目总监须具有水利专业注册监理工程师资格和工程类中级及以上技术职称。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企业信用</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ascii="宋体" w:hAnsi="宋体"/>
                <w:color w:val="auto"/>
                <w:sz w:val="24"/>
                <w:highlight w:val="none"/>
              </w:rPr>
              <w:t>符合第</w:t>
            </w:r>
            <w:r>
              <w:rPr>
                <w:rFonts w:hint="eastAsia" w:ascii="宋体" w:hAnsi="宋体"/>
                <w:color w:val="auto"/>
                <w:sz w:val="24"/>
                <w:highlight w:val="none"/>
                <w:lang w:eastAsia="zh-CN"/>
              </w:rPr>
              <w:t>一</w:t>
            </w:r>
            <w:r>
              <w:rPr>
                <w:rFonts w:hint="eastAsia" w:ascii="宋体" w:hAnsi="宋体"/>
                <w:color w:val="auto"/>
                <w:sz w:val="24"/>
                <w:highlight w:val="none"/>
              </w:rPr>
              <w:t>章“</w:t>
            </w:r>
            <w:r>
              <w:rPr>
                <w:rFonts w:hint="eastAsia" w:ascii="宋体" w:hAnsi="宋体"/>
                <w:color w:val="auto"/>
                <w:sz w:val="24"/>
                <w:highlight w:val="none"/>
                <w:lang w:eastAsia="zh-CN"/>
              </w:rPr>
              <w:t>竞争性磋商公告</w:t>
            </w:r>
            <w:r>
              <w:rPr>
                <w:rFonts w:hint="eastAsia" w:ascii="宋体" w:hAnsi="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left w:val="single" w:color="auto" w:sz="4" w:space="0"/>
              <w:bottom w:val="single" w:color="auto" w:sz="4" w:space="0"/>
              <w:right w:val="single" w:color="auto" w:sz="4" w:space="0"/>
            </w:tcBorders>
            <w:vAlign w:val="center"/>
          </w:tcPr>
          <w:p>
            <w:pPr>
              <w:spacing w:line="360" w:lineRule="auto"/>
              <w:jc w:val="right"/>
              <w:rPr>
                <w:rFonts w:ascii="宋体" w:hAnsi="宋体"/>
                <w:color w:val="auto"/>
                <w:szCs w:val="21"/>
                <w:highlight w:val="none"/>
              </w:rPr>
            </w:pPr>
          </w:p>
        </w:tc>
        <w:tc>
          <w:tcPr>
            <w:tcW w:w="92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无行贿犯罪记录承诺函</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cs="宋体" w:asciiTheme="minorEastAsia" w:hAnsiTheme="minorEastAsia" w:eastAsiaTheme="minorEastAsia"/>
                <w:color w:val="auto"/>
                <w:sz w:val="24"/>
                <w:highlight w:val="none"/>
              </w:rPr>
            </w:pPr>
            <w:r>
              <w:rPr>
                <w:rFonts w:hint="eastAsia" w:ascii="宋体" w:hAnsi="宋体"/>
                <w:color w:val="auto"/>
                <w:sz w:val="24"/>
                <w:highlight w:val="none"/>
              </w:rPr>
              <w:t>须出具无行贿犯罪承诺（承诺对象包括：</w:t>
            </w:r>
            <w:r>
              <w:rPr>
                <w:rFonts w:hint="eastAsia" w:ascii="宋体" w:hAnsi="宋体"/>
                <w:color w:val="auto"/>
                <w:sz w:val="24"/>
                <w:highlight w:val="none"/>
                <w:lang w:val="en-US" w:eastAsia="zh-CN"/>
              </w:rPr>
              <w:t>响应人、法定代表人、授权委托人、项目总监</w:t>
            </w:r>
            <w:r>
              <w:rPr>
                <w:rFonts w:hint="eastAsia" w:ascii="宋体" w:hAnsi="宋体"/>
                <w:color w:val="auto"/>
                <w:sz w:val="24"/>
                <w:highlight w:val="none"/>
              </w:rPr>
              <w:t>），并对其真实性负责。若承诺不实，所造成的一切后果由</w:t>
            </w:r>
            <w:r>
              <w:rPr>
                <w:rFonts w:hint="eastAsia" w:ascii="宋体" w:hAnsi="宋体"/>
                <w:color w:val="auto"/>
                <w:sz w:val="24"/>
                <w:highlight w:val="none"/>
                <w:lang w:eastAsia="zh-CN"/>
              </w:rPr>
              <w:t>响应人</w:t>
            </w:r>
            <w:r>
              <w:rPr>
                <w:rFonts w:hint="eastAsia" w:ascii="宋体" w:hAnsi="宋体"/>
                <w:color w:val="auto"/>
                <w:sz w:val="24"/>
                <w:highlight w:val="none"/>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2.1.3</w:t>
            </w:r>
          </w:p>
        </w:tc>
        <w:tc>
          <w:tcPr>
            <w:tcW w:w="923" w:type="dxa"/>
            <w:vMerge w:val="restart"/>
            <w:tcBorders>
              <w:top w:val="single" w:color="auto" w:sz="4" w:space="0"/>
              <w:left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响应性评审标准</w:t>
            </w: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工期</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p>
        </w:tc>
        <w:tc>
          <w:tcPr>
            <w:tcW w:w="751" w:type="dxa"/>
            <w:vMerge w:val="continue"/>
            <w:tcBorders>
              <w:top w:val="single" w:color="auto" w:sz="4" w:space="0"/>
              <w:left w:val="single" w:color="auto" w:sz="4" w:space="0"/>
              <w:right w:val="single" w:color="auto" w:sz="4" w:space="0"/>
            </w:tcBorders>
            <w:vAlign w:val="center"/>
          </w:tcPr>
          <w:p>
            <w:pPr>
              <w:jc w:val="center"/>
              <w:rPr>
                <w:rFonts w:hint="eastAsia" w:ascii="宋体" w:hAnsi="宋体"/>
                <w:color w:val="auto"/>
                <w:szCs w:val="21"/>
                <w:highlight w:val="none"/>
              </w:rPr>
            </w:pPr>
          </w:p>
        </w:tc>
        <w:tc>
          <w:tcPr>
            <w:tcW w:w="923" w:type="dxa"/>
            <w:vMerge w:val="continue"/>
            <w:tcBorders>
              <w:top w:val="single" w:color="auto" w:sz="4" w:space="0"/>
              <w:left w:val="single" w:color="auto" w:sz="4" w:space="0"/>
              <w:right w:val="single" w:color="auto" w:sz="4" w:space="0"/>
            </w:tcBorders>
            <w:vAlign w:val="center"/>
          </w:tcPr>
          <w:p>
            <w:pPr>
              <w:jc w:val="center"/>
              <w:rPr>
                <w:rFonts w:hint="eastAsia"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olor w:val="auto"/>
                <w:sz w:val="24"/>
                <w:highlight w:val="none"/>
                <w:lang w:eastAsia="zh-CN"/>
              </w:rPr>
            </w:pPr>
            <w:r>
              <w:rPr>
                <w:rFonts w:hint="eastAsia" w:ascii="宋体" w:hAnsi="宋体" w:eastAsia="宋体" w:cs="宋体"/>
                <w:color w:val="auto"/>
                <w:highlight w:val="none"/>
                <w:lang w:eastAsia="zh-CN"/>
              </w:rPr>
              <w:t>磋商有效期</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677" w:type="dxa"/>
            <w:vMerge w:val="continue"/>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751" w:type="dxa"/>
            <w:vMerge w:val="continue"/>
            <w:tcBorders>
              <w:left w:val="single" w:color="auto" w:sz="4" w:space="0"/>
              <w:right w:val="single" w:color="auto" w:sz="4" w:space="0"/>
            </w:tcBorders>
          </w:tcPr>
          <w:p>
            <w:pPr>
              <w:rPr>
                <w:rFonts w:ascii="宋体" w:hAnsi="宋体"/>
                <w:color w:val="auto"/>
                <w:szCs w:val="21"/>
                <w:highlight w:val="none"/>
              </w:rPr>
            </w:pPr>
          </w:p>
        </w:tc>
        <w:tc>
          <w:tcPr>
            <w:tcW w:w="923" w:type="dxa"/>
            <w:vMerge w:val="continue"/>
            <w:tcBorders>
              <w:left w:val="single" w:color="auto" w:sz="4" w:space="0"/>
              <w:right w:val="single" w:color="auto" w:sz="4" w:space="0"/>
            </w:tcBorders>
          </w:tcPr>
          <w:p>
            <w:pPr>
              <w:rPr>
                <w:rFonts w:ascii="宋体" w:hAnsi="宋体"/>
                <w:color w:val="auto"/>
                <w:sz w:val="24"/>
                <w:highlight w:val="none"/>
              </w:rPr>
            </w:pPr>
          </w:p>
        </w:tc>
        <w:tc>
          <w:tcPr>
            <w:tcW w:w="18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4"/>
                <w:highlight w:val="none"/>
              </w:rPr>
            </w:pPr>
            <w:r>
              <w:rPr>
                <w:rFonts w:hint="eastAsia" w:ascii="宋体" w:hAnsi="宋体"/>
                <w:color w:val="auto"/>
                <w:sz w:val="24"/>
                <w:highlight w:val="none"/>
              </w:rPr>
              <w:t>质量要求</w:t>
            </w:r>
          </w:p>
        </w:tc>
        <w:tc>
          <w:tcPr>
            <w:tcW w:w="530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符合第二章“</w:t>
            </w:r>
            <w:r>
              <w:rPr>
                <w:rFonts w:hint="eastAsia" w:cs="宋体" w:asciiTheme="minorEastAsia" w:hAnsiTheme="minorEastAsia" w:eastAsiaTheme="minorEastAsia"/>
                <w:color w:val="auto"/>
                <w:sz w:val="24"/>
                <w:highlight w:val="none"/>
                <w:lang w:eastAsia="zh-CN"/>
              </w:rPr>
              <w:t>响应人</w:t>
            </w:r>
            <w:r>
              <w:rPr>
                <w:rFonts w:hint="eastAsia" w:cs="宋体" w:asciiTheme="minorEastAsia" w:hAnsiTheme="minorEastAsia" w:eastAsiaTheme="minorEastAsia"/>
                <w:color w:val="auto"/>
                <w:sz w:val="24"/>
                <w:highlight w:val="none"/>
              </w:rPr>
              <w:t>须知前附表”</w:t>
            </w:r>
          </w:p>
        </w:tc>
      </w:tr>
    </w:tbl>
    <w:p>
      <w:pPr>
        <w:jc w:val="center"/>
        <w:rPr>
          <w:color w:val="auto"/>
          <w:sz w:val="24"/>
          <w:highlight w:val="none"/>
        </w:rPr>
      </w:pPr>
    </w:p>
    <w:p>
      <w:pPr>
        <w:spacing w:before="319" w:beforeLines="100"/>
        <w:rPr>
          <w:rFonts w:hint="eastAsia" w:ascii="宋体" w:hAnsi="宋体" w:eastAsia="宋体" w:cs="宋体"/>
          <w:color w:val="auto"/>
          <w:sz w:val="24"/>
          <w:highlight w:val="none"/>
        </w:rPr>
      </w:pPr>
      <w:r>
        <w:rPr>
          <w:rFonts w:hint="eastAsia" w:ascii="宋体" w:hAnsi="宋体" w:eastAsia="宋体" w:cs="宋体"/>
          <w:color w:val="auto"/>
          <w:sz w:val="24"/>
          <w:highlight w:val="none"/>
        </w:rPr>
        <w:t>注：未通过上述评审的</w:t>
      </w:r>
      <w:r>
        <w:rPr>
          <w:rFonts w:hint="eastAsia" w:ascii="宋体" w:hAnsi="宋体" w:cs="宋体"/>
          <w:color w:val="auto"/>
          <w:sz w:val="24"/>
          <w:highlight w:val="none"/>
          <w:lang w:eastAsia="zh-CN"/>
        </w:rPr>
        <w:t>响应人</w:t>
      </w:r>
      <w:r>
        <w:rPr>
          <w:rFonts w:hint="eastAsia" w:ascii="宋体" w:hAnsi="宋体" w:eastAsia="宋体" w:cs="宋体"/>
          <w:color w:val="auto"/>
          <w:sz w:val="24"/>
          <w:highlight w:val="none"/>
        </w:rPr>
        <w:t>，不再进行后续评审。</w:t>
      </w:r>
    </w:p>
    <w:p>
      <w:pPr>
        <w:pStyle w:val="12"/>
        <w:spacing w:line="470" w:lineRule="exact"/>
        <w:rPr>
          <w:rFonts w:hint="eastAsia" w:ascii="宋体" w:hAnsi="宋体" w:eastAsia="宋体" w:cs="宋体"/>
          <w:bCs/>
          <w:color w:val="auto"/>
          <w:sz w:val="24"/>
          <w:highlight w:val="none"/>
        </w:rPr>
      </w:pPr>
      <w:r>
        <w:rPr>
          <w:rFonts w:hint="eastAsia" w:ascii="宋体" w:hAnsi="宋体" w:eastAsia="宋体" w:cs="宋体"/>
          <w:bCs/>
          <w:color w:val="auto"/>
          <w:sz w:val="24"/>
          <w:szCs w:val="24"/>
          <w:highlight w:val="none"/>
        </w:rPr>
        <w:t>评标方法：</w:t>
      </w:r>
      <w:r>
        <w:rPr>
          <w:rFonts w:hint="eastAsia" w:ascii="宋体" w:hAnsi="宋体" w:eastAsia="宋体" w:cs="宋体"/>
          <w:color w:val="auto"/>
          <w:sz w:val="24"/>
          <w:highlight w:val="none"/>
        </w:rPr>
        <w:t>综合评标法</w:t>
      </w:r>
      <w:r>
        <w:rPr>
          <w:rFonts w:hint="eastAsia" w:ascii="宋体" w:hAnsi="宋体" w:eastAsia="宋体" w:cs="宋体"/>
          <w:color w:val="auto"/>
          <w:kern w:val="0"/>
          <w:sz w:val="24"/>
          <w:szCs w:val="24"/>
          <w:highlight w:val="none"/>
        </w:rPr>
        <w:t>。</w:t>
      </w:r>
      <w:r>
        <w:rPr>
          <w:rFonts w:hint="eastAsia" w:ascii="宋体" w:hAnsi="宋体" w:eastAsia="宋体" w:cs="宋体"/>
          <w:bCs/>
          <w:color w:val="auto"/>
          <w:sz w:val="24"/>
          <w:highlight w:val="none"/>
        </w:rPr>
        <w:t>评标委员会成员综合评定各</w:t>
      </w:r>
      <w:r>
        <w:rPr>
          <w:rFonts w:hint="eastAsia" w:ascii="宋体" w:hAnsi="宋体" w:eastAsia="宋体" w:cs="宋体"/>
          <w:bCs/>
          <w:color w:val="auto"/>
          <w:sz w:val="24"/>
          <w:highlight w:val="none"/>
          <w:lang w:eastAsia="zh-CN"/>
        </w:rPr>
        <w:t>响应人</w:t>
      </w:r>
      <w:r>
        <w:rPr>
          <w:rFonts w:hint="eastAsia" w:ascii="宋体" w:hAnsi="宋体" w:eastAsia="宋体" w:cs="宋体"/>
          <w:bCs/>
          <w:color w:val="auto"/>
          <w:sz w:val="24"/>
          <w:highlight w:val="none"/>
        </w:rPr>
        <w:t>提交的</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，由评标委员会成员按照</w:t>
      </w:r>
      <w:r>
        <w:rPr>
          <w:rFonts w:hint="eastAsia" w:ascii="宋体" w:hAnsi="宋体" w:eastAsia="宋体" w:cs="宋体"/>
          <w:bCs/>
          <w:color w:val="auto"/>
          <w:sz w:val="24"/>
          <w:highlight w:val="none"/>
          <w:lang w:eastAsia="zh-CN"/>
        </w:rPr>
        <w:t>磋商</w:t>
      </w:r>
      <w:r>
        <w:rPr>
          <w:rFonts w:hint="eastAsia" w:ascii="宋体" w:hAnsi="宋体" w:eastAsia="宋体" w:cs="宋体"/>
          <w:bCs/>
          <w:color w:val="auto"/>
          <w:sz w:val="24"/>
          <w:highlight w:val="none"/>
        </w:rPr>
        <w:t>文件规定的各项因素综合评定各</w:t>
      </w:r>
      <w:r>
        <w:rPr>
          <w:rFonts w:hint="eastAsia" w:ascii="宋体" w:hAnsi="宋体" w:eastAsia="宋体" w:cs="宋体"/>
          <w:bCs/>
          <w:color w:val="auto"/>
          <w:sz w:val="24"/>
          <w:highlight w:val="none"/>
          <w:lang w:eastAsia="zh-CN"/>
        </w:rPr>
        <w:t>响应人</w:t>
      </w:r>
      <w:r>
        <w:rPr>
          <w:rFonts w:hint="eastAsia" w:ascii="宋体" w:hAnsi="宋体" w:eastAsia="宋体" w:cs="宋体"/>
          <w:bCs/>
          <w:color w:val="auto"/>
          <w:sz w:val="24"/>
          <w:highlight w:val="none"/>
        </w:rPr>
        <w:t>提交的</w:t>
      </w:r>
      <w:r>
        <w:rPr>
          <w:rFonts w:hint="eastAsia" w:ascii="宋体" w:hAnsi="宋体" w:eastAsia="宋体" w:cs="宋体"/>
          <w:bCs/>
          <w:color w:val="auto"/>
          <w:sz w:val="24"/>
          <w:highlight w:val="none"/>
          <w:lang w:eastAsia="zh-CN"/>
        </w:rPr>
        <w:t>响应文件</w:t>
      </w:r>
      <w:r>
        <w:rPr>
          <w:rFonts w:hint="eastAsia" w:ascii="宋体" w:hAnsi="宋体" w:eastAsia="宋体" w:cs="宋体"/>
          <w:bCs/>
          <w:color w:val="auto"/>
          <w:sz w:val="24"/>
          <w:highlight w:val="none"/>
        </w:rPr>
        <w:t>并分别进行打分，确定中标候选人。</w:t>
      </w:r>
    </w:p>
    <w:p>
      <w:pPr>
        <w:jc w:val="center"/>
        <w:rPr>
          <w:b/>
          <w:color w:val="auto"/>
          <w:sz w:val="24"/>
          <w:highlight w:val="none"/>
        </w:rPr>
      </w:pPr>
      <w:r>
        <w:rPr>
          <w:color w:val="auto"/>
          <w:sz w:val="24"/>
          <w:highlight w:val="none"/>
        </w:rPr>
        <w:br w:type="page"/>
      </w:r>
      <w:bookmarkStart w:id="67" w:name="_Toc362443183"/>
      <w:r>
        <w:rPr>
          <w:rFonts w:hint="eastAsia"/>
          <w:b/>
          <w:color w:val="auto"/>
          <w:sz w:val="32"/>
          <w:highlight w:val="none"/>
        </w:rPr>
        <w:t>评分办法前附表</w:t>
      </w:r>
    </w:p>
    <w:tbl>
      <w:tblPr>
        <w:tblStyle w:val="20"/>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301"/>
        <w:gridCol w:w="1977"/>
        <w:gridCol w:w="4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1118" w:type="dxa"/>
            <w:vAlign w:val="center"/>
          </w:tcPr>
          <w:p>
            <w:pPr>
              <w:tabs>
                <w:tab w:val="left" w:pos="360"/>
                <w:tab w:val="left" w:pos="540"/>
              </w:tabs>
              <w:spacing w:line="360"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1301" w:type="dxa"/>
            <w:vAlign w:val="center"/>
          </w:tcPr>
          <w:p>
            <w:pPr>
              <w:tabs>
                <w:tab w:val="left" w:pos="360"/>
                <w:tab w:val="left" w:pos="540"/>
              </w:tabs>
              <w:spacing w:line="360" w:lineRule="auto"/>
              <w:jc w:val="center"/>
              <w:rPr>
                <w:rFonts w:ascii="宋体" w:hAnsi="宋体"/>
                <w:b/>
                <w:color w:val="auto"/>
                <w:szCs w:val="21"/>
                <w:highlight w:val="none"/>
              </w:rPr>
            </w:pPr>
            <w:r>
              <w:rPr>
                <w:rFonts w:hint="eastAsia" w:ascii="宋体" w:hAnsi="宋体"/>
                <w:b/>
                <w:color w:val="auto"/>
                <w:szCs w:val="21"/>
                <w:highlight w:val="none"/>
              </w:rPr>
              <w:t>条款内容</w:t>
            </w:r>
          </w:p>
        </w:tc>
        <w:tc>
          <w:tcPr>
            <w:tcW w:w="6354" w:type="dxa"/>
            <w:gridSpan w:val="2"/>
            <w:vAlign w:val="center"/>
          </w:tcPr>
          <w:p>
            <w:pPr>
              <w:tabs>
                <w:tab w:val="left" w:pos="360"/>
                <w:tab w:val="left" w:pos="540"/>
              </w:tabs>
              <w:spacing w:line="360"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118" w:type="dxa"/>
            <w:vAlign w:val="center"/>
          </w:tcPr>
          <w:p>
            <w:pPr>
              <w:tabs>
                <w:tab w:val="left" w:pos="360"/>
                <w:tab w:val="left" w:pos="540"/>
              </w:tabs>
              <w:jc w:val="center"/>
              <w:rPr>
                <w:rFonts w:ascii="宋体" w:hAnsi="宋体"/>
                <w:color w:val="auto"/>
                <w:sz w:val="24"/>
                <w:highlight w:val="none"/>
              </w:rPr>
            </w:pPr>
          </w:p>
        </w:tc>
        <w:tc>
          <w:tcPr>
            <w:tcW w:w="1301" w:type="dxa"/>
            <w:vAlign w:val="center"/>
          </w:tcPr>
          <w:p>
            <w:pPr>
              <w:tabs>
                <w:tab w:val="left" w:pos="360"/>
                <w:tab w:val="left" w:pos="540"/>
              </w:tabs>
              <w:jc w:val="center"/>
              <w:rPr>
                <w:rFonts w:hint="eastAsia" w:ascii="宋体" w:hAnsi="宋体"/>
                <w:color w:val="auto"/>
                <w:sz w:val="24"/>
                <w:highlight w:val="none"/>
              </w:rPr>
            </w:pPr>
            <w:r>
              <w:rPr>
                <w:rFonts w:hint="eastAsia" w:ascii="宋体" w:hAnsi="宋体"/>
                <w:color w:val="auto"/>
                <w:sz w:val="24"/>
                <w:highlight w:val="none"/>
              </w:rPr>
              <w:t>分值构成</w:t>
            </w:r>
          </w:p>
          <w:p>
            <w:pPr>
              <w:tabs>
                <w:tab w:val="left" w:pos="360"/>
                <w:tab w:val="left" w:pos="540"/>
              </w:tabs>
              <w:jc w:val="center"/>
              <w:rPr>
                <w:rFonts w:ascii="宋体" w:hAnsi="宋体"/>
                <w:color w:val="auto"/>
                <w:sz w:val="24"/>
                <w:highlight w:val="none"/>
              </w:rPr>
            </w:pPr>
            <w:r>
              <w:rPr>
                <w:rFonts w:hint="eastAsia" w:ascii="宋体" w:hAnsi="宋体" w:eastAsia="宋体" w:cs="宋体"/>
                <w:color w:val="auto"/>
                <w:kern w:val="0"/>
                <w:sz w:val="22"/>
                <w:szCs w:val="22"/>
                <w:highlight w:val="none"/>
              </w:rPr>
              <w:t>(满分为100分)</w:t>
            </w:r>
          </w:p>
        </w:tc>
        <w:tc>
          <w:tcPr>
            <w:tcW w:w="6354" w:type="dxa"/>
            <w:gridSpan w:val="2"/>
            <w:vAlign w:val="center"/>
          </w:tcPr>
          <w:p>
            <w:pPr>
              <w:pStyle w:val="2"/>
              <w:spacing w:line="300" w:lineRule="exact"/>
              <w:rPr>
                <w:rFonts w:hAnsi="宋体"/>
                <w:color w:val="auto"/>
                <w:highlight w:val="none"/>
              </w:rPr>
            </w:pPr>
            <w:r>
              <w:rPr>
                <w:rFonts w:hint="eastAsia"/>
                <w:color w:val="auto"/>
                <w:highlight w:val="none"/>
              </w:rPr>
              <w:t>投标报价</w:t>
            </w:r>
            <w:r>
              <w:rPr>
                <w:rFonts w:hint="eastAsia" w:hAnsi="宋体"/>
                <w:color w:val="auto"/>
                <w:spacing w:val="2"/>
                <w:highlight w:val="none"/>
              </w:rPr>
              <w:t>：</w:t>
            </w:r>
            <w:r>
              <w:rPr>
                <w:rFonts w:hint="eastAsia" w:hAnsi="宋体"/>
                <w:color w:val="auto"/>
                <w:highlight w:val="none"/>
                <w:u w:val="single"/>
                <w:lang w:val="en-US" w:eastAsia="zh-CN"/>
              </w:rPr>
              <w:t>30</w:t>
            </w:r>
            <w:r>
              <w:rPr>
                <w:rFonts w:hint="eastAsia" w:hAnsi="宋体"/>
                <w:color w:val="auto"/>
                <w:highlight w:val="none"/>
              </w:rPr>
              <w:t>分</w:t>
            </w:r>
          </w:p>
          <w:p>
            <w:pPr>
              <w:pStyle w:val="2"/>
              <w:spacing w:line="300" w:lineRule="exact"/>
              <w:rPr>
                <w:rFonts w:hAnsi="宋体"/>
                <w:color w:val="auto"/>
                <w:highlight w:val="none"/>
              </w:rPr>
            </w:pPr>
            <w:r>
              <w:rPr>
                <w:rFonts w:hint="eastAsia" w:hAnsi="宋体"/>
                <w:color w:val="auto"/>
                <w:highlight w:val="none"/>
                <w:lang w:val="en-US" w:eastAsia="zh-CN"/>
              </w:rPr>
              <w:t>监理大纲</w:t>
            </w:r>
            <w:r>
              <w:rPr>
                <w:rFonts w:hint="eastAsia" w:hAnsi="宋体"/>
                <w:color w:val="auto"/>
                <w:spacing w:val="2"/>
                <w:highlight w:val="none"/>
              </w:rPr>
              <w:t>：</w:t>
            </w:r>
            <w:r>
              <w:rPr>
                <w:rFonts w:hint="eastAsia" w:hAnsi="宋体"/>
                <w:color w:val="auto"/>
                <w:highlight w:val="none"/>
                <w:u w:val="single"/>
                <w:lang w:val="en-US" w:eastAsia="zh-CN"/>
              </w:rPr>
              <w:t>50</w:t>
            </w:r>
            <w:r>
              <w:rPr>
                <w:rFonts w:hint="eastAsia" w:hAnsi="宋体"/>
                <w:color w:val="auto"/>
                <w:highlight w:val="none"/>
              </w:rPr>
              <w:t>分</w:t>
            </w:r>
          </w:p>
          <w:p>
            <w:pPr>
              <w:pStyle w:val="2"/>
              <w:spacing w:line="300" w:lineRule="exact"/>
              <w:rPr>
                <w:rFonts w:hAnsi="宋体"/>
                <w:color w:val="auto"/>
                <w:highlight w:val="none"/>
              </w:rPr>
            </w:pPr>
            <w:r>
              <w:rPr>
                <w:rFonts w:hint="eastAsia"/>
                <w:color w:val="auto"/>
                <w:highlight w:val="none"/>
              </w:rPr>
              <w:t>其它因素</w:t>
            </w:r>
            <w:r>
              <w:rPr>
                <w:rFonts w:hint="eastAsia" w:hAnsi="宋体"/>
                <w:color w:val="auto"/>
                <w:spacing w:val="2"/>
                <w:highlight w:val="none"/>
              </w:rPr>
              <w:t>：</w:t>
            </w:r>
            <w:r>
              <w:rPr>
                <w:rFonts w:hint="eastAsia" w:hAnsi="宋体"/>
                <w:color w:val="auto"/>
                <w:highlight w:val="none"/>
                <w:u w:val="single"/>
              </w:rPr>
              <w:t>2</w:t>
            </w:r>
            <w:r>
              <w:rPr>
                <w:rFonts w:hint="eastAsia" w:hAnsi="宋体"/>
                <w:color w:val="auto"/>
                <w:highlight w:val="none"/>
                <w:u w:val="single"/>
                <w:lang w:val="en-US" w:eastAsia="zh-CN"/>
              </w:rPr>
              <w:t>0</w:t>
            </w:r>
            <w:r>
              <w:rPr>
                <w:rFonts w:hint="eastAsia" w:hAnsi="宋体"/>
                <w:color w:val="auto"/>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1118" w:type="dxa"/>
            <w:vAlign w:val="center"/>
          </w:tcPr>
          <w:p>
            <w:pPr>
              <w:jc w:val="center"/>
              <w:rPr>
                <w:b/>
                <w:color w:val="auto"/>
                <w:sz w:val="24"/>
                <w:highlight w:val="none"/>
              </w:rPr>
            </w:pPr>
            <w:r>
              <w:rPr>
                <w:rFonts w:hint="eastAsia"/>
                <w:b/>
                <w:color w:val="auto"/>
                <w:sz w:val="24"/>
                <w:highlight w:val="none"/>
              </w:rPr>
              <w:t>条款号</w:t>
            </w:r>
          </w:p>
        </w:tc>
        <w:tc>
          <w:tcPr>
            <w:tcW w:w="1301" w:type="dxa"/>
            <w:vAlign w:val="center"/>
          </w:tcPr>
          <w:p>
            <w:pPr>
              <w:pStyle w:val="2"/>
              <w:spacing w:line="240" w:lineRule="atLeast"/>
              <w:jc w:val="center"/>
              <w:rPr>
                <w:rFonts w:hAnsi="宋体" w:cs="仿宋_GB2312"/>
                <w:b/>
                <w:color w:val="auto"/>
                <w:highlight w:val="none"/>
              </w:rPr>
            </w:pPr>
            <w:r>
              <w:rPr>
                <w:rFonts w:hint="eastAsia" w:hAnsi="宋体" w:cs="仿宋_GB2312"/>
                <w:b/>
                <w:color w:val="auto"/>
                <w:highlight w:val="none"/>
              </w:rPr>
              <w:t>评分因素</w:t>
            </w:r>
          </w:p>
        </w:tc>
        <w:tc>
          <w:tcPr>
            <w:tcW w:w="6354" w:type="dxa"/>
            <w:gridSpan w:val="2"/>
            <w:vAlign w:val="center"/>
          </w:tcPr>
          <w:p>
            <w:pPr>
              <w:pStyle w:val="2"/>
              <w:spacing w:line="240" w:lineRule="atLeast"/>
              <w:ind w:firstLine="2650" w:firstLineChars="1100"/>
              <w:jc w:val="both"/>
              <w:rPr>
                <w:rFonts w:hAnsi="宋体" w:cs="仿宋_GB2312"/>
                <w:b/>
                <w:color w:val="auto"/>
                <w:highlight w:val="none"/>
              </w:rPr>
            </w:pPr>
            <w:r>
              <w:rPr>
                <w:rFonts w:hint="eastAsia" w:hAnsi="宋体" w:cs="仿宋_GB2312"/>
                <w:b/>
                <w:color w:val="auto"/>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exact"/>
          <w:jc w:val="center"/>
        </w:trPr>
        <w:tc>
          <w:tcPr>
            <w:tcW w:w="1118" w:type="dxa"/>
            <w:vAlign w:val="center"/>
          </w:tcPr>
          <w:p>
            <w:pPr>
              <w:pStyle w:val="2"/>
              <w:spacing w:line="240" w:lineRule="atLeast"/>
              <w:jc w:val="center"/>
              <w:rPr>
                <w:rFonts w:hint="default" w:eastAsia="宋体"/>
                <w:b/>
                <w:color w:val="auto"/>
                <w:sz w:val="24"/>
                <w:highlight w:val="none"/>
                <w:lang w:val="en-US" w:eastAsia="zh-CN"/>
              </w:rPr>
            </w:pPr>
            <w:r>
              <w:rPr>
                <w:rFonts w:hint="eastAsia" w:ascii="宋体" w:hAnsi="Times New Roman" w:eastAsia="宋体" w:cs="宋体"/>
                <w:color w:val="auto"/>
                <w:highlight w:val="none"/>
                <w:lang w:val="en-US" w:eastAsia="zh-CN"/>
              </w:rPr>
              <w:t>1.</w:t>
            </w:r>
          </w:p>
        </w:tc>
        <w:tc>
          <w:tcPr>
            <w:tcW w:w="1301" w:type="dxa"/>
            <w:vAlign w:val="center"/>
          </w:tcPr>
          <w:p>
            <w:pPr>
              <w:pStyle w:val="2"/>
              <w:spacing w:line="240" w:lineRule="atLeast"/>
              <w:jc w:val="center"/>
              <w:rPr>
                <w:color w:val="auto"/>
                <w:highlight w:val="none"/>
              </w:rPr>
            </w:pPr>
            <w:r>
              <w:rPr>
                <w:rFonts w:hint="eastAsia"/>
                <w:color w:val="auto"/>
                <w:highlight w:val="none"/>
              </w:rPr>
              <w:t>投标报价</w:t>
            </w:r>
            <w:r>
              <w:rPr>
                <w:rFonts w:hint="eastAsia" w:hAnsi="宋体"/>
                <w:color w:val="auto"/>
                <w:highlight w:val="none"/>
              </w:rPr>
              <w:t>评分标准</w:t>
            </w:r>
          </w:p>
          <w:p>
            <w:pPr>
              <w:pStyle w:val="2"/>
              <w:spacing w:line="276" w:lineRule="auto"/>
              <w:jc w:val="center"/>
              <w:rPr>
                <w:rFonts w:hAnsi="宋体" w:cs="仿宋_GB2312"/>
                <w:color w:val="auto"/>
                <w:highlight w:val="none"/>
              </w:rPr>
            </w:pPr>
            <w:r>
              <w:rPr>
                <w:rFonts w:hint="eastAsia" w:hAnsi="宋体" w:cs="仿宋_GB2312"/>
                <w:color w:val="auto"/>
                <w:highlight w:val="none"/>
                <w:lang w:eastAsia="zh-CN"/>
              </w:rPr>
              <w:t>（</w:t>
            </w:r>
            <w:r>
              <w:rPr>
                <w:rFonts w:hint="eastAsia" w:hAnsi="宋体" w:cs="仿宋_GB2312"/>
                <w:color w:val="auto"/>
                <w:highlight w:val="none"/>
                <w:lang w:val="en-US" w:eastAsia="zh-CN"/>
              </w:rPr>
              <w:t>30</w:t>
            </w:r>
            <w:r>
              <w:rPr>
                <w:rFonts w:hint="eastAsia" w:hAnsi="宋体" w:cs="仿宋_GB2312"/>
                <w:color w:val="auto"/>
                <w:highlight w:val="none"/>
              </w:rPr>
              <w:t>分</w:t>
            </w:r>
            <w:r>
              <w:rPr>
                <w:rFonts w:hint="eastAsia" w:hAnsi="宋体" w:cs="仿宋_GB2312"/>
                <w:color w:val="auto"/>
                <w:highlight w:val="none"/>
                <w:lang w:eastAsia="zh-CN"/>
              </w:rPr>
              <w:t>）</w:t>
            </w:r>
          </w:p>
        </w:tc>
        <w:tc>
          <w:tcPr>
            <w:tcW w:w="6354" w:type="dxa"/>
            <w:gridSpan w:val="2"/>
            <w:vAlign w:val="center"/>
          </w:tcPr>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1、采用低价优先法计算，即满足磋商文件要求且投标价格最低的投标报价为评标基准价，其价格分为满分。其他供应商的价格分按照下列公式计算（保留两位小数）。</w:t>
            </w:r>
          </w:p>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投标报价得分=（评标基准价／投标报价）*</w:t>
            </w:r>
            <w:r>
              <w:rPr>
                <w:rFonts w:hint="eastAsia" w:cs="宋体"/>
                <w:color w:val="auto"/>
                <w:highlight w:val="none"/>
                <w:lang w:val="en-US" w:eastAsia="zh-CN"/>
              </w:rPr>
              <w:t>3</w:t>
            </w:r>
            <w:r>
              <w:rPr>
                <w:rFonts w:hint="eastAsia" w:ascii="宋体" w:hAnsi="Times New Roman" w:eastAsia="宋体" w:cs="宋体"/>
                <w:color w:val="auto"/>
                <w:highlight w:val="none"/>
              </w:rPr>
              <w:t>0%*100</w:t>
            </w:r>
          </w:p>
          <w:p>
            <w:pPr>
              <w:pStyle w:val="2"/>
              <w:spacing w:line="300" w:lineRule="exact"/>
              <w:rPr>
                <w:rFonts w:ascii="宋体" w:hAnsi="宋体"/>
                <w:color w:val="auto"/>
                <w:sz w:val="24"/>
                <w:highlight w:val="none"/>
              </w:rPr>
            </w:pPr>
            <w:r>
              <w:rPr>
                <w:rFonts w:hint="eastAsia" w:ascii="宋体" w:hAnsi="Times New Roman" w:eastAsia="宋体" w:cs="宋体"/>
                <w:color w:val="auto"/>
                <w:highlight w:val="none"/>
              </w:rPr>
              <w:t>注：价格分计算保留小数点后二位。未通过初步评审的投标不参与投标报价得分的计算</w:t>
            </w:r>
            <w:r>
              <w:rPr>
                <w:rFonts w:hint="eastAsia" w:ascii="宋体" w:hAnsi="Times New Roman" w:eastAsia="宋体" w:cs="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exact"/>
          <w:jc w:val="center"/>
        </w:trPr>
        <w:tc>
          <w:tcPr>
            <w:tcW w:w="1118" w:type="dxa"/>
            <w:vMerge w:val="restart"/>
            <w:vAlign w:val="center"/>
          </w:tcPr>
          <w:p>
            <w:pPr>
              <w:tabs>
                <w:tab w:val="left" w:pos="360"/>
                <w:tab w:val="left" w:pos="540"/>
              </w:tabs>
              <w:spacing w:line="360" w:lineRule="auto"/>
              <w:jc w:val="center"/>
              <w:rPr>
                <w:rFonts w:hint="default" w:ascii="宋体" w:hAnsi="宋体" w:eastAsia="宋体"/>
                <w:b/>
                <w:color w:val="auto"/>
                <w:szCs w:val="21"/>
                <w:highlight w:val="none"/>
                <w:lang w:val="en-US" w:eastAsia="zh-CN"/>
              </w:rPr>
            </w:pPr>
            <w:r>
              <w:rPr>
                <w:rFonts w:hint="eastAsia" w:ascii="宋体" w:hAnsi="Times New Roman" w:eastAsia="宋体" w:cs="宋体"/>
                <w:color w:val="auto"/>
                <w:kern w:val="0"/>
                <w:sz w:val="24"/>
                <w:szCs w:val="24"/>
                <w:highlight w:val="none"/>
                <w:lang w:val="en-US" w:eastAsia="zh-CN" w:bidi="ar-SA"/>
              </w:rPr>
              <w:t>2.</w:t>
            </w:r>
          </w:p>
        </w:tc>
        <w:tc>
          <w:tcPr>
            <w:tcW w:w="1301" w:type="dxa"/>
            <w:vMerge w:val="restart"/>
            <w:vAlign w:val="center"/>
          </w:tcPr>
          <w:p>
            <w:pPr>
              <w:pStyle w:val="2"/>
              <w:spacing w:line="240" w:lineRule="atLeast"/>
              <w:jc w:val="center"/>
              <w:rPr>
                <w:color w:val="auto"/>
                <w:highlight w:val="none"/>
              </w:rPr>
            </w:pPr>
            <w:r>
              <w:rPr>
                <w:rFonts w:hint="eastAsia" w:hAnsi="宋体"/>
                <w:color w:val="auto"/>
                <w:highlight w:val="none"/>
                <w:lang w:val="en-US" w:eastAsia="zh-CN"/>
              </w:rPr>
              <w:t>监理大纲</w:t>
            </w:r>
            <w:r>
              <w:rPr>
                <w:rFonts w:hint="eastAsia"/>
                <w:color w:val="auto"/>
                <w:highlight w:val="none"/>
              </w:rPr>
              <w:t>（</w:t>
            </w:r>
            <w:r>
              <w:rPr>
                <w:rFonts w:hint="eastAsia"/>
                <w:color w:val="auto"/>
                <w:highlight w:val="none"/>
                <w:lang w:val="en-US" w:eastAsia="zh-CN"/>
              </w:rPr>
              <w:t>50</w:t>
            </w:r>
            <w:r>
              <w:rPr>
                <w:rFonts w:hint="eastAsia"/>
                <w:color w:val="auto"/>
                <w:highlight w:val="none"/>
              </w:rPr>
              <w:t>分）</w:t>
            </w:r>
          </w:p>
          <w:p>
            <w:pPr>
              <w:pStyle w:val="2"/>
              <w:spacing w:line="240" w:lineRule="atLeast"/>
              <w:jc w:val="center"/>
              <w:rPr>
                <w:rFonts w:hAnsi="宋体"/>
                <w:color w:val="auto"/>
                <w:highlight w:val="none"/>
              </w:rPr>
            </w:pPr>
          </w:p>
        </w:tc>
        <w:tc>
          <w:tcPr>
            <w:tcW w:w="1977" w:type="dxa"/>
            <w:shd w:val="clear" w:color="auto" w:fill="FFFFFF" w:themeFill="background1"/>
            <w:vAlign w:val="center"/>
          </w:tcPr>
          <w:p>
            <w:pPr>
              <w:widowControl/>
              <w:adjustRightInd w:val="0"/>
              <w:rPr>
                <w:rFonts w:hint="eastAsia" w:ascii="宋体" w:hAnsi="Times New Roman" w:eastAsia="宋体" w:cs="宋体"/>
                <w:color w:val="auto"/>
                <w:sz w:val="22"/>
                <w:szCs w:val="28"/>
                <w:highlight w:val="none"/>
              </w:rPr>
            </w:pPr>
            <w:r>
              <w:rPr>
                <w:rFonts w:hint="eastAsia"/>
                <w:bCs/>
                <w:szCs w:val="21"/>
                <w:lang w:bidi="zh-CN"/>
              </w:rPr>
              <w:t>对监理范围与目标和对影响项目工期、质量、投资的关键问题的理解程度</w:t>
            </w:r>
          </w:p>
        </w:tc>
        <w:tc>
          <w:tcPr>
            <w:tcW w:w="4377" w:type="dxa"/>
            <w:shd w:val="clear" w:color="auto" w:fill="FFFFFF" w:themeFill="background1"/>
            <w:vAlign w:val="center"/>
          </w:tcPr>
          <w:p>
            <w:pPr>
              <w:widowControl/>
              <w:adjustRightInd w:val="0"/>
              <w:rPr>
                <w:rFonts w:hint="eastAsia" w:ascii="宋体" w:hAnsi="Times New Roman" w:eastAsia="宋体" w:cs="宋体"/>
                <w:color w:val="auto"/>
                <w:sz w:val="22"/>
                <w:szCs w:val="28"/>
                <w:highlight w:val="none"/>
              </w:rPr>
            </w:pPr>
            <w:r>
              <w:rPr>
                <w:rFonts w:hint="eastAsia"/>
                <w:szCs w:val="21"/>
              </w:rPr>
              <w:t>满分15分，依据该项编写内容合理程度</w:t>
            </w:r>
            <w:r>
              <w:rPr>
                <w:rFonts w:hint="eastAsia"/>
                <w:szCs w:val="21"/>
                <w:lang w:bidi="zh-CN"/>
              </w:rPr>
              <w:t>评标委员会根据投标文件由评标委员会划分为A、B、C三个等级，A级</w:t>
            </w:r>
            <w:r>
              <w:rPr>
                <w:rFonts w:hint="eastAsia"/>
                <w:szCs w:val="21"/>
              </w:rPr>
              <w:t>10</w:t>
            </w:r>
            <w:r>
              <w:rPr>
                <w:rFonts w:hint="eastAsia"/>
                <w:szCs w:val="21"/>
                <w:lang w:bidi="zh-CN"/>
              </w:rPr>
              <w:t>-</w:t>
            </w:r>
            <w:r>
              <w:rPr>
                <w:rFonts w:hint="eastAsia"/>
                <w:szCs w:val="21"/>
              </w:rPr>
              <w:t>15</w:t>
            </w:r>
            <w:r>
              <w:rPr>
                <w:rFonts w:hint="eastAsia"/>
                <w:szCs w:val="21"/>
                <w:lang w:bidi="zh-CN"/>
              </w:rPr>
              <w:t>分，B级</w:t>
            </w:r>
            <w:r>
              <w:rPr>
                <w:rFonts w:hint="eastAsia"/>
                <w:szCs w:val="21"/>
              </w:rPr>
              <w:t>6</w:t>
            </w:r>
            <w:r>
              <w:rPr>
                <w:rFonts w:hint="eastAsia"/>
                <w:szCs w:val="21"/>
                <w:lang w:bidi="zh-CN"/>
              </w:rPr>
              <w:t>-</w:t>
            </w:r>
            <w:r>
              <w:rPr>
                <w:rFonts w:hint="eastAsia"/>
                <w:szCs w:val="21"/>
              </w:rPr>
              <w:t>9</w:t>
            </w:r>
            <w:r>
              <w:rPr>
                <w:rFonts w:hint="eastAsia"/>
                <w:szCs w:val="21"/>
                <w:lang w:bidi="zh-CN"/>
              </w:rPr>
              <w:t>分，C级</w:t>
            </w:r>
            <w:r>
              <w:rPr>
                <w:rFonts w:hint="eastAsia"/>
                <w:szCs w:val="21"/>
              </w:rPr>
              <w:t>0</w:t>
            </w:r>
            <w:r>
              <w:rPr>
                <w:rFonts w:hint="eastAsia"/>
                <w:szCs w:val="21"/>
                <w:lang w:bidi="zh-CN"/>
              </w:rPr>
              <w:t>-</w:t>
            </w:r>
            <w:r>
              <w:rPr>
                <w:rFonts w:hint="eastAsia"/>
                <w:szCs w:val="21"/>
              </w:rPr>
              <w:t>5</w:t>
            </w:r>
            <w:r>
              <w:rPr>
                <w:rFonts w:hint="eastAsia"/>
                <w:szCs w:val="21"/>
                <w:lang w:bidi="zh-CN"/>
              </w:rPr>
              <w:t>分。</w:t>
            </w:r>
            <w:r>
              <w:rPr>
                <w:rFonts w:hint="eastAsia"/>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widowControl/>
              <w:adjustRightInd w:val="0"/>
              <w:rPr>
                <w:rFonts w:hint="eastAsia" w:ascii="宋体" w:hAnsi="Times New Roman" w:eastAsia="宋体" w:cs="宋体"/>
                <w:color w:val="auto"/>
                <w:sz w:val="22"/>
                <w:szCs w:val="28"/>
                <w:highlight w:val="none"/>
              </w:rPr>
            </w:pPr>
            <w:r>
              <w:rPr>
                <w:rFonts w:hint="eastAsia"/>
                <w:bCs/>
                <w:szCs w:val="21"/>
                <w:lang w:bidi="en-US"/>
              </w:rPr>
              <w:t>工程进度、</w:t>
            </w:r>
            <w:r>
              <w:rPr>
                <w:rFonts w:hint="eastAsia"/>
                <w:szCs w:val="24"/>
              </w:rPr>
              <w:t>质量</w:t>
            </w:r>
            <w:r>
              <w:rPr>
                <w:rFonts w:hint="eastAsia"/>
                <w:bCs/>
                <w:szCs w:val="21"/>
                <w:lang w:bidi="en-US"/>
              </w:rPr>
              <w:t>控制措施</w:t>
            </w:r>
          </w:p>
        </w:tc>
        <w:tc>
          <w:tcPr>
            <w:tcW w:w="4377" w:type="dxa"/>
            <w:shd w:val="clear" w:color="auto" w:fill="FFFFFF" w:themeFill="background1"/>
            <w:vAlign w:val="center"/>
          </w:tcPr>
          <w:p>
            <w:pPr>
              <w:widowControl/>
              <w:adjustRightInd w:val="0"/>
              <w:rPr>
                <w:rFonts w:hint="eastAsia" w:ascii="宋体" w:hAnsi="Times New Roman" w:eastAsia="宋体" w:cs="宋体"/>
                <w:color w:val="auto"/>
                <w:sz w:val="22"/>
                <w:szCs w:val="28"/>
                <w:highlight w:val="none"/>
              </w:rPr>
            </w:pPr>
            <w:r>
              <w:rPr>
                <w:rFonts w:hint="eastAsia"/>
                <w:szCs w:val="21"/>
              </w:rPr>
              <w:t>满分8分，依据该项编写内容合理程度</w:t>
            </w:r>
            <w:r>
              <w:rPr>
                <w:rFonts w:hint="eastAsia"/>
                <w:szCs w:val="21"/>
                <w:lang w:bidi="zh-CN"/>
              </w:rPr>
              <w:t>评标委员会根据投标文件由评标委员会划分为A、B、C三个等级，A级</w:t>
            </w:r>
            <w:r>
              <w:rPr>
                <w:rFonts w:hint="eastAsia"/>
                <w:szCs w:val="21"/>
              </w:rPr>
              <w:t>6</w:t>
            </w:r>
            <w:r>
              <w:rPr>
                <w:rFonts w:hint="eastAsia"/>
                <w:szCs w:val="21"/>
                <w:lang w:bidi="zh-CN"/>
              </w:rPr>
              <w:t>-</w:t>
            </w:r>
            <w:r>
              <w:rPr>
                <w:rFonts w:hint="eastAsia"/>
                <w:szCs w:val="21"/>
                <w:lang w:val="en-US" w:bidi="zh-CN"/>
              </w:rPr>
              <w:t>10</w:t>
            </w:r>
            <w:r>
              <w:rPr>
                <w:rFonts w:hint="eastAsia"/>
                <w:szCs w:val="21"/>
                <w:lang w:bidi="zh-CN"/>
              </w:rPr>
              <w:t>分，B级</w:t>
            </w:r>
            <w:r>
              <w:rPr>
                <w:rFonts w:hint="eastAsia"/>
                <w:szCs w:val="21"/>
              </w:rPr>
              <w:t>4</w:t>
            </w:r>
            <w:r>
              <w:rPr>
                <w:rFonts w:hint="eastAsia"/>
                <w:szCs w:val="21"/>
                <w:lang w:bidi="zh-CN"/>
              </w:rPr>
              <w:t>-</w:t>
            </w:r>
            <w:r>
              <w:rPr>
                <w:rFonts w:hint="eastAsia"/>
                <w:szCs w:val="21"/>
              </w:rPr>
              <w:t>5</w:t>
            </w:r>
            <w:r>
              <w:rPr>
                <w:rFonts w:hint="eastAsia"/>
                <w:szCs w:val="21"/>
                <w:lang w:bidi="zh-CN"/>
              </w:rPr>
              <w:t>分，C级</w:t>
            </w:r>
            <w:r>
              <w:rPr>
                <w:rFonts w:hint="eastAsia"/>
                <w:szCs w:val="21"/>
              </w:rPr>
              <w:t>0</w:t>
            </w:r>
            <w:r>
              <w:rPr>
                <w:rFonts w:hint="eastAsia"/>
                <w:szCs w:val="21"/>
                <w:lang w:bidi="zh-CN"/>
              </w:rPr>
              <w:t>-</w:t>
            </w:r>
            <w:r>
              <w:rPr>
                <w:rFonts w:hint="eastAsia"/>
                <w:szCs w:val="21"/>
              </w:rPr>
              <w:t>3</w:t>
            </w:r>
            <w:r>
              <w:rPr>
                <w:rFonts w:hint="eastAsia"/>
                <w:szCs w:val="21"/>
                <w:lang w:bidi="zh-CN"/>
              </w:rPr>
              <w:t>分。</w:t>
            </w:r>
            <w:r>
              <w:rPr>
                <w:rFonts w:hint="eastAsia"/>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pStyle w:val="34"/>
              <w:rPr>
                <w:rFonts w:hint="eastAsia" w:ascii="宋体" w:hAnsi="Times New Roman" w:eastAsia="宋体" w:cs="宋体"/>
                <w:color w:val="auto"/>
                <w:sz w:val="22"/>
                <w:szCs w:val="28"/>
                <w:highlight w:val="none"/>
              </w:rPr>
            </w:pPr>
            <w:r>
              <w:rPr>
                <w:rFonts w:hint="eastAsia"/>
                <w:szCs w:val="24"/>
              </w:rPr>
              <w:t>工程造价控制措施</w:t>
            </w:r>
          </w:p>
        </w:tc>
        <w:tc>
          <w:tcPr>
            <w:tcW w:w="4377" w:type="dxa"/>
            <w:shd w:val="clear" w:color="auto" w:fill="FFFFFF" w:themeFill="background1"/>
            <w:vAlign w:val="top"/>
          </w:tcPr>
          <w:p>
            <w:pPr>
              <w:rPr>
                <w:rFonts w:hint="eastAsia" w:ascii="宋体" w:hAnsi="Times New Roman" w:eastAsia="宋体" w:cs="宋体"/>
                <w:color w:val="auto"/>
                <w:sz w:val="22"/>
                <w:szCs w:val="28"/>
                <w:highlight w:val="none"/>
              </w:rPr>
            </w:pPr>
            <w:r>
              <w:rPr>
                <w:rFonts w:hint="eastAsia"/>
                <w:szCs w:val="21"/>
              </w:rPr>
              <w:t>满分7分，依据该项编写内容合理程度</w:t>
            </w:r>
            <w:r>
              <w:rPr>
                <w:rFonts w:hint="eastAsia"/>
                <w:szCs w:val="21"/>
                <w:lang w:bidi="zh-CN"/>
              </w:rPr>
              <w:t>评标委员会根据投标文件由评标委员会划分为A、B、C三个等级，A级</w:t>
            </w:r>
            <w:r>
              <w:rPr>
                <w:rFonts w:hint="eastAsia"/>
                <w:szCs w:val="21"/>
              </w:rPr>
              <w:t>6</w:t>
            </w:r>
            <w:r>
              <w:rPr>
                <w:rFonts w:hint="eastAsia"/>
                <w:szCs w:val="21"/>
                <w:lang w:bidi="zh-CN"/>
              </w:rPr>
              <w:t>-</w:t>
            </w:r>
            <w:r>
              <w:rPr>
                <w:rFonts w:hint="eastAsia"/>
                <w:szCs w:val="21"/>
                <w:lang w:val="en-US" w:bidi="zh-CN"/>
              </w:rPr>
              <w:t>10</w:t>
            </w:r>
            <w:r>
              <w:rPr>
                <w:rFonts w:hint="eastAsia"/>
                <w:szCs w:val="21"/>
                <w:lang w:bidi="zh-CN"/>
              </w:rPr>
              <w:t>，B级</w:t>
            </w:r>
            <w:r>
              <w:rPr>
                <w:rFonts w:hint="eastAsia"/>
                <w:szCs w:val="21"/>
              </w:rPr>
              <w:t>4</w:t>
            </w:r>
            <w:r>
              <w:rPr>
                <w:rFonts w:hint="eastAsia"/>
                <w:szCs w:val="21"/>
                <w:lang w:bidi="zh-CN"/>
              </w:rPr>
              <w:t>-</w:t>
            </w:r>
            <w:r>
              <w:rPr>
                <w:rFonts w:hint="eastAsia"/>
                <w:szCs w:val="21"/>
              </w:rPr>
              <w:t>5</w:t>
            </w:r>
            <w:r>
              <w:rPr>
                <w:rFonts w:hint="eastAsia"/>
                <w:szCs w:val="21"/>
                <w:lang w:bidi="zh-CN"/>
              </w:rPr>
              <w:t>分，C级</w:t>
            </w:r>
            <w:r>
              <w:rPr>
                <w:rFonts w:hint="eastAsia"/>
                <w:szCs w:val="21"/>
              </w:rPr>
              <w:t>0</w:t>
            </w:r>
            <w:r>
              <w:rPr>
                <w:rFonts w:hint="eastAsia"/>
                <w:szCs w:val="21"/>
                <w:lang w:bidi="zh-CN"/>
              </w:rPr>
              <w:t>-</w:t>
            </w:r>
            <w:r>
              <w:rPr>
                <w:rFonts w:hint="eastAsia"/>
                <w:szCs w:val="21"/>
              </w:rPr>
              <w:t>3</w:t>
            </w:r>
            <w:r>
              <w:rPr>
                <w:rFonts w:hint="eastAsia"/>
                <w:szCs w:val="21"/>
                <w:lang w:bidi="zh-CN"/>
              </w:rPr>
              <w:t>分。</w:t>
            </w:r>
            <w:r>
              <w:rPr>
                <w:rFonts w:hint="eastAsia"/>
                <w:szCs w:val="21"/>
              </w:rPr>
              <w:t>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pStyle w:val="34"/>
              <w:rPr>
                <w:rFonts w:hint="eastAsia" w:ascii="宋体" w:hAnsi="Times New Roman" w:eastAsia="宋体" w:cs="宋体"/>
                <w:color w:val="auto"/>
                <w:sz w:val="22"/>
                <w:szCs w:val="28"/>
                <w:highlight w:val="none"/>
              </w:rPr>
            </w:pPr>
            <w:r>
              <w:rPr>
                <w:rFonts w:hint="eastAsia"/>
                <w:szCs w:val="24"/>
              </w:rPr>
              <w:t>合同管理措施</w:t>
            </w:r>
          </w:p>
        </w:tc>
        <w:tc>
          <w:tcPr>
            <w:tcW w:w="4377" w:type="dxa"/>
            <w:shd w:val="clear" w:color="auto" w:fill="FFFFFF" w:themeFill="background1"/>
            <w:vAlign w:val="top"/>
          </w:tcPr>
          <w:p>
            <w:pPr>
              <w:rPr>
                <w:rFonts w:hint="eastAsia" w:ascii="宋体" w:hAnsi="Times New Roman" w:eastAsia="宋体" w:cs="宋体"/>
                <w:color w:val="auto"/>
                <w:sz w:val="22"/>
                <w:szCs w:val="28"/>
                <w:highlight w:val="none"/>
              </w:rPr>
            </w:pPr>
            <w:r>
              <w:rPr>
                <w:rFonts w:hint="eastAsia"/>
                <w:szCs w:val="21"/>
              </w:rPr>
              <w:t>满分5分，依据该项编写内容合理程度</w:t>
            </w:r>
            <w:r>
              <w:rPr>
                <w:rFonts w:hint="eastAsia"/>
                <w:szCs w:val="21"/>
                <w:lang w:bidi="zh-CN"/>
              </w:rPr>
              <w:t>评标委员会根据投标文件由评标委员会划分为A、B、C三个等级，A级</w:t>
            </w:r>
            <w:r>
              <w:rPr>
                <w:rFonts w:hint="eastAsia"/>
                <w:szCs w:val="21"/>
              </w:rPr>
              <w:t>4-5</w:t>
            </w:r>
            <w:r>
              <w:rPr>
                <w:rFonts w:hint="eastAsia"/>
                <w:szCs w:val="21"/>
                <w:lang w:bidi="zh-CN"/>
              </w:rPr>
              <w:t>，B级</w:t>
            </w:r>
            <w:r>
              <w:rPr>
                <w:rFonts w:hint="eastAsia"/>
                <w:szCs w:val="21"/>
              </w:rPr>
              <w:t>2-3分，</w:t>
            </w:r>
            <w:r>
              <w:rPr>
                <w:rFonts w:hint="eastAsia"/>
                <w:szCs w:val="21"/>
                <w:lang w:bidi="zh-CN"/>
              </w:rPr>
              <w:t>C级</w:t>
            </w:r>
            <w:r>
              <w:rPr>
                <w:rFonts w:hint="eastAsia"/>
                <w:szCs w:val="21"/>
              </w:rPr>
              <w:t>0</w:t>
            </w:r>
            <w:r>
              <w:rPr>
                <w:rFonts w:hint="eastAsia"/>
                <w:szCs w:val="21"/>
                <w:lang w:bidi="zh-CN"/>
              </w:rPr>
              <w:t>-</w:t>
            </w:r>
            <w:r>
              <w:rPr>
                <w:rFonts w:hint="eastAsia"/>
                <w:szCs w:val="21"/>
              </w:rPr>
              <w:t>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pStyle w:val="34"/>
              <w:rPr>
                <w:rFonts w:hint="eastAsia" w:ascii="宋体" w:hAnsi="Times New Roman" w:eastAsia="宋体" w:cs="宋体"/>
                <w:color w:val="auto"/>
                <w:sz w:val="22"/>
                <w:szCs w:val="28"/>
                <w:highlight w:val="none"/>
              </w:rPr>
            </w:pPr>
            <w:r>
              <w:rPr>
                <w:rFonts w:hint="eastAsia"/>
                <w:szCs w:val="24"/>
              </w:rPr>
              <w:t>安全生产管理措施</w:t>
            </w:r>
          </w:p>
        </w:tc>
        <w:tc>
          <w:tcPr>
            <w:tcW w:w="4377" w:type="dxa"/>
            <w:shd w:val="clear" w:color="auto" w:fill="FFFFFF" w:themeFill="background1"/>
            <w:vAlign w:val="top"/>
          </w:tcPr>
          <w:p>
            <w:pPr>
              <w:rPr>
                <w:rFonts w:hint="eastAsia" w:ascii="宋体" w:hAnsi="Times New Roman" w:eastAsia="宋体" w:cs="宋体"/>
                <w:color w:val="auto"/>
                <w:sz w:val="22"/>
                <w:szCs w:val="28"/>
                <w:highlight w:val="none"/>
              </w:rPr>
            </w:pPr>
            <w:r>
              <w:rPr>
                <w:rFonts w:hint="eastAsia"/>
                <w:szCs w:val="21"/>
              </w:rPr>
              <w:t>满分5分，依据该项编写内容合理程度</w:t>
            </w:r>
            <w:r>
              <w:rPr>
                <w:rFonts w:hint="eastAsia"/>
                <w:szCs w:val="21"/>
                <w:lang w:bidi="zh-CN"/>
              </w:rPr>
              <w:t>评标委员会根据投标文件由评标委员会划分为A、B、C三个等级，A级</w:t>
            </w:r>
            <w:r>
              <w:rPr>
                <w:rFonts w:hint="eastAsia"/>
                <w:szCs w:val="21"/>
              </w:rPr>
              <w:t>4-5</w:t>
            </w:r>
            <w:r>
              <w:rPr>
                <w:rFonts w:hint="eastAsia"/>
                <w:szCs w:val="21"/>
                <w:lang w:bidi="zh-CN"/>
              </w:rPr>
              <w:t>，B级</w:t>
            </w:r>
            <w:r>
              <w:rPr>
                <w:rFonts w:hint="eastAsia"/>
                <w:szCs w:val="21"/>
              </w:rPr>
              <w:t>2-3分，</w:t>
            </w:r>
            <w:r>
              <w:rPr>
                <w:rFonts w:hint="eastAsia"/>
                <w:szCs w:val="21"/>
                <w:lang w:bidi="zh-CN"/>
              </w:rPr>
              <w:t>C级</w:t>
            </w:r>
            <w:r>
              <w:rPr>
                <w:rFonts w:hint="eastAsia"/>
                <w:szCs w:val="21"/>
              </w:rPr>
              <w:t>0</w:t>
            </w:r>
            <w:r>
              <w:rPr>
                <w:rFonts w:hint="eastAsia"/>
                <w:szCs w:val="21"/>
                <w:lang w:bidi="zh-CN"/>
              </w:rPr>
              <w:t>-</w:t>
            </w:r>
            <w:r>
              <w:rPr>
                <w:rFonts w:hint="eastAsia"/>
                <w:szCs w:val="21"/>
              </w:rPr>
              <w:t>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exact"/>
          <w:jc w:val="center"/>
        </w:trPr>
        <w:tc>
          <w:tcPr>
            <w:tcW w:w="1118" w:type="dxa"/>
            <w:vMerge w:val="continue"/>
            <w:vAlign w:val="center"/>
          </w:tcPr>
          <w:p>
            <w:pPr>
              <w:tabs>
                <w:tab w:val="left" w:pos="360"/>
                <w:tab w:val="left" w:pos="540"/>
              </w:tabs>
              <w:spacing w:line="360" w:lineRule="auto"/>
              <w:jc w:val="center"/>
              <w:rPr>
                <w:rFonts w:ascii="宋体" w:hAnsi="宋体"/>
                <w:b/>
                <w:color w:val="auto"/>
                <w:szCs w:val="21"/>
                <w:highlight w:val="none"/>
              </w:rPr>
            </w:pPr>
          </w:p>
        </w:tc>
        <w:tc>
          <w:tcPr>
            <w:tcW w:w="1301" w:type="dxa"/>
            <w:vMerge w:val="continue"/>
            <w:vAlign w:val="center"/>
          </w:tcPr>
          <w:p>
            <w:pPr>
              <w:tabs>
                <w:tab w:val="left" w:pos="360"/>
                <w:tab w:val="left" w:pos="540"/>
              </w:tabs>
              <w:spacing w:line="360" w:lineRule="auto"/>
              <w:jc w:val="center"/>
              <w:rPr>
                <w:rFonts w:ascii="宋体" w:hAnsi="宋体"/>
                <w:b/>
                <w:color w:val="auto"/>
                <w:sz w:val="24"/>
                <w:highlight w:val="none"/>
              </w:rPr>
            </w:pPr>
          </w:p>
        </w:tc>
        <w:tc>
          <w:tcPr>
            <w:tcW w:w="1977" w:type="dxa"/>
            <w:shd w:val="clear" w:color="auto" w:fill="FFFFFF" w:themeFill="background1"/>
            <w:vAlign w:val="center"/>
          </w:tcPr>
          <w:p>
            <w:pPr>
              <w:widowControl/>
              <w:adjustRightInd w:val="0"/>
              <w:rPr>
                <w:rFonts w:hint="eastAsia" w:ascii="宋体" w:hAnsi="Times New Roman" w:eastAsia="宋体" w:cs="宋体"/>
                <w:color w:val="auto"/>
                <w:sz w:val="22"/>
                <w:szCs w:val="28"/>
                <w:highlight w:val="none"/>
              </w:rPr>
            </w:pPr>
            <w:r>
              <w:rPr>
                <w:rFonts w:hint="eastAsia"/>
                <w:bCs/>
                <w:szCs w:val="21"/>
                <w:lang w:bidi="en-US"/>
              </w:rPr>
              <w:t>组织协调控制措施</w:t>
            </w:r>
          </w:p>
        </w:tc>
        <w:tc>
          <w:tcPr>
            <w:tcW w:w="4377" w:type="dxa"/>
            <w:shd w:val="clear" w:color="auto" w:fill="FFFFFF" w:themeFill="background1"/>
            <w:vAlign w:val="top"/>
          </w:tcPr>
          <w:p>
            <w:pPr>
              <w:rPr>
                <w:rFonts w:hint="eastAsia" w:ascii="宋体" w:hAnsi="Times New Roman" w:eastAsia="宋体" w:cs="宋体"/>
                <w:color w:val="auto"/>
                <w:sz w:val="22"/>
                <w:szCs w:val="28"/>
                <w:highlight w:val="none"/>
              </w:rPr>
            </w:pPr>
            <w:r>
              <w:rPr>
                <w:rFonts w:hint="eastAsia"/>
                <w:szCs w:val="21"/>
              </w:rPr>
              <w:t>满分5分，依据该项编写内容合理程度</w:t>
            </w:r>
            <w:r>
              <w:rPr>
                <w:rFonts w:hint="eastAsia"/>
                <w:szCs w:val="21"/>
                <w:lang w:bidi="zh-CN"/>
              </w:rPr>
              <w:t>评标委员会根据投标文件由评标委员会划分为A、B、C三个等级，A级</w:t>
            </w:r>
            <w:r>
              <w:rPr>
                <w:rFonts w:hint="eastAsia"/>
                <w:szCs w:val="21"/>
              </w:rPr>
              <w:t>4-5</w:t>
            </w:r>
            <w:r>
              <w:rPr>
                <w:rFonts w:hint="eastAsia"/>
                <w:szCs w:val="21"/>
                <w:lang w:bidi="zh-CN"/>
              </w:rPr>
              <w:t>，B级</w:t>
            </w:r>
            <w:r>
              <w:rPr>
                <w:rFonts w:hint="eastAsia"/>
                <w:szCs w:val="21"/>
              </w:rPr>
              <w:t>2-3分，</w:t>
            </w:r>
            <w:r>
              <w:rPr>
                <w:rFonts w:hint="eastAsia"/>
                <w:szCs w:val="21"/>
                <w:lang w:bidi="zh-CN"/>
              </w:rPr>
              <w:t>C级</w:t>
            </w:r>
            <w:r>
              <w:rPr>
                <w:rFonts w:hint="eastAsia"/>
                <w:szCs w:val="21"/>
              </w:rPr>
              <w:t>0</w:t>
            </w:r>
            <w:r>
              <w:rPr>
                <w:rFonts w:hint="eastAsia"/>
                <w:szCs w:val="21"/>
                <w:lang w:bidi="zh-CN"/>
              </w:rPr>
              <w:t>-</w:t>
            </w:r>
            <w:r>
              <w:rPr>
                <w:rFonts w:hint="eastAsia"/>
                <w:szCs w:val="21"/>
              </w:rPr>
              <w:t>2分。缺项不得分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18" w:type="dxa"/>
            <w:vMerge w:val="continue"/>
            <w:vAlign w:val="center"/>
          </w:tcPr>
          <w:p>
            <w:pPr>
              <w:pStyle w:val="2"/>
              <w:spacing w:line="300" w:lineRule="exact"/>
              <w:rPr>
                <w:rFonts w:hint="eastAsia" w:ascii="宋体" w:hAnsi="Times New Roman" w:eastAsia="宋体" w:cs="宋体"/>
                <w:color w:val="auto"/>
                <w:highlight w:val="none"/>
              </w:rPr>
            </w:pPr>
          </w:p>
        </w:tc>
        <w:tc>
          <w:tcPr>
            <w:tcW w:w="1301" w:type="dxa"/>
            <w:vMerge w:val="continue"/>
            <w:vAlign w:val="center"/>
          </w:tcPr>
          <w:p>
            <w:pPr>
              <w:pStyle w:val="2"/>
              <w:spacing w:line="300" w:lineRule="exact"/>
              <w:rPr>
                <w:rFonts w:hint="eastAsia" w:ascii="宋体" w:hAnsi="Times New Roman" w:eastAsia="宋体" w:cs="宋体"/>
                <w:color w:val="auto"/>
                <w:highlight w:val="none"/>
              </w:rPr>
            </w:pPr>
          </w:p>
        </w:tc>
        <w:tc>
          <w:tcPr>
            <w:tcW w:w="6354" w:type="dxa"/>
            <w:gridSpan w:val="2"/>
            <w:tcBorders>
              <w:bottom w:val="single" w:color="auto" w:sz="4" w:space="0"/>
            </w:tcBorders>
            <w:vAlign w:val="center"/>
          </w:tcPr>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注：以上</w:t>
            </w:r>
            <w:r>
              <w:rPr>
                <w:rFonts w:hint="eastAsia" w:ascii="宋体" w:hAnsi="Times New Roman" w:eastAsia="宋体" w:cs="宋体"/>
                <w:color w:val="auto"/>
                <w:highlight w:val="none"/>
                <w:lang w:val="en-US" w:eastAsia="zh-CN"/>
              </w:rPr>
              <w:t>大纲</w:t>
            </w:r>
            <w:r>
              <w:rPr>
                <w:rFonts w:hint="eastAsia" w:ascii="宋体" w:hAnsi="Times New Roman" w:eastAsia="宋体" w:cs="宋体"/>
                <w:color w:val="auto"/>
                <w:highlight w:val="none"/>
              </w:rPr>
              <w:t>方案各项若有缺项的，该项为0分。评委根据</w:t>
            </w:r>
            <w:r>
              <w:rPr>
                <w:rFonts w:hint="eastAsia" w:cs="宋体"/>
                <w:color w:val="auto"/>
                <w:highlight w:val="none"/>
                <w:lang w:val="en-US" w:eastAsia="zh-CN"/>
              </w:rPr>
              <w:t>监理大纲</w:t>
            </w:r>
            <w:r>
              <w:rPr>
                <w:rFonts w:hint="eastAsia" w:ascii="宋体" w:hAnsi="Times New Roman" w:eastAsia="宋体" w:cs="宋体"/>
                <w:color w:val="auto"/>
                <w:highlight w:val="none"/>
              </w:rPr>
              <w:t>的合理性、可行性横向对比，逐项打分。</w:t>
            </w:r>
          </w:p>
          <w:p>
            <w:pPr>
              <w:pStyle w:val="2"/>
              <w:spacing w:line="300" w:lineRule="exact"/>
              <w:rPr>
                <w:rFonts w:hint="eastAsia" w:ascii="宋体" w:hAnsi="Times New Roman"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1118" w:type="dxa"/>
            <w:vMerge w:val="continue"/>
            <w:vAlign w:val="center"/>
          </w:tcPr>
          <w:p>
            <w:pPr>
              <w:pStyle w:val="2"/>
              <w:spacing w:line="300" w:lineRule="exact"/>
              <w:rPr>
                <w:rFonts w:hint="eastAsia" w:ascii="宋体" w:hAnsi="Times New Roman" w:eastAsia="宋体" w:cs="宋体"/>
                <w:color w:val="auto"/>
                <w:highlight w:val="none"/>
              </w:rPr>
            </w:pPr>
          </w:p>
        </w:tc>
        <w:tc>
          <w:tcPr>
            <w:tcW w:w="1301" w:type="dxa"/>
            <w:vMerge w:val="restart"/>
            <w:vAlign w:val="center"/>
          </w:tcPr>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其它因素</w:t>
            </w:r>
          </w:p>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评分标准</w:t>
            </w:r>
          </w:p>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lang w:eastAsia="zh-CN"/>
              </w:rPr>
              <w:t>（</w:t>
            </w:r>
            <w:r>
              <w:rPr>
                <w:rFonts w:hint="eastAsia" w:ascii="宋体" w:hAnsi="Times New Roman" w:eastAsia="宋体" w:cs="宋体"/>
                <w:color w:val="auto"/>
                <w:highlight w:val="none"/>
                <w:lang w:val="en-US" w:eastAsia="zh-CN"/>
              </w:rPr>
              <w:t>20</w:t>
            </w:r>
            <w:r>
              <w:rPr>
                <w:rFonts w:hint="eastAsia" w:ascii="宋体" w:hAnsi="Times New Roman" w:eastAsia="宋体" w:cs="宋体"/>
                <w:color w:val="auto"/>
                <w:highlight w:val="none"/>
              </w:rPr>
              <w:t>分</w:t>
            </w:r>
            <w:r>
              <w:rPr>
                <w:rFonts w:hint="eastAsia" w:ascii="宋体" w:hAnsi="Times New Roman" w:eastAsia="宋体" w:cs="宋体"/>
                <w:color w:val="auto"/>
                <w:highlight w:val="none"/>
                <w:lang w:eastAsia="zh-CN"/>
              </w:rPr>
              <w:t>）</w:t>
            </w:r>
          </w:p>
        </w:tc>
        <w:tc>
          <w:tcPr>
            <w:tcW w:w="6354" w:type="dxa"/>
            <w:gridSpan w:val="2"/>
            <w:shd w:val="clear" w:color="auto" w:fill="FFFFFF" w:themeFill="background1"/>
            <w:vAlign w:val="center"/>
          </w:tcPr>
          <w:p>
            <w:pPr>
              <w:pStyle w:val="2"/>
              <w:spacing w:line="300" w:lineRule="exact"/>
              <w:rPr>
                <w:rFonts w:hint="eastAsia" w:ascii="宋体" w:hAnsi="Times New Roman" w:eastAsia="宋体" w:cs="宋体"/>
                <w:color w:val="auto"/>
                <w:highlight w:val="none"/>
                <w:lang w:eastAsia="zh-CN"/>
              </w:rPr>
            </w:pPr>
            <w:r>
              <w:rPr>
                <w:rFonts w:hint="eastAsia" w:ascii="宋体" w:hAnsi="Times New Roman" w:eastAsia="宋体" w:cs="宋体"/>
                <w:color w:val="auto"/>
                <w:highlight w:val="none"/>
              </w:rPr>
              <w:t>项目总监</w:t>
            </w:r>
            <w:r>
              <w:rPr>
                <w:rFonts w:hint="eastAsia" w:ascii="宋体" w:hAnsi="Times New Roman" w:eastAsia="宋体" w:cs="宋体"/>
                <w:color w:val="auto"/>
                <w:highlight w:val="none"/>
                <w:lang w:eastAsia="zh-CN"/>
              </w:rPr>
              <w:t>（</w:t>
            </w:r>
            <w:r>
              <w:rPr>
                <w:rFonts w:hint="eastAsia" w:ascii="宋体" w:hAnsi="Times New Roman" w:eastAsia="宋体" w:cs="宋体"/>
                <w:color w:val="auto"/>
                <w:highlight w:val="none"/>
                <w:lang w:val="en-US" w:eastAsia="zh-CN"/>
              </w:rPr>
              <w:t>8分</w:t>
            </w:r>
            <w:r>
              <w:rPr>
                <w:rFonts w:hint="eastAsia" w:ascii="宋体" w:hAnsi="Times New Roman" w:eastAsia="宋体" w:cs="宋体"/>
                <w:color w:val="auto"/>
                <w:highlight w:val="none"/>
                <w:lang w:eastAsia="zh-CN"/>
              </w:rPr>
              <w:t>）</w:t>
            </w:r>
          </w:p>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lang w:val="en-US" w:eastAsia="zh-CN"/>
              </w:rPr>
              <w:t>1、</w:t>
            </w:r>
            <w:r>
              <w:rPr>
                <w:rFonts w:hint="eastAsia" w:ascii="宋体" w:hAnsi="Times New Roman" w:eastAsia="宋体" w:cs="宋体"/>
                <w:color w:val="auto"/>
                <w:highlight w:val="none"/>
              </w:rPr>
              <w:t>2018年1月1日以来类似项目业绩，承担过1项得</w:t>
            </w:r>
            <w:r>
              <w:rPr>
                <w:rFonts w:hint="eastAsia" w:ascii="宋体" w:hAnsi="Times New Roman" w:eastAsia="宋体" w:cs="宋体"/>
                <w:color w:val="auto"/>
                <w:highlight w:val="none"/>
                <w:lang w:val="en-US" w:eastAsia="zh-CN"/>
              </w:rPr>
              <w:t>2</w:t>
            </w:r>
            <w:r>
              <w:rPr>
                <w:rFonts w:hint="eastAsia" w:ascii="宋体" w:hAnsi="Times New Roman" w:eastAsia="宋体" w:cs="宋体"/>
                <w:color w:val="auto"/>
                <w:highlight w:val="none"/>
              </w:rPr>
              <w:t>分，总共</w:t>
            </w:r>
            <w:r>
              <w:rPr>
                <w:rFonts w:hint="eastAsia" w:ascii="宋体" w:hAnsi="Times New Roman" w:eastAsia="宋体" w:cs="宋体"/>
                <w:color w:val="auto"/>
                <w:highlight w:val="none"/>
                <w:lang w:val="en-US" w:eastAsia="zh-CN"/>
              </w:rPr>
              <w:t>4</w:t>
            </w:r>
            <w:r>
              <w:rPr>
                <w:rFonts w:hint="eastAsia" w:ascii="宋体" w:hAnsi="Times New Roman" w:eastAsia="宋体" w:cs="宋体"/>
                <w:color w:val="auto"/>
                <w:highlight w:val="none"/>
              </w:rPr>
              <w:t>分（以合同签订日期为准）；上传诚信库；</w:t>
            </w:r>
          </w:p>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lang w:val="en-US"/>
              </w:rPr>
              <w:t>2、</w:t>
            </w:r>
            <w:r>
              <w:rPr>
                <w:rFonts w:hint="eastAsia" w:ascii="宋体" w:hAnsi="Times New Roman" w:eastAsia="宋体" w:cs="宋体"/>
                <w:color w:val="auto"/>
                <w:highlight w:val="none"/>
              </w:rPr>
              <w:t>项目总监月驻现场工作时间安排及承诺；评标委员会根据投标文件由评标委员会划分为A、B、C三个等级，A级3-4分，B级2-3分，C级0-1分</w:t>
            </w:r>
          </w:p>
          <w:p>
            <w:pPr>
              <w:pStyle w:val="2"/>
              <w:spacing w:line="300" w:lineRule="exact"/>
              <w:rPr>
                <w:rFonts w:hint="eastAsia" w:ascii="宋体" w:hAnsi="Times New Roman"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18" w:type="dxa"/>
            <w:vMerge w:val="continue"/>
            <w:vAlign w:val="center"/>
          </w:tcPr>
          <w:p>
            <w:pPr>
              <w:pStyle w:val="2"/>
              <w:spacing w:line="300" w:lineRule="exact"/>
              <w:rPr>
                <w:rFonts w:hint="eastAsia" w:ascii="宋体" w:hAnsi="Times New Roman" w:eastAsia="宋体" w:cs="宋体"/>
                <w:color w:val="auto"/>
                <w:highlight w:val="none"/>
              </w:rPr>
            </w:pPr>
          </w:p>
        </w:tc>
        <w:tc>
          <w:tcPr>
            <w:tcW w:w="1301" w:type="dxa"/>
            <w:vMerge w:val="continue"/>
            <w:vAlign w:val="center"/>
          </w:tcPr>
          <w:p>
            <w:pPr>
              <w:pStyle w:val="2"/>
              <w:spacing w:line="300" w:lineRule="exact"/>
              <w:rPr>
                <w:rFonts w:hint="eastAsia" w:ascii="宋体" w:hAnsi="Times New Roman" w:eastAsia="宋体" w:cs="宋体"/>
                <w:color w:val="auto"/>
                <w:highlight w:val="none"/>
              </w:rPr>
            </w:pPr>
          </w:p>
        </w:tc>
        <w:tc>
          <w:tcPr>
            <w:tcW w:w="6354" w:type="dxa"/>
            <w:gridSpan w:val="2"/>
            <w:shd w:val="clear" w:color="auto" w:fill="FFFFFF" w:themeFill="background1"/>
            <w:vAlign w:val="center"/>
          </w:tcPr>
          <w:p>
            <w:pPr>
              <w:pStyle w:val="2"/>
              <w:spacing w:line="300" w:lineRule="exact"/>
              <w:rPr>
                <w:rFonts w:hint="eastAsia" w:ascii="宋体" w:hAnsi="Times New Roman" w:eastAsia="宋体" w:cs="宋体"/>
                <w:color w:val="auto"/>
                <w:highlight w:val="none"/>
                <w:lang w:eastAsia="zh-CN"/>
              </w:rPr>
            </w:pPr>
            <w:r>
              <w:rPr>
                <w:rFonts w:hint="eastAsia" w:ascii="宋体" w:hAnsi="Times New Roman" w:eastAsia="宋体" w:cs="宋体"/>
                <w:color w:val="auto"/>
                <w:highlight w:val="none"/>
              </w:rPr>
              <w:t>项目其他人员配置</w:t>
            </w:r>
            <w:r>
              <w:rPr>
                <w:rFonts w:hint="eastAsia" w:ascii="宋体" w:hAnsi="Times New Roman" w:eastAsia="宋体" w:cs="宋体"/>
                <w:color w:val="auto"/>
                <w:highlight w:val="none"/>
                <w:lang w:eastAsia="zh-CN"/>
              </w:rPr>
              <w:t>（</w:t>
            </w:r>
            <w:r>
              <w:rPr>
                <w:rFonts w:hint="eastAsia" w:ascii="宋体" w:hAnsi="Times New Roman" w:eastAsia="宋体" w:cs="宋体"/>
                <w:color w:val="auto"/>
                <w:highlight w:val="none"/>
                <w:lang w:val="en-US" w:eastAsia="zh-CN"/>
              </w:rPr>
              <w:t>6分</w:t>
            </w:r>
            <w:r>
              <w:rPr>
                <w:rFonts w:hint="eastAsia" w:ascii="宋体" w:hAnsi="Times New Roman" w:eastAsia="宋体" w:cs="宋体"/>
                <w:color w:val="auto"/>
                <w:highlight w:val="none"/>
                <w:lang w:eastAsia="zh-CN"/>
              </w:rPr>
              <w:t>）</w:t>
            </w:r>
          </w:p>
          <w:p>
            <w:pPr>
              <w:pStyle w:val="2"/>
              <w:spacing w:line="300" w:lineRule="exact"/>
              <w:rPr>
                <w:rFonts w:hint="default" w:ascii="宋体" w:hAnsi="Times New Roman" w:eastAsia="宋体" w:cs="宋体"/>
                <w:color w:val="auto"/>
                <w:highlight w:val="none"/>
                <w:lang w:val="en-US" w:eastAsia="zh-CN"/>
              </w:rPr>
            </w:pPr>
            <w:r>
              <w:rPr>
                <w:rFonts w:hint="eastAsia" w:ascii="宋体" w:hAnsi="Times New Roman" w:eastAsia="宋体" w:cs="宋体"/>
                <w:color w:val="auto"/>
                <w:highlight w:val="none"/>
                <w:lang w:val="en-US" w:eastAsia="zh-CN"/>
              </w:rPr>
              <w:t>1、</w:t>
            </w:r>
            <w:r>
              <w:rPr>
                <w:rFonts w:hint="eastAsia" w:ascii="宋体" w:hAnsi="Times New Roman" w:eastAsia="宋体" w:cs="宋体"/>
                <w:color w:val="auto"/>
                <w:highlight w:val="none"/>
              </w:rPr>
              <w:t>每再有1人具备水利监理工程师资格的得</w:t>
            </w:r>
            <w:r>
              <w:rPr>
                <w:rFonts w:hint="eastAsia" w:ascii="宋体" w:hAnsi="Times New Roman" w:eastAsia="宋体" w:cs="宋体"/>
                <w:color w:val="auto"/>
                <w:highlight w:val="none"/>
                <w:lang w:val="en-US"/>
              </w:rPr>
              <w:t>3</w:t>
            </w:r>
            <w:r>
              <w:rPr>
                <w:rFonts w:hint="eastAsia" w:ascii="宋体" w:hAnsi="Times New Roman" w:eastAsia="宋体" w:cs="宋体"/>
                <w:color w:val="auto"/>
                <w:highlight w:val="none"/>
              </w:rPr>
              <w:t>分（项目监理工程师和总监代表除外），最多</w:t>
            </w:r>
            <w:r>
              <w:rPr>
                <w:rFonts w:hint="eastAsia" w:ascii="宋体" w:hAnsi="Times New Roman" w:eastAsia="宋体" w:cs="宋体"/>
                <w:color w:val="auto"/>
                <w:highlight w:val="none"/>
                <w:lang w:val="en-US"/>
              </w:rPr>
              <w:t>6</w:t>
            </w:r>
            <w:r>
              <w:rPr>
                <w:rFonts w:hint="eastAsia" w:ascii="宋体" w:hAnsi="Times New Roman" w:eastAsia="宋体" w:cs="宋体"/>
                <w:color w:val="auto"/>
                <w:highlight w:val="none"/>
              </w:rPr>
              <w:t>分；上传诚信库；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1118" w:type="dxa"/>
            <w:vMerge w:val="continue"/>
            <w:vAlign w:val="center"/>
          </w:tcPr>
          <w:p>
            <w:pPr>
              <w:pStyle w:val="2"/>
              <w:spacing w:line="300" w:lineRule="exact"/>
              <w:rPr>
                <w:rFonts w:hint="eastAsia" w:ascii="宋体" w:hAnsi="Times New Roman" w:eastAsia="宋体" w:cs="宋体"/>
                <w:color w:val="auto"/>
                <w:highlight w:val="none"/>
              </w:rPr>
            </w:pPr>
          </w:p>
        </w:tc>
        <w:tc>
          <w:tcPr>
            <w:tcW w:w="1301" w:type="dxa"/>
            <w:vMerge w:val="continue"/>
            <w:vAlign w:val="center"/>
          </w:tcPr>
          <w:p>
            <w:pPr>
              <w:pStyle w:val="2"/>
              <w:spacing w:line="300" w:lineRule="exact"/>
              <w:rPr>
                <w:rFonts w:hint="eastAsia" w:ascii="宋体" w:hAnsi="Times New Roman" w:eastAsia="宋体" w:cs="宋体"/>
                <w:color w:val="auto"/>
                <w:highlight w:val="none"/>
              </w:rPr>
            </w:pPr>
          </w:p>
        </w:tc>
        <w:tc>
          <w:tcPr>
            <w:tcW w:w="6354" w:type="dxa"/>
            <w:gridSpan w:val="2"/>
            <w:shd w:val="clear" w:color="auto" w:fill="FFFFFF" w:themeFill="background1"/>
            <w:vAlign w:val="center"/>
          </w:tcPr>
          <w:p>
            <w:pPr>
              <w:pStyle w:val="2"/>
              <w:spacing w:line="300" w:lineRule="exact"/>
              <w:rPr>
                <w:rFonts w:hint="eastAsia" w:ascii="宋体" w:hAnsi="Times New Roman" w:eastAsia="宋体" w:cs="宋体"/>
                <w:color w:val="auto"/>
                <w:highlight w:val="none"/>
                <w:lang w:val="en-US" w:eastAsia="zh-CN"/>
              </w:rPr>
            </w:pPr>
            <w:r>
              <w:rPr>
                <w:rFonts w:hint="eastAsia" w:ascii="宋体" w:hAnsi="Times New Roman" w:eastAsia="宋体" w:cs="宋体"/>
                <w:color w:val="auto"/>
                <w:highlight w:val="none"/>
              </w:rPr>
              <w:t>企业业绩</w:t>
            </w:r>
            <w:r>
              <w:rPr>
                <w:rFonts w:hint="eastAsia" w:ascii="宋体" w:hAnsi="Times New Roman" w:eastAsia="宋体" w:cs="宋体"/>
                <w:color w:val="auto"/>
                <w:highlight w:val="none"/>
                <w:lang w:val="en-US" w:eastAsia="zh-CN"/>
              </w:rPr>
              <w:t>(6分）</w:t>
            </w:r>
          </w:p>
          <w:p>
            <w:pPr>
              <w:pStyle w:val="2"/>
              <w:spacing w:line="300" w:lineRule="exact"/>
              <w:rPr>
                <w:rFonts w:hint="default" w:ascii="宋体" w:hAnsi="Times New Roman" w:eastAsia="宋体" w:cs="宋体"/>
                <w:color w:val="auto"/>
                <w:highlight w:val="none"/>
                <w:lang w:val="en-US" w:eastAsia="zh-CN"/>
              </w:rPr>
            </w:pPr>
            <w:r>
              <w:rPr>
                <w:rFonts w:hint="eastAsia" w:ascii="宋体" w:hAnsi="Times New Roman" w:eastAsia="宋体" w:cs="宋体"/>
                <w:color w:val="auto"/>
                <w:highlight w:val="none"/>
              </w:rPr>
              <w:t>2018年1月1日以来类似项目业绩，以一个为基准每再提供一份加</w:t>
            </w:r>
            <w:r>
              <w:rPr>
                <w:rFonts w:hint="eastAsia" w:ascii="宋体" w:hAnsi="Times New Roman" w:eastAsia="宋体" w:cs="宋体"/>
                <w:color w:val="auto"/>
                <w:highlight w:val="none"/>
                <w:lang w:val="en-US" w:eastAsia="zh-CN"/>
              </w:rPr>
              <w:t>2</w:t>
            </w:r>
            <w:r>
              <w:rPr>
                <w:rFonts w:hint="eastAsia" w:ascii="宋体" w:hAnsi="Times New Roman" w:eastAsia="宋体" w:cs="宋体"/>
                <w:color w:val="auto"/>
                <w:highlight w:val="none"/>
              </w:rPr>
              <w:t>分，最多加</w:t>
            </w:r>
            <w:r>
              <w:rPr>
                <w:rFonts w:hint="eastAsia" w:ascii="宋体" w:hAnsi="Times New Roman" w:eastAsia="宋体" w:cs="宋体"/>
                <w:color w:val="auto"/>
                <w:highlight w:val="none"/>
                <w:lang w:val="en-US" w:eastAsia="zh-CN"/>
              </w:rPr>
              <w:t>6</w:t>
            </w:r>
            <w:r>
              <w:rPr>
                <w:rFonts w:hint="eastAsia" w:ascii="宋体" w:hAnsi="Times New Roman" w:eastAsia="宋体" w:cs="宋体"/>
                <w:color w:val="auto"/>
                <w:highlight w:val="none"/>
              </w:rPr>
              <w:t>分（以合同签订日期为准）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8773" w:type="dxa"/>
            <w:gridSpan w:val="4"/>
            <w:vAlign w:val="center"/>
          </w:tcPr>
          <w:p>
            <w:pPr>
              <w:pStyle w:val="2"/>
              <w:spacing w:line="300" w:lineRule="exact"/>
              <w:rPr>
                <w:rFonts w:hint="eastAsia" w:ascii="宋体" w:hAnsi="Times New Roman" w:eastAsia="宋体" w:cs="宋体"/>
                <w:color w:val="auto"/>
                <w:highlight w:val="none"/>
              </w:rPr>
            </w:pPr>
            <w:r>
              <w:rPr>
                <w:rFonts w:hint="eastAsia" w:ascii="宋体" w:hAnsi="Times New Roman" w:eastAsia="宋体" w:cs="宋体"/>
                <w:color w:val="auto"/>
                <w:highlight w:val="none"/>
              </w:rPr>
              <w:t>注：本项目实行资格后审，审查内容以投标截止时间前填报上传企业诚信库信息为准，过期更改的诚信库信息不作为本项目评审依据。开评标现场不接受诚信库信息原件。诚信库上传信息必须内容齐全，真实有效，原件扫描件清晰可辨。否则，由此造成应得分而未得分或资格审查不合格等情况的，由投标企业承担责任；</w:t>
            </w:r>
          </w:p>
        </w:tc>
      </w:tr>
    </w:tbl>
    <w:p>
      <w:pPr>
        <w:tabs>
          <w:tab w:val="left" w:pos="540"/>
        </w:tabs>
        <w:spacing w:line="276" w:lineRule="auto"/>
        <w:rPr>
          <w:rFonts w:ascii="黑体" w:hAnsi="宋体" w:eastAsia="黑体"/>
          <w:color w:val="auto"/>
          <w:sz w:val="28"/>
          <w:szCs w:val="28"/>
          <w:highlight w:val="none"/>
        </w:rPr>
      </w:pPr>
      <w:r>
        <w:rPr>
          <w:rFonts w:hint="eastAsia" w:ascii="黑体" w:hAnsi="宋体" w:eastAsia="黑体"/>
          <w:color w:val="auto"/>
          <w:sz w:val="28"/>
          <w:szCs w:val="28"/>
          <w:highlight w:val="none"/>
        </w:rPr>
        <w:t>1评标方法</w:t>
      </w:r>
    </w:p>
    <w:p>
      <w:pPr>
        <w:tabs>
          <w:tab w:val="left" w:pos="540"/>
        </w:tabs>
        <w:spacing w:line="276" w:lineRule="auto"/>
        <w:ind w:firstLine="420" w:firstLineChars="200"/>
        <w:rPr>
          <w:rFonts w:hint="eastAsia" w:ascii="宋体" w:hAnsi="宋体"/>
          <w:color w:val="auto"/>
          <w:highlight w:val="none"/>
        </w:rPr>
      </w:pPr>
      <w:r>
        <w:rPr>
          <w:rFonts w:hint="eastAsia" w:ascii="宋体" w:hAnsi="宋体"/>
          <w:color w:val="auto"/>
          <w:highlight w:val="none"/>
        </w:rPr>
        <w:t>本次竞争性磋商采用综合评分法评审，磋商小组对满足竞争性磋商文件实质性要求且最终确定采购需求和在规定时间提交最后报价的响应文件，且按照评审因素的量化指标评审得分最高的供应商为成交候选人的评审方法。</w:t>
      </w:r>
    </w:p>
    <w:p>
      <w:pPr>
        <w:tabs>
          <w:tab w:val="left" w:pos="540"/>
        </w:tabs>
        <w:spacing w:line="276" w:lineRule="auto"/>
        <w:rPr>
          <w:rFonts w:ascii="黑体" w:hAnsi="宋体" w:eastAsia="黑体"/>
          <w:color w:val="auto"/>
          <w:sz w:val="28"/>
          <w:szCs w:val="28"/>
          <w:highlight w:val="none"/>
        </w:rPr>
      </w:pPr>
      <w:r>
        <w:rPr>
          <w:rFonts w:hint="eastAsia" w:ascii="黑体" w:hAnsi="宋体" w:eastAsia="黑体"/>
          <w:color w:val="auto"/>
          <w:sz w:val="28"/>
          <w:szCs w:val="28"/>
          <w:highlight w:val="none"/>
        </w:rPr>
        <w:t>2 评审标准</w:t>
      </w:r>
    </w:p>
    <w:p>
      <w:pPr>
        <w:tabs>
          <w:tab w:val="left" w:pos="540"/>
        </w:tabs>
        <w:spacing w:line="276" w:lineRule="auto"/>
        <w:ind w:firstLine="420" w:firstLineChars="200"/>
        <w:rPr>
          <w:rFonts w:ascii="宋体" w:hAnsi="宋体"/>
          <w:color w:val="auto"/>
          <w:highlight w:val="none"/>
        </w:rPr>
      </w:pPr>
      <w:r>
        <w:rPr>
          <w:rFonts w:hint="eastAsia" w:ascii="宋体" w:hAnsi="宋体"/>
          <w:color w:val="auto"/>
          <w:highlight w:val="none"/>
        </w:rPr>
        <w:t>根据</w:t>
      </w:r>
      <w:r>
        <w:rPr>
          <w:rFonts w:hint="eastAsia" w:ascii="宋体" w:hAnsi="宋体"/>
          <w:color w:val="auto"/>
          <w:highlight w:val="none"/>
          <w:lang w:eastAsia="zh-CN"/>
        </w:rPr>
        <w:t>磋商</w:t>
      </w:r>
      <w:r>
        <w:rPr>
          <w:rFonts w:hint="eastAsia" w:ascii="宋体" w:hAnsi="宋体"/>
          <w:color w:val="auto"/>
          <w:highlight w:val="none"/>
        </w:rPr>
        <w:t>文件中对</w:t>
      </w:r>
      <w:r>
        <w:rPr>
          <w:rFonts w:hint="eastAsia" w:ascii="宋体" w:hAnsi="宋体"/>
          <w:color w:val="auto"/>
          <w:highlight w:val="none"/>
          <w:lang w:eastAsia="zh-CN"/>
        </w:rPr>
        <w:t>响应单位</w:t>
      </w:r>
      <w:r>
        <w:rPr>
          <w:rFonts w:hint="eastAsia" w:ascii="宋体" w:hAnsi="宋体"/>
          <w:color w:val="auto"/>
          <w:highlight w:val="none"/>
        </w:rPr>
        <w:t>的资格要求对报价合格的</w:t>
      </w:r>
      <w:r>
        <w:rPr>
          <w:rFonts w:hint="eastAsia" w:ascii="宋体" w:hAnsi="宋体"/>
          <w:color w:val="auto"/>
          <w:highlight w:val="none"/>
          <w:lang w:eastAsia="zh-CN"/>
        </w:rPr>
        <w:t>响应单位</w:t>
      </w:r>
      <w:r>
        <w:rPr>
          <w:rFonts w:hint="eastAsia" w:ascii="宋体" w:hAnsi="宋体"/>
          <w:color w:val="auto"/>
          <w:highlight w:val="none"/>
        </w:rPr>
        <w:t>进行资格审查。只有通过资格审查的</w:t>
      </w:r>
      <w:r>
        <w:rPr>
          <w:rFonts w:hint="eastAsia" w:ascii="宋体" w:hAnsi="宋体"/>
          <w:color w:val="auto"/>
          <w:highlight w:val="none"/>
          <w:lang w:eastAsia="zh-CN"/>
        </w:rPr>
        <w:t>响应人</w:t>
      </w:r>
      <w:r>
        <w:rPr>
          <w:rFonts w:hint="eastAsia" w:ascii="宋体" w:hAnsi="宋体"/>
          <w:color w:val="auto"/>
          <w:highlight w:val="none"/>
        </w:rPr>
        <w:t>才能进入下一步评审程序。</w:t>
      </w:r>
    </w:p>
    <w:p>
      <w:pPr>
        <w:tabs>
          <w:tab w:val="left" w:pos="360"/>
          <w:tab w:val="left" w:pos="540"/>
        </w:tabs>
        <w:spacing w:line="276" w:lineRule="auto"/>
        <w:rPr>
          <w:rFonts w:ascii="黑体" w:hAnsi="宋体" w:eastAsia="黑体"/>
          <w:color w:val="auto"/>
          <w:sz w:val="24"/>
          <w:highlight w:val="none"/>
        </w:rPr>
      </w:pPr>
      <w:r>
        <w:rPr>
          <w:rFonts w:hint="eastAsia" w:ascii="黑体" w:hAnsi="宋体" w:eastAsia="黑体"/>
          <w:color w:val="auto"/>
          <w:sz w:val="24"/>
          <w:highlight w:val="none"/>
        </w:rPr>
        <w:t>2.1 初步评审标准</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2.1.1 形式评审标准：见评标办法前附表；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2.1.2 资格评审标准：见评标办法前附表；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2.1.3 响应性评审标准：见评标办法前附表；</w:t>
      </w:r>
    </w:p>
    <w:p>
      <w:pPr>
        <w:tabs>
          <w:tab w:val="left" w:pos="360"/>
          <w:tab w:val="left" w:pos="540"/>
        </w:tabs>
        <w:spacing w:line="276" w:lineRule="auto"/>
        <w:rPr>
          <w:rFonts w:ascii="黑体" w:hAnsi="宋体" w:eastAsia="黑体"/>
          <w:color w:val="auto"/>
          <w:sz w:val="24"/>
          <w:highlight w:val="none"/>
        </w:rPr>
      </w:pPr>
      <w:r>
        <w:rPr>
          <w:rFonts w:hint="eastAsia" w:ascii="黑体" w:hAnsi="宋体" w:eastAsia="黑体"/>
          <w:color w:val="auto"/>
          <w:sz w:val="24"/>
          <w:highlight w:val="none"/>
        </w:rPr>
        <w:t>2.2 分值构成与评分标准</w:t>
      </w:r>
    </w:p>
    <w:p>
      <w:pPr>
        <w:tabs>
          <w:tab w:val="left" w:pos="360"/>
          <w:tab w:val="left" w:pos="540"/>
        </w:tabs>
        <w:spacing w:line="276" w:lineRule="auto"/>
        <w:ind w:firstLine="48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分值构成</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）投标报价：</w:t>
      </w:r>
      <w:r>
        <w:rPr>
          <w:rFonts w:hint="eastAsia" w:ascii="宋体" w:hAnsi="宋体" w:cs="宋体"/>
          <w:color w:val="auto"/>
          <w:kern w:val="0"/>
          <w:szCs w:val="21"/>
          <w:highlight w:val="none"/>
        </w:rPr>
        <w:t>见评标办法前附表；</w:t>
      </w:r>
    </w:p>
    <w:p>
      <w:pPr>
        <w:tabs>
          <w:tab w:val="left" w:pos="360"/>
          <w:tab w:val="left" w:pos="540"/>
        </w:tabs>
        <w:spacing w:line="276" w:lineRule="auto"/>
        <w:ind w:firstLine="480"/>
        <w:rPr>
          <w:rFonts w:ascii="宋体" w:hAnsi="宋体" w:cs="宋体"/>
          <w:color w:val="auto"/>
          <w:kern w:val="0"/>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监理大纲</w:t>
      </w:r>
      <w:r>
        <w:rPr>
          <w:rFonts w:hint="eastAsia" w:ascii="宋体" w:hAnsi="宋体"/>
          <w:color w:val="auto"/>
          <w:szCs w:val="21"/>
          <w:highlight w:val="none"/>
        </w:rPr>
        <w:t>：</w:t>
      </w:r>
      <w:r>
        <w:rPr>
          <w:rFonts w:hint="eastAsia" w:ascii="宋体" w:hAnsi="宋体" w:cs="宋体"/>
          <w:color w:val="auto"/>
          <w:kern w:val="0"/>
          <w:szCs w:val="21"/>
          <w:highlight w:val="none"/>
        </w:rPr>
        <w:t>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s="宋体"/>
          <w:color w:val="auto"/>
          <w:kern w:val="0"/>
          <w:szCs w:val="21"/>
          <w:highlight w:val="none"/>
        </w:rPr>
        <w:t>（3）其它因素：见评标办法前附表；</w:t>
      </w:r>
    </w:p>
    <w:p>
      <w:pPr>
        <w:spacing w:line="276" w:lineRule="auto"/>
        <w:ind w:firstLine="424" w:firstLineChars="202"/>
        <w:rPr>
          <w:rFonts w:ascii="宋体" w:hAnsi="宋体" w:cs="宋体"/>
          <w:color w:val="auto"/>
          <w:kern w:val="0"/>
          <w:szCs w:val="21"/>
          <w:highlight w:val="none"/>
        </w:rPr>
      </w:pPr>
      <w:r>
        <w:rPr>
          <w:rFonts w:ascii="宋体" w:hAnsi="宋体" w:cs="宋体"/>
          <w:color w:val="auto"/>
          <w:kern w:val="0"/>
          <w:szCs w:val="21"/>
          <w:highlight w:val="none"/>
        </w:rPr>
        <w:t>2.2.2</w:t>
      </w:r>
      <w:r>
        <w:rPr>
          <w:rFonts w:hint="eastAsia" w:ascii="宋体" w:hAnsi="宋体" w:cs="宋体"/>
          <w:color w:val="auto"/>
          <w:kern w:val="0"/>
          <w:szCs w:val="21"/>
          <w:highlight w:val="none"/>
        </w:rPr>
        <w:t>评标基准值计算</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评标基准值的计算方法：见评标办法前附表。</w:t>
      </w:r>
    </w:p>
    <w:p>
      <w:pPr>
        <w:spacing w:line="276" w:lineRule="auto"/>
        <w:ind w:firstLine="424" w:firstLineChars="202"/>
        <w:rPr>
          <w:rFonts w:ascii="宋体" w:hAnsi="宋体" w:cs="宋体"/>
          <w:color w:val="auto"/>
          <w:kern w:val="0"/>
          <w:szCs w:val="21"/>
          <w:highlight w:val="none"/>
        </w:rPr>
      </w:pPr>
      <w:r>
        <w:rPr>
          <w:rFonts w:ascii="宋体" w:hAnsi="宋体" w:cs="宋体"/>
          <w:color w:val="auto"/>
          <w:kern w:val="0"/>
          <w:szCs w:val="21"/>
          <w:highlight w:val="none"/>
        </w:rPr>
        <w:t>2.2.3</w:t>
      </w:r>
      <w:r>
        <w:rPr>
          <w:rFonts w:hint="eastAsia" w:ascii="宋体" w:hAnsi="宋体" w:cs="宋体"/>
          <w:color w:val="auto"/>
          <w:kern w:val="0"/>
          <w:szCs w:val="21"/>
          <w:highlight w:val="none"/>
        </w:rPr>
        <w:t>投标报价的偏差率计算</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投标报价的计算公式：见评标办法前附表。</w:t>
      </w:r>
    </w:p>
    <w:p>
      <w:pPr>
        <w:spacing w:line="276" w:lineRule="auto"/>
        <w:ind w:firstLine="424" w:firstLineChars="202"/>
        <w:rPr>
          <w:rFonts w:ascii="宋体" w:hAnsi="宋体" w:cs="宋体"/>
          <w:color w:val="auto"/>
          <w:kern w:val="0"/>
          <w:szCs w:val="21"/>
          <w:highlight w:val="none"/>
        </w:rPr>
      </w:pPr>
      <w:r>
        <w:rPr>
          <w:rFonts w:ascii="宋体" w:hAnsi="宋体" w:cs="宋体"/>
          <w:color w:val="auto"/>
          <w:kern w:val="0"/>
          <w:szCs w:val="21"/>
          <w:highlight w:val="none"/>
        </w:rPr>
        <w:t>2.2.4</w:t>
      </w:r>
      <w:r>
        <w:rPr>
          <w:rFonts w:hint="eastAsia" w:ascii="宋体" w:hAnsi="宋体" w:cs="宋体"/>
          <w:color w:val="auto"/>
          <w:kern w:val="0"/>
          <w:szCs w:val="21"/>
          <w:highlight w:val="none"/>
        </w:rPr>
        <w:t>评分标准</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监理大纲</w:t>
      </w:r>
      <w:r>
        <w:rPr>
          <w:rFonts w:hint="eastAsia" w:ascii="宋体" w:hAnsi="宋体" w:cs="宋体"/>
          <w:color w:val="auto"/>
          <w:kern w:val="0"/>
          <w:szCs w:val="21"/>
          <w:highlight w:val="none"/>
        </w:rPr>
        <w:t>评分标准：见评标办法前附表；</w:t>
      </w:r>
    </w:p>
    <w:p>
      <w:pPr>
        <w:spacing w:line="276" w:lineRule="auto"/>
        <w:ind w:firstLine="424" w:firstLineChars="202"/>
        <w:rPr>
          <w:rFonts w:ascii="宋体" w:hAnsi="宋体" w:cs="宋体"/>
          <w:color w:val="auto"/>
          <w:kern w:val="0"/>
          <w:szCs w:val="21"/>
          <w:highlight w:val="none"/>
        </w:rPr>
      </w:pPr>
      <w:r>
        <w:rPr>
          <w:rFonts w:hint="eastAsia" w:ascii="宋体" w:hAnsi="宋体" w:cs="宋体"/>
          <w:color w:val="auto"/>
          <w:kern w:val="0"/>
          <w:szCs w:val="21"/>
          <w:highlight w:val="none"/>
        </w:rPr>
        <w:t>（2）投标报价评分标准：见评标办法前附表；</w:t>
      </w:r>
    </w:p>
    <w:p>
      <w:pPr>
        <w:tabs>
          <w:tab w:val="left" w:pos="360"/>
          <w:tab w:val="left" w:pos="540"/>
        </w:tabs>
        <w:spacing w:line="276" w:lineRule="auto"/>
        <w:ind w:firstLine="480"/>
        <w:rPr>
          <w:rFonts w:ascii="宋体" w:hAnsi="宋体"/>
          <w:color w:val="auto"/>
          <w:szCs w:val="21"/>
          <w:highlight w:val="none"/>
        </w:rPr>
      </w:pPr>
      <w:r>
        <w:rPr>
          <w:rFonts w:hint="eastAsia" w:ascii="宋体" w:hAnsi="宋体" w:cs="宋体"/>
          <w:color w:val="auto"/>
          <w:kern w:val="0"/>
          <w:szCs w:val="21"/>
          <w:highlight w:val="none"/>
        </w:rPr>
        <w:t>（3）其它因素：见评标办法前附表；</w:t>
      </w:r>
    </w:p>
    <w:p>
      <w:pPr>
        <w:tabs>
          <w:tab w:val="left" w:pos="360"/>
          <w:tab w:val="left" w:pos="540"/>
        </w:tabs>
        <w:spacing w:line="276" w:lineRule="auto"/>
        <w:rPr>
          <w:rFonts w:ascii="黑体" w:hAnsi="宋体" w:eastAsia="黑体"/>
          <w:color w:val="auto"/>
          <w:sz w:val="28"/>
          <w:szCs w:val="28"/>
          <w:highlight w:val="none"/>
        </w:rPr>
      </w:pPr>
      <w:r>
        <w:rPr>
          <w:rFonts w:hint="eastAsia" w:ascii="黑体" w:hAnsi="宋体" w:eastAsia="黑体"/>
          <w:color w:val="auto"/>
          <w:sz w:val="28"/>
          <w:szCs w:val="28"/>
          <w:highlight w:val="none"/>
        </w:rPr>
        <w:t>3  评标程序</w:t>
      </w:r>
    </w:p>
    <w:p>
      <w:pPr>
        <w:autoSpaceDE w:val="0"/>
        <w:autoSpaceDN w:val="0"/>
        <w:adjustRightInd w:val="0"/>
        <w:spacing w:line="276" w:lineRule="auto"/>
        <w:jc w:val="left"/>
        <w:rPr>
          <w:rFonts w:ascii="黑体" w:hAnsi="宋体" w:eastAsia="黑体" w:cs="仿宋_GB2312"/>
          <w:color w:val="auto"/>
          <w:kern w:val="0"/>
          <w:sz w:val="24"/>
          <w:highlight w:val="none"/>
        </w:rPr>
      </w:pPr>
      <w:r>
        <w:rPr>
          <w:rFonts w:hint="eastAsia" w:ascii="黑体" w:hAnsi="宋体" w:eastAsia="黑体" w:cs="仿宋_GB2312"/>
          <w:color w:val="auto"/>
          <w:kern w:val="0"/>
          <w:sz w:val="24"/>
          <w:highlight w:val="none"/>
        </w:rPr>
        <w:t>3.1初步评审</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3.1.1 磋商小组依据本章评审办法前附表规定的标准，对</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的响应文件进行初步评审，以确定其是否满足竞争性磋商文件的实质性要求，有一项不符合评审标准的，磋商小组应当认定其响应文件无效。</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lang w:eastAsia="zh-CN"/>
        </w:rPr>
      </w:pPr>
      <w:r>
        <w:rPr>
          <w:rFonts w:hint="eastAsia" w:ascii="宋体" w:hAnsi="宋体" w:eastAsia="宋体" w:cs="仿宋_GB2312"/>
          <w:color w:val="auto"/>
          <w:kern w:val="0"/>
          <w:szCs w:val="21"/>
          <w:highlight w:val="none"/>
        </w:rPr>
        <w:t>3.1.2 磋商报价有算术错误及其他错误的，磋商小组按以下原则要求供应商对磋商报价进行修正</w:t>
      </w:r>
      <w:r>
        <w:rPr>
          <w:rFonts w:hint="eastAsia" w:ascii="宋体" w:hAnsi="宋体" w:eastAsia="宋体" w:cs="仿宋_GB2312"/>
          <w:color w:val="auto"/>
          <w:kern w:val="0"/>
          <w:szCs w:val="21"/>
          <w:highlight w:val="none"/>
          <w:lang w:eastAsia="zh-CN"/>
        </w:rPr>
        <w:t>：</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1）</w:t>
      </w:r>
      <w:r>
        <w:rPr>
          <w:rFonts w:hint="eastAsia" w:ascii="宋体" w:hAnsi="宋体" w:eastAsia="宋体" w:cs="仿宋_GB2312"/>
          <w:color w:val="auto"/>
          <w:kern w:val="0"/>
          <w:szCs w:val="21"/>
          <w:highlight w:val="none"/>
        </w:rPr>
        <w:t>大写金额和小写金额不一致的，以大写金额为准，但大写金额文字存在错误的，应当先对大写金额的文字错误进行澄清、说明或者更正，再行修正。</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2）</w:t>
      </w:r>
      <w:r>
        <w:rPr>
          <w:rFonts w:hint="eastAsia" w:ascii="宋体" w:hAnsi="宋体" w:eastAsia="宋体" w:cs="仿宋_GB2312"/>
          <w:color w:val="auto"/>
          <w:kern w:val="0"/>
          <w:szCs w:val="21"/>
          <w:highlight w:val="none"/>
        </w:rPr>
        <w:t>总价金额与按单价汇总金额不一致的，以单价金额计算结果为准，但</w:t>
      </w:r>
      <w:r>
        <w:rPr>
          <w:rFonts w:hint="eastAsia" w:ascii="宋体" w:hAnsi="宋体" w:eastAsia="宋体" w:cs="仿宋_GB2312"/>
          <w:color w:val="auto"/>
          <w:kern w:val="0"/>
          <w:szCs w:val="21"/>
          <w:highlight w:val="none"/>
          <w:lang w:eastAsia="zh-CN"/>
        </w:rPr>
        <w:t>单</w:t>
      </w:r>
      <w:r>
        <w:rPr>
          <w:rFonts w:hint="eastAsia" w:ascii="宋体" w:hAnsi="宋体" w:eastAsia="宋体" w:cs="仿宋_GB2312"/>
          <w:color w:val="auto"/>
          <w:kern w:val="0"/>
          <w:szCs w:val="21"/>
          <w:highlight w:val="none"/>
        </w:rPr>
        <w:t>价或者单价汇总金额存在数字或者文字错误的，应当先对数字或者文字错误进行澄清、说明或者更正，再行修正。</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3.1.3有下列情形之一的，评标委员会应当否决其投标：</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（1）投标文件未经</w:t>
      </w:r>
      <w:r>
        <w:rPr>
          <w:rFonts w:hint="eastAsia" w:ascii="宋体" w:hAnsi="宋体" w:cs="仿宋_GB2312"/>
          <w:color w:val="auto"/>
          <w:kern w:val="0"/>
          <w:szCs w:val="21"/>
          <w:highlight w:val="none"/>
          <w:lang w:eastAsia="zh-CN"/>
        </w:rPr>
        <w:t>响应单位</w:t>
      </w:r>
      <w:r>
        <w:rPr>
          <w:rFonts w:hint="eastAsia" w:ascii="宋体" w:hAnsi="宋体" w:eastAsia="宋体" w:cs="仿宋_GB2312"/>
          <w:color w:val="auto"/>
          <w:kern w:val="0"/>
          <w:szCs w:val="21"/>
          <w:highlight w:val="none"/>
        </w:rPr>
        <w:t>盖章和单位负责人签字；</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（2）投标联合体没有提交共同投标协议；</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（3）</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不符合国家或者</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文件规定的资格条件；</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（4）同一</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提交两个以上不同的投标文件或者投标报价，但</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文件要求提交备选投标的除外；</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（5）投标报价低于成本或者高于</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文件设定的最高投标限价；</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（6）投标文件没有对</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文件的实质性要求和条件作出响应；</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（7）</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有串通投标、弄虚作假、行贿等违法行为。</w:t>
      </w:r>
    </w:p>
    <w:p>
      <w:pPr>
        <w:pStyle w:val="34"/>
        <w:numPr>
          <w:ilvl w:val="0"/>
          <w:numId w:val="0"/>
        </w:numPr>
        <w:bidi w:val="0"/>
        <w:rPr>
          <w:rFonts w:hint="eastAsia" w:ascii="黑体" w:hAnsi="宋体" w:eastAsia="黑体" w:cs="黑体"/>
          <w:color w:val="auto"/>
          <w:kern w:val="0"/>
          <w:sz w:val="24"/>
          <w:highlight w:val="none"/>
        </w:rPr>
      </w:pPr>
      <w:r>
        <w:rPr>
          <w:rFonts w:hint="eastAsia" w:ascii="黑体" w:hAnsi="宋体" w:eastAsia="黑体" w:cs="黑体"/>
          <w:color w:val="auto"/>
          <w:kern w:val="0"/>
          <w:sz w:val="24"/>
          <w:highlight w:val="none"/>
        </w:rPr>
        <w:t>3.2 详细评审</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3.2.1、</w:t>
      </w:r>
      <w:r>
        <w:rPr>
          <w:rFonts w:hint="eastAsia" w:ascii="宋体" w:hAnsi="宋体" w:eastAsia="宋体" w:cs="仿宋_GB2312"/>
          <w:color w:val="auto"/>
          <w:kern w:val="0"/>
          <w:szCs w:val="21"/>
          <w:highlight w:val="none"/>
        </w:rPr>
        <w:t>磋商小组集中与单一供应商分别进行磋商。磋商顺序按电子响应文件到达交易系统的顺序，在磋商中，磋商双方可以就磋商项目所涉及的价格、技术、服务、合同草案条款等进行实质性磋商，但磋商的任何一方不得透露与磋商有关的其他供应商的商业秘密、技术资料、价格和其他信息。</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3.2.2、</w:t>
      </w:r>
      <w:r>
        <w:rPr>
          <w:rFonts w:hint="eastAsia" w:ascii="宋体" w:hAnsi="宋体" w:eastAsia="宋体" w:cs="仿宋_GB2312"/>
          <w:color w:val="auto"/>
          <w:kern w:val="0"/>
          <w:szCs w:val="21"/>
          <w:highlight w:val="none"/>
        </w:rPr>
        <w:t>在磋商过程中，磋商小组可以根据竞争性磋商文件和磋商情况实质性变动采购需求中的技术、服务要求以及合同草案条款，但不得变动竞争性磋商文件中的其他内容。实质性变动的内容，须经采购人代表确认。</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3.2.3、</w:t>
      </w:r>
      <w:r>
        <w:rPr>
          <w:rFonts w:hint="eastAsia" w:ascii="宋体" w:hAnsi="宋体" w:eastAsia="宋体" w:cs="仿宋_GB2312"/>
          <w:color w:val="auto"/>
          <w:kern w:val="0"/>
          <w:szCs w:val="21"/>
          <w:highlight w:val="none"/>
        </w:rPr>
        <w:t>对竞争性磋商文件作出的实质性变动是竞争性磋商文件的有效组成部分，磋商小组应当同时通知所有参加磋商的</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3.2.4、</w:t>
      </w:r>
      <w:r>
        <w:rPr>
          <w:rFonts w:hint="eastAsia" w:ascii="宋体" w:hAnsi="宋体" w:eastAsia="宋体" w:cs="仿宋_GB2312"/>
          <w:color w:val="auto"/>
          <w:kern w:val="0"/>
          <w:szCs w:val="21"/>
          <w:highlight w:val="none"/>
        </w:rPr>
        <w:t>所有</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磋商结束后，磋商小组将要求所有符合</w:t>
      </w:r>
      <w:r>
        <w:rPr>
          <w:rFonts w:hint="eastAsia" w:ascii="宋体" w:hAnsi="宋体" w:eastAsia="宋体" w:cs="仿宋_GB2312"/>
          <w:color w:val="auto"/>
          <w:kern w:val="0"/>
          <w:szCs w:val="21"/>
          <w:highlight w:val="none"/>
          <w:lang w:eastAsia="zh-CN"/>
        </w:rPr>
        <w:t>磋商</w:t>
      </w:r>
      <w:r>
        <w:rPr>
          <w:rFonts w:hint="eastAsia" w:ascii="宋体" w:hAnsi="宋体" w:eastAsia="宋体" w:cs="仿宋_GB2312"/>
          <w:color w:val="auto"/>
          <w:kern w:val="0"/>
          <w:szCs w:val="21"/>
          <w:highlight w:val="none"/>
        </w:rPr>
        <w:t>需求的</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在规定的时间内同时进行报价（二次报价），即最终报价。最后报价（二轮报价）是</w:t>
      </w:r>
      <w:r>
        <w:rPr>
          <w:rFonts w:hint="eastAsia" w:ascii="宋体" w:hAnsi="宋体" w:cs="仿宋_GB2312"/>
          <w:color w:val="auto"/>
          <w:kern w:val="0"/>
          <w:szCs w:val="21"/>
          <w:highlight w:val="none"/>
          <w:lang w:eastAsia="zh-CN"/>
        </w:rPr>
        <w:t>响应人</w:t>
      </w:r>
      <w:r>
        <w:rPr>
          <w:rFonts w:hint="eastAsia" w:ascii="宋体" w:hAnsi="宋体" w:eastAsia="宋体" w:cs="仿宋_GB2312"/>
          <w:color w:val="auto"/>
          <w:kern w:val="0"/>
          <w:szCs w:val="21"/>
          <w:highlight w:val="none"/>
        </w:rPr>
        <w:t>响应文件的有效组成部分【注：1、最后报价不得超出第一轮报价和</w:t>
      </w:r>
      <w:r>
        <w:rPr>
          <w:rFonts w:hint="eastAsia" w:ascii="宋体" w:hAnsi="宋体" w:eastAsia="宋体" w:cs="仿宋_GB2312"/>
          <w:color w:val="auto"/>
          <w:kern w:val="0"/>
          <w:szCs w:val="21"/>
          <w:highlight w:val="none"/>
          <w:lang w:eastAsia="zh-CN"/>
        </w:rPr>
        <w:t>控制</w:t>
      </w:r>
      <w:r>
        <w:rPr>
          <w:rFonts w:hint="eastAsia" w:ascii="宋体" w:hAnsi="宋体" w:eastAsia="宋体" w:cs="仿宋_GB2312"/>
          <w:color w:val="auto"/>
          <w:kern w:val="0"/>
          <w:szCs w:val="21"/>
          <w:highlight w:val="none"/>
        </w:rPr>
        <w:t>价；2、最后报价明显低于成本价的，供应商需做出合理说明，否则将承担不被接受的风险】。</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lang w:val="en-US" w:eastAsia="zh-CN"/>
        </w:rPr>
      </w:pPr>
      <w:r>
        <w:rPr>
          <w:rFonts w:hint="eastAsia" w:ascii="宋体" w:hAnsi="宋体" w:eastAsia="宋体" w:cs="仿宋_GB2312"/>
          <w:color w:val="auto"/>
          <w:kern w:val="0"/>
          <w:szCs w:val="21"/>
          <w:highlight w:val="none"/>
          <w:lang w:val="en-US" w:eastAsia="zh-CN"/>
        </w:rPr>
        <w:t>3.2.5、</w:t>
      </w:r>
      <w:r>
        <w:rPr>
          <w:rFonts w:hint="eastAsia" w:ascii="宋体" w:hAnsi="宋体" w:cs="仿宋_GB2312"/>
          <w:color w:val="auto"/>
          <w:kern w:val="0"/>
          <w:szCs w:val="21"/>
          <w:highlight w:val="none"/>
          <w:lang w:val="en-US" w:eastAsia="zh-CN"/>
        </w:rPr>
        <w:t>响应人</w:t>
      </w:r>
      <w:r>
        <w:rPr>
          <w:rFonts w:hint="eastAsia" w:ascii="宋体" w:hAnsi="宋体" w:eastAsia="宋体" w:cs="仿宋_GB2312"/>
          <w:color w:val="auto"/>
          <w:kern w:val="0"/>
          <w:szCs w:val="21"/>
          <w:highlight w:val="none"/>
          <w:lang w:val="en-US" w:eastAsia="zh-CN"/>
        </w:rPr>
        <w:t>通过初步评审后，方可进行第二次报价，第一次报价为磋商响应文件中的报价，第二次报价为最终报价，按第二次报价计算</w:t>
      </w:r>
      <w:r>
        <w:rPr>
          <w:rFonts w:hint="eastAsia" w:ascii="宋体" w:hAnsi="宋体" w:cs="仿宋_GB2312"/>
          <w:color w:val="auto"/>
          <w:kern w:val="0"/>
          <w:szCs w:val="21"/>
          <w:highlight w:val="none"/>
          <w:lang w:val="en-US" w:eastAsia="zh-CN"/>
        </w:rPr>
        <w:t>响应人</w:t>
      </w:r>
      <w:r>
        <w:rPr>
          <w:rFonts w:hint="eastAsia" w:ascii="宋体" w:hAnsi="宋体" w:eastAsia="宋体" w:cs="仿宋_GB2312"/>
          <w:color w:val="auto"/>
          <w:kern w:val="0"/>
          <w:szCs w:val="21"/>
          <w:highlight w:val="none"/>
          <w:lang w:val="en-US" w:eastAsia="zh-CN"/>
        </w:rPr>
        <w:t>的报价得分。</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lang w:val="en-US" w:eastAsia="zh-CN"/>
        </w:rPr>
        <w:t>3.2.6、</w:t>
      </w:r>
      <w:r>
        <w:rPr>
          <w:rFonts w:hint="eastAsia" w:ascii="宋体" w:hAnsi="宋体" w:eastAsia="宋体" w:cs="仿宋_GB2312"/>
          <w:color w:val="auto"/>
          <w:kern w:val="0"/>
          <w:szCs w:val="21"/>
          <w:highlight w:val="none"/>
        </w:rPr>
        <w:t>情况特殊,经磋商小组根据磋商现场情况，可以要求供应商适当进行多轮报价。</w:t>
      </w:r>
    </w:p>
    <w:p>
      <w:pPr>
        <w:autoSpaceDE w:val="0"/>
        <w:autoSpaceDN w:val="0"/>
        <w:adjustRightInd w:val="0"/>
        <w:spacing w:line="400" w:lineRule="exact"/>
        <w:ind w:firstLine="611" w:firstLineChars="291"/>
        <w:jc w:val="left"/>
        <w:rPr>
          <w:rFonts w:hint="eastAsia" w:ascii="宋体" w:hAnsi="宋体" w:eastAsia="宋体" w:cs="仿宋_GB2312"/>
          <w:color w:val="auto"/>
          <w:kern w:val="0"/>
          <w:szCs w:val="21"/>
          <w:highlight w:val="none"/>
          <w:lang w:val="en-US" w:eastAsia="zh-CN"/>
        </w:rPr>
      </w:pPr>
      <w:r>
        <w:rPr>
          <w:rFonts w:hint="eastAsia" w:ascii="宋体" w:hAnsi="宋体" w:eastAsia="宋体" w:cs="仿宋_GB2312"/>
          <w:color w:val="auto"/>
          <w:kern w:val="0"/>
          <w:szCs w:val="21"/>
          <w:highlight w:val="none"/>
          <w:lang w:val="en-US" w:eastAsia="zh-CN"/>
        </w:rPr>
        <w:t>3.2.7、经磋商确定最终采购需求和提交最后报价的</w:t>
      </w:r>
      <w:r>
        <w:rPr>
          <w:rFonts w:hint="eastAsia" w:ascii="宋体" w:hAnsi="宋体" w:cs="仿宋_GB2312"/>
          <w:color w:val="auto"/>
          <w:kern w:val="0"/>
          <w:szCs w:val="21"/>
          <w:highlight w:val="none"/>
          <w:lang w:val="en-US" w:eastAsia="zh-CN"/>
        </w:rPr>
        <w:t>响应人</w:t>
      </w:r>
      <w:r>
        <w:rPr>
          <w:rFonts w:hint="eastAsia" w:ascii="宋体" w:hAnsi="宋体" w:eastAsia="宋体" w:cs="仿宋_GB2312"/>
          <w:color w:val="auto"/>
          <w:kern w:val="0"/>
          <w:szCs w:val="21"/>
          <w:highlight w:val="none"/>
          <w:lang w:val="en-US" w:eastAsia="zh-CN"/>
        </w:rPr>
        <w:t>后，由磋商小组采用综合评分法对提交最后报价的</w:t>
      </w:r>
      <w:r>
        <w:rPr>
          <w:rFonts w:hint="eastAsia" w:ascii="宋体" w:hAnsi="宋体" w:cs="仿宋_GB2312"/>
          <w:color w:val="auto"/>
          <w:kern w:val="0"/>
          <w:szCs w:val="21"/>
          <w:highlight w:val="none"/>
          <w:lang w:val="en-US" w:eastAsia="zh-CN"/>
        </w:rPr>
        <w:t>响应人</w:t>
      </w:r>
      <w:r>
        <w:rPr>
          <w:rFonts w:hint="eastAsia" w:ascii="宋体" w:hAnsi="宋体" w:eastAsia="宋体" w:cs="仿宋_GB2312"/>
          <w:color w:val="auto"/>
          <w:kern w:val="0"/>
          <w:szCs w:val="21"/>
          <w:highlight w:val="none"/>
          <w:lang w:val="en-US" w:eastAsia="zh-CN"/>
        </w:rPr>
        <w:t>的响应文件和最后报价进行综合评分，按综合得分由高到低的顺序推荐3名成交候选人，由磋商小组在磋商记录上签字。</w:t>
      </w:r>
    </w:p>
    <w:p>
      <w:pPr>
        <w:spacing w:line="400" w:lineRule="exact"/>
        <w:rPr>
          <w:rFonts w:ascii="黑体" w:hAnsi="宋体" w:eastAsia="黑体" w:cs="黑体"/>
          <w:color w:val="auto"/>
          <w:kern w:val="0"/>
          <w:sz w:val="24"/>
          <w:highlight w:val="none"/>
        </w:rPr>
      </w:pPr>
      <w:r>
        <w:rPr>
          <w:rFonts w:hint="eastAsia" w:ascii="黑体" w:hAnsi="宋体" w:eastAsia="黑体" w:cs="黑体"/>
          <w:color w:val="auto"/>
          <w:kern w:val="0"/>
          <w:sz w:val="24"/>
          <w:highlight w:val="none"/>
        </w:rPr>
        <w:t>3.3 投标文件的澄清和补正</w:t>
      </w:r>
    </w:p>
    <w:p>
      <w:pPr>
        <w:autoSpaceDE w:val="0"/>
        <w:autoSpaceDN w:val="0"/>
        <w:adjustRightInd w:val="0"/>
        <w:spacing w:line="400" w:lineRule="exact"/>
        <w:ind w:firstLine="611" w:firstLineChars="291"/>
        <w:jc w:val="left"/>
        <w:rPr>
          <w:rFonts w:ascii="宋体" w:hAnsi="宋体" w:cs="仿宋_GB2312"/>
          <w:color w:val="auto"/>
          <w:kern w:val="0"/>
          <w:szCs w:val="21"/>
          <w:highlight w:val="none"/>
        </w:rPr>
      </w:pPr>
      <w:r>
        <w:rPr>
          <w:rFonts w:ascii="宋体" w:hAnsi="宋体" w:cs="仿宋_GB2312"/>
          <w:color w:val="auto"/>
          <w:kern w:val="0"/>
          <w:szCs w:val="21"/>
          <w:highlight w:val="none"/>
        </w:rPr>
        <w:t>3.3.1</w:t>
      </w:r>
      <w:r>
        <w:rPr>
          <w:rFonts w:hint="eastAsia" w:ascii="宋体" w:hAnsi="宋体" w:cs="仿宋_GB2312"/>
          <w:color w:val="auto"/>
          <w:kern w:val="0"/>
          <w:szCs w:val="21"/>
          <w:highlight w:val="none"/>
        </w:rPr>
        <w:t>在评标过程中，评标委员会可以</w:t>
      </w:r>
      <w:r>
        <w:rPr>
          <w:rFonts w:hint="eastAsia" w:ascii="宋体" w:hAnsi="宋体" w:cs="仿宋_GB2312"/>
          <w:color w:val="auto"/>
          <w:kern w:val="0"/>
          <w:szCs w:val="21"/>
          <w:highlight w:val="none"/>
          <w:lang w:val="en-US" w:eastAsia="zh-CN"/>
        </w:rPr>
        <w:t>系统线上</w:t>
      </w:r>
      <w:r>
        <w:rPr>
          <w:rFonts w:hint="eastAsia" w:ascii="宋体" w:hAnsi="宋体" w:cs="仿宋_GB2312"/>
          <w:color w:val="auto"/>
          <w:kern w:val="0"/>
          <w:szCs w:val="21"/>
          <w:highlight w:val="none"/>
        </w:rPr>
        <w:t>形式要求</w:t>
      </w:r>
      <w:r>
        <w:rPr>
          <w:rFonts w:hint="eastAsia" w:ascii="宋体" w:hAnsi="宋体" w:cs="仿宋_GB2312"/>
          <w:color w:val="auto"/>
          <w:kern w:val="0"/>
          <w:szCs w:val="21"/>
          <w:highlight w:val="none"/>
          <w:lang w:eastAsia="zh-CN"/>
        </w:rPr>
        <w:t>响应人</w:t>
      </w:r>
      <w:r>
        <w:rPr>
          <w:rFonts w:hint="eastAsia" w:ascii="宋体" w:hAnsi="宋体" w:cs="仿宋_GB2312"/>
          <w:color w:val="auto"/>
          <w:kern w:val="0"/>
          <w:szCs w:val="21"/>
          <w:highlight w:val="none"/>
        </w:rPr>
        <w:t>对所提交投标文件中不明确的内容进行</w:t>
      </w:r>
      <w:r>
        <w:rPr>
          <w:rFonts w:hint="eastAsia" w:ascii="宋体" w:hAnsi="宋体" w:cs="仿宋_GB2312"/>
          <w:color w:val="auto"/>
          <w:kern w:val="0"/>
          <w:szCs w:val="21"/>
          <w:highlight w:val="none"/>
          <w:lang w:val="en-US" w:eastAsia="zh-CN"/>
        </w:rPr>
        <w:t>线上</w:t>
      </w:r>
      <w:r>
        <w:rPr>
          <w:rFonts w:hint="eastAsia" w:ascii="宋体" w:hAnsi="宋体" w:cs="仿宋_GB2312"/>
          <w:color w:val="auto"/>
          <w:kern w:val="0"/>
          <w:szCs w:val="21"/>
          <w:highlight w:val="none"/>
        </w:rPr>
        <w:t>澄清或说明，或者对细微偏差进行补正。评标委员会不接受</w:t>
      </w:r>
      <w:r>
        <w:rPr>
          <w:rFonts w:hint="eastAsia" w:ascii="宋体" w:hAnsi="宋体" w:cs="仿宋_GB2312"/>
          <w:color w:val="auto"/>
          <w:kern w:val="0"/>
          <w:szCs w:val="21"/>
          <w:highlight w:val="none"/>
          <w:lang w:eastAsia="zh-CN"/>
        </w:rPr>
        <w:t>响应人</w:t>
      </w:r>
      <w:r>
        <w:rPr>
          <w:rFonts w:hint="eastAsia" w:ascii="宋体" w:hAnsi="宋体" w:cs="仿宋_GB2312"/>
          <w:color w:val="auto"/>
          <w:kern w:val="0"/>
          <w:szCs w:val="21"/>
          <w:highlight w:val="none"/>
        </w:rPr>
        <w:t>主动提出的澄清、说明或补正。</w:t>
      </w:r>
    </w:p>
    <w:p>
      <w:pPr>
        <w:autoSpaceDE w:val="0"/>
        <w:autoSpaceDN w:val="0"/>
        <w:adjustRightInd w:val="0"/>
        <w:spacing w:line="400" w:lineRule="exact"/>
        <w:ind w:firstLine="611" w:firstLineChars="291"/>
        <w:jc w:val="left"/>
        <w:rPr>
          <w:rFonts w:ascii="宋体" w:hAnsi="宋体" w:cs="仿宋_GB2312"/>
          <w:color w:val="auto"/>
          <w:kern w:val="0"/>
          <w:szCs w:val="21"/>
          <w:highlight w:val="none"/>
        </w:rPr>
      </w:pPr>
      <w:r>
        <w:rPr>
          <w:rFonts w:ascii="宋体" w:hAnsi="宋体" w:cs="仿宋_GB2312"/>
          <w:color w:val="auto"/>
          <w:kern w:val="0"/>
          <w:szCs w:val="21"/>
          <w:highlight w:val="none"/>
        </w:rPr>
        <w:t>3.3.2</w:t>
      </w:r>
      <w:r>
        <w:rPr>
          <w:rFonts w:hint="eastAsia" w:ascii="宋体" w:hAnsi="宋体" w:cs="仿宋_GB2312"/>
          <w:color w:val="auto"/>
          <w:kern w:val="0"/>
          <w:szCs w:val="21"/>
          <w:highlight w:val="none"/>
        </w:rPr>
        <w:t>澄清、说明和补正不得改变投标文件的实质性内容（算术性错误修正的除外）。</w:t>
      </w:r>
      <w:r>
        <w:rPr>
          <w:rFonts w:hint="eastAsia" w:ascii="宋体" w:hAnsi="宋体" w:cs="仿宋_GB2312"/>
          <w:color w:val="auto"/>
          <w:kern w:val="0"/>
          <w:szCs w:val="21"/>
          <w:highlight w:val="none"/>
          <w:lang w:eastAsia="zh-CN"/>
        </w:rPr>
        <w:t>响应人</w:t>
      </w:r>
      <w:r>
        <w:rPr>
          <w:rFonts w:hint="eastAsia" w:ascii="宋体" w:hAnsi="宋体" w:cs="仿宋_GB2312"/>
          <w:color w:val="auto"/>
          <w:kern w:val="0"/>
          <w:szCs w:val="21"/>
          <w:highlight w:val="none"/>
        </w:rPr>
        <w:t>的澄清、说明和补正属于投标文件的组成部分。</w:t>
      </w:r>
    </w:p>
    <w:p>
      <w:pPr>
        <w:autoSpaceDE w:val="0"/>
        <w:autoSpaceDN w:val="0"/>
        <w:adjustRightInd w:val="0"/>
        <w:spacing w:line="400" w:lineRule="exact"/>
        <w:ind w:firstLine="611" w:firstLineChars="291"/>
        <w:jc w:val="left"/>
        <w:rPr>
          <w:rFonts w:ascii="宋体" w:hAnsi="宋体" w:cs="仿宋_GB2312"/>
          <w:color w:val="auto"/>
          <w:kern w:val="0"/>
          <w:szCs w:val="21"/>
          <w:highlight w:val="none"/>
        </w:rPr>
      </w:pPr>
      <w:r>
        <w:rPr>
          <w:rFonts w:ascii="宋体" w:hAnsi="宋体" w:cs="仿宋_GB2312"/>
          <w:color w:val="auto"/>
          <w:kern w:val="0"/>
          <w:szCs w:val="21"/>
          <w:highlight w:val="none"/>
        </w:rPr>
        <w:t>3.3.3</w:t>
      </w:r>
      <w:r>
        <w:rPr>
          <w:rFonts w:hint="eastAsia" w:ascii="宋体" w:hAnsi="宋体" w:cs="仿宋_GB2312"/>
          <w:color w:val="auto"/>
          <w:kern w:val="0"/>
          <w:szCs w:val="21"/>
          <w:highlight w:val="none"/>
        </w:rPr>
        <w:t>评标委员会对</w:t>
      </w:r>
      <w:r>
        <w:rPr>
          <w:rFonts w:hint="eastAsia" w:ascii="宋体" w:hAnsi="宋体" w:cs="仿宋_GB2312"/>
          <w:color w:val="auto"/>
          <w:kern w:val="0"/>
          <w:szCs w:val="21"/>
          <w:highlight w:val="none"/>
          <w:lang w:eastAsia="zh-CN"/>
        </w:rPr>
        <w:t>响应人</w:t>
      </w:r>
      <w:r>
        <w:rPr>
          <w:rFonts w:hint="eastAsia" w:ascii="宋体" w:hAnsi="宋体" w:cs="仿宋_GB2312"/>
          <w:color w:val="auto"/>
          <w:kern w:val="0"/>
          <w:szCs w:val="21"/>
          <w:highlight w:val="none"/>
        </w:rPr>
        <w:t>提交的澄清、说明或补正有疑问的，可以要求</w:t>
      </w:r>
      <w:r>
        <w:rPr>
          <w:rFonts w:hint="eastAsia" w:ascii="宋体" w:hAnsi="宋体" w:cs="仿宋_GB2312"/>
          <w:color w:val="auto"/>
          <w:kern w:val="0"/>
          <w:szCs w:val="21"/>
          <w:highlight w:val="none"/>
          <w:lang w:eastAsia="zh-CN"/>
        </w:rPr>
        <w:t>响应人</w:t>
      </w:r>
      <w:r>
        <w:rPr>
          <w:rFonts w:hint="eastAsia" w:ascii="宋体" w:hAnsi="宋体" w:cs="仿宋_GB2312"/>
          <w:color w:val="auto"/>
          <w:kern w:val="0"/>
          <w:szCs w:val="21"/>
          <w:highlight w:val="none"/>
        </w:rPr>
        <w:t>进一步澄清、说明或补正，直至满足评标委员会的要求。</w:t>
      </w:r>
    </w:p>
    <w:p>
      <w:pPr>
        <w:pStyle w:val="3"/>
        <w:spacing w:line="240" w:lineRule="auto"/>
        <w:ind w:right="22"/>
        <w:jc w:val="left"/>
        <w:rPr>
          <w:rFonts w:hint="eastAsia" w:ascii="宋体" w:hAnsi="宋体" w:eastAsia="宋体" w:cs="宋体"/>
          <w:b w:val="0"/>
          <w:bCs w:val="0"/>
          <w:color w:val="auto"/>
          <w:sz w:val="24"/>
          <w:szCs w:val="24"/>
          <w:highlight w:val="none"/>
        </w:rPr>
      </w:pPr>
      <w:r>
        <w:rPr>
          <w:rFonts w:hint="eastAsia" w:ascii="黑体" w:hAnsi="宋体" w:eastAsia="黑体"/>
          <w:color w:val="auto"/>
          <w:sz w:val="24"/>
          <w:highlight w:val="none"/>
        </w:rPr>
        <w:t>3.4 评标结果</w:t>
      </w:r>
      <w:bookmarkStart w:id="68" w:name="_TOC_250001"/>
      <w:bookmarkEnd w:id="68"/>
      <w:bookmarkStart w:id="69" w:name="_TOC_250003"/>
      <w:bookmarkEnd w:id="69"/>
    </w:p>
    <w:p>
      <w:pPr>
        <w:tabs>
          <w:tab w:val="left" w:pos="360"/>
          <w:tab w:val="left" w:pos="540"/>
        </w:tabs>
        <w:spacing w:line="400" w:lineRule="exact"/>
        <w:ind w:firstLine="478" w:firstLineChars="228"/>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3.4.1除</w:t>
      </w:r>
      <w:r>
        <w:rPr>
          <w:rFonts w:hint="eastAsia" w:ascii="宋体" w:hAnsi="宋体" w:cs="Times New Roman"/>
          <w:color w:val="auto"/>
          <w:szCs w:val="21"/>
          <w:highlight w:val="none"/>
          <w:lang w:eastAsia="zh-CN"/>
        </w:rPr>
        <w:t>采购人</w:t>
      </w:r>
      <w:r>
        <w:rPr>
          <w:rFonts w:hint="eastAsia" w:ascii="宋体" w:hAnsi="宋体" w:eastAsia="宋体" w:cs="Times New Roman"/>
          <w:color w:val="auto"/>
          <w:szCs w:val="21"/>
          <w:highlight w:val="none"/>
        </w:rPr>
        <w:t>授权直接确定成交人外，按照评审得分由高到低顺序推荐</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rPr>
        <w:t>名成交候选供应商，评审得分相同的，按照最后报价由低到高的顺序推荐。评审得分且最后报价相同的，按照技术指标优劣顺序推荐，并编写评审报告。</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3.4.2</w:t>
      </w:r>
      <w:r>
        <w:rPr>
          <w:rFonts w:hint="eastAsia" w:ascii="宋体" w:hAnsi="宋体"/>
          <w:color w:val="auto"/>
          <w:szCs w:val="21"/>
          <w:highlight w:val="none"/>
          <w:lang w:eastAsia="zh-CN"/>
        </w:rPr>
        <w:t>采购人</w:t>
      </w:r>
      <w:r>
        <w:rPr>
          <w:rFonts w:hint="eastAsia" w:ascii="宋体" w:hAnsi="宋体"/>
          <w:color w:val="auto"/>
          <w:szCs w:val="21"/>
          <w:highlight w:val="none"/>
        </w:rPr>
        <w:t>应当自收到评标报告之日起</w:t>
      </w:r>
      <w:r>
        <w:rPr>
          <w:rFonts w:hint="eastAsia" w:ascii="宋体" w:hAnsi="宋体"/>
          <w:color w:val="auto"/>
          <w:szCs w:val="21"/>
          <w:highlight w:val="none"/>
          <w:lang w:val="en-US" w:eastAsia="zh-CN"/>
        </w:rPr>
        <w:t>2</w:t>
      </w:r>
      <w:r>
        <w:rPr>
          <w:rFonts w:hint="eastAsia" w:ascii="宋体" w:hAnsi="宋体"/>
          <w:color w:val="auto"/>
          <w:szCs w:val="21"/>
          <w:highlight w:val="none"/>
        </w:rPr>
        <w:t>日内公示中标候选人，公示期不得少于</w:t>
      </w:r>
      <w:r>
        <w:rPr>
          <w:rFonts w:hint="eastAsia" w:ascii="宋体" w:hAnsi="宋体"/>
          <w:color w:val="auto"/>
          <w:szCs w:val="21"/>
          <w:highlight w:val="none"/>
          <w:lang w:val="en-US" w:eastAsia="zh-CN"/>
        </w:rPr>
        <w:t>1</w:t>
      </w:r>
      <w:r>
        <w:rPr>
          <w:rFonts w:hint="eastAsia" w:ascii="宋体" w:hAnsi="宋体"/>
          <w:color w:val="auto"/>
          <w:szCs w:val="21"/>
          <w:highlight w:val="none"/>
        </w:rPr>
        <w:t>日。</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3.4.3评标报告应当由评标委员会全体成员签字。对评标结果有不同意见的评标委员会成员应当以书面形式说明其不同意见和理由，评标报告应当同时注明。评标委员会成员拒绝在评标报告上签字又不书面说明其不同意见和理由的，视为同意评标结果。</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3.4.4</w:t>
      </w:r>
      <w:r>
        <w:rPr>
          <w:rFonts w:hint="eastAsia" w:ascii="宋体" w:hAnsi="宋体"/>
          <w:color w:val="auto"/>
          <w:szCs w:val="21"/>
          <w:highlight w:val="none"/>
          <w:lang w:eastAsia="zh-CN"/>
        </w:rPr>
        <w:t>响应人</w:t>
      </w:r>
      <w:r>
        <w:rPr>
          <w:rFonts w:hint="eastAsia" w:ascii="宋体" w:hAnsi="宋体"/>
          <w:color w:val="auto"/>
          <w:szCs w:val="21"/>
          <w:highlight w:val="none"/>
        </w:rPr>
        <w:t>或者其他利害关系人对评标结果有异议的，应当在中标候选人公示期间提出。</w:t>
      </w:r>
      <w:r>
        <w:rPr>
          <w:rFonts w:hint="eastAsia" w:ascii="宋体" w:hAnsi="宋体"/>
          <w:color w:val="auto"/>
          <w:szCs w:val="21"/>
          <w:highlight w:val="none"/>
          <w:lang w:eastAsia="zh-CN"/>
        </w:rPr>
        <w:t>采购人</w:t>
      </w:r>
      <w:r>
        <w:rPr>
          <w:rFonts w:hint="eastAsia" w:ascii="宋体" w:hAnsi="宋体"/>
          <w:color w:val="auto"/>
          <w:szCs w:val="21"/>
          <w:highlight w:val="none"/>
        </w:rPr>
        <w:t>应当自收到异议之日起3日内作出答复，作出答复前，应当暂停</w:t>
      </w:r>
      <w:r>
        <w:rPr>
          <w:rFonts w:hint="eastAsia" w:ascii="宋体" w:hAnsi="宋体"/>
          <w:color w:val="auto"/>
          <w:szCs w:val="21"/>
          <w:highlight w:val="none"/>
          <w:lang w:eastAsia="zh-CN"/>
        </w:rPr>
        <w:t>磋商</w:t>
      </w:r>
      <w:r>
        <w:rPr>
          <w:rFonts w:hint="eastAsia" w:ascii="宋体" w:hAnsi="宋体"/>
          <w:color w:val="auto"/>
          <w:szCs w:val="21"/>
          <w:highlight w:val="none"/>
        </w:rPr>
        <w:t>投标活动。</w:t>
      </w:r>
    </w:p>
    <w:p>
      <w:pPr>
        <w:tabs>
          <w:tab w:val="left" w:pos="360"/>
          <w:tab w:val="left" w:pos="540"/>
        </w:tabs>
        <w:spacing w:line="400" w:lineRule="exact"/>
        <w:ind w:firstLine="478" w:firstLineChars="228"/>
        <w:rPr>
          <w:rFonts w:ascii="宋体" w:hAnsi="宋体"/>
          <w:color w:val="auto"/>
          <w:szCs w:val="21"/>
          <w:highlight w:val="none"/>
        </w:rPr>
      </w:pPr>
      <w:r>
        <w:rPr>
          <w:rFonts w:hint="eastAsia" w:ascii="宋体" w:hAnsi="宋体"/>
          <w:color w:val="auto"/>
          <w:szCs w:val="21"/>
          <w:highlight w:val="none"/>
        </w:rPr>
        <w:t>3.4.5公示期满后，</w:t>
      </w:r>
      <w:r>
        <w:rPr>
          <w:rFonts w:hint="eastAsia" w:ascii="宋体" w:hAnsi="宋体"/>
          <w:color w:val="auto"/>
          <w:szCs w:val="21"/>
          <w:highlight w:val="none"/>
          <w:lang w:eastAsia="zh-CN"/>
        </w:rPr>
        <w:t>采购人</w:t>
      </w:r>
      <w:r>
        <w:rPr>
          <w:rFonts w:hint="eastAsia" w:ascii="宋体" w:hAnsi="宋体"/>
          <w:color w:val="auto"/>
          <w:szCs w:val="21"/>
          <w:highlight w:val="none"/>
        </w:rPr>
        <w:t>应当确定排名第一的中标候选人为中标人。排名第一的中标候选人放弃中标、因不可抗力不能履行合同、不按照</w:t>
      </w:r>
      <w:r>
        <w:rPr>
          <w:rFonts w:hint="eastAsia" w:ascii="宋体" w:hAnsi="宋体"/>
          <w:color w:val="auto"/>
          <w:szCs w:val="21"/>
          <w:highlight w:val="none"/>
          <w:lang w:eastAsia="zh-CN"/>
        </w:rPr>
        <w:t>磋商</w:t>
      </w:r>
      <w:r>
        <w:rPr>
          <w:rFonts w:hint="eastAsia" w:ascii="宋体" w:hAnsi="宋体"/>
          <w:color w:val="auto"/>
          <w:szCs w:val="21"/>
          <w:highlight w:val="none"/>
        </w:rPr>
        <w:t>文件要求提交履约保证金，或者被查实存在影响中标结果的违法行为等情形，不符合中标条件的，</w:t>
      </w:r>
      <w:r>
        <w:rPr>
          <w:rFonts w:hint="eastAsia" w:ascii="宋体" w:hAnsi="宋体"/>
          <w:color w:val="auto"/>
          <w:szCs w:val="21"/>
          <w:highlight w:val="none"/>
          <w:lang w:eastAsia="zh-CN"/>
        </w:rPr>
        <w:t>采购人</w:t>
      </w:r>
      <w:r>
        <w:rPr>
          <w:rFonts w:hint="eastAsia" w:ascii="宋体" w:hAnsi="宋体"/>
          <w:color w:val="auto"/>
          <w:szCs w:val="21"/>
          <w:highlight w:val="none"/>
        </w:rPr>
        <w:t>可以按照评标委员会提出的中标候选人名单排序依次确定其他中标候选人为中标人。其他中标候选人被发现存在前款情形的，</w:t>
      </w:r>
      <w:r>
        <w:rPr>
          <w:rFonts w:hint="eastAsia" w:ascii="宋体" w:hAnsi="宋体"/>
          <w:color w:val="auto"/>
          <w:szCs w:val="21"/>
          <w:highlight w:val="none"/>
          <w:lang w:eastAsia="zh-CN"/>
        </w:rPr>
        <w:t>采购人</w:t>
      </w:r>
      <w:r>
        <w:rPr>
          <w:rFonts w:hint="eastAsia" w:ascii="宋体" w:hAnsi="宋体"/>
          <w:color w:val="auto"/>
          <w:szCs w:val="21"/>
          <w:highlight w:val="none"/>
        </w:rPr>
        <w:t>应重新</w:t>
      </w:r>
      <w:r>
        <w:rPr>
          <w:rFonts w:hint="eastAsia" w:ascii="宋体" w:hAnsi="宋体"/>
          <w:color w:val="auto"/>
          <w:szCs w:val="21"/>
          <w:highlight w:val="none"/>
          <w:lang w:eastAsia="zh-CN"/>
        </w:rPr>
        <w:t>招标</w:t>
      </w:r>
      <w:r>
        <w:rPr>
          <w:rFonts w:hint="eastAsia" w:ascii="宋体" w:hAnsi="宋体"/>
          <w:color w:val="auto"/>
          <w:szCs w:val="21"/>
          <w:highlight w:val="none"/>
        </w:rPr>
        <w:t>。</w:t>
      </w:r>
      <w:bookmarkEnd w:id="67"/>
      <w:bookmarkStart w:id="70" w:name="_Toc2640"/>
    </w:p>
    <w:p>
      <w:pPr>
        <w:widowControl/>
        <w:jc w:val="left"/>
        <w:rPr>
          <w:b/>
          <w:bCs/>
          <w:color w:val="auto"/>
          <w:kern w:val="44"/>
          <w:sz w:val="36"/>
          <w:szCs w:val="44"/>
          <w:highlight w:val="none"/>
        </w:rPr>
      </w:pPr>
      <w:bookmarkStart w:id="71" w:name="_Toc478314728"/>
      <w:r>
        <w:rPr>
          <w:color w:val="auto"/>
          <w:highlight w:val="none"/>
        </w:rPr>
        <w:br w:type="page"/>
      </w:r>
    </w:p>
    <w:p>
      <w:pPr>
        <w:pStyle w:val="3"/>
        <w:rPr>
          <w:color w:val="auto"/>
          <w:highlight w:val="none"/>
        </w:rPr>
      </w:pPr>
      <w:r>
        <w:rPr>
          <w:rFonts w:hint="eastAsia"/>
          <w:color w:val="auto"/>
          <w:highlight w:val="none"/>
        </w:rPr>
        <w:t>第四章合同条款及格式</w:t>
      </w:r>
      <w:bookmarkEnd w:id="70"/>
      <w:bookmarkEnd w:id="71"/>
    </w:p>
    <w:p>
      <w:pPr>
        <w:rPr>
          <w:color w:val="auto"/>
          <w:highlight w:val="none"/>
        </w:rPr>
      </w:pPr>
    </w:p>
    <w:p>
      <w:pPr>
        <w:rPr>
          <w:color w:val="auto"/>
          <w:highlight w:val="none"/>
        </w:rPr>
      </w:pPr>
    </w:p>
    <w:p>
      <w:pPr>
        <w:ind w:left="3090"/>
        <w:rPr>
          <w:b/>
          <w:sz w:val="36"/>
        </w:rPr>
      </w:pPr>
      <w:r>
        <w:rPr>
          <w:b/>
          <w:sz w:val="36"/>
        </w:rPr>
        <w:t>水利工程施工监理合同书</w:t>
      </w:r>
      <w:r>
        <w:rPr>
          <w:rFonts w:hint="eastAsia"/>
          <w:b/>
          <w:sz w:val="36"/>
        </w:rPr>
        <w:t>（参考）</w:t>
      </w:r>
      <w:r>
        <w:rPr>
          <w:b/>
          <w:w w:val="99"/>
          <w:sz w:val="36"/>
        </w:rPr>
        <w:t xml:space="preserve"> </w:t>
      </w:r>
    </w:p>
    <w:p>
      <w:pPr>
        <w:pStyle w:val="8"/>
        <w:spacing w:before="6"/>
        <w:rPr>
          <w:b/>
          <w:sz w:val="42"/>
        </w:rPr>
      </w:pPr>
    </w:p>
    <w:p>
      <w:pPr>
        <w:spacing w:line="362" w:lineRule="auto"/>
        <w:ind w:left="671" w:right="4847"/>
        <w:rPr>
          <w:sz w:val="24"/>
        </w:rPr>
      </w:pPr>
      <w:r>
        <w:rPr>
          <w:sz w:val="24"/>
        </w:rPr>
        <w:t>委 托  人 ：</w:t>
      </w:r>
    </w:p>
    <w:p>
      <w:pPr>
        <w:spacing w:line="362" w:lineRule="auto"/>
        <w:ind w:right="4847" w:firstLine="480" w:firstLineChars="200"/>
        <w:rPr>
          <w:sz w:val="24"/>
        </w:rPr>
      </w:pPr>
      <w:r>
        <w:rPr>
          <w:sz w:val="24"/>
        </w:rPr>
        <w:t xml:space="preserve"> 监 理  人 : </w:t>
      </w:r>
    </w:p>
    <w:p>
      <w:pPr>
        <w:spacing w:line="362" w:lineRule="auto"/>
        <w:ind w:left="671" w:right="4847"/>
        <w:rPr>
          <w:sz w:val="24"/>
        </w:rPr>
      </w:pPr>
      <w:r>
        <w:rPr>
          <w:sz w:val="24"/>
        </w:rPr>
        <w:t>合同名称：</w:t>
      </w:r>
      <w:r>
        <w:rPr>
          <w:sz w:val="24"/>
          <w:u w:val="single"/>
        </w:rPr>
        <w:t xml:space="preserve">                                  </w:t>
      </w:r>
      <w:r>
        <w:rPr>
          <w:spacing w:val="5"/>
          <w:sz w:val="24"/>
          <w:u w:val="single"/>
        </w:rPr>
        <w:t xml:space="preserve"> </w:t>
      </w:r>
      <w:r>
        <w:rPr>
          <w:sz w:val="24"/>
        </w:rPr>
        <w:t xml:space="preserve"> </w:t>
      </w:r>
    </w:p>
    <w:p>
      <w:pPr>
        <w:spacing w:before="3" w:line="362" w:lineRule="auto"/>
        <w:ind w:left="671" w:right="1454" w:firstLine="570"/>
        <w:rPr>
          <w:sz w:val="24"/>
        </w:rPr>
      </w:pPr>
      <w:r>
        <w:rPr>
          <w:spacing w:val="-15"/>
          <w:sz w:val="24"/>
        </w:rPr>
        <w:t>依据国家有关法律、法规，</w:t>
      </w:r>
      <w:r>
        <w:rPr>
          <w:spacing w:val="-75"/>
          <w:sz w:val="24"/>
          <w:u w:val="single"/>
        </w:rPr>
        <w:t xml:space="preserve">      </w:t>
      </w:r>
      <w:r>
        <w:rPr>
          <w:sz w:val="24"/>
          <w:u w:val="single"/>
        </w:rPr>
        <w:t>（</w:t>
      </w:r>
      <w:r>
        <w:rPr>
          <w:spacing w:val="-3"/>
          <w:sz w:val="24"/>
          <w:u w:val="single"/>
        </w:rPr>
        <w:t>委托人名称</w:t>
      </w:r>
      <w:r>
        <w:rPr>
          <w:spacing w:val="-76"/>
          <w:sz w:val="24"/>
          <w:u w:val="single"/>
        </w:rPr>
        <w:t>）</w:t>
      </w:r>
      <w:r>
        <w:rPr>
          <w:spacing w:val="-75"/>
          <w:sz w:val="24"/>
          <w:u w:val="single"/>
        </w:rPr>
        <w:t xml:space="preserve">       </w:t>
      </w:r>
      <w:r>
        <w:rPr>
          <w:sz w:val="24"/>
          <w:u w:val="single"/>
        </w:rPr>
        <w:t>（</w:t>
      </w:r>
      <w:r>
        <w:rPr>
          <w:sz w:val="24"/>
        </w:rPr>
        <w:t>以下简称委托人</w:t>
      </w:r>
      <w:r>
        <w:rPr>
          <w:spacing w:val="-76"/>
          <w:sz w:val="24"/>
        </w:rPr>
        <w:t>）</w:t>
      </w:r>
      <w:r>
        <w:rPr>
          <w:sz w:val="24"/>
        </w:rPr>
        <w:t>与</w:t>
      </w:r>
      <w:r>
        <w:rPr>
          <w:spacing w:val="10"/>
          <w:sz w:val="24"/>
          <w:u w:val="single"/>
        </w:rPr>
        <w:t xml:space="preserve">       </w:t>
      </w:r>
      <w:r>
        <w:rPr>
          <w:sz w:val="24"/>
          <w:u w:val="single"/>
        </w:rPr>
        <w:t>（</w:t>
      </w:r>
      <w:r>
        <w:rPr>
          <w:rFonts w:hint="eastAsia"/>
          <w:spacing w:val="-149"/>
          <w:sz w:val="24"/>
          <w:u w:val="single"/>
        </w:rPr>
        <w:t xml:space="preserve"> </w:t>
      </w:r>
      <w:r>
        <w:rPr>
          <w:sz w:val="24"/>
        </w:rPr>
        <w:t>以下简称监理人</w:t>
      </w:r>
      <w:r>
        <w:rPr>
          <w:spacing w:val="-98"/>
          <w:sz w:val="24"/>
        </w:rPr>
        <w:t>）</w:t>
      </w:r>
      <w:r>
        <w:rPr>
          <w:spacing w:val="-33"/>
          <w:sz w:val="24"/>
        </w:rPr>
        <w:t>，提供</w:t>
      </w:r>
      <w:r>
        <w:rPr>
          <w:spacing w:val="45"/>
          <w:sz w:val="24"/>
          <w:u w:val="single"/>
        </w:rPr>
        <w:t xml:space="preserve"> </w:t>
      </w:r>
      <w:r>
        <w:rPr>
          <w:sz w:val="24"/>
          <w:u w:val="single"/>
        </w:rPr>
        <w:t>（工程名称</w:t>
      </w:r>
      <w:r>
        <w:rPr>
          <w:spacing w:val="-76"/>
          <w:sz w:val="24"/>
          <w:u w:val="single"/>
        </w:rPr>
        <w:t>）</w:t>
      </w:r>
      <w:r>
        <w:rPr>
          <w:spacing w:val="-18"/>
          <w:sz w:val="24"/>
        </w:rPr>
        <w:t xml:space="preserve"> 工程</w:t>
      </w:r>
      <w:r>
        <w:rPr>
          <w:spacing w:val="45"/>
          <w:sz w:val="24"/>
          <w:u w:val="single"/>
        </w:rPr>
        <w:t xml:space="preserve"> </w:t>
      </w:r>
      <w:r>
        <w:rPr>
          <w:sz w:val="24"/>
          <w:u w:val="single"/>
        </w:rPr>
        <w:t>（监理项目名称）</w:t>
      </w:r>
      <w:r>
        <w:rPr>
          <w:spacing w:val="119"/>
          <w:sz w:val="24"/>
          <w:u w:val="single"/>
        </w:rPr>
        <w:t xml:space="preserve"> </w:t>
      </w:r>
      <w:r>
        <w:rPr>
          <w:spacing w:val="-1"/>
          <w:sz w:val="24"/>
        </w:rPr>
        <w:t>监理服务，经双方协商一致，订立本合同。</w:t>
      </w:r>
      <w:r>
        <w:rPr>
          <w:sz w:val="24"/>
        </w:rPr>
        <w:t xml:space="preserve"> </w:t>
      </w:r>
    </w:p>
    <w:p>
      <w:pPr>
        <w:spacing w:before="157"/>
        <w:ind w:left="1152"/>
        <w:rPr>
          <w:sz w:val="24"/>
        </w:rPr>
      </w:pPr>
      <w:r>
        <w:rPr>
          <w:sz w:val="24"/>
        </w:rPr>
        <w:t xml:space="preserve">（一）工程概况： </w:t>
      </w:r>
    </w:p>
    <w:p>
      <w:pPr>
        <w:spacing w:before="158"/>
        <w:ind w:left="1152"/>
        <w:rPr>
          <w:sz w:val="24"/>
        </w:rPr>
      </w:pPr>
      <w:r>
        <w:rPr>
          <w:spacing w:val="-1"/>
          <w:sz w:val="24"/>
        </w:rPr>
        <w:t>1.</w:t>
      </w:r>
      <w:r>
        <w:rPr>
          <w:sz w:val="24"/>
        </w:rPr>
        <w:t xml:space="preserve">工程名称： </w:t>
      </w:r>
      <w:r>
        <w:rPr>
          <w:spacing w:val="-15"/>
          <w:sz w:val="24"/>
          <w:u w:val="single"/>
        </w:rPr>
        <w:t xml:space="preserve">       </w:t>
      </w:r>
      <w:r>
        <w:rPr>
          <w:spacing w:val="-16"/>
          <w:sz w:val="24"/>
          <w:u w:val="single"/>
        </w:rPr>
        <w:t xml:space="preserve"> </w:t>
      </w:r>
      <w:r>
        <w:rPr>
          <w:spacing w:val="-30"/>
          <w:sz w:val="24"/>
          <w:u w:val="single"/>
        </w:rPr>
        <w:t xml:space="preserve"> </w:t>
      </w:r>
      <w:r>
        <w:rPr>
          <w:spacing w:val="-16"/>
          <w:sz w:val="24"/>
          <w:u w:val="single"/>
        </w:rPr>
        <w:t xml:space="preserve">               </w:t>
      </w:r>
      <w:r>
        <w:rPr>
          <w:spacing w:val="-30"/>
          <w:sz w:val="24"/>
          <w:u w:val="single"/>
        </w:rPr>
        <w:t xml:space="preserve"> </w:t>
      </w:r>
      <w:r>
        <w:rPr>
          <w:spacing w:val="-16"/>
          <w:sz w:val="24"/>
          <w:u w:val="single"/>
        </w:rPr>
        <w:t xml:space="preserve">             </w:t>
      </w:r>
      <w:r>
        <w:rPr>
          <w:spacing w:val="-8"/>
          <w:sz w:val="24"/>
          <w:u w:val="single"/>
        </w:rPr>
        <w:t xml:space="preserve"> </w:t>
      </w:r>
      <w:r>
        <w:rPr>
          <w:sz w:val="24"/>
        </w:rPr>
        <w:t xml:space="preserve"> </w:t>
      </w:r>
    </w:p>
    <w:p>
      <w:pPr>
        <w:spacing w:before="158"/>
        <w:ind w:left="1152"/>
        <w:rPr>
          <w:sz w:val="24"/>
        </w:rPr>
      </w:pPr>
      <w:r>
        <w:rPr>
          <w:spacing w:val="-1"/>
          <w:sz w:val="24"/>
        </w:rPr>
        <w:t>2.</w:t>
      </w:r>
      <w:r>
        <w:rPr>
          <w:sz w:val="24"/>
        </w:rPr>
        <w:t xml:space="preserve">建设地点： </w:t>
      </w:r>
      <w:r>
        <w:rPr>
          <w:spacing w:val="-15"/>
          <w:sz w:val="24"/>
          <w:u w:val="single"/>
        </w:rPr>
        <w:t xml:space="preserve">        </w:t>
      </w:r>
      <w:r>
        <w:rPr>
          <w:spacing w:val="-31"/>
          <w:sz w:val="24"/>
          <w:u w:val="single"/>
        </w:rPr>
        <w:t xml:space="preserve"> </w:t>
      </w:r>
      <w:r>
        <w:rPr>
          <w:spacing w:val="-15"/>
          <w:sz w:val="24"/>
          <w:u w:val="single"/>
        </w:rPr>
        <w:t xml:space="preserve">        </w:t>
      </w:r>
      <w:r>
        <w:rPr>
          <w:spacing w:val="-13"/>
          <w:sz w:val="24"/>
          <w:u w:val="single"/>
        </w:rPr>
        <w:t xml:space="preserve"> </w:t>
      </w:r>
      <w:r>
        <w:rPr>
          <w:sz w:val="24"/>
          <w:u w:val="single"/>
        </w:rPr>
        <w:t xml:space="preserve">                  </w:t>
      </w:r>
      <w:r>
        <w:rPr>
          <w:spacing w:val="3"/>
          <w:sz w:val="24"/>
          <w:u w:val="single"/>
        </w:rPr>
        <w:t xml:space="preserve"> </w:t>
      </w:r>
      <w:r>
        <w:rPr>
          <w:sz w:val="24"/>
        </w:rPr>
        <w:t xml:space="preserve"> </w:t>
      </w:r>
    </w:p>
    <w:p>
      <w:pPr>
        <w:spacing w:before="158"/>
        <w:ind w:left="1152"/>
        <w:rPr>
          <w:sz w:val="24"/>
        </w:rPr>
      </w:pPr>
      <w:r>
        <w:rPr>
          <w:sz w:val="24"/>
        </w:rPr>
        <w:t>3.工程等别（级</w:t>
      </w:r>
      <w:r>
        <w:rPr>
          <w:spacing w:val="-120"/>
          <w:sz w:val="24"/>
        </w:rPr>
        <w:t>）</w:t>
      </w:r>
      <w:r>
        <w:rPr>
          <w:spacing w:val="-1"/>
          <w:sz w:val="24"/>
        </w:rPr>
        <w:t>：</w:t>
      </w:r>
      <w:r>
        <w:rPr>
          <w:sz w:val="24"/>
          <w:u w:val="single"/>
        </w:rPr>
        <w:t xml:space="preserve">                                   </w:t>
      </w:r>
      <w:r>
        <w:rPr>
          <w:spacing w:val="5"/>
          <w:sz w:val="24"/>
          <w:u w:val="single"/>
        </w:rPr>
        <w:t xml:space="preserve"> </w:t>
      </w:r>
      <w:r>
        <w:rPr>
          <w:sz w:val="24"/>
        </w:rPr>
        <w:t xml:space="preserve"> </w:t>
      </w:r>
    </w:p>
    <w:p>
      <w:pPr>
        <w:spacing w:before="158"/>
        <w:ind w:left="1152"/>
        <w:rPr>
          <w:sz w:val="24"/>
        </w:rPr>
      </w:pPr>
      <w:r>
        <w:rPr>
          <w:sz w:val="24"/>
        </w:rPr>
        <w:t>4.工程总投资（人民币，下同</w:t>
      </w:r>
      <w:r>
        <w:rPr>
          <w:spacing w:val="-120"/>
          <w:sz w:val="24"/>
        </w:rPr>
        <w:t>）</w:t>
      </w:r>
      <w:r>
        <w:rPr>
          <w:spacing w:val="-3"/>
          <w:sz w:val="24"/>
        </w:rPr>
        <w:t>：</w:t>
      </w:r>
      <w:r>
        <w:rPr>
          <w:sz w:val="24"/>
          <w:u w:val="single"/>
        </w:rPr>
        <w:t xml:space="preserve">                     </w:t>
      </w:r>
      <w:r>
        <w:rPr>
          <w:sz w:val="24"/>
        </w:rPr>
        <w:t xml:space="preserve">万元 </w:t>
      </w:r>
    </w:p>
    <w:p>
      <w:pPr>
        <w:spacing w:before="158"/>
        <w:ind w:left="1152"/>
        <w:rPr>
          <w:sz w:val="24"/>
        </w:rPr>
      </w:pPr>
      <w:r>
        <w:rPr>
          <w:sz w:val="24"/>
        </w:rPr>
        <w:t>5.工期：</w:t>
      </w:r>
      <w:r>
        <w:rPr>
          <w:w w:val="87"/>
          <w:sz w:val="24"/>
          <w:u w:val="single"/>
        </w:rPr>
        <w:t xml:space="preserve">                                              </w:t>
      </w:r>
      <w:r>
        <w:rPr>
          <w:sz w:val="24"/>
        </w:rPr>
        <w:t xml:space="preserve"> </w:t>
      </w:r>
    </w:p>
    <w:p>
      <w:pPr>
        <w:spacing w:before="158"/>
        <w:ind w:left="1152"/>
        <w:rPr>
          <w:sz w:val="24"/>
        </w:rPr>
      </w:pPr>
      <w:r>
        <w:rPr>
          <w:spacing w:val="-1"/>
          <w:sz w:val="24"/>
        </w:rPr>
        <w:t>（</w:t>
      </w:r>
      <w:r>
        <w:rPr>
          <w:sz w:val="24"/>
        </w:rPr>
        <w:t xml:space="preserve">二）监理范围： </w:t>
      </w:r>
    </w:p>
    <w:p>
      <w:pPr>
        <w:spacing w:before="173"/>
        <w:ind w:left="1152"/>
        <w:rPr>
          <w:sz w:val="24"/>
        </w:rPr>
      </w:pPr>
      <w:r>
        <w:rPr>
          <w:spacing w:val="-1"/>
          <w:sz w:val="24"/>
        </w:rPr>
        <w:t>1.</w:t>
      </w:r>
      <w:r>
        <w:rPr>
          <w:sz w:val="24"/>
        </w:rPr>
        <w:t xml:space="preserve">监理项目名称： </w:t>
      </w:r>
      <w:r>
        <w:rPr>
          <w:sz w:val="24"/>
          <w:u w:val="single"/>
        </w:rPr>
        <w:t xml:space="preserve">                  </w:t>
      </w:r>
      <w:r>
        <w:rPr>
          <w:spacing w:val="3"/>
          <w:sz w:val="24"/>
          <w:u w:val="single"/>
        </w:rPr>
        <w:t xml:space="preserve"> </w:t>
      </w:r>
      <w:r>
        <w:rPr>
          <w:sz w:val="24"/>
          <w:u w:val="single"/>
        </w:rPr>
        <w:t xml:space="preserve">                  </w:t>
      </w:r>
      <w:r>
        <w:rPr>
          <w:spacing w:val="3"/>
          <w:sz w:val="24"/>
          <w:u w:val="single"/>
        </w:rPr>
        <w:t xml:space="preserve"> </w:t>
      </w:r>
      <w:r>
        <w:rPr>
          <w:sz w:val="24"/>
        </w:rPr>
        <w:t xml:space="preserve"> </w:t>
      </w:r>
    </w:p>
    <w:p>
      <w:pPr>
        <w:spacing w:before="158"/>
        <w:ind w:left="1152"/>
        <w:rPr>
          <w:sz w:val="24"/>
        </w:rPr>
      </w:pPr>
      <w:r>
        <w:rPr>
          <w:sz w:val="24"/>
        </w:rPr>
        <w:t xml:space="preserve">2.监理项目内容及主要特性参数： </w:t>
      </w:r>
    </w:p>
    <w:p>
      <w:pPr>
        <w:spacing w:before="158"/>
        <w:ind w:left="1152"/>
        <w:rPr>
          <w:sz w:val="24"/>
        </w:rPr>
      </w:pPr>
      <w:r>
        <w:rPr>
          <w:sz w:val="24"/>
        </w:rPr>
        <w:t>3.监理项目投资：</w:t>
      </w:r>
      <w:r>
        <w:rPr>
          <w:sz w:val="24"/>
          <w:u w:val="single"/>
        </w:rPr>
        <w:t xml:space="preserve">                                        </w:t>
      </w:r>
      <w:r>
        <w:rPr>
          <w:sz w:val="24"/>
        </w:rPr>
        <w:t xml:space="preserve"> </w:t>
      </w:r>
    </w:p>
    <w:p>
      <w:pPr>
        <w:spacing w:before="158"/>
        <w:ind w:left="1152"/>
        <w:rPr>
          <w:sz w:val="24"/>
        </w:rPr>
      </w:pPr>
      <w:r>
        <w:rPr>
          <w:sz w:val="24"/>
        </w:rPr>
        <w:t>4.监理阶段：</w:t>
      </w:r>
      <w:r>
        <w:rPr>
          <w:spacing w:val="119"/>
          <w:sz w:val="24"/>
          <w:u w:val="single"/>
        </w:rPr>
        <w:t xml:space="preserve"> </w:t>
      </w:r>
      <w:r>
        <w:rPr>
          <w:sz w:val="24"/>
          <w:u w:val="single"/>
        </w:rPr>
        <w:t xml:space="preserve">（施工期、保修期） </w:t>
      </w:r>
      <w:r>
        <w:rPr>
          <w:sz w:val="24"/>
        </w:rPr>
        <w:t xml:space="preserve">  </w:t>
      </w:r>
    </w:p>
    <w:p>
      <w:pPr>
        <w:spacing w:before="157"/>
        <w:ind w:left="1152"/>
        <w:rPr>
          <w:sz w:val="24"/>
        </w:rPr>
      </w:pPr>
      <w:r>
        <w:rPr>
          <w:sz w:val="24"/>
        </w:rPr>
        <w:t xml:space="preserve">（三）监理服务内容、期限 </w:t>
      </w:r>
    </w:p>
    <w:p>
      <w:pPr>
        <w:pStyle w:val="38"/>
        <w:numPr>
          <w:ilvl w:val="0"/>
          <w:numId w:val="3"/>
        </w:numPr>
        <w:tabs>
          <w:tab w:val="left" w:pos="1394"/>
        </w:tabs>
        <w:spacing w:before="158"/>
        <w:rPr>
          <w:sz w:val="24"/>
        </w:rPr>
      </w:pPr>
      <w:r>
        <w:rPr>
          <w:spacing w:val="-1"/>
          <w:sz w:val="24"/>
        </w:rPr>
        <w:t>监理服务内容：按专用合同条款约定。</w:t>
      </w:r>
      <w:r>
        <w:rPr>
          <w:sz w:val="24"/>
        </w:rPr>
        <w:t xml:space="preserve"> </w:t>
      </w:r>
    </w:p>
    <w:p>
      <w:pPr>
        <w:pStyle w:val="38"/>
        <w:numPr>
          <w:ilvl w:val="0"/>
          <w:numId w:val="3"/>
        </w:numPr>
        <w:tabs>
          <w:tab w:val="left" w:pos="1394"/>
        </w:tabs>
        <w:spacing w:before="158"/>
        <w:rPr>
          <w:sz w:val="24"/>
        </w:rPr>
      </w:pPr>
      <w:r>
        <w:rPr>
          <w:sz w:val="24"/>
        </w:rPr>
        <w:t xml:space="preserve">监理服务期限： </w:t>
      </w:r>
    </w:p>
    <w:p>
      <w:pPr>
        <w:spacing w:before="158"/>
        <w:ind w:left="1152"/>
        <w:rPr>
          <w:sz w:val="24"/>
        </w:rPr>
      </w:pPr>
      <w:r>
        <w:rPr>
          <w:sz w:val="24"/>
        </w:rPr>
        <w:t>自</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 至</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p>
    <w:p>
      <w:pPr>
        <w:pStyle w:val="8"/>
        <w:spacing w:before="4"/>
        <w:rPr>
          <w:sz w:val="8"/>
        </w:rPr>
      </w:pPr>
    </w:p>
    <w:p>
      <w:pPr>
        <w:spacing w:before="67"/>
        <w:ind w:left="1152"/>
        <w:rPr>
          <w:sz w:val="24"/>
        </w:rPr>
      </w:pPr>
      <w:r>
        <w:rPr>
          <w:sz w:val="24"/>
        </w:rPr>
        <w:t>（四）监理服务酬金</w:t>
      </w:r>
    </w:p>
    <w:p>
      <w:pPr>
        <w:spacing w:before="157" w:line="362" w:lineRule="auto"/>
        <w:ind w:left="671" w:right="523" w:firstLine="480"/>
        <w:rPr>
          <w:sz w:val="24"/>
        </w:rPr>
      </w:pPr>
      <w:r>
        <w:rPr>
          <w:sz w:val="24"/>
        </w:rPr>
        <w:t>监理服务酬金（包括平行检测费等）为（大写</w:t>
      </w:r>
      <w:r>
        <w:rPr>
          <w:spacing w:val="-4"/>
          <w:sz w:val="24"/>
        </w:rPr>
        <w:t>）</w:t>
      </w:r>
      <w:r>
        <w:rPr>
          <w:spacing w:val="-4"/>
          <w:sz w:val="24"/>
          <w:u w:val="single"/>
        </w:rPr>
        <w:t xml:space="preserve">                             </w:t>
      </w:r>
      <w:r>
        <w:rPr>
          <w:spacing w:val="-4"/>
          <w:sz w:val="24"/>
        </w:rPr>
        <w:t xml:space="preserve">       </w:t>
      </w:r>
      <w:r>
        <w:rPr>
          <w:spacing w:val="-1"/>
          <w:sz w:val="24"/>
        </w:rPr>
        <w:t>元，由委托人按专用合同条款约定的方式、时间向监理人支付。</w:t>
      </w:r>
      <w:r>
        <w:rPr>
          <w:w w:val="87"/>
          <w:sz w:val="24"/>
        </w:rPr>
        <w:t xml:space="preserve"> </w:t>
      </w:r>
    </w:p>
    <w:p>
      <w:pPr>
        <w:spacing w:before="3"/>
        <w:ind w:left="1152"/>
        <w:rPr>
          <w:sz w:val="24"/>
        </w:rPr>
      </w:pPr>
      <w:r>
        <w:rPr>
          <w:sz w:val="24"/>
        </w:rPr>
        <w:t xml:space="preserve">（五）监理合同的组成文件及解释顺序 </w:t>
      </w:r>
    </w:p>
    <w:p>
      <w:pPr>
        <w:pStyle w:val="38"/>
        <w:numPr>
          <w:ilvl w:val="0"/>
          <w:numId w:val="4"/>
        </w:numPr>
        <w:tabs>
          <w:tab w:val="left" w:pos="1394"/>
        </w:tabs>
        <w:spacing w:before="36"/>
        <w:rPr>
          <w:sz w:val="24"/>
        </w:rPr>
      </w:pPr>
      <w:r>
        <w:rPr>
          <w:sz w:val="24"/>
        </w:rPr>
        <w:t>监理合同书（含补充协议</w:t>
      </w:r>
      <w:r>
        <w:rPr>
          <w:spacing w:val="-120"/>
          <w:sz w:val="24"/>
        </w:rPr>
        <w:t>）</w:t>
      </w:r>
      <w:r>
        <w:rPr>
          <w:spacing w:val="-2"/>
          <w:sz w:val="24"/>
        </w:rPr>
        <w:t>；</w:t>
      </w:r>
    </w:p>
    <w:p>
      <w:pPr>
        <w:pStyle w:val="38"/>
        <w:numPr>
          <w:ilvl w:val="0"/>
          <w:numId w:val="4"/>
        </w:numPr>
        <w:tabs>
          <w:tab w:val="left" w:pos="1394"/>
        </w:tabs>
        <w:spacing w:before="36"/>
        <w:rPr>
          <w:sz w:val="24"/>
        </w:rPr>
      </w:pPr>
      <w:r>
        <w:rPr>
          <w:spacing w:val="-1"/>
          <w:sz w:val="24"/>
        </w:rPr>
        <w:t xml:space="preserve">中标通知书； </w:t>
      </w:r>
    </w:p>
    <w:p>
      <w:pPr>
        <w:pStyle w:val="38"/>
        <w:numPr>
          <w:ilvl w:val="0"/>
          <w:numId w:val="4"/>
        </w:numPr>
        <w:tabs>
          <w:tab w:val="left" w:pos="1394"/>
        </w:tabs>
        <w:spacing w:before="158"/>
        <w:rPr>
          <w:sz w:val="24"/>
        </w:rPr>
      </w:pPr>
      <w:r>
        <w:rPr>
          <w:spacing w:val="-1"/>
          <w:sz w:val="24"/>
        </w:rPr>
        <w:t xml:space="preserve">投标报价书； </w:t>
      </w:r>
    </w:p>
    <w:p>
      <w:pPr>
        <w:pStyle w:val="38"/>
        <w:numPr>
          <w:ilvl w:val="0"/>
          <w:numId w:val="4"/>
        </w:numPr>
        <w:tabs>
          <w:tab w:val="left" w:pos="1394"/>
        </w:tabs>
        <w:spacing w:before="158"/>
        <w:rPr>
          <w:sz w:val="24"/>
        </w:rPr>
      </w:pPr>
      <w:r>
        <w:rPr>
          <w:spacing w:val="-1"/>
          <w:sz w:val="24"/>
        </w:rPr>
        <w:t xml:space="preserve">专用合同条款； </w:t>
      </w:r>
    </w:p>
    <w:p>
      <w:pPr>
        <w:pStyle w:val="38"/>
        <w:numPr>
          <w:ilvl w:val="0"/>
          <w:numId w:val="4"/>
        </w:numPr>
        <w:tabs>
          <w:tab w:val="left" w:pos="1394"/>
        </w:tabs>
        <w:spacing w:before="158"/>
        <w:rPr>
          <w:sz w:val="24"/>
        </w:rPr>
      </w:pPr>
      <w:r>
        <w:rPr>
          <w:spacing w:val="-1"/>
          <w:sz w:val="24"/>
        </w:rPr>
        <w:t xml:space="preserve">通用合同条款； </w:t>
      </w:r>
    </w:p>
    <w:p>
      <w:pPr>
        <w:pStyle w:val="38"/>
        <w:numPr>
          <w:ilvl w:val="0"/>
          <w:numId w:val="4"/>
        </w:numPr>
        <w:tabs>
          <w:tab w:val="left" w:pos="1394"/>
        </w:tabs>
        <w:spacing w:before="158"/>
        <w:rPr>
          <w:sz w:val="24"/>
        </w:rPr>
      </w:pPr>
      <w:r>
        <w:rPr>
          <w:sz w:val="24"/>
        </w:rPr>
        <w:t xml:space="preserve">监理大纲； </w:t>
      </w:r>
    </w:p>
    <w:p>
      <w:pPr>
        <w:pStyle w:val="38"/>
        <w:numPr>
          <w:ilvl w:val="0"/>
          <w:numId w:val="4"/>
        </w:numPr>
        <w:tabs>
          <w:tab w:val="left" w:pos="1394"/>
        </w:tabs>
        <w:spacing w:before="158"/>
        <w:rPr>
          <w:sz w:val="24"/>
        </w:rPr>
      </w:pPr>
      <w:r>
        <w:rPr>
          <w:spacing w:val="-1"/>
          <w:sz w:val="24"/>
        </w:rPr>
        <w:t>双方确认需进入合同的其他文件。</w:t>
      </w:r>
      <w:r>
        <w:rPr>
          <w:sz w:val="24"/>
        </w:rPr>
        <w:t xml:space="preserve"> </w:t>
      </w:r>
    </w:p>
    <w:p>
      <w:pPr>
        <w:spacing w:before="158" w:line="362" w:lineRule="auto"/>
        <w:ind w:left="671" w:right="1418" w:firstLine="480"/>
        <w:rPr>
          <w:sz w:val="24"/>
        </w:rPr>
      </w:pPr>
      <w:r>
        <w:rPr>
          <w:sz w:val="24"/>
        </w:rPr>
        <w:t xml:space="preserve">上列合同文件为一整体，代替了本合同书签署前双方签署的所有的协议、会谈记录以及有关相互承诺的一切文件。 </w:t>
      </w:r>
    </w:p>
    <w:p>
      <w:pPr>
        <w:spacing w:before="16"/>
        <w:ind w:left="1152"/>
        <w:rPr>
          <w:sz w:val="24"/>
        </w:rPr>
      </w:pPr>
      <w:r>
        <w:rPr>
          <w:sz w:val="24"/>
        </w:rPr>
        <w:t xml:space="preserve">（六）本合同书经双方法定代表人或其委托代理人签名并加盖本单位公章后生效。 </w:t>
      </w:r>
    </w:p>
    <w:p>
      <w:pPr>
        <w:spacing w:before="159" w:line="362" w:lineRule="auto"/>
        <w:ind w:left="671" w:right="1305" w:firstLine="480"/>
        <w:rPr>
          <w:sz w:val="24"/>
        </w:rPr>
      </w:pPr>
      <w:r>
        <w:rPr>
          <w:sz w:val="24"/>
        </w:rPr>
        <w:t>（七</w:t>
      </w:r>
      <w:r>
        <w:rPr>
          <w:spacing w:val="-76"/>
          <w:sz w:val="24"/>
        </w:rPr>
        <w:t>）</w:t>
      </w:r>
      <w:r>
        <w:rPr>
          <w:spacing w:val="-15"/>
          <w:sz w:val="24"/>
        </w:rPr>
        <w:t>合同书正本一式贰份，具有同等法律效力，由双方各执壹份；副本</w:t>
      </w:r>
      <w:r>
        <w:rPr>
          <w:sz w:val="24"/>
          <w:u w:val="single"/>
        </w:rPr>
        <w:t xml:space="preserve"> 陆 </w:t>
      </w:r>
      <w:r>
        <w:rPr>
          <w:sz w:val="24"/>
        </w:rPr>
        <w:t>份， 委托人执</w:t>
      </w:r>
      <w:r>
        <w:rPr>
          <w:spacing w:val="29"/>
          <w:sz w:val="24"/>
          <w:u w:val="single"/>
        </w:rPr>
        <w:t xml:space="preserve"> 叁  </w:t>
      </w:r>
      <w:r>
        <w:rPr>
          <w:sz w:val="24"/>
        </w:rPr>
        <w:t>份，监理人执</w:t>
      </w:r>
      <w:r>
        <w:rPr>
          <w:sz w:val="24"/>
          <w:u w:val="single"/>
        </w:rPr>
        <w:t xml:space="preserve">  叁  </w:t>
      </w:r>
      <w:r>
        <w:rPr>
          <w:sz w:val="24"/>
        </w:rPr>
        <w:t xml:space="preserve">份。 </w:t>
      </w:r>
    </w:p>
    <w:p>
      <w:pPr>
        <w:spacing w:before="2"/>
        <w:ind w:left="671"/>
        <w:rPr>
          <w:sz w:val="24"/>
        </w:rPr>
      </w:pPr>
      <w:r>
        <w:rPr>
          <w:sz w:val="24"/>
        </w:rPr>
        <w:t xml:space="preserve"> </w:t>
      </w:r>
    </w:p>
    <w:p>
      <w:pPr>
        <w:spacing w:before="158" w:line="362" w:lineRule="auto"/>
        <w:ind w:left="1152" w:right="1965"/>
        <w:rPr>
          <w:sz w:val="24"/>
        </w:rPr>
      </w:pPr>
      <w:r>
        <w:rPr>
          <w:sz w:val="24"/>
        </w:rPr>
        <w:t>委托人 ：</w:t>
      </w:r>
      <w:r>
        <w:rPr>
          <w:sz w:val="24"/>
          <w:u w:val="single"/>
        </w:rPr>
        <w:t xml:space="preserve">     （ 盖 章 ）</w:t>
      </w:r>
      <w:r>
        <w:rPr>
          <w:sz w:val="24"/>
        </w:rPr>
        <w:t xml:space="preserve"> </w:t>
      </w:r>
      <w:r>
        <w:rPr>
          <w:rFonts w:hint="eastAsia"/>
          <w:sz w:val="24"/>
        </w:rPr>
        <w:t xml:space="preserve"> </w:t>
      </w:r>
      <w:r>
        <w:rPr>
          <w:sz w:val="24"/>
        </w:rPr>
        <w:t xml:space="preserve">  监 理 人 ：</w:t>
      </w:r>
      <w:r>
        <w:rPr>
          <w:spacing w:val="20"/>
          <w:sz w:val="24"/>
          <w:u w:val="single"/>
        </w:rPr>
        <w:t xml:space="preserve">   </w:t>
      </w:r>
      <w:r>
        <w:rPr>
          <w:sz w:val="24"/>
          <w:u w:val="single"/>
        </w:rPr>
        <w:t>（ 盖 章 ）</w:t>
      </w:r>
      <w:r>
        <w:rPr>
          <w:sz w:val="24"/>
        </w:rPr>
        <w:t xml:space="preserve"> 法定代表人：</w:t>
      </w:r>
      <w:r>
        <w:rPr>
          <w:spacing w:val="7"/>
          <w:sz w:val="24"/>
          <w:u w:val="single"/>
        </w:rPr>
        <w:t xml:space="preserve">  </w:t>
      </w:r>
      <w:r>
        <w:rPr>
          <w:sz w:val="24"/>
          <w:u w:val="single"/>
        </w:rPr>
        <w:t xml:space="preserve">（签名） </w:t>
      </w:r>
      <w:r>
        <w:rPr>
          <w:sz w:val="24"/>
        </w:rPr>
        <w:t xml:space="preserve">     </w:t>
      </w:r>
      <w:r>
        <w:rPr>
          <w:rFonts w:hint="eastAsia"/>
          <w:sz w:val="24"/>
        </w:rPr>
        <w:t xml:space="preserve"> </w:t>
      </w:r>
      <w:r>
        <w:rPr>
          <w:sz w:val="24"/>
        </w:rPr>
        <w:t>法定代表人：</w:t>
      </w:r>
      <w:r>
        <w:rPr>
          <w:rFonts w:hint="eastAsia"/>
          <w:sz w:val="24"/>
          <w:u w:val="single"/>
        </w:rPr>
        <w:t xml:space="preserve">    </w:t>
      </w:r>
      <w:r>
        <w:rPr>
          <w:sz w:val="24"/>
          <w:u w:val="single"/>
        </w:rPr>
        <w:t>（签名）</w:t>
      </w:r>
      <w:r>
        <w:rPr>
          <w:sz w:val="24"/>
        </w:rPr>
        <w:t xml:space="preserve"> 或授权代表：</w:t>
      </w:r>
      <w:r>
        <w:rPr>
          <w:spacing w:val="7"/>
          <w:sz w:val="24"/>
          <w:u w:val="single"/>
        </w:rPr>
        <w:t xml:space="preserve">  </w:t>
      </w:r>
      <w:r>
        <w:rPr>
          <w:sz w:val="24"/>
          <w:u w:val="single"/>
        </w:rPr>
        <w:t>（签名）</w:t>
      </w:r>
      <w:r>
        <w:rPr>
          <w:sz w:val="24"/>
        </w:rPr>
        <w:t xml:space="preserve">        或授权代表：</w:t>
      </w:r>
      <w:r>
        <w:rPr>
          <w:spacing w:val="11"/>
          <w:sz w:val="24"/>
          <w:u w:val="single"/>
        </w:rPr>
        <w:t xml:space="preserve">    </w:t>
      </w:r>
      <w:r>
        <w:rPr>
          <w:sz w:val="24"/>
          <w:u w:val="single"/>
        </w:rPr>
        <w:t>（签名）</w:t>
      </w:r>
      <w:r>
        <w:rPr>
          <w:sz w:val="24"/>
        </w:rPr>
        <w:t xml:space="preserve"> 单 位 地 址 ：</w:t>
      </w:r>
      <w:r>
        <w:rPr>
          <w:sz w:val="24"/>
          <w:u w:val="single"/>
        </w:rPr>
        <w:t xml:space="preserve"> </w:t>
      </w:r>
      <w:r>
        <w:rPr>
          <w:rFonts w:hint="eastAsia"/>
          <w:sz w:val="24"/>
          <w:u w:val="single"/>
        </w:rPr>
        <w:t xml:space="preserve">       </w:t>
      </w:r>
      <w:r>
        <w:rPr>
          <w:rFonts w:hint="eastAsia"/>
          <w:sz w:val="24"/>
        </w:rPr>
        <w:t xml:space="preserve">         </w:t>
      </w:r>
      <w:r>
        <w:rPr>
          <w:sz w:val="24"/>
        </w:rPr>
        <w:t>单 位 地 址 ：</w:t>
      </w:r>
      <w:r>
        <w:rPr>
          <w:sz w:val="24"/>
          <w:u w:val="single"/>
        </w:rPr>
        <w:t xml:space="preserve">                </w:t>
      </w:r>
      <w:r>
        <w:rPr>
          <w:spacing w:val="3"/>
          <w:sz w:val="24"/>
          <w:u w:val="single"/>
        </w:rPr>
        <w:t xml:space="preserve"> </w:t>
      </w:r>
      <w:r>
        <w:rPr>
          <w:sz w:val="24"/>
        </w:rPr>
        <w:t xml:space="preserve"> </w:t>
      </w:r>
    </w:p>
    <w:p>
      <w:pPr>
        <w:spacing w:before="19" w:line="362" w:lineRule="auto"/>
        <w:ind w:left="1152" w:right="2085"/>
        <w:rPr>
          <w:sz w:val="24"/>
        </w:rPr>
      </w:pPr>
      <w:r>
        <w:rPr>
          <w:sz w:val="24"/>
        </w:rPr>
        <w:t>邮</w:t>
      </w:r>
      <w:r>
        <w:rPr>
          <w:rFonts w:hint="eastAsia"/>
          <w:sz w:val="24"/>
        </w:rPr>
        <w:t xml:space="preserve">       </w:t>
      </w:r>
      <w:r>
        <w:rPr>
          <w:sz w:val="24"/>
        </w:rPr>
        <w:t>编 ：</w:t>
      </w:r>
      <w:r>
        <w:rPr>
          <w:sz w:val="24"/>
          <w:u w:val="single"/>
        </w:rPr>
        <w:t xml:space="preserve">      </w:t>
      </w:r>
      <w:r>
        <w:rPr>
          <w:rFonts w:hint="eastAsia"/>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邮 </w:t>
      </w:r>
      <w:r>
        <w:rPr>
          <w:rFonts w:hint="eastAsia"/>
          <w:sz w:val="24"/>
        </w:rPr>
        <w:t xml:space="preserve">   </w:t>
      </w:r>
      <w:r>
        <w:rPr>
          <w:sz w:val="24"/>
        </w:rPr>
        <w:t>编 ：</w:t>
      </w:r>
      <w:r>
        <w:rPr>
          <w:sz w:val="24"/>
          <w:u w:val="single"/>
        </w:rPr>
        <w:t xml:space="preserve">   </w:t>
      </w:r>
      <w:r>
        <w:rPr>
          <w:rFonts w:hint="eastAsia"/>
          <w:sz w:val="24"/>
          <w:u w:val="single"/>
        </w:rPr>
        <w:t xml:space="preserve">          </w:t>
      </w:r>
      <w:r>
        <w:rPr>
          <w:sz w:val="24"/>
          <w:u w:val="single"/>
        </w:rPr>
        <w:t xml:space="preserve">   </w:t>
      </w:r>
      <w:r>
        <w:rPr>
          <w:rFonts w:hint="eastAsia"/>
          <w:sz w:val="24"/>
        </w:rPr>
        <w:t xml:space="preserve"> </w:t>
      </w:r>
      <w:r>
        <w:rPr>
          <w:sz w:val="24"/>
        </w:rPr>
        <w:t xml:space="preserve"> </w:t>
      </w:r>
    </w:p>
    <w:p>
      <w:pPr>
        <w:spacing w:before="19" w:line="362" w:lineRule="auto"/>
        <w:ind w:left="1152" w:right="2085"/>
        <w:rPr>
          <w:sz w:val="24"/>
        </w:rPr>
      </w:pPr>
      <w:r>
        <w:rPr>
          <w:sz w:val="24"/>
        </w:rPr>
        <w:t xml:space="preserve">电  </w:t>
      </w:r>
      <w:r>
        <w:rPr>
          <w:rFonts w:hint="eastAsia"/>
          <w:sz w:val="24"/>
        </w:rPr>
        <w:t xml:space="preserve"> </w:t>
      </w:r>
      <w:r>
        <w:rPr>
          <w:sz w:val="24"/>
        </w:rPr>
        <w:t xml:space="preserve">   话 ：</w:t>
      </w:r>
      <w:r>
        <w:rPr>
          <w:sz w:val="24"/>
          <w:u w:val="single"/>
        </w:rPr>
        <w:t xml:space="preserve">   </w:t>
      </w:r>
      <w:r>
        <w:rPr>
          <w:rFonts w:hint="eastAsia"/>
          <w:sz w:val="24"/>
          <w:u w:val="single"/>
        </w:rPr>
        <w:t xml:space="preserve">   </w:t>
      </w:r>
      <w:r>
        <w:rPr>
          <w:sz w:val="24"/>
          <w:u w:val="single"/>
        </w:rPr>
        <w:t xml:space="preserve">    </w:t>
      </w:r>
      <w:r>
        <w:rPr>
          <w:sz w:val="24"/>
        </w:rPr>
        <w:t xml:space="preserve">       </w:t>
      </w:r>
      <w:r>
        <w:rPr>
          <w:rFonts w:hint="eastAsia"/>
          <w:sz w:val="24"/>
        </w:rPr>
        <w:t xml:space="preserve"> </w:t>
      </w:r>
      <w:r>
        <w:rPr>
          <w:sz w:val="24"/>
        </w:rPr>
        <w:t>电     话 ：</w:t>
      </w:r>
    </w:p>
    <w:p>
      <w:pPr>
        <w:spacing w:before="19" w:line="362" w:lineRule="auto"/>
        <w:ind w:left="1152" w:right="2085"/>
        <w:rPr>
          <w:sz w:val="24"/>
        </w:rPr>
      </w:pPr>
      <w:r>
        <w:rPr>
          <w:sz w:val="24"/>
        </w:rPr>
        <w:t>电 子 信 箱 ：</w:t>
      </w:r>
      <w:r>
        <w:rPr>
          <w:sz w:val="24"/>
          <w:u w:val="single"/>
        </w:rPr>
        <w:t xml:space="preserve">     </w:t>
      </w:r>
      <w:r>
        <w:rPr>
          <w:sz w:val="24"/>
        </w:rPr>
        <w:t xml:space="preserve">   </w:t>
      </w:r>
      <w:r>
        <w:rPr>
          <w:rFonts w:hint="eastAsia"/>
          <w:sz w:val="24"/>
        </w:rPr>
        <w:t xml:space="preserve">        </w:t>
      </w:r>
      <w:r>
        <w:rPr>
          <w:sz w:val="24"/>
        </w:rPr>
        <w:t xml:space="preserve"> 电 子 信 箱 ：</w:t>
      </w:r>
    </w:p>
    <w:p>
      <w:pPr>
        <w:spacing w:before="19" w:line="362" w:lineRule="auto"/>
        <w:ind w:left="1152" w:right="2085"/>
        <w:rPr>
          <w:sz w:val="24"/>
        </w:rPr>
      </w:pPr>
      <w:r>
        <w:rPr>
          <w:sz w:val="24"/>
        </w:rPr>
        <w:t xml:space="preserve"> 传 </w:t>
      </w:r>
      <w:r>
        <w:rPr>
          <w:rFonts w:hint="eastAsia"/>
          <w:sz w:val="24"/>
        </w:rPr>
        <w:t xml:space="preserve"> </w:t>
      </w:r>
      <w:r>
        <w:rPr>
          <w:sz w:val="24"/>
        </w:rPr>
        <w:t xml:space="preserve">  真 ：</w:t>
      </w:r>
      <w:r>
        <w:rPr>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 xml:space="preserve"> 传     真 ：</w:t>
      </w:r>
    </w:p>
    <w:p>
      <w:pPr>
        <w:spacing w:before="19" w:line="362" w:lineRule="auto"/>
        <w:ind w:left="1152" w:right="2085"/>
        <w:rPr>
          <w:sz w:val="24"/>
        </w:rPr>
      </w:pPr>
      <w:r>
        <w:rPr>
          <w:sz w:val="24"/>
        </w:rPr>
        <w:t>开 户 银 行 ：</w:t>
      </w:r>
      <w:r>
        <w:rPr>
          <w:sz w:val="24"/>
          <w:u w:val="single"/>
        </w:rPr>
        <w:t xml:space="preserve">    </w:t>
      </w:r>
      <w:r>
        <w:rPr>
          <w:sz w:val="24"/>
        </w:rPr>
        <w:t xml:space="preserve">   </w:t>
      </w:r>
      <w:r>
        <w:rPr>
          <w:rFonts w:hint="eastAsia"/>
          <w:sz w:val="24"/>
        </w:rPr>
        <w:t xml:space="preserve"> </w:t>
      </w:r>
      <w:r>
        <w:rPr>
          <w:sz w:val="24"/>
        </w:rPr>
        <w:t xml:space="preserve"> </w:t>
      </w:r>
      <w:r>
        <w:rPr>
          <w:rFonts w:hint="eastAsia"/>
          <w:sz w:val="24"/>
        </w:rPr>
        <w:t xml:space="preserve">        </w:t>
      </w:r>
      <w:r>
        <w:rPr>
          <w:sz w:val="24"/>
        </w:rPr>
        <w:t>开 户 银 行 ：</w:t>
      </w:r>
    </w:p>
    <w:p>
      <w:pPr>
        <w:spacing w:before="19" w:line="362" w:lineRule="auto"/>
        <w:ind w:left="1152" w:right="2085"/>
        <w:rPr>
          <w:sz w:val="24"/>
        </w:rPr>
      </w:pPr>
      <w:r>
        <w:rPr>
          <w:sz w:val="24"/>
        </w:rPr>
        <w:t xml:space="preserve"> </w:t>
      </w:r>
      <w:r>
        <w:rPr>
          <w:rFonts w:hint="eastAsia"/>
          <w:sz w:val="24"/>
        </w:rPr>
        <w:t>账</w:t>
      </w:r>
      <w:r>
        <w:rPr>
          <w:sz w:val="24"/>
        </w:rPr>
        <w:t xml:space="preserve">      号 ：</w:t>
      </w:r>
      <w:r>
        <w:rPr>
          <w:sz w:val="24"/>
          <w:u w:val="single"/>
        </w:rPr>
        <w:t xml:space="preserve">         </w:t>
      </w:r>
      <w:r>
        <w:rPr>
          <w:sz w:val="24"/>
        </w:rPr>
        <w:t xml:space="preserve">         </w:t>
      </w:r>
      <w:r>
        <w:rPr>
          <w:rFonts w:hint="eastAsia"/>
          <w:sz w:val="24"/>
        </w:rPr>
        <w:t>账</w:t>
      </w:r>
      <w:r>
        <w:rPr>
          <w:sz w:val="24"/>
        </w:rPr>
        <w:t xml:space="preserve">         号 ： </w:t>
      </w:r>
    </w:p>
    <w:p>
      <w:pPr>
        <w:spacing w:before="19" w:line="362" w:lineRule="auto"/>
        <w:ind w:left="1152" w:right="2085"/>
        <w:rPr>
          <w:sz w:val="24"/>
        </w:rPr>
      </w:pPr>
      <w:r>
        <w:rPr>
          <w:sz w:val="24"/>
        </w:rPr>
        <w:t>签订地点：</w:t>
      </w:r>
      <w:r>
        <w:rPr>
          <w:sz w:val="24"/>
          <w:u w:val="single"/>
        </w:rPr>
        <w:t xml:space="preserve">                   </w:t>
      </w:r>
      <w:r>
        <w:rPr>
          <w:spacing w:val="3"/>
          <w:sz w:val="24"/>
          <w:u w:val="single"/>
        </w:rPr>
        <w:t xml:space="preserve"> </w:t>
      </w:r>
      <w:r>
        <w:rPr>
          <w:sz w:val="24"/>
        </w:rPr>
        <w:t xml:space="preserve">  </w:t>
      </w:r>
    </w:p>
    <w:p>
      <w:pPr>
        <w:spacing w:before="8"/>
        <w:ind w:left="5358"/>
        <w:rPr>
          <w:rFonts w:hint="default"/>
          <w:lang w:val="en-US"/>
        </w:rPr>
        <w:sectPr>
          <w:headerReference r:id="rId7" w:type="default"/>
          <w:footerReference r:id="rId8" w:type="default"/>
          <w:pgSz w:w="11910" w:h="16850"/>
          <w:pgMar w:top="1440" w:right="1080" w:bottom="1440" w:left="1080" w:header="0" w:footer="916" w:gutter="0"/>
          <w:cols w:space="720" w:num="1"/>
        </w:sectPr>
      </w:pPr>
      <w:r>
        <w:rPr>
          <w:sz w:val="24"/>
        </w:rPr>
        <w:t>签 订 时 间 ：</w:t>
      </w:r>
      <w:r>
        <w:rPr>
          <w:spacing w:val="119"/>
          <w:sz w:val="24"/>
          <w:u w:val="single"/>
        </w:rPr>
        <w:t xml:space="preserve"> </w:t>
      </w:r>
      <w:r>
        <w:rPr>
          <w:sz w:val="24"/>
        </w:rPr>
        <w:t>年</w:t>
      </w:r>
      <w:r>
        <w:rPr>
          <w:sz w:val="24"/>
          <w:u w:val="single"/>
        </w:rPr>
        <w:t xml:space="preserve"> </w:t>
      </w:r>
      <w:r>
        <w:rPr>
          <w:sz w:val="24"/>
        </w:rPr>
        <w:t>月</w:t>
      </w:r>
      <w:r>
        <w:rPr>
          <w:rFonts w:hint="eastAsia"/>
          <w:sz w:val="24"/>
          <w:lang w:val="en-US" w:eastAsia="zh-CN"/>
        </w:rPr>
        <w:t xml:space="preserve"> 日 </w:t>
      </w:r>
    </w:p>
    <w:p>
      <w:pPr>
        <w:spacing w:before="46"/>
        <w:ind w:firstLine="3112" w:firstLineChars="1000"/>
        <w:jc w:val="both"/>
        <w:rPr>
          <w:b/>
          <w:sz w:val="31"/>
        </w:rPr>
      </w:pPr>
      <w:r>
        <w:rPr>
          <w:b/>
          <w:sz w:val="31"/>
        </w:rPr>
        <w:t>第一部分 通用合同条款</w:t>
      </w:r>
    </w:p>
    <w:p>
      <w:pPr>
        <w:pStyle w:val="8"/>
        <w:spacing w:before="11"/>
        <w:rPr>
          <w:b/>
          <w:sz w:val="38"/>
        </w:rPr>
      </w:pPr>
    </w:p>
    <w:p>
      <w:pPr>
        <w:spacing w:before="1"/>
        <w:ind w:left="1047" w:right="1666"/>
        <w:jc w:val="center"/>
        <w:rPr>
          <w:b/>
          <w:sz w:val="24"/>
        </w:rPr>
      </w:pPr>
      <w:r>
        <w:rPr>
          <w:b/>
          <w:sz w:val="24"/>
        </w:rPr>
        <w:t>词语涵义及适用语言</w:t>
      </w:r>
      <w:r>
        <w:rPr>
          <w:b/>
          <w:w w:val="99"/>
          <w:sz w:val="24"/>
        </w:rPr>
        <w:t xml:space="preserve"> </w:t>
      </w:r>
    </w:p>
    <w:p>
      <w:pPr>
        <w:spacing w:before="173"/>
        <w:ind w:left="1152"/>
        <w:rPr>
          <w:sz w:val="24"/>
        </w:rPr>
      </w:pPr>
      <w:r>
        <w:rPr>
          <w:sz w:val="24"/>
        </w:rPr>
        <w:t xml:space="preserve">第一条 下列名词和用语，除上下文另有约定外，具有本条所赋予的涵义： </w:t>
      </w:r>
    </w:p>
    <w:p>
      <w:pPr>
        <w:spacing w:before="158" w:line="362" w:lineRule="auto"/>
        <w:ind w:left="671" w:right="1407" w:firstLine="480"/>
        <w:rPr>
          <w:sz w:val="24"/>
        </w:rPr>
      </w:pPr>
      <w:r>
        <w:rPr>
          <w:spacing w:val="-14"/>
          <w:sz w:val="24"/>
        </w:rPr>
        <w:t xml:space="preserve">一、“委托人”指承担工程建设项目直接建设管理责任，委托监理业务的法人或其合法继承人。 </w:t>
      </w:r>
    </w:p>
    <w:p>
      <w:pPr>
        <w:spacing w:before="2"/>
        <w:ind w:left="1152"/>
        <w:rPr>
          <w:sz w:val="24"/>
        </w:rPr>
      </w:pPr>
      <w:r>
        <w:rPr>
          <w:sz w:val="24"/>
        </w:rPr>
        <w:t xml:space="preserve">二、“监理人”受委托人委托，提供监理服务的法人或其合法继承人 </w:t>
      </w:r>
    </w:p>
    <w:p>
      <w:pPr>
        <w:spacing w:before="158" w:line="362" w:lineRule="auto"/>
        <w:ind w:left="671" w:right="1423" w:firstLine="480"/>
        <w:rPr>
          <w:sz w:val="24"/>
        </w:rPr>
      </w:pPr>
      <w:r>
        <w:rPr>
          <w:spacing w:val="-17"/>
          <w:sz w:val="24"/>
        </w:rPr>
        <w:t>三、“承包人”指与委托人</w:t>
      </w:r>
      <w:r>
        <w:rPr>
          <w:sz w:val="24"/>
        </w:rPr>
        <w:t>（</w:t>
      </w:r>
      <w:r>
        <w:rPr>
          <w:spacing w:val="5"/>
          <w:sz w:val="24"/>
        </w:rPr>
        <w:t>发包人</w:t>
      </w:r>
      <w:r>
        <w:rPr>
          <w:spacing w:val="-15"/>
          <w:sz w:val="24"/>
        </w:rPr>
        <w:t>）</w:t>
      </w:r>
      <w:r>
        <w:rPr>
          <w:spacing w:val="-3"/>
          <w:sz w:val="24"/>
        </w:rPr>
        <w:t xml:space="preserve">签订施工合同，承担工程施工的法人或其合法继承人。 </w:t>
      </w:r>
    </w:p>
    <w:p>
      <w:pPr>
        <w:spacing w:before="17" w:line="362" w:lineRule="auto"/>
        <w:ind w:left="671" w:right="1407" w:firstLine="480"/>
        <w:rPr>
          <w:sz w:val="24"/>
        </w:rPr>
      </w:pPr>
      <w:r>
        <w:rPr>
          <w:spacing w:val="-14"/>
          <w:sz w:val="24"/>
        </w:rPr>
        <w:t>四、“监理机构”指监理人派驻工程现场直接开展监理业务的组织，由</w:t>
      </w:r>
      <w:r>
        <w:rPr>
          <w:rFonts w:hint="eastAsia"/>
          <w:spacing w:val="-14"/>
          <w:sz w:val="24"/>
        </w:rPr>
        <w:t>监理工程师</w:t>
      </w:r>
      <w:r>
        <w:rPr>
          <w:spacing w:val="-14"/>
          <w:sz w:val="24"/>
        </w:rPr>
        <w:t>、监理工程师和监理员以及其他人员组成。</w:t>
      </w:r>
      <w:r>
        <w:rPr>
          <w:sz w:val="24"/>
        </w:rPr>
        <w:t xml:space="preserve"> </w:t>
      </w:r>
    </w:p>
    <w:p>
      <w:pPr>
        <w:spacing w:before="2"/>
        <w:ind w:left="1152"/>
        <w:rPr>
          <w:sz w:val="24"/>
        </w:rPr>
      </w:pPr>
      <w:r>
        <w:rPr>
          <w:sz w:val="24"/>
        </w:rPr>
        <w:t xml:space="preserve">五、“监理项目”是指委托人委托监理人实施建设监理的工程建设项目。 </w:t>
      </w:r>
    </w:p>
    <w:p>
      <w:pPr>
        <w:spacing w:before="158" w:line="362" w:lineRule="auto"/>
        <w:ind w:left="671" w:right="1407" w:firstLine="480"/>
        <w:rPr>
          <w:sz w:val="24"/>
        </w:rPr>
      </w:pPr>
      <w:r>
        <w:rPr>
          <w:spacing w:val="-14"/>
          <w:sz w:val="24"/>
        </w:rPr>
        <w:t xml:space="preserve">六、“服务”是指监理人根据监理合同约定所承担的各项工作，包括正常服务和附加服务。 </w:t>
      </w:r>
    </w:p>
    <w:p>
      <w:pPr>
        <w:spacing w:before="2" w:line="362" w:lineRule="auto"/>
        <w:ind w:left="1152" w:right="1289"/>
        <w:rPr>
          <w:sz w:val="24"/>
        </w:rPr>
      </w:pPr>
      <w:r>
        <w:rPr>
          <w:spacing w:val="-13"/>
          <w:sz w:val="24"/>
        </w:rPr>
        <w:t>七、“正常服务”指监理人按照合同约定的监理范围、内容和期限所提供的服务。</w:t>
      </w:r>
      <w:r>
        <w:rPr>
          <w:spacing w:val="-12"/>
          <w:sz w:val="24"/>
        </w:rPr>
        <w:t xml:space="preserve">八、“附加服务”指监理人为委托人提供正常服务以外的服务。 </w:t>
      </w:r>
    </w:p>
    <w:p>
      <w:pPr>
        <w:spacing w:before="2" w:line="374" w:lineRule="auto"/>
        <w:ind w:left="671" w:right="1424" w:firstLine="480"/>
        <w:rPr>
          <w:sz w:val="24"/>
        </w:rPr>
      </w:pPr>
      <w:r>
        <w:rPr>
          <w:spacing w:val="-24"/>
          <w:sz w:val="24"/>
        </w:rPr>
        <w:t>九、“服务酬金”指本合同中监理人完成“正常服务”、“附加服务”应得到的正常</w:t>
      </w:r>
      <w:r>
        <w:rPr>
          <w:spacing w:val="-23"/>
          <w:sz w:val="24"/>
        </w:rPr>
        <w:t>服务酬金和附加服务酬金。</w:t>
      </w:r>
      <w:r>
        <w:rPr>
          <w:sz w:val="24"/>
        </w:rPr>
        <w:t xml:space="preserve"> </w:t>
      </w:r>
    </w:p>
    <w:p>
      <w:pPr>
        <w:spacing w:line="294" w:lineRule="exact"/>
        <w:ind w:left="1152"/>
        <w:rPr>
          <w:sz w:val="24"/>
        </w:rPr>
      </w:pPr>
      <w:r>
        <w:rPr>
          <w:sz w:val="24"/>
        </w:rPr>
        <w:t xml:space="preserve">十、“天”指日历天。 </w:t>
      </w:r>
    </w:p>
    <w:p>
      <w:pPr>
        <w:spacing w:before="158"/>
        <w:ind w:left="1152"/>
        <w:rPr>
          <w:sz w:val="24"/>
        </w:rPr>
      </w:pPr>
      <w:r>
        <w:rPr>
          <w:sz w:val="24"/>
        </w:rPr>
        <w:t xml:space="preserve">十一、“现场”指监理项目实施的场所。 </w:t>
      </w:r>
    </w:p>
    <w:p>
      <w:pPr>
        <w:spacing w:before="158"/>
        <w:ind w:left="1152"/>
        <w:rPr>
          <w:sz w:val="24"/>
        </w:rPr>
      </w:pPr>
      <w:r>
        <w:rPr>
          <w:sz w:val="24"/>
        </w:rPr>
        <w:t xml:space="preserve">第二条 本合同适用的语言文字为汉语文字。 </w:t>
      </w:r>
    </w:p>
    <w:p>
      <w:pPr>
        <w:pStyle w:val="8"/>
        <w:spacing w:before="5"/>
        <w:rPr>
          <w:sz w:val="33"/>
        </w:rPr>
      </w:pPr>
    </w:p>
    <w:p>
      <w:pPr>
        <w:spacing w:before="1"/>
        <w:ind w:left="1047" w:right="1679"/>
        <w:jc w:val="center"/>
        <w:rPr>
          <w:b/>
          <w:sz w:val="24"/>
        </w:rPr>
      </w:pPr>
      <w:r>
        <w:rPr>
          <w:b/>
          <w:sz w:val="24"/>
        </w:rPr>
        <w:t>监理依据</w:t>
      </w:r>
      <w:r>
        <w:rPr>
          <w:b/>
          <w:w w:val="99"/>
          <w:sz w:val="24"/>
        </w:rPr>
        <w:t xml:space="preserve"> </w:t>
      </w:r>
    </w:p>
    <w:p>
      <w:pPr>
        <w:spacing w:before="172" w:line="362" w:lineRule="auto"/>
        <w:ind w:left="671" w:right="1417"/>
        <w:rPr>
          <w:sz w:val="24"/>
        </w:rPr>
      </w:pPr>
      <w:r>
        <w:rPr>
          <w:sz w:val="24"/>
        </w:rPr>
        <w:t xml:space="preserve">    第三条 监理的依据是有关工程建设的法律、法规、规章和规范性文件；工程建设强制性条文、有关技术标准；经批准的工程建设项目设计文件及其相关文件；监理合同、施工合同等合同文件。具体内容在专用合同条款中约定。 </w:t>
      </w:r>
    </w:p>
    <w:p>
      <w:pPr>
        <w:pStyle w:val="8"/>
        <w:spacing w:before="4"/>
      </w:pPr>
    </w:p>
    <w:p>
      <w:pPr>
        <w:spacing w:before="1"/>
        <w:ind w:left="1047" w:right="1664"/>
        <w:jc w:val="center"/>
        <w:rPr>
          <w:b/>
          <w:sz w:val="24"/>
        </w:rPr>
      </w:pPr>
      <w:r>
        <w:rPr>
          <w:b/>
          <w:sz w:val="24"/>
        </w:rPr>
        <w:t>通知和联系</w:t>
      </w:r>
      <w:r>
        <w:rPr>
          <w:b/>
          <w:w w:val="99"/>
          <w:sz w:val="24"/>
        </w:rPr>
        <w:t xml:space="preserve"> </w:t>
      </w:r>
    </w:p>
    <w:p>
      <w:pPr>
        <w:spacing w:before="173" w:line="362" w:lineRule="auto"/>
        <w:ind w:left="671" w:right="1422" w:firstLine="480"/>
        <w:rPr>
          <w:sz w:val="24"/>
        </w:rPr>
      </w:pPr>
      <w:r>
        <w:rPr>
          <w:sz w:val="24"/>
        </w:rPr>
        <w:t xml:space="preserve">第四条 委托人应指定一名联系人，负责与监理机构联系，更换联系人时，应提前通知监理人。 </w:t>
      </w:r>
    </w:p>
    <w:p>
      <w:pPr>
        <w:spacing w:before="2"/>
        <w:ind w:left="1152"/>
        <w:rPr>
          <w:sz w:val="24"/>
        </w:rPr>
      </w:pPr>
      <w:r>
        <w:rPr>
          <w:sz w:val="24"/>
        </w:rPr>
        <w:t>第五条 在监理合同实施过程中，双方的联系均应以书面函件为准。在不做出紧</w:t>
      </w:r>
      <w:r>
        <w:rPr>
          <w:spacing w:val="-6"/>
          <w:sz w:val="24"/>
        </w:rPr>
        <w:t xml:space="preserve">急处理即可能导致安全、质量事故的情况下，可先以口头形式通知，并在 </w:t>
      </w:r>
      <w:r>
        <w:rPr>
          <w:sz w:val="24"/>
        </w:rPr>
        <w:t>48</w:t>
      </w:r>
      <w:r>
        <w:rPr>
          <w:spacing w:val="-12"/>
          <w:sz w:val="24"/>
        </w:rPr>
        <w:t xml:space="preserve"> 小时内补做书面通知。 </w:t>
      </w:r>
    </w:p>
    <w:p>
      <w:pPr>
        <w:spacing w:before="2" w:line="362" w:lineRule="auto"/>
        <w:ind w:left="671" w:right="1422" w:firstLine="480"/>
        <w:rPr>
          <w:sz w:val="24"/>
        </w:rPr>
      </w:pPr>
      <w:r>
        <w:rPr>
          <w:sz w:val="24"/>
        </w:rPr>
        <w:t>第六条 委托人对委托监理范围内工程项目实施的意见和决策，应通过监理机构</w:t>
      </w:r>
      <w:r>
        <w:rPr>
          <w:spacing w:val="-1"/>
          <w:sz w:val="24"/>
        </w:rPr>
        <w:t>下达，法律、法规另有规定的除外。</w:t>
      </w:r>
      <w:r>
        <w:rPr>
          <w:sz w:val="24"/>
        </w:rPr>
        <w:t xml:space="preserve"> </w:t>
      </w:r>
    </w:p>
    <w:p>
      <w:pPr>
        <w:pStyle w:val="8"/>
        <w:spacing w:before="4"/>
      </w:pPr>
    </w:p>
    <w:p>
      <w:pPr>
        <w:spacing w:line="374" w:lineRule="auto"/>
        <w:ind w:right="5014"/>
        <w:rPr>
          <w:b/>
          <w:spacing w:val="14"/>
          <w:sz w:val="24"/>
        </w:rPr>
      </w:pPr>
      <w:r>
        <w:rPr>
          <w:b/>
          <w:spacing w:val="14"/>
          <w:sz w:val="24"/>
        </w:rPr>
        <w:t>委托人的权利</w:t>
      </w:r>
    </w:p>
    <w:p>
      <w:pPr>
        <w:spacing w:line="374" w:lineRule="auto"/>
        <w:ind w:right="5014"/>
        <w:rPr>
          <w:sz w:val="24"/>
        </w:rPr>
      </w:pPr>
      <w:r>
        <w:rPr>
          <w:spacing w:val="6"/>
          <w:sz w:val="24"/>
        </w:rPr>
        <w:t xml:space="preserve">第七条 委托人享有如下权利： </w:t>
      </w:r>
    </w:p>
    <w:p>
      <w:pPr>
        <w:spacing w:line="362" w:lineRule="auto"/>
        <w:ind w:left="671" w:right="1418"/>
        <w:rPr>
          <w:sz w:val="24"/>
        </w:rPr>
      </w:pPr>
      <w:r>
        <w:rPr>
          <w:sz w:val="24"/>
        </w:rPr>
        <w:t xml:space="preserve">    一、对监理工作进行监督、检查，并提出撤换不能胜任监理工作人员的建议或要求； </w:t>
      </w:r>
    </w:p>
    <w:p>
      <w:pPr>
        <w:spacing w:line="362" w:lineRule="auto"/>
        <w:ind w:left="1152" w:right="2327"/>
        <w:rPr>
          <w:sz w:val="24"/>
        </w:rPr>
      </w:pPr>
      <w:r>
        <w:rPr>
          <w:sz w:val="24"/>
        </w:rPr>
        <w:t xml:space="preserve">二、对工程建设中质量、安全、投资、进度方面的重大问题的决策权； 三、核定监理人签发的工程计量、付款凭证； </w:t>
      </w:r>
    </w:p>
    <w:p>
      <w:pPr>
        <w:spacing w:line="374" w:lineRule="auto"/>
        <w:ind w:left="671" w:right="1424" w:firstLine="480"/>
        <w:rPr>
          <w:sz w:val="24"/>
        </w:rPr>
      </w:pPr>
      <w:r>
        <w:rPr>
          <w:sz w:val="24"/>
        </w:rPr>
        <w:t xml:space="preserve">四、要求监理人提交监理月报、监理专题报告、监理工作报告和监理工作总结报告； </w:t>
      </w:r>
    </w:p>
    <w:p>
      <w:pPr>
        <w:spacing w:line="294" w:lineRule="exact"/>
        <w:ind w:left="1152"/>
        <w:rPr>
          <w:sz w:val="24"/>
        </w:rPr>
      </w:pPr>
      <w:r>
        <w:rPr>
          <w:sz w:val="24"/>
        </w:rPr>
        <w:t xml:space="preserve">五、当监理人发生本合同专用条款约定的违约情形时，有权解除本合同。 </w:t>
      </w:r>
    </w:p>
    <w:p>
      <w:pPr>
        <w:pStyle w:val="8"/>
        <w:spacing w:before="9"/>
        <w:rPr>
          <w:sz w:val="32"/>
        </w:rPr>
      </w:pPr>
    </w:p>
    <w:p>
      <w:pPr>
        <w:spacing w:line="374" w:lineRule="auto"/>
        <w:ind w:right="5014"/>
        <w:rPr>
          <w:b/>
          <w:sz w:val="24"/>
        </w:rPr>
      </w:pPr>
      <w:r>
        <w:rPr>
          <w:b/>
          <w:sz w:val="24"/>
        </w:rPr>
        <w:t>监理人的权利</w:t>
      </w:r>
    </w:p>
    <w:p>
      <w:pPr>
        <w:spacing w:line="374" w:lineRule="auto"/>
        <w:ind w:right="5014"/>
        <w:rPr>
          <w:sz w:val="24"/>
        </w:rPr>
      </w:pPr>
      <w:r>
        <w:rPr>
          <w:sz w:val="24"/>
        </w:rPr>
        <w:t xml:space="preserve">第八条 委托人赋予监理人如下权利： </w:t>
      </w:r>
    </w:p>
    <w:p>
      <w:pPr>
        <w:spacing w:line="294" w:lineRule="exact"/>
        <w:ind w:left="1152"/>
        <w:rPr>
          <w:sz w:val="24"/>
        </w:rPr>
      </w:pPr>
      <w:r>
        <w:rPr>
          <w:sz w:val="24"/>
        </w:rPr>
        <w:t xml:space="preserve">一、审查承包人拟选择的分包项目和分包人，报委托人核准； </w:t>
      </w:r>
    </w:p>
    <w:p>
      <w:pPr>
        <w:spacing w:before="158" w:line="362" w:lineRule="auto"/>
        <w:ind w:left="1152" w:right="1289"/>
        <w:rPr>
          <w:sz w:val="24"/>
        </w:rPr>
      </w:pPr>
      <w:r>
        <w:rPr>
          <w:spacing w:val="-5"/>
          <w:sz w:val="24"/>
        </w:rPr>
        <w:t>二、审查承包人提交的施工组织设计、安全技术措施及专项施工方案等各类文件</w:t>
      </w:r>
      <w:r>
        <w:rPr>
          <w:spacing w:val="-138"/>
          <w:sz w:val="24"/>
        </w:rPr>
        <w:t xml:space="preserve">； </w:t>
      </w:r>
      <w:r>
        <w:rPr>
          <w:sz w:val="24"/>
        </w:rPr>
        <w:t xml:space="preserve">三、核查并签发施工图纸； </w:t>
      </w:r>
    </w:p>
    <w:p>
      <w:pPr>
        <w:spacing w:before="3" w:line="362" w:lineRule="auto"/>
        <w:ind w:left="671" w:right="1418" w:firstLine="480"/>
        <w:rPr>
          <w:sz w:val="24"/>
        </w:rPr>
      </w:pPr>
      <w:r>
        <w:rPr>
          <w:sz w:val="24"/>
        </w:rPr>
        <w:t xml:space="preserve">四、签发合同项目开工令、暂停施工指示，但应事先征得委托人同意；签发进场通知、复工通知； </w:t>
      </w:r>
    </w:p>
    <w:p>
      <w:pPr>
        <w:spacing w:before="1"/>
        <w:ind w:left="1152"/>
        <w:rPr>
          <w:sz w:val="24"/>
        </w:rPr>
      </w:pPr>
      <w:r>
        <w:rPr>
          <w:sz w:val="24"/>
        </w:rPr>
        <w:t xml:space="preserve">五、审核和签发工程计量、付款凭证； </w:t>
      </w:r>
    </w:p>
    <w:p>
      <w:pPr>
        <w:spacing w:before="158" w:line="374" w:lineRule="auto"/>
        <w:ind w:left="671" w:right="1418" w:firstLine="480"/>
        <w:rPr>
          <w:sz w:val="24"/>
        </w:rPr>
      </w:pPr>
      <w:r>
        <w:rPr>
          <w:sz w:val="24"/>
        </w:rPr>
        <w:t xml:space="preserve">六、核查承包人现场工作人员数量及相应岗位资格，有权要求承包人撤换不称职的现场工作人员； </w:t>
      </w:r>
    </w:p>
    <w:p>
      <w:pPr>
        <w:spacing w:line="362" w:lineRule="auto"/>
        <w:ind w:left="671" w:right="1418"/>
        <w:rPr>
          <w:sz w:val="24"/>
        </w:rPr>
      </w:pPr>
      <w:r>
        <w:rPr>
          <w:sz w:val="24"/>
        </w:rPr>
        <w:t xml:space="preserve">    七、发现承包人使用的施工设备影响工程质量或进度时，有权有求承包人增加或更换施工设备； </w:t>
      </w:r>
    </w:p>
    <w:p>
      <w:pPr>
        <w:spacing w:line="362" w:lineRule="auto"/>
        <w:ind w:left="1152" w:right="2040" w:firstLine="45"/>
        <w:rPr>
          <w:sz w:val="24"/>
        </w:rPr>
      </w:pPr>
      <w:r>
        <w:rPr>
          <w:sz w:val="24"/>
        </w:rPr>
        <w:t xml:space="preserve">八、当委托人发生本合同专用条款约定的违约情形时，有权解除本合同； 九、专用合同条款约定的其他权利。 </w:t>
      </w:r>
    </w:p>
    <w:p>
      <w:pPr>
        <w:spacing w:before="41" w:line="374" w:lineRule="auto"/>
        <w:ind w:right="5014"/>
        <w:rPr>
          <w:b/>
          <w:sz w:val="24"/>
        </w:rPr>
      </w:pPr>
      <w:r>
        <w:rPr>
          <w:b/>
          <w:sz w:val="24"/>
        </w:rPr>
        <w:t>委托人的义务</w:t>
      </w:r>
    </w:p>
    <w:p>
      <w:pPr>
        <w:spacing w:before="41" w:line="374" w:lineRule="auto"/>
        <w:ind w:right="5014"/>
        <w:rPr>
          <w:sz w:val="24"/>
        </w:rPr>
      </w:pPr>
      <w:r>
        <w:rPr>
          <w:sz w:val="24"/>
        </w:rPr>
        <w:t xml:space="preserve">第九条 工程建设外部环境的协调工作。 </w:t>
      </w:r>
    </w:p>
    <w:p>
      <w:pPr>
        <w:spacing w:line="362" w:lineRule="auto"/>
        <w:ind w:left="671" w:right="1422" w:firstLine="480"/>
        <w:rPr>
          <w:sz w:val="24"/>
        </w:rPr>
      </w:pPr>
      <w:r>
        <w:rPr>
          <w:sz w:val="24"/>
        </w:rPr>
        <w:t xml:space="preserve">第十条 按专用合同条款约定的时间、数量、方式，免费向监理机构提供开展监理服务的有关工程建设的资料。 </w:t>
      </w:r>
    </w:p>
    <w:p>
      <w:pPr>
        <w:spacing w:line="362" w:lineRule="auto"/>
        <w:ind w:left="671" w:right="1417" w:firstLine="480"/>
        <w:rPr>
          <w:sz w:val="24"/>
        </w:rPr>
      </w:pPr>
      <w:r>
        <w:rPr>
          <w:sz w:val="24"/>
        </w:rPr>
        <w:t xml:space="preserve">第十一条 在专用合同条款约定的时间内，就监理机构书面提交并要求作出决定的问题作出书面决定，并及时送达监理机构。超出约定时间，监理机构未收到委托人的书面决定，且委托人未说明理由，监理机构可认为委托人对其提出的事宜已无不同意见，无须再作确认。 </w:t>
      </w:r>
    </w:p>
    <w:p>
      <w:pPr>
        <w:spacing w:before="8" w:line="362" w:lineRule="auto"/>
        <w:ind w:left="671" w:right="1423" w:firstLine="480"/>
        <w:rPr>
          <w:sz w:val="24"/>
        </w:rPr>
      </w:pPr>
      <w:r>
        <w:rPr>
          <w:sz w:val="24"/>
        </w:rPr>
        <w:t>第十二条 与承包人签订的施工合同中明确赋予监理人的权限，并在工程开工前将监理单位、</w:t>
      </w:r>
      <w:r>
        <w:rPr>
          <w:rFonts w:hint="eastAsia"/>
          <w:sz w:val="24"/>
        </w:rPr>
        <w:t>监理工程师</w:t>
      </w:r>
      <w:r>
        <w:rPr>
          <w:sz w:val="24"/>
        </w:rPr>
        <w:t xml:space="preserve">通知承包人。 </w:t>
      </w:r>
    </w:p>
    <w:p>
      <w:pPr>
        <w:spacing w:before="2" w:line="362" w:lineRule="auto"/>
        <w:ind w:left="671" w:right="1423" w:firstLine="480"/>
        <w:rPr>
          <w:sz w:val="24"/>
        </w:rPr>
      </w:pPr>
      <w:r>
        <w:rPr>
          <w:sz w:val="24"/>
        </w:rPr>
        <w:t xml:space="preserve">第十三条 提供监理人员在现场的工作和生活条件，具体内容在专用合同条款中明确。如果不能提供上述条件的，应按实际发生费用给予监理人补偿。 </w:t>
      </w:r>
    </w:p>
    <w:p>
      <w:pPr>
        <w:spacing w:before="3"/>
        <w:ind w:left="1152"/>
        <w:rPr>
          <w:sz w:val="24"/>
        </w:rPr>
      </w:pPr>
      <w:r>
        <w:rPr>
          <w:sz w:val="24"/>
        </w:rPr>
        <w:t xml:space="preserve">第十四条 按本合同约定及时、足额支付监理服务酬金。 </w:t>
      </w:r>
    </w:p>
    <w:p>
      <w:pPr>
        <w:spacing w:before="158" w:line="362" w:lineRule="auto"/>
        <w:ind w:left="671" w:right="1423" w:firstLine="480"/>
        <w:rPr>
          <w:sz w:val="24"/>
        </w:rPr>
      </w:pPr>
      <w:r>
        <w:rPr>
          <w:sz w:val="24"/>
        </w:rPr>
        <w:t xml:space="preserve">第十五条 为监理机构指定具有检验、试验资质的机构并承担检验、试验相关费用。 </w:t>
      </w:r>
    </w:p>
    <w:p>
      <w:pPr>
        <w:spacing w:before="1" w:line="369" w:lineRule="auto"/>
        <w:ind w:left="671" w:right="1417" w:firstLine="480"/>
        <w:rPr>
          <w:sz w:val="24"/>
        </w:rPr>
      </w:pPr>
      <w:r>
        <w:rPr>
          <w:sz w:val="24"/>
        </w:rPr>
        <w:t xml:space="preserve">第十六条 维护监理机构工作的独立性，不干涉监理机构正常开展监理业务，不擅自作出有悖于监理机构在合同授权范围内所作出的指示的决定；未经监理机构签字确认，不得支付工程款。 </w:t>
      </w:r>
    </w:p>
    <w:p>
      <w:pPr>
        <w:spacing w:line="362" w:lineRule="auto"/>
        <w:ind w:left="671" w:right="1423" w:firstLine="480"/>
        <w:rPr>
          <w:sz w:val="24"/>
        </w:rPr>
      </w:pPr>
      <w:r>
        <w:rPr>
          <w:sz w:val="24"/>
        </w:rPr>
        <w:t xml:space="preserve">第十七条 为监理人员投保人身意外伤害险和第三者责任险。如要求监理人自己投保，则应同意监理人将投保的费用计入报价中。 </w:t>
      </w:r>
    </w:p>
    <w:p>
      <w:pPr>
        <w:spacing w:line="362" w:lineRule="auto"/>
        <w:ind w:left="1152" w:right="1366"/>
        <w:rPr>
          <w:sz w:val="24"/>
        </w:rPr>
      </w:pPr>
      <w:r>
        <w:rPr>
          <w:sz w:val="24"/>
        </w:rPr>
        <w:t>第十八条  将投保工程险的保险合同提供给监理人作为工程合同管理的一部分。第十九条 未经监理人同意，不得将监理人用于本工程监理服务的任何文件直接</w:t>
      </w:r>
    </w:p>
    <w:p>
      <w:pPr>
        <w:ind w:left="671"/>
        <w:rPr>
          <w:sz w:val="24"/>
        </w:rPr>
      </w:pPr>
      <w:r>
        <w:rPr>
          <w:sz w:val="24"/>
        </w:rPr>
        <w:t xml:space="preserve">或间接用于其他工程建设中。 </w:t>
      </w:r>
    </w:p>
    <w:p>
      <w:pPr>
        <w:pStyle w:val="8"/>
        <w:rPr>
          <w:sz w:val="33"/>
        </w:rPr>
      </w:pPr>
    </w:p>
    <w:p>
      <w:pPr>
        <w:spacing w:before="1"/>
        <w:ind w:left="4381"/>
        <w:rPr>
          <w:b/>
          <w:sz w:val="24"/>
        </w:rPr>
      </w:pPr>
      <w:r>
        <w:rPr>
          <w:b/>
          <w:sz w:val="24"/>
        </w:rPr>
        <w:t>监理人的义务</w:t>
      </w:r>
      <w:r>
        <w:rPr>
          <w:b/>
          <w:w w:val="99"/>
          <w:sz w:val="24"/>
        </w:rPr>
        <w:t xml:space="preserve">  </w:t>
      </w:r>
    </w:p>
    <w:p>
      <w:pPr>
        <w:spacing w:before="173" w:line="362" w:lineRule="auto"/>
        <w:ind w:left="671" w:right="1423" w:firstLine="480"/>
        <w:rPr>
          <w:sz w:val="24"/>
        </w:rPr>
      </w:pPr>
      <w:r>
        <w:rPr>
          <w:sz w:val="24"/>
        </w:rPr>
        <w:t xml:space="preserve">第二十条 本着“守法、诚信、公正、科学”的原则，按专用合同条款约定的监理服务内容为委托人提供优质服务。 </w:t>
      </w:r>
    </w:p>
    <w:p>
      <w:pPr>
        <w:spacing w:before="2" w:line="369" w:lineRule="auto"/>
        <w:ind w:left="671" w:right="1417" w:firstLine="480"/>
        <w:rPr>
          <w:sz w:val="24"/>
        </w:rPr>
      </w:pPr>
      <w:r>
        <w:rPr>
          <w:sz w:val="24"/>
        </w:rPr>
        <w:t>第二十一条 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w:t>
      </w:r>
      <w:r>
        <w:rPr>
          <w:rFonts w:hint="eastAsia"/>
          <w:sz w:val="24"/>
        </w:rPr>
        <w:t>监理工程师</w:t>
      </w:r>
      <w:r>
        <w:rPr>
          <w:sz w:val="24"/>
        </w:rPr>
        <w:t xml:space="preserve">和其他主要监理人员应征得委托人同意。 </w:t>
      </w:r>
    </w:p>
    <w:p>
      <w:pPr>
        <w:spacing w:before="158" w:line="362" w:lineRule="auto"/>
        <w:ind w:left="1152" w:right="1423"/>
        <w:rPr>
          <w:sz w:val="24"/>
        </w:rPr>
      </w:pPr>
      <w:r>
        <w:rPr>
          <w:sz w:val="24"/>
        </w:rPr>
        <w:t>第二十二条  发现设计文件不符合有关规定或合同约定时，应向委托人报告。第二十三条 核验建筑材料、建筑构配件和设备质量，检查、检验并确认工程的</w:t>
      </w:r>
    </w:p>
    <w:p>
      <w:pPr>
        <w:spacing w:before="2" w:line="362" w:lineRule="auto"/>
        <w:ind w:left="671" w:right="1417"/>
        <w:rPr>
          <w:sz w:val="24"/>
        </w:rPr>
      </w:pPr>
      <w:r>
        <w:rPr>
          <w:sz w:val="24"/>
        </w:rPr>
        <w:t xml:space="preserve">施工质量；检查施工安全生产情况。发现存在质量、安全事故隐患，或发生质量、安全事故，应按有关规定及时采取相应的监理措施。 </w:t>
      </w:r>
    </w:p>
    <w:p>
      <w:pPr>
        <w:spacing w:before="2"/>
        <w:ind w:left="1152"/>
        <w:rPr>
          <w:sz w:val="24"/>
        </w:rPr>
      </w:pPr>
      <w:r>
        <w:rPr>
          <w:sz w:val="24"/>
        </w:rPr>
        <w:t xml:space="preserve">第二十四条 监督、检查工程施工进度。 </w:t>
      </w:r>
    </w:p>
    <w:p>
      <w:pPr>
        <w:spacing w:before="158" w:line="362" w:lineRule="auto"/>
        <w:ind w:left="671" w:right="1423" w:firstLine="480"/>
        <w:rPr>
          <w:sz w:val="24"/>
        </w:rPr>
      </w:pPr>
      <w:r>
        <w:rPr>
          <w:sz w:val="24"/>
        </w:rPr>
        <w:t xml:space="preserve">第二十五条 按照委托人签订的工程保险合同，做好施工现场工程保险合同的管理。协助委托人向保险公司及时提供一切必要的材料和证据。 </w:t>
      </w:r>
    </w:p>
    <w:p>
      <w:pPr>
        <w:spacing w:before="17"/>
        <w:ind w:left="1152"/>
        <w:rPr>
          <w:sz w:val="24"/>
        </w:rPr>
      </w:pPr>
      <w:r>
        <w:rPr>
          <w:sz w:val="24"/>
        </w:rPr>
        <w:t xml:space="preserve">第二十六条 协调施工合同各方之间的关系。 </w:t>
      </w:r>
    </w:p>
    <w:p>
      <w:pPr>
        <w:spacing w:before="158" w:line="362" w:lineRule="auto"/>
        <w:ind w:left="671" w:right="1423" w:firstLine="480"/>
        <w:rPr>
          <w:sz w:val="24"/>
        </w:rPr>
      </w:pPr>
      <w:r>
        <w:rPr>
          <w:sz w:val="24"/>
        </w:rPr>
        <w:t xml:space="preserve">第二十七条 按照施工作业程序，采取旁站、巡视、跟踪检测和平行检测等方法实施监理。需要旁站的重要部位和关键工序在专用合同条款中约定。 </w:t>
      </w:r>
    </w:p>
    <w:p>
      <w:pPr>
        <w:spacing w:before="3" w:line="362" w:lineRule="auto"/>
        <w:ind w:left="671" w:right="1423" w:firstLine="480"/>
        <w:rPr>
          <w:sz w:val="24"/>
        </w:rPr>
      </w:pPr>
      <w:r>
        <w:rPr>
          <w:sz w:val="24"/>
        </w:rPr>
        <w:t xml:space="preserve">第二十八条 及时做好工程施工各种监理信息的收集、整理和归档，并保证现场记录、试验、检验、检查等资料的完整和真实。 </w:t>
      </w:r>
    </w:p>
    <w:p>
      <w:pPr>
        <w:spacing w:before="2" w:line="362" w:lineRule="auto"/>
        <w:ind w:left="671" w:right="1370" w:firstLine="480"/>
        <w:rPr>
          <w:sz w:val="24"/>
        </w:rPr>
      </w:pPr>
      <w:r>
        <w:rPr>
          <w:sz w:val="24"/>
        </w:rPr>
        <w:t xml:space="preserve">第二十九条 编制《监理日志》，并向委托人提交监理月报、监理专题报告、监理工作报告和监理工作总结报告。 </w:t>
      </w:r>
    </w:p>
    <w:p>
      <w:pPr>
        <w:spacing w:before="2" w:line="374" w:lineRule="auto"/>
        <w:ind w:left="671" w:right="1423" w:firstLine="480"/>
        <w:rPr>
          <w:sz w:val="24"/>
        </w:rPr>
      </w:pPr>
      <w:r>
        <w:rPr>
          <w:sz w:val="24"/>
        </w:rPr>
        <w:t xml:space="preserve">第三十条 按有关规定参加工程验收，做好相关配合工作。委托人委托监理人主持的分部工程验收由专用合同条款约定。 </w:t>
      </w:r>
    </w:p>
    <w:p>
      <w:pPr>
        <w:spacing w:line="362" w:lineRule="auto"/>
        <w:ind w:left="671" w:right="1417" w:firstLine="480"/>
        <w:rPr>
          <w:sz w:val="24"/>
        </w:rPr>
      </w:pPr>
      <w:r>
        <w:rPr>
          <w:sz w:val="24"/>
        </w:rPr>
        <w:t xml:space="preserve">第三十一条 妥善做好委托人所提供的工程建设文件资料的保存、回收及保密工作。在本合同期限内或专用合同条款约定的合同终止后的一定期限内，未征得委托人同意，不得公开涉及委托人的专利、专有技术或其他需保密的资料，不得泄露与本合同业务有关的技术、商务等秘密。 </w:t>
      </w:r>
    </w:p>
    <w:p>
      <w:pPr>
        <w:pStyle w:val="8"/>
        <w:spacing w:before="5"/>
        <w:rPr>
          <w:sz w:val="20"/>
        </w:rPr>
      </w:pPr>
    </w:p>
    <w:p>
      <w:pPr>
        <w:ind w:left="4381"/>
        <w:rPr>
          <w:b/>
          <w:sz w:val="24"/>
        </w:rPr>
      </w:pPr>
      <w:r>
        <w:rPr>
          <w:b/>
          <w:sz w:val="24"/>
        </w:rPr>
        <w:t>监理服务酬金</w:t>
      </w:r>
      <w:r>
        <w:rPr>
          <w:b/>
          <w:w w:val="99"/>
          <w:sz w:val="24"/>
        </w:rPr>
        <w:t xml:space="preserve"> </w:t>
      </w:r>
    </w:p>
    <w:p>
      <w:pPr>
        <w:spacing w:before="172" w:line="362" w:lineRule="auto"/>
        <w:ind w:left="1152" w:right="1366"/>
        <w:rPr>
          <w:sz w:val="24"/>
        </w:rPr>
      </w:pPr>
      <w:r>
        <w:rPr>
          <w:sz w:val="24"/>
        </w:rPr>
        <w:t>第三十二条 监理正常服务酬金的支付时间和支付方式在专用合同条款中约定。第三十三条 除不可抗力外，有下列情形之一且由此引起监理工作量增加或服务</w:t>
      </w:r>
    </w:p>
    <w:p>
      <w:pPr>
        <w:spacing w:before="3"/>
        <w:ind w:left="671"/>
        <w:rPr>
          <w:sz w:val="24"/>
        </w:rPr>
      </w:pPr>
      <w:r>
        <w:rPr>
          <w:sz w:val="24"/>
        </w:rPr>
        <w:t xml:space="preserve">期限延长，均应视为监理机构的附加服务，监理人应得到监理附加服务酬金： </w:t>
      </w:r>
    </w:p>
    <w:p>
      <w:pPr>
        <w:spacing w:before="158" w:line="362" w:lineRule="auto"/>
        <w:ind w:left="671" w:right="1418" w:firstLine="480"/>
        <w:rPr>
          <w:sz w:val="24"/>
        </w:rPr>
      </w:pPr>
      <w:r>
        <w:rPr>
          <w:sz w:val="24"/>
        </w:rPr>
        <w:t xml:space="preserve">一、由于委托人、第三方责任、设计变更及不良地质条件等非监理人原因致使正常的监理服务受到阻碍或延误； </w:t>
      </w:r>
    </w:p>
    <w:p>
      <w:pPr>
        <w:spacing w:before="17" w:line="362" w:lineRule="auto"/>
        <w:ind w:left="671" w:right="1418" w:firstLine="480"/>
        <w:rPr>
          <w:sz w:val="24"/>
        </w:rPr>
      </w:pPr>
      <w:r>
        <w:rPr>
          <w:sz w:val="24"/>
        </w:rPr>
        <w:t xml:space="preserve">二、在本合同履行过程中，委托人要求监理机构完成监理合同约定范围和合同以外的服务； </w:t>
      </w:r>
    </w:p>
    <w:p>
      <w:pPr>
        <w:spacing w:before="36" w:line="362" w:lineRule="auto"/>
        <w:ind w:left="671" w:right="1418" w:firstLine="480"/>
        <w:rPr>
          <w:sz w:val="24"/>
        </w:rPr>
      </w:pPr>
      <w:r>
        <w:rPr>
          <w:sz w:val="24"/>
        </w:rPr>
        <w:t xml:space="preserve">三、由于非监理人原因暂停或终止监理业务时，其善后工作或恢复执行监理业务的工作。 </w:t>
      </w:r>
    </w:p>
    <w:p>
      <w:pPr>
        <w:spacing w:before="2" w:line="362" w:lineRule="auto"/>
        <w:ind w:left="671" w:right="1418" w:firstLine="480"/>
        <w:rPr>
          <w:sz w:val="24"/>
        </w:rPr>
      </w:pPr>
      <w:r>
        <w:rPr>
          <w:sz w:val="24"/>
        </w:rPr>
        <w:t xml:space="preserve">监理人完成附加服务应得到的酬金，按专用合同条款约定的方法或监理补充协议计取和支付。 </w:t>
      </w:r>
    </w:p>
    <w:p>
      <w:pPr>
        <w:spacing w:before="2" w:line="362" w:lineRule="auto"/>
        <w:ind w:left="671" w:right="1423" w:firstLine="480"/>
        <w:rPr>
          <w:sz w:val="24"/>
        </w:rPr>
      </w:pPr>
      <w:r>
        <w:rPr>
          <w:sz w:val="24"/>
        </w:rPr>
        <w:t xml:space="preserve">第三十四条 国家有关法律、法规、规章和监理酬金标准变化时，应按有关规定调整监理服务酬金。 </w:t>
      </w:r>
    </w:p>
    <w:p>
      <w:pPr>
        <w:spacing w:before="3" w:line="369" w:lineRule="auto"/>
        <w:ind w:left="671" w:right="1366" w:firstLine="480"/>
        <w:rPr>
          <w:sz w:val="24"/>
        </w:rPr>
      </w:pPr>
      <w:r>
        <w:rPr>
          <w:sz w:val="24"/>
        </w:rPr>
        <w:t>第三十五条 委托人对监理人申请支付的监理酬金项目及金额有异议时，应当在</w:t>
      </w:r>
      <w:r>
        <w:rPr>
          <w:spacing w:val="-6"/>
          <w:sz w:val="24"/>
        </w:rPr>
        <w:t xml:space="preserve">收到监理人支付申请书后 </w:t>
      </w:r>
      <w:r>
        <w:rPr>
          <w:sz w:val="24"/>
        </w:rPr>
        <w:t>7</w:t>
      </w:r>
      <w:r>
        <w:rPr>
          <w:spacing w:val="-13"/>
          <w:sz w:val="24"/>
        </w:rPr>
        <w:t xml:space="preserve"> 天内向监理人发出异议通知，由双方协商解决。</w:t>
      </w:r>
      <w:r>
        <w:rPr>
          <w:sz w:val="24"/>
        </w:rPr>
        <w:t>7</w:t>
      </w:r>
      <w:r>
        <w:rPr>
          <w:spacing w:val="-12"/>
          <w:sz w:val="24"/>
        </w:rPr>
        <w:t xml:space="preserve"> 天内未发出异议通知，则按通用合同条款第三十二条、第三十三条、第三十四条的约定支付。</w:t>
      </w:r>
      <w:r>
        <w:rPr>
          <w:sz w:val="24"/>
        </w:rPr>
        <w:t xml:space="preserve"> </w:t>
      </w:r>
    </w:p>
    <w:p>
      <w:pPr>
        <w:pStyle w:val="8"/>
        <w:spacing w:before="4"/>
        <w:rPr>
          <w:sz w:val="20"/>
        </w:rPr>
      </w:pPr>
    </w:p>
    <w:p>
      <w:pPr>
        <w:ind w:left="1047" w:right="1664"/>
        <w:jc w:val="center"/>
        <w:rPr>
          <w:b/>
          <w:sz w:val="24"/>
        </w:rPr>
      </w:pPr>
      <w:r>
        <w:rPr>
          <w:b/>
          <w:sz w:val="24"/>
        </w:rPr>
        <w:t>合同变更与终止</w:t>
      </w:r>
      <w:r>
        <w:rPr>
          <w:b/>
          <w:w w:val="99"/>
          <w:sz w:val="24"/>
        </w:rPr>
        <w:t xml:space="preserve"> </w:t>
      </w:r>
    </w:p>
    <w:p>
      <w:pPr>
        <w:spacing w:before="158" w:line="369" w:lineRule="auto"/>
        <w:ind w:left="671" w:right="1417" w:firstLine="480"/>
        <w:rPr>
          <w:sz w:val="24"/>
        </w:rPr>
      </w:pPr>
      <w:r>
        <w:rPr>
          <w:sz w:val="24"/>
        </w:rPr>
        <w:t xml:space="preserve">第三十六条 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 </w:t>
      </w:r>
    </w:p>
    <w:p>
      <w:pPr>
        <w:spacing w:line="362" w:lineRule="auto"/>
        <w:ind w:left="671" w:right="1406" w:firstLine="480"/>
        <w:rPr>
          <w:sz w:val="24"/>
        </w:rPr>
      </w:pPr>
      <w:r>
        <w:rPr>
          <w:sz w:val="24"/>
        </w:rPr>
        <w:t>第三十七条 当发生法律或本合同约定的解除合同的情形时，有权解除合同的一</w:t>
      </w:r>
      <w:r>
        <w:rPr>
          <w:spacing w:val="-6"/>
          <w:sz w:val="24"/>
        </w:rPr>
        <w:t xml:space="preserve">方要求解除合同的，应书面通知对方；若通知送达后 </w:t>
      </w:r>
      <w:r>
        <w:rPr>
          <w:sz w:val="24"/>
        </w:rPr>
        <w:t>28</w:t>
      </w:r>
      <w:r>
        <w:rPr>
          <w:spacing w:val="-9"/>
          <w:sz w:val="24"/>
        </w:rPr>
        <w:t xml:space="preserve"> 天内未收到对方的答复，可发</w:t>
      </w:r>
      <w:r>
        <w:rPr>
          <w:spacing w:val="-6"/>
          <w:sz w:val="24"/>
        </w:rPr>
        <w:t>出终止监理合同的通知，本合同即行终止。因解除合同遭受损失的，除依法可以免除责任的外，应由责任方赔偿损失。</w:t>
      </w:r>
      <w:r>
        <w:rPr>
          <w:sz w:val="24"/>
        </w:rPr>
        <w:t xml:space="preserve"> </w:t>
      </w:r>
    </w:p>
    <w:p>
      <w:pPr>
        <w:spacing w:line="362" w:lineRule="auto"/>
        <w:ind w:left="671" w:right="1423" w:firstLine="480"/>
        <w:rPr>
          <w:sz w:val="24"/>
        </w:rPr>
      </w:pPr>
      <w:r>
        <w:rPr>
          <w:sz w:val="24"/>
        </w:rPr>
        <w:t xml:space="preserve">第三十八条 在监理服务期内，由于国家政策致使工程建设计划重大调整，或不可抗力致使合同不能履行时，双方协商解决因合同终止所产生的遗留问题。 </w:t>
      </w:r>
    </w:p>
    <w:p>
      <w:pPr>
        <w:spacing w:before="12"/>
        <w:ind w:left="1152"/>
        <w:rPr>
          <w:sz w:val="24"/>
        </w:rPr>
      </w:pPr>
      <w:r>
        <w:rPr>
          <w:sz w:val="24"/>
        </w:rPr>
        <w:t xml:space="preserve">第三十九条 本合同在监理期限届满并结清监理服务酬金后即终止。 </w:t>
      </w:r>
    </w:p>
    <w:p>
      <w:pPr>
        <w:pStyle w:val="8"/>
        <w:spacing w:before="5"/>
        <w:rPr>
          <w:sz w:val="33"/>
        </w:rPr>
      </w:pPr>
    </w:p>
    <w:p>
      <w:pPr>
        <w:ind w:left="1047" w:right="1679"/>
        <w:jc w:val="center"/>
        <w:rPr>
          <w:b/>
          <w:sz w:val="24"/>
        </w:rPr>
      </w:pPr>
      <w:r>
        <w:rPr>
          <w:b/>
          <w:sz w:val="24"/>
        </w:rPr>
        <w:t>违约责任</w:t>
      </w:r>
      <w:r>
        <w:rPr>
          <w:b/>
          <w:w w:val="99"/>
          <w:sz w:val="24"/>
        </w:rPr>
        <w:t xml:space="preserve"> </w:t>
      </w:r>
    </w:p>
    <w:p>
      <w:pPr>
        <w:spacing w:before="159" w:line="369" w:lineRule="auto"/>
        <w:ind w:left="671" w:right="1417" w:firstLine="480"/>
        <w:rPr>
          <w:sz w:val="24"/>
        </w:rPr>
      </w:pPr>
      <w:r>
        <w:rPr>
          <w:sz w:val="24"/>
        </w:rPr>
        <w:t xml:space="preserve">第四十条 委托人未履行合同条款第十条、第十一条、第十三条、第十四条、第十五条、第十六条、第十七条、第十九条约定的义务和责任，除按专用合同条款约定向监理人支付违约金外，还应继续履行合同约定的义务和责任。 </w:t>
      </w:r>
    </w:p>
    <w:p>
      <w:pPr>
        <w:spacing w:line="362" w:lineRule="auto"/>
        <w:ind w:left="671" w:right="1417" w:firstLine="480"/>
        <w:rPr>
          <w:sz w:val="24"/>
        </w:rPr>
      </w:pPr>
      <w:r>
        <w:rPr>
          <w:sz w:val="24"/>
        </w:rPr>
        <w:t xml:space="preserve">第四十一条 委托人未按合同条款第三十二条、第三十三条、第三十四条约定支付监理服务酬金，除按专用合同条款约定向监理人支付逾期付款违约金外，还应继续履行合同约定的支付义务。 </w:t>
      </w:r>
    </w:p>
    <w:p>
      <w:pPr>
        <w:spacing w:line="362" w:lineRule="auto"/>
        <w:ind w:left="671" w:right="1423" w:firstLine="480"/>
        <w:rPr>
          <w:sz w:val="24"/>
        </w:rPr>
      </w:pPr>
      <w:r>
        <w:rPr>
          <w:sz w:val="24"/>
        </w:rPr>
        <w:t xml:space="preserve">第四十二条 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 </w:t>
      </w:r>
    </w:p>
    <w:p>
      <w:pPr>
        <w:pStyle w:val="8"/>
        <w:spacing w:before="3"/>
      </w:pPr>
    </w:p>
    <w:p>
      <w:pPr>
        <w:ind w:left="1047" w:right="1664"/>
        <w:jc w:val="center"/>
        <w:rPr>
          <w:b/>
          <w:sz w:val="24"/>
        </w:rPr>
      </w:pPr>
      <w:r>
        <w:rPr>
          <w:b/>
          <w:sz w:val="24"/>
        </w:rPr>
        <w:t>争议的解决</w:t>
      </w:r>
      <w:r>
        <w:rPr>
          <w:b/>
          <w:w w:val="99"/>
          <w:sz w:val="24"/>
        </w:rPr>
        <w:t xml:space="preserve"> </w:t>
      </w:r>
    </w:p>
    <w:p>
      <w:pPr>
        <w:spacing w:before="173" w:line="362" w:lineRule="auto"/>
        <w:ind w:left="671" w:right="1417" w:firstLine="480"/>
        <w:rPr>
          <w:sz w:val="24"/>
        </w:rPr>
      </w:pPr>
      <w:r>
        <w:rPr>
          <w:sz w:val="24"/>
        </w:rPr>
        <w:t xml:space="preserve">第四十三条 本合同发生争议，由当事人双方协商解决；也可由工程项目主管部门或合同争议调解机构调解；协商或调解未果时，经当事人双方同意可由仲裁机构仲裁；或向人民法院起诉。争议调解机构、仲裁机构在专用合同条款中约定。 </w:t>
      </w:r>
    </w:p>
    <w:p>
      <w:pPr>
        <w:spacing w:before="4" w:line="362" w:lineRule="auto"/>
        <w:ind w:left="671" w:right="1423" w:firstLine="480"/>
        <w:rPr>
          <w:sz w:val="24"/>
        </w:rPr>
      </w:pPr>
      <w:r>
        <w:rPr>
          <w:sz w:val="24"/>
        </w:rPr>
        <w:t xml:space="preserve">第四十四条 在争议协商、调解、仲裁或起诉过程中，双方仍应继续履行合同约定的责任和义务。 </w:t>
      </w:r>
    </w:p>
    <w:p>
      <w:pPr>
        <w:pStyle w:val="8"/>
        <w:spacing w:before="3"/>
      </w:pPr>
    </w:p>
    <w:p>
      <w:pPr>
        <w:ind w:left="1047" w:right="1681"/>
        <w:jc w:val="center"/>
        <w:rPr>
          <w:b/>
          <w:sz w:val="24"/>
        </w:rPr>
      </w:pPr>
      <w:r>
        <w:rPr>
          <w:b/>
          <w:spacing w:val="59"/>
          <w:sz w:val="24"/>
        </w:rPr>
        <w:t>其 他</w:t>
      </w:r>
      <w:r>
        <w:rPr>
          <w:b/>
          <w:w w:val="99"/>
          <w:sz w:val="24"/>
        </w:rPr>
        <w:t xml:space="preserve"> </w:t>
      </w:r>
    </w:p>
    <w:p>
      <w:pPr>
        <w:spacing w:before="173" w:line="362" w:lineRule="auto"/>
        <w:ind w:left="671" w:right="1423" w:firstLine="480"/>
        <w:rPr>
          <w:b/>
          <w:sz w:val="28"/>
        </w:rPr>
      </w:pPr>
      <w:r>
        <w:rPr>
          <w:sz w:val="24"/>
        </w:rPr>
        <w:t>第四十五条 委托人可以对监理人提出并落实的合理化建议给予奖励。奖励办法在专用合同条款中约定。</w:t>
      </w:r>
      <w:r>
        <w:rPr>
          <w:w w:val="101"/>
          <w:sz w:val="28"/>
        </w:rPr>
        <w:t xml:space="preserve"> </w:t>
      </w:r>
      <w:r>
        <w:rPr>
          <w:b/>
          <w:sz w:val="28"/>
        </w:rPr>
        <w:t xml:space="preserve"> </w:t>
      </w:r>
    </w:p>
    <w:p>
      <w:pPr>
        <w:rPr>
          <w:sz w:val="28"/>
        </w:rPr>
        <w:sectPr>
          <w:pgSz w:w="11910" w:h="16850"/>
          <w:pgMar w:top="1440" w:right="1080" w:bottom="1440" w:left="1080" w:header="0" w:footer="916" w:gutter="0"/>
          <w:cols w:space="720" w:num="1"/>
        </w:sectPr>
      </w:pPr>
    </w:p>
    <w:p>
      <w:pPr>
        <w:spacing w:before="66"/>
        <w:ind w:left="1047" w:right="1783"/>
        <w:jc w:val="center"/>
        <w:rPr>
          <w:rFonts w:ascii="黑体" w:eastAsia="黑体"/>
          <w:b/>
          <w:sz w:val="28"/>
        </w:rPr>
      </w:pPr>
      <w:bookmarkStart w:id="72" w:name="第二部分_专用合同条款"/>
      <w:bookmarkEnd w:id="72"/>
      <w:r>
        <w:rPr>
          <w:rFonts w:hint="eastAsia" w:ascii="黑体" w:eastAsia="黑体"/>
          <w:b/>
          <w:sz w:val="28"/>
        </w:rPr>
        <w:t>第二部分 专用合同条款</w:t>
      </w:r>
    </w:p>
    <w:p>
      <w:pPr>
        <w:spacing w:before="194"/>
        <w:ind w:left="1047" w:right="1679"/>
        <w:jc w:val="center"/>
        <w:rPr>
          <w:b/>
          <w:sz w:val="24"/>
        </w:rPr>
      </w:pPr>
      <w:r>
        <w:rPr>
          <w:b/>
          <w:sz w:val="24"/>
        </w:rPr>
        <w:t>监理依据</w:t>
      </w:r>
      <w:r>
        <w:rPr>
          <w:b/>
          <w:w w:val="99"/>
          <w:sz w:val="24"/>
        </w:rPr>
        <w:t xml:space="preserve"> </w:t>
      </w:r>
    </w:p>
    <w:p>
      <w:pPr>
        <w:spacing w:before="158"/>
        <w:ind w:left="1032"/>
        <w:rPr>
          <w:sz w:val="24"/>
        </w:rPr>
      </w:pPr>
      <w:r>
        <w:rPr>
          <w:sz w:val="24"/>
        </w:rPr>
        <w:t xml:space="preserve">  第三条 本合同的监理依据为： </w:t>
      </w:r>
    </w:p>
    <w:p>
      <w:pPr>
        <w:spacing w:before="158"/>
        <w:ind w:left="1032"/>
        <w:rPr>
          <w:sz w:val="24"/>
        </w:rPr>
      </w:pPr>
      <w:r>
        <w:rPr>
          <w:sz w:val="24"/>
        </w:rPr>
        <w:t xml:space="preserve">1、建设项目中签订的合同、协议；  </w:t>
      </w:r>
    </w:p>
    <w:p>
      <w:pPr>
        <w:spacing w:before="172"/>
        <w:ind w:left="1032"/>
        <w:rPr>
          <w:sz w:val="24"/>
        </w:rPr>
      </w:pPr>
      <w:r>
        <w:rPr>
          <w:spacing w:val="-1"/>
          <w:sz w:val="24"/>
        </w:rPr>
        <w:t>2</w:t>
      </w:r>
      <w:r>
        <w:rPr>
          <w:spacing w:val="-21"/>
          <w:sz w:val="24"/>
        </w:rPr>
        <w:t>、《水利工程施工监理规范》</w:t>
      </w:r>
      <w:r>
        <w:rPr>
          <w:sz w:val="24"/>
        </w:rPr>
        <w:t>（SL28</w:t>
      </w:r>
      <w:r>
        <w:rPr>
          <w:spacing w:val="1"/>
          <w:sz w:val="24"/>
        </w:rPr>
        <w:t>8</w:t>
      </w:r>
      <w:r>
        <w:rPr>
          <w:sz w:val="24"/>
        </w:rPr>
        <w:t>－2014</w:t>
      </w:r>
      <w:r>
        <w:rPr>
          <w:spacing w:val="-120"/>
          <w:sz w:val="24"/>
        </w:rPr>
        <w:t>）</w:t>
      </w:r>
      <w:r>
        <w:rPr>
          <w:sz w:val="24"/>
        </w:rPr>
        <w:t xml:space="preserve">； </w:t>
      </w:r>
    </w:p>
    <w:p>
      <w:pPr>
        <w:spacing w:before="158"/>
        <w:ind w:left="1032"/>
        <w:rPr>
          <w:sz w:val="24"/>
        </w:rPr>
      </w:pPr>
      <w:r>
        <w:rPr>
          <w:spacing w:val="-1"/>
          <w:sz w:val="24"/>
        </w:rPr>
        <w:t>3、本合同工程的设计文件及各阶段设计文件；</w:t>
      </w:r>
      <w:r>
        <w:rPr>
          <w:sz w:val="24"/>
        </w:rPr>
        <w:t xml:space="preserve"> </w:t>
      </w:r>
    </w:p>
    <w:p>
      <w:pPr>
        <w:spacing w:before="158"/>
        <w:ind w:left="1032"/>
        <w:rPr>
          <w:sz w:val="24"/>
        </w:rPr>
      </w:pPr>
      <w:r>
        <w:rPr>
          <w:sz w:val="24"/>
        </w:rPr>
        <w:t xml:space="preserve">4、本工程建设全部合同文件； </w:t>
      </w:r>
    </w:p>
    <w:p>
      <w:pPr>
        <w:spacing w:before="158"/>
        <w:ind w:left="1032"/>
        <w:rPr>
          <w:sz w:val="24"/>
        </w:rPr>
      </w:pPr>
      <w:r>
        <w:rPr>
          <w:sz w:val="24"/>
        </w:rPr>
        <w:t xml:space="preserve">5、工程建设过程中，有关部门颁发的相关文件。 </w:t>
      </w:r>
    </w:p>
    <w:p>
      <w:pPr>
        <w:spacing w:before="158"/>
        <w:ind w:left="1047" w:right="1680"/>
        <w:jc w:val="center"/>
        <w:rPr>
          <w:b/>
          <w:sz w:val="24"/>
        </w:rPr>
      </w:pPr>
      <w:r>
        <w:rPr>
          <w:b/>
          <w:sz w:val="24"/>
        </w:rPr>
        <w:t>委托人的权利</w:t>
      </w:r>
      <w:r>
        <w:rPr>
          <w:b/>
          <w:w w:val="99"/>
          <w:sz w:val="24"/>
        </w:rPr>
        <w:t xml:space="preserve"> </w:t>
      </w:r>
    </w:p>
    <w:p>
      <w:pPr>
        <w:spacing w:before="158"/>
        <w:ind w:left="1152"/>
        <w:rPr>
          <w:sz w:val="24"/>
        </w:rPr>
      </w:pPr>
      <w:r>
        <w:rPr>
          <w:sz w:val="24"/>
        </w:rPr>
        <w:t xml:space="preserve">第七条 </w:t>
      </w:r>
    </w:p>
    <w:p>
      <w:pPr>
        <w:spacing w:before="158"/>
        <w:ind w:left="1152"/>
        <w:rPr>
          <w:sz w:val="24"/>
        </w:rPr>
      </w:pPr>
      <w:r>
        <w:rPr>
          <w:sz w:val="24"/>
        </w:rPr>
        <w:t xml:space="preserve">五、当监理人发生下列违约情形时，委托人有权解除合同： </w:t>
      </w:r>
    </w:p>
    <w:p>
      <w:pPr>
        <w:spacing w:before="158"/>
        <w:ind w:left="1152"/>
        <w:rPr>
          <w:sz w:val="24"/>
        </w:rPr>
      </w:pPr>
      <w:r>
        <w:rPr>
          <w:sz w:val="24"/>
        </w:rPr>
        <w:t>l、</w:t>
      </w:r>
      <w:r>
        <w:rPr>
          <w:sz w:val="24"/>
          <w:u w:val="single"/>
        </w:rPr>
        <w:t xml:space="preserve">不按监理合同约定履行监理职责，每次罚款 1 万，累积超过 5 次的 </w:t>
      </w:r>
      <w:r>
        <w:rPr>
          <w:sz w:val="24"/>
        </w:rPr>
        <w:t xml:space="preserve">； </w:t>
      </w:r>
    </w:p>
    <w:p>
      <w:pPr>
        <w:pStyle w:val="8"/>
        <w:spacing w:before="4"/>
        <w:rPr>
          <w:sz w:val="8"/>
        </w:rPr>
      </w:pPr>
    </w:p>
    <w:p>
      <w:pPr>
        <w:spacing w:before="66" w:line="362" w:lineRule="auto"/>
        <w:ind w:left="671" w:right="1421" w:firstLine="480"/>
        <w:rPr>
          <w:sz w:val="24"/>
        </w:rPr>
      </w:pPr>
      <w:r>
        <w:rPr>
          <w:spacing w:val="-1"/>
          <w:sz w:val="24"/>
        </w:rPr>
        <w:t>2</w:t>
      </w:r>
      <w:r>
        <w:rPr>
          <w:spacing w:val="-15"/>
          <w:sz w:val="24"/>
        </w:rPr>
        <w:t>、</w:t>
      </w:r>
      <w:r>
        <w:rPr>
          <w:spacing w:val="-6"/>
          <w:sz w:val="24"/>
          <w:u w:val="single"/>
        </w:rPr>
        <w:t>对玩忽职守，不能胜任工作的现场监理人员，委托人提出撤换要求，监理人不</w:t>
      </w:r>
      <w:r>
        <w:rPr>
          <w:spacing w:val="-231"/>
          <w:sz w:val="24"/>
          <w:u w:val="single"/>
        </w:rPr>
        <w:t>予撤</w:t>
      </w:r>
      <w:r>
        <w:rPr>
          <w:spacing w:val="-1"/>
          <w:sz w:val="24"/>
          <w:u w:val="single"/>
        </w:rPr>
        <w:t xml:space="preserve">换的 </w:t>
      </w:r>
      <w:r>
        <w:rPr>
          <w:sz w:val="24"/>
        </w:rPr>
        <w:t xml:space="preserve">。 </w:t>
      </w:r>
    </w:p>
    <w:p>
      <w:pPr>
        <w:spacing w:before="3"/>
        <w:ind w:left="1047" w:right="1680"/>
        <w:jc w:val="center"/>
        <w:rPr>
          <w:b/>
          <w:sz w:val="24"/>
        </w:rPr>
      </w:pPr>
      <w:r>
        <w:rPr>
          <w:b/>
          <w:sz w:val="24"/>
        </w:rPr>
        <w:t>监理人的权利</w:t>
      </w:r>
      <w:r>
        <w:rPr>
          <w:b/>
          <w:w w:val="99"/>
          <w:sz w:val="24"/>
        </w:rPr>
        <w:t xml:space="preserve"> </w:t>
      </w:r>
    </w:p>
    <w:p>
      <w:pPr>
        <w:spacing w:before="157"/>
        <w:ind w:left="1152"/>
        <w:rPr>
          <w:sz w:val="24"/>
        </w:rPr>
      </w:pPr>
      <w:r>
        <w:rPr>
          <w:sz w:val="24"/>
        </w:rPr>
        <w:t xml:space="preserve">第八条 </w:t>
      </w:r>
    </w:p>
    <w:p>
      <w:pPr>
        <w:spacing w:before="158"/>
        <w:ind w:left="1152"/>
        <w:rPr>
          <w:sz w:val="24"/>
        </w:rPr>
      </w:pPr>
      <w:r>
        <w:rPr>
          <w:sz w:val="24"/>
        </w:rPr>
        <w:t xml:space="preserve">八、当委托人发生下列违约情形时，监理人有权解除合同： </w:t>
      </w:r>
    </w:p>
    <w:p>
      <w:pPr>
        <w:spacing w:before="158"/>
        <w:ind w:left="1152"/>
        <w:rPr>
          <w:sz w:val="24"/>
        </w:rPr>
      </w:pPr>
      <w:r>
        <w:rPr>
          <w:sz w:val="24"/>
        </w:rPr>
        <w:t>l、</w:t>
      </w:r>
      <w:r>
        <w:rPr>
          <w:sz w:val="24"/>
          <w:u w:val="single"/>
        </w:rPr>
        <w:t xml:space="preserve">不按监理合同约定支付监理报酬，经双方协商后仍达不成延期付款协议的 </w:t>
      </w:r>
      <w:r>
        <w:rPr>
          <w:sz w:val="24"/>
        </w:rPr>
        <w:t xml:space="preserve">； </w:t>
      </w:r>
    </w:p>
    <w:p>
      <w:pPr>
        <w:spacing w:before="158" w:line="362" w:lineRule="auto"/>
        <w:ind w:left="671" w:right="1402" w:firstLine="480"/>
        <w:rPr>
          <w:sz w:val="24"/>
        </w:rPr>
      </w:pPr>
      <w:r>
        <w:rPr>
          <w:sz w:val="24"/>
        </w:rPr>
        <w:t>2</w:t>
      </w:r>
      <w:r>
        <w:rPr>
          <w:spacing w:val="-15"/>
          <w:sz w:val="24"/>
        </w:rPr>
        <w:t>、</w:t>
      </w:r>
      <w:r>
        <w:rPr>
          <w:spacing w:val="-3"/>
          <w:sz w:val="24"/>
          <w:u w:val="single"/>
        </w:rPr>
        <w:t>不按监理合同约定，过度干预监理工作正常开展，未经监理机构签字确认即支</w:t>
      </w:r>
      <w:r>
        <w:rPr>
          <w:spacing w:val="-238"/>
          <w:sz w:val="24"/>
          <w:u w:val="single"/>
        </w:rPr>
        <w:t>付</w:t>
      </w:r>
      <w:r>
        <w:rPr>
          <w:spacing w:val="-17"/>
          <w:sz w:val="24"/>
          <w:u w:val="single"/>
        </w:rPr>
        <w:t>工程款，致使监理工作无法继续进行的</w:t>
      </w:r>
      <w:r>
        <w:rPr>
          <w:sz w:val="24"/>
        </w:rPr>
        <w:t xml:space="preserve">； </w:t>
      </w:r>
    </w:p>
    <w:p>
      <w:pPr>
        <w:spacing w:before="17"/>
        <w:ind w:left="1152"/>
        <w:rPr>
          <w:sz w:val="24"/>
        </w:rPr>
      </w:pPr>
      <w:r>
        <w:rPr>
          <w:sz w:val="24"/>
        </w:rPr>
        <w:t xml:space="preserve">九、委托人赋予监理人的其他权利： </w:t>
      </w:r>
    </w:p>
    <w:p>
      <w:pPr>
        <w:spacing w:before="158"/>
        <w:ind w:left="1092"/>
        <w:rPr>
          <w:sz w:val="24"/>
        </w:rPr>
      </w:pPr>
      <w:r>
        <w:rPr>
          <w:rFonts w:hint="eastAsia"/>
          <w:sz w:val="24"/>
        </w:rPr>
        <w:t>1</w:t>
      </w:r>
      <w:r>
        <w:rPr>
          <w:sz w:val="24"/>
        </w:rPr>
        <w:t xml:space="preserve">、签发保修责任终止证书。 </w:t>
      </w:r>
    </w:p>
    <w:p>
      <w:pPr>
        <w:spacing w:before="158" w:line="362" w:lineRule="auto"/>
        <w:ind w:right="4909"/>
        <w:jc w:val="center"/>
        <w:rPr>
          <w:b/>
          <w:sz w:val="24"/>
        </w:rPr>
      </w:pPr>
      <w:r>
        <w:rPr>
          <w:b/>
          <w:sz w:val="24"/>
        </w:rPr>
        <w:t>委托人的义务</w:t>
      </w:r>
    </w:p>
    <w:p>
      <w:pPr>
        <w:spacing w:before="158" w:line="362" w:lineRule="auto"/>
        <w:ind w:right="4909"/>
        <w:rPr>
          <w:sz w:val="24"/>
        </w:rPr>
      </w:pPr>
      <w:r>
        <w:rPr>
          <w:sz w:val="24"/>
        </w:rPr>
        <w:t xml:space="preserve">第十条 委托人向监理机构免费提供的资料为： </w:t>
      </w:r>
    </w:p>
    <w:p>
      <w:pPr>
        <w:spacing w:before="2"/>
        <w:ind w:left="1032"/>
        <w:rPr>
          <w:sz w:val="24"/>
        </w:rPr>
      </w:pPr>
      <w:r>
        <w:rPr>
          <w:sz w:val="24"/>
        </w:rPr>
        <w:t xml:space="preserve">1、建设项目中签订的合同、协议；  </w:t>
      </w:r>
    </w:p>
    <w:p>
      <w:pPr>
        <w:spacing w:before="158"/>
        <w:ind w:left="1032"/>
        <w:rPr>
          <w:sz w:val="24"/>
        </w:rPr>
      </w:pPr>
      <w:r>
        <w:rPr>
          <w:sz w:val="24"/>
        </w:rPr>
        <w:t xml:space="preserve">2、本合同工程的设计文件及各阶段设计文件； </w:t>
      </w:r>
    </w:p>
    <w:p>
      <w:pPr>
        <w:spacing w:before="158"/>
        <w:ind w:left="1032"/>
        <w:rPr>
          <w:sz w:val="24"/>
        </w:rPr>
      </w:pPr>
      <w:r>
        <w:rPr>
          <w:sz w:val="24"/>
        </w:rPr>
        <w:t xml:space="preserve">3、本工程建设全部合同文件； </w:t>
      </w:r>
    </w:p>
    <w:p>
      <w:pPr>
        <w:rPr>
          <w:sz w:val="24"/>
        </w:rPr>
        <w:sectPr>
          <w:pgSz w:w="11910" w:h="16850"/>
          <w:pgMar w:top="1440" w:right="1080" w:bottom="1440" w:left="1080" w:header="0" w:footer="916" w:gutter="0"/>
          <w:cols w:space="720" w:num="1"/>
        </w:sectPr>
      </w:pPr>
    </w:p>
    <w:p>
      <w:pPr>
        <w:spacing w:before="36" w:line="362" w:lineRule="auto"/>
        <w:ind w:left="1032" w:right="4730"/>
        <w:rPr>
          <w:sz w:val="24"/>
        </w:rPr>
      </w:pPr>
      <w:r>
        <w:rPr>
          <w:sz w:val="24"/>
        </w:rPr>
        <w:t xml:space="preserve">4、工程建设过程中，有关部门颁发的相关文件。上述资料提供的时间和份数由双方协商确定。 </w:t>
      </w:r>
    </w:p>
    <w:p>
      <w:pPr>
        <w:spacing w:before="2" w:line="362" w:lineRule="auto"/>
        <w:ind w:left="671" w:right="1418" w:firstLine="420"/>
        <w:rPr>
          <w:sz w:val="24"/>
        </w:rPr>
      </w:pPr>
      <w:r>
        <w:rPr>
          <w:sz w:val="24"/>
        </w:rPr>
        <w:t xml:space="preserve">第十一条 委托人对监理机构书面提交并要求作出决定的事宜作出书面决定并送达的时限： </w:t>
      </w:r>
    </w:p>
    <w:p>
      <w:pPr>
        <w:spacing w:before="2"/>
        <w:ind w:left="1092"/>
        <w:rPr>
          <w:sz w:val="24"/>
        </w:rPr>
      </w:pPr>
      <w:r>
        <w:rPr>
          <w:sz w:val="24"/>
        </w:rPr>
        <w:t>一般文件</w:t>
      </w:r>
      <w:r>
        <w:rPr>
          <w:sz w:val="24"/>
          <w:u w:val="single"/>
        </w:rPr>
        <w:t xml:space="preserve"> 3 </w:t>
      </w:r>
      <w:r>
        <w:rPr>
          <w:sz w:val="24"/>
        </w:rPr>
        <w:t>天；紧急事项</w:t>
      </w:r>
      <w:r>
        <w:rPr>
          <w:sz w:val="24"/>
          <w:u w:val="single"/>
        </w:rPr>
        <w:t xml:space="preserve"> 1  </w:t>
      </w:r>
      <w:r>
        <w:rPr>
          <w:sz w:val="24"/>
        </w:rPr>
        <w:t>天；变更文件</w:t>
      </w:r>
      <w:r>
        <w:rPr>
          <w:sz w:val="24"/>
          <w:u w:val="single"/>
        </w:rPr>
        <w:t xml:space="preserve"> 7  </w:t>
      </w:r>
      <w:r>
        <w:rPr>
          <w:sz w:val="24"/>
        </w:rPr>
        <w:t xml:space="preserve">天。 </w:t>
      </w:r>
    </w:p>
    <w:p>
      <w:pPr>
        <w:spacing w:before="158"/>
        <w:ind w:left="1092"/>
        <w:rPr>
          <w:sz w:val="24"/>
        </w:rPr>
      </w:pPr>
      <w:r>
        <w:rPr>
          <w:sz w:val="24"/>
        </w:rPr>
        <w:t xml:space="preserve">第十三条 委托人无偿向监理机构提供的工作、生活条件为： </w:t>
      </w:r>
    </w:p>
    <w:p>
      <w:pPr>
        <w:spacing w:before="158" w:line="362" w:lineRule="auto"/>
        <w:ind w:left="1152" w:right="2085"/>
        <w:rPr>
          <w:sz w:val="24"/>
        </w:rPr>
      </w:pPr>
      <w:r>
        <w:rPr>
          <w:sz w:val="24"/>
        </w:rPr>
        <w:t xml:space="preserve">监理人生活办公用水、电等费用及其它运转费用，均包括在投标报价中。上述条件提供的时间由双方协商确定。 </w:t>
      </w:r>
    </w:p>
    <w:p>
      <w:pPr>
        <w:spacing w:before="17" w:line="362" w:lineRule="auto"/>
        <w:ind w:left="671" w:right="1289" w:firstLine="480"/>
        <w:rPr>
          <w:sz w:val="24"/>
        </w:rPr>
      </w:pPr>
      <w:r>
        <w:rPr>
          <w:sz w:val="24"/>
        </w:rPr>
        <w:t>监理人根据工程需要应委托具有相应检测资质的试验单位进行检测，检测费用应</w:t>
      </w:r>
      <w:r>
        <w:rPr>
          <w:spacing w:val="-8"/>
          <w:sz w:val="24"/>
        </w:rPr>
        <w:t>包含在投标报价中。监理人的办公设施、设备、通讯设施和交通工具，由监理人自理。</w:t>
      </w:r>
      <w:r>
        <w:rPr>
          <w:sz w:val="24"/>
        </w:rPr>
        <w:t xml:space="preserve"> </w:t>
      </w:r>
    </w:p>
    <w:p>
      <w:pPr>
        <w:spacing w:before="3"/>
        <w:ind w:left="1047" w:right="1260"/>
        <w:jc w:val="center"/>
        <w:rPr>
          <w:b/>
          <w:sz w:val="24"/>
        </w:rPr>
      </w:pPr>
      <w:r>
        <w:rPr>
          <w:b/>
          <w:sz w:val="24"/>
        </w:rPr>
        <w:t>监理人的义务</w:t>
      </w:r>
      <w:r>
        <w:rPr>
          <w:b/>
          <w:w w:val="99"/>
          <w:sz w:val="24"/>
        </w:rPr>
        <w:t xml:space="preserve"> </w:t>
      </w:r>
    </w:p>
    <w:p>
      <w:pPr>
        <w:spacing w:before="158" w:line="362" w:lineRule="auto"/>
        <w:ind w:left="671" w:right="1396" w:firstLine="480"/>
        <w:rPr>
          <w:sz w:val="24"/>
        </w:rPr>
      </w:pPr>
      <w:r>
        <w:rPr>
          <w:spacing w:val="-1"/>
          <w:sz w:val="24"/>
        </w:rPr>
        <w:t>第二十条 监理服务内容：</w:t>
      </w:r>
      <w:r>
        <w:rPr>
          <w:rFonts w:hint="eastAsia"/>
          <w:spacing w:val="-1"/>
          <w:sz w:val="24"/>
        </w:rPr>
        <w:t>施工及保修期全过程监理服务工作</w:t>
      </w:r>
    </w:p>
    <w:p>
      <w:pPr>
        <w:spacing w:before="2" w:line="362" w:lineRule="auto"/>
        <w:ind w:left="881" w:right="1424" w:firstLine="240"/>
        <w:rPr>
          <w:sz w:val="24"/>
        </w:rPr>
      </w:pPr>
      <w:r>
        <w:rPr>
          <w:sz w:val="24"/>
        </w:rPr>
        <w:t>第二十一条 监理人应当在本合同生效后＿</w:t>
      </w:r>
      <w:r>
        <w:rPr>
          <w:sz w:val="24"/>
          <w:u w:val="single"/>
        </w:rPr>
        <w:t>3</w:t>
      </w:r>
      <w:r>
        <w:rPr>
          <w:sz w:val="24"/>
        </w:rPr>
        <w:t xml:space="preserve">＿天内组建监理机构，派出监理人员进驻施工现场。 </w:t>
      </w:r>
    </w:p>
    <w:p>
      <w:pPr>
        <w:spacing w:before="2"/>
        <w:ind w:left="1152"/>
        <w:rPr>
          <w:sz w:val="24"/>
        </w:rPr>
      </w:pPr>
      <w:r>
        <w:rPr>
          <w:sz w:val="24"/>
        </w:rPr>
        <w:t>第二十七条 需旁站监理的工程重要部位是：</w:t>
      </w:r>
      <w:r>
        <w:rPr>
          <w:sz w:val="24"/>
          <w:u w:val="single"/>
        </w:rPr>
        <w:t>由监理人提出，报委托人审核批准后</w:t>
      </w:r>
    </w:p>
    <w:p>
      <w:pPr>
        <w:pStyle w:val="8"/>
        <w:spacing w:before="4"/>
        <w:rPr>
          <w:sz w:val="8"/>
        </w:rPr>
      </w:pPr>
    </w:p>
    <w:p>
      <w:pPr>
        <w:spacing w:before="66"/>
        <w:ind w:left="671"/>
        <w:rPr>
          <w:sz w:val="24"/>
        </w:rPr>
      </w:pPr>
      <w:r>
        <w:rPr>
          <w:sz w:val="24"/>
          <w:u w:val="single"/>
        </w:rPr>
        <w:t>确定</w:t>
      </w:r>
      <w:r>
        <w:rPr>
          <w:sz w:val="24"/>
        </w:rPr>
        <w:t xml:space="preserve">； </w:t>
      </w:r>
    </w:p>
    <w:p>
      <w:pPr>
        <w:spacing w:before="158"/>
        <w:ind w:left="1152"/>
        <w:rPr>
          <w:sz w:val="24"/>
        </w:rPr>
      </w:pPr>
      <w:r>
        <w:rPr>
          <w:sz w:val="24"/>
        </w:rPr>
        <w:t>需旁站监理的关键工序：</w:t>
      </w:r>
      <w:r>
        <w:rPr>
          <w:sz w:val="24"/>
          <w:u w:val="single"/>
        </w:rPr>
        <w:t>由监理人提出，报委托人审核批准后确定</w:t>
      </w:r>
      <w:r>
        <w:rPr>
          <w:sz w:val="24"/>
        </w:rPr>
        <w:t xml:space="preserve">。 </w:t>
      </w:r>
    </w:p>
    <w:p>
      <w:pPr>
        <w:spacing w:before="158" w:line="362" w:lineRule="auto"/>
        <w:ind w:left="671" w:right="1424" w:firstLine="480"/>
        <w:rPr>
          <w:sz w:val="24"/>
        </w:rPr>
      </w:pPr>
      <w:r>
        <w:rPr>
          <w:spacing w:val="-6"/>
          <w:sz w:val="24"/>
        </w:rPr>
        <w:t>第三十条 委托人委托监理人主持的分部工程验收：</w:t>
      </w:r>
      <w:r>
        <w:rPr>
          <w:sz w:val="24"/>
          <w:u w:val="single"/>
        </w:rPr>
        <w:t>（分部工程以下的由监理人主</w:t>
      </w:r>
      <w:r>
        <w:rPr>
          <w:spacing w:val="-244"/>
          <w:sz w:val="24"/>
          <w:u w:val="single"/>
        </w:rPr>
        <w:t>持</w:t>
      </w:r>
      <w:r>
        <w:rPr>
          <w:sz w:val="24"/>
          <w:u w:val="single"/>
        </w:rPr>
        <w:t>）</w:t>
      </w:r>
      <w:r>
        <w:rPr>
          <w:sz w:val="24"/>
        </w:rPr>
        <w:t xml:space="preserve"> </w:t>
      </w:r>
    </w:p>
    <w:p>
      <w:pPr>
        <w:spacing w:before="2" w:line="362" w:lineRule="auto"/>
        <w:ind w:left="671" w:right="1346" w:firstLine="480"/>
        <w:rPr>
          <w:sz w:val="24"/>
        </w:rPr>
      </w:pPr>
      <w:r>
        <w:rPr>
          <w:sz w:val="24"/>
        </w:rPr>
        <w:t>第三十一条 在本合同终止后</w:t>
      </w:r>
      <w:r>
        <w:rPr>
          <w:sz w:val="24"/>
          <w:u w:val="single"/>
        </w:rPr>
        <w:t xml:space="preserve"> 60 </w:t>
      </w:r>
      <w:r>
        <w:rPr>
          <w:sz w:val="24"/>
        </w:rPr>
        <w:t xml:space="preserve">天内，未征得委托人同意，不得泄露与本合同业务有关的技术、商务等秘密。 </w:t>
      </w:r>
    </w:p>
    <w:p>
      <w:pPr>
        <w:spacing w:before="3" w:line="362" w:lineRule="auto"/>
        <w:ind w:right="5014"/>
        <w:jc w:val="center"/>
        <w:rPr>
          <w:b/>
          <w:sz w:val="24"/>
        </w:rPr>
      </w:pPr>
      <w:r>
        <w:rPr>
          <w:b/>
          <w:sz w:val="24"/>
        </w:rPr>
        <w:t>监理服务酬金</w:t>
      </w:r>
    </w:p>
    <w:p>
      <w:pPr>
        <w:spacing w:before="3" w:line="362" w:lineRule="auto"/>
        <w:ind w:right="5014"/>
        <w:rPr>
          <w:sz w:val="24"/>
        </w:rPr>
      </w:pPr>
      <w:r>
        <w:rPr>
          <w:sz w:val="24"/>
        </w:rPr>
        <w:t xml:space="preserve">第三十二条 监理正常服务酬金支付方法： </w:t>
      </w:r>
    </w:p>
    <w:p>
      <w:pPr>
        <w:spacing w:before="17" w:line="362" w:lineRule="auto"/>
        <w:ind w:left="671" w:right="1425" w:firstLine="480"/>
        <w:rPr>
          <w:sz w:val="24"/>
        </w:rPr>
      </w:pPr>
      <w:r>
        <w:rPr>
          <w:spacing w:val="-12"/>
          <w:sz w:val="24"/>
        </w:rPr>
        <w:t>一、支付时间为：合同生效后的一个月内，支付监理费总额的</w:t>
      </w:r>
      <w:r>
        <w:rPr>
          <w:spacing w:val="-12"/>
          <w:sz w:val="24"/>
          <w:u w:val="single"/>
        </w:rPr>
        <w:t xml:space="preserve"> </w:t>
      </w:r>
      <w:r>
        <w:rPr>
          <w:rFonts w:hint="eastAsia"/>
          <w:spacing w:val="-8"/>
          <w:sz w:val="24"/>
          <w:u w:val="single"/>
        </w:rPr>
        <w:t xml:space="preserve">   </w:t>
      </w:r>
      <w:r>
        <w:rPr>
          <w:spacing w:val="-8"/>
          <w:sz w:val="24"/>
        </w:rPr>
        <w:t>%</w:t>
      </w:r>
      <w:r>
        <w:rPr>
          <w:spacing w:val="-3"/>
          <w:sz w:val="24"/>
        </w:rPr>
        <w:t>；其余按工程进</w:t>
      </w:r>
      <w:r>
        <w:rPr>
          <w:spacing w:val="-4"/>
          <w:sz w:val="24"/>
        </w:rPr>
        <w:t>度支付监理服务报酬，监理工作完成后付清所有监理服务酬金。</w:t>
      </w:r>
      <w:r>
        <w:rPr>
          <w:sz w:val="24"/>
        </w:rPr>
        <w:t xml:space="preserve"> </w:t>
      </w:r>
    </w:p>
    <w:p>
      <w:pPr>
        <w:spacing w:before="2"/>
        <w:ind w:left="1152"/>
        <w:rPr>
          <w:sz w:val="24"/>
        </w:rPr>
      </w:pPr>
      <w:r>
        <w:rPr>
          <w:sz w:val="24"/>
        </w:rPr>
        <w:t>二、支付方式为: 银行转</w:t>
      </w:r>
      <w:r>
        <w:rPr>
          <w:rFonts w:hint="eastAsia"/>
          <w:sz w:val="24"/>
        </w:rPr>
        <w:t>账</w:t>
      </w:r>
      <w:r>
        <w:rPr>
          <w:sz w:val="24"/>
        </w:rPr>
        <w:t xml:space="preserve">。 </w:t>
      </w:r>
    </w:p>
    <w:p>
      <w:pPr>
        <w:pStyle w:val="8"/>
        <w:spacing w:before="5"/>
        <w:rPr>
          <w:sz w:val="33"/>
        </w:rPr>
      </w:pPr>
    </w:p>
    <w:p>
      <w:pPr>
        <w:ind w:left="1047" w:right="1679"/>
        <w:jc w:val="center"/>
        <w:rPr>
          <w:b/>
          <w:sz w:val="24"/>
        </w:rPr>
      </w:pPr>
      <w:r>
        <w:rPr>
          <w:b/>
          <w:sz w:val="24"/>
        </w:rPr>
        <w:t>违约责任</w:t>
      </w:r>
      <w:r>
        <w:rPr>
          <w:b/>
          <w:w w:val="99"/>
          <w:sz w:val="24"/>
        </w:rPr>
        <w:t xml:space="preserve"> </w:t>
      </w:r>
    </w:p>
    <w:p>
      <w:pPr>
        <w:spacing w:before="173"/>
        <w:ind w:left="1152"/>
        <w:rPr>
          <w:sz w:val="24"/>
        </w:rPr>
      </w:pPr>
      <w:r>
        <w:rPr>
          <w:sz w:val="24"/>
        </w:rPr>
        <w:t xml:space="preserve">第四十条 委托人违约，应支付给监理人违约金。 </w:t>
      </w:r>
    </w:p>
    <w:p>
      <w:pPr>
        <w:spacing w:before="36"/>
        <w:rPr>
          <w:sz w:val="24"/>
        </w:rPr>
      </w:pPr>
      <w:r>
        <w:rPr>
          <w:sz w:val="24"/>
        </w:rPr>
        <w:t xml:space="preserve">违约金：双方协商确定。 </w:t>
      </w:r>
    </w:p>
    <w:p>
      <w:pPr>
        <w:spacing w:before="158" w:line="362" w:lineRule="auto"/>
        <w:ind w:left="671" w:right="1423" w:firstLine="480"/>
        <w:rPr>
          <w:sz w:val="24"/>
        </w:rPr>
      </w:pPr>
      <w:r>
        <w:rPr>
          <w:sz w:val="24"/>
        </w:rPr>
        <w:t xml:space="preserve">第四十一条 因委托人延期支付监理服务酬金而向监理人支付逾期付款违约金的计算方法: 双方协商确定。 </w:t>
      </w:r>
    </w:p>
    <w:p>
      <w:pPr>
        <w:spacing w:before="2" w:line="362" w:lineRule="auto"/>
        <w:ind w:left="1152" w:right="4248"/>
        <w:rPr>
          <w:sz w:val="24"/>
        </w:rPr>
      </w:pPr>
      <w:r>
        <w:rPr>
          <w:sz w:val="24"/>
        </w:rPr>
        <w:t xml:space="preserve">第四十二条 监理人违约，应支付给委托人违约金。违约金：双方协商确定。 </w:t>
      </w:r>
    </w:p>
    <w:p>
      <w:pPr>
        <w:spacing w:before="2" w:line="362" w:lineRule="auto"/>
        <w:ind w:right="5134"/>
        <w:rPr>
          <w:b/>
          <w:sz w:val="24"/>
        </w:rPr>
      </w:pPr>
      <w:r>
        <w:rPr>
          <w:b/>
          <w:sz w:val="24"/>
        </w:rPr>
        <w:t>争议的解决</w:t>
      </w:r>
    </w:p>
    <w:p>
      <w:pPr>
        <w:spacing w:before="2" w:line="362" w:lineRule="auto"/>
        <w:ind w:right="5134"/>
        <w:rPr>
          <w:sz w:val="24"/>
        </w:rPr>
      </w:pPr>
      <w:r>
        <w:rPr>
          <w:sz w:val="24"/>
        </w:rPr>
        <w:t xml:space="preserve">第四十三条 争议调解、仲裁机构： </w:t>
      </w:r>
    </w:p>
    <w:p>
      <w:pPr>
        <w:spacing w:before="3"/>
        <w:ind w:left="1152"/>
        <w:rPr>
          <w:sz w:val="24"/>
        </w:rPr>
      </w:pPr>
      <w:r>
        <w:rPr>
          <w:sz w:val="24"/>
        </w:rPr>
        <w:t>一、仲裁机构为：</w:t>
      </w:r>
      <w:r>
        <w:rPr>
          <w:sz w:val="24"/>
          <w:u w:val="single"/>
        </w:rPr>
        <w:t xml:space="preserve"> 工程所在地 </w:t>
      </w:r>
      <w:r>
        <w:rPr>
          <w:sz w:val="24"/>
        </w:rPr>
        <w:t xml:space="preserve">。 </w:t>
      </w:r>
    </w:p>
    <w:p>
      <w:pPr>
        <w:spacing w:before="172" w:line="362" w:lineRule="auto"/>
        <w:ind w:left="671" w:right="1418" w:firstLine="480"/>
        <w:rPr>
          <w:sz w:val="24"/>
        </w:rPr>
      </w:pPr>
      <w:r>
        <w:rPr>
          <w:sz w:val="24"/>
        </w:rPr>
        <w:t xml:space="preserve">二、委托人和监理人因本合同发生争议未能友好解决时，任一方都可向工程所在地人民法院起诉。 </w:t>
      </w:r>
    </w:p>
    <w:p>
      <w:pPr>
        <w:spacing w:before="3"/>
        <w:ind w:left="1047" w:right="1681"/>
        <w:jc w:val="center"/>
        <w:rPr>
          <w:sz w:val="24"/>
        </w:rPr>
      </w:pPr>
      <w:r>
        <w:rPr>
          <w:sz w:val="24"/>
        </w:rPr>
        <w:t xml:space="preserve">其 他 </w:t>
      </w:r>
    </w:p>
    <w:p>
      <w:pPr>
        <w:spacing w:before="158"/>
        <w:ind w:left="1137"/>
        <w:rPr>
          <w:sz w:val="24"/>
        </w:rPr>
      </w:pPr>
      <w:r>
        <w:rPr>
          <w:sz w:val="24"/>
        </w:rPr>
        <w:t>第四十五条 委托人对监理人提出并落实的合理化建议的奖励办法为：</w:t>
      </w:r>
      <w:r>
        <w:rPr>
          <w:sz w:val="24"/>
          <w:u w:val="single"/>
        </w:rPr>
        <w:t xml:space="preserve"> 无奖励</w:t>
      </w:r>
      <w:r>
        <w:rPr>
          <w:sz w:val="24"/>
        </w:rPr>
        <w:t xml:space="preserve"> </w:t>
      </w:r>
    </w:p>
    <w:p>
      <w:pPr>
        <w:pStyle w:val="8"/>
        <w:spacing w:before="3"/>
        <w:rPr>
          <w:sz w:val="28"/>
        </w:rPr>
      </w:pPr>
    </w:p>
    <w:p>
      <w:pPr>
        <w:spacing w:before="66"/>
        <w:ind w:left="671"/>
        <w:rPr>
          <w:b/>
          <w:sz w:val="24"/>
        </w:rPr>
      </w:pPr>
      <w:r>
        <w:rPr>
          <w:b/>
          <w:sz w:val="24"/>
        </w:rPr>
        <w:t>附加协议条款</w:t>
      </w:r>
      <w:r>
        <w:rPr>
          <w:b/>
          <w:w w:val="99"/>
          <w:sz w:val="24"/>
        </w:rPr>
        <w:t xml:space="preserve"> </w:t>
      </w:r>
    </w:p>
    <w:p>
      <w:pPr>
        <w:spacing w:before="173"/>
        <w:ind w:left="1152"/>
        <w:rPr>
          <w:sz w:val="24"/>
        </w:rPr>
      </w:pPr>
      <w:r>
        <w:rPr>
          <w:sz w:val="24"/>
        </w:rPr>
        <w:t xml:space="preserve">第四十六条 监理人员调整及要求 </w:t>
      </w:r>
    </w:p>
    <w:p>
      <w:pPr>
        <w:spacing w:before="158" w:line="362" w:lineRule="auto"/>
        <w:ind w:left="671" w:right="1289" w:firstLine="480"/>
        <w:rPr>
          <w:sz w:val="24"/>
        </w:rPr>
      </w:pPr>
      <w:r>
        <w:rPr>
          <w:sz w:val="24"/>
        </w:rPr>
        <w:t>1</w:t>
      </w:r>
      <w:r>
        <w:rPr>
          <w:spacing w:val="-7"/>
          <w:sz w:val="24"/>
        </w:rPr>
        <w:t>、若</w:t>
      </w:r>
      <w:r>
        <w:rPr>
          <w:rFonts w:hint="eastAsia"/>
          <w:spacing w:val="-7"/>
          <w:sz w:val="24"/>
          <w:lang w:eastAsia="zh-CN"/>
        </w:rPr>
        <w:t>响应人</w:t>
      </w:r>
      <w:r>
        <w:rPr>
          <w:spacing w:val="-7"/>
          <w:sz w:val="24"/>
        </w:rPr>
        <w:t>中标，签订合同时须提交</w:t>
      </w:r>
      <w:r>
        <w:rPr>
          <w:rFonts w:hint="eastAsia"/>
          <w:spacing w:val="-7"/>
          <w:sz w:val="24"/>
        </w:rPr>
        <w:t>监理工程师</w:t>
      </w:r>
      <w:r>
        <w:rPr>
          <w:spacing w:val="-7"/>
          <w:sz w:val="24"/>
        </w:rPr>
        <w:t>和监理工程师有关证书，在监</w:t>
      </w:r>
      <w:r>
        <w:rPr>
          <w:spacing w:val="-4"/>
          <w:sz w:val="24"/>
        </w:rPr>
        <w:t>理期间由</w:t>
      </w:r>
      <w:r>
        <w:rPr>
          <w:rFonts w:hint="eastAsia"/>
          <w:spacing w:val="-4"/>
          <w:sz w:val="24"/>
          <w:lang w:eastAsia="zh-CN"/>
        </w:rPr>
        <w:t>采购人</w:t>
      </w:r>
      <w:r>
        <w:rPr>
          <w:spacing w:val="-4"/>
          <w:sz w:val="24"/>
        </w:rPr>
        <w:t>保管，监理机构人员必须相对稳定；未经发包人同意，更换</w:t>
      </w:r>
      <w:r>
        <w:rPr>
          <w:rFonts w:hint="eastAsia"/>
          <w:spacing w:val="-4"/>
          <w:sz w:val="24"/>
        </w:rPr>
        <w:t>监理工程师</w:t>
      </w:r>
      <w:r>
        <w:rPr>
          <w:spacing w:val="-4"/>
          <w:sz w:val="24"/>
        </w:rPr>
        <w:t>须向</w:t>
      </w:r>
      <w:r>
        <w:rPr>
          <w:rFonts w:hint="eastAsia"/>
          <w:spacing w:val="-4"/>
          <w:sz w:val="24"/>
          <w:lang w:eastAsia="zh-CN"/>
        </w:rPr>
        <w:t>采购人</w:t>
      </w:r>
      <w:r>
        <w:rPr>
          <w:spacing w:val="-4"/>
          <w:sz w:val="24"/>
        </w:rPr>
        <w:t>支付壹拾万元（￥100000</w:t>
      </w:r>
      <w:r>
        <w:rPr>
          <w:spacing w:val="-23"/>
          <w:sz w:val="24"/>
        </w:rPr>
        <w:t xml:space="preserve"> 元</w:t>
      </w:r>
      <w:r>
        <w:rPr>
          <w:sz w:val="24"/>
        </w:rPr>
        <w:t>）的违约金，更换其他监理工程师须向</w:t>
      </w:r>
      <w:r>
        <w:rPr>
          <w:rFonts w:hint="eastAsia"/>
          <w:sz w:val="24"/>
          <w:lang w:eastAsia="zh-CN"/>
        </w:rPr>
        <w:t>采购人</w:t>
      </w:r>
      <w:r>
        <w:rPr>
          <w:sz w:val="24"/>
        </w:rPr>
        <w:t>支付伍万元（￥50000</w:t>
      </w:r>
      <w:r>
        <w:rPr>
          <w:spacing w:val="-30"/>
          <w:sz w:val="24"/>
        </w:rPr>
        <w:t xml:space="preserve"> 元</w:t>
      </w:r>
      <w:r>
        <w:rPr>
          <w:sz w:val="24"/>
        </w:rPr>
        <w:t>）</w:t>
      </w:r>
      <w:r>
        <w:rPr>
          <w:spacing w:val="-5"/>
          <w:sz w:val="24"/>
        </w:rPr>
        <w:t>的违约金，更换后的</w:t>
      </w:r>
      <w:r>
        <w:rPr>
          <w:rFonts w:hint="eastAsia"/>
          <w:spacing w:val="-5"/>
          <w:sz w:val="24"/>
        </w:rPr>
        <w:t>监理工程师</w:t>
      </w:r>
      <w:r>
        <w:rPr>
          <w:spacing w:val="-5"/>
          <w:sz w:val="24"/>
        </w:rPr>
        <w:t>不得低于原来的职称、学历。</w:t>
      </w:r>
      <w:r>
        <w:rPr>
          <w:sz w:val="24"/>
        </w:rPr>
        <w:t xml:space="preserve"> </w:t>
      </w:r>
    </w:p>
    <w:p>
      <w:pPr>
        <w:spacing w:before="4" w:line="369" w:lineRule="auto"/>
        <w:ind w:left="671" w:right="1391" w:firstLine="480"/>
        <w:rPr>
          <w:sz w:val="24"/>
        </w:rPr>
      </w:pPr>
      <w:r>
        <w:rPr>
          <w:sz w:val="24"/>
        </w:rPr>
        <w:t>2</w:t>
      </w:r>
      <w:r>
        <w:rPr>
          <w:spacing w:val="-1"/>
          <w:sz w:val="24"/>
        </w:rPr>
        <w:t>、</w:t>
      </w:r>
      <w:r>
        <w:rPr>
          <w:rFonts w:hint="eastAsia"/>
          <w:spacing w:val="-1"/>
          <w:sz w:val="24"/>
        </w:rPr>
        <w:t>监理工程师</w:t>
      </w:r>
      <w:r>
        <w:rPr>
          <w:spacing w:val="-1"/>
          <w:sz w:val="24"/>
        </w:rPr>
        <w:t xml:space="preserve">每月应在工地时间不少于 </w:t>
      </w:r>
      <w:r>
        <w:rPr>
          <w:sz w:val="24"/>
        </w:rPr>
        <w:t>22</w:t>
      </w:r>
      <w:r>
        <w:rPr>
          <w:spacing w:val="-4"/>
          <w:sz w:val="24"/>
        </w:rPr>
        <w:t xml:space="preserve"> 天，</w:t>
      </w:r>
      <w:r>
        <w:rPr>
          <w:rFonts w:hint="eastAsia"/>
          <w:spacing w:val="-4"/>
          <w:sz w:val="24"/>
        </w:rPr>
        <w:t>监理工程师</w:t>
      </w:r>
      <w:r>
        <w:rPr>
          <w:spacing w:val="-4"/>
          <w:sz w:val="24"/>
        </w:rPr>
        <w:t>离开工地应经发</w:t>
      </w:r>
      <w:r>
        <w:rPr>
          <w:spacing w:val="-1"/>
          <w:sz w:val="24"/>
        </w:rPr>
        <w:t>包人同意，并应以书面形式指定经发包人同意的代理人。发包人根据考勤记录，每月</w:t>
      </w:r>
      <w:r>
        <w:rPr>
          <w:spacing w:val="-5"/>
          <w:sz w:val="24"/>
        </w:rPr>
        <w:t xml:space="preserve">每差一天监理单位向发包人支付违约金 </w:t>
      </w:r>
      <w:r>
        <w:rPr>
          <w:sz w:val="24"/>
        </w:rPr>
        <w:t>1000</w:t>
      </w:r>
      <w:r>
        <w:rPr>
          <w:spacing w:val="-30"/>
          <w:sz w:val="24"/>
        </w:rPr>
        <w:t xml:space="preserve"> 元</w:t>
      </w:r>
      <w:r>
        <w:rPr>
          <w:sz w:val="24"/>
        </w:rPr>
        <w:t>（发包人批准的休假、公差除外</w:t>
      </w:r>
      <w:r>
        <w:rPr>
          <w:spacing w:val="-120"/>
          <w:sz w:val="24"/>
        </w:rPr>
        <w:t>）</w:t>
      </w:r>
      <w:r>
        <w:rPr>
          <w:spacing w:val="-3"/>
          <w:sz w:val="24"/>
        </w:rPr>
        <w:t>。</w:t>
      </w:r>
      <w:r>
        <w:rPr>
          <w:sz w:val="24"/>
        </w:rPr>
        <w:t xml:space="preserve"> </w:t>
      </w:r>
    </w:p>
    <w:p>
      <w:pPr>
        <w:spacing w:line="362" w:lineRule="auto"/>
        <w:ind w:left="671" w:right="1273" w:firstLine="480"/>
        <w:rPr>
          <w:b/>
          <w:sz w:val="24"/>
        </w:rPr>
      </w:pPr>
      <w:r>
        <w:rPr>
          <w:sz w:val="24"/>
        </w:rPr>
        <w:t>3</w:t>
      </w:r>
      <w:r>
        <w:rPr>
          <w:spacing w:val="-1"/>
          <w:sz w:val="24"/>
        </w:rPr>
        <w:t xml:space="preserve">、主要监理人员必须保持相对稳定，每月应在工地时间不少于 </w:t>
      </w:r>
      <w:r>
        <w:rPr>
          <w:sz w:val="24"/>
        </w:rPr>
        <w:t>22</w:t>
      </w:r>
      <w:r>
        <w:rPr>
          <w:spacing w:val="-4"/>
          <w:sz w:val="24"/>
        </w:rPr>
        <w:t xml:space="preserve"> 天，未经发包</w:t>
      </w:r>
      <w:r>
        <w:rPr>
          <w:spacing w:val="-10"/>
          <w:sz w:val="24"/>
        </w:rPr>
        <w:t>人同意，更换主要监理人员须向</w:t>
      </w:r>
      <w:r>
        <w:rPr>
          <w:rFonts w:hint="eastAsia"/>
          <w:spacing w:val="-10"/>
          <w:sz w:val="24"/>
          <w:lang w:eastAsia="zh-CN"/>
        </w:rPr>
        <w:t>采购人</w:t>
      </w:r>
      <w:r>
        <w:rPr>
          <w:spacing w:val="-10"/>
          <w:sz w:val="24"/>
        </w:rPr>
        <w:t>支付叁万元</w:t>
      </w:r>
      <w:r>
        <w:rPr>
          <w:sz w:val="24"/>
        </w:rPr>
        <w:t>/</w:t>
      </w:r>
      <w:r>
        <w:rPr>
          <w:spacing w:val="-9"/>
          <w:sz w:val="24"/>
        </w:rPr>
        <w:t xml:space="preserve">人的违约金。发包人根据考勤记录， </w:t>
      </w:r>
      <w:r>
        <w:rPr>
          <w:spacing w:val="-10"/>
          <w:sz w:val="24"/>
        </w:rPr>
        <w:t xml:space="preserve">监理人员每月每差一天，监理单位向发包人支付违约金 </w:t>
      </w:r>
      <w:r>
        <w:rPr>
          <w:sz w:val="24"/>
        </w:rPr>
        <w:t>500</w:t>
      </w:r>
      <w:r>
        <w:rPr>
          <w:spacing w:val="-8"/>
          <w:sz w:val="24"/>
        </w:rPr>
        <w:t xml:space="preserve"> 元</w:t>
      </w:r>
      <w:r>
        <w:rPr>
          <w:sz w:val="24"/>
        </w:rPr>
        <w:t>（发包人批准的休假、公差除外）</w:t>
      </w:r>
      <w:r>
        <w:rPr>
          <w:b/>
          <w:w w:val="99"/>
          <w:sz w:val="24"/>
        </w:rPr>
        <w:t xml:space="preserve"> </w:t>
      </w:r>
    </w:p>
    <w:p>
      <w:pPr>
        <w:pStyle w:val="8"/>
        <w:spacing w:line="367" w:lineRule="auto"/>
        <w:ind w:left="671" w:right="1326" w:firstLine="405"/>
        <w:rPr>
          <w:sz w:val="28"/>
        </w:rPr>
      </w:pPr>
      <w:r>
        <w:t xml:space="preserve">第四十七条 监理单位应按照电子文件归档要求和规范标准以及行业、建设单位的有关要求， </w:t>
      </w:r>
      <w:r>
        <w:rPr>
          <w:spacing w:val="-5"/>
        </w:rPr>
        <w:t xml:space="preserve">负责形成电子文件的收集、整理、检测、归档等工作；并负责对所监理的项目形成的电子文件进行审核。 </w:t>
      </w:r>
    </w:p>
    <w:p>
      <w:pPr>
        <w:spacing w:before="62"/>
        <w:ind w:left="1047" w:right="1732"/>
        <w:jc w:val="center"/>
        <w:rPr>
          <w:b/>
          <w:sz w:val="31"/>
        </w:rPr>
      </w:pPr>
      <w:r>
        <w:rPr>
          <w:b/>
          <w:sz w:val="31"/>
        </w:rPr>
        <w:t xml:space="preserve">第三部分  附件 </w:t>
      </w:r>
    </w:p>
    <w:p>
      <w:pPr>
        <w:spacing w:before="198"/>
        <w:ind w:left="1423"/>
        <w:rPr>
          <w:sz w:val="24"/>
        </w:rPr>
      </w:pPr>
      <w:r>
        <w:rPr>
          <w:sz w:val="24"/>
        </w:rPr>
        <w:t xml:space="preserve">本合同监理服务内容：包括本次招标工程全部内容的建设监理工作。 </w:t>
      </w:r>
    </w:p>
    <w:p>
      <w:pPr>
        <w:spacing w:before="158"/>
        <w:ind w:left="1423"/>
        <w:rPr>
          <w:sz w:val="24"/>
        </w:rPr>
      </w:pPr>
      <w:r>
        <w:rPr>
          <w:sz w:val="24"/>
        </w:rPr>
        <w:t xml:space="preserve">（一）设计方面 </w:t>
      </w:r>
    </w:p>
    <w:p>
      <w:pPr>
        <w:spacing w:before="173" w:line="362" w:lineRule="auto"/>
        <w:ind w:left="942" w:right="1663" w:firstLine="480"/>
        <w:rPr>
          <w:sz w:val="24"/>
        </w:rPr>
      </w:pPr>
      <w:r>
        <w:rPr>
          <w:sz w:val="24"/>
        </w:rPr>
        <w:t>1</w:t>
      </w:r>
      <w:r>
        <w:rPr>
          <w:spacing w:val="-10"/>
          <w:sz w:val="24"/>
        </w:rPr>
        <w:t xml:space="preserve">、检查并签发施工图，发现问题向委托人反映，重大问题向委托人做专题报告。 </w:t>
      </w:r>
    </w:p>
    <w:p>
      <w:pPr>
        <w:spacing w:before="2"/>
        <w:ind w:left="1423"/>
        <w:rPr>
          <w:sz w:val="24"/>
        </w:rPr>
      </w:pPr>
      <w:r>
        <w:rPr>
          <w:sz w:val="24"/>
        </w:rPr>
        <w:t xml:space="preserve">2、主持或与委托人联合主持设计技术交底会议，编写会议纪要。 </w:t>
      </w:r>
    </w:p>
    <w:p>
      <w:pPr>
        <w:spacing w:before="158"/>
        <w:ind w:left="1423"/>
        <w:rPr>
          <w:sz w:val="24"/>
        </w:rPr>
      </w:pPr>
      <w:r>
        <w:rPr>
          <w:sz w:val="24"/>
        </w:rPr>
        <w:t xml:space="preserve">3、协助委托人会同设计人对重大技术问题和优化设计进行专题讨论。 </w:t>
      </w:r>
    </w:p>
    <w:p>
      <w:pPr>
        <w:spacing w:before="158"/>
        <w:ind w:left="1423"/>
        <w:rPr>
          <w:sz w:val="24"/>
        </w:rPr>
      </w:pPr>
      <w:r>
        <w:rPr>
          <w:sz w:val="24"/>
        </w:rPr>
        <w:t xml:space="preserve">4、审核承包人对施工图的意见和建议，协助委托人会同设计人进行研究。 </w:t>
      </w:r>
    </w:p>
    <w:p>
      <w:pPr>
        <w:spacing w:before="173"/>
        <w:ind w:left="1423"/>
        <w:rPr>
          <w:sz w:val="24"/>
        </w:rPr>
      </w:pPr>
      <w:r>
        <w:rPr>
          <w:sz w:val="24"/>
        </w:rPr>
        <w:t xml:space="preserve">5、其他相关业务。 </w:t>
      </w:r>
    </w:p>
    <w:p>
      <w:pPr>
        <w:spacing w:before="158"/>
        <w:ind w:left="1423"/>
        <w:rPr>
          <w:sz w:val="24"/>
        </w:rPr>
      </w:pPr>
      <w:r>
        <w:rPr>
          <w:sz w:val="24"/>
        </w:rPr>
        <w:t xml:space="preserve">（二）采购方面 </w:t>
      </w:r>
    </w:p>
    <w:p>
      <w:pPr>
        <w:spacing w:before="158"/>
        <w:ind w:left="1423"/>
        <w:rPr>
          <w:sz w:val="24"/>
        </w:rPr>
      </w:pPr>
      <w:r>
        <w:rPr>
          <w:sz w:val="24"/>
        </w:rPr>
        <w:t xml:space="preserve">1、协助委托人进行采购招标。 </w:t>
      </w:r>
    </w:p>
    <w:p>
      <w:pPr>
        <w:spacing w:before="157"/>
        <w:ind w:left="1423"/>
        <w:rPr>
          <w:sz w:val="24"/>
        </w:rPr>
      </w:pPr>
      <w:r>
        <w:rPr>
          <w:sz w:val="24"/>
        </w:rPr>
        <w:t xml:space="preserve">2、协助委托人对进场的永久工程设备进行质量检验与到货验收。 </w:t>
      </w:r>
    </w:p>
    <w:p>
      <w:pPr>
        <w:spacing w:before="158"/>
        <w:ind w:left="1423"/>
        <w:rPr>
          <w:sz w:val="24"/>
        </w:rPr>
      </w:pPr>
      <w:r>
        <w:rPr>
          <w:sz w:val="24"/>
        </w:rPr>
        <w:t xml:space="preserve">3、其他相关业务。 </w:t>
      </w:r>
    </w:p>
    <w:p>
      <w:pPr>
        <w:spacing w:before="173"/>
        <w:ind w:left="1423"/>
        <w:rPr>
          <w:sz w:val="24"/>
        </w:rPr>
      </w:pPr>
      <w:r>
        <w:rPr>
          <w:sz w:val="24"/>
        </w:rPr>
        <w:t xml:space="preserve">（三）施工方面 </w:t>
      </w:r>
    </w:p>
    <w:p>
      <w:pPr>
        <w:spacing w:before="158"/>
        <w:ind w:left="1423"/>
        <w:rPr>
          <w:sz w:val="24"/>
        </w:rPr>
      </w:pPr>
      <w:r>
        <w:rPr>
          <w:sz w:val="24"/>
        </w:rPr>
        <w:t xml:space="preserve">1、协助委托人进行工程施工招标和签订工程施工合同。 </w:t>
      </w:r>
    </w:p>
    <w:p>
      <w:pPr>
        <w:spacing w:before="158"/>
        <w:ind w:left="1423"/>
        <w:rPr>
          <w:sz w:val="24"/>
        </w:rPr>
      </w:pPr>
      <w:r>
        <w:rPr>
          <w:sz w:val="24"/>
        </w:rPr>
        <w:t xml:space="preserve">2、全面管理工程施工合同，审查承包人选择的分包单位，并报委托人批准。 </w:t>
      </w:r>
    </w:p>
    <w:p>
      <w:pPr>
        <w:spacing w:before="158" w:line="362" w:lineRule="auto"/>
        <w:ind w:left="942" w:right="1663" w:firstLine="480"/>
        <w:rPr>
          <w:sz w:val="24"/>
        </w:rPr>
      </w:pPr>
      <w:r>
        <w:rPr>
          <w:sz w:val="24"/>
        </w:rPr>
        <w:t>3</w:t>
      </w:r>
      <w:r>
        <w:rPr>
          <w:spacing w:val="-9"/>
          <w:sz w:val="24"/>
        </w:rPr>
        <w:t xml:space="preserve">、督促委托人按工程施工合同的约定，落实必须提供的施工条件；检查承包人的开工准备工作。 </w:t>
      </w:r>
    </w:p>
    <w:p>
      <w:pPr>
        <w:spacing w:before="17"/>
        <w:ind w:left="1423"/>
        <w:rPr>
          <w:sz w:val="24"/>
        </w:rPr>
      </w:pPr>
      <w:r>
        <w:rPr>
          <w:sz w:val="24"/>
        </w:rPr>
        <w:t xml:space="preserve">4、审核按工程施工合同文件约定应由承包人提交的设计文件。 </w:t>
      </w:r>
    </w:p>
    <w:p>
      <w:pPr>
        <w:spacing w:before="158" w:line="362" w:lineRule="auto"/>
        <w:ind w:left="942" w:right="1647" w:firstLine="480"/>
        <w:rPr>
          <w:sz w:val="24"/>
        </w:rPr>
      </w:pPr>
      <w:r>
        <w:rPr>
          <w:sz w:val="24"/>
        </w:rPr>
        <w:t>5</w:t>
      </w:r>
      <w:r>
        <w:rPr>
          <w:spacing w:val="-8"/>
          <w:sz w:val="24"/>
        </w:rPr>
        <w:t xml:space="preserve">、审查承包人提交的施工组织设计、施工进度计划、施工措施计划；审核工艺试验成果等。 </w:t>
      </w:r>
    </w:p>
    <w:p>
      <w:pPr>
        <w:spacing w:before="3" w:line="367" w:lineRule="auto"/>
        <w:ind w:left="942" w:right="1664" w:firstLine="480"/>
        <w:rPr>
          <w:sz w:val="24"/>
        </w:rPr>
      </w:pPr>
      <w:r>
        <w:rPr>
          <w:sz w:val="24"/>
        </w:rPr>
        <w:t>6</w:t>
      </w:r>
      <w:r>
        <w:rPr>
          <w:spacing w:val="-9"/>
          <w:sz w:val="24"/>
        </w:rPr>
        <w:t>、进度控制。协助委托人编制控制性总进度计划，审批承包人编制的进度计</w:t>
      </w:r>
      <w:r>
        <w:rPr>
          <w:spacing w:val="-8"/>
          <w:sz w:val="24"/>
        </w:rPr>
        <w:t>划；检查实施情况，督促承包人采取措施，实现合同工期目标。当实施进度发生</w:t>
      </w:r>
      <w:r>
        <w:rPr>
          <w:spacing w:val="-7"/>
          <w:sz w:val="24"/>
        </w:rPr>
        <w:t xml:space="preserve">较大偏差时，要求承包人调整进度计划；向委托人提出调整控制性进度计划的建议意见。 </w:t>
      </w:r>
    </w:p>
    <w:p>
      <w:pPr>
        <w:spacing w:line="362" w:lineRule="auto"/>
        <w:ind w:left="942" w:right="1543" w:firstLine="480"/>
        <w:rPr>
          <w:sz w:val="24"/>
        </w:rPr>
      </w:pPr>
      <w:r>
        <w:rPr>
          <w:sz w:val="24"/>
        </w:rPr>
        <w:t>7</w:t>
      </w:r>
      <w:r>
        <w:rPr>
          <w:spacing w:val="-9"/>
          <w:sz w:val="24"/>
        </w:rPr>
        <w:t>、施工质量控制。审查承包人的质量保证体系和措施；审查承包人的实验室</w:t>
      </w:r>
      <w:r>
        <w:rPr>
          <w:spacing w:val="-8"/>
          <w:sz w:val="24"/>
        </w:rPr>
        <w:t xml:space="preserve">条件；依据工程施工合同文件、设计文件、技术标准，对施工全过程进行检查， </w:t>
      </w:r>
      <w:r>
        <w:rPr>
          <w:spacing w:val="-12"/>
          <w:sz w:val="24"/>
        </w:rPr>
        <w:t>对重要部位、关键工序进行旁站监理；按照有关规定，对承包人进场的工程设备、</w:t>
      </w:r>
      <w:r>
        <w:rPr>
          <w:sz w:val="24"/>
        </w:rPr>
        <w:t xml:space="preserve">建筑材料、建筑构配件、中间产品进行跟踪检测和平行检测，复核承包人自评的工程质量等级；审核承包人提出的工程质量缺陷处理方案，参与调查质量事故。 </w:t>
      </w:r>
    </w:p>
    <w:p>
      <w:pPr>
        <w:spacing w:before="2" w:line="369" w:lineRule="auto"/>
        <w:ind w:left="942" w:right="1647" w:firstLine="480"/>
        <w:rPr>
          <w:sz w:val="24"/>
        </w:rPr>
      </w:pPr>
      <w:r>
        <w:rPr>
          <w:sz w:val="24"/>
        </w:rPr>
        <w:t>8</w:t>
      </w:r>
      <w:r>
        <w:rPr>
          <w:spacing w:val="-9"/>
          <w:sz w:val="24"/>
        </w:rPr>
        <w:t>、资金控制。协助委托人编制付款计划；审查承包人提交的资金流计划；核</w:t>
      </w:r>
      <w:r>
        <w:rPr>
          <w:spacing w:val="-8"/>
          <w:sz w:val="24"/>
        </w:rPr>
        <w:t>定承包人完成的工程量，审核承包人提交的支付申请，签发付款凭证；受理索赔申请，提出处理建议意见；处理工程变更。</w:t>
      </w:r>
      <w:r>
        <w:rPr>
          <w:sz w:val="24"/>
        </w:rPr>
        <w:t xml:space="preserve"> </w:t>
      </w:r>
    </w:p>
    <w:p>
      <w:pPr>
        <w:spacing w:line="362" w:lineRule="auto"/>
        <w:ind w:left="942" w:right="1647" w:firstLine="480"/>
        <w:rPr>
          <w:sz w:val="24"/>
        </w:rPr>
      </w:pPr>
      <w:r>
        <w:rPr>
          <w:sz w:val="24"/>
        </w:rPr>
        <w:t>9</w:t>
      </w:r>
      <w:r>
        <w:rPr>
          <w:spacing w:val="-9"/>
          <w:sz w:val="24"/>
        </w:rPr>
        <w:t>、施工安全控制。审查承包人提出的安全技术措施、专项施工方案，并检查实施情况；检查防洪度汛措施落实情况；参与安全事故调查。</w:t>
      </w:r>
      <w:r>
        <w:rPr>
          <w:sz w:val="24"/>
        </w:rPr>
        <w:t xml:space="preserve"> </w:t>
      </w:r>
    </w:p>
    <w:p>
      <w:pPr>
        <w:ind w:left="1423"/>
        <w:rPr>
          <w:sz w:val="24"/>
        </w:rPr>
      </w:pPr>
      <w:r>
        <w:rPr>
          <w:sz w:val="24"/>
        </w:rPr>
        <w:t xml:space="preserve">10、协调施工合同各方之间的关系。 </w:t>
      </w:r>
    </w:p>
    <w:p>
      <w:pPr>
        <w:spacing w:before="166" w:line="362" w:lineRule="auto"/>
        <w:ind w:left="942" w:right="1673" w:firstLine="480"/>
        <w:rPr>
          <w:sz w:val="24"/>
        </w:rPr>
      </w:pPr>
      <w:r>
        <w:rPr>
          <w:sz w:val="24"/>
        </w:rPr>
        <w:t xml:space="preserve">11、按有关规定参加工程验收，负责完成监理资料的汇总、整理，协助委托人检查承包人的合同执行情况；做好验收的各项准备工作或者配合工作，提供工程监理资料，提交监理工作报告。 </w:t>
      </w:r>
    </w:p>
    <w:p>
      <w:pPr>
        <w:spacing w:before="3" w:line="362" w:lineRule="auto"/>
        <w:ind w:left="942" w:right="1674" w:firstLine="480"/>
        <w:rPr>
          <w:sz w:val="24"/>
        </w:rPr>
      </w:pPr>
      <w:r>
        <w:rPr>
          <w:sz w:val="24"/>
        </w:rPr>
        <w:t xml:space="preserve">12、档案管理。做好施工现场的监理记录与信息反馈，做好监理文档管理工作，合同期限届满时按照档案管理要求整理、归档并移交委托人。 </w:t>
      </w:r>
    </w:p>
    <w:p>
      <w:pPr>
        <w:spacing w:before="18" w:line="362" w:lineRule="auto"/>
        <w:ind w:left="942" w:right="1674" w:firstLine="480"/>
        <w:rPr>
          <w:sz w:val="24"/>
        </w:rPr>
      </w:pPr>
      <w:r>
        <w:rPr>
          <w:sz w:val="24"/>
        </w:rPr>
        <w:t xml:space="preserve">13、监督承包人执行保修期工作计划，检查和验收尾工项目，对已移交工程中出现的质量缺陷等调查原因并提出处理意见。 </w:t>
      </w:r>
    </w:p>
    <w:p>
      <w:pPr>
        <w:spacing w:before="1" w:line="362" w:lineRule="auto"/>
        <w:ind w:left="942" w:right="1674" w:firstLine="480"/>
        <w:rPr>
          <w:sz w:val="24"/>
        </w:rPr>
      </w:pPr>
      <w:r>
        <w:rPr>
          <w:sz w:val="24"/>
        </w:rPr>
        <w:t xml:space="preserve">14、按照委托人签订的工程保险合同，做好施工现场工程保险合同的管理。协助委托人向保险公司及时提供一切必要的材料和证据。 </w:t>
      </w:r>
    </w:p>
    <w:p>
      <w:pPr>
        <w:spacing w:before="3"/>
        <w:ind w:left="1423"/>
        <w:rPr>
          <w:sz w:val="28"/>
        </w:rPr>
      </w:pPr>
      <w:r>
        <w:rPr>
          <w:sz w:val="24"/>
        </w:rPr>
        <w:t>15、其他相关工作。</w:t>
      </w:r>
      <w:r>
        <w:rPr>
          <w:w w:val="101"/>
          <w:sz w:val="28"/>
        </w:rPr>
        <w:t xml:space="preserve"> </w:t>
      </w:r>
    </w:p>
    <w:p>
      <w:pPr>
        <w:tabs>
          <w:tab w:val="left" w:pos="8100"/>
        </w:tabs>
        <w:spacing w:line="440" w:lineRule="atLeast"/>
        <w:jc w:val="center"/>
        <w:rPr>
          <w:color w:val="auto"/>
          <w:highlight w:val="none"/>
        </w:rPr>
      </w:pPr>
      <w:r>
        <w:rPr>
          <w:rFonts w:eastAsia="黑体" w:cs="宋体"/>
          <w:b/>
          <w:color w:val="auto"/>
          <w:sz w:val="24"/>
          <w:szCs w:val="20"/>
          <w:highlight w:val="none"/>
        </w:rPr>
        <w:br w:type="page"/>
      </w:r>
      <w:bookmarkStart w:id="73" w:name="_Toc29344"/>
      <w:bookmarkStart w:id="74" w:name="_Toc478314729"/>
    </w:p>
    <w:p>
      <w:pPr>
        <w:pStyle w:val="3"/>
        <w:rPr>
          <w:rFonts w:hint="eastAsia" w:eastAsia="宋体"/>
          <w:color w:val="auto"/>
          <w:highlight w:val="none"/>
          <w:lang w:val="en-US" w:eastAsia="zh-CN"/>
        </w:rPr>
      </w:pPr>
      <w:r>
        <w:rPr>
          <w:rFonts w:hint="eastAsia"/>
          <w:color w:val="auto"/>
          <w:highlight w:val="none"/>
        </w:rPr>
        <w:t>第五章</w:t>
      </w:r>
      <w:bookmarkEnd w:id="73"/>
      <w:bookmarkEnd w:id="74"/>
      <w:r>
        <w:rPr>
          <w:rFonts w:hint="eastAsia"/>
          <w:color w:val="auto"/>
          <w:highlight w:val="none"/>
        </w:rPr>
        <w:t xml:space="preserve"> 服务内容</w:t>
      </w:r>
      <w:r>
        <w:rPr>
          <w:rFonts w:hint="eastAsia"/>
          <w:color w:val="auto"/>
          <w:highlight w:val="none"/>
          <w:lang w:val="en-US" w:eastAsia="zh-CN"/>
        </w:rPr>
        <w:t>及要求</w:t>
      </w:r>
    </w:p>
    <w:p>
      <w:pPr>
        <w:pStyle w:val="3"/>
        <w:spacing w:before="0"/>
        <w:jc w:val="center"/>
        <w:rPr>
          <w:rFonts w:hint="eastAsia"/>
          <w:color w:val="auto"/>
          <w:highlight w:val="none"/>
          <w:lang w:val="en-US" w:eastAsia="zh-CN"/>
        </w:rPr>
      </w:pPr>
      <w:bookmarkStart w:id="75" w:name="_Toc465848106"/>
      <w:bookmarkStart w:id="76" w:name="_Toc478314730"/>
      <w:bookmarkStart w:id="77" w:name="_Toc29014"/>
      <w:r>
        <w:rPr>
          <w:rFonts w:hint="eastAsia"/>
          <w:color w:val="auto"/>
          <w:highlight w:val="none"/>
          <w:lang w:val="en-US" w:eastAsia="zh-CN"/>
        </w:rPr>
        <w:t xml:space="preserve"> 淅川县水利局淅川县丹江口库区及上游水土流失综合治理工程荆寺西项目区监理服务内容及要求</w:t>
      </w:r>
    </w:p>
    <w:p>
      <w:pPr>
        <w:numPr>
          <w:ilvl w:val="0"/>
          <w:numId w:val="5"/>
        </w:numPr>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项目实施地点：项目区涉及荆紫关镇、老城镇、毛堂乡、西簧乡、寺湾镇5个乡镇。</w:t>
      </w:r>
    </w:p>
    <w:p>
      <w:pPr>
        <w:pStyle w:val="18"/>
        <w:numPr>
          <w:ilvl w:val="0"/>
          <w:numId w:val="0"/>
        </w:numPr>
        <w:rPr>
          <w:rFonts w:hint="default" w:ascii="仿宋" w:hAnsi="仿宋" w:eastAsia="仿宋" w:cs="仿宋"/>
          <w:color w:val="auto"/>
          <w:kern w:val="2"/>
          <w:sz w:val="32"/>
          <w:szCs w:val="28"/>
          <w:highlight w:val="none"/>
          <w:lang w:val="en-US" w:eastAsia="zh-CN" w:bidi="ar-SA"/>
        </w:rPr>
      </w:pPr>
    </w:p>
    <w:p>
      <w:pPr>
        <w:pStyle w:val="19"/>
        <w:numPr>
          <w:ilvl w:val="0"/>
          <w:numId w:val="5"/>
        </w:numPr>
        <w:ind w:left="0" w:leftChars="0" w:firstLine="0" w:firstLineChars="0"/>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项目主要内容：规划治理水土流失面积86.52平方公里，(一)工程措施:石坎梯田 4.78 公顷,生产路 7.42 千米坡面防护1处，排水沟0.4千米，疏溪固堤长5.643千米，拦沙坝9座，谷坊6座，小型生态垃圾桶10个，村庄绿化2处。(二)林草措施:水保林91.58公顷，经济林617.22公顷，水生植物面积 2000平方米。(三)封育措施:封育治理7942.88公顷，项目区标志牌3 座，封禁标牌32处，网围栏32410米。</w:t>
      </w:r>
    </w:p>
    <w:p>
      <w:pPr>
        <w:numPr>
          <w:ilvl w:val="0"/>
          <w:numId w:val="5"/>
        </w:numPr>
        <w:ind w:left="0" w:leftChars="0" w:firstLine="0" w:firstLineChars="0"/>
        <w:rPr>
          <w:rFonts w:hint="default"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项目工期：施工及保修期阶段全过程监理；</w:t>
      </w:r>
    </w:p>
    <w:p>
      <w:pPr>
        <w:pStyle w:val="18"/>
        <w:spacing w:after="0" w:line="360" w:lineRule="exact"/>
        <w:ind w:left="0" w:leftChars="0" w:firstLine="0" w:firstLineChars="0"/>
        <w:rPr>
          <w:rFonts w:hint="eastAsia" w:ascii="仿宋" w:hAnsi="仿宋" w:eastAsia="仿宋" w:cs="仿宋"/>
          <w:color w:val="auto"/>
          <w:kern w:val="2"/>
          <w:sz w:val="32"/>
          <w:szCs w:val="28"/>
          <w:highlight w:val="none"/>
          <w:lang w:val="en-US" w:eastAsia="zh-CN" w:bidi="ar-SA"/>
        </w:rPr>
      </w:pPr>
      <w:r>
        <w:rPr>
          <w:rFonts w:hint="eastAsia" w:ascii="仿宋" w:hAnsi="仿宋" w:eastAsia="仿宋" w:cs="仿宋"/>
          <w:color w:val="auto"/>
          <w:kern w:val="2"/>
          <w:sz w:val="32"/>
          <w:szCs w:val="28"/>
          <w:highlight w:val="none"/>
          <w:lang w:val="en-US" w:eastAsia="zh-CN" w:bidi="ar-SA"/>
        </w:rPr>
        <w:t>4、质量：合格，符合国家相关标准和行业规范要求；</w:t>
      </w:r>
    </w:p>
    <w:p>
      <w:pPr>
        <w:pStyle w:val="18"/>
        <w:rPr>
          <w:rFonts w:hint="default"/>
          <w:color w:val="auto"/>
          <w:highlight w:val="none"/>
          <w:lang w:val="en-US" w:eastAsia="zh-CN"/>
        </w:rPr>
      </w:pPr>
    </w:p>
    <w:p>
      <w:pPr>
        <w:rPr>
          <w:rFonts w:hint="default"/>
          <w:color w:val="auto"/>
          <w:highlight w:val="none"/>
          <w:lang w:val="en-US"/>
        </w:rPr>
      </w:pPr>
    </w:p>
    <w:p>
      <w:pPr>
        <w:rPr>
          <w:rFonts w:hint="eastAsia"/>
          <w:color w:val="auto"/>
          <w:highlight w:val="none"/>
        </w:rPr>
      </w:pPr>
    </w:p>
    <w:p>
      <w:pPr>
        <w:pStyle w:val="18"/>
        <w:rPr>
          <w:rFonts w:hint="eastAsia"/>
          <w:color w:val="auto"/>
          <w:highlight w:val="none"/>
        </w:rPr>
      </w:pPr>
    </w:p>
    <w:p>
      <w:pPr>
        <w:pStyle w:val="19"/>
        <w:rPr>
          <w:rFonts w:hint="eastAsia"/>
          <w:color w:val="auto"/>
          <w:highlight w:val="none"/>
        </w:rPr>
      </w:pPr>
    </w:p>
    <w:p>
      <w:pPr>
        <w:rPr>
          <w:rFonts w:hint="eastAsia"/>
          <w:color w:val="auto"/>
          <w:highlight w:val="none"/>
        </w:rPr>
      </w:pPr>
    </w:p>
    <w:p>
      <w:pPr>
        <w:pStyle w:val="18"/>
        <w:rPr>
          <w:rFonts w:hint="eastAsia"/>
          <w:color w:val="auto"/>
          <w:highlight w:val="none"/>
        </w:rPr>
      </w:pPr>
    </w:p>
    <w:p>
      <w:pPr>
        <w:pStyle w:val="19"/>
        <w:rPr>
          <w:rFonts w:hint="eastAsia"/>
          <w:color w:val="auto"/>
          <w:highlight w:val="none"/>
        </w:rPr>
      </w:pPr>
    </w:p>
    <w:p>
      <w:pPr>
        <w:rPr>
          <w:rFonts w:hint="eastAsia"/>
          <w:color w:val="auto"/>
          <w:highlight w:val="none"/>
        </w:rPr>
      </w:pPr>
    </w:p>
    <w:p>
      <w:pPr>
        <w:pStyle w:val="18"/>
        <w:rPr>
          <w:rFonts w:hint="eastAsia"/>
          <w:color w:val="auto"/>
          <w:highlight w:val="none"/>
        </w:rPr>
      </w:pPr>
    </w:p>
    <w:p>
      <w:pPr>
        <w:pStyle w:val="19"/>
        <w:rPr>
          <w:rFonts w:hint="eastAsia"/>
          <w:color w:val="auto"/>
          <w:highlight w:val="none"/>
        </w:rPr>
      </w:pPr>
    </w:p>
    <w:p>
      <w:pPr>
        <w:rPr>
          <w:rFonts w:hint="eastAsia"/>
          <w:color w:val="auto"/>
          <w:highlight w:val="none"/>
        </w:rPr>
      </w:pPr>
    </w:p>
    <w:p>
      <w:pPr>
        <w:pStyle w:val="18"/>
        <w:rPr>
          <w:rFonts w:hint="eastAsia"/>
          <w:color w:val="auto"/>
          <w:highlight w:val="none"/>
        </w:rPr>
      </w:pPr>
    </w:p>
    <w:p>
      <w:pPr>
        <w:pStyle w:val="19"/>
        <w:rPr>
          <w:rFonts w:hint="eastAsia"/>
          <w:color w:val="auto"/>
          <w:highlight w:val="none"/>
        </w:rPr>
      </w:pPr>
    </w:p>
    <w:p>
      <w:pPr>
        <w:rPr>
          <w:rFonts w:hint="eastAsia"/>
          <w:color w:val="auto"/>
          <w:highlight w:val="none"/>
        </w:rPr>
      </w:pPr>
    </w:p>
    <w:p>
      <w:pPr>
        <w:bidi w:val="0"/>
        <w:rPr>
          <w:rFonts w:hint="eastAsia"/>
          <w:color w:val="auto"/>
          <w:highlight w:val="none"/>
        </w:rPr>
      </w:pPr>
    </w:p>
    <w:p>
      <w:pPr>
        <w:pStyle w:val="3"/>
        <w:rPr>
          <w:rFonts w:hint="eastAsia"/>
          <w:color w:val="auto"/>
          <w:highlight w:val="none"/>
        </w:rPr>
      </w:pPr>
      <w:r>
        <w:rPr>
          <w:rFonts w:hint="eastAsia"/>
          <w:color w:val="auto"/>
          <w:highlight w:val="none"/>
        </w:rPr>
        <w:t>第六章投标文件格式</w:t>
      </w:r>
      <w:bookmarkEnd w:id="75"/>
      <w:bookmarkEnd w:id="76"/>
      <w:bookmarkEnd w:id="77"/>
    </w:p>
    <w:p>
      <w:pPr>
        <w:spacing w:line="400" w:lineRule="exact"/>
        <w:jc w:val="center"/>
        <w:rPr>
          <w:b/>
          <w:color w:val="auto"/>
          <w:highlight w:val="none"/>
        </w:rPr>
      </w:pPr>
    </w:p>
    <w:p>
      <w:pPr>
        <w:pStyle w:val="32"/>
        <w:adjustRightInd w:val="0"/>
        <w:snapToGrid w:val="0"/>
        <w:spacing w:line="360" w:lineRule="auto"/>
        <w:jc w:val="center"/>
        <w:rPr>
          <w:rFonts w:hint="eastAsia" w:ascii="宋体" w:hAnsi="宋体" w:eastAsia="宋体" w:cs="宋体"/>
          <w:color w:val="auto"/>
          <w:sz w:val="44"/>
          <w:szCs w:val="44"/>
          <w:highlight w:val="none"/>
        </w:rPr>
      </w:pPr>
      <w:r>
        <w:rPr>
          <w:rFonts w:hint="eastAsia" w:ascii="宋体" w:hAnsi="宋体" w:cs="宋体"/>
          <w:color w:val="auto"/>
          <w:sz w:val="44"/>
          <w:szCs w:val="44"/>
          <w:highlight w:val="none"/>
          <w:lang w:val="en-US" w:eastAsia="zh-CN"/>
        </w:rPr>
        <w:t xml:space="preserve"> 淅川县水利局淅川县丹江口库区及上游水土流失综合治理工程荆寺西项目区监理</w:t>
      </w:r>
    </w:p>
    <w:p>
      <w:pPr>
        <w:rPr>
          <w:rFonts w:eastAsia="黑体"/>
          <w:color w:val="auto"/>
          <w:sz w:val="20"/>
          <w:szCs w:val="20"/>
          <w:highlight w:val="none"/>
        </w:rPr>
      </w:pPr>
    </w:p>
    <w:p>
      <w:pPr>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lang w:eastAsia="zh-CN"/>
        </w:rPr>
        <w:t>响</w:t>
      </w:r>
      <w:r>
        <w:rPr>
          <w:rFonts w:hint="eastAsia" w:ascii="宋体" w:hAnsi="宋体" w:eastAsia="宋体" w:cs="宋体"/>
          <w:b/>
          <w:color w:val="auto"/>
          <w:sz w:val="72"/>
          <w:szCs w:val="72"/>
          <w:highlight w:val="none"/>
        </w:rPr>
        <w:t xml:space="preserve">  </w:t>
      </w:r>
      <w:r>
        <w:rPr>
          <w:rFonts w:hint="eastAsia" w:ascii="宋体" w:hAnsi="宋体" w:eastAsia="宋体" w:cs="宋体"/>
          <w:b/>
          <w:color w:val="auto"/>
          <w:sz w:val="72"/>
          <w:szCs w:val="72"/>
          <w:highlight w:val="none"/>
          <w:lang w:eastAsia="zh-CN"/>
        </w:rPr>
        <w:t>应</w:t>
      </w:r>
      <w:r>
        <w:rPr>
          <w:rFonts w:hint="eastAsia" w:ascii="宋体" w:hAnsi="宋体" w:eastAsia="宋体" w:cs="宋体"/>
          <w:b/>
          <w:color w:val="auto"/>
          <w:sz w:val="72"/>
          <w:szCs w:val="72"/>
          <w:highlight w:val="none"/>
        </w:rPr>
        <w:t xml:space="preserve">  文  件</w:t>
      </w:r>
    </w:p>
    <w:p>
      <w:pPr>
        <w:adjustRightInd w:val="0"/>
        <w:snapToGrid w:val="0"/>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项目编号：</w:t>
      </w:r>
    </w:p>
    <w:p>
      <w:pPr>
        <w:autoSpaceDE w:val="0"/>
        <w:autoSpaceDN w:val="0"/>
        <w:adjustRightInd w:val="0"/>
        <w:spacing w:line="420" w:lineRule="exact"/>
        <w:jc w:val="center"/>
        <w:outlineLvl w:val="1"/>
        <w:rPr>
          <w:rFonts w:ascii="宋体" w:hAnsi="宋体"/>
          <w:color w:val="auto"/>
          <w:kern w:val="0"/>
          <w:sz w:val="44"/>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8"/>
        <w:rPr>
          <w:rFonts w:eastAsia="黑体"/>
          <w:color w:val="auto"/>
          <w:sz w:val="28"/>
          <w:szCs w:val="28"/>
          <w:highlight w:val="none"/>
        </w:rPr>
      </w:pPr>
    </w:p>
    <w:p>
      <w:pPr>
        <w:pStyle w:val="19"/>
        <w:rPr>
          <w:rFonts w:eastAsia="黑体"/>
          <w:color w:val="auto"/>
          <w:sz w:val="28"/>
          <w:szCs w:val="28"/>
          <w:highlight w:val="none"/>
        </w:rPr>
      </w:pPr>
    </w:p>
    <w:p>
      <w:pPr>
        <w:rPr>
          <w:rFonts w:eastAsia="黑体"/>
          <w:color w:val="auto"/>
          <w:sz w:val="28"/>
          <w:szCs w:val="28"/>
          <w:highlight w:val="none"/>
        </w:rPr>
      </w:pPr>
    </w:p>
    <w:p>
      <w:pPr>
        <w:pStyle w:val="18"/>
        <w:rPr>
          <w:rFonts w:eastAsia="黑体"/>
          <w:color w:val="auto"/>
          <w:sz w:val="28"/>
          <w:szCs w:val="28"/>
          <w:highlight w:val="none"/>
        </w:rPr>
      </w:pPr>
    </w:p>
    <w:p>
      <w:pPr>
        <w:pStyle w:val="19"/>
        <w:rPr>
          <w:color w:val="auto"/>
          <w:highlight w:val="none"/>
        </w:rPr>
      </w:pPr>
    </w:p>
    <w:p>
      <w:pPr>
        <w:numPr>
          <w:ilvl w:val="0"/>
          <w:numId w:val="0"/>
        </w:numPr>
        <w:ind w:leftChars="0"/>
        <w:jc w:val="both"/>
        <w:rPr>
          <w:rFonts w:eastAsia="黑体"/>
          <w:color w:val="auto"/>
          <w:sz w:val="28"/>
          <w:szCs w:val="28"/>
          <w:highlight w:val="none"/>
        </w:rPr>
      </w:pPr>
    </w:p>
    <w:p>
      <w:pPr>
        <w:numPr>
          <w:ilvl w:val="0"/>
          <w:numId w:val="0"/>
        </w:numPr>
        <w:ind w:leftChars="0"/>
        <w:jc w:val="both"/>
        <w:rPr>
          <w:rFonts w:eastAsia="黑体"/>
          <w:color w:val="auto"/>
          <w:sz w:val="28"/>
          <w:szCs w:val="28"/>
          <w:highlight w:val="none"/>
        </w:rPr>
      </w:pPr>
      <w:r>
        <w:rPr>
          <w:rFonts w:hint="eastAsia" w:eastAsia="黑体"/>
          <w:color w:val="auto"/>
          <w:sz w:val="28"/>
          <w:szCs w:val="28"/>
          <w:highlight w:val="none"/>
          <w:lang w:val="en-US" w:eastAsia="zh-CN"/>
        </w:rPr>
        <w:t xml:space="preserve">            </w:t>
      </w:r>
      <w:r>
        <w:rPr>
          <w:rFonts w:hint="eastAsia" w:eastAsia="黑体"/>
          <w:color w:val="auto"/>
          <w:sz w:val="28"/>
          <w:szCs w:val="28"/>
          <w:highlight w:val="none"/>
          <w:lang w:eastAsia="zh-CN"/>
        </w:rPr>
        <w:t>响应人</w:t>
      </w:r>
      <w:r>
        <w:rPr>
          <w:rFonts w:eastAsia="黑体"/>
          <w:color w:val="auto"/>
          <w:sz w:val="28"/>
          <w:szCs w:val="28"/>
          <w:highlight w:val="none"/>
        </w:rPr>
        <w:t>：（</w:t>
      </w:r>
      <w:r>
        <w:rPr>
          <w:rFonts w:hint="eastAsia" w:eastAsia="黑体"/>
          <w:color w:val="auto"/>
          <w:sz w:val="28"/>
          <w:szCs w:val="28"/>
          <w:highlight w:val="none"/>
        </w:rPr>
        <w:t>电子签章</w:t>
      </w:r>
      <w:r>
        <w:rPr>
          <w:rFonts w:eastAsia="黑体"/>
          <w:color w:val="auto"/>
          <w:sz w:val="28"/>
          <w:szCs w:val="28"/>
          <w:highlight w:val="none"/>
        </w:rPr>
        <w:t>）</w:t>
      </w:r>
    </w:p>
    <w:p>
      <w:pPr>
        <w:numPr>
          <w:ilvl w:val="0"/>
          <w:numId w:val="0"/>
        </w:numPr>
        <w:ind w:leftChars="0"/>
        <w:jc w:val="both"/>
        <w:rPr>
          <w:rFonts w:eastAsia="黑体"/>
          <w:color w:val="auto"/>
          <w:sz w:val="28"/>
          <w:szCs w:val="28"/>
          <w:highlight w:val="none"/>
        </w:rPr>
      </w:pPr>
      <w:r>
        <w:rPr>
          <w:rFonts w:hint="eastAsia" w:eastAsia="黑体"/>
          <w:color w:val="auto"/>
          <w:sz w:val="28"/>
          <w:szCs w:val="28"/>
          <w:highlight w:val="none"/>
          <w:lang w:val="en-US" w:eastAsia="zh-CN"/>
        </w:rPr>
        <w:t xml:space="preserve">            </w:t>
      </w:r>
      <w:r>
        <w:rPr>
          <w:rFonts w:eastAsia="黑体"/>
          <w:color w:val="auto"/>
          <w:sz w:val="28"/>
          <w:szCs w:val="28"/>
          <w:highlight w:val="none"/>
        </w:rPr>
        <w:t>法定代表人或其委托代理人：（</w:t>
      </w:r>
      <w:r>
        <w:rPr>
          <w:rFonts w:hint="eastAsia" w:eastAsia="黑体"/>
          <w:color w:val="auto"/>
          <w:sz w:val="28"/>
          <w:szCs w:val="28"/>
          <w:highlight w:val="none"/>
        </w:rPr>
        <w:t>电子签章</w:t>
      </w:r>
      <w:r>
        <w:rPr>
          <w:rFonts w:eastAsia="黑体"/>
          <w:color w:val="auto"/>
          <w:sz w:val="28"/>
          <w:szCs w:val="28"/>
          <w:highlight w:val="none"/>
        </w:rPr>
        <w:t>）</w:t>
      </w:r>
    </w:p>
    <w:p>
      <w:pPr>
        <w:numPr>
          <w:ilvl w:val="0"/>
          <w:numId w:val="0"/>
        </w:numPr>
        <w:ind w:left="420" w:leftChars="0" w:hanging="420" w:firstLineChars="0"/>
        <w:jc w:val="both"/>
        <w:rPr>
          <w:rFonts w:eastAsia="黑体"/>
          <w:color w:val="auto"/>
          <w:sz w:val="28"/>
          <w:szCs w:val="28"/>
          <w:highlight w:val="none"/>
        </w:rPr>
      </w:pPr>
      <w:r>
        <w:rPr>
          <w:rFonts w:hint="eastAsia" w:eastAsia="黑体"/>
          <w:color w:val="auto"/>
          <w:sz w:val="28"/>
          <w:szCs w:val="28"/>
          <w:highlight w:val="none"/>
          <w:lang w:val="en-US" w:eastAsia="zh-CN"/>
        </w:rPr>
        <w:t xml:space="preserve">            </w:t>
      </w:r>
      <w:r>
        <w:rPr>
          <w:rFonts w:eastAsia="黑体"/>
          <w:color w:val="auto"/>
          <w:sz w:val="28"/>
          <w:szCs w:val="28"/>
          <w:highlight w:val="none"/>
        </w:rPr>
        <w:t>年月日</w:t>
      </w:r>
    </w:p>
    <w:p>
      <w:pPr>
        <w:pStyle w:val="35"/>
        <w:jc w:val="center"/>
        <w:rPr>
          <w:rFonts w:hint="eastAsia" w:ascii="宋体" w:hAnsi="宋体" w:eastAsia="宋体" w:cs="宋体"/>
          <w:color w:val="auto"/>
          <w:sz w:val="36"/>
          <w:szCs w:val="36"/>
          <w:highlight w:val="none"/>
        </w:rPr>
      </w:pPr>
      <w:bookmarkStart w:id="78" w:name="_Toc152045787"/>
      <w:bookmarkStart w:id="79" w:name="_Toc144974856"/>
      <w:bookmarkStart w:id="80" w:name="_Toc15493"/>
      <w:bookmarkStart w:id="81" w:name="_Toc152042576"/>
      <w:bookmarkStart w:id="82" w:name="_Toc179632807"/>
      <w:r>
        <w:rPr>
          <w:color w:val="auto"/>
          <w:highlight w:val="none"/>
        </w:rPr>
        <w:br w:type="page"/>
      </w:r>
      <w:r>
        <w:rPr>
          <w:rFonts w:hint="eastAsia" w:ascii="宋体" w:hAnsi="宋体" w:eastAsia="宋体" w:cs="宋体"/>
          <w:color w:val="auto"/>
          <w:sz w:val="36"/>
          <w:szCs w:val="36"/>
          <w:highlight w:val="none"/>
        </w:rPr>
        <w:t>目</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录</w:t>
      </w:r>
      <w:bookmarkEnd w:id="78"/>
      <w:bookmarkEnd w:id="79"/>
      <w:bookmarkEnd w:id="80"/>
      <w:bookmarkEnd w:id="81"/>
      <w:bookmarkEnd w:id="82"/>
    </w:p>
    <w:p>
      <w:pPr>
        <w:spacing w:line="540" w:lineRule="exact"/>
        <w:rPr>
          <w:rFonts w:hint="eastAsia" w:ascii="宋体" w:hAnsi="宋体" w:eastAsia="宋体" w:cs="宋体"/>
          <w:color w:val="auto"/>
          <w:sz w:val="36"/>
          <w:szCs w:val="36"/>
          <w:highlight w:val="none"/>
        </w:rPr>
      </w:pP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bidi="zh-CN"/>
        </w:rPr>
        <w:t>1.</w:t>
      </w:r>
      <w:r>
        <w:rPr>
          <w:rFonts w:hint="eastAsia" w:ascii="宋体" w:hAnsi="宋体" w:eastAsia="宋体" w:cs="宋体"/>
          <w:b w:val="0"/>
          <w:bCs w:val="0"/>
          <w:color w:val="auto"/>
          <w:sz w:val="28"/>
          <w:szCs w:val="28"/>
          <w:highlight w:val="none"/>
          <w:lang w:val="zh-CN" w:bidi="zh-CN"/>
        </w:rPr>
        <w:t>投标函及投标函附录</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2.</w:t>
      </w:r>
      <w:r>
        <w:rPr>
          <w:rFonts w:hint="eastAsia" w:ascii="宋体" w:hAnsi="宋体" w:eastAsia="宋体" w:cs="宋体"/>
          <w:b w:val="0"/>
          <w:bCs w:val="0"/>
          <w:color w:val="auto"/>
          <w:sz w:val="28"/>
          <w:szCs w:val="28"/>
          <w:highlight w:val="none"/>
          <w:lang w:val="zh-CN" w:bidi="zh-CN"/>
        </w:rPr>
        <w:t>投标报价表</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3.</w:t>
      </w:r>
      <w:r>
        <w:rPr>
          <w:rFonts w:hint="eastAsia" w:ascii="宋体" w:hAnsi="宋体" w:eastAsia="宋体" w:cs="宋体"/>
          <w:b w:val="0"/>
          <w:bCs w:val="0"/>
          <w:color w:val="auto"/>
          <w:sz w:val="28"/>
          <w:szCs w:val="28"/>
          <w:highlight w:val="none"/>
          <w:lang w:val="zh-CN" w:bidi="zh-CN"/>
        </w:rPr>
        <w:t>资格证明文件</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4.</w:t>
      </w:r>
      <w:r>
        <w:rPr>
          <w:rFonts w:hint="eastAsia" w:ascii="宋体" w:hAnsi="宋体" w:eastAsia="宋体" w:cs="宋体"/>
          <w:b w:val="0"/>
          <w:bCs w:val="0"/>
          <w:color w:val="auto"/>
          <w:sz w:val="28"/>
          <w:szCs w:val="28"/>
          <w:highlight w:val="none"/>
          <w:lang w:val="zh-CN" w:bidi="zh-CN"/>
        </w:rPr>
        <w:t>法定代表人身份证明和授权委托书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5.</w:t>
      </w:r>
      <w:r>
        <w:rPr>
          <w:rFonts w:hint="eastAsia" w:ascii="宋体" w:hAnsi="宋体" w:eastAsia="宋体" w:cs="宋体"/>
          <w:b w:val="0"/>
          <w:bCs w:val="0"/>
          <w:color w:val="auto"/>
          <w:sz w:val="28"/>
          <w:szCs w:val="28"/>
          <w:highlight w:val="none"/>
          <w:lang w:val="zh-CN" w:bidi="zh-CN"/>
        </w:rPr>
        <w:t>无重大违法记录声明</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6.</w:t>
      </w:r>
      <w:r>
        <w:rPr>
          <w:rFonts w:hint="eastAsia" w:ascii="宋体" w:hAnsi="宋体" w:eastAsia="宋体" w:cs="宋体"/>
          <w:b w:val="0"/>
          <w:bCs w:val="0"/>
          <w:color w:val="auto"/>
          <w:sz w:val="28"/>
          <w:szCs w:val="28"/>
          <w:highlight w:val="none"/>
          <w:lang w:val="zh-CN" w:bidi="zh-CN"/>
        </w:rPr>
        <w:t>反商业贿赂承诺书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7.</w:t>
      </w:r>
      <w:r>
        <w:rPr>
          <w:rFonts w:hint="eastAsia" w:ascii="宋体" w:hAnsi="宋体" w:eastAsia="宋体" w:cs="宋体"/>
          <w:b w:val="0"/>
          <w:bCs w:val="0"/>
          <w:color w:val="auto"/>
          <w:sz w:val="28"/>
          <w:szCs w:val="28"/>
          <w:highlight w:val="none"/>
          <w:lang w:val="zh-CN" w:bidi="zh-CN"/>
        </w:rPr>
        <w:t>磋商文件内容确认书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8.</w:t>
      </w:r>
      <w:r>
        <w:rPr>
          <w:rFonts w:hint="eastAsia" w:ascii="宋体" w:hAnsi="宋体" w:eastAsia="宋体" w:cs="宋体"/>
          <w:b w:val="0"/>
          <w:bCs w:val="0"/>
          <w:color w:val="auto"/>
          <w:sz w:val="28"/>
          <w:szCs w:val="28"/>
          <w:highlight w:val="none"/>
          <w:lang w:val="zh-CN" w:bidi="zh-CN"/>
        </w:rPr>
        <w:t>承诺</w:t>
      </w:r>
      <w:r>
        <w:rPr>
          <w:rFonts w:hint="eastAsia" w:ascii="宋体" w:hAnsi="宋体" w:eastAsia="宋体" w:cs="宋体"/>
          <w:b w:val="0"/>
          <w:bCs w:val="0"/>
          <w:color w:val="auto"/>
          <w:sz w:val="28"/>
          <w:szCs w:val="28"/>
          <w:highlight w:val="none"/>
          <w:lang w:val="zh-CN" w:eastAsia="zh-CN" w:bidi="zh-CN"/>
        </w:rPr>
        <w:t>书</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9.</w:t>
      </w:r>
      <w:r>
        <w:rPr>
          <w:rFonts w:hint="eastAsia" w:ascii="宋体" w:hAnsi="宋体" w:eastAsia="宋体" w:cs="宋体"/>
          <w:b w:val="0"/>
          <w:bCs w:val="0"/>
          <w:color w:val="auto"/>
          <w:sz w:val="28"/>
          <w:szCs w:val="28"/>
          <w:highlight w:val="none"/>
          <w:lang w:val="zh-CN" w:bidi="zh-CN"/>
        </w:rPr>
        <w:t>服务承诺及项目实施方案</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10.</w:t>
      </w:r>
      <w:r>
        <w:rPr>
          <w:rFonts w:hint="eastAsia" w:ascii="宋体" w:hAnsi="宋体" w:cs="宋体"/>
          <w:b w:val="0"/>
          <w:bCs w:val="0"/>
          <w:color w:val="auto"/>
          <w:sz w:val="28"/>
          <w:szCs w:val="28"/>
          <w:highlight w:val="none"/>
          <w:lang w:val="zh-CN" w:bidi="zh-CN"/>
        </w:rPr>
        <w:t>响应人</w:t>
      </w:r>
      <w:r>
        <w:rPr>
          <w:rFonts w:hint="eastAsia" w:ascii="宋体" w:hAnsi="宋体" w:eastAsia="宋体" w:cs="宋体"/>
          <w:b w:val="0"/>
          <w:bCs w:val="0"/>
          <w:color w:val="auto"/>
          <w:sz w:val="28"/>
          <w:szCs w:val="28"/>
          <w:highlight w:val="none"/>
          <w:lang w:val="zh-CN" w:bidi="zh-CN"/>
        </w:rPr>
        <w:t>认为响应磋商文件应提供的其它资料</w:t>
      </w:r>
    </w:p>
    <w:p>
      <w:pPr>
        <w:widowControl w:val="0"/>
        <w:numPr>
          <w:ilvl w:val="0"/>
          <w:numId w:val="0"/>
        </w:numPr>
        <w:tabs>
          <w:tab w:val="left" w:pos="1452"/>
        </w:tabs>
        <w:autoSpaceDE w:val="0"/>
        <w:autoSpaceDN w:val="0"/>
        <w:spacing w:before="42"/>
        <w:ind w:left="840" w:leftChars="400"/>
        <w:rPr>
          <w:rFonts w:hint="eastAsia" w:ascii="宋体" w:hAnsi="宋体" w:eastAsia="宋体" w:cs="宋体"/>
          <w:b w:val="0"/>
          <w:bCs w:val="0"/>
          <w:color w:val="auto"/>
          <w:sz w:val="28"/>
          <w:szCs w:val="28"/>
          <w:highlight w:val="none"/>
          <w:lang w:val="zh-CN" w:bidi="zh-CN"/>
        </w:rPr>
      </w:pPr>
      <w:r>
        <w:rPr>
          <w:rFonts w:hint="eastAsia" w:ascii="宋体" w:hAnsi="宋体" w:eastAsia="宋体" w:cs="宋体"/>
          <w:b w:val="0"/>
          <w:bCs w:val="0"/>
          <w:color w:val="auto"/>
          <w:sz w:val="28"/>
          <w:szCs w:val="28"/>
          <w:highlight w:val="none"/>
          <w:lang w:val="en-US" w:eastAsia="zh-CN" w:bidi="zh-CN"/>
        </w:rPr>
        <w:t>11.</w:t>
      </w:r>
      <w:r>
        <w:rPr>
          <w:rFonts w:hint="eastAsia" w:ascii="宋体" w:hAnsi="宋体" w:eastAsia="宋体" w:cs="宋体"/>
          <w:b w:val="0"/>
          <w:bCs w:val="0"/>
          <w:color w:val="auto"/>
          <w:sz w:val="28"/>
          <w:szCs w:val="28"/>
          <w:highlight w:val="none"/>
          <w:lang w:val="zh-CN" w:bidi="zh-CN"/>
        </w:rPr>
        <w:t>享受政府采购政策的证明材料</w:t>
      </w:r>
    </w:p>
    <w:p>
      <w:pPr>
        <w:pStyle w:val="19"/>
        <w:ind w:firstLine="562"/>
        <w:rPr>
          <w:b w:val="0"/>
          <w:bCs w:val="0"/>
          <w:color w:val="auto"/>
          <w:sz w:val="28"/>
          <w:szCs w:val="28"/>
          <w:highlight w:val="none"/>
        </w:rPr>
      </w:pPr>
    </w:p>
    <w:p>
      <w:pPr>
        <w:rPr>
          <w:b w:val="0"/>
          <w:bCs w:val="0"/>
          <w:color w:val="auto"/>
          <w:sz w:val="28"/>
          <w:szCs w:val="28"/>
          <w:highlight w:val="none"/>
        </w:rPr>
      </w:pPr>
    </w:p>
    <w:p>
      <w:pPr>
        <w:pStyle w:val="18"/>
        <w:ind w:firstLine="281"/>
        <w:rPr>
          <w:rFonts w:eastAsia="宋体"/>
          <w:b w:val="0"/>
          <w:bCs w:val="0"/>
          <w:color w:val="auto"/>
          <w:sz w:val="28"/>
          <w:szCs w:val="28"/>
          <w:highlight w:val="none"/>
        </w:rPr>
      </w:pPr>
    </w:p>
    <w:p>
      <w:pPr>
        <w:pStyle w:val="19"/>
        <w:ind w:firstLine="562"/>
        <w:rPr>
          <w:b/>
          <w:color w:val="auto"/>
          <w:highlight w:val="none"/>
        </w:rPr>
      </w:pPr>
    </w:p>
    <w:p>
      <w:pPr>
        <w:rPr>
          <w:b/>
          <w:color w:val="auto"/>
          <w:highlight w:val="none"/>
        </w:rPr>
      </w:pPr>
    </w:p>
    <w:p>
      <w:pPr>
        <w:pStyle w:val="18"/>
        <w:ind w:firstLine="281"/>
        <w:rPr>
          <w:rFonts w:eastAsia="宋体"/>
          <w:b/>
          <w:color w:val="auto"/>
          <w:highlight w:val="none"/>
        </w:rPr>
      </w:pPr>
    </w:p>
    <w:p>
      <w:pPr>
        <w:pStyle w:val="19"/>
        <w:ind w:firstLine="560"/>
        <w:rPr>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spacing w:line="400" w:lineRule="exact"/>
        <w:jc w:val="center"/>
        <w:rPr>
          <w:b/>
          <w:color w:val="auto"/>
          <w:highlight w:val="none"/>
        </w:rPr>
      </w:pPr>
    </w:p>
    <w:p>
      <w:pPr>
        <w:pStyle w:val="35"/>
        <w:bidi w:val="0"/>
        <w:ind w:firstLine="2800" w:firstLineChars="1000"/>
        <w:rPr>
          <w:color w:val="auto"/>
          <w:highlight w:val="none"/>
        </w:rPr>
      </w:pPr>
      <w:bookmarkStart w:id="83" w:name="_Toc144974857"/>
      <w:bookmarkStart w:id="84" w:name="_Toc152042577"/>
      <w:bookmarkStart w:id="85" w:name="_Toc152045788"/>
      <w:bookmarkStart w:id="86" w:name="_Toc179632808"/>
      <w:bookmarkStart w:id="87" w:name="_Toc15028"/>
      <w:r>
        <w:rPr>
          <w:rFonts w:hint="eastAsia"/>
          <w:color w:val="auto"/>
          <w:highlight w:val="none"/>
          <w:lang w:val="en-US" w:eastAsia="zh-CN"/>
        </w:rPr>
        <w:t>1</w:t>
      </w:r>
      <w:r>
        <w:rPr>
          <w:color w:val="auto"/>
          <w:highlight w:val="none"/>
        </w:rPr>
        <w:t>、投标函及投标函附录</w:t>
      </w:r>
      <w:bookmarkEnd w:id="83"/>
      <w:bookmarkEnd w:id="84"/>
      <w:bookmarkEnd w:id="85"/>
      <w:bookmarkEnd w:id="86"/>
      <w:bookmarkEnd w:id="87"/>
    </w:p>
    <w:p>
      <w:pPr>
        <w:pStyle w:val="5"/>
        <w:tabs>
          <w:tab w:val="left" w:pos="839"/>
        </w:tabs>
        <w:spacing w:line="360" w:lineRule="auto"/>
        <w:ind w:right="17" w:firstLine="3935" w:firstLineChars="1400"/>
        <w:jc w:val="both"/>
        <w:rPr>
          <w:rFonts w:hint="eastAsia" w:ascii="宋体" w:hAnsi="宋体" w:eastAsia="宋体" w:cs="宋体"/>
          <w:b/>
          <w:color w:val="auto"/>
          <w:sz w:val="24"/>
          <w:szCs w:val="24"/>
          <w:highlight w:val="none"/>
        </w:rPr>
      </w:pP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tab/>
      </w:r>
      <w:bookmarkStart w:id="88" w:name="_bookmark17"/>
      <w:bookmarkEnd w:id="88"/>
      <w:r>
        <w:rPr>
          <w:rFonts w:hint="eastAsia" w:ascii="宋体" w:hAnsi="宋体" w:eastAsia="宋体" w:cs="宋体"/>
          <w:color w:val="auto"/>
          <w:sz w:val="28"/>
          <w:szCs w:val="28"/>
          <w:highlight w:val="none"/>
        </w:rPr>
        <w:t>投标函</w:t>
      </w:r>
    </w:p>
    <w:p>
      <w:pPr>
        <w:pStyle w:val="8"/>
        <w:spacing w:before="70" w:line="360"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人名称）</w:t>
      </w:r>
    </w:p>
    <w:p>
      <w:pPr>
        <w:pStyle w:val="8"/>
        <w:spacing w:before="7" w:line="360" w:lineRule="auto"/>
        <w:rPr>
          <w:rFonts w:hint="eastAsia" w:ascii="宋体" w:hAnsi="宋体" w:eastAsia="宋体" w:cs="宋体"/>
          <w:color w:val="auto"/>
          <w:sz w:val="24"/>
          <w:szCs w:val="24"/>
          <w:highlight w:val="none"/>
        </w:rPr>
      </w:pPr>
    </w:p>
    <w:p>
      <w:pPr>
        <w:adjustRightInd w:val="0"/>
        <w:snapToGrid w:val="0"/>
        <w:spacing w:line="360" w:lineRule="auto"/>
        <w:ind w:firstLine="720" w:firstLineChars="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(项目名称)磋商文件的全部内容，愿意以人民币(大写)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元(小写￥</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元)的投标总报价，</w:t>
      </w:r>
      <w:r>
        <w:rPr>
          <w:rFonts w:hint="eastAsia" w:ascii="宋体" w:hAnsi="宋体" w:eastAsia="宋体" w:cs="宋体"/>
          <w:color w:val="auto"/>
          <w:sz w:val="24"/>
          <w:szCs w:val="24"/>
          <w:highlight w:val="none"/>
          <w:lang w:eastAsia="zh-CN"/>
        </w:rPr>
        <w:t>质量要求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提供按磋商文件及含服务要求的全部内容。</w:t>
      </w:r>
    </w:p>
    <w:p>
      <w:pPr>
        <w:pStyle w:val="33"/>
        <w:numPr>
          <w:ilvl w:val="0"/>
          <w:numId w:val="6"/>
        </w:numPr>
        <w:tabs>
          <w:tab w:val="left" w:pos="1680"/>
        </w:tabs>
        <w:spacing w:line="360" w:lineRule="auto"/>
        <w:ind w:left="0" w:leftChars="0" w:right="437" w:rightChars="0" w:firstLine="44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如果我方成交，我方将按竞争性磋商文件的规定签订并严格履行合同中的责任和义务，在签订合同时不向你方提出附加条件，在合同约定的期限内完成合同规定的全部内容。</w:t>
      </w:r>
    </w:p>
    <w:p>
      <w:pPr>
        <w:pStyle w:val="33"/>
        <w:numPr>
          <w:ilvl w:val="0"/>
          <w:numId w:val="6"/>
        </w:numPr>
        <w:tabs>
          <w:tab w:val="left" w:pos="1680"/>
        </w:tabs>
        <w:spacing w:line="360" w:lineRule="auto"/>
        <w:ind w:left="0" w:leftChars="0" w:right="437" w:rightChars="0" w:firstLine="440" w:firstLineChars="200"/>
        <w:jc w:val="both"/>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我方已详细审查全部竞争性磋商文件，包括修改文件以及全部参考资料和有关附 件。我方完全理解并同意放弃对这方面有不明及误解的权力。</w:t>
      </w:r>
    </w:p>
    <w:p>
      <w:pPr>
        <w:pStyle w:val="33"/>
        <w:numPr>
          <w:ilvl w:val="0"/>
          <w:numId w:val="6"/>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磋商有效期为提交首次响应文件的截止之日起</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60</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日历天。</w:t>
      </w:r>
    </w:p>
    <w:p>
      <w:pPr>
        <w:pStyle w:val="33"/>
        <w:numPr>
          <w:ilvl w:val="0"/>
          <w:numId w:val="6"/>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我方在此声明，所递交的响应文件及有关资料内容完整、真实和准确，且不存在第二章“供应商须知”规定的任何一种情形。</w:t>
      </w:r>
    </w:p>
    <w:p>
      <w:pPr>
        <w:pStyle w:val="33"/>
        <w:numPr>
          <w:ilvl w:val="0"/>
          <w:numId w:val="6"/>
        </w:numPr>
        <w:tabs>
          <w:tab w:val="left" w:pos="1680"/>
          <w:tab w:val="left" w:pos="1769"/>
          <w:tab w:val="left" w:pos="6596"/>
        </w:tabs>
        <w:spacing w:line="360" w:lineRule="auto"/>
        <w:ind w:left="0"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我方同意提供按照贵方可能要求的与其磋商有关的一切数据或资料，完全理解贵方不一定接受最低价的响应。</w:t>
      </w:r>
    </w:p>
    <w:p>
      <w:pPr>
        <w:pStyle w:val="8"/>
        <w:rPr>
          <w:rFonts w:hint="eastAsia" w:ascii="宋体" w:hAnsi="宋体" w:eastAsia="宋体" w:cs="宋体"/>
          <w:color w:val="auto"/>
          <w:sz w:val="24"/>
          <w:szCs w:val="24"/>
          <w:highlight w:val="none"/>
        </w:rPr>
      </w:pPr>
    </w:p>
    <w:p>
      <w:pPr>
        <w:spacing w:line="360" w:lineRule="auto"/>
        <w:ind w:firstLine="960" w:firstLineChars="400"/>
        <w:jc w:val="both"/>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(盖单位章)</w:t>
      </w:r>
    </w:p>
    <w:p>
      <w:pPr>
        <w:spacing w:line="360" w:lineRule="auto"/>
        <w:ind w:firstLine="960" w:firstLineChars="400"/>
        <w:jc w:val="both"/>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(签字)</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地址：_______________________</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电话：_______________________</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传真：_______________________</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邮政编码：___________________</w:t>
      </w:r>
    </w:p>
    <w:p>
      <w:pPr>
        <w:spacing w:line="360" w:lineRule="auto"/>
        <w:ind w:firstLine="6480" w:firstLineChars="27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______年______月______日</w:t>
      </w:r>
    </w:p>
    <w:p>
      <w:pPr>
        <w:pStyle w:val="8"/>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8"/>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8"/>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8"/>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8"/>
        <w:spacing w:before="1"/>
        <w:ind w:firstLine="3132" w:firstLineChars="1300"/>
        <w:rPr>
          <w:rFonts w:hint="eastAsia" w:ascii="宋体" w:hAnsi="宋体" w:eastAsia="宋体" w:cs="宋体"/>
          <w:b/>
          <w:bCs/>
          <w:color w:val="auto"/>
          <w:kern w:val="0"/>
          <w:sz w:val="24"/>
          <w:szCs w:val="24"/>
          <w:highlight w:val="none"/>
          <w:lang w:val="en-US" w:eastAsia="zh-CN" w:bidi="ar-SA"/>
        </w:rPr>
      </w:pPr>
    </w:p>
    <w:p>
      <w:pPr>
        <w:pStyle w:val="8"/>
        <w:spacing w:before="1"/>
        <w:ind w:firstLine="3132" w:firstLineChars="13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1.2、</w:t>
      </w:r>
      <w:bookmarkStart w:id="89" w:name="二、投标函附录（第一轮报价）"/>
      <w:bookmarkEnd w:id="89"/>
      <w:bookmarkStart w:id="90" w:name="_bookmark18"/>
      <w:bookmarkEnd w:id="90"/>
      <w:r>
        <w:rPr>
          <w:rFonts w:hint="eastAsia" w:ascii="宋体" w:hAnsi="宋体" w:eastAsia="宋体" w:cs="宋体"/>
          <w:b/>
          <w:bCs/>
          <w:color w:val="auto"/>
          <w:kern w:val="0"/>
          <w:sz w:val="24"/>
          <w:szCs w:val="24"/>
          <w:highlight w:val="none"/>
          <w:lang w:val="en-US" w:eastAsia="zh-CN" w:bidi="ar-SA"/>
        </w:rPr>
        <w:t>投标函附录（第一轮报价）</w:t>
      </w:r>
    </w:p>
    <w:p>
      <w:pPr>
        <w:pStyle w:val="8"/>
        <w:spacing w:before="5"/>
        <w:rPr>
          <w:rFonts w:hint="eastAsia" w:ascii="宋体" w:hAnsi="宋体" w:eastAsia="宋体" w:cs="宋体"/>
          <w:b/>
          <w:color w:val="auto"/>
          <w:sz w:val="24"/>
          <w:highlight w:val="none"/>
        </w:rPr>
      </w:pPr>
    </w:p>
    <w:tbl>
      <w:tblPr>
        <w:tblStyle w:val="20"/>
        <w:tblW w:w="8926" w:type="dxa"/>
        <w:jc w:val="center"/>
        <w:tblLayout w:type="fixed"/>
        <w:tblCellMar>
          <w:top w:w="0" w:type="dxa"/>
          <w:left w:w="0" w:type="dxa"/>
          <w:bottom w:w="0" w:type="dxa"/>
          <w:right w:w="0" w:type="dxa"/>
        </w:tblCellMar>
      </w:tblPr>
      <w:tblGrid>
        <w:gridCol w:w="1877"/>
        <w:gridCol w:w="7049"/>
      </w:tblGrid>
      <w:tr>
        <w:tblPrEx>
          <w:tblCellMar>
            <w:top w:w="0" w:type="dxa"/>
            <w:left w:w="0" w:type="dxa"/>
            <w:bottom w:w="0" w:type="dxa"/>
            <w:right w:w="0" w:type="dxa"/>
          </w:tblCellMar>
        </w:tblPrEx>
        <w:trPr>
          <w:trHeight w:val="81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939"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响应人</w:t>
            </w:r>
            <w:r>
              <w:rPr>
                <w:rFonts w:hint="eastAsia" w:ascii="宋体" w:hAnsi="宋体" w:eastAsia="宋体" w:cs="宋体"/>
                <w:color w:val="auto"/>
                <w:sz w:val="24"/>
                <w:highlight w:val="none"/>
              </w:rPr>
              <w:t>名称</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182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磋商报价</w:t>
            </w:r>
          </w:p>
        </w:tc>
        <w:tc>
          <w:tcPr>
            <w:tcW w:w="7049" w:type="dxa"/>
            <w:tcBorders>
              <w:top w:val="single" w:color="auto" w:sz="4" w:space="0"/>
              <w:left w:val="single" w:color="auto" w:sz="4" w:space="0"/>
              <w:bottom w:val="single" w:color="auto" w:sz="4" w:space="0"/>
              <w:right w:val="single" w:color="auto" w:sz="8" w:space="0"/>
            </w:tcBorders>
            <w:noWrap w:val="0"/>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元</w:t>
            </w: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977"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866"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972" w:hRule="atLeast"/>
          <w:jc w:val="center"/>
        </w:trPr>
        <w:tc>
          <w:tcPr>
            <w:tcW w:w="187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704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highlight w:val="none"/>
              </w:rPr>
            </w:pPr>
          </w:p>
        </w:tc>
      </w:tr>
    </w:tbl>
    <w:p>
      <w:pPr>
        <w:pStyle w:val="8"/>
        <w:rPr>
          <w:rFonts w:hint="eastAsia" w:ascii="宋体" w:hAnsi="宋体" w:eastAsia="宋体" w:cs="宋体"/>
          <w:b/>
          <w:color w:val="auto"/>
          <w:sz w:val="24"/>
          <w:szCs w:val="24"/>
          <w:highlight w:val="none"/>
        </w:rPr>
      </w:pPr>
    </w:p>
    <w:p>
      <w:pPr>
        <w:pStyle w:val="8"/>
        <w:rPr>
          <w:rFonts w:hint="eastAsia" w:ascii="宋体" w:hAnsi="宋体" w:eastAsia="宋体" w:cs="宋体"/>
          <w:b/>
          <w:color w:val="auto"/>
          <w:sz w:val="24"/>
          <w:szCs w:val="24"/>
          <w:highlight w:val="none"/>
        </w:rPr>
      </w:pPr>
    </w:p>
    <w:p>
      <w:pPr>
        <w:pStyle w:val="8"/>
        <w:tabs>
          <w:tab w:val="left" w:pos="4077"/>
          <w:tab w:val="left" w:pos="4603"/>
        </w:tabs>
        <w:spacing w:before="1" w:line="556" w:lineRule="auto"/>
        <w:ind w:left="508" w:right="3650" w:right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p>
    <w:p>
      <w:pPr>
        <w:pStyle w:val="8"/>
        <w:tabs>
          <w:tab w:val="left" w:pos="2272"/>
          <w:tab w:val="left" w:pos="3218"/>
          <w:tab w:val="left" w:pos="4058"/>
        </w:tabs>
        <w:spacing w:line="269" w:lineRule="exact"/>
        <w:ind w:left="1557"/>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spacing w:line="269" w:lineRule="exact"/>
        <w:rPr>
          <w:rFonts w:hint="eastAsia" w:ascii="宋体" w:hAnsi="宋体" w:eastAsia="宋体" w:cs="宋体"/>
          <w:color w:val="auto"/>
          <w:highlight w:val="none"/>
        </w:rPr>
        <w:sectPr>
          <w:footerReference r:id="rId9" w:type="default"/>
          <w:pgSz w:w="11910" w:h="16840"/>
          <w:pgMar w:top="1440" w:right="1080" w:bottom="1440" w:left="1080" w:header="1072" w:footer="1194" w:gutter="0"/>
          <w:pgNumType w:fmt="decimal"/>
          <w:cols w:space="720" w:num="1"/>
        </w:sectPr>
      </w:pPr>
    </w:p>
    <w:p>
      <w:pPr>
        <w:pStyle w:val="5"/>
        <w:tabs>
          <w:tab w:val="left" w:pos="839"/>
        </w:tabs>
        <w:spacing w:before="67"/>
        <w:ind w:right="10" w:firstLine="3855" w:firstLineChars="16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2、投 标 报 价 表</w:t>
      </w:r>
    </w:p>
    <w:p>
      <w:pPr>
        <w:pStyle w:val="8"/>
        <w:spacing w:before="4"/>
        <w:jc w:val="both"/>
        <w:rPr>
          <w:rFonts w:hint="eastAsia" w:ascii="宋体" w:hAnsi="宋体" w:eastAsia="宋体" w:cs="宋体"/>
          <w:b/>
          <w:color w:val="auto"/>
          <w:sz w:val="24"/>
          <w:szCs w:val="24"/>
          <w:highlight w:val="none"/>
        </w:rPr>
      </w:pPr>
    </w:p>
    <w:p>
      <w:pPr>
        <w:pStyle w:val="8"/>
        <w:spacing w:before="4"/>
        <w:jc w:val="both"/>
        <w:rPr>
          <w:rFonts w:hint="eastAsia" w:ascii="宋体" w:hAnsi="宋体" w:eastAsia="宋体" w:cs="宋体"/>
          <w:color w:val="auto"/>
          <w:sz w:val="24"/>
          <w:szCs w:val="24"/>
          <w:highlight w:val="none"/>
        </w:rPr>
      </w:pPr>
    </w:p>
    <w:p>
      <w:pPr>
        <w:pStyle w:val="8"/>
        <w:spacing w:before="67"/>
        <w:ind w:left="238"/>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名称：</w:t>
      </w:r>
    </w:p>
    <w:tbl>
      <w:tblPr>
        <w:tblStyle w:val="2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545"/>
        <w:gridCol w:w="2410"/>
        <w:gridCol w:w="2114"/>
        <w:gridCol w:w="18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808" w:type="dxa"/>
            <w:noWrap w:val="0"/>
            <w:vAlign w:val="center"/>
          </w:tcPr>
          <w:p>
            <w:pPr>
              <w:spacing w:line="46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项目名称</w:t>
            </w:r>
          </w:p>
        </w:tc>
        <w:tc>
          <w:tcPr>
            <w:tcW w:w="1545" w:type="dxa"/>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w:t>
            </w:r>
          </w:p>
        </w:tc>
        <w:tc>
          <w:tcPr>
            <w:tcW w:w="2410" w:type="dxa"/>
            <w:noWrap w:val="0"/>
            <w:vAlign w:val="center"/>
          </w:tcPr>
          <w:p>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质量要求</w:t>
            </w:r>
          </w:p>
        </w:tc>
        <w:tc>
          <w:tcPr>
            <w:tcW w:w="2114" w:type="dxa"/>
            <w:noWrap w:val="0"/>
            <w:vAlign w:val="center"/>
          </w:tcPr>
          <w:p>
            <w:pPr>
              <w:spacing w:line="4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工期</w:t>
            </w:r>
          </w:p>
        </w:tc>
        <w:tc>
          <w:tcPr>
            <w:tcW w:w="1823" w:type="dxa"/>
            <w:noWrap w:val="0"/>
            <w:vAlign w:val="center"/>
          </w:tcPr>
          <w:p>
            <w:pPr>
              <w:spacing w:line="4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 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p>
        </w:tc>
        <w:tc>
          <w:tcPr>
            <w:tcW w:w="1545" w:type="dxa"/>
            <w:noWrap w:val="0"/>
            <w:vAlign w:val="center"/>
          </w:tcPr>
          <w:p>
            <w:pPr>
              <w:spacing w:line="460" w:lineRule="exact"/>
              <w:jc w:val="center"/>
              <w:rPr>
                <w:rFonts w:hint="eastAsia" w:ascii="宋体" w:hAnsi="宋体" w:eastAsia="宋体" w:cs="宋体"/>
                <w:color w:val="auto"/>
                <w:sz w:val="28"/>
                <w:highlight w:val="none"/>
              </w:rPr>
            </w:pPr>
          </w:p>
        </w:tc>
        <w:tc>
          <w:tcPr>
            <w:tcW w:w="2410" w:type="dxa"/>
            <w:noWrap w:val="0"/>
            <w:vAlign w:val="center"/>
          </w:tcPr>
          <w:p>
            <w:pPr>
              <w:spacing w:line="460" w:lineRule="exact"/>
              <w:jc w:val="center"/>
              <w:rPr>
                <w:rFonts w:hint="eastAsia" w:ascii="宋体" w:hAnsi="宋体" w:eastAsia="宋体" w:cs="宋体"/>
                <w:color w:val="auto"/>
                <w:sz w:val="28"/>
                <w:highlight w:val="none"/>
              </w:rPr>
            </w:pPr>
          </w:p>
        </w:tc>
        <w:tc>
          <w:tcPr>
            <w:tcW w:w="2114" w:type="dxa"/>
            <w:noWrap w:val="0"/>
            <w:vAlign w:val="center"/>
          </w:tcPr>
          <w:p>
            <w:pPr>
              <w:spacing w:line="460" w:lineRule="exact"/>
              <w:jc w:val="center"/>
              <w:rPr>
                <w:rFonts w:hint="eastAsia" w:ascii="宋体" w:hAnsi="宋体" w:eastAsia="宋体" w:cs="宋体"/>
                <w:color w:val="auto"/>
                <w:sz w:val="28"/>
                <w:highlight w:val="none"/>
              </w:rPr>
            </w:pPr>
          </w:p>
        </w:tc>
        <w:tc>
          <w:tcPr>
            <w:tcW w:w="1823" w:type="dxa"/>
            <w:noWrap w:val="0"/>
            <w:vAlign w:val="center"/>
          </w:tcPr>
          <w:p>
            <w:pPr>
              <w:spacing w:line="460" w:lineRule="exact"/>
              <w:jc w:val="center"/>
              <w:rPr>
                <w:rFonts w:hint="eastAsia" w:ascii="宋体" w:hAnsi="宋体" w:eastAsia="宋体" w:cs="宋体"/>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p>
        </w:tc>
        <w:tc>
          <w:tcPr>
            <w:tcW w:w="1545" w:type="dxa"/>
            <w:noWrap w:val="0"/>
            <w:vAlign w:val="center"/>
          </w:tcPr>
          <w:p>
            <w:pPr>
              <w:spacing w:line="460" w:lineRule="exact"/>
              <w:jc w:val="center"/>
              <w:rPr>
                <w:rFonts w:hint="eastAsia" w:ascii="宋体" w:hAnsi="宋体" w:eastAsia="宋体" w:cs="宋体"/>
                <w:color w:val="auto"/>
                <w:sz w:val="28"/>
                <w:highlight w:val="none"/>
              </w:rPr>
            </w:pPr>
          </w:p>
        </w:tc>
        <w:tc>
          <w:tcPr>
            <w:tcW w:w="2410" w:type="dxa"/>
            <w:noWrap w:val="0"/>
            <w:vAlign w:val="center"/>
          </w:tcPr>
          <w:p>
            <w:pPr>
              <w:spacing w:line="460" w:lineRule="exact"/>
              <w:jc w:val="center"/>
              <w:rPr>
                <w:rFonts w:hint="eastAsia" w:ascii="宋体" w:hAnsi="宋体" w:eastAsia="宋体" w:cs="宋体"/>
                <w:color w:val="auto"/>
                <w:sz w:val="28"/>
                <w:highlight w:val="none"/>
              </w:rPr>
            </w:pPr>
          </w:p>
        </w:tc>
        <w:tc>
          <w:tcPr>
            <w:tcW w:w="2114" w:type="dxa"/>
            <w:noWrap w:val="0"/>
            <w:vAlign w:val="center"/>
          </w:tcPr>
          <w:p>
            <w:pPr>
              <w:spacing w:line="460" w:lineRule="exact"/>
              <w:jc w:val="center"/>
              <w:rPr>
                <w:rFonts w:hint="eastAsia" w:ascii="宋体" w:hAnsi="宋体" w:eastAsia="宋体" w:cs="宋体"/>
                <w:color w:val="auto"/>
                <w:sz w:val="28"/>
                <w:highlight w:val="none"/>
              </w:rPr>
            </w:pPr>
          </w:p>
        </w:tc>
        <w:tc>
          <w:tcPr>
            <w:tcW w:w="1823" w:type="dxa"/>
            <w:noWrap w:val="0"/>
            <w:vAlign w:val="center"/>
          </w:tcPr>
          <w:p>
            <w:pPr>
              <w:spacing w:line="460" w:lineRule="exact"/>
              <w:jc w:val="center"/>
              <w:rPr>
                <w:rFonts w:hint="eastAsia" w:ascii="宋体" w:hAnsi="宋体" w:eastAsia="宋体" w:cs="宋体"/>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r>
              <w:rPr>
                <w:rFonts w:hint="eastAsia" w:ascii="宋体" w:hAnsi="宋体" w:eastAsia="宋体" w:cs="宋体"/>
                <w:color w:val="auto"/>
                <w:sz w:val="28"/>
                <w:highlight w:val="none"/>
              </w:rPr>
              <w:t>...</w:t>
            </w:r>
          </w:p>
        </w:tc>
        <w:tc>
          <w:tcPr>
            <w:tcW w:w="1545" w:type="dxa"/>
            <w:noWrap w:val="0"/>
            <w:vAlign w:val="center"/>
          </w:tcPr>
          <w:p>
            <w:pPr>
              <w:spacing w:line="460" w:lineRule="exact"/>
              <w:jc w:val="center"/>
              <w:rPr>
                <w:rFonts w:hint="eastAsia" w:ascii="宋体" w:hAnsi="宋体" w:eastAsia="宋体" w:cs="宋体"/>
                <w:color w:val="auto"/>
                <w:sz w:val="28"/>
                <w:highlight w:val="none"/>
              </w:rPr>
            </w:pPr>
          </w:p>
        </w:tc>
        <w:tc>
          <w:tcPr>
            <w:tcW w:w="2410" w:type="dxa"/>
            <w:noWrap w:val="0"/>
            <w:vAlign w:val="center"/>
          </w:tcPr>
          <w:p>
            <w:pPr>
              <w:spacing w:line="460" w:lineRule="exact"/>
              <w:jc w:val="center"/>
              <w:rPr>
                <w:rFonts w:hint="eastAsia" w:ascii="宋体" w:hAnsi="宋体" w:eastAsia="宋体" w:cs="宋体"/>
                <w:color w:val="auto"/>
                <w:sz w:val="28"/>
                <w:highlight w:val="none"/>
              </w:rPr>
            </w:pPr>
          </w:p>
        </w:tc>
        <w:tc>
          <w:tcPr>
            <w:tcW w:w="2114" w:type="dxa"/>
            <w:noWrap w:val="0"/>
            <w:vAlign w:val="center"/>
          </w:tcPr>
          <w:p>
            <w:pPr>
              <w:spacing w:line="460" w:lineRule="exact"/>
              <w:jc w:val="center"/>
              <w:rPr>
                <w:rFonts w:hint="eastAsia" w:ascii="宋体" w:hAnsi="宋体" w:eastAsia="宋体" w:cs="宋体"/>
                <w:color w:val="auto"/>
                <w:sz w:val="28"/>
                <w:highlight w:val="none"/>
              </w:rPr>
            </w:pPr>
          </w:p>
        </w:tc>
        <w:tc>
          <w:tcPr>
            <w:tcW w:w="1823" w:type="dxa"/>
            <w:noWrap w:val="0"/>
            <w:vAlign w:val="center"/>
          </w:tcPr>
          <w:p>
            <w:pPr>
              <w:spacing w:line="460" w:lineRule="exact"/>
              <w:jc w:val="center"/>
              <w:rPr>
                <w:rFonts w:hint="eastAsia" w:ascii="宋体" w:hAnsi="宋体" w:eastAsia="宋体" w:cs="宋体"/>
                <w:color w:val="auto"/>
                <w:sz w:val="28"/>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08" w:type="dxa"/>
            <w:noWrap w:val="0"/>
            <w:vAlign w:val="center"/>
          </w:tcPr>
          <w:p>
            <w:pPr>
              <w:spacing w:line="460" w:lineRule="exact"/>
              <w:jc w:val="center"/>
              <w:rPr>
                <w:rFonts w:hint="eastAsia" w:ascii="宋体" w:hAnsi="宋体" w:eastAsia="宋体" w:cs="宋体"/>
                <w:color w:val="auto"/>
                <w:sz w:val="28"/>
                <w:highlight w:val="none"/>
              </w:rPr>
            </w:pPr>
            <w:r>
              <w:rPr>
                <w:rFonts w:hint="eastAsia" w:ascii="宋体" w:hAnsi="宋体" w:eastAsia="宋体" w:cs="宋体"/>
                <w:color w:val="auto"/>
                <w:sz w:val="24"/>
                <w:highlight w:val="none"/>
              </w:rPr>
              <w:t>投标总价（大写）</w:t>
            </w:r>
          </w:p>
        </w:tc>
        <w:tc>
          <w:tcPr>
            <w:tcW w:w="7892" w:type="dxa"/>
            <w:gridSpan w:val="4"/>
            <w:noWrap w:val="0"/>
            <w:vAlign w:val="center"/>
          </w:tcPr>
          <w:p>
            <w:pPr>
              <w:spacing w:line="460" w:lineRule="exact"/>
              <w:jc w:val="center"/>
              <w:rPr>
                <w:rFonts w:hint="eastAsia" w:ascii="宋体" w:hAnsi="宋体" w:eastAsia="宋体" w:cs="宋体"/>
                <w:color w:val="auto"/>
                <w:sz w:val="28"/>
                <w:highlight w:val="none"/>
              </w:rPr>
            </w:pPr>
          </w:p>
        </w:tc>
      </w:tr>
    </w:tbl>
    <w:p>
      <w:pPr>
        <w:pStyle w:val="8"/>
        <w:spacing w:before="2" w:after="1"/>
        <w:jc w:val="both"/>
        <w:rPr>
          <w:rFonts w:hint="eastAsia" w:ascii="宋体" w:hAnsi="宋体" w:eastAsia="宋体" w:cs="宋体"/>
          <w:color w:val="auto"/>
          <w:sz w:val="24"/>
          <w:szCs w:val="24"/>
          <w:highlight w:val="none"/>
        </w:rPr>
      </w:pPr>
    </w:p>
    <w:p>
      <w:pPr>
        <w:pStyle w:val="8"/>
        <w:spacing w:before="5"/>
        <w:jc w:val="both"/>
        <w:rPr>
          <w:rFonts w:hint="eastAsia" w:ascii="宋体" w:hAnsi="宋体" w:eastAsia="宋体" w:cs="宋体"/>
          <w:color w:val="auto"/>
          <w:sz w:val="24"/>
          <w:szCs w:val="24"/>
          <w:highlight w:val="none"/>
        </w:rPr>
      </w:pPr>
    </w:p>
    <w:p>
      <w:pPr>
        <w:pStyle w:val="34"/>
        <w:spacing w:before="1"/>
        <w:ind w:left="1278" w:right="1264"/>
        <w:jc w:val="both"/>
        <w:rPr>
          <w:rFonts w:hint="eastAsia" w:ascii="宋体" w:hAnsi="宋体" w:eastAsia="宋体" w:cs="宋体"/>
          <w:color w:val="auto"/>
          <w:spacing w:val="-8"/>
          <w:sz w:val="24"/>
          <w:szCs w:val="24"/>
          <w:highlight w:val="none"/>
        </w:rPr>
      </w:pPr>
      <w:r>
        <w:rPr>
          <w:rFonts w:hint="eastAsia" w:ascii="宋体" w:hAnsi="宋体" w:eastAsia="宋体" w:cs="宋体"/>
          <w:color w:val="auto"/>
          <w:spacing w:val="-10"/>
          <w:sz w:val="24"/>
          <w:szCs w:val="24"/>
          <w:highlight w:val="none"/>
        </w:rPr>
        <w:t>（若表格行数不足</w:t>
      </w:r>
      <w:r>
        <w:rPr>
          <w:rFonts w:hint="eastAsia" w:cs="宋体"/>
          <w:color w:val="auto"/>
          <w:spacing w:val="-10"/>
          <w:sz w:val="24"/>
          <w:szCs w:val="24"/>
          <w:highlight w:val="none"/>
          <w:lang w:eastAsia="zh-CN"/>
        </w:rPr>
        <w:t>响应人</w:t>
      </w:r>
      <w:r>
        <w:rPr>
          <w:rFonts w:hint="eastAsia" w:ascii="宋体" w:hAnsi="宋体" w:eastAsia="宋体" w:cs="宋体"/>
          <w:color w:val="auto"/>
          <w:spacing w:val="-10"/>
          <w:sz w:val="24"/>
          <w:szCs w:val="24"/>
          <w:highlight w:val="none"/>
        </w:rPr>
        <w:t>可自行添加</w:t>
      </w:r>
      <w:r>
        <w:rPr>
          <w:rFonts w:hint="eastAsia" w:ascii="宋体" w:hAnsi="宋体" w:eastAsia="宋体" w:cs="宋体"/>
          <w:color w:val="auto"/>
          <w:spacing w:val="-8"/>
          <w:sz w:val="24"/>
          <w:szCs w:val="24"/>
          <w:highlight w:val="none"/>
        </w:rPr>
        <w:t xml:space="preserve">） </w:t>
      </w:r>
    </w:p>
    <w:p>
      <w:pPr>
        <w:pStyle w:val="34"/>
        <w:spacing w:before="1"/>
        <w:ind w:left="1278" w:right="1264"/>
        <w:jc w:val="both"/>
        <w:rPr>
          <w:rFonts w:hint="eastAsia" w:ascii="宋体" w:hAnsi="宋体" w:eastAsia="宋体" w:cs="宋体"/>
          <w:color w:val="auto"/>
          <w:sz w:val="24"/>
          <w:szCs w:val="24"/>
          <w:highlight w:val="none"/>
        </w:rPr>
      </w:pPr>
    </w:p>
    <w:p>
      <w:pPr>
        <w:pStyle w:val="34"/>
        <w:spacing w:before="1"/>
        <w:ind w:left="1278" w:right="1264"/>
        <w:jc w:val="both"/>
        <w:rPr>
          <w:rFonts w:hint="eastAsia" w:ascii="宋体" w:hAnsi="宋体" w:eastAsia="宋体" w:cs="宋体"/>
          <w:color w:val="auto"/>
          <w:sz w:val="24"/>
          <w:szCs w:val="24"/>
          <w:highlight w:val="none"/>
        </w:rPr>
      </w:pPr>
      <w:r>
        <w:rPr>
          <w:rFonts w:hint="eastAsia" w:cs="宋体"/>
          <w:color w:val="auto"/>
          <w:sz w:val="24"/>
          <w:szCs w:val="24"/>
          <w:highlight w:val="none"/>
          <w:lang w:eastAsia="zh-CN"/>
        </w:rPr>
        <w:t>响应人</w:t>
      </w:r>
      <w:r>
        <w:rPr>
          <w:rFonts w:hint="eastAsia" w:ascii="宋体" w:hAnsi="宋体" w:eastAsia="宋体" w:cs="宋体"/>
          <w:color w:val="auto"/>
          <w:sz w:val="24"/>
          <w:szCs w:val="24"/>
          <w:highlight w:val="none"/>
        </w:rPr>
        <w:t>（盖章）：</w:t>
      </w:r>
    </w:p>
    <w:p>
      <w:pPr>
        <w:pStyle w:val="34"/>
        <w:spacing w:before="1"/>
        <w:ind w:left="1278" w:right="1264"/>
        <w:jc w:val="both"/>
        <w:rPr>
          <w:rFonts w:hint="eastAsia" w:ascii="宋体" w:hAnsi="宋体" w:eastAsia="宋体" w:cs="宋体"/>
          <w:color w:val="auto"/>
          <w:sz w:val="24"/>
          <w:szCs w:val="24"/>
          <w:highlight w:val="none"/>
        </w:rPr>
      </w:pPr>
    </w:p>
    <w:p>
      <w:pPr>
        <w:pStyle w:val="34"/>
        <w:spacing w:before="1"/>
        <w:ind w:left="1278" w:right="12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pStyle w:val="34"/>
        <w:spacing w:before="1"/>
        <w:ind w:left="1278" w:right="1264"/>
        <w:jc w:val="both"/>
        <w:rPr>
          <w:rFonts w:hint="eastAsia" w:ascii="宋体" w:hAnsi="宋体" w:eastAsia="宋体" w:cs="宋体"/>
          <w:color w:val="auto"/>
          <w:sz w:val="24"/>
          <w:szCs w:val="24"/>
          <w:highlight w:val="none"/>
        </w:rPr>
      </w:pPr>
    </w:p>
    <w:p>
      <w:pPr>
        <w:pStyle w:val="34"/>
        <w:spacing w:before="1"/>
        <w:ind w:left="1278" w:right="12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451" w:lineRule="auto"/>
        <w:jc w:val="both"/>
        <w:rPr>
          <w:rFonts w:hint="eastAsia" w:ascii="宋体" w:hAnsi="宋体" w:eastAsia="宋体" w:cs="宋体"/>
          <w:color w:val="auto"/>
          <w:sz w:val="24"/>
          <w:szCs w:val="24"/>
          <w:highlight w:val="none"/>
        </w:rPr>
        <w:sectPr>
          <w:pgSz w:w="11910" w:h="16840"/>
          <w:pgMar w:top="1400" w:right="940" w:bottom="1160" w:left="940" w:header="0" w:footer="895" w:gutter="0"/>
          <w:pgNumType w:fmt="decimal"/>
          <w:cols w:space="720" w:num="1"/>
        </w:sectPr>
      </w:pPr>
    </w:p>
    <w:p>
      <w:pPr>
        <w:pStyle w:val="5"/>
        <w:tabs>
          <w:tab w:val="left" w:pos="839"/>
        </w:tabs>
        <w:spacing w:before="67"/>
        <w:ind w:right="10" w:firstLine="4096" w:firstLineChars="17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3、资格证明文件</w:t>
      </w:r>
    </w:p>
    <w:p>
      <w:pPr>
        <w:pStyle w:val="8"/>
        <w:jc w:val="both"/>
        <w:rPr>
          <w:rFonts w:hint="eastAsia" w:ascii="宋体" w:hAnsi="宋体" w:eastAsia="宋体" w:cs="宋体"/>
          <w:b/>
          <w:color w:val="auto"/>
          <w:sz w:val="24"/>
          <w:szCs w:val="24"/>
          <w:highlight w:val="none"/>
        </w:rPr>
      </w:pPr>
    </w:p>
    <w:p>
      <w:pPr>
        <w:pStyle w:val="8"/>
        <w:spacing w:before="5"/>
        <w:jc w:val="both"/>
        <w:rPr>
          <w:rFonts w:hint="eastAsia" w:ascii="宋体" w:hAnsi="宋体" w:eastAsia="宋体" w:cs="宋体"/>
          <w:b/>
          <w:color w:val="auto"/>
          <w:sz w:val="24"/>
          <w:szCs w:val="24"/>
          <w:highlight w:val="none"/>
        </w:rPr>
      </w:pPr>
    </w:p>
    <w:p>
      <w:pPr>
        <w:pStyle w:val="8"/>
        <w:spacing w:before="1"/>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营业执照、组织机构代码、税务登记证或三证合一的营业执照</w:t>
      </w:r>
    </w:p>
    <w:p>
      <w:pPr>
        <w:pStyle w:val="8"/>
        <w:spacing w:before="3"/>
        <w:jc w:val="both"/>
        <w:rPr>
          <w:rFonts w:hint="eastAsia" w:ascii="宋体" w:hAnsi="宋体" w:eastAsia="宋体" w:cs="宋体"/>
          <w:color w:val="auto"/>
          <w:sz w:val="24"/>
          <w:szCs w:val="24"/>
          <w:highlight w:val="none"/>
        </w:rPr>
      </w:pPr>
    </w:p>
    <w:p>
      <w:pPr>
        <w:pStyle w:val="8"/>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、磋商文件要求的其它证明文件</w:t>
      </w:r>
    </w:p>
    <w:p>
      <w:pPr>
        <w:pStyle w:val="8"/>
        <w:spacing w:before="1"/>
        <w:jc w:val="both"/>
        <w:rPr>
          <w:rFonts w:hint="eastAsia" w:ascii="宋体" w:hAnsi="宋体" w:eastAsia="宋体" w:cs="宋体"/>
          <w:color w:val="auto"/>
          <w:sz w:val="24"/>
          <w:szCs w:val="24"/>
          <w:highlight w:val="none"/>
        </w:rPr>
      </w:pPr>
    </w:p>
    <w:p>
      <w:pPr>
        <w:pStyle w:val="8"/>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、其它</w:t>
      </w: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spacing w:before="8"/>
        <w:jc w:val="both"/>
        <w:rPr>
          <w:rFonts w:hint="eastAsia" w:ascii="宋体" w:hAnsi="宋体" w:eastAsia="宋体" w:cs="宋体"/>
          <w:color w:val="auto"/>
          <w:sz w:val="24"/>
          <w:szCs w:val="24"/>
          <w:highlight w:val="none"/>
        </w:rPr>
      </w:pPr>
    </w:p>
    <w:p>
      <w:pPr>
        <w:pStyle w:val="6"/>
        <w:spacing w:line="463" w:lineRule="auto"/>
        <w:ind w:left="238" w:right="151" w:firstLine="425"/>
        <w:jc w:val="both"/>
        <w:rPr>
          <w:rFonts w:hint="eastAsia" w:ascii="宋体" w:hAnsi="宋体" w:eastAsia="宋体" w:cs="宋体"/>
          <w:color w:val="auto"/>
          <w:highlight w:val="none"/>
        </w:rPr>
      </w:pPr>
      <w:r>
        <w:rPr>
          <w:rFonts w:hint="eastAsia" w:ascii="宋体" w:hAnsi="宋体" w:eastAsia="宋体" w:cs="宋体"/>
          <w:color w:val="auto"/>
          <w:spacing w:val="-1"/>
          <w:highlight w:val="none"/>
        </w:rPr>
        <w:t>注：本项目实行资格后审，审查内容以投标截止时间</w:t>
      </w:r>
      <w:r>
        <w:rPr>
          <w:rFonts w:hint="eastAsia" w:ascii="宋体" w:hAnsi="宋体" w:eastAsia="宋体" w:cs="宋体"/>
          <w:color w:val="auto"/>
          <w:spacing w:val="-5"/>
          <w:highlight w:val="none"/>
        </w:rPr>
        <w:t>前填报上传的企业诚信库</w:t>
      </w:r>
      <w:r>
        <w:rPr>
          <w:rFonts w:hint="eastAsia" w:ascii="宋体" w:hAnsi="宋体" w:eastAsia="宋体" w:cs="宋体"/>
          <w:color w:val="auto"/>
          <w:spacing w:val="-6"/>
          <w:highlight w:val="none"/>
        </w:rPr>
        <w:t xml:space="preserve">信息为准，过期更改的诚信库信息不作为本项目评审依据。诚信库上传信息必须内容齐全， </w:t>
      </w:r>
      <w:r>
        <w:rPr>
          <w:rFonts w:hint="eastAsia" w:ascii="宋体" w:hAnsi="宋体" w:eastAsia="宋体" w:cs="宋体"/>
          <w:color w:val="auto"/>
          <w:spacing w:val="-9"/>
          <w:highlight w:val="none"/>
        </w:rPr>
        <w:t>真实有效，原件扫描件清晰可辨。否则，由此造成应得分而未得分或资格审查不合格等情况的，由供应商自行承担责任；</w:t>
      </w:r>
    </w:p>
    <w:p>
      <w:pPr>
        <w:spacing w:line="463" w:lineRule="auto"/>
        <w:jc w:val="both"/>
        <w:rPr>
          <w:rFonts w:hint="eastAsia" w:ascii="宋体" w:hAnsi="宋体" w:eastAsia="宋体" w:cs="宋体"/>
          <w:color w:val="auto"/>
          <w:sz w:val="24"/>
          <w:szCs w:val="24"/>
          <w:highlight w:val="none"/>
        </w:rPr>
        <w:sectPr>
          <w:headerReference r:id="rId10" w:type="default"/>
          <w:footerReference r:id="rId11" w:type="default"/>
          <w:pgSz w:w="11910" w:h="16840"/>
          <w:pgMar w:top="1300" w:right="940" w:bottom="1160" w:left="940" w:header="0" w:footer="895" w:gutter="0"/>
          <w:pgNumType w:fmt="decimal"/>
          <w:cols w:space="720" w:num="1"/>
        </w:sectPr>
      </w:pPr>
    </w:p>
    <w:p>
      <w:pPr>
        <w:pStyle w:val="5"/>
        <w:tabs>
          <w:tab w:val="left" w:pos="839"/>
        </w:tabs>
        <w:spacing w:before="67"/>
        <w:ind w:right="10" w:firstLine="2891" w:firstLineChars="1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4、法定代表人身份证明和授权委托书</w:t>
      </w:r>
    </w:p>
    <w:p>
      <w:pPr>
        <w:pStyle w:val="5"/>
        <w:tabs>
          <w:tab w:val="left" w:pos="839"/>
        </w:tabs>
        <w:spacing w:before="67"/>
        <w:ind w:right="10" w:firstLine="4096" w:firstLineChars="17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法定代表人身份证明</w:t>
      </w:r>
    </w:p>
    <w:p>
      <w:pPr>
        <w:pStyle w:val="8"/>
        <w:rPr>
          <w:rFonts w:hint="eastAsia" w:ascii="宋体" w:hAnsi="宋体" w:eastAsia="宋体" w:cs="宋体"/>
          <w:b/>
          <w:color w:val="auto"/>
          <w:sz w:val="24"/>
          <w:highlight w:val="none"/>
        </w:rPr>
      </w:pPr>
    </w:p>
    <w:p>
      <w:pPr>
        <w:pStyle w:val="8"/>
        <w:rPr>
          <w:rFonts w:hint="eastAsia" w:ascii="宋体" w:hAnsi="宋体" w:eastAsia="宋体" w:cs="宋体"/>
          <w:b/>
          <w:color w:val="auto"/>
          <w:sz w:val="24"/>
          <w:highlight w:val="none"/>
        </w:rPr>
      </w:pPr>
    </w:p>
    <w:p>
      <w:pPr>
        <w:pStyle w:val="8"/>
        <w:spacing w:before="3"/>
        <w:rPr>
          <w:rFonts w:hint="eastAsia" w:ascii="宋体" w:hAnsi="宋体" w:eastAsia="宋体" w:cs="宋体"/>
          <w:b/>
          <w:color w:val="auto"/>
          <w:sz w:val="24"/>
          <w:szCs w:val="24"/>
          <w:highlight w:val="none"/>
        </w:rPr>
      </w:pPr>
    </w:p>
    <w:p>
      <w:pPr>
        <w:pStyle w:val="8"/>
        <w:tabs>
          <w:tab w:val="left" w:pos="4548"/>
        </w:tabs>
        <w:ind w:left="508"/>
        <w:rPr>
          <w:rFonts w:hint="eastAsia" w:ascii="宋体" w:hAnsi="宋体" w:eastAsia="宋体" w:cs="宋体"/>
          <w:color w:val="auto"/>
          <w:sz w:val="24"/>
          <w:szCs w:val="24"/>
          <w:highlight w:val="none"/>
        </w:rPr>
      </w:pPr>
      <w:r>
        <w:rPr>
          <w:rFonts w:hint="eastAsia" w:ascii="宋体" w:hAnsi="宋体" w:cs="宋体"/>
          <w:color w:val="auto"/>
          <w:w w:val="95"/>
          <w:sz w:val="24"/>
          <w:szCs w:val="24"/>
          <w:highlight w:val="none"/>
          <w:lang w:eastAsia="zh-CN"/>
        </w:rPr>
        <w:t>响应人</w:t>
      </w:r>
      <w:r>
        <w:rPr>
          <w:rFonts w:hint="eastAsia" w:ascii="宋体" w:hAnsi="宋体" w:eastAsia="宋体" w:cs="宋体"/>
          <w:color w:val="auto"/>
          <w:w w:val="95"/>
          <w:sz w:val="24"/>
          <w:szCs w:val="24"/>
          <w:highlight w:val="none"/>
        </w:rPr>
        <w:t>名称：</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8"/>
        <w:spacing w:before="8"/>
        <w:rPr>
          <w:rFonts w:hint="eastAsia" w:ascii="宋体" w:hAnsi="宋体" w:eastAsia="宋体" w:cs="宋体"/>
          <w:color w:val="auto"/>
          <w:sz w:val="24"/>
          <w:szCs w:val="24"/>
          <w:highlight w:val="none"/>
        </w:rPr>
      </w:pPr>
    </w:p>
    <w:p>
      <w:pPr>
        <w:pStyle w:val="8"/>
        <w:tabs>
          <w:tab w:val="left" w:pos="2711"/>
          <w:tab w:val="left" w:pos="4654"/>
          <w:tab w:val="left" w:pos="6123"/>
          <w:tab w:val="left" w:pos="8643"/>
        </w:tabs>
        <w:spacing w:before="76"/>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w w:val="95"/>
          <w:sz w:val="24"/>
          <w:szCs w:val="24"/>
          <w:highlight w:val="none"/>
        </w:rPr>
        <w:t>职务：</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8"/>
        <w:spacing w:before="8"/>
        <w:rPr>
          <w:rFonts w:hint="eastAsia" w:ascii="宋体" w:hAnsi="宋体" w:eastAsia="宋体" w:cs="宋体"/>
          <w:color w:val="auto"/>
          <w:sz w:val="24"/>
          <w:szCs w:val="24"/>
          <w:highlight w:val="none"/>
        </w:rPr>
      </w:pPr>
    </w:p>
    <w:p>
      <w:pPr>
        <w:pStyle w:val="8"/>
        <w:tabs>
          <w:tab w:val="left" w:pos="4077"/>
        </w:tabs>
        <w:spacing w:before="76" w:line="417" w:lineRule="auto"/>
        <w:ind w:left="508" w:right="27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（供应商名称）的法定代表人</w:t>
      </w:r>
      <w:r>
        <w:rPr>
          <w:rFonts w:hint="eastAsia" w:ascii="宋体" w:hAnsi="宋体" w:eastAsia="宋体" w:cs="宋体"/>
          <w:color w:val="auto"/>
          <w:spacing w:val="-10"/>
          <w:sz w:val="24"/>
          <w:szCs w:val="24"/>
          <w:highlight w:val="none"/>
        </w:rPr>
        <w:t>。</w:t>
      </w:r>
      <w:r>
        <w:rPr>
          <w:rFonts w:hint="eastAsia" w:ascii="宋体" w:hAnsi="宋体" w:eastAsia="宋体" w:cs="宋体"/>
          <w:color w:val="auto"/>
          <w:sz w:val="24"/>
          <w:szCs w:val="24"/>
          <w:highlight w:val="none"/>
        </w:rPr>
        <w:t>特此证明。</w:t>
      </w:r>
    </w:p>
    <w:p>
      <w:pPr>
        <w:pStyle w:val="8"/>
        <w:spacing w:line="269" w:lineRule="exact"/>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spacing w:before="8"/>
        <w:rPr>
          <w:rFonts w:hint="eastAsia" w:ascii="宋体" w:hAnsi="宋体" w:eastAsia="宋体" w:cs="宋体"/>
          <w:color w:val="auto"/>
          <w:sz w:val="24"/>
          <w:szCs w:val="24"/>
          <w:highlight w:val="none"/>
        </w:rPr>
      </w:pPr>
    </w:p>
    <w:p>
      <w:pPr>
        <w:pStyle w:val="8"/>
        <w:tabs>
          <w:tab w:val="left" w:pos="4603"/>
        </w:tabs>
        <w:ind w:left="508"/>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p>
    <w:p>
      <w:pPr>
        <w:pStyle w:val="8"/>
        <w:rPr>
          <w:rFonts w:hint="eastAsia" w:ascii="宋体" w:hAnsi="宋体" w:eastAsia="宋体" w:cs="宋体"/>
          <w:color w:val="auto"/>
          <w:sz w:val="24"/>
          <w:szCs w:val="24"/>
          <w:highlight w:val="none"/>
        </w:rPr>
      </w:pPr>
    </w:p>
    <w:p>
      <w:pPr>
        <w:pStyle w:val="8"/>
        <w:spacing w:before="8"/>
        <w:rPr>
          <w:rFonts w:hint="eastAsia" w:ascii="宋体" w:hAnsi="宋体" w:eastAsia="宋体" w:cs="宋体"/>
          <w:color w:val="auto"/>
          <w:sz w:val="24"/>
          <w:szCs w:val="24"/>
          <w:highlight w:val="none"/>
        </w:rPr>
      </w:pPr>
    </w:p>
    <w:p>
      <w:pPr>
        <w:pStyle w:val="8"/>
        <w:tabs>
          <w:tab w:val="left" w:pos="2272"/>
          <w:tab w:val="left" w:pos="3218"/>
          <w:tab w:val="left" w:pos="4058"/>
        </w:tabs>
        <w:spacing w:before="70"/>
        <w:ind w:left="1557"/>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sectPr>
          <w:pgSz w:w="11910" w:h="16840"/>
          <w:pgMar w:top="1440" w:right="1080" w:bottom="1440" w:left="1080" w:header="1072" w:footer="1194" w:gutter="0"/>
          <w:pgNumType w:fmt="decimal"/>
          <w:cols w:space="720" w:num="1"/>
        </w:sectPr>
      </w:pPr>
    </w:p>
    <w:p>
      <w:pPr>
        <w:pStyle w:val="8"/>
        <w:spacing w:before="12"/>
        <w:rPr>
          <w:rFonts w:hint="eastAsia" w:ascii="宋体" w:hAnsi="宋体" w:eastAsia="宋体" w:cs="宋体"/>
          <w:color w:val="auto"/>
          <w:sz w:val="3"/>
          <w:highlight w:val="none"/>
        </w:rPr>
      </w:pPr>
    </w:p>
    <w:p>
      <w:pPr>
        <w:pStyle w:val="8"/>
        <w:spacing w:line="87" w:lineRule="exact"/>
        <w:ind w:left="479"/>
        <w:rPr>
          <w:rFonts w:hint="eastAsia" w:ascii="宋体" w:hAnsi="宋体" w:eastAsia="宋体" w:cs="宋体"/>
          <w:color w:val="auto"/>
          <w:sz w:val="8"/>
          <w:highlight w:val="none"/>
        </w:rPr>
      </w:pPr>
    </w:p>
    <w:p>
      <w:pPr>
        <w:pStyle w:val="5"/>
        <w:tabs>
          <w:tab w:val="left" w:pos="839"/>
        </w:tabs>
        <w:spacing w:before="67"/>
        <w:ind w:right="10" w:firstLine="3614" w:firstLineChars="15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法定代表人授权委托书</w:t>
      </w:r>
    </w:p>
    <w:p>
      <w:pPr>
        <w:pStyle w:val="8"/>
        <w:rPr>
          <w:rFonts w:hint="eastAsia" w:ascii="宋体" w:hAnsi="宋体" w:eastAsia="宋体" w:cs="宋体"/>
          <w:b/>
          <w:color w:val="auto"/>
          <w:sz w:val="24"/>
          <w:highlight w:val="none"/>
        </w:rPr>
      </w:pPr>
    </w:p>
    <w:p>
      <w:pPr>
        <w:pStyle w:val="8"/>
        <w:rPr>
          <w:rFonts w:hint="eastAsia" w:ascii="宋体" w:hAnsi="宋体" w:eastAsia="宋体" w:cs="宋体"/>
          <w:b/>
          <w:color w:val="auto"/>
          <w:sz w:val="24"/>
          <w:highlight w:val="none"/>
        </w:rPr>
      </w:pPr>
    </w:p>
    <w:p>
      <w:pPr>
        <w:pStyle w:val="8"/>
        <w:spacing w:before="8"/>
        <w:rPr>
          <w:rFonts w:hint="eastAsia" w:ascii="宋体" w:hAnsi="宋体" w:eastAsia="宋体" w:cs="宋体"/>
          <w:b/>
          <w:color w:val="auto"/>
          <w:sz w:val="24"/>
          <w:szCs w:val="24"/>
          <w:highlight w:val="none"/>
        </w:rPr>
      </w:pPr>
    </w:p>
    <w:p>
      <w:pPr>
        <w:pStyle w:val="8"/>
        <w:tabs>
          <w:tab w:val="left" w:pos="2932"/>
          <w:tab w:val="left" w:pos="3189"/>
          <w:tab w:val="left" w:pos="5337"/>
          <w:tab w:val="left" w:pos="6453"/>
        </w:tabs>
        <w:spacing w:line="410" w:lineRule="auto"/>
        <w:ind w:left="508" w:right="424"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姓名</w:t>
      </w:r>
      <w:r>
        <w:rPr>
          <w:rFonts w:hint="eastAsia" w:ascii="宋体" w:hAnsi="宋体" w:eastAsia="宋体" w:cs="宋体"/>
          <w:color w:val="auto"/>
          <w:spacing w:val="-49"/>
          <w:sz w:val="24"/>
          <w:szCs w:val="24"/>
          <w:highlight w:val="none"/>
        </w:rPr>
        <w:t>）</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pacing w:val="-49"/>
          <w:sz w:val="24"/>
          <w:szCs w:val="24"/>
          <w:highlight w:val="none"/>
        </w:rPr>
        <w:t>）</w:t>
      </w:r>
      <w:r>
        <w:rPr>
          <w:rFonts w:hint="eastAsia" w:ascii="宋体" w:hAnsi="宋体" w:eastAsia="宋体" w:cs="宋体"/>
          <w:color w:val="auto"/>
          <w:sz w:val="24"/>
          <w:szCs w:val="24"/>
          <w:highlight w:val="none"/>
        </w:rPr>
        <w:t>的法定代表人</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position w:val="2"/>
          <w:sz w:val="24"/>
          <w:szCs w:val="24"/>
          <w:highlight w:val="none"/>
        </w:rPr>
        <w:t>现委托</w:t>
      </w:r>
      <w:r>
        <w:rPr>
          <w:rFonts w:hint="eastAsia" w:ascii="宋体" w:hAnsi="宋体" w:eastAsia="宋体" w:cs="宋体"/>
          <w:color w:val="auto"/>
          <w:position w:val="2"/>
          <w:sz w:val="24"/>
          <w:szCs w:val="24"/>
          <w:highlight w:val="none"/>
          <w:u w:val="single"/>
        </w:rPr>
        <w:t xml:space="preserve"> </w:t>
      </w:r>
      <w:r>
        <w:rPr>
          <w:rFonts w:hint="eastAsia" w:ascii="宋体" w:hAnsi="宋体" w:eastAsia="宋体" w:cs="宋体"/>
          <w:color w:val="auto"/>
          <w:position w:val="2"/>
          <w:sz w:val="24"/>
          <w:szCs w:val="24"/>
          <w:highlight w:val="none"/>
          <w:u w:val="single"/>
        </w:rPr>
        <w:tab/>
      </w:r>
      <w:r>
        <w:rPr>
          <w:rFonts w:hint="eastAsia" w:ascii="宋体" w:hAnsi="宋体" w:eastAsia="宋体" w:cs="宋体"/>
          <w:color w:val="auto"/>
          <w:position w:val="2"/>
          <w:sz w:val="24"/>
          <w:szCs w:val="24"/>
          <w:highlight w:val="none"/>
        </w:rPr>
        <w:t>（姓名、职务）为我方代理人。</w:t>
      </w:r>
      <w:r>
        <w:rPr>
          <w:rFonts w:hint="eastAsia" w:ascii="宋体" w:hAnsi="宋体" w:eastAsia="宋体" w:cs="宋体"/>
          <w:color w:val="auto"/>
          <w:sz w:val="24"/>
          <w:szCs w:val="24"/>
          <w:highlight w:val="none"/>
        </w:rPr>
        <w:t>代理</w:t>
      </w:r>
      <w:r>
        <w:rPr>
          <w:rFonts w:hint="eastAsia" w:ascii="宋体" w:hAnsi="宋体" w:eastAsia="宋体" w:cs="宋体"/>
          <w:color w:val="auto"/>
          <w:spacing w:val="-3"/>
          <w:sz w:val="24"/>
          <w:szCs w:val="24"/>
          <w:highlight w:val="none"/>
        </w:rPr>
        <w:t>人</w:t>
      </w:r>
      <w:r>
        <w:rPr>
          <w:rFonts w:hint="eastAsia" w:ascii="宋体" w:hAnsi="宋体" w:eastAsia="宋体" w:cs="宋体"/>
          <w:color w:val="auto"/>
          <w:sz w:val="24"/>
          <w:szCs w:val="24"/>
          <w:highlight w:val="none"/>
        </w:rPr>
        <w:t>根据授权，</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我方名义签署、澄清确认、递交、撤回、修改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、签订合同和处理有关事宜， 其法律后果由我方承担。</w:t>
      </w:r>
    </w:p>
    <w:p>
      <w:pPr>
        <w:pStyle w:val="8"/>
        <w:rPr>
          <w:rFonts w:hint="eastAsia" w:ascii="宋体" w:hAnsi="宋体" w:eastAsia="宋体" w:cs="宋体"/>
          <w:color w:val="auto"/>
          <w:sz w:val="24"/>
          <w:szCs w:val="24"/>
          <w:highlight w:val="none"/>
        </w:rPr>
      </w:pPr>
    </w:p>
    <w:p>
      <w:pPr>
        <w:pStyle w:val="8"/>
        <w:spacing w:before="5"/>
        <w:rPr>
          <w:rFonts w:hint="eastAsia" w:ascii="宋体" w:hAnsi="宋体" w:eastAsia="宋体" w:cs="宋体"/>
          <w:color w:val="auto"/>
          <w:sz w:val="24"/>
          <w:szCs w:val="24"/>
          <w:highlight w:val="none"/>
        </w:rPr>
      </w:pPr>
    </w:p>
    <w:p>
      <w:pPr>
        <w:pStyle w:val="8"/>
        <w:tabs>
          <w:tab w:val="left" w:pos="3919"/>
        </w:tabs>
        <w:ind w:left="928"/>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rPr>
        <w:t>委托期限：</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8"/>
        <w:spacing w:before="3"/>
        <w:rPr>
          <w:rFonts w:hint="eastAsia" w:ascii="宋体" w:hAnsi="宋体" w:eastAsia="宋体" w:cs="宋体"/>
          <w:color w:val="auto"/>
          <w:sz w:val="24"/>
          <w:szCs w:val="24"/>
          <w:highlight w:val="none"/>
        </w:rPr>
      </w:pPr>
    </w:p>
    <w:p>
      <w:pPr>
        <w:pStyle w:val="8"/>
        <w:spacing w:before="70"/>
        <w:ind w:left="9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w:t>
      </w:r>
    </w:p>
    <w:p>
      <w:pPr>
        <w:pStyle w:val="8"/>
        <w:spacing w:before="6"/>
        <w:rPr>
          <w:rFonts w:hint="eastAsia" w:ascii="宋体" w:hAnsi="宋体" w:eastAsia="宋体" w:cs="宋体"/>
          <w:color w:val="auto"/>
          <w:sz w:val="24"/>
          <w:szCs w:val="24"/>
          <w:highlight w:val="none"/>
        </w:rPr>
      </w:pPr>
    </w:p>
    <w:p>
      <w:pPr>
        <w:pStyle w:val="8"/>
        <w:spacing w:before="1"/>
        <w:ind w:left="9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附：法定代表人身份证复印件及委托代理人身份证复印件</w:t>
      </w: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spacing w:before="7"/>
        <w:rPr>
          <w:rFonts w:hint="eastAsia" w:ascii="宋体" w:hAnsi="宋体" w:eastAsia="宋体" w:cs="宋体"/>
          <w:color w:val="auto"/>
          <w:sz w:val="24"/>
          <w:szCs w:val="24"/>
          <w:highlight w:val="none"/>
        </w:rPr>
      </w:pPr>
    </w:p>
    <w:p>
      <w:pPr>
        <w:pStyle w:val="8"/>
        <w:tabs>
          <w:tab w:val="left" w:pos="4168"/>
          <w:tab w:val="left" w:pos="4603"/>
        </w:tabs>
        <w:spacing w:line="417" w:lineRule="auto"/>
        <w:ind w:left="508" w:right="390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（电子签章）</w:t>
      </w:r>
    </w:p>
    <w:p>
      <w:pPr>
        <w:pStyle w:val="8"/>
        <w:tabs>
          <w:tab w:val="left" w:pos="4968"/>
        </w:tabs>
        <w:spacing w:line="269" w:lineRule="exact"/>
        <w:ind w:left="508"/>
        <w:rPr>
          <w:rFonts w:hint="eastAsia" w:ascii="宋体" w:hAnsi="宋体" w:eastAsia="宋体" w:cs="宋体"/>
          <w:color w:val="auto"/>
          <w:sz w:val="24"/>
          <w:szCs w:val="24"/>
          <w:highlight w:val="none"/>
        </w:rPr>
      </w:pPr>
      <w:r>
        <w:rPr>
          <w:rFonts w:hint="eastAsia" w:ascii="宋体" w:hAnsi="宋体" w:eastAsia="宋体" w:cs="宋体"/>
          <w:color w:val="auto"/>
          <w:w w:val="95"/>
          <w:sz w:val="24"/>
          <w:szCs w:val="24"/>
          <w:highlight w:val="none"/>
        </w:rPr>
        <w:t>身份证号：</w:t>
      </w:r>
      <w:r>
        <w:rPr>
          <w:rFonts w:hint="eastAsia" w:ascii="宋体" w:hAnsi="宋体" w:eastAsia="宋体" w:cs="宋体"/>
          <w:color w:val="auto"/>
          <w:w w:val="95"/>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rPr>
          <w:rFonts w:hint="eastAsia" w:ascii="宋体" w:hAnsi="宋体" w:eastAsia="宋体" w:cs="宋体"/>
          <w:color w:val="auto"/>
          <w:sz w:val="24"/>
          <w:szCs w:val="24"/>
          <w:highlight w:val="none"/>
        </w:rPr>
      </w:pPr>
    </w:p>
    <w:p>
      <w:pPr>
        <w:pStyle w:val="8"/>
        <w:tabs>
          <w:tab w:val="left" w:pos="2272"/>
          <w:tab w:val="left" w:pos="3218"/>
          <w:tab w:val="left" w:pos="4058"/>
        </w:tabs>
        <w:ind w:left="1557"/>
        <w:rPr>
          <w:rFonts w:hint="eastAsia" w:ascii="宋体" w:hAnsi="宋体" w:eastAsia="宋体" w:cs="宋体"/>
          <w:color w:val="auto"/>
          <w:sz w:val="24"/>
          <w:szCs w:val="24"/>
          <w:highlight w:val="none"/>
        </w:rPr>
      </w:pPr>
      <w:r>
        <w:rPr>
          <w:rFonts w:hint="eastAsia" w:ascii="宋体" w:hAnsi="宋体" w:eastAsia="宋体" w:cs="宋体"/>
          <w:color w:val="auto"/>
          <w:w w:val="99"/>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日</w:t>
      </w:r>
    </w:p>
    <w:p>
      <w:pPr>
        <w:rPr>
          <w:rFonts w:hint="eastAsia" w:ascii="宋体" w:hAnsi="宋体" w:eastAsia="宋体" w:cs="宋体"/>
          <w:color w:val="auto"/>
          <w:sz w:val="24"/>
          <w:szCs w:val="24"/>
          <w:highlight w:val="none"/>
        </w:rPr>
        <w:sectPr>
          <w:headerReference r:id="rId12" w:type="default"/>
          <w:pgSz w:w="11910" w:h="16840"/>
          <w:pgMar w:top="1440" w:right="1080" w:bottom="1440" w:left="1080" w:header="1072" w:footer="1194" w:gutter="0"/>
          <w:pgNumType w:fmt="decimal"/>
          <w:cols w:space="720" w:num="1"/>
        </w:sectPr>
      </w:pPr>
    </w:p>
    <w:p>
      <w:pPr>
        <w:pStyle w:val="4"/>
        <w:tabs>
          <w:tab w:val="left" w:pos="3729"/>
        </w:tabs>
        <w:spacing w:before="36" w:after="0" w:line="240" w:lineRule="auto"/>
        <w:ind w:right="1" w:firstLine="3132" w:firstLineChars="1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5、无重大违法记录声明</w:t>
      </w:r>
    </w:p>
    <w:p>
      <w:pPr>
        <w:pStyle w:val="8"/>
        <w:jc w:val="both"/>
        <w:rPr>
          <w:rFonts w:hint="eastAsia" w:ascii="宋体" w:hAnsi="宋体" w:eastAsia="宋体" w:cs="宋体"/>
          <w:b/>
          <w:color w:val="auto"/>
          <w:sz w:val="24"/>
          <w:szCs w:val="24"/>
          <w:highlight w:val="none"/>
        </w:rPr>
      </w:pPr>
    </w:p>
    <w:p>
      <w:pPr>
        <w:pStyle w:val="8"/>
        <w:tabs>
          <w:tab w:val="left" w:pos="7734"/>
        </w:tabs>
        <w:spacing w:before="218"/>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spacing w:before="2"/>
        <w:jc w:val="both"/>
        <w:rPr>
          <w:rFonts w:hint="eastAsia" w:ascii="宋体" w:hAnsi="宋体" w:eastAsia="宋体" w:cs="宋体"/>
          <w:color w:val="auto"/>
          <w:sz w:val="24"/>
          <w:szCs w:val="24"/>
          <w:highlight w:val="none"/>
        </w:rPr>
      </w:pPr>
    </w:p>
    <w:p>
      <w:pPr>
        <w:pStyle w:val="8"/>
        <w:tabs>
          <w:tab w:val="left" w:pos="2999"/>
        </w:tabs>
        <w:spacing w:before="74" w:line="513" w:lineRule="auto"/>
        <w:ind w:left="238" w:right="235" w:firstLine="48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名称）郑重声明，我方参加本项目</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活动前三年内无</w:t>
      </w:r>
      <w:r>
        <w:rPr>
          <w:rFonts w:hint="eastAsia" w:ascii="宋体" w:hAnsi="宋体" w:eastAsia="宋体" w:cs="宋体"/>
          <w:color w:val="auto"/>
          <w:spacing w:val="-6"/>
          <w:sz w:val="24"/>
          <w:szCs w:val="24"/>
          <w:highlight w:val="none"/>
        </w:rPr>
        <w:t>重大违法活动记录，符合《政府采购法》规定的供应商资格条件。我方对此声明负全部法律</w:t>
      </w:r>
      <w:r>
        <w:rPr>
          <w:rFonts w:hint="eastAsia" w:ascii="宋体" w:hAnsi="宋体" w:eastAsia="宋体" w:cs="宋体"/>
          <w:color w:val="auto"/>
          <w:sz w:val="24"/>
          <w:szCs w:val="24"/>
          <w:highlight w:val="none"/>
        </w:rPr>
        <w:t>责任。</w:t>
      </w:r>
    </w:p>
    <w:p>
      <w:pPr>
        <w:pStyle w:val="8"/>
        <w:spacing w:before="2"/>
        <w:ind w:left="7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spacing w:before="12"/>
        <w:jc w:val="both"/>
        <w:rPr>
          <w:rFonts w:hint="eastAsia" w:ascii="宋体" w:hAnsi="宋体" w:eastAsia="宋体" w:cs="宋体"/>
          <w:color w:val="auto"/>
          <w:sz w:val="24"/>
          <w:szCs w:val="24"/>
          <w:highlight w:val="none"/>
        </w:rPr>
      </w:pPr>
    </w:p>
    <w:p>
      <w:pPr>
        <w:pStyle w:val="8"/>
        <w:ind w:left="6479"/>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（盖章）：</w:t>
      </w:r>
    </w:p>
    <w:p>
      <w:pPr>
        <w:pStyle w:val="8"/>
        <w:ind w:left="6479"/>
        <w:jc w:val="both"/>
        <w:rPr>
          <w:rFonts w:hint="eastAsia" w:ascii="宋体" w:hAnsi="宋体" w:eastAsia="宋体" w:cs="宋体"/>
          <w:color w:val="auto"/>
          <w:sz w:val="24"/>
          <w:szCs w:val="24"/>
          <w:highlight w:val="none"/>
        </w:rPr>
      </w:pPr>
    </w:p>
    <w:p>
      <w:pPr>
        <w:pStyle w:val="8"/>
        <w:ind w:left="6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 ：（签字</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盖章）</w:t>
      </w:r>
    </w:p>
    <w:p>
      <w:pPr>
        <w:pStyle w:val="8"/>
        <w:ind w:left="6479"/>
        <w:jc w:val="both"/>
        <w:rPr>
          <w:rFonts w:hint="eastAsia" w:ascii="宋体" w:hAnsi="宋体" w:eastAsia="宋体" w:cs="宋体"/>
          <w:color w:val="auto"/>
          <w:sz w:val="24"/>
          <w:szCs w:val="24"/>
          <w:highlight w:val="none"/>
        </w:rPr>
      </w:pPr>
    </w:p>
    <w:p>
      <w:pPr>
        <w:pStyle w:val="8"/>
        <w:ind w:left="647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513" w:lineRule="auto"/>
        <w:jc w:val="both"/>
        <w:rPr>
          <w:rFonts w:hint="eastAsia" w:ascii="宋体" w:hAnsi="宋体" w:eastAsia="宋体" w:cs="宋体"/>
          <w:color w:val="auto"/>
          <w:sz w:val="24"/>
          <w:szCs w:val="24"/>
          <w:highlight w:val="none"/>
        </w:rPr>
        <w:sectPr>
          <w:pgSz w:w="11910" w:h="16840"/>
          <w:pgMar w:top="1380" w:right="940" w:bottom="1160" w:left="940" w:header="0" w:footer="895" w:gutter="0"/>
          <w:pgNumType w:fmt="decimal"/>
          <w:cols w:space="720" w:num="1"/>
        </w:sectPr>
      </w:pPr>
    </w:p>
    <w:p>
      <w:pPr>
        <w:pStyle w:val="4"/>
        <w:tabs>
          <w:tab w:val="left" w:pos="3890"/>
        </w:tabs>
        <w:spacing w:before="95" w:after="0" w:line="240" w:lineRule="auto"/>
        <w:ind w:left="-1" w:right="1" w:firstLine="3614" w:firstLineChars="1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6、反商业贿赂承诺书</w:t>
      </w:r>
    </w:p>
    <w:p>
      <w:pPr>
        <w:pStyle w:val="8"/>
        <w:spacing w:before="11"/>
        <w:jc w:val="both"/>
        <w:rPr>
          <w:rFonts w:hint="eastAsia" w:ascii="宋体" w:hAnsi="宋体" w:eastAsia="宋体" w:cs="宋体"/>
          <w:b/>
          <w:color w:val="auto"/>
          <w:sz w:val="24"/>
          <w:szCs w:val="24"/>
          <w:highlight w:val="none"/>
        </w:rPr>
      </w:pPr>
    </w:p>
    <w:p>
      <w:pPr>
        <w:pStyle w:val="8"/>
        <w:ind w:left="7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我方承诺：</w:t>
      </w:r>
    </w:p>
    <w:p>
      <w:pPr>
        <w:pStyle w:val="8"/>
        <w:tabs>
          <w:tab w:val="left" w:pos="3414"/>
          <w:tab w:val="left" w:pos="6239"/>
        </w:tabs>
        <w:spacing w:before="132" w:line="343" w:lineRule="auto"/>
        <w:ind w:left="718" w:right="42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编</w:t>
      </w:r>
      <w:r>
        <w:rPr>
          <w:rFonts w:hint="eastAsia" w:ascii="宋体" w:hAnsi="宋体" w:eastAsia="宋体" w:cs="宋体"/>
          <w:color w:val="auto"/>
          <w:sz w:val="24"/>
          <w:szCs w:val="24"/>
          <w:highlight w:val="none"/>
          <w:lang w:eastAsia="zh-CN"/>
        </w:rPr>
        <w:t>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活动中，我方保证做到</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z w:val="24"/>
          <w:szCs w:val="24"/>
          <w:highlight w:val="none"/>
        </w:rPr>
        <w:t>一、公平竞争参加本次</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p>
    <w:p>
      <w:pPr>
        <w:pStyle w:val="8"/>
        <w:spacing w:before="1" w:line="343" w:lineRule="auto"/>
        <w:ind w:left="238" w:right="187"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二、杜绝任何形式的商业贿赂行为。不向国家工作人员、相关工作人员、评审专家及其</w:t>
      </w:r>
      <w:r>
        <w:rPr>
          <w:rFonts w:hint="eastAsia" w:ascii="宋体" w:hAnsi="宋体" w:eastAsia="宋体" w:cs="宋体"/>
          <w:color w:val="auto"/>
          <w:spacing w:val="-7"/>
          <w:sz w:val="24"/>
          <w:szCs w:val="24"/>
          <w:highlight w:val="none"/>
        </w:rPr>
        <w:t>亲属提供礼品礼金、有价证券、购物券、回扣、佣金、咨询费、劳务费、赞助费、宣传费、</w:t>
      </w:r>
      <w:r>
        <w:rPr>
          <w:rFonts w:hint="eastAsia" w:ascii="宋体" w:hAnsi="宋体" w:eastAsia="宋体" w:cs="宋体"/>
          <w:color w:val="auto"/>
          <w:sz w:val="24"/>
          <w:szCs w:val="24"/>
          <w:highlight w:val="none"/>
        </w:rPr>
        <w:t>宴请；不为其报销各种消费凭证，不支付其旅游、娱乐等费用。</w:t>
      </w:r>
    </w:p>
    <w:p>
      <w:pPr>
        <w:pStyle w:val="8"/>
        <w:spacing w:before="1" w:line="343" w:lineRule="auto"/>
        <w:ind w:left="238" w:right="238" w:firstLine="480"/>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三、若出现上述行为，我方及参与投标的工作人员愿意接受按照国家法律法规等有关规</w:t>
      </w:r>
      <w:r>
        <w:rPr>
          <w:rFonts w:hint="eastAsia" w:ascii="宋体" w:hAnsi="宋体" w:eastAsia="宋体" w:cs="宋体"/>
          <w:color w:val="auto"/>
          <w:sz w:val="24"/>
          <w:szCs w:val="24"/>
          <w:highlight w:val="none"/>
        </w:rPr>
        <w:t>定给予的处罚。</w:t>
      </w:r>
    </w:p>
    <w:p>
      <w:pPr>
        <w:pStyle w:val="8"/>
        <w:spacing w:before="6"/>
        <w:jc w:val="both"/>
        <w:rPr>
          <w:rFonts w:hint="eastAsia" w:ascii="宋体" w:hAnsi="宋体" w:eastAsia="宋体" w:cs="宋体"/>
          <w:color w:val="auto"/>
          <w:sz w:val="24"/>
          <w:szCs w:val="24"/>
          <w:highlight w:val="none"/>
        </w:rPr>
      </w:pPr>
    </w:p>
    <w:p>
      <w:pPr>
        <w:pStyle w:val="8"/>
        <w:ind w:left="4292"/>
        <w:jc w:val="both"/>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响应人</w:t>
      </w:r>
      <w:r>
        <w:rPr>
          <w:rFonts w:hint="eastAsia" w:ascii="宋体" w:hAnsi="宋体" w:eastAsia="宋体" w:cs="宋体"/>
          <w:color w:val="auto"/>
          <w:sz w:val="24"/>
          <w:szCs w:val="24"/>
          <w:highlight w:val="none"/>
        </w:rPr>
        <w:t>（盖章）：</w:t>
      </w:r>
    </w:p>
    <w:p>
      <w:pPr>
        <w:pStyle w:val="8"/>
        <w:spacing w:before="132" w:line="343" w:lineRule="auto"/>
        <w:ind w:left="4319" w:right="2491" w:hanging="27"/>
        <w:jc w:val="both"/>
        <w:rPr>
          <w:rFonts w:hint="eastAsia" w:ascii="宋体" w:hAnsi="宋体" w:eastAsia="宋体" w:cs="宋体"/>
          <w:color w:val="auto"/>
          <w:sz w:val="24"/>
          <w:szCs w:val="24"/>
          <w:highlight w:val="none"/>
        </w:rPr>
      </w:pPr>
    </w:p>
    <w:p>
      <w:pPr>
        <w:pStyle w:val="8"/>
        <w:ind w:left="429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 xml:space="preserve">委托代理人 ：（电子签章） </w:t>
      </w:r>
    </w:p>
    <w:p>
      <w:pPr>
        <w:pStyle w:val="8"/>
        <w:spacing w:before="132" w:line="343" w:lineRule="auto"/>
        <w:ind w:left="4319" w:right="2491" w:hanging="27"/>
        <w:jc w:val="both"/>
        <w:rPr>
          <w:rFonts w:hint="eastAsia" w:ascii="宋体" w:hAnsi="宋体" w:eastAsia="宋体" w:cs="宋体"/>
          <w:color w:val="auto"/>
          <w:sz w:val="24"/>
          <w:szCs w:val="24"/>
          <w:highlight w:val="none"/>
        </w:rPr>
      </w:pPr>
    </w:p>
    <w:p>
      <w:pPr>
        <w:pStyle w:val="8"/>
        <w:spacing w:before="132" w:line="343" w:lineRule="auto"/>
        <w:ind w:left="4319" w:right="2491" w:hanging="27"/>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pPr>
        <w:spacing w:line="343" w:lineRule="auto"/>
        <w:jc w:val="both"/>
        <w:rPr>
          <w:rFonts w:hint="eastAsia" w:ascii="宋体" w:hAnsi="宋体" w:eastAsia="宋体" w:cs="宋体"/>
          <w:color w:val="auto"/>
          <w:sz w:val="24"/>
          <w:szCs w:val="24"/>
          <w:highlight w:val="none"/>
        </w:rPr>
        <w:sectPr>
          <w:pgSz w:w="11910" w:h="16840"/>
          <w:pgMar w:top="1580" w:right="940" w:bottom="1160" w:left="940" w:header="0" w:footer="895" w:gutter="0"/>
          <w:pgNumType w:fmt="decimal"/>
          <w:cols w:space="720" w:num="1"/>
        </w:sectPr>
      </w:pPr>
    </w:p>
    <w:p>
      <w:pPr>
        <w:pStyle w:val="4"/>
        <w:tabs>
          <w:tab w:val="left" w:pos="3729"/>
        </w:tabs>
        <w:spacing w:before="74" w:after="0" w:line="240" w:lineRule="auto"/>
        <w:ind w:right="1" w:firstLine="3614" w:firstLineChars="15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7、磋商文件内容确认书</w:t>
      </w:r>
    </w:p>
    <w:p>
      <w:pPr>
        <w:pStyle w:val="8"/>
        <w:spacing w:before="12"/>
        <w:jc w:val="both"/>
        <w:rPr>
          <w:rFonts w:hint="eastAsia" w:ascii="宋体" w:hAnsi="宋体" w:eastAsia="宋体" w:cs="宋体"/>
          <w:b/>
          <w:color w:val="auto"/>
          <w:sz w:val="24"/>
          <w:szCs w:val="24"/>
          <w:highlight w:val="none"/>
        </w:rPr>
      </w:pPr>
    </w:p>
    <w:p>
      <w:pPr>
        <w:pStyle w:val="8"/>
        <w:spacing w:before="70"/>
        <w:ind w:left="508"/>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cs="宋体"/>
          <w:color w:val="auto"/>
          <w:highlight w:val="none"/>
          <w:lang w:eastAsia="zh-CN"/>
        </w:rPr>
        <w:t>采购人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pPr>
        <w:pStyle w:val="8"/>
        <w:spacing w:before="7"/>
        <w:rPr>
          <w:rFonts w:hint="eastAsia" w:ascii="宋体" w:hAnsi="宋体" w:eastAsia="宋体" w:cs="宋体"/>
          <w:color w:val="auto"/>
          <w:sz w:val="15"/>
          <w:highlight w:val="none"/>
        </w:rPr>
      </w:pPr>
    </w:p>
    <w:p>
      <w:pPr>
        <w:pStyle w:val="8"/>
        <w:spacing w:line="417" w:lineRule="auto"/>
        <w:ind w:left="508" w:right="526" w:firstLine="420"/>
        <w:jc w:val="both"/>
        <w:rPr>
          <w:rFonts w:hint="eastAsia" w:ascii="宋体" w:hAnsi="宋体" w:eastAsia="宋体" w:cs="宋体"/>
          <w:color w:val="auto"/>
          <w:highlight w:val="none"/>
        </w:rPr>
      </w:pPr>
      <w:r>
        <w:rPr>
          <w:rFonts w:hint="eastAsia" w:ascii="宋体" w:hAnsi="宋体" w:eastAsia="宋体" w:cs="宋体"/>
          <w:color w:val="auto"/>
          <w:spacing w:val="-13"/>
          <w:highlight w:val="none"/>
        </w:rPr>
        <w:t>我方已经详细阅读整个磋商文件及有关组成文件的内容，对磋商文件及有关组成文件的内容已充分理解并全部同意没有任何异议，我方承认、理解和遵照执行本次磋商文件及有关组成文件的每一款要求，并放弃提出一切存有含糊不清或误解的权利，且我方保证在递交响应文件后不对 本磋商文件的任何内容提出异议。</w:t>
      </w:r>
    </w:p>
    <w:p>
      <w:pPr>
        <w:pStyle w:val="8"/>
        <w:rPr>
          <w:rFonts w:hint="eastAsia" w:ascii="宋体" w:hAnsi="宋体" w:eastAsia="宋体" w:cs="宋体"/>
          <w:color w:val="auto"/>
          <w:sz w:val="20"/>
          <w:highlight w:val="none"/>
        </w:rPr>
      </w:pPr>
    </w:p>
    <w:p>
      <w:pPr>
        <w:pStyle w:val="8"/>
        <w:rPr>
          <w:rFonts w:hint="eastAsia" w:ascii="宋体" w:hAnsi="宋体" w:eastAsia="宋体" w:cs="宋体"/>
          <w:color w:val="auto"/>
          <w:sz w:val="20"/>
          <w:highlight w:val="none"/>
        </w:rPr>
      </w:pPr>
    </w:p>
    <w:p>
      <w:pPr>
        <w:pStyle w:val="8"/>
        <w:rPr>
          <w:rFonts w:hint="eastAsia" w:ascii="宋体" w:hAnsi="宋体" w:eastAsia="宋体" w:cs="宋体"/>
          <w:color w:val="auto"/>
          <w:sz w:val="20"/>
          <w:highlight w:val="none"/>
        </w:rPr>
      </w:pPr>
    </w:p>
    <w:p>
      <w:pPr>
        <w:pStyle w:val="8"/>
        <w:rPr>
          <w:rFonts w:hint="eastAsia" w:ascii="宋体" w:hAnsi="宋体" w:eastAsia="宋体" w:cs="宋体"/>
          <w:color w:val="auto"/>
          <w:sz w:val="20"/>
          <w:highlight w:val="none"/>
        </w:rPr>
      </w:pPr>
    </w:p>
    <w:p>
      <w:pPr>
        <w:pStyle w:val="8"/>
        <w:spacing w:before="7"/>
        <w:rPr>
          <w:rFonts w:hint="eastAsia" w:ascii="宋体" w:hAnsi="宋体" w:eastAsia="宋体" w:cs="宋体"/>
          <w:color w:val="auto"/>
          <w:sz w:val="29"/>
          <w:highlight w:val="none"/>
        </w:rPr>
      </w:pPr>
    </w:p>
    <w:p>
      <w:pPr>
        <w:pStyle w:val="8"/>
        <w:tabs>
          <w:tab w:val="left" w:pos="4603"/>
        </w:tabs>
        <w:ind w:left="508"/>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（电子签章）</w:t>
      </w:r>
    </w:p>
    <w:p>
      <w:pPr>
        <w:pStyle w:val="8"/>
        <w:rPr>
          <w:rFonts w:hint="eastAsia" w:ascii="宋体" w:hAnsi="宋体" w:eastAsia="宋体" w:cs="宋体"/>
          <w:color w:val="auto"/>
          <w:sz w:val="22"/>
          <w:highlight w:val="none"/>
        </w:rPr>
      </w:pPr>
    </w:p>
    <w:p>
      <w:pPr>
        <w:pStyle w:val="8"/>
        <w:rPr>
          <w:rFonts w:hint="eastAsia" w:ascii="宋体" w:hAnsi="宋体" w:eastAsia="宋体" w:cs="宋体"/>
          <w:color w:val="auto"/>
          <w:sz w:val="30"/>
          <w:highlight w:val="none"/>
        </w:rPr>
      </w:pPr>
    </w:p>
    <w:p>
      <w:pPr>
        <w:pStyle w:val="8"/>
        <w:tabs>
          <w:tab w:val="left" w:pos="4077"/>
        </w:tabs>
        <w:ind w:left="508"/>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（电子签章）</w:t>
      </w:r>
    </w:p>
    <w:p>
      <w:pPr>
        <w:pStyle w:val="8"/>
        <w:rPr>
          <w:rFonts w:hint="eastAsia" w:ascii="宋体" w:hAnsi="宋体" w:eastAsia="宋体" w:cs="宋体"/>
          <w:color w:val="auto"/>
          <w:sz w:val="20"/>
          <w:highlight w:val="none"/>
        </w:rPr>
      </w:pPr>
    </w:p>
    <w:p>
      <w:pPr>
        <w:pStyle w:val="8"/>
        <w:spacing w:before="8"/>
        <w:rPr>
          <w:rFonts w:hint="eastAsia" w:ascii="宋体" w:hAnsi="宋体" w:eastAsia="宋体" w:cs="宋体"/>
          <w:color w:val="auto"/>
          <w:sz w:val="26"/>
          <w:highlight w:val="none"/>
        </w:rPr>
      </w:pPr>
    </w:p>
    <w:p>
      <w:pPr>
        <w:pStyle w:val="8"/>
        <w:tabs>
          <w:tab w:val="left" w:pos="2272"/>
          <w:tab w:val="left" w:pos="3218"/>
          <w:tab w:val="left" w:pos="4058"/>
        </w:tabs>
        <w:spacing w:before="70"/>
        <w:ind w:left="1557"/>
        <w:rPr>
          <w:rFonts w:hint="eastAsia" w:ascii="宋体" w:hAnsi="宋体" w:eastAsia="宋体" w:cs="宋体"/>
          <w:color w:val="auto"/>
          <w:highlight w:val="none"/>
        </w:rPr>
        <w:sectPr>
          <w:pgSz w:w="11910" w:h="16840"/>
          <w:pgMar w:top="1440" w:right="1080" w:bottom="1440" w:left="1080" w:header="1072" w:footer="1194" w:gutter="0"/>
          <w:pgNumType w:fmt="decimal"/>
          <w:cols w:space="720" w:num="1"/>
        </w:sectPr>
      </w:pPr>
      <w:r>
        <w:rPr>
          <w:rFonts w:hint="eastAsia" w:ascii="宋体" w:hAnsi="宋体" w:eastAsia="宋体" w:cs="宋体"/>
          <w:color w:val="auto"/>
          <w:w w:val="99"/>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rPr>
        <w:tab/>
      </w:r>
      <w:r>
        <w:rPr>
          <w:rFonts w:hint="eastAsia" w:ascii="宋体" w:hAnsi="宋体" w:eastAsia="宋体" w:cs="宋体"/>
          <w:color w:val="auto"/>
          <w:highlight w:val="none"/>
        </w:rPr>
        <w:t>日</w:t>
      </w:r>
    </w:p>
    <w:p>
      <w:pPr>
        <w:pStyle w:val="8"/>
        <w:ind w:firstLine="4859" w:firstLineChars="2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2"/>
          <w:szCs w:val="28"/>
          <w:highlight w:val="none"/>
        </w:rPr>
        <w:t>8</w:t>
      </w:r>
      <w:r>
        <w:rPr>
          <w:rFonts w:hint="eastAsia" w:ascii="宋体" w:hAnsi="宋体" w:eastAsia="宋体" w:cs="宋体"/>
          <w:color w:val="auto"/>
          <w:sz w:val="22"/>
          <w:szCs w:val="28"/>
          <w:highlight w:val="none"/>
        </w:rPr>
        <w:t>、</w:t>
      </w:r>
      <w:r>
        <w:rPr>
          <w:rFonts w:hint="eastAsia" w:ascii="宋体" w:hAnsi="宋体" w:eastAsia="宋体" w:cs="宋体"/>
          <w:b/>
          <w:bCs/>
          <w:color w:val="auto"/>
          <w:sz w:val="24"/>
          <w:szCs w:val="24"/>
          <w:highlight w:val="none"/>
          <w:lang w:val="en-US" w:eastAsia="zh-CN"/>
        </w:rPr>
        <w:t xml:space="preserve"> 承诺书</w:t>
      </w:r>
    </w:p>
    <w:p>
      <w:pPr>
        <w:pStyle w:val="8"/>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pPr>
        <w:pStyle w:val="36"/>
        <w:keepNext/>
        <w:keepLines/>
        <w:spacing w:line="480" w:lineRule="exact"/>
        <w:ind w:firstLine="0"/>
        <w:jc w:val="center"/>
        <w:rPr>
          <w:rFonts w:hint="eastAsia" w:ascii="宋体" w:hAnsi="宋体" w:eastAsia="宋体" w:cs="宋体"/>
          <w:color w:val="auto"/>
          <w:spacing w:val="-7"/>
          <w:kern w:val="2"/>
          <w:sz w:val="24"/>
          <w:szCs w:val="24"/>
          <w:highlight w:val="none"/>
          <w:lang w:val="en-US" w:eastAsia="zh-CN" w:bidi="ar-SA"/>
        </w:rPr>
      </w:pPr>
      <w:r>
        <w:rPr>
          <w:rFonts w:hint="eastAsia" w:ascii="宋体" w:hAnsi="宋体" w:eastAsia="宋体" w:cs="宋体"/>
          <w:color w:val="auto"/>
          <w:spacing w:val="-7"/>
          <w:kern w:val="2"/>
          <w:sz w:val="24"/>
          <w:szCs w:val="24"/>
          <w:highlight w:val="none"/>
          <w:lang w:val="en-US" w:eastAsia="zh-CN" w:bidi="ar-SA"/>
        </w:rPr>
        <w:t>________________项目信用承诺书</w:t>
      </w:r>
    </w:p>
    <w:p>
      <w:pPr>
        <w:pStyle w:val="37"/>
        <w:spacing w:line="480" w:lineRule="exact"/>
        <w:ind w:firstLine="452" w:firstLineChars="200"/>
        <w:jc w:val="both"/>
        <w:rPr>
          <w:rFonts w:hint="eastAsia" w:ascii="宋体" w:hAnsi="宋体" w:eastAsia="宋体" w:cs="宋体"/>
          <w:color w:val="auto"/>
          <w:spacing w:val="-7"/>
          <w:kern w:val="2"/>
          <w:sz w:val="24"/>
          <w:szCs w:val="24"/>
          <w:highlight w:val="none"/>
          <w:lang w:val="en-US" w:eastAsia="zh-CN" w:bidi="ar-SA"/>
        </w:rPr>
      </w:pP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为营造公开、公平、公正、诚实守信的公共资源交易环境，树立诚信守法的</w:t>
      </w:r>
      <w:r>
        <w:rPr>
          <w:rFonts w:hint="eastAsia" w:cs="宋体"/>
          <w:color w:val="auto"/>
          <w:sz w:val="24"/>
          <w:szCs w:val="24"/>
          <w:highlight w:val="none"/>
          <w:lang w:eastAsia="zh-CN"/>
        </w:rPr>
        <w:t>响应人</w:t>
      </w:r>
      <w:r>
        <w:rPr>
          <w:rFonts w:hint="eastAsia" w:ascii="宋体" w:hAnsi="宋体" w:eastAsia="宋体" w:cs="宋体"/>
          <w:color w:val="auto"/>
          <w:sz w:val="24"/>
          <w:szCs w:val="24"/>
          <w:highlight w:val="none"/>
        </w:rPr>
        <w:t>形象，本人代表本单位作出以下承诺：</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(二)严格依照国家和河南省关于招标投标的法律、法规、规章、规范性文件，参加公共资源招标投标活动，不挂靠、借用、出租、出借、转让资质，积极履行社会责任，促进廉政建设。</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(三)自我约束、自我管理，守合同、重信用，不参与围标串标、弄虚作假、骗取中标、干扰评标、胁迫他人投标（放弃中标)、恶意投诉、违约毁约等行为，自觉维护公共资源招标投标的良好秩序。</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(四)本单位及项目经办人员信用状况良好，未被列为失信惩戒对象或“老赖”，符合参与公共资源交易活动的相关要求。</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(六)若中标，本单位将在规定的时间内与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签订合同并自觉履行合同义务，不转包或违法分包中标项目。</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(七)自觉接受政府、行业组织、社会公众、新闻舆论的监督。</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pPr>
        <w:pStyle w:val="37"/>
        <w:spacing w:after="0" w:line="400" w:lineRule="exact"/>
        <w:ind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(九)本人已认真阅读了上述承诺，并向本单位员工作了宣传教育。</w:t>
      </w:r>
    </w:p>
    <w:p>
      <w:pPr>
        <w:pStyle w:val="37"/>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法定代表人签名:</w:t>
      </w:r>
    </w:p>
    <w:p>
      <w:pPr>
        <w:pStyle w:val="37"/>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企业名称（盖章）：</w:t>
      </w:r>
    </w:p>
    <w:p>
      <w:pPr>
        <w:pStyle w:val="17"/>
        <w:shd w:val="clear" w:color="auto" w:fill="FFFFFF"/>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项目负责人（签字）：</w:t>
      </w:r>
      <w:r>
        <w:rPr>
          <w:rFonts w:hint="eastAsia" w:ascii="宋体" w:hAnsi="宋体" w:eastAsia="宋体" w:cs="宋体"/>
          <w:color w:val="auto"/>
          <w:sz w:val="18"/>
          <w:szCs w:val="18"/>
          <w:highlight w:val="none"/>
        </w:rPr>
        <w:t xml:space="preserve"> </w:t>
      </w:r>
    </w:p>
    <w:p>
      <w:pPr>
        <w:pStyle w:val="37"/>
        <w:spacing w:line="360" w:lineRule="auto"/>
        <w:ind w:firstLine="3662" w:firstLineChars="1526"/>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rPr>
        <w:t>日</w:t>
      </w:r>
    </w:p>
    <w:p>
      <w:pPr>
        <w:pStyle w:val="8"/>
        <w:spacing w:before="3"/>
        <w:jc w:val="center"/>
        <w:rPr>
          <w:rFonts w:hint="eastAsia" w:ascii="宋体" w:hAnsi="宋体" w:eastAsia="宋体" w:cs="宋体"/>
          <w:b/>
          <w:color w:val="auto"/>
          <w:sz w:val="26"/>
          <w:highlight w:val="none"/>
        </w:rPr>
      </w:pPr>
    </w:p>
    <w:p>
      <w:pPr>
        <w:pStyle w:val="8"/>
        <w:spacing w:before="3"/>
        <w:jc w:val="center"/>
        <w:rPr>
          <w:rFonts w:hint="eastAsia" w:ascii="宋体" w:hAnsi="宋体" w:eastAsia="宋体" w:cs="宋体"/>
          <w:b/>
          <w:color w:val="auto"/>
          <w:sz w:val="26"/>
          <w:highlight w:val="none"/>
        </w:rPr>
      </w:pPr>
    </w:p>
    <w:p>
      <w:pPr>
        <w:pStyle w:val="8"/>
        <w:spacing w:before="3"/>
        <w:jc w:val="center"/>
        <w:rPr>
          <w:rFonts w:hint="eastAsia" w:ascii="宋体" w:hAnsi="宋体" w:eastAsia="宋体" w:cs="宋体"/>
          <w:b/>
          <w:color w:val="auto"/>
          <w:sz w:val="26"/>
          <w:highlight w:val="none"/>
        </w:rPr>
      </w:pPr>
    </w:p>
    <w:p>
      <w:pPr>
        <w:pStyle w:val="8"/>
        <w:spacing w:before="3"/>
        <w:jc w:val="center"/>
        <w:rPr>
          <w:rFonts w:hint="eastAsia" w:ascii="宋体" w:hAnsi="宋体" w:eastAsia="宋体" w:cs="宋体"/>
          <w:b/>
          <w:color w:val="auto"/>
          <w:sz w:val="26"/>
          <w:highlight w:val="none"/>
          <w:lang w:val="en-US" w:eastAsia="zh-CN"/>
        </w:rPr>
      </w:pPr>
      <w:r>
        <w:rPr>
          <w:rFonts w:hint="eastAsia" w:ascii="宋体" w:hAnsi="宋体" w:eastAsia="宋体" w:cs="宋体"/>
          <w:b/>
          <w:color w:val="auto"/>
          <w:sz w:val="26"/>
          <w:highlight w:val="none"/>
          <w:lang w:val="en-US" w:eastAsia="zh-CN"/>
        </w:rPr>
        <w:t>9、</w:t>
      </w:r>
      <w:r>
        <w:rPr>
          <w:rFonts w:hint="eastAsia" w:ascii="宋体" w:hAnsi="宋体" w:eastAsia="宋体" w:cs="宋体"/>
          <w:b/>
          <w:color w:val="auto"/>
          <w:sz w:val="26"/>
          <w:highlight w:val="none"/>
        </w:rPr>
        <w:t>信用</w:t>
      </w:r>
      <w:r>
        <w:rPr>
          <w:rFonts w:hint="eastAsia" w:ascii="宋体" w:hAnsi="宋体" w:eastAsia="宋体" w:cs="宋体"/>
          <w:b/>
          <w:color w:val="auto"/>
          <w:sz w:val="26"/>
          <w:highlight w:val="none"/>
          <w:lang w:eastAsia="zh-CN"/>
        </w:rPr>
        <w:t>报告</w:t>
      </w:r>
    </w:p>
    <w:p>
      <w:pPr>
        <w:spacing w:line="500" w:lineRule="exact"/>
        <w:ind w:firstLine="420" w:firstLineChars="200"/>
        <w:rPr>
          <w:rFonts w:hint="eastAsia" w:ascii="宋体" w:hAnsi="宋体" w:eastAsia="宋体" w:cs="宋体"/>
          <w:b w:val="0"/>
          <w:bCs/>
          <w:color w:val="auto"/>
          <w:highlight w:val="none"/>
        </w:rPr>
      </w:pPr>
      <w:r>
        <w:rPr>
          <w:rFonts w:hint="eastAsia" w:ascii="宋体" w:hAnsi="宋体" w:cs="宋体"/>
          <w:b w:val="0"/>
          <w:bCs/>
          <w:color w:val="auto"/>
          <w:highlight w:val="none"/>
          <w:lang w:eastAsia="zh-CN"/>
        </w:rPr>
        <w:t>响应人</w:t>
      </w:r>
      <w:r>
        <w:rPr>
          <w:rFonts w:hint="eastAsia" w:ascii="宋体" w:hAnsi="宋体" w:eastAsia="宋体" w:cs="宋体"/>
          <w:b w:val="0"/>
          <w:bCs/>
          <w:color w:val="auto"/>
          <w:highlight w:val="none"/>
        </w:rPr>
        <w:t>在参与公共资源交易活动时要提供规范的信用报告，信用报告可以从“信用中国”网站下载。生成时间不得早于</w:t>
      </w:r>
      <w:r>
        <w:rPr>
          <w:rFonts w:hint="eastAsia" w:ascii="宋体" w:hAnsi="宋体" w:eastAsia="宋体" w:cs="宋体"/>
          <w:b w:val="0"/>
          <w:bCs/>
          <w:color w:val="auto"/>
          <w:highlight w:val="none"/>
          <w:lang w:eastAsia="zh-CN"/>
        </w:rPr>
        <w:t>磋商公告</w:t>
      </w:r>
      <w:r>
        <w:rPr>
          <w:rFonts w:hint="eastAsia" w:ascii="宋体" w:hAnsi="宋体" w:eastAsia="宋体" w:cs="宋体"/>
          <w:b w:val="0"/>
          <w:bCs/>
          <w:color w:val="auto"/>
          <w:highlight w:val="none"/>
        </w:rPr>
        <w:t>发布时间。</w:t>
      </w:r>
    </w:p>
    <w:p>
      <w:pPr>
        <w:jc w:val="center"/>
        <w:rPr>
          <w:rFonts w:hint="eastAsia" w:ascii="宋体" w:hAnsi="宋体" w:eastAsia="宋体" w:cs="宋体"/>
          <w:b/>
          <w:color w:val="auto"/>
          <w:sz w:val="28"/>
          <w:szCs w:val="28"/>
          <w:highlight w:val="none"/>
        </w:rPr>
      </w:pPr>
    </w:p>
    <w:p>
      <w:pPr>
        <w:pStyle w:val="8"/>
        <w:rPr>
          <w:rFonts w:hint="eastAsia" w:ascii="宋体" w:hAnsi="宋体" w:eastAsia="宋体" w:cs="宋体"/>
          <w:color w:val="auto"/>
          <w:highlight w:val="none"/>
          <w:lang w:val="en-US" w:eastAsia="zh-CN"/>
        </w:rPr>
        <w:sectPr>
          <w:pgSz w:w="11910" w:h="16840"/>
          <w:pgMar w:top="1580" w:right="940" w:bottom="1160" w:left="940" w:header="0" w:footer="895" w:gutter="0"/>
          <w:pgNumType w:fmt="decimal"/>
          <w:cols w:space="720" w:num="1"/>
        </w:sectPr>
      </w:pPr>
    </w:p>
    <w:p>
      <w:pPr>
        <w:pStyle w:val="32"/>
        <w:rPr>
          <w:rFonts w:hint="eastAsia" w:ascii="宋体" w:hAnsi="宋体" w:eastAsia="宋体" w:cs="宋体"/>
          <w:color w:val="auto"/>
          <w:highlight w:val="none"/>
        </w:rPr>
      </w:pPr>
    </w:p>
    <w:p>
      <w:pPr>
        <w:pStyle w:val="5"/>
        <w:tabs>
          <w:tab w:val="left" w:pos="839"/>
        </w:tabs>
        <w:spacing w:before="67"/>
        <w:ind w:right="10" w:firstLine="2168" w:firstLineChars="9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w:t>
      </w:r>
      <w:r>
        <w:rPr>
          <w:rFonts w:hint="eastAsia" w:ascii="宋体" w:hAnsi="宋体" w:cs="宋体"/>
          <w:b/>
          <w:bCs/>
          <w:color w:val="auto"/>
          <w:kern w:val="0"/>
          <w:sz w:val="24"/>
          <w:szCs w:val="24"/>
          <w:highlight w:val="none"/>
          <w:lang w:val="en-US" w:eastAsia="zh-CN" w:bidi="ar-SA"/>
        </w:rPr>
        <w:t>响应人</w:t>
      </w:r>
      <w:r>
        <w:rPr>
          <w:rFonts w:hint="eastAsia" w:ascii="宋体" w:hAnsi="宋体" w:eastAsia="宋体" w:cs="宋体"/>
          <w:b/>
          <w:bCs/>
          <w:color w:val="auto"/>
          <w:kern w:val="0"/>
          <w:sz w:val="24"/>
          <w:szCs w:val="24"/>
          <w:highlight w:val="none"/>
          <w:lang w:val="en-US" w:eastAsia="zh-CN" w:bidi="ar-SA"/>
        </w:rPr>
        <w:t>认为响应磋商文件应提供的其它资料</w:t>
      </w: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8"/>
        <w:spacing w:before="280"/>
        <w:ind w:right="526"/>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格式自拟。</w:t>
      </w: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32"/>
        <w:rPr>
          <w:rFonts w:hint="eastAsia" w:ascii="宋体" w:hAnsi="宋体" w:eastAsia="宋体" w:cs="宋体"/>
          <w:color w:val="auto"/>
          <w:highlight w:val="none"/>
        </w:rPr>
      </w:pPr>
    </w:p>
    <w:p>
      <w:pPr>
        <w:pStyle w:val="11"/>
        <w:rPr>
          <w:rFonts w:hint="eastAsia" w:ascii="宋体" w:hAnsi="宋体" w:eastAsia="宋体" w:cs="宋体"/>
          <w:color w:val="auto"/>
          <w:szCs w:val="24"/>
          <w:highlight w:val="none"/>
        </w:rPr>
      </w:pPr>
    </w:p>
    <w:p>
      <w:pPr>
        <w:pStyle w:val="11"/>
        <w:rPr>
          <w:rFonts w:hint="eastAsia" w:ascii="宋体" w:hAnsi="宋体" w:eastAsia="宋体" w:cs="宋体"/>
          <w:color w:val="auto"/>
          <w:szCs w:val="24"/>
          <w:highlight w:val="none"/>
        </w:rPr>
      </w:pPr>
    </w:p>
    <w:p>
      <w:pPr>
        <w:pStyle w:val="11"/>
        <w:rPr>
          <w:rFonts w:hint="eastAsia" w:ascii="宋体" w:hAnsi="宋体" w:eastAsia="宋体" w:cs="宋体"/>
          <w:color w:val="auto"/>
          <w:szCs w:val="24"/>
          <w:highlight w:val="none"/>
        </w:rPr>
      </w:pPr>
    </w:p>
    <w:p>
      <w:pPr>
        <w:pStyle w:val="5"/>
        <w:tabs>
          <w:tab w:val="left" w:pos="839"/>
        </w:tabs>
        <w:spacing w:before="67"/>
        <w:ind w:right="10" w:firstLine="2891" w:firstLineChars="1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11、享受政府采购政策的证明材料</w:t>
      </w:r>
    </w:p>
    <w:p>
      <w:pPr>
        <w:pStyle w:val="5"/>
        <w:tabs>
          <w:tab w:val="left" w:pos="839"/>
        </w:tabs>
        <w:spacing w:before="67"/>
        <w:ind w:right="10" w:firstLine="3614" w:firstLineChars="15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11.1、中小企业声明函</w:t>
      </w:r>
    </w:p>
    <w:p>
      <w:pPr>
        <w:pStyle w:val="8"/>
        <w:jc w:val="both"/>
        <w:rPr>
          <w:rFonts w:hint="eastAsia" w:ascii="宋体" w:hAnsi="宋体" w:eastAsia="宋体" w:cs="宋体"/>
          <w:b/>
          <w:color w:val="auto"/>
          <w:sz w:val="24"/>
          <w:szCs w:val="24"/>
          <w:highlight w:val="none"/>
        </w:rPr>
      </w:pPr>
    </w:p>
    <w:p>
      <w:pPr>
        <w:spacing w:before="238" w:line="364" w:lineRule="auto"/>
        <w:ind w:left="238" w:right="134" w:firstLine="44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本公司郑重声明，根据《政府采购促进中小企业发展暂行办法》（财库[2011]181 号）的规定，本公司为（请填写：中型、小型、微型）企业。即，本公司同时满足以下条件：</w:t>
      </w:r>
    </w:p>
    <w:p>
      <w:pPr>
        <w:pStyle w:val="33"/>
        <w:numPr>
          <w:ilvl w:val="0"/>
          <w:numId w:val="7"/>
        </w:numPr>
        <w:tabs>
          <w:tab w:val="left" w:pos="907"/>
        </w:tabs>
        <w:spacing w:line="364" w:lineRule="auto"/>
        <w:ind w:right="254" w:firstLine="44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根据《工业和信息化部、国家统计局、国家发展和改革委员会、财政部关于印发中小企业划</w:t>
      </w:r>
      <w:r>
        <w:rPr>
          <w:rFonts w:hint="eastAsia" w:ascii="宋体" w:hAnsi="宋体" w:eastAsia="宋体" w:cs="宋体"/>
          <w:color w:val="auto"/>
          <w:spacing w:val="9"/>
          <w:sz w:val="24"/>
          <w:szCs w:val="24"/>
          <w:highlight w:val="none"/>
        </w:rPr>
        <w:t>型标准规定的通知》</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工信部联企业[</w:t>
      </w:r>
      <w:r>
        <w:rPr>
          <w:rFonts w:hint="eastAsia" w:ascii="宋体" w:hAnsi="宋体" w:eastAsia="宋体" w:cs="宋体"/>
          <w:color w:val="auto"/>
          <w:spacing w:val="3"/>
          <w:sz w:val="24"/>
          <w:szCs w:val="24"/>
          <w:highlight w:val="none"/>
        </w:rPr>
        <w:t>2011]300</w:t>
      </w:r>
      <w:r>
        <w:rPr>
          <w:rFonts w:hint="eastAsia" w:ascii="宋体" w:hAnsi="宋体" w:eastAsia="宋体" w:cs="宋体"/>
          <w:color w:val="auto"/>
          <w:spacing w:val="-6"/>
          <w:sz w:val="24"/>
          <w:szCs w:val="24"/>
          <w:highlight w:val="none"/>
        </w:rPr>
        <w:t xml:space="preserve"> 号</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9"/>
          <w:sz w:val="24"/>
          <w:szCs w:val="24"/>
          <w:highlight w:val="none"/>
        </w:rPr>
        <w:t>规定的划分标准，本公司为（</w:t>
      </w:r>
      <w:r>
        <w:rPr>
          <w:rFonts w:hint="eastAsia" w:ascii="宋体" w:hAnsi="宋体" w:eastAsia="宋体" w:cs="宋体"/>
          <w:color w:val="auto"/>
          <w:spacing w:val="7"/>
          <w:sz w:val="24"/>
          <w:szCs w:val="24"/>
          <w:highlight w:val="none"/>
        </w:rPr>
        <w:t>请填写：中型、</w:t>
      </w:r>
      <w:r>
        <w:rPr>
          <w:rFonts w:hint="eastAsia" w:ascii="宋体" w:hAnsi="宋体" w:eastAsia="宋体" w:cs="宋体"/>
          <w:color w:val="auto"/>
          <w:spacing w:val="9"/>
          <w:sz w:val="24"/>
          <w:szCs w:val="24"/>
          <w:highlight w:val="none"/>
        </w:rPr>
        <w:t>小型、微型</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6"/>
          <w:sz w:val="24"/>
          <w:szCs w:val="24"/>
          <w:highlight w:val="none"/>
        </w:rPr>
        <w:t>企业。</w:t>
      </w:r>
    </w:p>
    <w:p>
      <w:pPr>
        <w:pStyle w:val="33"/>
        <w:numPr>
          <w:ilvl w:val="0"/>
          <w:numId w:val="7"/>
        </w:numPr>
        <w:tabs>
          <w:tab w:val="left" w:pos="907"/>
        </w:tabs>
        <w:spacing w:line="364" w:lineRule="auto"/>
        <w:ind w:right="255" w:firstLine="444"/>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本公司参加单位的项目采购活动提供本企业制造的货物，由本企业承担工程、提供服务，</w:t>
      </w:r>
      <w:r>
        <w:rPr>
          <w:rFonts w:hint="eastAsia" w:ascii="宋体" w:hAnsi="宋体" w:eastAsia="宋体" w:cs="宋体"/>
          <w:color w:val="auto"/>
          <w:spacing w:val="9"/>
          <w:sz w:val="24"/>
          <w:szCs w:val="24"/>
          <w:highlight w:val="none"/>
        </w:rPr>
        <w:t>或者提供其他（请填写：中型、小型、微型）</w:t>
      </w:r>
      <w:r>
        <w:rPr>
          <w:rFonts w:hint="eastAsia" w:ascii="宋体" w:hAnsi="宋体" w:eastAsia="宋体" w:cs="宋体"/>
          <w:color w:val="auto"/>
          <w:spacing w:val="8"/>
          <w:sz w:val="24"/>
          <w:szCs w:val="24"/>
          <w:highlight w:val="none"/>
        </w:rPr>
        <w:t>企业制造的货物。本条所称货物不包括使用大型企业</w:t>
      </w:r>
      <w:r>
        <w:rPr>
          <w:rFonts w:hint="eastAsia" w:ascii="宋体" w:hAnsi="宋体" w:eastAsia="宋体" w:cs="宋体"/>
          <w:color w:val="auto"/>
          <w:spacing w:val="7"/>
          <w:sz w:val="24"/>
          <w:szCs w:val="24"/>
          <w:highlight w:val="none"/>
        </w:rPr>
        <w:t>注册商标的货物。</w:t>
      </w:r>
    </w:p>
    <w:p>
      <w:pPr>
        <w:spacing w:line="269" w:lineRule="exact"/>
        <w:ind w:left="68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本公司对上述声明的真实性负责。如有虚假，将依法承担相应责任。</w:t>
      </w: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spacing w:before="5"/>
        <w:jc w:val="both"/>
        <w:rPr>
          <w:rFonts w:hint="eastAsia" w:ascii="宋体" w:hAnsi="宋体" w:eastAsia="宋体" w:cs="宋体"/>
          <w:color w:val="auto"/>
          <w:sz w:val="24"/>
          <w:szCs w:val="24"/>
          <w:highlight w:val="none"/>
        </w:rPr>
      </w:pPr>
    </w:p>
    <w:p>
      <w:pPr>
        <w:spacing w:before="1"/>
        <w:ind w:left="454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供应商名称(盖单位章)：</w:t>
      </w:r>
    </w:p>
    <w:p>
      <w:pPr>
        <w:spacing w:before="141"/>
        <w:ind w:left="454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法定代表人或委托代理人(签章)：</w:t>
      </w:r>
    </w:p>
    <w:p>
      <w:pPr>
        <w:tabs>
          <w:tab w:val="left" w:pos="5990"/>
          <w:tab w:val="left" w:pos="7038"/>
          <w:tab w:val="left" w:pos="8088"/>
        </w:tabs>
        <w:spacing w:before="139"/>
        <w:ind w:left="451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pacing w:val="-3"/>
          <w:sz w:val="24"/>
          <w:szCs w:val="24"/>
          <w:highlight w:val="none"/>
        </w:rPr>
        <w:t>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日</w:t>
      </w:r>
    </w:p>
    <w:p>
      <w:pPr>
        <w:pStyle w:val="8"/>
        <w:jc w:val="both"/>
        <w:rPr>
          <w:rFonts w:hint="eastAsia" w:ascii="宋体" w:hAnsi="宋体" w:eastAsia="宋体" w:cs="宋体"/>
          <w:color w:val="auto"/>
          <w:sz w:val="24"/>
          <w:szCs w:val="24"/>
          <w:highlight w:val="none"/>
        </w:rPr>
      </w:pPr>
    </w:p>
    <w:p>
      <w:pPr>
        <w:pStyle w:val="8"/>
        <w:spacing w:before="7"/>
        <w:jc w:val="both"/>
        <w:rPr>
          <w:rFonts w:hint="eastAsia" w:ascii="宋体" w:hAnsi="宋体" w:eastAsia="宋体" w:cs="宋体"/>
          <w:color w:val="auto"/>
          <w:sz w:val="24"/>
          <w:szCs w:val="24"/>
          <w:highlight w:val="none"/>
        </w:rPr>
      </w:pPr>
    </w:p>
    <w:p>
      <w:pPr>
        <w:ind w:left="238"/>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p>
      <w:pPr>
        <w:spacing w:before="141" w:line="364" w:lineRule="auto"/>
        <w:ind w:left="238" w:right="24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1、填写前请认真阅读《工业和信息化部、国家统计局、国家发展和改革委员会、财政部关于印发中小企业划型标准规定的通知》（工信部联企业[2011]300 号）和《财政部 工业和信息化部关于印发</w:t>
      </w:r>
    </w:p>
    <w:p>
      <w:pPr>
        <w:spacing w:line="364" w:lineRule="auto"/>
        <w:ind w:left="238" w:right="185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＜政府采购促进中小企业发展暂行办法＞的通知》(财库[2011]181 号)相关规定。</w:t>
      </w:r>
    </w:p>
    <w:p>
      <w:pPr>
        <w:spacing w:line="364" w:lineRule="auto"/>
        <w:ind w:left="238" w:right="185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2、未按上述要求提供、填写的，评审时不予以考虑。</w:t>
      </w:r>
    </w:p>
    <w:p>
      <w:pPr>
        <w:spacing w:line="364" w:lineRule="auto"/>
        <w:jc w:val="both"/>
        <w:rPr>
          <w:rFonts w:hint="eastAsia" w:ascii="宋体" w:hAnsi="宋体" w:eastAsia="宋体" w:cs="宋体"/>
          <w:color w:val="auto"/>
          <w:sz w:val="24"/>
          <w:szCs w:val="24"/>
          <w:highlight w:val="none"/>
        </w:rPr>
        <w:sectPr>
          <w:pgSz w:w="11910" w:h="16840"/>
          <w:pgMar w:top="1560" w:right="940" w:bottom="1160" w:left="940" w:header="0" w:footer="895" w:gutter="0"/>
          <w:pgNumType w:fmt="decimal"/>
          <w:cols w:space="720" w:num="1"/>
        </w:sectPr>
      </w:pPr>
    </w:p>
    <w:p>
      <w:pPr>
        <w:pStyle w:val="5"/>
        <w:tabs>
          <w:tab w:val="left" w:pos="839"/>
        </w:tabs>
        <w:spacing w:before="67"/>
        <w:ind w:right="10" w:firstLine="2891" w:firstLineChars="12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11.2、残疾人福利性单位声明函</w:t>
      </w:r>
    </w:p>
    <w:p>
      <w:pPr>
        <w:pStyle w:val="8"/>
        <w:jc w:val="left"/>
        <w:rPr>
          <w:rFonts w:hint="eastAsia" w:ascii="宋体" w:hAnsi="宋体" w:eastAsia="宋体" w:cs="宋体"/>
          <w:b/>
          <w:color w:val="auto"/>
          <w:sz w:val="24"/>
          <w:szCs w:val="24"/>
          <w:highlight w:val="none"/>
        </w:rPr>
      </w:pPr>
    </w:p>
    <w:p>
      <w:pPr>
        <w:spacing w:before="141" w:line="360" w:lineRule="auto"/>
        <w:ind w:left="239" w:leftChars="114" w:right="254" w:firstLine="747" w:firstLineChars="292"/>
        <w:jc w:val="both"/>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本单位郑重声明，根据《财政部 民政部 中国残疾人联合会关于促进残疾人就业政府采购政策</w:t>
      </w:r>
      <w:r>
        <w:rPr>
          <w:rFonts w:hint="eastAsia" w:ascii="宋体" w:hAnsi="宋体" w:eastAsia="宋体" w:cs="宋体"/>
          <w:color w:val="auto"/>
          <w:spacing w:val="-13"/>
          <w:sz w:val="24"/>
          <w:szCs w:val="24"/>
          <w:highlight w:val="none"/>
        </w:rPr>
        <w:t>的通知》</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1"/>
          <w:sz w:val="24"/>
          <w:szCs w:val="24"/>
          <w:highlight w:val="none"/>
        </w:rPr>
        <w:t>财库〔</w:t>
      </w:r>
      <w:r>
        <w:rPr>
          <w:rFonts w:hint="eastAsia" w:ascii="宋体" w:hAnsi="宋体" w:eastAsia="宋体" w:cs="宋体"/>
          <w:color w:val="auto"/>
          <w:sz w:val="24"/>
          <w:szCs w:val="24"/>
          <w:highlight w:val="none"/>
        </w:rPr>
        <w:t>2017〕141</w:t>
      </w:r>
      <w:r>
        <w:rPr>
          <w:rFonts w:hint="eastAsia" w:ascii="宋体" w:hAnsi="宋体" w:eastAsia="宋体" w:cs="宋体"/>
          <w:color w:val="auto"/>
          <w:spacing w:val="35"/>
          <w:sz w:val="24"/>
          <w:szCs w:val="24"/>
          <w:highlight w:val="none"/>
        </w:rPr>
        <w:t xml:space="preserve"> 号</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13"/>
          <w:sz w:val="24"/>
          <w:szCs w:val="24"/>
          <w:highlight w:val="none"/>
        </w:rPr>
        <w:t>的规定，本单位为符合条件的残疾人福利性单位，且本单位参加</w:t>
      </w:r>
      <w:r>
        <w:rPr>
          <w:rFonts w:hint="eastAsia" w:ascii="宋体" w:hAnsi="宋体" w:eastAsia="宋体" w:cs="宋体"/>
          <w:color w:val="auto"/>
          <w:spacing w:val="4"/>
          <w:sz w:val="24"/>
          <w:szCs w:val="24"/>
          <w:highlight w:val="none"/>
        </w:rPr>
        <w:t>__________________</w:t>
      </w:r>
      <w:r>
        <w:rPr>
          <w:rFonts w:hint="eastAsia" w:ascii="宋体" w:hAnsi="宋体" w:eastAsia="宋体" w:cs="宋体"/>
          <w:color w:val="auto"/>
          <w:spacing w:val="11"/>
          <w:sz w:val="24"/>
          <w:szCs w:val="24"/>
          <w:highlight w:val="none"/>
        </w:rPr>
        <w:t>单</w:t>
      </w:r>
      <w:r>
        <w:rPr>
          <w:rFonts w:hint="eastAsia" w:ascii="宋体" w:hAnsi="宋体" w:eastAsia="宋体" w:cs="宋体"/>
          <w:color w:val="auto"/>
          <w:spacing w:val="9"/>
          <w:sz w:val="24"/>
          <w:szCs w:val="24"/>
          <w:highlight w:val="none"/>
        </w:rPr>
        <w:t>位</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rPr>
        <w:tab/>
      </w:r>
      <w:r>
        <w:rPr>
          <w:rFonts w:hint="eastAsia" w:ascii="宋体" w:hAnsi="宋体" w:eastAsia="宋体" w:cs="宋体"/>
          <w:color w:val="auto"/>
          <w:spacing w:val="11"/>
          <w:sz w:val="24"/>
          <w:szCs w:val="24"/>
          <w:highlight w:val="none"/>
        </w:rPr>
        <w:t>项</w:t>
      </w:r>
      <w:r>
        <w:rPr>
          <w:rFonts w:hint="eastAsia" w:ascii="宋体" w:hAnsi="宋体" w:eastAsia="宋体" w:cs="宋体"/>
          <w:color w:val="auto"/>
          <w:spacing w:val="9"/>
          <w:sz w:val="24"/>
          <w:szCs w:val="24"/>
          <w:highlight w:val="none"/>
        </w:rPr>
        <w:t>目</w:t>
      </w:r>
      <w:r>
        <w:rPr>
          <w:rFonts w:hint="eastAsia" w:ascii="宋体" w:hAnsi="宋体" w:eastAsia="宋体" w:cs="宋体"/>
          <w:color w:val="auto"/>
          <w:spacing w:val="11"/>
          <w:sz w:val="24"/>
          <w:szCs w:val="24"/>
          <w:highlight w:val="none"/>
        </w:rPr>
        <w:t>采</w:t>
      </w:r>
      <w:r>
        <w:rPr>
          <w:rFonts w:hint="eastAsia" w:ascii="宋体" w:hAnsi="宋体" w:eastAsia="宋体" w:cs="宋体"/>
          <w:color w:val="auto"/>
          <w:spacing w:val="9"/>
          <w:sz w:val="24"/>
          <w:szCs w:val="24"/>
          <w:highlight w:val="none"/>
        </w:rPr>
        <w:t>购</w:t>
      </w:r>
      <w:r>
        <w:rPr>
          <w:rFonts w:hint="eastAsia" w:ascii="宋体" w:hAnsi="宋体" w:eastAsia="宋体" w:cs="宋体"/>
          <w:color w:val="auto"/>
          <w:spacing w:val="11"/>
          <w:sz w:val="24"/>
          <w:szCs w:val="24"/>
          <w:highlight w:val="none"/>
        </w:rPr>
        <w:t>活</w:t>
      </w:r>
      <w:r>
        <w:rPr>
          <w:rFonts w:hint="eastAsia" w:ascii="宋体" w:hAnsi="宋体" w:eastAsia="宋体" w:cs="宋体"/>
          <w:color w:val="auto"/>
          <w:spacing w:val="9"/>
          <w:sz w:val="24"/>
          <w:szCs w:val="24"/>
          <w:highlight w:val="none"/>
        </w:rPr>
        <w:t>动</w:t>
      </w:r>
      <w:r>
        <w:rPr>
          <w:rFonts w:hint="eastAsia" w:ascii="宋体" w:hAnsi="宋体" w:eastAsia="宋体" w:cs="宋体"/>
          <w:color w:val="auto"/>
          <w:spacing w:val="11"/>
          <w:sz w:val="24"/>
          <w:szCs w:val="24"/>
          <w:highlight w:val="none"/>
        </w:rPr>
        <w:t>提</w:t>
      </w:r>
      <w:r>
        <w:rPr>
          <w:rFonts w:hint="eastAsia" w:ascii="宋体" w:hAnsi="宋体" w:eastAsia="宋体" w:cs="宋体"/>
          <w:color w:val="auto"/>
          <w:spacing w:val="9"/>
          <w:sz w:val="24"/>
          <w:szCs w:val="24"/>
          <w:highlight w:val="none"/>
        </w:rPr>
        <w:t>供</w:t>
      </w:r>
      <w:r>
        <w:rPr>
          <w:rFonts w:hint="eastAsia" w:ascii="宋体" w:hAnsi="宋体" w:eastAsia="宋体" w:cs="宋体"/>
          <w:color w:val="auto"/>
          <w:spacing w:val="11"/>
          <w:sz w:val="24"/>
          <w:szCs w:val="24"/>
          <w:highlight w:val="none"/>
        </w:rPr>
        <w:t>本</w:t>
      </w:r>
      <w:r>
        <w:rPr>
          <w:rFonts w:hint="eastAsia" w:ascii="宋体" w:hAnsi="宋体" w:eastAsia="宋体" w:cs="宋体"/>
          <w:color w:val="auto"/>
          <w:spacing w:val="9"/>
          <w:sz w:val="24"/>
          <w:szCs w:val="24"/>
          <w:highlight w:val="none"/>
        </w:rPr>
        <w:t>单</w:t>
      </w:r>
      <w:r>
        <w:rPr>
          <w:rFonts w:hint="eastAsia" w:ascii="宋体" w:hAnsi="宋体" w:eastAsia="宋体" w:cs="宋体"/>
          <w:color w:val="auto"/>
          <w:spacing w:val="11"/>
          <w:sz w:val="24"/>
          <w:szCs w:val="24"/>
          <w:highlight w:val="none"/>
        </w:rPr>
        <w:t>位的</w:t>
      </w:r>
      <w:r>
        <w:rPr>
          <w:rFonts w:hint="eastAsia" w:ascii="宋体" w:hAnsi="宋体" w:cs="宋体"/>
          <w:color w:val="auto"/>
          <w:spacing w:val="9"/>
          <w:sz w:val="24"/>
          <w:szCs w:val="24"/>
          <w:highlight w:val="none"/>
          <w:lang w:eastAsia="zh-CN"/>
        </w:rPr>
        <w:t>服务</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1"/>
          <w:sz w:val="24"/>
          <w:szCs w:val="24"/>
          <w:highlight w:val="none"/>
        </w:rPr>
        <w:t>由</w:t>
      </w:r>
      <w:r>
        <w:rPr>
          <w:rFonts w:hint="eastAsia" w:ascii="宋体" w:hAnsi="宋体" w:eastAsia="宋体" w:cs="宋体"/>
          <w:color w:val="auto"/>
          <w:spacing w:val="9"/>
          <w:sz w:val="24"/>
          <w:szCs w:val="24"/>
          <w:highlight w:val="none"/>
        </w:rPr>
        <w:t>本</w:t>
      </w:r>
      <w:r>
        <w:rPr>
          <w:rFonts w:hint="eastAsia" w:ascii="宋体" w:hAnsi="宋体" w:eastAsia="宋体" w:cs="宋体"/>
          <w:color w:val="auto"/>
          <w:sz w:val="24"/>
          <w:szCs w:val="24"/>
          <w:highlight w:val="none"/>
        </w:rPr>
        <w:t>单</w:t>
      </w:r>
      <w:r>
        <w:rPr>
          <w:rFonts w:hint="eastAsia" w:ascii="宋体" w:hAnsi="宋体" w:eastAsia="宋体" w:cs="宋体"/>
          <w:color w:val="auto"/>
          <w:spacing w:val="10"/>
          <w:sz w:val="24"/>
          <w:szCs w:val="24"/>
          <w:highlight w:val="none"/>
        </w:rPr>
        <w:t>位承担工程</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9"/>
          <w:sz w:val="24"/>
          <w:szCs w:val="24"/>
          <w:highlight w:val="none"/>
        </w:rPr>
        <w:t>提供服务</w:t>
      </w:r>
      <w:r>
        <w:rPr>
          <w:rFonts w:hint="eastAsia" w:ascii="宋体" w:hAnsi="宋体" w:eastAsia="宋体" w:cs="宋体"/>
          <w:color w:val="auto"/>
          <w:spacing w:val="-99"/>
          <w:sz w:val="24"/>
          <w:szCs w:val="24"/>
          <w:highlight w:val="none"/>
        </w:rPr>
        <w:t>）</w:t>
      </w:r>
      <w:r>
        <w:rPr>
          <w:rFonts w:hint="eastAsia" w:ascii="宋体" w:hAnsi="宋体" w:eastAsia="宋体" w:cs="宋体"/>
          <w:color w:val="auto"/>
          <w:spacing w:val="9"/>
          <w:sz w:val="24"/>
          <w:szCs w:val="24"/>
          <w:highlight w:val="none"/>
        </w:rPr>
        <w:t>，或者提供其他残疾人福利性单位的</w:t>
      </w:r>
      <w:r>
        <w:rPr>
          <w:rFonts w:hint="eastAsia" w:ascii="宋体" w:hAnsi="宋体" w:cs="宋体"/>
          <w:color w:val="auto"/>
          <w:spacing w:val="9"/>
          <w:sz w:val="24"/>
          <w:szCs w:val="24"/>
          <w:highlight w:val="none"/>
          <w:lang w:eastAsia="zh-CN"/>
        </w:rPr>
        <w:t>服务</w:t>
      </w:r>
      <w:r>
        <w:rPr>
          <w:rFonts w:hint="eastAsia" w:ascii="宋体" w:hAnsi="宋体" w:eastAsia="宋体" w:cs="宋体"/>
          <w:color w:val="auto"/>
          <w:sz w:val="24"/>
          <w:szCs w:val="24"/>
          <w:highlight w:val="none"/>
        </w:rPr>
        <w:t>。</w:t>
      </w:r>
    </w:p>
    <w:p>
      <w:pPr>
        <w:spacing w:line="360" w:lineRule="auto"/>
        <w:ind w:left="0" w:leftChars="0"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before="239" w:line="360" w:lineRule="auto"/>
        <w:ind w:left="17" w:leftChars="8" w:right="250" w:firstLine="662" w:firstLineChars="276"/>
        <w:jc w:val="both"/>
        <w:rPr>
          <w:rFonts w:hint="eastAsia" w:ascii="宋体" w:hAnsi="宋体" w:eastAsia="宋体" w:cs="宋体"/>
          <w:color w:val="auto"/>
          <w:sz w:val="24"/>
          <w:szCs w:val="24"/>
          <w:highlight w:val="none"/>
        </w:rPr>
      </w:pPr>
    </w:p>
    <w:p>
      <w:pPr>
        <w:tabs>
          <w:tab w:val="left" w:leader="underscore" w:pos="5110"/>
        </w:tabs>
        <w:spacing w:line="360" w:lineRule="auto"/>
        <w:ind w:right="249"/>
        <w:jc w:val="both"/>
        <w:rPr>
          <w:rFonts w:hint="eastAsia" w:ascii="宋体" w:hAnsi="宋体" w:eastAsia="宋体" w:cs="宋体"/>
          <w:color w:val="auto"/>
          <w:sz w:val="24"/>
          <w:szCs w:val="24"/>
          <w:highlight w:val="none"/>
        </w:rPr>
      </w:pPr>
    </w:p>
    <w:p>
      <w:pPr>
        <w:pStyle w:val="8"/>
        <w:spacing w:line="360" w:lineRule="auto"/>
        <w:jc w:val="both"/>
        <w:rPr>
          <w:rFonts w:hint="eastAsia" w:ascii="宋体" w:hAnsi="宋体" w:eastAsia="宋体" w:cs="宋体"/>
          <w:color w:val="auto"/>
          <w:sz w:val="24"/>
          <w:szCs w:val="24"/>
          <w:highlight w:val="none"/>
        </w:rPr>
      </w:pPr>
    </w:p>
    <w:p>
      <w:pPr>
        <w:pStyle w:val="8"/>
        <w:spacing w:before="11" w:line="360" w:lineRule="auto"/>
        <w:jc w:val="both"/>
        <w:rPr>
          <w:rFonts w:hint="eastAsia" w:ascii="宋体" w:hAnsi="宋体" w:eastAsia="宋体" w:cs="宋体"/>
          <w:color w:val="auto"/>
          <w:sz w:val="24"/>
          <w:szCs w:val="24"/>
          <w:highlight w:val="none"/>
        </w:rPr>
      </w:pPr>
    </w:p>
    <w:p>
      <w:pPr>
        <w:spacing w:line="360" w:lineRule="auto"/>
        <w:ind w:left="5459"/>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单位名称</w:t>
      </w:r>
      <w:r>
        <w:rPr>
          <w:rFonts w:hint="eastAsia" w:ascii="宋体" w:hAnsi="宋体" w:eastAsia="宋体" w:cs="宋体"/>
          <w:color w:val="auto"/>
          <w:spacing w:val="9"/>
          <w:sz w:val="24"/>
          <w:szCs w:val="24"/>
          <w:highlight w:val="none"/>
        </w:rPr>
        <w:t>（电子签章</w:t>
      </w:r>
      <w:r>
        <w:rPr>
          <w:rFonts w:hint="eastAsia" w:ascii="宋体" w:hAnsi="宋体" w:eastAsia="宋体" w:cs="宋体"/>
          <w:color w:val="auto"/>
          <w:spacing w:val="-101"/>
          <w:sz w:val="24"/>
          <w:szCs w:val="24"/>
          <w:highlight w:val="none"/>
        </w:rPr>
        <w:t>）</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4"/>
          <w:sz w:val="24"/>
          <w:szCs w:val="24"/>
          <w:highlight w:val="none"/>
        </w:rPr>
        <w:t>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pacing w:val="6"/>
          <w:sz w:val="24"/>
          <w:szCs w:val="24"/>
          <w:highlight w:val="none"/>
        </w:rPr>
        <w:t>_</w:t>
      </w:r>
      <w:r>
        <w:rPr>
          <w:rFonts w:hint="eastAsia" w:ascii="宋体" w:hAnsi="宋体" w:eastAsia="宋体" w:cs="宋体"/>
          <w:color w:val="auto"/>
          <w:spacing w:val="4"/>
          <w:sz w:val="24"/>
          <w:szCs w:val="24"/>
          <w:highlight w:val="none"/>
        </w:rPr>
        <w:t>___</w:t>
      </w:r>
      <w:r>
        <w:rPr>
          <w:rFonts w:hint="eastAsia" w:ascii="宋体" w:hAnsi="宋体" w:eastAsia="宋体" w:cs="宋体"/>
          <w:color w:val="auto"/>
          <w:sz w:val="24"/>
          <w:szCs w:val="24"/>
          <w:highlight w:val="none"/>
        </w:rPr>
        <w:t>_</w:t>
      </w:r>
    </w:p>
    <w:p>
      <w:pPr>
        <w:tabs>
          <w:tab w:val="left" w:pos="691"/>
        </w:tabs>
        <w:spacing w:before="140" w:line="360" w:lineRule="auto"/>
        <w:ind w:left="0" w:leftChars="0" w:right="353" w:firstLine="4620" w:firstLineChars="1925"/>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rPr>
        <w:tab/>
      </w:r>
      <w:r>
        <w:rPr>
          <w:rFonts w:hint="eastAsia" w:ascii="宋体" w:hAnsi="宋体" w:eastAsia="宋体" w:cs="宋体"/>
          <w:color w:val="auto"/>
          <w:spacing w:val="9"/>
          <w:sz w:val="24"/>
          <w:szCs w:val="24"/>
          <w:highlight w:val="none"/>
        </w:rPr>
        <w:t>期</w:t>
      </w:r>
      <w:r>
        <w:rPr>
          <w:rFonts w:hint="eastAsia" w:ascii="宋体" w:hAnsi="宋体" w:eastAsia="宋体" w:cs="宋体"/>
          <w:color w:val="auto"/>
          <w:spacing w:val="9"/>
          <w:sz w:val="24"/>
          <w:szCs w:val="24"/>
          <w:highlight w:val="none"/>
          <w:lang w:val="en-US" w:eastAsia="zh-CN"/>
        </w:rPr>
        <w:t>:</w:t>
      </w:r>
      <w:r>
        <w:rPr>
          <w:rFonts w:hint="eastAsia" w:ascii="宋体" w:hAnsi="宋体" w:eastAsia="宋体" w:cs="宋体"/>
          <w:color w:val="auto"/>
          <w:spacing w:val="4"/>
          <w:sz w:val="24"/>
          <w:szCs w:val="24"/>
          <w:highlight w:val="none"/>
        </w:rPr>
        <w:t>__________________</w:t>
      </w:r>
    </w:p>
    <w:p>
      <w:pPr>
        <w:pStyle w:val="8"/>
        <w:spacing w:line="360" w:lineRule="auto"/>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jc w:val="both"/>
        <w:rPr>
          <w:rFonts w:hint="eastAsia" w:ascii="宋体" w:hAnsi="宋体" w:eastAsia="宋体" w:cs="宋体"/>
          <w:color w:val="auto"/>
          <w:sz w:val="24"/>
          <w:szCs w:val="24"/>
          <w:highlight w:val="none"/>
        </w:rPr>
      </w:pPr>
    </w:p>
    <w:p>
      <w:pPr>
        <w:pStyle w:val="8"/>
        <w:spacing w:before="10"/>
        <w:jc w:val="both"/>
        <w:rPr>
          <w:rFonts w:hint="eastAsia" w:ascii="宋体" w:hAnsi="宋体" w:eastAsia="宋体" w:cs="宋体"/>
          <w:color w:val="auto"/>
          <w:sz w:val="24"/>
          <w:szCs w:val="24"/>
          <w:highlight w:val="none"/>
        </w:rPr>
      </w:pPr>
    </w:p>
    <w:p>
      <w:pPr>
        <w:pStyle w:val="5"/>
        <w:tabs>
          <w:tab w:val="left" w:pos="839"/>
        </w:tabs>
        <w:spacing w:before="67"/>
        <w:ind w:right="10" w:firstLine="3132" w:firstLineChars="1300"/>
        <w:rPr>
          <w:rFonts w:hint="eastAsia" w:ascii="宋体" w:hAnsi="宋体" w:eastAsia="宋体" w:cs="宋体"/>
          <w:b/>
          <w:bCs/>
          <w:color w:val="auto"/>
          <w:kern w:val="0"/>
          <w:sz w:val="24"/>
          <w:szCs w:val="24"/>
          <w:highlight w:val="none"/>
          <w:lang w:val="en-US" w:eastAsia="zh-CN" w:bidi="ar-SA"/>
        </w:rPr>
      </w:pPr>
    </w:p>
    <w:p>
      <w:pPr>
        <w:pStyle w:val="5"/>
        <w:tabs>
          <w:tab w:val="left" w:pos="839"/>
        </w:tabs>
        <w:spacing w:before="67"/>
        <w:ind w:right="10" w:firstLine="3132" w:firstLineChars="1300"/>
        <w:rPr>
          <w:rFonts w:hint="eastAsia" w:ascii="宋体" w:hAnsi="宋体" w:eastAsia="宋体" w:cs="宋体"/>
          <w:b/>
          <w:bCs/>
          <w:color w:val="auto"/>
          <w:kern w:val="0"/>
          <w:sz w:val="24"/>
          <w:szCs w:val="24"/>
          <w:highlight w:val="none"/>
          <w:lang w:val="en-US" w:eastAsia="zh-CN" w:bidi="ar-SA"/>
        </w:rPr>
      </w:pPr>
    </w:p>
    <w:p>
      <w:pPr>
        <w:pStyle w:val="5"/>
        <w:tabs>
          <w:tab w:val="left" w:pos="839"/>
        </w:tabs>
        <w:spacing w:before="67"/>
        <w:ind w:right="10" w:firstLine="3132" w:firstLineChars="1300"/>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11.3、监狱企业证明文件</w:t>
      </w:r>
    </w:p>
    <w:p>
      <w:pPr>
        <w:pStyle w:val="8"/>
        <w:jc w:val="both"/>
        <w:rPr>
          <w:rFonts w:hint="eastAsia" w:ascii="宋体" w:hAnsi="宋体" w:eastAsia="宋体" w:cs="宋体"/>
          <w:b/>
          <w:color w:val="auto"/>
          <w:sz w:val="24"/>
          <w:szCs w:val="24"/>
          <w:highlight w:val="none"/>
        </w:rPr>
      </w:pPr>
    </w:p>
    <w:p>
      <w:pPr>
        <w:spacing w:before="238"/>
        <w:ind w:right="254"/>
        <w:jc w:val="both"/>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省级以上监狱管理局、戒毒管理局（含新疆生产建设兵团）出具的属于监狱企业的证明文件。</w:t>
      </w:r>
    </w:p>
    <w:p>
      <w:pPr>
        <w:spacing w:line="480" w:lineRule="auto"/>
        <w:jc w:val="both"/>
        <w:rPr>
          <w:rFonts w:hint="eastAsia" w:ascii="宋体" w:hAnsi="宋体" w:eastAsia="宋体" w:cs="宋体"/>
          <w:b/>
          <w:color w:val="auto"/>
          <w:sz w:val="24"/>
          <w:szCs w:val="24"/>
          <w:highlight w:val="none"/>
          <w:lang w:val="en-US" w:eastAsia="zh-CN"/>
        </w:rPr>
      </w:pPr>
    </w:p>
    <w:p>
      <w:pPr>
        <w:spacing w:line="480" w:lineRule="auto"/>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11.4、</w:t>
      </w:r>
      <w:r>
        <w:rPr>
          <w:rFonts w:hint="eastAsia" w:ascii="宋体" w:hAnsi="宋体" w:eastAsia="宋体" w:cs="宋体"/>
          <w:b/>
          <w:color w:val="auto"/>
          <w:sz w:val="24"/>
          <w:szCs w:val="24"/>
          <w:highlight w:val="none"/>
        </w:rPr>
        <w:t>河南省政府采购合同融资政策告知函</w:t>
      </w:r>
    </w:p>
    <w:p>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各供应商：</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欢迎贵公司参与河南省政府采购活动！</w:t>
      </w:r>
    </w:p>
    <w:p>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rPr>
          <w:rFonts w:hint="eastAsia" w:ascii="宋体" w:hAnsi="宋体" w:eastAsia="宋体" w:cs="宋体"/>
          <w:color w:val="auto"/>
          <w:highlight w:val="none"/>
        </w:rPr>
      </w:pPr>
      <w:r>
        <w:rPr>
          <w:rFonts w:hint="eastAsia" w:ascii="宋体" w:hAnsi="宋体" w:eastAsia="宋体" w:cs="宋体"/>
          <w:color w:val="auto"/>
          <w:sz w:val="24"/>
          <w:szCs w:val="24"/>
          <w:highlight w:val="none"/>
        </w:rPr>
        <w:t>贷款渠道和提供贷款的金融机构，可在河南省政府采购网“河南省政府采购合同融资平台”查询联系。</w:t>
      </w:r>
    </w:p>
    <w:p>
      <w:pPr>
        <w:snapToGrid w:val="0"/>
        <w:spacing w:line="360" w:lineRule="auto"/>
        <w:ind w:firstLine="480" w:firstLineChars="200"/>
        <w:rPr>
          <w:rFonts w:hint="eastAsia" w:ascii="宋体" w:hAnsi="宋体" w:eastAsia="宋体" w:cs="宋体"/>
          <w:color w:val="auto"/>
          <w:sz w:val="24"/>
          <w:szCs w:val="24"/>
          <w:highlight w:val="none"/>
        </w:rPr>
      </w:pPr>
    </w:p>
    <w:p>
      <w:pPr>
        <w:spacing w:before="238"/>
        <w:ind w:left="0" w:right="254" w:firstLine="210" w:firstLineChars="100"/>
        <w:jc w:val="both"/>
        <w:rPr>
          <w:rFonts w:hint="eastAsia" w:ascii="宋体" w:hAnsi="宋体" w:eastAsia="宋体" w:cs="宋体"/>
          <w:color w:val="auto"/>
          <w:highlight w:val="none"/>
        </w:rPr>
      </w:pPr>
    </w:p>
    <w:p>
      <w:pPr>
        <w:widowControl/>
        <w:jc w:val="left"/>
        <w:rPr>
          <w:b/>
          <w:color w:val="auto"/>
          <w:sz w:val="28"/>
          <w:szCs w:val="28"/>
          <w:highlight w:val="none"/>
        </w:rPr>
      </w:pPr>
    </w:p>
    <w:p/>
    <w:sectPr>
      <w:footerReference r:id="rId14" w:type="first"/>
      <w:footerReference r:id="rId13" w:type="default"/>
      <w:pgSz w:w="11906" w:h="16838"/>
      <w:pgMar w:top="1440" w:right="1274" w:bottom="1440" w:left="1797" w:header="777" w:footer="90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90"/>
      <w:jc w:val="right"/>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4144;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N0Q6LbAAAADQEAAA8AAAAAAAAAAQAgAAAAIgAAAGRycy9kb3ducmV2Lnht&#10;bFBLAQIUABQAAAAIAIdO4kBK5g9SvQEAAIIDAAAOAAAAAAAAAAEAIAAAACoBAABkcnMvZTJvRG9j&#10;LnhtbFBLBQYAAAAABgAGAFkBAABZ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r>
      <mc:AlternateContent>
        <mc:Choice Requires="wps">
          <w:drawing>
            <wp:anchor distT="0" distB="0" distL="114300" distR="114300" simplePos="0" relativeHeight="251666432"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0048;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dEOi2wAAAA0BAAAPAAAAAAAAAAEAIAAAACIAAABkcnMvZG93bnJldi54&#10;bWxQSwECFAAUAAAACACHTuJA1SrEOL4BAACCAwAADgAAAAAAAAABACAAAAAq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982345</wp:posOffset>
              </wp:positionH>
              <wp:positionV relativeFrom="page">
                <wp:posOffset>9831070</wp:posOffset>
              </wp:positionV>
              <wp:extent cx="1807210" cy="158115"/>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07210"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77.35pt;margin-top:774.1pt;height:12.45pt;width:142.3pt;mso-position-horizontal-relative:page;mso-position-vertical-relative:page;z-index:-251654144;mso-width-relative:page;mso-height-relative:page;" filled="f" stroked="f" coordsize="21600,21600" o:gfxdata="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jdEOi2wAAAA0BAAAPAAAAAAAAAAEAIAAAACIAAABkcnMvZG93bnJldi54&#10;bWxQSwECFAAUAAAACACHTuJAEvpXML4BAACCAwAADgAAAAAAAAABACAAAAAq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7216;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aDw/VsABAACBAwAADgAAAAAAAAABACAAAAAo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6192;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JoHkX2QAAAAsBAAAPAAAAAAAAAAEAIAAAACIAAABkcnMvZG93bnJldi54bWxQ&#10;SwECFAAUAAAACACHTuJAORoiCL0BAACBAwAADgAAAAAAAAABACAAAAAo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5168;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Z9rp774BAACBAwAADgAAAAAAAAABACAAAAAn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7216;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AL2QAAAAsBAAAPAAAAAAAAAAEAIAAAACIAAABkcnMvZG93bnJldi54&#10;bWxQSwECFAAUAAAACACHTuJAoMSzacABAACBAwAADgAAAAAAAAABACAAAAAoAQAAZHJzL2Uyb0Rv&#10;Yy54bWxQSwUGAAAAAAYABgBZAQAAWg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6192;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GWdI42+AQAAgQMAAA4AAAAAAAAAAQAgAAAAKAEAAGRycy9lMm9Eb2Mu&#10;eG1sUEsFBgAAAAAGAAYAWQEAAFg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5168;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pZBGr2AAAAAwBAAAPAAAAAAAAAAEAIAAAACIAAABkcnMvZG93bnJldi54bWxQ&#10;SwECFAAUAAAACACHTuJAryJl0L4BAACBAwAADgAAAAAAAAABACAAAAAnAQAAZHJzL2Uyb0RvYy54&#10;bWxQSwUGAAAAAAYABgBZAQAAVwU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5116830</wp:posOffset>
              </wp:positionH>
              <wp:positionV relativeFrom="page">
                <wp:posOffset>667385</wp:posOffset>
              </wp:positionV>
              <wp:extent cx="339725" cy="15811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33972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02.9pt;margin-top:52.55pt;height:12.45pt;width:26.75pt;mso-position-horizontal-relative:page;mso-position-vertical-relative:page;z-index:-251653120;mso-width-relative:page;mso-height-relative:page;" filled="f" stroked="f" coordsize="21600,21600" o:gfxdata="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D//8AvZAAAACwEAAA8AAAAAAAAAAQAgAAAAIgAAAGRycy9kb3ducmV2Lnht&#10;bFBLAQIUABQAAAAIAIdO4kDTo1efvwEAAIEDAAAOAAAAAAAAAAEAIAAAACgBAABkcnMvZTJvRG9j&#10;LnhtbFBLBQYAAAAABgAGAFkBAABZ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4384" behindDoc="1" locked="0" layoutInCell="1" allowOverlap="1">
              <wp:simplePos x="0" y="0"/>
              <wp:positionH relativeFrom="page">
                <wp:posOffset>5589270</wp:posOffset>
              </wp:positionH>
              <wp:positionV relativeFrom="page">
                <wp:posOffset>667385</wp:posOffset>
              </wp:positionV>
              <wp:extent cx="333375" cy="1581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40.1pt;margin-top:52.55pt;height:12.45pt;width:26.25pt;mso-position-horizontal-relative:page;mso-position-vertical-relative:page;z-index:-251652096;mso-width-relative:page;mso-height-relative:page;" filled="f" stroked="f" coordsize="21600,21600" o:gfxdata="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aB5F9kAAAALAQAADwAAAAAAAAABACAAAAAiAAAAZHJzL2Rvd25yZXYueG1s&#10;UEsBAhQAFAAAAAgAh07iQNc4hOO+AQAAfwMAAA4AAAAAAAAAAQAgAAAAKAEAAGRycy9lMm9Eb2Mu&#10;eG1sUEsFBgAAAAAGAAYAWQEAAFgFA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r>
      <mc:AlternateContent>
        <mc:Choice Requires="wps">
          <w:drawing>
            <wp:anchor distT="0" distB="0" distL="114300" distR="114300" simplePos="0" relativeHeight="251665408" behindDoc="1" locked="0" layoutInCell="1" allowOverlap="1">
              <wp:simplePos x="0" y="0"/>
              <wp:positionH relativeFrom="page">
                <wp:posOffset>6057265</wp:posOffset>
              </wp:positionH>
              <wp:positionV relativeFrom="page">
                <wp:posOffset>667385</wp:posOffset>
              </wp:positionV>
              <wp:extent cx="333375" cy="15811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33375" cy="158115"/>
                      </a:xfrm>
                      <a:prstGeom prst="rect">
                        <a:avLst/>
                      </a:prstGeom>
                      <a:noFill/>
                      <a:ln>
                        <a:noFill/>
                      </a:ln>
                      <a:effectLst/>
                    </wps:spPr>
                    <wps:txbx>
                      <w:txbxContent>
                        <w:p>
                          <w:pPr>
                            <w:spacing w:line="249" w:lineRule="exact"/>
                            <w:ind w:left="20"/>
                            <w:rPr>
                              <w:i/>
                              <w:sz w:val="22"/>
                            </w:rPr>
                          </w:pPr>
                        </w:p>
                      </w:txbxContent>
                    </wps:txbx>
                    <wps:bodyPr lIns="0" tIns="0" rIns="0" bIns="0" upright="1"/>
                  </wps:wsp>
                </a:graphicData>
              </a:graphic>
            </wp:anchor>
          </w:drawing>
        </mc:Choice>
        <mc:Fallback>
          <w:pict>
            <v:shape id="_x0000_s1026" o:spid="_x0000_s1026" o:spt="202" type="#_x0000_t202" style="position:absolute;left:0pt;margin-left:476.95pt;margin-top:52.55pt;height:12.45pt;width:26.25pt;mso-position-horizontal-relative:page;mso-position-vertical-relative:page;z-index:-251651072;mso-width-relative:page;mso-height-relative:page;" filled="f" stroked="f" coordsize="21600,21600" o:gfxdata="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lkEavYAAAADAEAAA8AAAAAAAAAAQAgAAAAIgAAAGRycy9kb3ducmV2LnhtbFBL&#10;AQIUABQAAAAIAIdO4kCaXA/7vQEAAIEDAAAOAAAAAAAAAAEAIAAAACcBAABkcnMvZTJvRG9jLnht&#10;bFBLBQYAAAAABgAGAFkBAABWBQAAAAA=&#10;">
              <v:fill on="f" focussize="0,0"/>
              <v:stroke on="f"/>
              <v:imagedata o:title=""/>
              <o:lock v:ext="edit" aspectratio="f"/>
              <v:textbox inset="0mm,0mm,0mm,0mm">
                <w:txbxContent>
                  <w:p>
                    <w:pPr>
                      <w:spacing w:line="249" w:lineRule="exact"/>
                      <w:ind w:left="20"/>
                      <w:rPr>
                        <w:i/>
                        <w:sz w:val="22"/>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8CA09"/>
    <w:multiLevelType w:val="singleLevel"/>
    <w:tmpl w:val="9978CA09"/>
    <w:lvl w:ilvl="0" w:tentative="0">
      <w:start w:val="1"/>
      <w:numFmt w:val="decimal"/>
      <w:suff w:val="nothing"/>
      <w:lvlText w:val="%1．"/>
      <w:lvlJc w:val="left"/>
      <w:pPr>
        <w:ind w:left="0" w:firstLine="400"/>
      </w:pPr>
      <w:rPr>
        <w:rFonts w:hint="default"/>
      </w:rPr>
    </w:lvl>
  </w:abstractNum>
  <w:abstractNum w:abstractNumId="1">
    <w:nsid w:val="B0F1ACD9"/>
    <w:multiLevelType w:val="multilevel"/>
    <w:tmpl w:val="B0F1ACD9"/>
    <w:lvl w:ilvl="0" w:tentative="0">
      <w:start w:val="1"/>
      <w:numFmt w:val="decimal"/>
      <w:lvlText w:val="%1."/>
      <w:lvlJc w:val="left"/>
      <w:pPr>
        <w:ind w:left="1393" w:hanging="241"/>
      </w:pPr>
      <w:rPr>
        <w:rFonts w:hint="default" w:ascii="宋体" w:hAnsi="宋体" w:eastAsia="宋体" w:cs="宋体"/>
        <w:spacing w:val="-3"/>
        <w:w w:val="100"/>
        <w:sz w:val="22"/>
        <w:szCs w:val="22"/>
        <w:lang w:val="zh-CN" w:eastAsia="zh-CN" w:bidi="zh-CN"/>
      </w:rPr>
    </w:lvl>
    <w:lvl w:ilvl="1" w:tentative="0">
      <w:start w:val="0"/>
      <w:numFmt w:val="bullet"/>
      <w:lvlText w:val="•"/>
      <w:lvlJc w:val="left"/>
      <w:pPr>
        <w:ind w:left="2365" w:hanging="241"/>
      </w:pPr>
      <w:rPr>
        <w:rFonts w:hint="default"/>
        <w:lang w:val="zh-CN" w:eastAsia="zh-CN" w:bidi="zh-CN"/>
      </w:rPr>
    </w:lvl>
    <w:lvl w:ilvl="2" w:tentative="0">
      <w:start w:val="0"/>
      <w:numFmt w:val="bullet"/>
      <w:lvlText w:val="•"/>
      <w:lvlJc w:val="left"/>
      <w:pPr>
        <w:ind w:left="3330" w:hanging="241"/>
      </w:pPr>
      <w:rPr>
        <w:rFonts w:hint="default"/>
        <w:lang w:val="zh-CN" w:eastAsia="zh-CN" w:bidi="zh-CN"/>
      </w:rPr>
    </w:lvl>
    <w:lvl w:ilvl="3" w:tentative="0">
      <w:start w:val="0"/>
      <w:numFmt w:val="bullet"/>
      <w:lvlText w:val="•"/>
      <w:lvlJc w:val="left"/>
      <w:pPr>
        <w:ind w:left="4295" w:hanging="241"/>
      </w:pPr>
      <w:rPr>
        <w:rFonts w:hint="default"/>
        <w:lang w:val="zh-CN" w:eastAsia="zh-CN" w:bidi="zh-CN"/>
      </w:rPr>
    </w:lvl>
    <w:lvl w:ilvl="4" w:tentative="0">
      <w:start w:val="0"/>
      <w:numFmt w:val="bullet"/>
      <w:lvlText w:val="•"/>
      <w:lvlJc w:val="left"/>
      <w:pPr>
        <w:ind w:left="5260" w:hanging="241"/>
      </w:pPr>
      <w:rPr>
        <w:rFonts w:hint="default"/>
        <w:lang w:val="zh-CN" w:eastAsia="zh-CN" w:bidi="zh-CN"/>
      </w:rPr>
    </w:lvl>
    <w:lvl w:ilvl="5" w:tentative="0">
      <w:start w:val="0"/>
      <w:numFmt w:val="bullet"/>
      <w:lvlText w:val="•"/>
      <w:lvlJc w:val="left"/>
      <w:pPr>
        <w:ind w:left="6225" w:hanging="241"/>
      </w:pPr>
      <w:rPr>
        <w:rFonts w:hint="default"/>
        <w:lang w:val="zh-CN" w:eastAsia="zh-CN" w:bidi="zh-CN"/>
      </w:rPr>
    </w:lvl>
    <w:lvl w:ilvl="6" w:tentative="0">
      <w:start w:val="0"/>
      <w:numFmt w:val="bullet"/>
      <w:lvlText w:val="•"/>
      <w:lvlJc w:val="left"/>
      <w:pPr>
        <w:ind w:left="7190" w:hanging="241"/>
      </w:pPr>
      <w:rPr>
        <w:rFonts w:hint="default"/>
        <w:lang w:val="zh-CN" w:eastAsia="zh-CN" w:bidi="zh-CN"/>
      </w:rPr>
    </w:lvl>
    <w:lvl w:ilvl="7" w:tentative="0">
      <w:start w:val="0"/>
      <w:numFmt w:val="bullet"/>
      <w:lvlText w:val="•"/>
      <w:lvlJc w:val="left"/>
      <w:pPr>
        <w:ind w:left="8155" w:hanging="241"/>
      </w:pPr>
      <w:rPr>
        <w:rFonts w:hint="default"/>
        <w:lang w:val="zh-CN" w:eastAsia="zh-CN" w:bidi="zh-CN"/>
      </w:rPr>
    </w:lvl>
    <w:lvl w:ilvl="8" w:tentative="0">
      <w:start w:val="0"/>
      <w:numFmt w:val="bullet"/>
      <w:lvlText w:val="•"/>
      <w:lvlJc w:val="left"/>
      <w:pPr>
        <w:ind w:left="9120" w:hanging="241"/>
      </w:pPr>
      <w:rPr>
        <w:rFonts w:hint="default"/>
        <w:lang w:val="zh-CN" w:eastAsia="zh-CN" w:bidi="zh-CN"/>
      </w:rPr>
    </w:lvl>
  </w:abstractNum>
  <w:abstractNum w:abstractNumId="2">
    <w:nsid w:val="E093A4B0"/>
    <w:multiLevelType w:val="multilevel"/>
    <w:tmpl w:val="E093A4B0"/>
    <w:lvl w:ilvl="0" w:tentative="0">
      <w:start w:val="1"/>
      <w:numFmt w:val="decimal"/>
      <w:lvlText w:val="%1."/>
      <w:lvlJc w:val="left"/>
      <w:pPr>
        <w:ind w:left="238" w:hanging="224"/>
      </w:pPr>
      <w:rPr>
        <w:rFonts w:hint="default" w:ascii="宋体" w:hAnsi="宋体" w:eastAsia="宋体" w:cs="宋体"/>
        <w:spacing w:val="4"/>
        <w:w w:val="100"/>
        <w:sz w:val="19"/>
        <w:szCs w:val="19"/>
        <w:lang w:val="zh-CN" w:eastAsia="zh-CN" w:bidi="zh-CN"/>
      </w:rPr>
    </w:lvl>
    <w:lvl w:ilvl="1" w:tentative="0">
      <w:start w:val="0"/>
      <w:numFmt w:val="bullet"/>
      <w:lvlText w:val="•"/>
      <w:lvlJc w:val="left"/>
      <w:pPr>
        <w:ind w:left="1218" w:hanging="224"/>
      </w:pPr>
      <w:rPr>
        <w:rFonts w:hint="default"/>
        <w:lang w:val="zh-CN" w:eastAsia="zh-CN" w:bidi="zh-CN"/>
      </w:rPr>
    </w:lvl>
    <w:lvl w:ilvl="2" w:tentative="0">
      <w:start w:val="0"/>
      <w:numFmt w:val="bullet"/>
      <w:lvlText w:val="•"/>
      <w:lvlJc w:val="left"/>
      <w:pPr>
        <w:ind w:left="2197" w:hanging="224"/>
      </w:pPr>
      <w:rPr>
        <w:rFonts w:hint="default"/>
        <w:lang w:val="zh-CN" w:eastAsia="zh-CN" w:bidi="zh-CN"/>
      </w:rPr>
    </w:lvl>
    <w:lvl w:ilvl="3" w:tentative="0">
      <w:start w:val="0"/>
      <w:numFmt w:val="bullet"/>
      <w:lvlText w:val="•"/>
      <w:lvlJc w:val="left"/>
      <w:pPr>
        <w:ind w:left="3175" w:hanging="224"/>
      </w:pPr>
      <w:rPr>
        <w:rFonts w:hint="default"/>
        <w:lang w:val="zh-CN" w:eastAsia="zh-CN" w:bidi="zh-CN"/>
      </w:rPr>
    </w:lvl>
    <w:lvl w:ilvl="4" w:tentative="0">
      <w:start w:val="0"/>
      <w:numFmt w:val="bullet"/>
      <w:lvlText w:val="•"/>
      <w:lvlJc w:val="left"/>
      <w:pPr>
        <w:ind w:left="4154" w:hanging="224"/>
      </w:pPr>
      <w:rPr>
        <w:rFonts w:hint="default"/>
        <w:lang w:val="zh-CN" w:eastAsia="zh-CN" w:bidi="zh-CN"/>
      </w:rPr>
    </w:lvl>
    <w:lvl w:ilvl="5" w:tentative="0">
      <w:start w:val="0"/>
      <w:numFmt w:val="bullet"/>
      <w:lvlText w:val="•"/>
      <w:lvlJc w:val="left"/>
      <w:pPr>
        <w:ind w:left="5133" w:hanging="224"/>
      </w:pPr>
      <w:rPr>
        <w:rFonts w:hint="default"/>
        <w:lang w:val="zh-CN" w:eastAsia="zh-CN" w:bidi="zh-CN"/>
      </w:rPr>
    </w:lvl>
    <w:lvl w:ilvl="6" w:tentative="0">
      <w:start w:val="0"/>
      <w:numFmt w:val="bullet"/>
      <w:lvlText w:val="•"/>
      <w:lvlJc w:val="left"/>
      <w:pPr>
        <w:ind w:left="6111" w:hanging="224"/>
      </w:pPr>
      <w:rPr>
        <w:rFonts w:hint="default"/>
        <w:lang w:val="zh-CN" w:eastAsia="zh-CN" w:bidi="zh-CN"/>
      </w:rPr>
    </w:lvl>
    <w:lvl w:ilvl="7" w:tentative="0">
      <w:start w:val="0"/>
      <w:numFmt w:val="bullet"/>
      <w:lvlText w:val="•"/>
      <w:lvlJc w:val="left"/>
      <w:pPr>
        <w:ind w:left="7090" w:hanging="224"/>
      </w:pPr>
      <w:rPr>
        <w:rFonts w:hint="default"/>
        <w:lang w:val="zh-CN" w:eastAsia="zh-CN" w:bidi="zh-CN"/>
      </w:rPr>
    </w:lvl>
    <w:lvl w:ilvl="8" w:tentative="0">
      <w:start w:val="0"/>
      <w:numFmt w:val="bullet"/>
      <w:lvlText w:val="•"/>
      <w:lvlJc w:val="left"/>
      <w:pPr>
        <w:ind w:left="8069" w:hanging="224"/>
      </w:pPr>
      <w:rPr>
        <w:rFonts w:hint="default"/>
        <w:lang w:val="zh-CN" w:eastAsia="zh-CN" w:bidi="zh-CN"/>
      </w:rPr>
    </w:lvl>
  </w:abstractNum>
  <w:abstractNum w:abstractNumId="3">
    <w:nsid w:val="167E6E5B"/>
    <w:multiLevelType w:val="multilevel"/>
    <w:tmpl w:val="167E6E5B"/>
    <w:lvl w:ilvl="0" w:tentative="0">
      <w:start w:val="1"/>
      <w:numFmt w:val="decimal"/>
      <w:lvlText w:val="%1"/>
      <w:lvlJc w:val="left"/>
      <w:pPr>
        <w:ind w:left="1206" w:hanging="485"/>
      </w:pPr>
      <w:rPr>
        <w:rFonts w:hint="default"/>
        <w:lang w:val="zh-CN" w:eastAsia="zh-CN" w:bidi="zh-CN"/>
      </w:rPr>
    </w:lvl>
    <w:lvl w:ilvl="1" w:tentative="0">
      <w:start w:val="1"/>
      <w:numFmt w:val="decimal"/>
      <w:lvlText w:val="%1.%2"/>
      <w:lvlJc w:val="left"/>
      <w:pPr>
        <w:ind w:left="1115"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78"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460" w:hanging="660"/>
      </w:pPr>
      <w:rPr>
        <w:rFonts w:hint="default"/>
        <w:lang w:val="zh-CN" w:eastAsia="zh-CN" w:bidi="zh-CN"/>
      </w:rPr>
    </w:lvl>
    <w:lvl w:ilvl="4" w:tentative="0">
      <w:start w:val="0"/>
      <w:numFmt w:val="bullet"/>
      <w:lvlText w:val="•"/>
      <w:lvlJc w:val="left"/>
      <w:pPr>
        <w:ind w:left="3541" w:hanging="660"/>
      </w:pPr>
      <w:rPr>
        <w:rFonts w:hint="default"/>
        <w:lang w:val="zh-CN" w:eastAsia="zh-CN" w:bidi="zh-CN"/>
      </w:rPr>
    </w:lvl>
    <w:lvl w:ilvl="5" w:tentative="0">
      <w:start w:val="0"/>
      <w:numFmt w:val="bullet"/>
      <w:lvlText w:val="•"/>
      <w:lvlJc w:val="left"/>
      <w:pPr>
        <w:ind w:left="4622" w:hanging="660"/>
      </w:pPr>
      <w:rPr>
        <w:rFonts w:hint="default"/>
        <w:lang w:val="zh-CN" w:eastAsia="zh-CN" w:bidi="zh-CN"/>
      </w:rPr>
    </w:lvl>
    <w:lvl w:ilvl="6" w:tentative="0">
      <w:start w:val="0"/>
      <w:numFmt w:val="bullet"/>
      <w:lvlText w:val="•"/>
      <w:lvlJc w:val="left"/>
      <w:pPr>
        <w:ind w:left="5703" w:hanging="660"/>
      </w:pPr>
      <w:rPr>
        <w:rFonts w:hint="default"/>
        <w:lang w:val="zh-CN" w:eastAsia="zh-CN" w:bidi="zh-CN"/>
      </w:rPr>
    </w:lvl>
    <w:lvl w:ilvl="7" w:tentative="0">
      <w:start w:val="0"/>
      <w:numFmt w:val="bullet"/>
      <w:lvlText w:val="•"/>
      <w:lvlJc w:val="left"/>
      <w:pPr>
        <w:ind w:left="6784" w:hanging="660"/>
      </w:pPr>
      <w:rPr>
        <w:rFonts w:hint="default"/>
        <w:lang w:val="zh-CN" w:eastAsia="zh-CN" w:bidi="zh-CN"/>
      </w:rPr>
    </w:lvl>
    <w:lvl w:ilvl="8" w:tentative="0">
      <w:start w:val="0"/>
      <w:numFmt w:val="bullet"/>
      <w:lvlText w:val="•"/>
      <w:lvlJc w:val="left"/>
      <w:pPr>
        <w:ind w:left="7864" w:hanging="660"/>
      </w:pPr>
      <w:rPr>
        <w:rFonts w:hint="default"/>
        <w:lang w:val="zh-CN" w:eastAsia="zh-CN" w:bidi="zh-CN"/>
      </w:rPr>
    </w:lvl>
  </w:abstractNum>
  <w:abstractNum w:abstractNumId="4">
    <w:nsid w:val="2A8F537B"/>
    <w:multiLevelType w:val="multilevel"/>
    <w:tmpl w:val="2A8F537B"/>
    <w:lvl w:ilvl="0" w:tentative="0">
      <w:start w:val="1"/>
      <w:numFmt w:val="decimal"/>
      <w:lvlText w:val="%1）"/>
      <w:lvlJc w:val="left"/>
      <w:pPr>
        <w:ind w:left="238" w:hanging="365"/>
      </w:pPr>
      <w:rPr>
        <w:rFonts w:hint="default" w:ascii="宋体" w:hAnsi="宋体" w:eastAsia="宋体" w:cs="宋体"/>
        <w:b w:val="0"/>
        <w:bCs w:val="0"/>
        <w:spacing w:val="2"/>
        <w:w w:val="100"/>
        <w:sz w:val="22"/>
        <w:szCs w:val="22"/>
        <w:lang w:val="zh-CN" w:eastAsia="zh-CN" w:bidi="zh-CN"/>
      </w:rPr>
    </w:lvl>
    <w:lvl w:ilvl="1" w:tentative="0">
      <w:start w:val="0"/>
      <w:numFmt w:val="bullet"/>
      <w:lvlText w:val="•"/>
      <w:lvlJc w:val="left"/>
      <w:pPr>
        <w:ind w:left="1218" w:hanging="365"/>
      </w:pPr>
      <w:rPr>
        <w:rFonts w:hint="default"/>
        <w:lang w:val="zh-CN" w:eastAsia="zh-CN" w:bidi="zh-CN"/>
      </w:rPr>
    </w:lvl>
    <w:lvl w:ilvl="2" w:tentative="0">
      <w:start w:val="0"/>
      <w:numFmt w:val="bullet"/>
      <w:lvlText w:val="•"/>
      <w:lvlJc w:val="left"/>
      <w:pPr>
        <w:ind w:left="2197" w:hanging="365"/>
      </w:pPr>
      <w:rPr>
        <w:rFonts w:hint="default"/>
        <w:lang w:val="zh-CN" w:eastAsia="zh-CN" w:bidi="zh-CN"/>
      </w:rPr>
    </w:lvl>
    <w:lvl w:ilvl="3" w:tentative="0">
      <w:start w:val="0"/>
      <w:numFmt w:val="bullet"/>
      <w:lvlText w:val="•"/>
      <w:lvlJc w:val="left"/>
      <w:pPr>
        <w:ind w:left="3175" w:hanging="365"/>
      </w:pPr>
      <w:rPr>
        <w:rFonts w:hint="default"/>
        <w:lang w:val="zh-CN" w:eastAsia="zh-CN" w:bidi="zh-CN"/>
      </w:rPr>
    </w:lvl>
    <w:lvl w:ilvl="4" w:tentative="0">
      <w:start w:val="0"/>
      <w:numFmt w:val="bullet"/>
      <w:lvlText w:val="•"/>
      <w:lvlJc w:val="left"/>
      <w:pPr>
        <w:ind w:left="4154" w:hanging="365"/>
      </w:pPr>
      <w:rPr>
        <w:rFonts w:hint="default"/>
        <w:lang w:val="zh-CN" w:eastAsia="zh-CN" w:bidi="zh-CN"/>
      </w:rPr>
    </w:lvl>
    <w:lvl w:ilvl="5" w:tentative="0">
      <w:start w:val="0"/>
      <w:numFmt w:val="bullet"/>
      <w:lvlText w:val="•"/>
      <w:lvlJc w:val="left"/>
      <w:pPr>
        <w:ind w:left="5133" w:hanging="365"/>
      </w:pPr>
      <w:rPr>
        <w:rFonts w:hint="default"/>
        <w:lang w:val="zh-CN" w:eastAsia="zh-CN" w:bidi="zh-CN"/>
      </w:rPr>
    </w:lvl>
    <w:lvl w:ilvl="6" w:tentative="0">
      <w:start w:val="0"/>
      <w:numFmt w:val="bullet"/>
      <w:lvlText w:val="•"/>
      <w:lvlJc w:val="left"/>
      <w:pPr>
        <w:ind w:left="6111" w:hanging="365"/>
      </w:pPr>
      <w:rPr>
        <w:rFonts w:hint="default"/>
        <w:lang w:val="zh-CN" w:eastAsia="zh-CN" w:bidi="zh-CN"/>
      </w:rPr>
    </w:lvl>
    <w:lvl w:ilvl="7" w:tentative="0">
      <w:start w:val="0"/>
      <w:numFmt w:val="bullet"/>
      <w:lvlText w:val="•"/>
      <w:lvlJc w:val="left"/>
      <w:pPr>
        <w:ind w:left="7090" w:hanging="365"/>
      </w:pPr>
      <w:rPr>
        <w:rFonts w:hint="default"/>
        <w:lang w:val="zh-CN" w:eastAsia="zh-CN" w:bidi="zh-CN"/>
      </w:rPr>
    </w:lvl>
    <w:lvl w:ilvl="8" w:tentative="0">
      <w:start w:val="0"/>
      <w:numFmt w:val="bullet"/>
      <w:lvlText w:val="•"/>
      <w:lvlJc w:val="left"/>
      <w:pPr>
        <w:ind w:left="8069" w:hanging="365"/>
      </w:pPr>
      <w:rPr>
        <w:rFonts w:hint="default"/>
        <w:lang w:val="zh-CN" w:eastAsia="zh-CN" w:bidi="zh-CN"/>
      </w:rPr>
    </w:lvl>
  </w:abstractNum>
  <w:abstractNum w:abstractNumId="5">
    <w:nsid w:val="34CE3E09"/>
    <w:multiLevelType w:val="singleLevel"/>
    <w:tmpl w:val="34CE3E09"/>
    <w:lvl w:ilvl="0" w:tentative="0">
      <w:start w:val="1"/>
      <w:numFmt w:val="decimal"/>
      <w:suff w:val="nothing"/>
      <w:lvlText w:val="%1、"/>
      <w:lvlJc w:val="left"/>
    </w:lvl>
  </w:abstractNum>
  <w:abstractNum w:abstractNumId="6">
    <w:nsid w:val="7C246926"/>
    <w:multiLevelType w:val="multilevel"/>
    <w:tmpl w:val="7C246926"/>
    <w:lvl w:ilvl="0" w:tentative="0">
      <w:start w:val="1"/>
      <w:numFmt w:val="decimal"/>
      <w:lvlText w:val="%1."/>
      <w:lvlJc w:val="left"/>
      <w:pPr>
        <w:ind w:left="1393" w:hanging="241"/>
      </w:pPr>
      <w:rPr>
        <w:rFonts w:hint="default" w:ascii="宋体" w:hAnsi="宋体" w:eastAsia="宋体" w:cs="宋体"/>
        <w:spacing w:val="-120"/>
        <w:w w:val="100"/>
        <w:sz w:val="22"/>
        <w:szCs w:val="22"/>
        <w:lang w:val="zh-CN" w:eastAsia="zh-CN" w:bidi="zh-CN"/>
      </w:rPr>
    </w:lvl>
    <w:lvl w:ilvl="1" w:tentative="0">
      <w:start w:val="0"/>
      <w:numFmt w:val="bullet"/>
      <w:lvlText w:val="•"/>
      <w:lvlJc w:val="left"/>
      <w:pPr>
        <w:ind w:left="2365" w:hanging="241"/>
      </w:pPr>
      <w:rPr>
        <w:rFonts w:hint="default"/>
        <w:lang w:val="zh-CN" w:eastAsia="zh-CN" w:bidi="zh-CN"/>
      </w:rPr>
    </w:lvl>
    <w:lvl w:ilvl="2" w:tentative="0">
      <w:start w:val="0"/>
      <w:numFmt w:val="bullet"/>
      <w:lvlText w:val="•"/>
      <w:lvlJc w:val="left"/>
      <w:pPr>
        <w:ind w:left="3330" w:hanging="241"/>
      </w:pPr>
      <w:rPr>
        <w:rFonts w:hint="default"/>
        <w:lang w:val="zh-CN" w:eastAsia="zh-CN" w:bidi="zh-CN"/>
      </w:rPr>
    </w:lvl>
    <w:lvl w:ilvl="3" w:tentative="0">
      <w:start w:val="0"/>
      <w:numFmt w:val="bullet"/>
      <w:lvlText w:val="•"/>
      <w:lvlJc w:val="left"/>
      <w:pPr>
        <w:ind w:left="4295" w:hanging="241"/>
      </w:pPr>
      <w:rPr>
        <w:rFonts w:hint="default"/>
        <w:lang w:val="zh-CN" w:eastAsia="zh-CN" w:bidi="zh-CN"/>
      </w:rPr>
    </w:lvl>
    <w:lvl w:ilvl="4" w:tentative="0">
      <w:start w:val="0"/>
      <w:numFmt w:val="bullet"/>
      <w:lvlText w:val="•"/>
      <w:lvlJc w:val="left"/>
      <w:pPr>
        <w:ind w:left="5260" w:hanging="241"/>
      </w:pPr>
      <w:rPr>
        <w:rFonts w:hint="default"/>
        <w:lang w:val="zh-CN" w:eastAsia="zh-CN" w:bidi="zh-CN"/>
      </w:rPr>
    </w:lvl>
    <w:lvl w:ilvl="5" w:tentative="0">
      <w:start w:val="0"/>
      <w:numFmt w:val="bullet"/>
      <w:lvlText w:val="•"/>
      <w:lvlJc w:val="left"/>
      <w:pPr>
        <w:ind w:left="6225" w:hanging="241"/>
      </w:pPr>
      <w:rPr>
        <w:rFonts w:hint="default"/>
        <w:lang w:val="zh-CN" w:eastAsia="zh-CN" w:bidi="zh-CN"/>
      </w:rPr>
    </w:lvl>
    <w:lvl w:ilvl="6" w:tentative="0">
      <w:start w:val="0"/>
      <w:numFmt w:val="bullet"/>
      <w:lvlText w:val="•"/>
      <w:lvlJc w:val="left"/>
      <w:pPr>
        <w:ind w:left="7190" w:hanging="241"/>
      </w:pPr>
      <w:rPr>
        <w:rFonts w:hint="default"/>
        <w:lang w:val="zh-CN" w:eastAsia="zh-CN" w:bidi="zh-CN"/>
      </w:rPr>
    </w:lvl>
    <w:lvl w:ilvl="7" w:tentative="0">
      <w:start w:val="0"/>
      <w:numFmt w:val="bullet"/>
      <w:lvlText w:val="•"/>
      <w:lvlJc w:val="left"/>
      <w:pPr>
        <w:ind w:left="8155" w:hanging="241"/>
      </w:pPr>
      <w:rPr>
        <w:rFonts w:hint="default"/>
        <w:lang w:val="zh-CN" w:eastAsia="zh-CN" w:bidi="zh-CN"/>
      </w:rPr>
    </w:lvl>
    <w:lvl w:ilvl="8" w:tentative="0">
      <w:start w:val="0"/>
      <w:numFmt w:val="bullet"/>
      <w:lvlText w:val="•"/>
      <w:lvlJc w:val="left"/>
      <w:pPr>
        <w:ind w:left="9120" w:hanging="241"/>
      </w:pPr>
      <w:rPr>
        <w:rFonts w:hint="default"/>
        <w:lang w:val="zh-CN" w:eastAsia="zh-CN" w:bidi="zh-CN"/>
      </w:r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TMwNTgyMWRlOTYxYTAwNTQ3ZDA5M2E3YTU0ZWYifQ=="/>
  </w:docVars>
  <w:rsids>
    <w:rsidRoot w:val="23045806"/>
    <w:rsid w:val="02B96690"/>
    <w:rsid w:val="04F31A9B"/>
    <w:rsid w:val="095742E5"/>
    <w:rsid w:val="11586343"/>
    <w:rsid w:val="1B4426F0"/>
    <w:rsid w:val="1DCA4AF6"/>
    <w:rsid w:val="208F10F2"/>
    <w:rsid w:val="23045806"/>
    <w:rsid w:val="23571659"/>
    <w:rsid w:val="25F413E1"/>
    <w:rsid w:val="26A86578"/>
    <w:rsid w:val="288E05B5"/>
    <w:rsid w:val="2E4A65DF"/>
    <w:rsid w:val="33264511"/>
    <w:rsid w:val="362212AE"/>
    <w:rsid w:val="38770EB4"/>
    <w:rsid w:val="477E453A"/>
    <w:rsid w:val="5CFA65D6"/>
    <w:rsid w:val="5F2E3146"/>
    <w:rsid w:val="62DB3581"/>
    <w:rsid w:val="6CC02D30"/>
    <w:rsid w:val="74390A16"/>
    <w:rsid w:val="75460DBC"/>
    <w:rsid w:val="75C76381"/>
    <w:rsid w:val="779B1881"/>
    <w:rsid w:val="7C0B7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b/>
      <w:bCs/>
      <w:kern w:val="44"/>
      <w:sz w:val="36"/>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21">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
    <w:name w:val="Body Text 3"/>
    <w:basedOn w:val="1"/>
    <w:autoRedefine/>
    <w:qFormat/>
    <w:uiPriority w:val="0"/>
    <w:rPr>
      <w:rFonts w:ascii="宋体" w:eastAsiaTheme="minorEastAsia" w:cstheme="minorBidi"/>
      <w:sz w:val="24"/>
      <w:szCs w:val="22"/>
    </w:rPr>
  </w:style>
  <w:style w:type="paragraph" w:styleId="8">
    <w:name w:val="Body Text"/>
    <w:basedOn w:val="1"/>
    <w:next w:val="2"/>
    <w:autoRedefine/>
    <w:qFormat/>
    <w:uiPriority w:val="99"/>
    <w:pPr>
      <w:spacing w:after="120"/>
    </w:pPr>
  </w:style>
  <w:style w:type="paragraph" w:styleId="9">
    <w:name w:val="Body Text Indent"/>
    <w:basedOn w:val="1"/>
    <w:next w:val="10"/>
    <w:autoRedefine/>
    <w:qFormat/>
    <w:uiPriority w:val="0"/>
    <w:pPr>
      <w:ind w:firstLine="538" w:firstLineChars="192"/>
    </w:pPr>
    <w:rPr>
      <w:rFonts w:eastAsia="楷体_GB2312" w:cstheme="minorBidi"/>
      <w:sz w:val="28"/>
    </w:rPr>
  </w:style>
  <w:style w:type="paragraph" w:styleId="10">
    <w:name w:val="envelope return"/>
    <w:basedOn w:val="1"/>
    <w:autoRedefine/>
    <w:unhideWhenUsed/>
    <w:qFormat/>
    <w:uiPriority w:val="99"/>
    <w:pPr>
      <w:snapToGrid w:val="0"/>
    </w:pPr>
    <w:rPr>
      <w:rFonts w:ascii="Arial" w:hAnsi="Arial"/>
    </w:rPr>
  </w:style>
  <w:style w:type="paragraph" w:styleId="11">
    <w:name w:val="Plain Text"/>
    <w:basedOn w:val="1"/>
    <w:autoRedefine/>
    <w:qFormat/>
    <w:uiPriority w:val="0"/>
    <w:pPr>
      <w:autoSpaceDE w:val="0"/>
      <w:autoSpaceDN w:val="0"/>
      <w:adjustRightInd w:val="0"/>
    </w:pPr>
    <w:rPr>
      <w:rFonts w:ascii="宋体" w:eastAsiaTheme="minorEastAsia" w:cstheme="minorBidi"/>
      <w:szCs w:val="22"/>
    </w:rPr>
  </w:style>
  <w:style w:type="paragraph" w:styleId="12">
    <w:name w:val="Body Text Indent 2"/>
    <w:basedOn w:val="1"/>
    <w:autoRedefine/>
    <w:qFormat/>
    <w:uiPriority w:val="0"/>
    <w:pPr>
      <w:ind w:left="424" w:leftChars="202"/>
    </w:pPr>
    <w:rPr>
      <w:rFonts w:eastAsia="楷体_GB2312" w:cstheme="minorBidi"/>
      <w:sz w:val="28"/>
    </w:rPr>
  </w:style>
  <w:style w:type="paragraph" w:styleId="13">
    <w:name w:val="footer"/>
    <w:basedOn w:val="1"/>
    <w:autoRedefine/>
    <w:unhideWhenUsed/>
    <w:qFormat/>
    <w:uiPriority w:val="0"/>
    <w:pPr>
      <w:tabs>
        <w:tab w:val="center" w:pos="4153"/>
        <w:tab w:val="right" w:pos="8306"/>
      </w:tabs>
      <w:snapToGrid w:val="0"/>
      <w:jc w:val="left"/>
    </w:pPr>
    <w:rPr>
      <w:sz w:val="18"/>
      <w:szCs w:val="18"/>
    </w:rPr>
  </w:style>
  <w:style w:type="paragraph" w:styleId="1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spacing w:before="120" w:after="120"/>
      <w:jc w:val="left"/>
    </w:pPr>
    <w:rPr>
      <w:b/>
      <w:bCs/>
      <w:caps/>
      <w:sz w:val="20"/>
      <w:szCs w:val="20"/>
    </w:rPr>
  </w:style>
  <w:style w:type="paragraph" w:styleId="16">
    <w:name w:val="Body Text 2"/>
    <w:basedOn w:val="1"/>
    <w:next w:val="1"/>
    <w:autoRedefine/>
    <w:qFormat/>
    <w:uiPriority w:val="0"/>
    <w:pPr>
      <w:jc w:val="center"/>
    </w:pPr>
    <w:rPr>
      <w:b/>
      <w:spacing w:val="40"/>
      <w:sz w:val="44"/>
    </w:rPr>
  </w:style>
  <w:style w:type="paragraph" w:styleId="17">
    <w:name w:val="Normal (Web)"/>
    <w:basedOn w:val="1"/>
    <w:autoRedefine/>
    <w:unhideWhenUsed/>
    <w:qFormat/>
    <w:uiPriority w:val="99"/>
    <w:pPr>
      <w:spacing w:before="100" w:beforeAutospacing="1" w:after="100" w:afterAutospacing="1"/>
    </w:pPr>
    <w:rPr>
      <w:rFonts w:ascii="宋体" w:hAnsi="宋体"/>
      <w:kern w:val="0"/>
      <w:sz w:val="24"/>
      <w:szCs w:val="24"/>
    </w:rPr>
  </w:style>
  <w:style w:type="paragraph" w:styleId="18">
    <w:name w:val="Body Text First Indent"/>
    <w:basedOn w:val="8"/>
    <w:next w:val="19"/>
    <w:autoRedefine/>
    <w:qFormat/>
    <w:uiPriority w:val="0"/>
    <w:pPr>
      <w:ind w:firstLine="420" w:firstLineChars="100"/>
    </w:pPr>
  </w:style>
  <w:style w:type="paragraph" w:styleId="19">
    <w:name w:val="Body Text First Indent 2"/>
    <w:basedOn w:val="9"/>
    <w:next w:val="1"/>
    <w:autoRedefine/>
    <w:qFormat/>
    <w:uiPriority w:val="0"/>
    <w:pPr>
      <w:tabs>
        <w:tab w:val="left" w:pos="945"/>
        <w:tab w:val="left" w:pos="1155"/>
      </w:tabs>
      <w:spacing w:after="120"/>
      <w:ind w:left="420" w:leftChars="200" w:firstLine="420" w:firstLineChars="200"/>
    </w:pPr>
    <w:rPr>
      <w:rFonts w:eastAsia="宋体" w:cs="Times New Roman"/>
    </w:rPr>
  </w:style>
  <w:style w:type="character" w:styleId="22">
    <w:name w:val="FollowedHyperlink"/>
    <w:basedOn w:val="21"/>
    <w:autoRedefine/>
    <w:qFormat/>
    <w:uiPriority w:val="0"/>
    <w:rPr>
      <w:color w:val="800080"/>
      <w:u w:val="none"/>
    </w:rPr>
  </w:style>
  <w:style w:type="character" w:styleId="23">
    <w:name w:val="HTML Definition"/>
    <w:basedOn w:val="21"/>
    <w:autoRedefine/>
    <w:qFormat/>
    <w:uiPriority w:val="0"/>
  </w:style>
  <w:style w:type="character" w:styleId="24">
    <w:name w:val="HTML Typewriter"/>
    <w:basedOn w:val="21"/>
    <w:autoRedefine/>
    <w:qFormat/>
    <w:uiPriority w:val="0"/>
    <w:rPr>
      <w:rFonts w:hint="default" w:ascii="monospace" w:hAnsi="monospace" w:eastAsia="monospace" w:cs="monospace"/>
      <w:sz w:val="20"/>
    </w:rPr>
  </w:style>
  <w:style w:type="character" w:styleId="25">
    <w:name w:val="HTML Acronym"/>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0000FF"/>
      <w:u w:val="none"/>
    </w:rPr>
  </w:style>
  <w:style w:type="character" w:styleId="28">
    <w:name w:val="HTML Code"/>
    <w:basedOn w:val="21"/>
    <w:autoRedefine/>
    <w:qFormat/>
    <w:uiPriority w:val="0"/>
    <w:rPr>
      <w:rFonts w:hint="default" w:ascii="monospace" w:hAnsi="monospace" w:eastAsia="monospace" w:cs="monospace"/>
      <w:sz w:val="20"/>
    </w:rPr>
  </w:style>
  <w:style w:type="character" w:styleId="29">
    <w:name w:val="HTML Cite"/>
    <w:basedOn w:val="21"/>
    <w:autoRedefine/>
    <w:qFormat/>
    <w:uiPriority w:val="0"/>
  </w:style>
  <w:style w:type="character" w:styleId="30">
    <w:name w:val="HTML Keyboard"/>
    <w:basedOn w:val="21"/>
    <w:autoRedefine/>
    <w:qFormat/>
    <w:uiPriority w:val="0"/>
    <w:rPr>
      <w:rFonts w:ascii="monospace" w:hAnsi="monospace" w:eastAsia="monospace" w:cs="monospace"/>
      <w:sz w:val="20"/>
    </w:rPr>
  </w:style>
  <w:style w:type="character" w:styleId="31">
    <w:name w:val="HTML Sample"/>
    <w:basedOn w:val="21"/>
    <w:autoRedefine/>
    <w:qFormat/>
    <w:uiPriority w:val="0"/>
    <w:rPr>
      <w:rFonts w:hint="default" w:ascii="monospace" w:hAnsi="monospace" w:eastAsia="monospace" w:cs="monospace"/>
    </w:rPr>
  </w:style>
  <w:style w:type="paragraph" w:customStyle="1" w:styleId="32">
    <w:name w:val="无间隔1"/>
    <w:basedOn w:val="1"/>
    <w:autoRedefine/>
    <w:qFormat/>
    <w:uiPriority w:val="1"/>
    <w:pPr>
      <w:spacing w:line="400" w:lineRule="exact"/>
    </w:pPr>
    <w:rPr>
      <w:sz w:val="24"/>
    </w:rPr>
  </w:style>
  <w:style w:type="paragraph" w:styleId="33">
    <w:name w:val="List Paragraph"/>
    <w:basedOn w:val="1"/>
    <w:autoRedefine/>
    <w:qFormat/>
    <w:uiPriority w:val="34"/>
    <w:pPr>
      <w:widowControl/>
      <w:ind w:firstLine="420" w:firstLineChars="200"/>
      <w:jc w:val="left"/>
    </w:pPr>
    <w:rPr>
      <w:rFonts w:ascii="宋体" w:hAnsi="宋体" w:cs="宋体"/>
      <w:kern w:val="0"/>
      <w:sz w:val="24"/>
      <w:szCs w:val="24"/>
    </w:rPr>
  </w:style>
  <w:style w:type="paragraph" w:customStyle="1" w:styleId="34">
    <w:name w:val="Table Paragraph"/>
    <w:basedOn w:val="1"/>
    <w:autoRedefine/>
    <w:qFormat/>
    <w:uiPriority w:val="1"/>
    <w:pPr>
      <w:autoSpaceDE w:val="0"/>
      <w:autoSpaceDN w:val="0"/>
      <w:jc w:val="left"/>
    </w:pPr>
    <w:rPr>
      <w:rFonts w:ascii="宋体" w:hAnsi="宋体" w:cs="宋体"/>
      <w:kern w:val="0"/>
      <w:sz w:val="22"/>
      <w:szCs w:val="22"/>
      <w:lang w:val="zh-CN" w:bidi="zh-CN"/>
    </w:rPr>
  </w:style>
  <w:style w:type="paragraph" w:customStyle="1" w:styleId="3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36">
    <w:name w:val="Heading #3|1"/>
    <w:basedOn w:val="1"/>
    <w:autoRedefine/>
    <w:qFormat/>
    <w:uiPriority w:val="99"/>
    <w:pPr>
      <w:spacing w:line="619" w:lineRule="exact"/>
      <w:ind w:firstLine="660"/>
      <w:outlineLvl w:val="2"/>
    </w:pPr>
    <w:rPr>
      <w:rFonts w:ascii="宋体" w:hAnsi="宋体" w:cs="宋体"/>
      <w:b/>
      <w:bCs/>
      <w:sz w:val="32"/>
      <w:szCs w:val="32"/>
      <w:lang w:val="zh-TW" w:eastAsia="zh-TW"/>
    </w:rPr>
  </w:style>
  <w:style w:type="paragraph" w:customStyle="1" w:styleId="37">
    <w:name w:val="Body text|1"/>
    <w:basedOn w:val="1"/>
    <w:autoRedefine/>
    <w:qFormat/>
    <w:uiPriority w:val="99"/>
    <w:pPr>
      <w:spacing w:line="413" w:lineRule="auto"/>
      <w:ind w:firstLine="400"/>
    </w:pPr>
    <w:rPr>
      <w:rFonts w:ascii="宋体" w:hAnsi="宋体" w:cs="宋体"/>
      <w:lang w:val="zh-TW" w:eastAsia="zh-TW" w:bidi="zh-TW"/>
    </w:rPr>
  </w:style>
  <w:style w:type="paragraph" w:customStyle="1" w:styleId="38">
    <w:name w:val="List Paragraph1"/>
    <w:basedOn w:val="1"/>
    <w:autoRedefine/>
    <w:qFormat/>
    <w:uiPriority w:val="1"/>
    <w:pPr>
      <w:autoSpaceDE w:val="0"/>
      <w:autoSpaceDN w:val="0"/>
      <w:ind w:left="672" w:hanging="526"/>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116</Words>
  <Characters>123</Characters>
  <Lines>0</Lines>
  <Paragraphs>0</Paragraphs>
  <TotalTime>219</TotalTime>
  <ScaleCrop>false</ScaleCrop>
  <LinksUpToDate>false</LinksUpToDate>
  <CharactersWithSpaces>184</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2023-07-06T08:09:00Z</dcterms:created>
  <dc:creator>WPS_1506336356</dc:creator>
  <cp:lastModifiedBy>杨进龙</cp:lastModifiedBy>
  <dcterms:modified xsi:type="dcterms:W3CDTF">2024-04-11T01:52:37Z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CE9F2B8866944723ABA1A90939691743_13</vt:lpwstr>
  </property>
</Properties>
</file>