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48"/>
          <w:szCs w:val="56"/>
          <w:lang w:eastAsia="zh-CN"/>
        </w:rPr>
      </w:pPr>
    </w:p>
    <w:p>
      <w:pPr>
        <w:jc w:val="center"/>
        <w:rPr>
          <w:rFonts w:hint="eastAsia"/>
          <w:b/>
          <w:bCs/>
          <w:sz w:val="48"/>
          <w:szCs w:val="56"/>
          <w:lang w:eastAsia="zh-CN"/>
        </w:rPr>
      </w:pPr>
    </w:p>
    <w:p>
      <w:pPr>
        <w:jc w:val="both"/>
        <w:outlineLvl w:val="0"/>
        <w:rPr>
          <w:rFonts w:hint="eastAsia"/>
          <w:b/>
          <w:bCs/>
          <w:sz w:val="48"/>
          <w:szCs w:val="56"/>
          <w:lang w:eastAsia="zh-CN"/>
        </w:rPr>
      </w:pPr>
      <w:bookmarkStart w:id="0" w:name="_Toc3248"/>
    </w:p>
    <w:p>
      <w:pPr>
        <w:jc w:val="center"/>
        <w:outlineLvl w:val="0"/>
        <w:rPr>
          <w:rFonts w:hint="eastAsia"/>
          <w:b/>
          <w:bCs/>
          <w:sz w:val="48"/>
          <w:szCs w:val="56"/>
          <w:lang w:eastAsia="zh-CN"/>
        </w:rPr>
      </w:pPr>
      <w:r>
        <w:rPr>
          <w:rFonts w:hint="eastAsia"/>
          <w:b/>
          <w:bCs/>
          <w:sz w:val="48"/>
          <w:szCs w:val="56"/>
          <w:lang w:eastAsia="zh-CN"/>
        </w:rPr>
        <w:drawing>
          <wp:inline distT="0" distB="0" distL="114300" distR="114300">
            <wp:extent cx="5292725" cy="7810500"/>
            <wp:effectExtent l="0" t="0" r="3175" b="0"/>
            <wp:docPr id="1" name="图片 1" descr="0397b0f774f7d523d0444c65a664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97b0f774f7d523d0444c65a6641e2"/>
                    <pic:cNvPicPr>
                      <a:picLocks noChangeAspect="1"/>
                    </pic:cNvPicPr>
                  </pic:nvPicPr>
                  <pic:blipFill>
                    <a:blip r:embed="rId11"/>
                    <a:stretch>
                      <a:fillRect/>
                    </a:stretch>
                  </pic:blipFill>
                  <pic:spPr>
                    <a:xfrm>
                      <a:off x="0" y="0"/>
                      <a:ext cx="5292725" cy="7810500"/>
                    </a:xfrm>
                    <a:prstGeom prst="rect">
                      <a:avLst/>
                    </a:prstGeom>
                  </pic:spPr>
                </pic:pic>
              </a:graphicData>
            </a:graphic>
          </wp:inline>
        </w:drawing>
      </w:r>
    </w:p>
    <w:p>
      <w:pPr>
        <w:jc w:val="center"/>
        <w:outlineLvl w:val="0"/>
        <w:rPr>
          <w:rFonts w:hint="eastAsia"/>
          <w:b/>
          <w:bCs/>
          <w:sz w:val="48"/>
          <w:szCs w:val="56"/>
          <w:lang w:eastAsia="zh-CN"/>
        </w:rPr>
      </w:pPr>
    </w:p>
    <w:p>
      <w:pPr>
        <w:jc w:val="center"/>
        <w:outlineLvl w:val="0"/>
        <w:rPr>
          <w:rFonts w:hint="eastAsia"/>
          <w:b/>
          <w:bCs/>
          <w:sz w:val="48"/>
          <w:szCs w:val="56"/>
          <w:lang w:eastAsia="zh-CN"/>
        </w:rPr>
      </w:pPr>
    </w:p>
    <w:p>
      <w:pPr>
        <w:jc w:val="center"/>
        <w:outlineLvl w:val="0"/>
        <w:rPr>
          <w:rFonts w:hint="eastAsia"/>
          <w:b/>
          <w:bCs/>
          <w:sz w:val="48"/>
          <w:szCs w:val="56"/>
          <w:lang w:eastAsia="zh-CN"/>
        </w:rPr>
      </w:pPr>
    </w:p>
    <w:p>
      <w:pPr>
        <w:jc w:val="center"/>
        <w:outlineLvl w:val="0"/>
        <w:rPr>
          <w:rFonts w:hint="eastAsia"/>
          <w:b/>
          <w:bCs/>
          <w:sz w:val="48"/>
          <w:szCs w:val="56"/>
          <w:lang w:eastAsia="zh-CN"/>
        </w:rPr>
      </w:pPr>
    </w:p>
    <w:p>
      <w:pPr>
        <w:jc w:val="center"/>
        <w:outlineLvl w:val="0"/>
        <w:rPr>
          <w:rFonts w:hint="eastAsia"/>
          <w:b/>
          <w:bCs/>
          <w:sz w:val="48"/>
          <w:szCs w:val="56"/>
          <w:lang w:eastAsia="zh-CN"/>
        </w:rPr>
      </w:pPr>
    </w:p>
    <w:p>
      <w:pPr>
        <w:jc w:val="center"/>
        <w:outlineLvl w:val="0"/>
        <w:rPr>
          <w:rFonts w:hint="eastAsia" w:eastAsia="宋体"/>
          <w:sz w:val="48"/>
          <w:szCs w:val="56"/>
          <w:lang w:eastAsia="zh-CN"/>
        </w:rPr>
      </w:pPr>
      <w:r>
        <w:rPr>
          <w:rFonts w:hint="eastAsia"/>
          <w:b/>
          <w:bCs/>
          <w:sz w:val="48"/>
          <w:szCs w:val="56"/>
          <w:lang w:eastAsia="zh-CN"/>
        </w:rPr>
        <w:t>社旗县机关事务中心行政一区、二区综合办公楼、县委机关物业管理服务项目</w:t>
      </w:r>
      <w:bookmarkEnd w:id="0"/>
    </w:p>
    <w:p>
      <w:pPr>
        <w:jc w:val="center"/>
        <w:rPr>
          <w:sz w:val="28"/>
          <w:szCs w:val="28"/>
        </w:rPr>
      </w:pPr>
    </w:p>
    <w:p>
      <w:pPr>
        <w:pStyle w:val="3"/>
        <w:outlineLvl w:val="9"/>
        <w:rPr>
          <w:sz w:val="28"/>
          <w:szCs w:val="28"/>
        </w:rPr>
      </w:pPr>
    </w:p>
    <w:p>
      <w:pPr>
        <w:rPr>
          <w:sz w:val="28"/>
          <w:szCs w:val="28"/>
        </w:rPr>
      </w:pPr>
    </w:p>
    <w:p>
      <w:pPr>
        <w:pStyle w:val="3"/>
        <w:outlineLvl w:val="9"/>
        <w:rPr>
          <w:sz w:val="28"/>
          <w:szCs w:val="28"/>
        </w:rPr>
      </w:pPr>
    </w:p>
    <w:p/>
    <w:p/>
    <w:p>
      <w:pPr>
        <w:jc w:val="center"/>
        <w:outlineLvl w:val="0"/>
        <w:rPr>
          <w:color w:val="00B0F0"/>
          <w:sz w:val="72"/>
          <w:szCs w:val="72"/>
        </w:rPr>
      </w:pPr>
      <w:bookmarkStart w:id="1" w:name="_Toc5379"/>
      <w:r>
        <w:rPr>
          <w:rFonts w:hint="eastAsia"/>
          <w:color w:val="000000" w:themeColor="text1"/>
          <w:sz w:val="72"/>
          <w:szCs w:val="72"/>
        </w:rPr>
        <w:t>竞争性磋商文件</w:t>
      </w:r>
      <w:bookmarkEnd w:id="1"/>
    </w:p>
    <w:p>
      <w:pPr>
        <w:rPr>
          <w:sz w:val="28"/>
          <w:szCs w:val="28"/>
        </w:rPr>
      </w:pPr>
    </w:p>
    <w:p>
      <w:pPr>
        <w:pStyle w:val="20"/>
        <w:ind w:left="0" w:leftChars="0" w:firstLine="0" w:firstLineChars="0"/>
      </w:pPr>
    </w:p>
    <w:p>
      <w:pPr>
        <w:pStyle w:val="20"/>
        <w:ind w:firstLine="210"/>
      </w:pPr>
    </w:p>
    <w:p>
      <w:pPr>
        <w:pStyle w:val="20"/>
        <w:ind w:firstLine="210"/>
      </w:pPr>
    </w:p>
    <w:p>
      <w:pPr>
        <w:pStyle w:val="20"/>
        <w:ind w:firstLine="210"/>
      </w:pPr>
    </w:p>
    <w:p>
      <w:pPr>
        <w:pStyle w:val="20"/>
        <w:ind w:left="0" w:leftChars="0" w:firstLine="0" w:firstLineChars="0"/>
      </w:pPr>
    </w:p>
    <w:p>
      <w:pPr>
        <w:pStyle w:val="20"/>
        <w:ind w:firstLine="210"/>
      </w:pPr>
    </w:p>
    <w:p>
      <w:pPr>
        <w:pStyle w:val="20"/>
        <w:ind w:firstLine="210"/>
      </w:pPr>
    </w:p>
    <w:p>
      <w:pPr>
        <w:pStyle w:val="20"/>
        <w:ind w:firstLine="210"/>
      </w:pPr>
    </w:p>
    <w:p>
      <w:pPr>
        <w:pStyle w:val="21"/>
      </w:pPr>
    </w:p>
    <w:p>
      <w:pPr>
        <w:pStyle w:val="20"/>
      </w:pPr>
    </w:p>
    <w:p>
      <w:pPr>
        <w:pStyle w:val="20"/>
        <w:ind w:left="0" w:leftChars="0" w:firstLine="0" w:firstLineChars="0"/>
      </w:pPr>
    </w:p>
    <w:p>
      <w:pPr>
        <w:jc w:val="center"/>
        <w:rPr>
          <w:sz w:val="28"/>
          <w:szCs w:val="28"/>
        </w:rPr>
      </w:pPr>
    </w:p>
    <w:p>
      <w:pPr>
        <w:ind w:firstLine="1400" w:firstLineChars="500"/>
        <w:jc w:val="both"/>
        <w:rPr>
          <w:rFonts w:hint="default" w:eastAsia="宋体"/>
          <w:sz w:val="28"/>
          <w:szCs w:val="28"/>
          <w:lang w:val="en-US" w:eastAsia="zh-CN"/>
        </w:rPr>
      </w:pPr>
      <w:r>
        <w:rPr>
          <w:rFonts w:hint="eastAsia"/>
          <w:sz w:val="28"/>
          <w:szCs w:val="28"/>
        </w:rPr>
        <w:t>采</w:t>
      </w:r>
      <w:r>
        <w:rPr>
          <w:rFonts w:hint="eastAsia"/>
          <w:sz w:val="28"/>
          <w:szCs w:val="28"/>
          <w:lang w:val="en-US" w:eastAsia="zh-CN"/>
        </w:rPr>
        <w:t xml:space="preserve">   </w:t>
      </w:r>
      <w:r>
        <w:rPr>
          <w:rFonts w:hint="eastAsia"/>
          <w:sz w:val="28"/>
          <w:szCs w:val="28"/>
        </w:rPr>
        <w:t>购</w:t>
      </w:r>
      <w:r>
        <w:rPr>
          <w:rFonts w:hint="eastAsia"/>
          <w:sz w:val="28"/>
          <w:szCs w:val="28"/>
          <w:lang w:val="en-US" w:eastAsia="zh-CN"/>
        </w:rPr>
        <w:t xml:space="preserve">   </w:t>
      </w:r>
      <w:r>
        <w:rPr>
          <w:rFonts w:hint="eastAsia"/>
          <w:sz w:val="28"/>
          <w:szCs w:val="28"/>
        </w:rPr>
        <w:t>人：</w:t>
      </w:r>
      <w:r>
        <w:rPr>
          <w:rFonts w:hint="eastAsia"/>
          <w:sz w:val="28"/>
          <w:szCs w:val="28"/>
          <w:u w:val="single"/>
          <w:lang w:eastAsia="zh-CN"/>
        </w:rPr>
        <w:t>社旗县机关事务中心</w:t>
      </w:r>
    </w:p>
    <w:p>
      <w:pPr>
        <w:ind w:firstLine="1400" w:firstLineChars="500"/>
        <w:jc w:val="both"/>
        <w:rPr>
          <w:rFonts w:hint="eastAsia" w:eastAsia="宋体"/>
          <w:sz w:val="28"/>
          <w:szCs w:val="28"/>
          <w:lang w:eastAsia="zh-CN"/>
        </w:rPr>
      </w:pPr>
      <w:r>
        <w:rPr>
          <w:rFonts w:hint="eastAsia"/>
          <w:sz w:val="28"/>
          <w:szCs w:val="28"/>
        </w:rPr>
        <w:t>采购代理机构：</w:t>
      </w:r>
      <w:r>
        <w:rPr>
          <w:rFonts w:hint="eastAsia"/>
          <w:sz w:val="28"/>
          <w:szCs w:val="28"/>
          <w:u w:val="single"/>
          <w:lang w:eastAsia="zh-CN"/>
        </w:rPr>
        <w:t>河南盛中工程咨询有限公司</w:t>
      </w:r>
    </w:p>
    <w:p>
      <w:pPr>
        <w:ind w:firstLine="1400" w:firstLineChars="500"/>
        <w:jc w:val="both"/>
        <w:rPr>
          <w:sz w:val="28"/>
          <w:szCs w:val="28"/>
        </w:rPr>
      </w:pPr>
      <w:r>
        <w:rPr>
          <w:rFonts w:hint="eastAsia"/>
          <w:sz w:val="28"/>
          <w:szCs w:val="28"/>
        </w:rPr>
        <w:t>日</w:t>
      </w:r>
      <w:r>
        <w:rPr>
          <w:rFonts w:hint="eastAsia"/>
          <w:sz w:val="28"/>
          <w:szCs w:val="28"/>
          <w:lang w:val="en-US" w:eastAsia="zh-CN"/>
        </w:rPr>
        <w:t xml:space="preserve">        </w:t>
      </w:r>
      <w:r>
        <w:rPr>
          <w:rFonts w:hint="eastAsia"/>
          <w:sz w:val="28"/>
          <w:szCs w:val="28"/>
        </w:rPr>
        <w:t>期：</w:t>
      </w:r>
      <w:r>
        <w:rPr>
          <w:rFonts w:hint="eastAsia"/>
          <w:sz w:val="28"/>
          <w:szCs w:val="28"/>
          <w:u w:val="single"/>
        </w:rPr>
        <w:t>二〇二</w:t>
      </w:r>
      <w:r>
        <w:rPr>
          <w:rFonts w:hint="eastAsia"/>
          <w:sz w:val="28"/>
          <w:szCs w:val="28"/>
          <w:u w:val="single"/>
          <w:lang w:val="en-US" w:eastAsia="zh-CN"/>
        </w:rPr>
        <w:t>四</w:t>
      </w:r>
      <w:r>
        <w:rPr>
          <w:rFonts w:hint="eastAsia"/>
          <w:sz w:val="28"/>
          <w:szCs w:val="28"/>
          <w:u w:val="single"/>
        </w:rPr>
        <w:t>年</w:t>
      </w:r>
      <w:r>
        <w:rPr>
          <w:rFonts w:hint="eastAsia"/>
          <w:sz w:val="28"/>
          <w:szCs w:val="28"/>
          <w:u w:val="single"/>
          <w:lang w:val="en-US" w:eastAsia="zh-CN"/>
        </w:rPr>
        <w:t>五</w:t>
      </w:r>
      <w:r>
        <w:rPr>
          <w:rFonts w:hint="eastAsia"/>
          <w:sz w:val="28"/>
          <w:szCs w:val="28"/>
          <w:u w:val="single"/>
        </w:rPr>
        <w:t>月</w:t>
      </w:r>
    </w:p>
    <w:p>
      <w:pPr>
        <w:pStyle w:val="20"/>
        <w:ind w:firstLine="210"/>
      </w:pPr>
    </w:p>
    <w:p>
      <w:pPr>
        <w:pStyle w:val="20"/>
        <w:ind w:firstLine="210"/>
      </w:pPr>
    </w:p>
    <w:p>
      <w:pPr>
        <w:pStyle w:val="39"/>
        <w:tabs>
          <w:tab w:val="right" w:leader="dot" w:pos="8788"/>
        </w:tabs>
        <w:spacing w:line="360" w:lineRule="auto"/>
        <w:jc w:val="center"/>
        <w:rPr>
          <w:rFonts w:hint="eastAsia" w:ascii="宋体" w:hAnsi="宋体"/>
          <w:sz w:val="44"/>
          <w:szCs w:val="44"/>
        </w:rPr>
      </w:pPr>
    </w:p>
    <w:p>
      <w:pPr>
        <w:pStyle w:val="39"/>
        <w:tabs>
          <w:tab w:val="right" w:leader="dot" w:pos="8788"/>
        </w:tabs>
        <w:spacing w:line="360" w:lineRule="auto"/>
        <w:jc w:val="center"/>
        <w:rPr>
          <w:rFonts w:hint="eastAsia" w:ascii="宋体" w:hAnsi="宋体"/>
          <w:sz w:val="44"/>
          <w:szCs w:val="44"/>
        </w:rPr>
      </w:pPr>
    </w:p>
    <w:p>
      <w:pPr>
        <w:pStyle w:val="39"/>
        <w:tabs>
          <w:tab w:val="right" w:leader="dot" w:pos="8788"/>
        </w:tabs>
        <w:spacing w:line="360" w:lineRule="auto"/>
        <w:jc w:val="center"/>
        <w:rPr>
          <w:rFonts w:hint="eastAsia" w:ascii="宋体" w:hAnsi="宋体"/>
          <w:sz w:val="44"/>
          <w:szCs w:val="44"/>
        </w:rPr>
      </w:pPr>
    </w:p>
    <w:p>
      <w:pPr>
        <w:pStyle w:val="39"/>
        <w:tabs>
          <w:tab w:val="right" w:leader="dot" w:pos="8788"/>
        </w:tabs>
        <w:spacing w:line="360" w:lineRule="auto"/>
        <w:jc w:val="center"/>
        <w:rPr>
          <w:rFonts w:hint="eastAsia" w:ascii="宋体" w:hAnsi="宋体"/>
          <w:sz w:val="44"/>
          <w:szCs w:val="44"/>
        </w:rPr>
      </w:pPr>
    </w:p>
    <w:p>
      <w:pPr>
        <w:pStyle w:val="39"/>
        <w:keepNext w:val="0"/>
        <w:keepLines w:val="0"/>
        <w:pageBreakBefore w:val="0"/>
        <w:tabs>
          <w:tab w:val="right" w:leader="dot" w:pos="8788"/>
        </w:tabs>
        <w:kinsoku/>
        <w:overflowPunct/>
        <w:autoSpaceDE/>
        <w:autoSpaceDN/>
        <w:bidi w:val="0"/>
        <w:adjustRightInd/>
        <w:snapToGrid/>
        <w:spacing w:line="480" w:lineRule="auto"/>
        <w:jc w:val="center"/>
        <w:textAlignment w:val="auto"/>
        <w:rPr>
          <w:rFonts w:hint="eastAsia" w:ascii="宋体" w:hAnsi="宋体"/>
          <w:sz w:val="52"/>
          <w:szCs w:val="52"/>
        </w:rPr>
      </w:pPr>
    </w:p>
    <w:sdt>
      <w:sdtPr>
        <w:rPr>
          <w:rFonts w:ascii="宋体" w:hAnsi="宋体" w:eastAsia="宋体" w:cs="宋体"/>
          <w:kern w:val="2"/>
          <w:sz w:val="24"/>
          <w:szCs w:val="24"/>
          <w:lang w:val="en-US" w:eastAsia="zh-CN" w:bidi="ar-SA"/>
        </w:rPr>
        <w:id w:val="147482716"/>
        <w15:color w:val="DBDBDB"/>
        <w:docPartObj>
          <w:docPartGallery w:val="Table of Contents"/>
          <w:docPartUnique/>
        </w:docPartObj>
      </w:sdtPr>
      <w:sdtEndPr>
        <w:rPr>
          <w:rFonts w:ascii="宋体" w:hAnsi="宋体" w:eastAsia="宋体" w:cs="Times New Roman"/>
          <w:kern w:val="2"/>
          <w:sz w:val="24"/>
          <w:szCs w:val="24"/>
          <w:lang w:val="en-US" w:eastAsia="zh-CN" w:bidi="ar-SA"/>
        </w:rPr>
      </w:sdtEndPr>
      <w:sdtContent>
        <w:p>
          <w:pPr>
            <w:keepNext w:val="0"/>
            <w:keepLines w:val="0"/>
            <w:pageBreakBefore w:val="0"/>
            <w:kinsoku/>
            <w:overflowPunct/>
            <w:autoSpaceDE/>
            <w:autoSpaceDN/>
            <w:bidi w:val="0"/>
            <w:adjustRightInd/>
            <w:snapToGrid/>
            <w:spacing w:before="0" w:beforeLines="0" w:after="0" w:afterLines="0" w:line="480" w:lineRule="auto"/>
            <w:ind w:left="0" w:leftChars="0" w:right="0" w:rightChars="0" w:firstLine="0" w:firstLineChars="0"/>
            <w:jc w:val="center"/>
            <w:textAlignment w:val="auto"/>
            <w:rPr>
              <w:sz w:val="24"/>
              <w:szCs w:val="24"/>
            </w:rPr>
          </w:pPr>
          <w:r>
            <w:rPr>
              <w:rFonts w:ascii="宋体" w:hAnsi="宋体" w:eastAsia="宋体"/>
              <w:sz w:val="24"/>
              <w:szCs w:val="24"/>
            </w:rPr>
            <w:t>目录</w:t>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sz w:val="22"/>
              <w:szCs w:val="22"/>
            </w:rPr>
          </w:pPr>
          <w:r>
            <w:rPr>
              <w:rFonts w:ascii="宋体" w:hAnsi="宋体"/>
              <w:sz w:val="32"/>
              <w:szCs w:val="32"/>
            </w:rPr>
            <w:fldChar w:fldCharType="begin"/>
          </w:r>
          <w:r>
            <w:rPr>
              <w:rFonts w:ascii="宋体" w:hAnsi="宋体"/>
              <w:sz w:val="32"/>
              <w:szCs w:val="32"/>
            </w:rPr>
            <w:instrText xml:space="preserve">TOC \o "1-1" \h \u </w:instrText>
          </w:r>
          <w:r>
            <w:rPr>
              <w:rFonts w:ascii="宋体" w:hAnsi="宋体"/>
              <w:sz w:val="32"/>
              <w:szCs w:val="32"/>
            </w:rPr>
            <w:fldChar w:fldCharType="separate"/>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sz w:val="22"/>
              <w:szCs w:val="22"/>
            </w:rPr>
          </w:pPr>
          <w:r>
            <w:rPr>
              <w:rFonts w:ascii="宋体" w:hAnsi="宋体"/>
              <w:sz w:val="22"/>
              <w:szCs w:val="32"/>
            </w:rPr>
            <w:fldChar w:fldCharType="begin"/>
          </w:r>
          <w:r>
            <w:rPr>
              <w:rFonts w:ascii="宋体" w:hAnsi="宋体"/>
              <w:sz w:val="22"/>
              <w:szCs w:val="32"/>
            </w:rPr>
            <w:instrText xml:space="preserve"> HYPERLINK \l _Toc16949 </w:instrText>
          </w:r>
          <w:r>
            <w:rPr>
              <w:rFonts w:ascii="宋体" w:hAnsi="宋体"/>
              <w:sz w:val="22"/>
              <w:szCs w:val="32"/>
            </w:rPr>
            <w:fldChar w:fldCharType="separate"/>
          </w:r>
          <w:r>
            <w:rPr>
              <w:rFonts w:hint="eastAsia"/>
              <w:sz w:val="22"/>
              <w:szCs w:val="40"/>
            </w:rPr>
            <w:t>第一章  竞争性磋商公告</w:t>
          </w:r>
          <w:r>
            <w:rPr>
              <w:sz w:val="22"/>
              <w:szCs w:val="22"/>
            </w:rPr>
            <w:tab/>
          </w:r>
          <w:r>
            <w:rPr>
              <w:sz w:val="22"/>
              <w:szCs w:val="22"/>
            </w:rPr>
            <w:fldChar w:fldCharType="begin"/>
          </w:r>
          <w:r>
            <w:rPr>
              <w:sz w:val="22"/>
              <w:szCs w:val="22"/>
            </w:rPr>
            <w:instrText xml:space="preserve"> PAGEREF _Toc16949 \h </w:instrText>
          </w:r>
          <w:r>
            <w:rPr>
              <w:sz w:val="22"/>
              <w:szCs w:val="22"/>
            </w:rPr>
            <w:fldChar w:fldCharType="separate"/>
          </w:r>
          <w:r>
            <w:rPr>
              <w:sz w:val="22"/>
              <w:szCs w:val="22"/>
            </w:rPr>
            <w:t>3</w:t>
          </w:r>
          <w:r>
            <w:rPr>
              <w:sz w:val="22"/>
              <w:szCs w:val="22"/>
            </w:rPr>
            <w:fldChar w:fldCharType="end"/>
          </w:r>
          <w:r>
            <w:rPr>
              <w:rFonts w:ascii="宋体" w:hAnsi="宋体"/>
              <w:sz w:val="22"/>
              <w:szCs w:val="32"/>
            </w:rPr>
            <w:fldChar w:fldCharType="end"/>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sz w:val="22"/>
              <w:szCs w:val="22"/>
            </w:rPr>
          </w:pPr>
          <w:r>
            <w:rPr>
              <w:rFonts w:ascii="宋体" w:hAnsi="宋体"/>
              <w:sz w:val="22"/>
              <w:szCs w:val="32"/>
            </w:rPr>
            <w:fldChar w:fldCharType="begin"/>
          </w:r>
          <w:r>
            <w:rPr>
              <w:rFonts w:ascii="宋体" w:hAnsi="宋体"/>
              <w:sz w:val="22"/>
              <w:szCs w:val="32"/>
            </w:rPr>
            <w:instrText xml:space="preserve"> HYPERLINK \l _Toc17547 </w:instrText>
          </w:r>
          <w:r>
            <w:rPr>
              <w:rFonts w:ascii="宋体" w:hAnsi="宋体"/>
              <w:sz w:val="22"/>
              <w:szCs w:val="32"/>
            </w:rPr>
            <w:fldChar w:fldCharType="separate"/>
          </w:r>
          <w:r>
            <w:rPr>
              <w:rFonts w:hint="eastAsia"/>
              <w:sz w:val="22"/>
              <w:szCs w:val="40"/>
            </w:rPr>
            <w:t>第二章  响应人须知</w:t>
          </w:r>
          <w:r>
            <w:rPr>
              <w:sz w:val="22"/>
              <w:szCs w:val="22"/>
            </w:rPr>
            <w:tab/>
          </w:r>
          <w:r>
            <w:rPr>
              <w:rFonts w:hint="eastAsia"/>
              <w:sz w:val="22"/>
              <w:szCs w:val="22"/>
              <w:lang w:val="en-US" w:eastAsia="zh-CN"/>
            </w:rPr>
            <w:t>8</w:t>
          </w:r>
          <w:r>
            <w:rPr>
              <w:rFonts w:ascii="宋体" w:hAnsi="宋体"/>
              <w:sz w:val="22"/>
              <w:szCs w:val="32"/>
            </w:rPr>
            <w:fldChar w:fldCharType="end"/>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rFonts w:hint="eastAsia" w:eastAsia="宋体"/>
              <w:sz w:val="22"/>
              <w:szCs w:val="22"/>
              <w:lang w:val="en-US" w:eastAsia="zh-CN"/>
            </w:rPr>
          </w:pPr>
          <w:r>
            <w:rPr>
              <w:rFonts w:ascii="宋体" w:hAnsi="宋体"/>
              <w:sz w:val="22"/>
              <w:szCs w:val="32"/>
            </w:rPr>
            <w:fldChar w:fldCharType="begin"/>
          </w:r>
          <w:r>
            <w:rPr>
              <w:rFonts w:ascii="宋体" w:hAnsi="宋体"/>
              <w:sz w:val="22"/>
              <w:szCs w:val="32"/>
            </w:rPr>
            <w:instrText xml:space="preserve"> HYPERLINK \l _Toc19065 </w:instrText>
          </w:r>
          <w:r>
            <w:rPr>
              <w:rFonts w:ascii="宋体" w:hAnsi="宋体"/>
              <w:sz w:val="22"/>
              <w:szCs w:val="32"/>
            </w:rPr>
            <w:fldChar w:fldCharType="separate"/>
          </w:r>
          <w:r>
            <w:rPr>
              <w:rFonts w:hint="eastAsia"/>
              <w:sz w:val="22"/>
              <w:szCs w:val="40"/>
            </w:rPr>
            <w:t>第三章  评审办法</w:t>
          </w:r>
          <w:r>
            <w:rPr>
              <w:sz w:val="22"/>
              <w:szCs w:val="22"/>
            </w:rPr>
            <w:tab/>
          </w:r>
          <w:r>
            <w:rPr>
              <w:rFonts w:hint="eastAsia"/>
              <w:sz w:val="22"/>
              <w:szCs w:val="22"/>
              <w:lang w:val="en-US" w:eastAsia="zh-CN"/>
            </w:rPr>
            <w:t>2</w:t>
          </w:r>
          <w:r>
            <w:rPr>
              <w:rFonts w:ascii="宋体" w:hAnsi="宋体"/>
              <w:sz w:val="22"/>
              <w:szCs w:val="32"/>
            </w:rPr>
            <w:fldChar w:fldCharType="end"/>
          </w:r>
          <w:r>
            <w:rPr>
              <w:rFonts w:hint="eastAsia" w:ascii="宋体" w:hAnsi="宋体"/>
              <w:sz w:val="22"/>
              <w:szCs w:val="32"/>
              <w:lang w:val="en-US" w:eastAsia="zh-CN"/>
            </w:rPr>
            <w:t>0</w:t>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rFonts w:hint="eastAsia" w:eastAsia="宋体"/>
              <w:sz w:val="22"/>
              <w:szCs w:val="22"/>
              <w:lang w:val="en-US" w:eastAsia="zh-CN"/>
            </w:rPr>
          </w:pPr>
          <w:r>
            <w:rPr>
              <w:rFonts w:ascii="宋体" w:hAnsi="宋体"/>
              <w:sz w:val="22"/>
              <w:szCs w:val="32"/>
            </w:rPr>
            <w:fldChar w:fldCharType="begin"/>
          </w:r>
          <w:r>
            <w:rPr>
              <w:rFonts w:ascii="宋体" w:hAnsi="宋体"/>
              <w:sz w:val="22"/>
              <w:szCs w:val="32"/>
            </w:rPr>
            <w:instrText xml:space="preserve"> HYPERLINK \l _Toc20944 </w:instrText>
          </w:r>
          <w:r>
            <w:rPr>
              <w:rFonts w:ascii="宋体" w:hAnsi="宋体"/>
              <w:sz w:val="22"/>
              <w:szCs w:val="32"/>
            </w:rPr>
            <w:fldChar w:fldCharType="separate"/>
          </w:r>
          <w:r>
            <w:rPr>
              <w:rFonts w:hint="eastAsia"/>
              <w:sz w:val="22"/>
              <w:szCs w:val="40"/>
            </w:rPr>
            <w:t>第四章</w:t>
          </w:r>
          <w:r>
            <w:rPr>
              <w:rFonts w:hint="eastAsia"/>
              <w:sz w:val="22"/>
              <w:szCs w:val="40"/>
              <w:lang w:val="en-US" w:eastAsia="zh-CN"/>
            </w:rPr>
            <w:t xml:space="preserve"> </w:t>
          </w:r>
          <w:r>
            <w:rPr>
              <w:rFonts w:hint="eastAsia" w:ascii="宋体" w:hAnsi="宋体" w:cs="宋体"/>
              <w:bCs/>
              <w:spacing w:val="4"/>
              <w:sz w:val="22"/>
              <w:szCs w:val="40"/>
            </w:rPr>
            <w:t>采购合同（</w:t>
          </w:r>
          <w:r>
            <w:rPr>
              <w:rFonts w:hint="eastAsia" w:cs="宋体"/>
              <w:bCs/>
              <w:spacing w:val="4"/>
              <w:sz w:val="22"/>
              <w:szCs w:val="40"/>
              <w:lang w:val="en-US" w:eastAsia="zh-CN"/>
            </w:rPr>
            <w:t>仅供参考</w:t>
          </w:r>
          <w:r>
            <w:rPr>
              <w:rFonts w:hint="eastAsia" w:ascii="宋体" w:hAnsi="宋体" w:cs="宋体"/>
              <w:bCs/>
              <w:spacing w:val="4"/>
              <w:sz w:val="22"/>
              <w:szCs w:val="40"/>
            </w:rPr>
            <w:t>）</w:t>
          </w:r>
          <w:r>
            <w:rPr>
              <w:sz w:val="22"/>
              <w:szCs w:val="22"/>
            </w:rPr>
            <w:tab/>
          </w:r>
          <w:r>
            <w:rPr>
              <w:rFonts w:hint="eastAsia"/>
              <w:sz w:val="22"/>
              <w:szCs w:val="22"/>
              <w:lang w:val="en-US" w:eastAsia="zh-CN"/>
            </w:rPr>
            <w:t>2</w:t>
          </w:r>
          <w:r>
            <w:rPr>
              <w:rFonts w:ascii="宋体" w:hAnsi="宋体"/>
              <w:sz w:val="22"/>
              <w:szCs w:val="32"/>
            </w:rPr>
            <w:fldChar w:fldCharType="end"/>
          </w:r>
          <w:r>
            <w:rPr>
              <w:rFonts w:hint="eastAsia" w:ascii="宋体" w:hAnsi="宋体"/>
              <w:sz w:val="22"/>
              <w:szCs w:val="32"/>
              <w:lang w:val="en-US" w:eastAsia="zh-CN"/>
            </w:rPr>
            <w:t>5</w:t>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sz w:val="22"/>
              <w:szCs w:val="22"/>
            </w:rPr>
          </w:pPr>
          <w:r>
            <w:rPr>
              <w:rFonts w:ascii="宋体" w:hAnsi="宋体"/>
              <w:sz w:val="22"/>
              <w:szCs w:val="32"/>
            </w:rPr>
            <w:fldChar w:fldCharType="begin"/>
          </w:r>
          <w:r>
            <w:rPr>
              <w:rFonts w:ascii="宋体" w:hAnsi="宋体"/>
              <w:sz w:val="22"/>
              <w:szCs w:val="32"/>
            </w:rPr>
            <w:instrText xml:space="preserve"> HYPERLINK \l _Toc28820 </w:instrText>
          </w:r>
          <w:r>
            <w:rPr>
              <w:rFonts w:ascii="宋体" w:hAnsi="宋体"/>
              <w:sz w:val="22"/>
              <w:szCs w:val="32"/>
            </w:rPr>
            <w:fldChar w:fldCharType="separate"/>
          </w:r>
          <w:r>
            <w:rPr>
              <w:rFonts w:hint="eastAsia"/>
              <w:sz w:val="22"/>
              <w:szCs w:val="40"/>
            </w:rPr>
            <w:t xml:space="preserve">第五章 </w:t>
          </w:r>
          <w:r>
            <w:rPr>
              <w:rFonts w:hint="eastAsia"/>
              <w:sz w:val="22"/>
              <w:szCs w:val="40"/>
              <w:lang w:val="en-US" w:eastAsia="zh-CN"/>
            </w:rPr>
            <w:t>服务需求</w:t>
          </w:r>
          <w:r>
            <w:rPr>
              <w:sz w:val="22"/>
              <w:szCs w:val="22"/>
            </w:rPr>
            <w:tab/>
          </w:r>
          <w:r>
            <w:rPr>
              <w:rFonts w:hint="eastAsia"/>
              <w:sz w:val="22"/>
              <w:szCs w:val="22"/>
              <w:lang w:val="en-US" w:eastAsia="zh-CN"/>
            </w:rPr>
            <w:t>3</w:t>
          </w:r>
          <w:r>
            <w:rPr>
              <w:sz w:val="22"/>
              <w:szCs w:val="22"/>
            </w:rPr>
            <w:fldChar w:fldCharType="begin"/>
          </w:r>
          <w:r>
            <w:rPr>
              <w:sz w:val="22"/>
              <w:szCs w:val="22"/>
            </w:rPr>
            <w:instrText xml:space="preserve"> PAGEREF _Toc28820 \h </w:instrText>
          </w:r>
          <w:r>
            <w:rPr>
              <w:sz w:val="22"/>
              <w:szCs w:val="22"/>
            </w:rPr>
            <w:fldChar w:fldCharType="separate"/>
          </w:r>
          <w:r>
            <w:rPr>
              <w:sz w:val="22"/>
              <w:szCs w:val="22"/>
            </w:rPr>
            <w:t>2</w:t>
          </w:r>
          <w:r>
            <w:rPr>
              <w:sz w:val="22"/>
              <w:szCs w:val="22"/>
            </w:rPr>
            <w:fldChar w:fldCharType="end"/>
          </w:r>
          <w:r>
            <w:rPr>
              <w:rFonts w:ascii="宋体" w:hAnsi="宋体"/>
              <w:sz w:val="22"/>
              <w:szCs w:val="32"/>
            </w:rPr>
            <w:fldChar w:fldCharType="end"/>
          </w:r>
        </w:p>
        <w:p>
          <w:pPr>
            <w:pStyle w:val="39"/>
            <w:keepNext w:val="0"/>
            <w:keepLines w:val="0"/>
            <w:pageBreakBefore w:val="0"/>
            <w:tabs>
              <w:tab w:val="right" w:leader="dot" w:pos="8339"/>
            </w:tabs>
            <w:kinsoku/>
            <w:overflowPunct/>
            <w:autoSpaceDE/>
            <w:autoSpaceDN/>
            <w:bidi w:val="0"/>
            <w:adjustRightInd/>
            <w:snapToGrid/>
            <w:spacing w:line="480" w:lineRule="auto"/>
            <w:textAlignment w:val="auto"/>
            <w:rPr>
              <w:sz w:val="22"/>
              <w:szCs w:val="22"/>
            </w:rPr>
          </w:pPr>
          <w:r>
            <w:rPr>
              <w:rFonts w:ascii="宋体" w:hAnsi="宋体"/>
              <w:sz w:val="22"/>
              <w:szCs w:val="32"/>
            </w:rPr>
            <w:fldChar w:fldCharType="begin"/>
          </w:r>
          <w:r>
            <w:rPr>
              <w:rFonts w:ascii="宋体" w:hAnsi="宋体"/>
              <w:sz w:val="22"/>
              <w:szCs w:val="32"/>
            </w:rPr>
            <w:instrText xml:space="preserve"> HYPERLINK \l _Toc13661 </w:instrText>
          </w:r>
          <w:r>
            <w:rPr>
              <w:rFonts w:ascii="宋体" w:hAnsi="宋体"/>
              <w:sz w:val="22"/>
              <w:szCs w:val="32"/>
            </w:rPr>
            <w:fldChar w:fldCharType="separate"/>
          </w:r>
          <w:r>
            <w:rPr>
              <w:rFonts w:hint="eastAsia"/>
              <w:sz w:val="22"/>
              <w:szCs w:val="40"/>
            </w:rPr>
            <w:t>第</w:t>
          </w:r>
          <w:r>
            <w:rPr>
              <w:rFonts w:hint="eastAsia"/>
              <w:sz w:val="22"/>
              <w:szCs w:val="40"/>
              <w:lang w:val="en-US" w:eastAsia="zh-CN"/>
            </w:rPr>
            <w:t>六</w:t>
          </w:r>
          <w:r>
            <w:rPr>
              <w:rFonts w:hint="eastAsia"/>
              <w:sz w:val="22"/>
              <w:szCs w:val="40"/>
            </w:rPr>
            <w:t>章  磋商响应文件格式</w:t>
          </w:r>
          <w:r>
            <w:rPr>
              <w:sz w:val="22"/>
              <w:szCs w:val="22"/>
            </w:rPr>
            <w:tab/>
          </w:r>
          <w:r>
            <w:rPr>
              <w:rFonts w:hint="eastAsia"/>
              <w:sz w:val="22"/>
              <w:szCs w:val="22"/>
              <w:lang w:val="en-US" w:eastAsia="zh-CN"/>
            </w:rPr>
            <w:t>3</w:t>
          </w:r>
          <w:r>
            <w:rPr>
              <w:sz w:val="22"/>
              <w:szCs w:val="22"/>
            </w:rPr>
            <w:fldChar w:fldCharType="begin"/>
          </w:r>
          <w:r>
            <w:rPr>
              <w:sz w:val="22"/>
              <w:szCs w:val="22"/>
            </w:rPr>
            <w:instrText xml:space="preserve"> PAGEREF _Toc13661 \h </w:instrText>
          </w:r>
          <w:r>
            <w:rPr>
              <w:sz w:val="22"/>
              <w:szCs w:val="22"/>
            </w:rPr>
            <w:fldChar w:fldCharType="separate"/>
          </w:r>
          <w:r>
            <w:rPr>
              <w:sz w:val="22"/>
              <w:szCs w:val="22"/>
            </w:rPr>
            <w:t>7</w:t>
          </w:r>
          <w:r>
            <w:rPr>
              <w:sz w:val="22"/>
              <w:szCs w:val="22"/>
            </w:rPr>
            <w:fldChar w:fldCharType="end"/>
          </w:r>
          <w:r>
            <w:rPr>
              <w:rFonts w:ascii="宋体" w:hAnsi="宋体"/>
              <w:sz w:val="22"/>
              <w:szCs w:val="32"/>
            </w:rPr>
            <w:fldChar w:fldCharType="end"/>
          </w:r>
        </w:p>
        <w:p>
          <w:pPr>
            <w:pStyle w:val="39"/>
            <w:keepNext w:val="0"/>
            <w:keepLines w:val="0"/>
            <w:pageBreakBefore w:val="0"/>
            <w:tabs>
              <w:tab w:val="right" w:leader="dot" w:pos="8788"/>
            </w:tabs>
            <w:kinsoku/>
            <w:overflowPunct/>
            <w:autoSpaceDE/>
            <w:autoSpaceDN/>
            <w:bidi w:val="0"/>
            <w:adjustRightInd/>
            <w:snapToGrid/>
            <w:spacing w:line="480" w:lineRule="auto"/>
            <w:textAlignment w:val="auto"/>
            <w:rPr>
              <w:rFonts w:ascii="宋体" w:hAnsi="宋体"/>
              <w:sz w:val="24"/>
              <w:szCs w:val="24"/>
            </w:rPr>
          </w:pPr>
          <w:r>
            <w:rPr>
              <w:rFonts w:ascii="宋体" w:hAnsi="宋体"/>
              <w:sz w:val="22"/>
              <w:szCs w:val="32"/>
            </w:rPr>
            <w:fldChar w:fldCharType="end"/>
          </w:r>
        </w:p>
      </w:sdtContent>
    </w:sdt>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pStyle w:val="39"/>
        <w:tabs>
          <w:tab w:val="right" w:leader="dot" w:pos="8788"/>
        </w:tabs>
        <w:spacing w:line="360" w:lineRule="auto"/>
        <w:rPr>
          <w:rFonts w:ascii="宋体" w:hAnsi="宋体"/>
          <w:sz w:val="28"/>
          <w:szCs w:val="28"/>
        </w:rPr>
      </w:pPr>
    </w:p>
    <w:p>
      <w:pPr>
        <w:spacing w:line="360" w:lineRule="auto"/>
        <w:jc w:val="both"/>
        <w:outlineLvl w:val="9"/>
        <w:rPr>
          <w:rFonts w:hint="eastAsia"/>
          <w:b/>
          <w:sz w:val="32"/>
          <w:szCs w:val="32"/>
        </w:rPr>
      </w:pPr>
      <w:bookmarkStart w:id="2" w:name="_Toc72695356"/>
      <w:bookmarkStart w:id="3" w:name="_Toc72694684"/>
    </w:p>
    <w:p>
      <w:pPr>
        <w:spacing w:line="360" w:lineRule="auto"/>
        <w:jc w:val="center"/>
        <w:outlineLvl w:val="0"/>
        <w:rPr>
          <w:b/>
          <w:sz w:val="32"/>
          <w:szCs w:val="32"/>
        </w:rPr>
      </w:pPr>
      <w:bookmarkStart w:id="4" w:name="_Toc16949"/>
      <w:r>
        <w:rPr>
          <w:rFonts w:hint="eastAsia"/>
          <w:b/>
          <w:sz w:val="32"/>
          <w:szCs w:val="32"/>
        </w:rPr>
        <w:t>第一章  竞争性磋商公告</w:t>
      </w:r>
      <w:bookmarkEnd w:id="2"/>
      <w:bookmarkEnd w:id="3"/>
      <w:bookmarkEnd w:id="4"/>
    </w:p>
    <w:p>
      <w:pPr>
        <w:pStyle w:val="19"/>
        <w:spacing w:before="0" w:beforeAutospacing="0" w:after="0" w:afterAutospacing="0" w:line="360" w:lineRule="auto"/>
        <w:jc w:val="center"/>
        <w:rPr>
          <w:rFonts w:hint="eastAsia" w:cs="宋体"/>
          <w:b/>
          <w:bCs/>
          <w:color w:val="auto"/>
          <w:kern w:val="2"/>
          <w:sz w:val="28"/>
          <w:szCs w:val="28"/>
          <w:lang w:eastAsia="zh-CN"/>
        </w:rPr>
      </w:pPr>
      <w:bookmarkStart w:id="5" w:name="_Toc72695357"/>
      <w:bookmarkStart w:id="6" w:name="_Toc1254"/>
      <w:bookmarkStart w:id="7" w:name="_Toc28007"/>
    </w:p>
    <w:p>
      <w:pPr>
        <w:pStyle w:val="19"/>
        <w:spacing w:before="0" w:beforeAutospacing="0" w:after="0" w:afterAutospacing="0" w:line="360" w:lineRule="auto"/>
        <w:jc w:val="center"/>
        <w:rPr>
          <w:rFonts w:hint="eastAsia" w:cs="宋体"/>
          <w:b/>
          <w:bCs/>
          <w:color w:val="auto"/>
          <w:kern w:val="2"/>
          <w:sz w:val="28"/>
          <w:szCs w:val="28"/>
          <w:lang w:eastAsia="zh-CN"/>
        </w:rPr>
      </w:pPr>
    </w:p>
    <w:p>
      <w:pPr>
        <w:pStyle w:val="19"/>
        <w:spacing w:before="0" w:beforeAutospacing="0" w:after="0" w:afterAutospacing="0" w:line="360" w:lineRule="auto"/>
        <w:jc w:val="center"/>
        <w:rPr>
          <w:rFonts w:hint="eastAsia" w:cs="宋体"/>
          <w:b/>
          <w:bCs/>
          <w:color w:val="auto"/>
          <w:kern w:val="2"/>
          <w:sz w:val="28"/>
          <w:szCs w:val="28"/>
        </w:rPr>
      </w:pPr>
      <w:r>
        <w:rPr>
          <w:rFonts w:hint="eastAsia" w:cs="宋体"/>
          <w:b/>
          <w:bCs/>
          <w:color w:val="auto"/>
          <w:kern w:val="2"/>
          <w:sz w:val="28"/>
          <w:szCs w:val="28"/>
          <w:lang w:eastAsia="zh-CN"/>
        </w:rPr>
        <w:t>社旗县机关事务中心行政一区、二区综合办公楼、县委机关物业管理服务项目</w:t>
      </w:r>
      <w:r>
        <w:rPr>
          <w:rFonts w:hint="eastAsia" w:cs="宋体"/>
          <w:b/>
          <w:bCs/>
          <w:color w:val="auto"/>
          <w:kern w:val="2"/>
          <w:sz w:val="28"/>
          <w:szCs w:val="28"/>
        </w:rPr>
        <w:t>竞争性磋商公告</w:t>
      </w:r>
    </w:p>
    <w:p>
      <w:pPr>
        <w:rPr>
          <w:color w:val="auto"/>
        </w:rPr>
      </w:pPr>
    </w:p>
    <w:p>
      <w:pPr>
        <w:pStyle w:val="19"/>
        <w:shd w:val="clear" w:color="auto" w:fill="FFFFFF"/>
        <w:snapToGrid w:val="0"/>
        <w:spacing w:before="0" w:beforeAutospacing="0" w:after="0" w:afterAutospacing="0" w:line="360" w:lineRule="auto"/>
        <w:ind w:firstLine="482" w:firstLineChars="200"/>
        <w:rPr>
          <w:rFonts w:cs="宋体"/>
          <w:b/>
          <w:color w:val="auto"/>
          <w:sz w:val="24"/>
          <w:szCs w:val="24"/>
        </w:rPr>
      </w:pPr>
      <w:r>
        <w:rPr>
          <w:rFonts w:hint="eastAsia" w:cs="宋体"/>
          <w:b/>
          <w:color w:val="auto"/>
          <w:sz w:val="24"/>
          <w:szCs w:val="24"/>
        </w:rPr>
        <w:t>项目概况：</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社旗县机关事务中心行政一区、二区综合办公楼、县委机关物业管理服务项目的潜在供应商应在社旗县公共资源交易中心网站（http://ggzyjy.nanyang.gov.cn/SQXWeb/）获取采购文件，并于</w:t>
      </w:r>
      <w:r>
        <w:rPr>
          <w:rFonts w:hint="eastAsia" w:cs="宋体"/>
          <w:color w:val="auto"/>
          <w:sz w:val="24"/>
          <w:szCs w:val="24"/>
          <w:highlight w:val="none"/>
          <w:shd w:val="clear" w:color="auto" w:fill="FFFFFF"/>
          <w:lang w:eastAsia="zh-CN"/>
        </w:rPr>
        <w:t>202</w:t>
      </w:r>
      <w:r>
        <w:rPr>
          <w:rFonts w:hint="eastAsia" w:cs="宋体"/>
          <w:color w:val="auto"/>
          <w:sz w:val="24"/>
          <w:szCs w:val="24"/>
          <w:highlight w:val="none"/>
          <w:shd w:val="clear" w:color="auto" w:fill="FFFFFF"/>
          <w:lang w:val="en-US" w:eastAsia="zh-CN"/>
        </w:rPr>
        <w:t>4</w:t>
      </w:r>
      <w:r>
        <w:rPr>
          <w:rFonts w:hint="eastAsia" w:cs="宋体"/>
          <w:color w:val="auto"/>
          <w:sz w:val="24"/>
          <w:szCs w:val="24"/>
          <w:highlight w:val="none"/>
          <w:shd w:val="clear" w:color="auto" w:fill="FFFFFF"/>
          <w:lang w:eastAsia="zh-CN"/>
        </w:rPr>
        <w:t>年</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lang w:eastAsia="zh-CN"/>
        </w:rPr>
        <w:t>月</w:t>
      </w:r>
      <w:r>
        <w:rPr>
          <w:rFonts w:hint="eastAsia" w:cs="宋体"/>
          <w:color w:val="auto"/>
          <w:sz w:val="24"/>
          <w:szCs w:val="24"/>
          <w:highlight w:val="none"/>
          <w:shd w:val="clear" w:color="auto" w:fill="FFFFFF"/>
          <w:lang w:val="en-US" w:eastAsia="zh-CN"/>
        </w:rPr>
        <w:t>28</w:t>
      </w:r>
      <w:r>
        <w:rPr>
          <w:rFonts w:hint="eastAsia" w:cs="宋体"/>
          <w:color w:val="auto"/>
          <w:sz w:val="24"/>
          <w:szCs w:val="24"/>
          <w:highlight w:val="none"/>
          <w:shd w:val="clear" w:color="auto" w:fill="FFFFFF"/>
          <w:lang w:eastAsia="zh-CN"/>
        </w:rPr>
        <w:t>日</w:t>
      </w:r>
      <w:r>
        <w:rPr>
          <w:rFonts w:hint="eastAsia" w:cs="宋体"/>
          <w:color w:val="auto"/>
          <w:sz w:val="24"/>
          <w:szCs w:val="24"/>
          <w:highlight w:val="none"/>
          <w:shd w:val="clear" w:color="auto" w:fill="FFFFFF"/>
          <w:lang w:val="en-US" w:eastAsia="zh-CN"/>
        </w:rPr>
        <w:t>15</w:t>
      </w:r>
      <w:r>
        <w:rPr>
          <w:rFonts w:hint="eastAsia" w:cs="宋体"/>
          <w:color w:val="auto"/>
          <w:sz w:val="24"/>
          <w:szCs w:val="24"/>
          <w:highlight w:val="none"/>
          <w:shd w:val="clear" w:color="auto" w:fill="FFFFFF"/>
          <w:lang w:eastAsia="zh-CN"/>
        </w:rPr>
        <w:t>时</w:t>
      </w:r>
      <w:r>
        <w:rPr>
          <w:rFonts w:hint="eastAsia" w:cs="宋体"/>
          <w:color w:val="auto"/>
          <w:sz w:val="24"/>
          <w:szCs w:val="24"/>
          <w:highlight w:val="none"/>
          <w:shd w:val="clear" w:color="auto" w:fill="FFFFFF"/>
          <w:lang w:val="en-US" w:eastAsia="zh-CN"/>
        </w:rPr>
        <w:t>0</w:t>
      </w:r>
      <w:r>
        <w:rPr>
          <w:rFonts w:hint="eastAsia" w:cs="宋体"/>
          <w:color w:val="auto"/>
          <w:sz w:val="24"/>
          <w:szCs w:val="24"/>
          <w:highlight w:val="none"/>
          <w:shd w:val="clear" w:color="auto" w:fill="FFFFFF"/>
          <w:lang w:eastAsia="zh-CN"/>
        </w:rPr>
        <w:t>0分</w:t>
      </w:r>
      <w:r>
        <w:rPr>
          <w:rFonts w:hint="eastAsia" w:cs="宋体"/>
          <w:color w:val="auto"/>
          <w:sz w:val="24"/>
          <w:szCs w:val="24"/>
          <w:shd w:val="clear" w:color="auto" w:fill="FFFFFF"/>
          <w:lang w:eastAsia="zh-CN"/>
        </w:rPr>
        <w:t>（北京时间）前递交响应文件。本次招标采用全流程电子辅助招投标。</w:t>
      </w:r>
    </w:p>
    <w:p>
      <w:pPr>
        <w:pStyle w:val="19"/>
        <w:shd w:val="clear" w:color="auto" w:fill="FFFFFF"/>
        <w:snapToGrid w:val="0"/>
        <w:spacing w:before="0" w:beforeAutospacing="0" w:after="0" w:afterAutospacing="0" w:line="360" w:lineRule="auto"/>
        <w:ind w:firstLine="482" w:firstLineChars="200"/>
        <w:rPr>
          <w:rFonts w:cs="宋体"/>
          <w:b/>
          <w:color w:val="auto"/>
          <w:sz w:val="24"/>
          <w:szCs w:val="24"/>
        </w:rPr>
      </w:pPr>
      <w:r>
        <w:rPr>
          <w:rFonts w:hint="eastAsia" w:cs="宋体"/>
          <w:b/>
          <w:color w:val="auto"/>
          <w:sz w:val="24"/>
          <w:szCs w:val="24"/>
        </w:rPr>
        <w:t>一、项目基本情况</w:t>
      </w:r>
    </w:p>
    <w:p>
      <w:pPr>
        <w:pStyle w:val="19"/>
        <w:shd w:val="clear" w:color="auto" w:fill="FFFFFF"/>
        <w:snapToGrid w:val="0"/>
        <w:spacing w:before="0" w:beforeAutospacing="0" w:after="0" w:afterAutospacing="0" w:line="360" w:lineRule="auto"/>
        <w:ind w:firstLine="480" w:firstLineChars="200"/>
        <w:rPr>
          <w:rFonts w:hint="default" w:eastAsia="宋体" w:cs="宋体"/>
          <w:color w:val="auto"/>
          <w:sz w:val="24"/>
          <w:szCs w:val="24"/>
          <w:highlight w:val="yellow"/>
          <w:shd w:val="clear" w:color="auto" w:fill="FFFFFF"/>
          <w:lang w:val="en-US" w:eastAsia="zh-CN"/>
        </w:rPr>
      </w:pPr>
      <w:r>
        <w:rPr>
          <w:rFonts w:hint="eastAsia" w:cs="宋体"/>
          <w:color w:val="auto"/>
          <w:sz w:val="24"/>
          <w:szCs w:val="24"/>
          <w:shd w:val="clear" w:color="auto" w:fill="FFFFFF"/>
        </w:rPr>
        <w:t>1.项目编号</w:t>
      </w:r>
      <w:r>
        <w:rPr>
          <w:rFonts w:hint="eastAsia" w:cs="宋体"/>
          <w:color w:val="auto"/>
          <w:sz w:val="24"/>
          <w:szCs w:val="24"/>
          <w:highlight w:val="none"/>
          <w:shd w:val="clear" w:color="auto" w:fill="FFFFFF"/>
        </w:rPr>
        <w:t>：</w:t>
      </w:r>
      <w:r>
        <w:rPr>
          <w:rFonts w:hint="eastAsia" w:cs="宋体"/>
          <w:color w:val="auto"/>
          <w:sz w:val="24"/>
          <w:szCs w:val="24"/>
          <w:highlight w:val="none"/>
          <w:shd w:val="clear" w:color="auto" w:fill="auto"/>
          <w:lang w:eastAsia="zh-CN"/>
        </w:rPr>
        <w:t>社财采购竞争性磋商-202</w:t>
      </w:r>
      <w:r>
        <w:rPr>
          <w:rFonts w:hint="eastAsia" w:cs="宋体"/>
          <w:color w:val="auto"/>
          <w:sz w:val="24"/>
          <w:szCs w:val="24"/>
          <w:highlight w:val="none"/>
          <w:shd w:val="clear" w:color="auto" w:fill="auto"/>
          <w:lang w:val="en-US" w:eastAsia="zh-CN"/>
        </w:rPr>
        <w:t>4</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14</w:t>
      </w:r>
    </w:p>
    <w:p>
      <w:pPr>
        <w:pStyle w:val="19"/>
        <w:shd w:val="clear" w:color="auto" w:fill="FFFFFF"/>
        <w:snapToGrid w:val="0"/>
        <w:spacing w:before="0" w:beforeAutospacing="0" w:after="0" w:afterAutospacing="0" w:line="360" w:lineRule="auto"/>
        <w:ind w:firstLine="480" w:firstLineChars="200"/>
        <w:rPr>
          <w:rFonts w:cs="宋体"/>
          <w:color w:val="auto"/>
          <w:sz w:val="24"/>
          <w:szCs w:val="24"/>
          <w:shd w:val="clear" w:color="auto" w:fill="FFFFFF"/>
        </w:rPr>
      </w:pPr>
      <w:r>
        <w:rPr>
          <w:rFonts w:hint="eastAsia" w:cs="宋体"/>
          <w:color w:val="auto"/>
          <w:sz w:val="24"/>
          <w:szCs w:val="24"/>
          <w:shd w:val="clear" w:color="auto" w:fill="FFFFFF"/>
        </w:rPr>
        <w:t>2.项目名称：</w:t>
      </w:r>
      <w:r>
        <w:rPr>
          <w:rFonts w:hint="eastAsia" w:cs="宋体"/>
          <w:color w:val="auto"/>
          <w:sz w:val="24"/>
          <w:szCs w:val="24"/>
          <w:shd w:val="clear" w:color="auto" w:fill="FFFFFF"/>
          <w:lang w:eastAsia="zh-CN"/>
        </w:rPr>
        <w:t>社旗县机关事务中心行政一区、二区综合办公楼、县委机关物业管理服务项目</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eastAsia="zh-CN"/>
        </w:rPr>
        <w:t>3.采购方式：竞争性磋商</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eastAsia="zh-CN"/>
        </w:rPr>
        <w:t>4.预算金额：</w:t>
      </w:r>
      <w:r>
        <w:rPr>
          <w:rFonts w:hint="eastAsia" w:cs="宋体"/>
          <w:color w:val="auto"/>
          <w:sz w:val="24"/>
          <w:szCs w:val="24"/>
          <w:highlight w:val="none"/>
          <w:shd w:val="clear" w:color="auto" w:fill="FFFFFF"/>
          <w:lang w:val="en-US" w:eastAsia="zh-CN"/>
        </w:rPr>
        <w:t xml:space="preserve">1400000元   </w:t>
      </w:r>
    </w:p>
    <w:p>
      <w:pPr>
        <w:pStyle w:val="19"/>
        <w:shd w:val="clear" w:color="auto" w:fill="FFFFFF"/>
        <w:snapToGrid w:val="0"/>
        <w:spacing w:before="0" w:beforeAutospacing="0" w:after="0" w:afterAutospacing="0" w:line="360" w:lineRule="auto"/>
        <w:ind w:firstLine="720" w:firstLineChars="300"/>
        <w:rPr>
          <w:rFonts w:cs="宋体"/>
          <w:color w:val="auto"/>
          <w:sz w:val="24"/>
          <w:szCs w:val="24"/>
          <w:highlight w:val="none"/>
          <w:shd w:val="clear" w:color="auto" w:fill="FFFFFF"/>
        </w:rPr>
      </w:pPr>
      <w:r>
        <w:rPr>
          <w:rFonts w:hint="eastAsia" w:cs="宋体"/>
          <w:color w:val="auto"/>
          <w:sz w:val="24"/>
          <w:szCs w:val="24"/>
          <w:highlight w:val="none"/>
          <w:shd w:val="clear" w:color="auto" w:fill="FFFFFF"/>
          <w:lang w:eastAsia="zh-CN"/>
        </w:rPr>
        <w:t>最高限价：</w:t>
      </w:r>
      <w:r>
        <w:rPr>
          <w:rFonts w:hint="eastAsia" w:cs="宋体"/>
          <w:color w:val="auto"/>
          <w:sz w:val="24"/>
          <w:szCs w:val="24"/>
          <w:highlight w:val="none"/>
          <w:shd w:val="clear" w:color="auto" w:fill="FFFFFF"/>
          <w:lang w:val="en-US" w:eastAsia="zh-CN"/>
        </w:rPr>
        <w:t xml:space="preserve">1400000元    </w:t>
      </w:r>
    </w:p>
    <w:tbl>
      <w:tblPr>
        <w:tblStyle w:val="22"/>
        <w:tblW w:w="9813" w:type="dxa"/>
        <w:tblInd w:w="-3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3"/>
        <w:gridCol w:w="1975"/>
        <w:gridCol w:w="3513"/>
        <w:gridCol w:w="1524"/>
        <w:gridCol w:w="21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6" w:hRule="atLeast"/>
        </w:trPr>
        <w:tc>
          <w:tcPr>
            <w:tcW w:w="663"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cs="宋体"/>
                <w:color w:val="auto"/>
                <w:sz w:val="24"/>
                <w:szCs w:val="24"/>
                <w:highlight w:val="none"/>
              </w:rPr>
            </w:pPr>
            <w:r>
              <w:rPr>
                <w:rFonts w:hint="eastAsia" w:cs="宋体"/>
                <w:color w:val="auto"/>
                <w:sz w:val="24"/>
                <w:szCs w:val="24"/>
                <w:highlight w:val="none"/>
              </w:rPr>
              <w:t>序号</w:t>
            </w:r>
          </w:p>
        </w:tc>
        <w:tc>
          <w:tcPr>
            <w:tcW w:w="1975"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cs="宋体"/>
                <w:color w:val="auto"/>
                <w:sz w:val="24"/>
                <w:szCs w:val="24"/>
                <w:highlight w:val="none"/>
              </w:rPr>
            </w:pPr>
            <w:r>
              <w:rPr>
                <w:rFonts w:hint="eastAsia" w:cs="宋体"/>
                <w:color w:val="auto"/>
                <w:sz w:val="24"/>
                <w:szCs w:val="24"/>
                <w:highlight w:val="none"/>
              </w:rPr>
              <w:t>包号</w:t>
            </w:r>
          </w:p>
        </w:tc>
        <w:tc>
          <w:tcPr>
            <w:tcW w:w="3513"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cs="宋体"/>
                <w:color w:val="auto"/>
                <w:sz w:val="24"/>
                <w:szCs w:val="24"/>
                <w:highlight w:val="none"/>
              </w:rPr>
            </w:pPr>
            <w:r>
              <w:rPr>
                <w:rFonts w:hint="eastAsia" w:cs="宋体"/>
                <w:color w:val="auto"/>
                <w:sz w:val="24"/>
                <w:szCs w:val="24"/>
                <w:highlight w:val="none"/>
              </w:rPr>
              <w:t>包名称</w:t>
            </w:r>
          </w:p>
        </w:tc>
        <w:tc>
          <w:tcPr>
            <w:tcW w:w="1524"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cs="宋体"/>
                <w:color w:val="auto"/>
                <w:sz w:val="24"/>
                <w:szCs w:val="24"/>
                <w:highlight w:val="none"/>
              </w:rPr>
            </w:pPr>
            <w:r>
              <w:rPr>
                <w:rFonts w:hint="eastAsia" w:cs="宋体"/>
                <w:color w:val="auto"/>
                <w:sz w:val="24"/>
                <w:szCs w:val="24"/>
                <w:highlight w:val="none"/>
              </w:rPr>
              <w:t>包预算（元）</w:t>
            </w:r>
          </w:p>
        </w:tc>
        <w:tc>
          <w:tcPr>
            <w:tcW w:w="2138"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cs="宋体"/>
                <w:color w:val="auto"/>
                <w:sz w:val="24"/>
                <w:szCs w:val="24"/>
                <w:highlight w:val="none"/>
              </w:rPr>
            </w:pPr>
            <w:r>
              <w:rPr>
                <w:rFonts w:hint="eastAsia" w:cs="宋体"/>
                <w:color w:val="auto"/>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63" w:type="dxa"/>
            <w:tcBorders>
              <w:top w:val="outset" w:color="auto" w:sz="6" w:space="0"/>
              <w:left w:val="outset" w:color="auto" w:sz="6" w:space="0"/>
              <w:bottom w:val="outset" w:color="auto" w:sz="6" w:space="0"/>
              <w:right w:val="outset" w:color="auto" w:sz="6" w:space="0"/>
            </w:tcBorders>
            <w:noWrap w:val="0"/>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rPr>
                <w:rFonts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w:t>
            </w:r>
          </w:p>
        </w:tc>
        <w:tc>
          <w:tcPr>
            <w:tcW w:w="1975" w:type="dxa"/>
            <w:tcBorders>
              <w:top w:val="outset" w:color="auto" w:sz="6" w:space="0"/>
              <w:left w:val="outset" w:color="auto" w:sz="6" w:space="0"/>
              <w:bottom w:val="outset" w:color="auto" w:sz="6" w:space="0"/>
              <w:right w:val="outset" w:color="auto" w:sz="6" w:space="0"/>
            </w:tcBorders>
            <w:noWrap w:val="0"/>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cs="宋体"/>
                <w:color w:val="auto"/>
                <w:sz w:val="24"/>
                <w:szCs w:val="24"/>
                <w:highlight w:val="none"/>
                <w:lang w:val="en-US"/>
              </w:rPr>
            </w:pPr>
            <w:r>
              <w:rPr>
                <w:rFonts w:hint="eastAsia" w:cs="宋体"/>
                <w:color w:val="auto"/>
                <w:sz w:val="24"/>
                <w:szCs w:val="24"/>
                <w:highlight w:val="none"/>
                <w:shd w:val="clear" w:color="auto" w:fill="auto"/>
                <w:lang w:eastAsia="zh-CN"/>
              </w:rPr>
              <w:t>社财采购竞争性磋商-202</w:t>
            </w:r>
            <w:r>
              <w:rPr>
                <w:rFonts w:hint="eastAsia" w:cs="宋体"/>
                <w:color w:val="auto"/>
                <w:sz w:val="24"/>
                <w:szCs w:val="24"/>
                <w:highlight w:val="none"/>
                <w:shd w:val="clear" w:color="auto" w:fill="auto"/>
                <w:lang w:val="en-US" w:eastAsia="zh-CN"/>
              </w:rPr>
              <w:t>4</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14</w:t>
            </w:r>
          </w:p>
        </w:tc>
        <w:tc>
          <w:tcPr>
            <w:tcW w:w="3513" w:type="dxa"/>
            <w:tcBorders>
              <w:top w:val="outset" w:color="auto" w:sz="6" w:space="0"/>
              <w:left w:val="outset" w:color="auto" w:sz="6" w:space="0"/>
              <w:bottom w:val="outset" w:color="auto" w:sz="6" w:space="0"/>
              <w:right w:val="outset" w:color="auto" w:sz="6" w:space="0"/>
            </w:tcBorders>
            <w:noWrap w:val="0"/>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eastAsia="宋体" w:cs="宋体"/>
                <w:color w:val="auto"/>
                <w:sz w:val="24"/>
                <w:szCs w:val="24"/>
                <w:highlight w:val="none"/>
                <w:lang w:val="en-US" w:eastAsia="zh-CN"/>
              </w:rPr>
            </w:pPr>
            <w:r>
              <w:rPr>
                <w:rFonts w:hint="eastAsia" w:cs="宋体"/>
                <w:i w:val="0"/>
                <w:iCs w:val="0"/>
                <w:caps w:val="0"/>
                <w:color w:val="auto"/>
                <w:spacing w:val="0"/>
                <w:sz w:val="24"/>
                <w:szCs w:val="24"/>
                <w:highlight w:val="none"/>
                <w:shd w:val="clear" w:color="auto" w:fill="FFFFFF"/>
                <w:lang w:eastAsia="zh-CN"/>
              </w:rPr>
              <w:t>社旗县机关事务中心行政一区、二区综合办公楼、县委机关物业管理服务项目一标段</w:t>
            </w:r>
          </w:p>
        </w:tc>
        <w:tc>
          <w:tcPr>
            <w:tcW w:w="1524"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hint="default" w:cs="宋体"/>
                <w:color w:val="auto"/>
                <w:sz w:val="24"/>
                <w:szCs w:val="24"/>
                <w:highlight w:val="none"/>
                <w:lang w:val="en-US" w:eastAsia="zh-CN"/>
              </w:rPr>
            </w:pPr>
            <w:r>
              <w:rPr>
                <w:rFonts w:hint="eastAsia" w:cs="宋体"/>
                <w:color w:val="auto"/>
                <w:sz w:val="24"/>
                <w:szCs w:val="24"/>
                <w:highlight w:val="none"/>
                <w:shd w:val="clear" w:color="auto" w:fill="FFFFFF"/>
                <w:lang w:val="en-US" w:eastAsia="zh-CN"/>
              </w:rPr>
              <w:t>1400000</w:t>
            </w:r>
          </w:p>
        </w:tc>
        <w:tc>
          <w:tcPr>
            <w:tcW w:w="2138" w:type="dxa"/>
            <w:tcBorders>
              <w:top w:val="outset" w:color="auto" w:sz="6" w:space="0"/>
              <w:left w:val="outset" w:color="auto" w:sz="6" w:space="0"/>
              <w:bottom w:val="outset" w:color="auto" w:sz="6" w:space="0"/>
              <w:right w:val="outset" w:color="auto" w:sz="6" w:space="0"/>
            </w:tcBorders>
            <w:noWrap w:val="0"/>
            <w:vAlign w:val="center"/>
          </w:tcPr>
          <w:p>
            <w:pPr>
              <w:pStyle w:val="19"/>
              <w:spacing w:before="0" w:beforeAutospacing="0" w:after="0" w:afterAutospacing="0" w:line="360" w:lineRule="auto"/>
              <w:jc w:val="center"/>
              <w:rPr>
                <w:rFonts w:cs="宋体"/>
                <w:color w:val="auto"/>
                <w:sz w:val="24"/>
                <w:szCs w:val="24"/>
                <w:highlight w:val="none"/>
              </w:rPr>
            </w:pPr>
            <w:r>
              <w:rPr>
                <w:rFonts w:hint="eastAsia" w:cs="宋体"/>
                <w:color w:val="auto"/>
                <w:sz w:val="24"/>
                <w:szCs w:val="24"/>
                <w:highlight w:val="none"/>
                <w:shd w:val="clear" w:color="auto" w:fill="FFFFFF"/>
                <w:lang w:val="en-US" w:eastAsia="zh-CN"/>
              </w:rPr>
              <w:t>1400000</w:t>
            </w:r>
          </w:p>
        </w:tc>
      </w:tr>
    </w:tbl>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5、采购需求：服务需求与磋商文件内全部内容。</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标段划分：本项目划分为一个标段</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6、服务</w:t>
      </w:r>
      <w:r>
        <w:rPr>
          <w:rFonts w:hint="eastAsia" w:cs="宋体"/>
          <w:color w:val="auto"/>
          <w:sz w:val="24"/>
          <w:szCs w:val="24"/>
          <w:shd w:val="clear" w:color="auto" w:fill="FFFFFF"/>
          <w:lang w:eastAsia="zh-CN"/>
        </w:rPr>
        <w:t>质量</w:t>
      </w:r>
      <w:r>
        <w:rPr>
          <w:rFonts w:hint="eastAsia" w:cs="宋体"/>
          <w:color w:val="auto"/>
          <w:sz w:val="24"/>
          <w:szCs w:val="24"/>
          <w:shd w:val="clear" w:color="auto" w:fill="FFFFFF"/>
        </w:rPr>
        <w:t>：符合国家、行业及地区现行相关规范和标准</w:t>
      </w:r>
      <w:r>
        <w:rPr>
          <w:rFonts w:hint="eastAsia" w:cs="宋体"/>
          <w:color w:val="auto"/>
          <w:sz w:val="24"/>
          <w:szCs w:val="24"/>
          <w:shd w:val="clear" w:color="auto" w:fill="FFFFFF"/>
          <w:lang w:val="en-US" w:eastAsia="zh-CN"/>
        </w:rPr>
        <w:t>并</w:t>
      </w:r>
      <w:r>
        <w:rPr>
          <w:rFonts w:hint="eastAsia" w:cs="宋体"/>
          <w:color w:val="auto"/>
          <w:sz w:val="24"/>
          <w:szCs w:val="24"/>
          <w:shd w:val="clear" w:color="auto" w:fill="FFFFFF"/>
        </w:rPr>
        <w:t>满足</w:t>
      </w:r>
      <w:r>
        <w:rPr>
          <w:rFonts w:hint="eastAsia" w:cs="宋体"/>
          <w:color w:val="auto"/>
          <w:sz w:val="24"/>
          <w:szCs w:val="24"/>
          <w:shd w:val="clear" w:color="auto" w:fill="FFFFFF"/>
          <w:lang w:val="en-US" w:eastAsia="zh-CN"/>
        </w:rPr>
        <w:t>采购</w:t>
      </w:r>
      <w:r>
        <w:rPr>
          <w:rFonts w:hint="eastAsia" w:cs="宋体"/>
          <w:color w:val="auto"/>
          <w:sz w:val="24"/>
          <w:szCs w:val="24"/>
          <w:shd w:val="clear" w:color="auto" w:fill="FFFFFF"/>
        </w:rPr>
        <w:t>人要求</w:t>
      </w:r>
      <w:r>
        <w:rPr>
          <w:rFonts w:hint="eastAsia" w:cs="宋体"/>
          <w:color w:val="auto"/>
          <w:sz w:val="24"/>
          <w:szCs w:val="24"/>
          <w:shd w:val="clear" w:color="auto" w:fill="FFFFFF"/>
          <w:lang w:eastAsia="zh-CN"/>
        </w:rPr>
        <w:t>。</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val="en-US" w:eastAsia="zh-CN"/>
        </w:rPr>
        <w:t>7、服务期限</w:t>
      </w:r>
      <w:r>
        <w:rPr>
          <w:rFonts w:hint="eastAsia" w:cs="宋体"/>
          <w:color w:val="auto"/>
          <w:sz w:val="24"/>
          <w:szCs w:val="24"/>
          <w:shd w:val="clear" w:color="auto" w:fill="FFFFFF"/>
          <w:lang w:eastAsia="zh-CN"/>
        </w:rPr>
        <w:t>：</w:t>
      </w:r>
      <w:r>
        <w:rPr>
          <w:rFonts w:hint="eastAsia" w:cs="宋体"/>
          <w:color w:val="auto"/>
          <w:sz w:val="24"/>
          <w:szCs w:val="24"/>
          <w:highlight w:val="none"/>
          <w:shd w:val="clear" w:color="auto" w:fill="FFFFFF"/>
          <w:lang w:eastAsia="zh-CN"/>
        </w:rPr>
        <w:t>合同签订后</w:t>
      </w:r>
      <w:r>
        <w:rPr>
          <w:rFonts w:hint="eastAsia" w:cs="宋体"/>
          <w:color w:val="auto"/>
          <w:sz w:val="24"/>
          <w:szCs w:val="24"/>
          <w:highlight w:val="none"/>
          <w:shd w:val="clear" w:color="auto" w:fill="FFFFFF"/>
          <w:lang w:val="en-US" w:eastAsia="zh-CN"/>
        </w:rPr>
        <w:t>3年。</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val="en-US" w:eastAsia="zh-CN"/>
        </w:rPr>
        <w:t>8</w:t>
      </w:r>
      <w:r>
        <w:rPr>
          <w:rFonts w:hint="eastAsia" w:cs="宋体"/>
          <w:color w:val="auto"/>
          <w:sz w:val="24"/>
          <w:szCs w:val="24"/>
          <w:shd w:val="clear" w:color="auto" w:fill="FFFFFF"/>
        </w:rPr>
        <w:t>、本项目（是/否）接受联合体：否。</w:t>
      </w:r>
    </w:p>
    <w:p>
      <w:pPr>
        <w:pStyle w:val="19"/>
        <w:shd w:val="clear" w:color="auto" w:fill="FFFFFF"/>
        <w:snapToGrid w:val="0"/>
        <w:spacing w:before="0" w:beforeAutospacing="0" w:after="0" w:afterAutospacing="0" w:line="360" w:lineRule="auto"/>
        <w:ind w:firstLine="482" w:firstLineChars="200"/>
        <w:rPr>
          <w:rFonts w:cs="宋体"/>
          <w:b/>
          <w:color w:val="auto"/>
          <w:sz w:val="24"/>
          <w:szCs w:val="24"/>
        </w:rPr>
      </w:pPr>
      <w:r>
        <w:rPr>
          <w:rFonts w:hint="eastAsia" w:cs="宋体"/>
          <w:b/>
          <w:color w:val="auto"/>
          <w:sz w:val="24"/>
          <w:szCs w:val="24"/>
        </w:rPr>
        <w:t>二、申请人资格要求</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1、符合《政府采购法》第二十二条之规定；</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（1）具有独立承担民事责任的能力；</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（2）具有良好的商业信誉和健全的财务会计制度；</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（3）具有履行合同所必需的设备和专业技术能力（提供承诺书，格式自拟）；</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（4）有依法缴纳税收和社会保障资金的良好记录</w:t>
      </w:r>
      <w:r>
        <w:rPr>
          <w:rFonts w:hint="eastAsia" w:cs="宋体"/>
          <w:color w:val="auto"/>
          <w:sz w:val="24"/>
          <w:szCs w:val="24"/>
          <w:shd w:val="clear" w:color="auto" w:fill="FFFFFF"/>
          <w:lang w:eastAsia="zh-CN"/>
        </w:rPr>
        <w:t>（提供近期任意</w:t>
      </w:r>
      <w:r>
        <w:rPr>
          <w:rFonts w:hint="eastAsia" w:cs="宋体"/>
          <w:color w:val="auto"/>
          <w:sz w:val="24"/>
          <w:szCs w:val="24"/>
          <w:shd w:val="clear" w:color="auto" w:fill="FFFFFF"/>
          <w:lang w:val="en-US" w:eastAsia="zh-CN"/>
        </w:rPr>
        <w:t>1</w:t>
      </w:r>
      <w:r>
        <w:rPr>
          <w:rFonts w:hint="eastAsia" w:cs="宋体"/>
          <w:color w:val="auto"/>
          <w:sz w:val="24"/>
          <w:szCs w:val="24"/>
          <w:shd w:val="clear" w:color="auto" w:fill="FFFFFF"/>
          <w:lang w:eastAsia="zh-CN"/>
        </w:rPr>
        <w:t>个月依法缴纳税收和社会保障资金证明材料）</w:t>
      </w:r>
      <w:r>
        <w:rPr>
          <w:rFonts w:hint="eastAsia" w:cs="宋体"/>
          <w:color w:val="auto"/>
          <w:sz w:val="24"/>
          <w:szCs w:val="24"/>
          <w:shd w:val="clear" w:color="auto" w:fill="FFFFFF"/>
        </w:rPr>
        <w:t>；</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（5）参加政府采购活动前三年内，在经营活动中没有重大违法记录（提供承诺书，格式自拟）；</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（6）法律、行政法规规定的其他条件。</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2.落实政府采购政策需满足的资格要求：</w:t>
      </w:r>
      <w:r>
        <w:rPr>
          <w:rFonts w:hint="eastAsia" w:cs="宋体"/>
          <w:color w:val="auto"/>
          <w:sz w:val="24"/>
          <w:szCs w:val="24"/>
          <w:shd w:val="clear" w:color="auto" w:fill="FFFFFF"/>
          <w:lang w:eastAsia="zh-CN"/>
        </w:rPr>
        <w:t>本项目执行优先采购节能产品、环境标志产品，扶持中小企业、监狱企业、残疾人福利性单位发展政策。</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3、本项目的特定资格要求</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3.1独立法人资格，提供有效的营业执照；</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3.2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val="en-US" w:eastAsia="zh-CN"/>
        </w:rPr>
        <w:t>3.3</w:t>
      </w:r>
      <w:r>
        <w:rPr>
          <w:rFonts w:hint="eastAsia" w:cs="宋体"/>
          <w:color w:val="auto"/>
          <w:sz w:val="24"/>
          <w:szCs w:val="24"/>
          <w:shd w:val="clear" w:color="auto" w:fill="FFFFFF"/>
        </w:rPr>
        <w:t>供应商需提供无行贿犯罪记录承诺函（承诺对象包括：供应商、法定代表人、授权委托人）,并对其真实性负责，若承诺不实，造成的后果由供应商自行负责；</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val="en-US" w:eastAsia="zh-CN"/>
        </w:rPr>
        <w:t>3.4</w:t>
      </w:r>
      <w:r>
        <w:rPr>
          <w:rFonts w:hint="eastAsia" w:cs="宋体"/>
          <w:color w:val="auto"/>
          <w:sz w:val="24"/>
          <w:szCs w:val="24"/>
          <w:shd w:val="clear" w:color="auto" w:fill="FFFFFF"/>
        </w:rPr>
        <w:t>本项目不接受联合体投标，不得分包转包；</w:t>
      </w:r>
    </w:p>
    <w:p>
      <w:pPr>
        <w:pStyle w:val="19"/>
        <w:shd w:val="clear" w:color="auto" w:fill="FFFFFF"/>
        <w:snapToGrid w:val="0"/>
        <w:spacing w:before="0" w:beforeAutospacing="0" w:after="0" w:afterAutospacing="0" w:line="360" w:lineRule="auto"/>
        <w:ind w:firstLine="480" w:firstLineChars="200"/>
        <w:rPr>
          <w:rFonts w:cs="宋体"/>
          <w:color w:val="auto"/>
          <w:sz w:val="24"/>
          <w:szCs w:val="24"/>
          <w:shd w:val="clear" w:color="auto" w:fill="FFFFFF"/>
        </w:rPr>
      </w:pPr>
      <w:r>
        <w:rPr>
          <w:rFonts w:hint="eastAsia" w:cs="宋体"/>
          <w:color w:val="auto"/>
          <w:sz w:val="24"/>
          <w:szCs w:val="24"/>
          <w:shd w:val="clear" w:color="auto" w:fill="FFFFFF"/>
        </w:rPr>
        <w:t>本项目采用资格后审，审查内容以投标截止时间前填报上传</w:t>
      </w:r>
      <w:r>
        <w:rPr>
          <w:rFonts w:hint="eastAsia" w:cs="宋体"/>
          <w:color w:val="auto"/>
          <w:sz w:val="24"/>
          <w:szCs w:val="24"/>
          <w:shd w:val="clear" w:color="auto" w:fill="FFFFFF"/>
          <w:lang w:eastAsia="zh-CN"/>
        </w:rPr>
        <w:t>市场主体库</w:t>
      </w:r>
      <w:r>
        <w:rPr>
          <w:rFonts w:hint="eastAsia" w:cs="宋体"/>
          <w:color w:val="auto"/>
          <w:sz w:val="24"/>
          <w:szCs w:val="24"/>
          <w:shd w:val="clear" w:color="auto" w:fill="FFFFFF"/>
        </w:rPr>
        <w:t>信息为准，过期更改的</w:t>
      </w:r>
      <w:r>
        <w:rPr>
          <w:rFonts w:hint="eastAsia" w:cs="宋体"/>
          <w:color w:val="auto"/>
          <w:sz w:val="24"/>
          <w:szCs w:val="24"/>
          <w:shd w:val="clear" w:color="auto" w:fill="FFFFFF"/>
          <w:lang w:eastAsia="zh-CN"/>
        </w:rPr>
        <w:t>主体库</w:t>
      </w:r>
      <w:r>
        <w:rPr>
          <w:rFonts w:hint="eastAsia" w:cs="宋体"/>
          <w:color w:val="auto"/>
          <w:sz w:val="24"/>
          <w:szCs w:val="24"/>
          <w:shd w:val="clear" w:color="auto" w:fill="FFFFFF"/>
        </w:rPr>
        <w:t>信息不作为本项目评审依据。开评标现场不接受</w:t>
      </w:r>
      <w:r>
        <w:rPr>
          <w:rFonts w:hint="eastAsia" w:cs="宋体"/>
          <w:color w:val="auto"/>
          <w:sz w:val="24"/>
          <w:szCs w:val="24"/>
          <w:shd w:val="clear" w:color="auto" w:fill="FFFFFF"/>
          <w:lang w:eastAsia="zh-CN"/>
        </w:rPr>
        <w:t>主体库</w:t>
      </w:r>
      <w:r>
        <w:rPr>
          <w:rFonts w:hint="eastAsia" w:cs="宋体"/>
          <w:color w:val="auto"/>
          <w:sz w:val="24"/>
          <w:szCs w:val="24"/>
          <w:shd w:val="clear" w:color="auto" w:fill="FFFFFF"/>
        </w:rPr>
        <w:t>信息原件。</w:t>
      </w:r>
      <w:r>
        <w:rPr>
          <w:rFonts w:hint="eastAsia" w:cs="宋体"/>
          <w:color w:val="auto"/>
          <w:sz w:val="24"/>
          <w:szCs w:val="24"/>
          <w:shd w:val="clear" w:color="auto" w:fill="FFFFFF"/>
          <w:lang w:eastAsia="zh-CN"/>
        </w:rPr>
        <w:t>主体库</w:t>
      </w:r>
      <w:r>
        <w:rPr>
          <w:rFonts w:hint="eastAsia" w:cs="宋体"/>
          <w:color w:val="auto"/>
          <w:sz w:val="24"/>
          <w:szCs w:val="24"/>
          <w:shd w:val="clear" w:color="auto" w:fill="FFFFFF"/>
        </w:rPr>
        <w:t>上传信息必须内容齐全，真实有效，原件扫描件清晰可辨。否则，由此造成应得分而未得分或资格审查不合格等情况的，由投标企业承担责任。</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eastAsia="zh-CN"/>
        </w:rPr>
        <w:t>三</w:t>
      </w:r>
      <w:r>
        <w:rPr>
          <w:rFonts w:hint="eastAsia" w:cs="宋体"/>
          <w:color w:val="auto"/>
          <w:sz w:val="24"/>
          <w:szCs w:val="24"/>
          <w:shd w:val="clear" w:color="auto" w:fill="FFFFFF"/>
        </w:rPr>
        <w:t>、获取</w:t>
      </w:r>
      <w:r>
        <w:rPr>
          <w:rFonts w:hint="eastAsia" w:cs="宋体"/>
          <w:color w:val="auto"/>
          <w:sz w:val="24"/>
          <w:szCs w:val="24"/>
          <w:shd w:val="clear" w:color="auto" w:fill="FFFFFF"/>
          <w:lang w:eastAsia="zh-CN"/>
        </w:rPr>
        <w:t>竞争性磋商</w:t>
      </w:r>
      <w:r>
        <w:rPr>
          <w:rFonts w:hint="eastAsia" w:cs="宋体"/>
          <w:color w:val="auto"/>
          <w:sz w:val="24"/>
          <w:szCs w:val="24"/>
          <w:shd w:val="clear" w:color="auto" w:fill="FFFFFF"/>
        </w:rPr>
        <w:t>文件</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val="en-US" w:eastAsia="zh-CN"/>
        </w:rPr>
        <w:t>3</w:t>
      </w:r>
      <w:r>
        <w:rPr>
          <w:rFonts w:hint="eastAsia" w:cs="宋体"/>
          <w:color w:val="auto"/>
          <w:sz w:val="24"/>
          <w:szCs w:val="24"/>
          <w:shd w:val="clear" w:color="auto" w:fill="FFFFFF"/>
        </w:rPr>
        <w:t>.1</w:t>
      </w:r>
      <w:r>
        <w:rPr>
          <w:rFonts w:hint="eastAsia" w:cs="宋体"/>
          <w:color w:val="auto"/>
          <w:sz w:val="24"/>
          <w:szCs w:val="24"/>
          <w:shd w:val="clear" w:color="auto" w:fill="FFFFFF"/>
          <w:lang w:eastAsia="zh-CN"/>
        </w:rPr>
        <w:t>市场主体库</w:t>
      </w:r>
      <w:r>
        <w:rPr>
          <w:rFonts w:hint="eastAsia" w:cs="宋体"/>
          <w:color w:val="auto"/>
          <w:sz w:val="24"/>
          <w:szCs w:val="24"/>
          <w:shd w:val="clear" w:color="auto" w:fill="FFFFFF"/>
        </w:rPr>
        <w:t>注册</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本项目只接受南阳市公共资源电子交易平台中已加入</w:t>
      </w:r>
      <w:r>
        <w:rPr>
          <w:rFonts w:hint="eastAsia" w:cs="宋体"/>
          <w:color w:val="auto"/>
          <w:sz w:val="24"/>
          <w:szCs w:val="24"/>
          <w:shd w:val="clear" w:color="auto" w:fill="FFFFFF"/>
          <w:lang w:eastAsia="zh-CN"/>
        </w:rPr>
        <w:t>市场主体库</w:t>
      </w:r>
      <w:r>
        <w:rPr>
          <w:rFonts w:hint="eastAsia" w:cs="宋体"/>
          <w:color w:val="auto"/>
          <w:sz w:val="24"/>
          <w:szCs w:val="24"/>
          <w:shd w:val="clear" w:color="auto" w:fill="FFFFFF"/>
        </w:rPr>
        <w:t>的企业,未入库的投标人请及时办理入库手续。入库办理请参见南阳市公共资源交易中心网站https://ggzyjy.nanyang.gov.cn/TPFRONT下载专区《</w:t>
      </w:r>
      <w:r>
        <w:rPr>
          <w:rFonts w:hint="eastAsia" w:cs="宋体"/>
          <w:color w:val="auto"/>
          <w:sz w:val="24"/>
          <w:szCs w:val="24"/>
          <w:shd w:val="clear" w:color="auto" w:fill="FFFFFF"/>
          <w:lang w:eastAsia="zh-CN"/>
        </w:rPr>
        <w:t>主体库</w:t>
      </w:r>
      <w:r>
        <w:rPr>
          <w:rFonts w:hint="eastAsia" w:cs="宋体"/>
          <w:color w:val="auto"/>
          <w:sz w:val="24"/>
          <w:szCs w:val="24"/>
          <w:shd w:val="clear" w:color="auto" w:fill="FFFFFF"/>
        </w:rPr>
        <w:t>申报操作手册》，企业办理</w:t>
      </w:r>
      <w:r>
        <w:rPr>
          <w:rFonts w:hint="eastAsia" w:cs="宋体"/>
          <w:color w:val="auto"/>
          <w:sz w:val="24"/>
          <w:szCs w:val="24"/>
          <w:shd w:val="clear" w:color="auto" w:fill="FFFFFF"/>
          <w:lang w:eastAsia="zh-CN"/>
        </w:rPr>
        <w:t>主体库</w:t>
      </w:r>
      <w:r>
        <w:rPr>
          <w:rFonts w:hint="eastAsia" w:cs="宋体"/>
          <w:color w:val="auto"/>
          <w:sz w:val="24"/>
          <w:szCs w:val="24"/>
          <w:shd w:val="clear" w:color="auto" w:fill="FFFFFF"/>
        </w:rPr>
        <w:t>不收取任何费用，不需携带原件到南阳市公共资源交易中心进行审核。因未及时办理入库手续导致的责任自负。</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lang w:val="en-US" w:eastAsia="zh-CN"/>
        </w:rPr>
        <w:t>3</w:t>
      </w:r>
      <w:r>
        <w:rPr>
          <w:rFonts w:hint="eastAsia" w:cs="宋体"/>
          <w:color w:val="auto"/>
          <w:sz w:val="24"/>
          <w:szCs w:val="24"/>
          <w:shd w:val="clear" w:color="auto" w:fill="FFFFFF"/>
        </w:rPr>
        <w:t>.2办理CA数字证书</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rPr>
      </w:pPr>
      <w:r>
        <w:rPr>
          <w:rFonts w:hint="eastAsia" w:cs="宋体"/>
          <w:color w:val="auto"/>
          <w:sz w:val="24"/>
          <w:szCs w:val="24"/>
          <w:shd w:val="clear" w:color="auto" w:fill="FFFFFF"/>
        </w:rPr>
        <w:t>投标企业完成</w:t>
      </w:r>
      <w:r>
        <w:rPr>
          <w:rFonts w:hint="eastAsia" w:cs="宋体"/>
          <w:color w:val="auto"/>
          <w:sz w:val="24"/>
          <w:szCs w:val="24"/>
          <w:shd w:val="clear" w:color="auto" w:fill="FFFFFF"/>
          <w:lang w:eastAsia="zh-CN"/>
        </w:rPr>
        <w:t>市场主体库</w:t>
      </w:r>
      <w:r>
        <w:rPr>
          <w:rFonts w:hint="eastAsia" w:cs="宋体"/>
          <w:color w:val="auto"/>
          <w:sz w:val="24"/>
          <w:szCs w:val="24"/>
          <w:shd w:val="clear" w:color="auto" w:fill="FFFFFF"/>
        </w:rPr>
        <w:t>注册后，必须办理CA数字证书方可在网上办理招投标相关业务。CA数字证书办理请参见南阳公共资源交易中心网站下载专区《CA办理所需资料》。</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rPr>
      </w:pPr>
      <w:r>
        <w:rPr>
          <w:rFonts w:hint="eastAsia" w:cs="宋体"/>
          <w:color w:val="auto"/>
          <w:sz w:val="24"/>
          <w:szCs w:val="24"/>
          <w:shd w:val="clear" w:color="auto" w:fill="FFFFFF"/>
          <w:lang w:val="en-US" w:eastAsia="zh-CN"/>
        </w:rPr>
        <w:t>3</w:t>
      </w:r>
      <w:r>
        <w:rPr>
          <w:rFonts w:hint="eastAsia" w:cs="宋体"/>
          <w:color w:val="auto"/>
          <w:sz w:val="24"/>
          <w:szCs w:val="24"/>
          <w:shd w:val="clear" w:color="auto" w:fill="FFFFFF"/>
        </w:rPr>
        <w:t>.3</w:t>
      </w:r>
      <w:r>
        <w:rPr>
          <w:rFonts w:hint="eastAsia" w:cs="宋体"/>
          <w:color w:val="auto"/>
          <w:sz w:val="24"/>
          <w:szCs w:val="24"/>
          <w:shd w:val="clear" w:color="auto" w:fill="FFFFFF"/>
          <w:lang w:eastAsia="zh-CN"/>
        </w:rPr>
        <w:t>竞争性磋商</w:t>
      </w:r>
      <w:r>
        <w:rPr>
          <w:rFonts w:hint="eastAsia" w:cs="宋体"/>
          <w:color w:val="auto"/>
          <w:sz w:val="24"/>
          <w:szCs w:val="24"/>
          <w:shd w:val="clear" w:color="auto" w:fill="FFFFFF"/>
        </w:rPr>
        <w:t>文件的获取</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yellow"/>
          <w:shd w:val="clear" w:color="auto" w:fill="FFFFFF"/>
        </w:rPr>
      </w:pPr>
      <w:r>
        <w:rPr>
          <w:rFonts w:hint="eastAsia" w:cs="宋体"/>
          <w:color w:val="auto"/>
          <w:sz w:val="24"/>
          <w:szCs w:val="24"/>
          <w:highlight w:val="none"/>
          <w:shd w:val="clear" w:color="auto" w:fill="FFFFFF"/>
          <w:lang w:eastAsia="zh-CN"/>
        </w:rPr>
        <w:t>竞争性磋商</w:t>
      </w:r>
      <w:r>
        <w:rPr>
          <w:rFonts w:hint="eastAsia" w:cs="宋体"/>
          <w:color w:val="auto"/>
          <w:sz w:val="24"/>
          <w:szCs w:val="24"/>
          <w:highlight w:val="none"/>
          <w:shd w:val="clear" w:color="auto" w:fill="FFFFFF"/>
        </w:rPr>
        <w:t>文件的获取时间：202</w:t>
      </w:r>
      <w:r>
        <w:rPr>
          <w:rFonts w:hint="eastAsia" w:cs="宋体"/>
          <w:color w:val="auto"/>
          <w:sz w:val="24"/>
          <w:szCs w:val="24"/>
          <w:highlight w:val="none"/>
          <w:shd w:val="clear" w:color="auto" w:fill="FFFFFF"/>
          <w:lang w:val="en-US" w:eastAsia="zh-CN"/>
        </w:rPr>
        <w:t>4</w:t>
      </w:r>
      <w:r>
        <w:rPr>
          <w:rFonts w:hint="eastAsia" w:cs="宋体"/>
          <w:color w:val="auto"/>
          <w:sz w:val="24"/>
          <w:szCs w:val="24"/>
          <w:highlight w:val="none"/>
          <w:shd w:val="clear" w:color="auto" w:fill="FFFFFF"/>
        </w:rPr>
        <w:t>年</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rPr>
        <w:t>月</w:t>
      </w:r>
      <w:r>
        <w:rPr>
          <w:rFonts w:hint="eastAsia" w:cs="宋体"/>
          <w:color w:val="auto"/>
          <w:sz w:val="24"/>
          <w:szCs w:val="24"/>
          <w:highlight w:val="none"/>
          <w:shd w:val="clear" w:color="auto" w:fill="FFFFFF"/>
          <w:lang w:val="en-US" w:eastAsia="zh-CN"/>
        </w:rPr>
        <w:t>16</w:t>
      </w:r>
      <w:r>
        <w:rPr>
          <w:rFonts w:hint="eastAsia" w:cs="宋体"/>
          <w:color w:val="auto"/>
          <w:sz w:val="24"/>
          <w:szCs w:val="24"/>
          <w:highlight w:val="none"/>
          <w:shd w:val="clear" w:color="auto" w:fill="FFFFFF"/>
        </w:rPr>
        <w:t>日</w:t>
      </w:r>
      <w:r>
        <w:rPr>
          <w:rFonts w:hint="eastAsia" w:cs="宋体"/>
          <w:color w:val="auto"/>
          <w:sz w:val="24"/>
          <w:szCs w:val="24"/>
          <w:highlight w:val="none"/>
          <w:shd w:val="clear" w:color="auto" w:fill="FFFFFF"/>
          <w:lang w:val="en-US" w:eastAsia="zh-CN"/>
        </w:rPr>
        <w:t>00</w:t>
      </w:r>
      <w:r>
        <w:rPr>
          <w:rFonts w:hint="eastAsia" w:cs="宋体"/>
          <w:color w:val="auto"/>
          <w:sz w:val="24"/>
          <w:szCs w:val="24"/>
          <w:highlight w:val="none"/>
          <w:shd w:val="clear" w:color="auto" w:fill="FFFFFF"/>
          <w:lang w:eastAsia="zh-CN"/>
        </w:rPr>
        <w:t>时</w:t>
      </w:r>
      <w:r>
        <w:rPr>
          <w:rFonts w:hint="eastAsia" w:cs="宋体"/>
          <w:color w:val="auto"/>
          <w:sz w:val="24"/>
          <w:szCs w:val="24"/>
          <w:highlight w:val="none"/>
          <w:shd w:val="clear" w:color="auto" w:fill="FFFFFF"/>
        </w:rPr>
        <w:t>00</w:t>
      </w:r>
      <w:r>
        <w:rPr>
          <w:rFonts w:hint="eastAsia" w:cs="宋体"/>
          <w:color w:val="auto"/>
          <w:sz w:val="24"/>
          <w:szCs w:val="24"/>
          <w:highlight w:val="none"/>
          <w:shd w:val="clear" w:color="auto" w:fill="FFFFFF"/>
          <w:lang w:eastAsia="zh-CN"/>
        </w:rPr>
        <w:t>分</w:t>
      </w:r>
      <w:r>
        <w:rPr>
          <w:rFonts w:hint="eastAsia" w:cs="宋体"/>
          <w:color w:val="auto"/>
          <w:sz w:val="24"/>
          <w:szCs w:val="24"/>
          <w:highlight w:val="none"/>
          <w:shd w:val="clear" w:color="auto" w:fill="FFFFFF"/>
        </w:rPr>
        <w:t>至</w:t>
      </w:r>
      <w:r>
        <w:rPr>
          <w:rFonts w:hint="eastAsia" w:cs="宋体"/>
          <w:color w:val="auto"/>
          <w:sz w:val="24"/>
          <w:szCs w:val="24"/>
          <w:highlight w:val="none"/>
          <w:shd w:val="clear" w:color="auto" w:fill="FFFFFF"/>
          <w:lang w:eastAsia="zh-CN"/>
        </w:rPr>
        <w:t>202</w:t>
      </w:r>
      <w:r>
        <w:rPr>
          <w:rFonts w:hint="eastAsia" w:cs="宋体"/>
          <w:color w:val="auto"/>
          <w:sz w:val="24"/>
          <w:szCs w:val="24"/>
          <w:highlight w:val="none"/>
          <w:shd w:val="clear" w:color="auto" w:fill="FFFFFF"/>
          <w:lang w:val="en-US" w:eastAsia="zh-CN"/>
        </w:rPr>
        <w:t>4</w:t>
      </w:r>
      <w:r>
        <w:rPr>
          <w:rFonts w:hint="eastAsia" w:cs="宋体"/>
          <w:color w:val="auto"/>
          <w:sz w:val="24"/>
          <w:szCs w:val="24"/>
          <w:highlight w:val="none"/>
          <w:shd w:val="clear" w:color="auto" w:fill="FFFFFF"/>
          <w:lang w:eastAsia="zh-CN"/>
        </w:rPr>
        <w:t>年</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lang w:eastAsia="zh-CN"/>
        </w:rPr>
        <w:t>月</w:t>
      </w:r>
      <w:r>
        <w:rPr>
          <w:rFonts w:hint="eastAsia" w:cs="宋体"/>
          <w:color w:val="auto"/>
          <w:sz w:val="24"/>
          <w:szCs w:val="24"/>
          <w:highlight w:val="none"/>
          <w:shd w:val="clear" w:color="auto" w:fill="FFFFFF"/>
          <w:lang w:val="en-US" w:eastAsia="zh-CN"/>
        </w:rPr>
        <w:t xml:space="preserve"> 23</w:t>
      </w:r>
      <w:r>
        <w:rPr>
          <w:rFonts w:hint="eastAsia" w:cs="宋体"/>
          <w:color w:val="auto"/>
          <w:sz w:val="24"/>
          <w:szCs w:val="24"/>
          <w:highlight w:val="none"/>
          <w:shd w:val="clear" w:color="auto" w:fill="FFFFFF"/>
          <w:lang w:eastAsia="zh-CN"/>
        </w:rPr>
        <w:t>日</w:t>
      </w:r>
      <w:r>
        <w:rPr>
          <w:rFonts w:hint="eastAsia" w:cs="宋体"/>
          <w:color w:val="auto"/>
          <w:sz w:val="24"/>
          <w:szCs w:val="24"/>
          <w:highlight w:val="none"/>
          <w:shd w:val="clear" w:color="auto" w:fill="FFFFFF"/>
          <w:lang w:val="en-US" w:eastAsia="zh-CN"/>
        </w:rPr>
        <w:t>23</w:t>
      </w:r>
      <w:r>
        <w:rPr>
          <w:rFonts w:hint="eastAsia" w:cs="宋体"/>
          <w:color w:val="auto"/>
          <w:sz w:val="24"/>
          <w:szCs w:val="24"/>
          <w:highlight w:val="none"/>
          <w:shd w:val="clear" w:color="auto" w:fill="FFFFFF"/>
          <w:lang w:eastAsia="zh-CN"/>
        </w:rPr>
        <w:t>时</w:t>
      </w:r>
      <w:r>
        <w:rPr>
          <w:rFonts w:hint="eastAsia" w:cs="宋体"/>
          <w:color w:val="auto"/>
          <w:sz w:val="24"/>
          <w:szCs w:val="24"/>
          <w:highlight w:val="none"/>
          <w:shd w:val="clear" w:color="auto" w:fill="FFFFFF"/>
          <w:lang w:val="en-US" w:eastAsia="zh-CN"/>
        </w:rPr>
        <w:t>59</w:t>
      </w:r>
      <w:r>
        <w:rPr>
          <w:rFonts w:hint="eastAsia" w:cs="宋体"/>
          <w:color w:val="auto"/>
          <w:sz w:val="24"/>
          <w:szCs w:val="24"/>
          <w:highlight w:val="none"/>
          <w:shd w:val="clear" w:color="auto" w:fill="FFFFFF"/>
          <w:lang w:eastAsia="zh-CN"/>
        </w:rPr>
        <w:t>分</w:t>
      </w:r>
      <w:r>
        <w:rPr>
          <w:rFonts w:hint="eastAsia" w:cs="宋体"/>
          <w:color w:val="auto"/>
          <w:sz w:val="24"/>
          <w:szCs w:val="24"/>
          <w:highlight w:val="none"/>
          <w:shd w:val="clear" w:color="auto" w:fill="FFFFFF"/>
        </w:rPr>
        <w:t>。</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竞争性磋商文件获取方法：</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潜在供应商网上自行登录社旗县公共资源交易系统（从社旗县公共资源交易中心网站http://ggzyjy.nanyang.gov.cn/SQXWeb/</w:t>
      </w:r>
      <w:r>
        <w:rPr>
          <w:rFonts w:hint="eastAsia" w:cs="宋体"/>
          <w:color w:val="auto"/>
          <w:sz w:val="24"/>
          <w:szCs w:val="24"/>
          <w:shd w:val="clear" w:color="auto" w:fill="FFFFFF"/>
          <w:lang w:val="en-US" w:eastAsia="zh-CN"/>
        </w:rPr>
        <w:t>右</w:t>
      </w:r>
      <w:r>
        <w:rPr>
          <w:rFonts w:hint="eastAsia" w:cs="宋体"/>
          <w:color w:val="auto"/>
          <w:sz w:val="24"/>
          <w:szCs w:val="24"/>
          <w:shd w:val="clear" w:color="auto" w:fill="FFFFFF"/>
          <w:lang w:eastAsia="zh-CN"/>
        </w:rPr>
        <w:t>侧“</w:t>
      </w:r>
      <w:r>
        <w:rPr>
          <w:rFonts w:hint="eastAsia" w:cs="宋体"/>
          <w:color w:val="auto"/>
          <w:sz w:val="24"/>
          <w:szCs w:val="24"/>
          <w:shd w:val="clear" w:color="auto" w:fill="FFFFFF"/>
          <w:lang w:val="en-US" w:eastAsia="zh-CN"/>
        </w:rPr>
        <w:t>交易主体</w:t>
      </w:r>
      <w:r>
        <w:rPr>
          <w:rFonts w:hint="eastAsia" w:cs="宋体"/>
          <w:color w:val="auto"/>
          <w:sz w:val="24"/>
          <w:szCs w:val="24"/>
          <w:shd w:val="clear" w:color="auto" w:fill="FFFFFF"/>
          <w:lang w:eastAsia="zh-CN"/>
        </w:rPr>
        <w:t>登录”入口进入）下载采购/磋商文件，若因为自身原因错过文件下载时间，造成损失由潜在供应商自行承担。（操作过程中，请务必保持CA证书在电脑端的正常接入）</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竞争性磋商文件费用：不收取。</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本项目投标保证金不再缴纳。</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四、响应文件提交</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eastAsia="zh-CN"/>
        </w:rPr>
        <w:t> 截止时间：202</w:t>
      </w:r>
      <w:r>
        <w:rPr>
          <w:rFonts w:hint="eastAsia" w:cs="宋体"/>
          <w:color w:val="auto"/>
          <w:sz w:val="24"/>
          <w:szCs w:val="24"/>
          <w:highlight w:val="none"/>
          <w:shd w:val="clear" w:color="auto" w:fill="FFFFFF"/>
          <w:lang w:val="en-US" w:eastAsia="zh-CN"/>
        </w:rPr>
        <w:t>4</w:t>
      </w:r>
      <w:r>
        <w:rPr>
          <w:rFonts w:hint="eastAsia" w:cs="宋体"/>
          <w:color w:val="auto"/>
          <w:sz w:val="24"/>
          <w:szCs w:val="24"/>
          <w:highlight w:val="none"/>
          <w:shd w:val="clear" w:color="auto" w:fill="FFFFFF"/>
          <w:lang w:eastAsia="zh-CN"/>
        </w:rPr>
        <w:t>年</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lang w:eastAsia="zh-CN"/>
        </w:rPr>
        <w:t>月</w:t>
      </w:r>
      <w:r>
        <w:rPr>
          <w:rFonts w:hint="eastAsia" w:cs="宋体"/>
          <w:color w:val="auto"/>
          <w:sz w:val="24"/>
          <w:szCs w:val="24"/>
          <w:highlight w:val="none"/>
          <w:shd w:val="clear" w:color="auto" w:fill="FFFFFF"/>
          <w:lang w:val="en-US" w:eastAsia="zh-CN"/>
        </w:rPr>
        <w:t>28</w:t>
      </w:r>
      <w:r>
        <w:rPr>
          <w:rFonts w:hint="eastAsia" w:cs="宋体"/>
          <w:color w:val="auto"/>
          <w:sz w:val="24"/>
          <w:szCs w:val="24"/>
          <w:highlight w:val="none"/>
          <w:shd w:val="clear" w:color="auto" w:fill="FFFFFF"/>
          <w:lang w:eastAsia="zh-CN"/>
        </w:rPr>
        <w:t>日1</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lang w:eastAsia="zh-CN"/>
        </w:rPr>
        <w:t>时</w:t>
      </w:r>
      <w:r>
        <w:rPr>
          <w:rFonts w:hint="eastAsia" w:cs="宋体"/>
          <w:color w:val="auto"/>
          <w:sz w:val="24"/>
          <w:szCs w:val="24"/>
          <w:highlight w:val="none"/>
          <w:shd w:val="clear" w:color="auto" w:fill="FFFFFF"/>
          <w:lang w:val="en-US" w:eastAsia="zh-CN"/>
        </w:rPr>
        <w:t>0</w:t>
      </w:r>
      <w:r>
        <w:rPr>
          <w:rFonts w:hint="eastAsia" w:cs="宋体"/>
          <w:color w:val="auto"/>
          <w:sz w:val="24"/>
          <w:szCs w:val="24"/>
          <w:highlight w:val="none"/>
          <w:shd w:val="clear" w:color="auto" w:fill="FFFFFF"/>
          <w:lang w:eastAsia="zh-CN"/>
        </w:rPr>
        <w:t>0分（北京时间）</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五、响应文件开启</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eastAsia="zh-CN"/>
        </w:rPr>
        <w:t>开启时间：202</w:t>
      </w:r>
      <w:r>
        <w:rPr>
          <w:rFonts w:hint="eastAsia" w:cs="宋体"/>
          <w:color w:val="auto"/>
          <w:sz w:val="24"/>
          <w:szCs w:val="24"/>
          <w:highlight w:val="none"/>
          <w:shd w:val="clear" w:color="auto" w:fill="FFFFFF"/>
          <w:lang w:val="en-US" w:eastAsia="zh-CN"/>
        </w:rPr>
        <w:t>4</w:t>
      </w:r>
      <w:r>
        <w:rPr>
          <w:rFonts w:hint="eastAsia" w:cs="宋体"/>
          <w:color w:val="auto"/>
          <w:sz w:val="24"/>
          <w:szCs w:val="24"/>
          <w:highlight w:val="none"/>
          <w:shd w:val="clear" w:color="auto" w:fill="FFFFFF"/>
          <w:lang w:eastAsia="zh-CN"/>
        </w:rPr>
        <w:t>年</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lang w:eastAsia="zh-CN"/>
        </w:rPr>
        <w:t>月</w:t>
      </w:r>
      <w:r>
        <w:rPr>
          <w:rFonts w:hint="eastAsia" w:cs="宋体"/>
          <w:color w:val="auto"/>
          <w:sz w:val="24"/>
          <w:szCs w:val="24"/>
          <w:highlight w:val="none"/>
          <w:shd w:val="clear" w:color="auto" w:fill="FFFFFF"/>
          <w:lang w:val="en-US" w:eastAsia="zh-CN"/>
        </w:rPr>
        <w:t>28</w:t>
      </w:r>
      <w:r>
        <w:rPr>
          <w:rFonts w:hint="eastAsia" w:cs="宋体"/>
          <w:color w:val="auto"/>
          <w:sz w:val="24"/>
          <w:szCs w:val="24"/>
          <w:highlight w:val="none"/>
          <w:shd w:val="clear" w:color="auto" w:fill="FFFFFF"/>
          <w:lang w:eastAsia="zh-CN"/>
        </w:rPr>
        <w:t>日1</w:t>
      </w:r>
      <w:r>
        <w:rPr>
          <w:rFonts w:hint="eastAsia" w:cs="宋体"/>
          <w:color w:val="auto"/>
          <w:sz w:val="24"/>
          <w:szCs w:val="24"/>
          <w:highlight w:val="none"/>
          <w:shd w:val="clear" w:color="auto" w:fill="FFFFFF"/>
          <w:lang w:val="en-US" w:eastAsia="zh-CN"/>
        </w:rPr>
        <w:t>5</w:t>
      </w:r>
      <w:r>
        <w:rPr>
          <w:rFonts w:hint="eastAsia" w:cs="宋体"/>
          <w:color w:val="auto"/>
          <w:sz w:val="24"/>
          <w:szCs w:val="24"/>
          <w:highlight w:val="none"/>
          <w:shd w:val="clear" w:color="auto" w:fill="FFFFFF"/>
          <w:lang w:eastAsia="zh-CN"/>
        </w:rPr>
        <w:t>时</w:t>
      </w:r>
      <w:r>
        <w:rPr>
          <w:rFonts w:hint="eastAsia" w:cs="宋体"/>
          <w:color w:val="auto"/>
          <w:sz w:val="24"/>
          <w:szCs w:val="24"/>
          <w:highlight w:val="none"/>
          <w:shd w:val="clear" w:color="auto" w:fill="FFFFFF"/>
          <w:lang w:val="en-US" w:eastAsia="zh-CN"/>
        </w:rPr>
        <w:t>0</w:t>
      </w:r>
      <w:r>
        <w:rPr>
          <w:rFonts w:hint="eastAsia" w:cs="宋体"/>
          <w:color w:val="auto"/>
          <w:sz w:val="24"/>
          <w:szCs w:val="24"/>
          <w:highlight w:val="none"/>
          <w:shd w:val="clear" w:color="auto" w:fill="FFFFFF"/>
          <w:lang w:eastAsia="zh-CN"/>
        </w:rPr>
        <w:t>0分（北京时间）</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地点：http://ggzyjy.nanyang.gov.cn/SQXWeb/</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六、公告期限及发布公告的媒介</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自本公告发布之日起</w:t>
      </w:r>
      <w:r>
        <w:rPr>
          <w:rFonts w:hint="eastAsia" w:cs="宋体"/>
          <w:color w:val="auto"/>
          <w:sz w:val="24"/>
          <w:szCs w:val="24"/>
          <w:shd w:val="clear" w:color="auto" w:fill="FFFFFF"/>
          <w:lang w:val="en-US" w:eastAsia="zh-CN"/>
        </w:rPr>
        <w:t>6</w:t>
      </w:r>
      <w:r>
        <w:rPr>
          <w:rFonts w:hint="eastAsia" w:cs="宋体"/>
          <w:color w:val="auto"/>
          <w:sz w:val="24"/>
          <w:szCs w:val="24"/>
          <w:shd w:val="clear" w:color="auto" w:fill="FFFFFF"/>
          <w:lang w:eastAsia="zh-CN"/>
        </w:rPr>
        <w:t>个工作日。</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本次公告在《中国招标投标公共服务平台》、《</w:t>
      </w:r>
      <w:r>
        <w:rPr>
          <w:rFonts w:hint="eastAsia" w:cs="宋体"/>
          <w:color w:val="auto"/>
          <w:sz w:val="24"/>
          <w:szCs w:val="24"/>
          <w:shd w:val="clear" w:color="auto" w:fill="FFFFFF"/>
          <w:lang w:val="en-US" w:eastAsia="zh-CN"/>
        </w:rPr>
        <w:t>河南省电子</w:t>
      </w:r>
      <w:r>
        <w:rPr>
          <w:rFonts w:hint="eastAsia" w:cs="宋体"/>
          <w:color w:val="auto"/>
          <w:sz w:val="24"/>
          <w:szCs w:val="24"/>
          <w:shd w:val="clear" w:color="auto" w:fill="FFFFFF"/>
          <w:lang w:eastAsia="zh-CN"/>
        </w:rPr>
        <w:t>招标投标公共服务平台》、《河南省政府采购网》和《社旗县公共资源交易中心》网上同时发布。</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七、其他补充事宜</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1、</w:t>
      </w:r>
      <w:r>
        <w:rPr>
          <w:rFonts w:hint="eastAsia" w:cs="宋体"/>
          <w:color w:val="auto"/>
          <w:sz w:val="24"/>
          <w:szCs w:val="24"/>
          <w:shd w:val="clear" w:color="auto" w:fill="FFFFFF"/>
          <w:lang w:eastAsia="zh-CN"/>
        </w:rPr>
        <w:t>本次招标采用全流程电子辅助招投标。</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2</w:t>
      </w:r>
      <w:r>
        <w:rPr>
          <w:rFonts w:hint="eastAsia" w:cs="宋体"/>
          <w:color w:val="auto"/>
          <w:sz w:val="24"/>
          <w:szCs w:val="24"/>
          <w:shd w:val="clear" w:color="auto" w:fill="FFFFFF"/>
          <w:lang w:eastAsia="zh-CN"/>
        </w:rPr>
        <w:t>、本项目为电子评标项目，投标人须提供电子响应文件，电子响应文件需要使用投标文件制作工具制作，制作工具及操作手册可登录社旗县公共资源交易系统（网址：http://ggzyjy.nanyang.gov.cn/SQXWeb），在“下载专区”中下载。</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3</w:t>
      </w:r>
      <w:r>
        <w:rPr>
          <w:rFonts w:hint="eastAsia" w:cs="宋体"/>
          <w:color w:val="auto"/>
          <w:sz w:val="24"/>
          <w:szCs w:val="24"/>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4</w:t>
      </w:r>
      <w:r>
        <w:rPr>
          <w:rFonts w:hint="eastAsia" w:cs="宋体"/>
          <w:color w:val="auto"/>
          <w:sz w:val="24"/>
          <w:szCs w:val="24"/>
          <w:shd w:val="clear" w:color="auto" w:fill="FFFFFF"/>
          <w:lang w:eastAsia="zh-CN"/>
        </w:rPr>
        <w:t>、该项目需要使用不见面开标，投标人无需前往现场参与投标。各投标人根据手册要求，提前做好相关准备工作。附件：操作手册地址(下载专区中自行下载)、不见面开标大厅地</w:t>
      </w:r>
      <w:r>
        <w:rPr>
          <w:rFonts w:hint="default" w:cs="宋体"/>
          <w:color w:val="auto"/>
          <w:sz w:val="24"/>
          <w:szCs w:val="24"/>
          <w:shd w:val="clear" w:color="auto" w:fill="FFFFFF"/>
          <w:lang w:eastAsia="zh-CN"/>
        </w:rPr>
        <w:t>https://ggzyjy.nanyang.gov.cn/BidOpening/bidopeninghallaction/hall/login</w:t>
      </w:r>
      <w:r>
        <w:rPr>
          <w:rFonts w:hint="eastAsia" w:cs="宋体"/>
          <w:color w:val="auto"/>
          <w:sz w:val="24"/>
          <w:szCs w:val="24"/>
          <w:shd w:val="clear" w:color="auto" w:fill="FFFFFF"/>
          <w:lang w:eastAsia="zh-CN"/>
        </w:rPr>
        <w:t>；</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5</w:t>
      </w:r>
      <w:r>
        <w:rPr>
          <w:rFonts w:hint="eastAsia" w:cs="宋体"/>
          <w:color w:val="auto"/>
          <w:sz w:val="24"/>
          <w:szCs w:val="24"/>
          <w:shd w:val="clear" w:color="auto" w:fill="FFFFFF"/>
          <w:lang w:eastAsia="zh-CN"/>
        </w:rPr>
        <w:t>、该项目自行上传响应文件，无需寄送和递交非加密响应文件光盘等。需要注意开标前登录不见面系统进行签到；</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6</w:t>
      </w:r>
      <w:r>
        <w:rPr>
          <w:rFonts w:hint="eastAsia" w:cs="宋体"/>
          <w:color w:val="auto"/>
          <w:sz w:val="24"/>
          <w:szCs w:val="24"/>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7</w:t>
      </w:r>
      <w:r>
        <w:rPr>
          <w:rFonts w:hint="eastAsia" w:cs="宋体"/>
          <w:color w:val="auto"/>
          <w:sz w:val="24"/>
          <w:szCs w:val="24"/>
          <w:shd w:val="clear" w:color="auto" w:fill="FFFFFF"/>
          <w:lang w:eastAsia="zh-CN"/>
        </w:rPr>
        <w:t>、不见面开标过程中，如投标人准备不到位，造成无法及时解密、网络问题等情况造成开标无法继续的，视为该投标人自动放弃投标（30分钟内），将被退回响应文件。</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8</w:t>
      </w:r>
      <w:r>
        <w:rPr>
          <w:rFonts w:hint="eastAsia" w:cs="宋体"/>
          <w:color w:val="auto"/>
          <w:sz w:val="24"/>
          <w:szCs w:val="24"/>
          <w:shd w:val="clear" w:color="auto" w:fill="FFFFFF"/>
          <w:lang w:eastAsia="zh-CN"/>
        </w:rPr>
        <w:t>、响应文件递交、解密完成后，投标人需继续等待，并登录会员系统，在评审结束前保持在线状态，确保可以及时接收竞争性磋商小组提出的磋商及最终报价要求。</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9</w:t>
      </w:r>
      <w:r>
        <w:rPr>
          <w:rFonts w:hint="eastAsia" w:cs="宋体"/>
          <w:color w:val="auto"/>
          <w:sz w:val="24"/>
          <w:szCs w:val="24"/>
          <w:shd w:val="clear" w:color="auto" w:fill="FFFFFF"/>
          <w:lang w:eastAsia="zh-CN"/>
        </w:rPr>
        <w:t>、投标人应时刻关注会员系统消息提醒，在规定时间内及时回应竞争性磋商小组提出的磋商及最终报价要求。</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val="en-US" w:eastAsia="zh-CN"/>
        </w:rPr>
        <w:t>10</w:t>
      </w:r>
      <w:r>
        <w:rPr>
          <w:rFonts w:hint="eastAsia" w:cs="宋体"/>
          <w:color w:val="auto"/>
          <w:sz w:val="24"/>
          <w:szCs w:val="24"/>
          <w:shd w:val="clear" w:color="auto" w:fill="FFFFFF"/>
          <w:lang w:eastAsia="zh-CN"/>
        </w:rPr>
        <w:t>、未按上述要求操作，造成不能参加磋商及最终报价的，后果由相关投标人自行承担。</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shd w:val="clear" w:color="auto" w:fill="FFFFFF"/>
          <w:lang w:eastAsia="zh-CN"/>
        </w:rPr>
      </w:pPr>
      <w:r>
        <w:rPr>
          <w:rFonts w:hint="eastAsia" w:cs="宋体"/>
          <w:color w:val="auto"/>
          <w:sz w:val="24"/>
          <w:szCs w:val="24"/>
          <w:shd w:val="clear" w:color="auto" w:fill="FFFFFF"/>
          <w:lang w:eastAsia="zh-CN"/>
        </w:rPr>
        <w:t>八、凡对本次采购提出询问，请按以下方式联系</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eastAsia="zh-CN"/>
        </w:rPr>
        <w:t>1.采购人信息</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eastAsia="zh-CN"/>
        </w:rPr>
        <w:t>名    称：社旗县机关事务中心</w:t>
      </w:r>
      <w:r>
        <w:rPr>
          <w:rFonts w:hint="eastAsia" w:cs="宋体"/>
          <w:color w:val="auto"/>
          <w:sz w:val="24"/>
          <w:szCs w:val="24"/>
          <w:highlight w:val="none"/>
          <w:shd w:val="clear" w:color="auto" w:fill="FFFFFF"/>
          <w:lang w:val="en-US" w:eastAsia="zh-CN"/>
        </w:rPr>
        <w:t xml:space="preserve"> </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eastAsia="zh-CN"/>
        </w:rPr>
        <w:t>地    址：</w:t>
      </w:r>
      <w:r>
        <w:rPr>
          <w:rFonts w:hint="eastAsia" w:cs="宋体"/>
          <w:color w:val="auto"/>
          <w:sz w:val="24"/>
          <w:szCs w:val="24"/>
          <w:highlight w:val="none"/>
          <w:shd w:val="clear" w:color="auto" w:fill="FFFFFF"/>
          <w:lang w:val="en-US" w:eastAsia="zh-CN"/>
        </w:rPr>
        <w:t>社旗县北中心街1号</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eastAsia="zh-CN"/>
        </w:rPr>
        <w:t>联 系 人：</w:t>
      </w:r>
      <w:r>
        <w:rPr>
          <w:rFonts w:hint="eastAsia" w:cs="宋体"/>
          <w:color w:val="auto"/>
          <w:sz w:val="24"/>
          <w:szCs w:val="24"/>
          <w:highlight w:val="none"/>
          <w:shd w:val="clear" w:color="auto" w:fill="FFFFFF"/>
          <w:lang w:val="en-US" w:eastAsia="zh-CN"/>
        </w:rPr>
        <w:t>高松</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yellow"/>
          <w:shd w:val="clear" w:color="auto" w:fill="FFFFFF"/>
          <w:lang w:val="en-US" w:eastAsia="zh-CN"/>
        </w:rPr>
      </w:pPr>
      <w:r>
        <w:rPr>
          <w:rFonts w:hint="eastAsia" w:cs="宋体"/>
          <w:color w:val="auto"/>
          <w:sz w:val="24"/>
          <w:szCs w:val="24"/>
          <w:highlight w:val="none"/>
          <w:shd w:val="clear" w:color="auto" w:fill="FFFFFF"/>
          <w:lang w:eastAsia="zh-CN"/>
        </w:rPr>
        <w:t>联系方式：</w:t>
      </w:r>
      <w:r>
        <w:rPr>
          <w:rFonts w:hint="eastAsia" w:cs="宋体"/>
          <w:color w:val="auto"/>
          <w:sz w:val="24"/>
          <w:szCs w:val="24"/>
          <w:highlight w:val="none"/>
          <w:shd w:val="clear" w:color="auto" w:fill="FFFFFF"/>
          <w:lang w:val="en-US" w:eastAsia="zh-CN"/>
        </w:rPr>
        <w:t>17639932500</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eastAsia="zh-CN"/>
        </w:rPr>
        <w:t>2.采购代理机构信息</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招标代理机构：河南盛中工程咨询有限公司</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地    址：南阳市宛城区孔明南路万达坊</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 xml:space="preserve">联系 人：许宁        </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联系电话：18211855550</w:t>
      </w:r>
    </w:p>
    <w:p>
      <w:pPr>
        <w:pStyle w:val="19"/>
        <w:shd w:val="clear" w:color="auto" w:fill="FFFFFF"/>
        <w:snapToGrid w:val="0"/>
        <w:spacing w:before="0" w:beforeAutospacing="0" w:after="0" w:afterAutospacing="0" w:line="360" w:lineRule="auto"/>
        <w:ind w:firstLine="480" w:firstLineChars="200"/>
        <w:rPr>
          <w:rFonts w:hint="eastAsia"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3.项目监督部门</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监督部门：社旗县财政局</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联 系 人：李钊</w:t>
      </w:r>
    </w:p>
    <w:p>
      <w:pPr>
        <w:pStyle w:val="19"/>
        <w:shd w:val="clear" w:color="auto" w:fill="FFFFFF"/>
        <w:snapToGrid w:val="0"/>
        <w:spacing w:before="0" w:beforeAutospacing="0" w:after="0" w:afterAutospacing="0" w:line="360" w:lineRule="auto"/>
        <w:ind w:firstLine="480" w:firstLineChars="200"/>
        <w:rPr>
          <w:rFonts w:hint="default"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联系方式：0377-83978057</w:t>
      </w:r>
    </w:p>
    <w:p>
      <w:pPr>
        <w:pStyle w:val="19"/>
        <w:shd w:val="clear" w:color="auto" w:fill="FFFFFF"/>
        <w:snapToGrid w:val="0"/>
        <w:spacing w:before="0" w:beforeAutospacing="0" w:after="0" w:afterAutospacing="0" w:line="360" w:lineRule="auto"/>
        <w:ind w:firstLine="480" w:firstLineChars="200"/>
        <w:jc w:val="right"/>
        <w:rPr>
          <w:rFonts w:hint="eastAsia" w:cs="宋体"/>
          <w:color w:val="auto"/>
          <w:sz w:val="24"/>
          <w:szCs w:val="24"/>
          <w:highlight w:val="none"/>
          <w:shd w:val="clear" w:color="auto" w:fill="FFFFFF"/>
          <w:lang w:val="en-US" w:eastAsia="zh-CN"/>
        </w:rPr>
      </w:pPr>
    </w:p>
    <w:p>
      <w:pPr>
        <w:pStyle w:val="19"/>
        <w:shd w:val="clear" w:color="auto" w:fill="FFFFFF"/>
        <w:snapToGrid w:val="0"/>
        <w:spacing w:before="0" w:beforeAutospacing="0" w:after="0" w:afterAutospacing="0" w:line="360" w:lineRule="auto"/>
        <w:ind w:firstLine="480" w:firstLineChars="200"/>
        <w:jc w:val="right"/>
        <w:rPr>
          <w:rFonts w:hint="eastAsia" w:cs="宋体"/>
          <w:color w:val="auto"/>
          <w:sz w:val="24"/>
          <w:szCs w:val="24"/>
          <w:highlight w:val="none"/>
          <w:shd w:val="clear" w:color="auto" w:fill="FFFFFF"/>
          <w:lang w:val="en-US" w:eastAsia="zh-CN"/>
        </w:rPr>
      </w:pPr>
    </w:p>
    <w:p>
      <w:pPr>
        <w:jc w:val="right"/>
        <w:rPr>
          <w:color w:val="auto"/>
        </w:rPr>
      </w:pPr>
      <w:r>
        <w:rPr>
          <w:rFonts w:hint="eastAsia" w:cs="宋体"/>
          <w:color w:val="auto"/>
          <w:sz w:val="24"/>
          <w:szCs w:val="24"/>
          <w:highlight w:val="none"/>
          <w:shd w:val="clear" w:color="auto" w:fill="FFFFFF"/>
          <w:lang w:val="en-US" w:eastAsia="zh-CN"/>
        </w:rPr>
        <w:t>2024年5月15日</w:t>
      </w:r>
    </w:p>
    <w:p>
      <w:pPr>
        <w:pStyle w:val="19"/>
        <w:shd w:val="clear" w:color="auto" w:fill="FFFFFF"/>
        <w:snapToGrid w:val="0"/>
        <w:spacing w:before="0" w:beforeAutospacing="0" w:after="0" w:afterAutospacing="0" w:line="360" w:lineRule="auto"/>
        <w:ind w:firstLine="480" w:firstLineChars="200"/>
        <w:jc w:val="right"/>
        <w:rPr>
          <w:rFonts w:hint="default" w:cs="宋体"/>
          <w:color w:val="0000FF"/>
          <w:sz w:val="24"/>
          <w:szCs w:val="24"/>
          <w:highlight w:val="none"/>
          <w:shd w:val="clear" w:color="auto" w:fill="FFFFFF"/>
          <w:lang w:val="en-US" w:eastAsia="zh-CN"/>
        </w:rPr>
      </w:pPr>
    </w:p>
    <w:p>
      <w:pPr>
        <w:jc w:val="center"/>
        <w:outlineLvl w:val="9"/>
        <w:rPr>
          <w:rFonts w:hint="eastAsia"/>
          <w:b/>
          <w:sz w:val="32"/>
          <w:szCs w:val="32"/>
          <w:highlight w:val="none"/>
        </w:rPr>
      </w:pPr>
    </w:p>
    <w:p>
      <w:pPr>
        <w:jc w:val="center"/>
        <w:outlineLvl w:val="9"/>
        <w:rPr>
          <w:rFonts w:hint="eastAsia"/>
          <w:b/>
          <w:sz w:val="32"/>
          <w:szCs w:val="32"/>
        </w:rPr>
      </w:pPr>
    </w:p>
    <w:p>
      <w:pPr>
        <w:jc w:val="center"/>
        <w:outlineLvl w:val="9"/>
        <w:rPr>
          <w:rFonts w:hint="eastAsia"/>
          <w:b/>
          <w:sz w:val="32"/>
          <w:szCs w:val="32"/>
        </w:rPr>
      </w:pPr>
    </w:p>
    <w:p>
      <w:pPr>
        <w:jc w:val="center"/>
        <w:outlineLvl w:val="9"/>
        <w:rPr>
          <w:rFonts w:hint="eastAsia"/>
          <w:b/>
          <w:sz w:val="32"/>
          <w:szCs w:val="32"/>
        </w:rPr>
      </w:pPr>
    </w:p>
    <w:p>
      <w:pPr>
        <w:jc w:val="center"/>
        <w:outlineLvl w:val="9"/>
        <w:rPr>
          <w:rFonts w:hint="eastAsia"/>
          <w:b/>
          <w:sz w:val="32"/>
          <w:szCs w:val="32"/>
        </w:rPr>
      </w:pPr>
    </w:p>
    <w:p>
      <w:pPr>
        <w:jc w:val="center"/>
        <w:outlineLvl w:val="9"/>
        <w:rPr>
          <w:rFonts w:hint="eastAsia"/>
          <w:b/>
          <w:sz w:val="32"/>
          <w:szCs w:val="32"/>
        </w:rPr>
      </w:pPr>
    </w:p>
    <w:p>
      <w:pPr>
        <w:jc w:val="center"/>
        <w:outlineLvl w:val="9"/>
        <w:rPr>
          <w:rFonts w:hint="eastAsia"/>
          <w:b/>
          <w:sz w:val="32"/>
          <w:szCs w:val="32"/>
        </w:rPr>
      </w:pPr>
    </w:p>
    <w:p>
      <w:pPr>
        <w:jc w:val="both"/>
        <w:outlineLvl w:val="9"/>
        <w:rPr>
          <w:rFonts w:hint="eastAsia"/>
          <w:b/>
          <w:sz w:val="32"/>
          <w:szCs w:val="32"/>
        </w:rPr>
      </w:pPr>
    </w:p>
    <w:p>
      <w:pPr>
        <w:pStyle w:val="3"/>
        <w:outlineLvl w:val="9"/>
        <w:rPr>
          <w:rFonts w:hint="eastAsia"/>
          <w:b/>
          <w:sz w:val="32"/>
          <w:szCs w:val="32"/>
        </w:rPr>
      </w:pPr>
    </w:p>
    <w:p>
      <w:pPr>
        <w:rPr>
          <w:rFonts w:hint="eastAsia"/>
          <w:b/>
          <w:sz w:val="32"/>
          <w:szCs w:val="32"/>
        </w:rPr>
      </w:pPr>
    </w:p>
    <w:p>
      <w:pPr>
        <w:pStyle w:val="7"/>
        <w:rPr>
          <w:rFonts w:hint="eastAsia"/>
          <w:b/>
          <w:sz w:val="32"/>
          <w:szCs w:val="32"/>
        </w:rPr>
      </w:pPr>
    </w:p>
    <w:p>
      <w:pPr>
        <w:pStyle w:val="36"/>
        <w:numPr>
          <w:ilvl w:val="1"/>
          <w:numId w:val="0"/>
        </w:numPr>
        <w:ind w:leftChars="0"/>
        <w:rPr>
          <w:rFonts w:hint="eastAsia"/>
        </w:rPr>
      </w:pPr>
    </w:p>
    <w:p>
      <w:pPr>
        <w:jc w:val="both"/>
        <w:outlineLvl w:val="9"/>
        <w:rPr>
          <w:rFonts w:hint="eastAsia"/>
          <w:b/>
          <w:sz w:val="32"/>
          <w:szCs w:val="32"/>
        </w:rPr>
      </w:pPr>
    </w:p>
    <w:p>
      <w:pPr>
        <w:pStyle w:val="3"/>
        <w:outlineLvl w:val="9"/>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3"/>
        <w:ind w:left="0" w:leftChars="0" w:firstLine="0" w:firstLineChars="0"/>
        <w:jc w:val="both"/>
        <w:outlineLvl w:val="9"/>
        <w:rPr>
          <w:rFonts w:hint="eastAsia"/>
          <w:b/>
          <w:sz w:val="32"/>
          <w:szCs w:val="32"/>
        </w:rPr>
      </w:pPr>
    </w:p>
    <w:p>
      <w:pPr>
        <w:rPr>
          <w:rFonts w:hint="eastAsia"/>
        </w:rPr>
        <w:sectPr>
          <w:pgSz w:w="11911" w:h="16840"/>
          <w:pgMar w:top="400" w:right="1786" w:bottom="1304" w:left="1786" w:header="0" w:footer="1137" w:gutter="0"/>
          <w:pgNumType w:fmt="decimal"/>
          <w:cols w:space="720" w:num="1"/>
        </w:sectPr>
      </w:pPr>
    </w:p>
    <w:p>
      <w:pPr>
        <w:rPr>
          <w:rFonts w:hint="eastAsia"/>
        </w:rPr>
      </w:pPr>
    </w:p>
    <w:p>
      <w:pPr>
        <w:jc w:val="both"/>
        <w:outlineLvl w:val="9"/>
        <w:rPr>
          <w:rFonts w:hint="eastAsia"/>
          <w:b/>
          <w:sz w:val="32"/>
          <w:szCs w:val="32"/>
        </w:rPr>
      </w:pPr>
    </w:p>
    <w:p>
      <w:pPr>
        <w:spacing w:afterAutospacing="0" w:line="240" w:lineRule="auto"/>
        <w:jc w:val="center"/>
        <w:outlineLvl w:val="0"/>
        <w:rPr>
          <w:b/>
          <w:sz w:val="32"/>
          <w:szCs w:val="32"/>
        </w:rPr>
      </w:pPr>
      <w:bookmarkStart w:id="8" w:name="_Toc17547"/>
      <w:r>
        <w:rPr>
          <w:rFonts w:hint="eastAsia"/>
          <w:b/>
          <w:sz w:val="32"/>
          <w:szCs w:val="32"/>
        </w:rPr>
        <w:t>第二章  响应人须知</w:t>
      </w:r>
      <w:bookmarkEnd w:id="5"/>
      <w:bookmarkEnd w:id="6"/>
      <w:bookmarkEnd w:id="7"/>
      <w:bookmarkEnd w:id="8"/>
    </w:p>
    <w:p>
      <w:pPr>
        <w:pStyle w:val="13"/>
        <w:wordWrap/>
        <w:topLinePunct w:val="0"/>
        <w:spacing w:beforeAutospacing="0" w:after="96" w:afterLines="30" w:afterAutospacing="0" w:line="240" w:lineRule="auto"/>
        <w:jc w:val="center"/>
        <w:outlineLvl w:val="1"/>
        <w:rPr>
          <w:rFonts w:hAnsi="宋体"/>
          <w:b/>
          <w:bCs/>
          <w:sz w:val="32"/>
          <w:szCs w:val="32"/>
        </w:rPr>
      </w:pPr>
      <w:bookmarkStart w:id="9" w:name="_Toc72694685"/>
      <w:r>
        <w:rPr>
          <w:rFonts w:hint="eastAsia" w:hAnsi="宋体"/>
          <w:b/>
          <w:bCs/>
          <w:sz w:val="32"/>
          <w:szCs w:val="32"/>
        </w:rPr>
        <w:t>响应人须知前附表</w:t>
      </w:r>
      <w:bookmarkEnd w:id="9"/>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beforeAutospacing="0" w:line="360" w:lineRule="auto"/>
              <w:jc w:val="center"/>
              <w:rPr>
                <w:b/>
                <w:bCs/>
              </w:rPr>
            </w:pPr>
            <w:r>
              <w:rPr>
                <w:rFonts w:hint="eastAsia"/>
                <w:b/>
                <w:bCs/>
              </w:rPr>
              <w:t>序号</w:t>
            </w:r>
          </w:p>
        </w:tc>
        <w:tc>
          <w:tcPr>
            <w:tcW w:w="2682" w:type="dxa"/>
            <w:noWrap/>
            <w:vAlign w:val="center"/>
          </w:tcPr>
          <w:p>
            <w:pPr>
              <w:wordWrap/>
              <w:topLinePunct w:val="0"/>
              <w:spacing w:line="360" w:lineRule="auto"/>
              <w:jc w:val="center"/>
              <w:rPr>
                <w:b/>
                <w:bCs/>
              </w:rPr>
            </w:pPr>
            <w:r>
              <w:rPr>
                <w:rFonts w:hint="eastAsia"/>
                <w:b/>
                <w:bCs/>
              </w:rPr>
              <w:t>条款名称</w:t>
            </w:r>
          </w:p>
        </w:tc>
        <w:tc>
          <w:tcPr>
            <w:tcW w:w="616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82" w:type="dxa"/>
            <w:noWrap/>
            <w:vAlign w:val="center"/>
          </w:tcPr>
          <w:p>
            <w:pPr>
              <w:wordWrap/>
              <w:autoSpaceDE w:val="0"/>
              <w:autoSpaceDN w:val="0"/>
              <w:adjustRightInd w:val="0"/>
              <w:spacing w:line="360" w:lineRule="auto"/>
              <w:jc w:val="center"/>
              <w:rPr>
                <w:rFonts w:cs="黑体"/>
                <w:kern w:val="0"/>
              </w:rPr>
            </w:pPr>
            <w:r>
              <w:rPr>
                <w:rFonts w:hint="eastAsia" w:cs="FangSong_GB2312"/>
                <w:kern w:val="0"/>
              </w:rPr>
              <w:t>采购人</w:t>
            </w:r>
          </w:p>
        </w:tc>
        <w:tc>
          <w:tcPr>
            <w:tcW w:w="6163" w:type="dxa"/>
            <w:noWrap/>
            <w:vAlign w:val="center"/>
          </w:tcPr>
          <w:p>
            <w:pPr>
              <w:wordWrap/>
              <w:autoSpaceDE w:val="0"/>
              <w:autoSpaceDN w:val="0"/>
              <w:adjustRightInd w:val="0"/>
              <w:spacing w:line="360" w:lineRule="auto"/>
              <w:jc w:val="left"/>
              <w:rPr>
                <w:rFonts w:hint="eastAsia"/>
                <w:sz w:val="21"/>
                <w:szCs w:val="21"/>
                <w:lang w:eastAsia="zh-CN"/>
              </w:rPr>
            </w:pPr>
            <w:r>
              <w:rPr>
                <w:rFonts w:hint="eastAsia"/>
                <w:sz w:val="21"/>
                <w:szCs w:val="21"/>
                <w:lang w:eastAsia="zh-CN"/>
              </w:rPr>
              <w:t>名    称：社旗县机关事务中心</w:t>
            </w:r>
            <w:r>
              <w:rPr>
                <w:rFonts w:hint="eastAsia"/>
                <w:sz w:val="21"/>
                <w:szCs w:val="21"/>
                <w:lang w:val="en-US" w:eastAsia="zh-CN"/>
              </w:rPr>
              <w:t xml:space="preserve"> </w:t>
            </w:r>
          </w:p>
          <w:p>
            <w:pPr>
              <w:wordWrap/>
              <w:autoSpaceDE w:val="0"/>
              <w:autoSpaceDN w:val="0"/>
              <w:adjustRightInd w:val="0"/>
              <w:spacing w:line="360" w:lineRule="auto"/>
              <w:jc w:val="left"/>
              <w:rPr>
                <w:rFonts w:hint="default"/>
                <w:sz w:val="21"/>
                <w:szCs w:val="21"/>
                <w:lang w:val="en-US" w:eastAsia="zh-CN"/>
              </w:rPr>
            </w:pPr>
            <w:r>
              <w:rPr>
                <w:rFonts w:hint="eastAsia"/>
                <w:sz w:val="21"/>
                <w:szCs w:val="21"/>
                <w:lang w:eastAsia="zh-CN"/>
              </w:rPr>
              <w:t>地    址：</w:t>
            </w:r>
            <w:r>
              <w:rPr>
                <w:rFonts w:hint="eastAsia"/>
                <w:sz w:val="21"/>
                <w:szCs w:val="21"/>
                <w:lang w:val="en-US" w:eastAsia="zh-CN"/>
              </w:rPr>
              <w:t>社旗县北中心街1号</w:t>
            </w:r>
          </w:p>
          <w:p>
            <w:pPr>
              <w:wordWrap/>
              <w:autoSpaceDE w:val="0"/>
              <w:autoSpaceDN w:val="0"/>
              <w:adjustRightInd w:val="0"/>
              <w:spacing w:line="360" w:lineRule="auto"/>
              <w:jc w:val="left"/>
              <w:rPr>
                <w:rFonts w:hint="default"/>
                <w:sz w:val="21"/>
                <w:szCs w:val="21"/>
                <w:lang w:val="en-US" w:eastAsia="zh-CN"/>
              </w:rPr>
            </w:pPr>
            <w:r>
              <w:rPr>
                <w:rFonts w:hint="eastAsia"/>
                <w:sz w:val="21"/>
                <w:szCs w:val="21"/>
                <w:lang w:eastAsia="zh-CN"/>
              </w:rPr>
              <w:t>联 系 人：</w:t>
            </w:r>
            <w:r>
              <w:rPr>
                <w:rFonts w:hint="eastAsia"/>
                <w:sz w:val="21"/>
                <w:szCs w:val="21"/>
                <w:lang w:val="en-US" w:eastAsia="zh-CN"/>
              </w:rPr>
              <w:t>高松</w:t>
            </w:r>
          </w:p>
          <w:p>
            <w:pPr>
              <w:wordWrap/>
              <w:autoSpaceDE w:val="0"/>
              <w:autoSpaceDN w:val="0"/>
              <w:adjustRightInd w:val="0"/>
              <w:spacing w:line="360" w:lineRule="auto"/>
              <w:jc w:val="left"/>
              <w:rPr>
                <w:sz w:val="21"/>
                <w:szCs w:val="21"/>
              </w:rPr>
            </w:pPr>
            <w:r>
              <w:rPr>
                <w:rFonts w:hint="eastAsia"/>
                <w:sz w:val="21"/>
                <w:szCs w:val="21"/>
                <w:lang w:eastAsia="zh-CN"/>
              </w:rPr>
              <w:t>联系方式：</w:t>
            </w:r>
            <w:r>
              <w:rPr>
                <w:rFonts w:hint="eastAsia"/>
                <w:sz w:val="21"/>
                <w:szCs w:val="21"/>
                <w:lang w:val="en-US" w:eastAsia="zh-CN"/>
              </w:rPr>
              <w:t>17639932500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采购代理机构</w:t>
            </w:r>
          </w:p>
        </w:tc>
        <w:tc>
          <w:tcPr>
            <w:tcW w:w="6163" w:type="dxa"/>
            <w:noWrap/>
            <w:vAlign w:val="center"/>
          </w:tcPr>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招标代理机构：河南盛中工程咨询有限公司</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地    址：南阳市宛城区孔明南路万达坊</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 xml:space="preserve">联系 人：许宁        </w:t>
            </w:r>
          </w:p>
          <w:p>
            <w:pPr>
              <w:wordWrap/>
              <w:autoSpaceDE w:val="0"/>
              <w:autoSpaceDN w:val="0"/>
              <w:adjustRightInd w:val="0"/>
              <w:spacing w:line="360" w:lineRule="auto"/>
              <w:jc w:val="left"/>
              <w:rPr>
                <w:rFonts w:hint="eastAsia" w:eastAsia="宋体"/>
                <w:lang w:eastAsia="zh-CN"/>
              </w:rPr>
            </w:pPr>
            <w:r>
              <w:rPr>
                <w:rFonts w:hint="eastAsia" w:eastAsia="宋体"/>
                <w:lang w:val="en-US" w:eastAsia="zh-CN"/>
              </w:rPr>
              <w:t>联系电话：18211855550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82" w:type="dxa"/>
            <w:noWrap/>
            <w:vAlign w:val="center"/>
          </w:tcPr>
          <w:p>
            <w:pPr>
              <w:wordWrap/>
              <w:topLinePunct w:val="0"/>
              <w:spacing w:line="360" w:lineRule="auto"/>
              <w:jc w:val="center"/>
            </w:pPr>
            <w:r>
              <w:rPr>
                <w:rFonts w:hint="eastAsia"/>
              </w:rPr>
              <w:t>采购方式</w:t>
            </w:r>
          </w:p>
        </w:tc>
        <w:tc>
          <w:tcPr>
            <w:tcW w:w="6163" w:type="dxa"/>
            <w:noWrap/>
            <w:vAlign w:val="center"/>
          </w:tcPr>
          <w:p>
            <w:pPr>
              <w:wordWrap/>
              <w:topLinePunct w:val="0"/>
              <w:spacing w:line="360" w:lineRule="auto"/>
            </w:pPr>
            <w:r>
              <w:rPr>
                <w:rFonts w:hint="eastAsi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82" w:type="dxa"/>
            <w:noWrap/>
            <w:vAlign w:val="center"/>
          </w:tcPr>
          <w:p>
            <w:pPr>
              <w:wordWrap/>
              <w:topLinePunct w:val="0"/>
              <w:spacing w:line="360" w:lineRule="auto"/>
              <w:jc w:val="center"/>
              <w:rPr>
                <w:b w:val="0"/>
                <w:bCs w:val="0"/>
                <w:color w:val="auto"/>
              </w:rPr>
            </w:pPr>
            <w:r>
              <w:rPr>
                <w:rFonts w:hint="eastAsia"/>
                <w:b w:val="0"/>
                <w:bCs w:val="0"/>
                <w:color w:val="auto"/>
              </w:rPr>
              <w:t>项目名称及采购编号</w:t>
            </w:r>
          </w:p>
        </w:tc>
        <w:tc>
          <w:tcPr>
            <w:tcW w:w="6163" w:type="dxa"/>
            <w:noWrap/>
            <w:vAlign w:val="center"/>
          </w:tcPr>
          <w:p>
            <w:pPr>
              <w:wordWrap/>
              <w:spacing w:line="360" w:lineRule="auto"/>
              <w:jc w:val="left"/>
              <w:rPr>
                <w:b w:val="0"/>
                <w:bCs w:val="0"/>
                <w:color w:val="auto"/>
                <w:shd w:val="clear" w:color="auto" w:fill="FFFFFF"/>
              </w:rPr>
            </w:pPr>
            <w:r>
              <w:rPr>
                <w:rFonts w:hint="eastAsia"/>
                <w:b w:val="0"/>
                <w:bCs w:val="0"/>
                <w:color w:val="auto"/>
              </w:rPr>
              <w:t>项目名称：</w:t>
            </w:r>
            <w:r>
              <w:rPr>
                <w:rFonts w:hint="eastAsia"/>
                <w:b w:val="0"/>
                <w:bCs w:val="0"/>
                <w:color w:val="auto"/>
                <w:shd w:val="clear" w:color="auto" w:fill="FFFFFF"/>
                <w:lang w:eastAsia="zh-CN"/>
              </w:rPr>
              <w:t>社旗县机关事务中心行政一区、二区综合办公楼、县委机关物业管理服务项目</w:t>
            </w:r>
          </w:p>
          <w:p>
            <w:pPr>
              <w:wordWrap/>
              <w:spacing w:line="360" w:lineRule="auto"/>
              <w:jc w:val="left"/>
              <w:rPr>
                <w:rFonts w:hint="eastAsia" w:eastAsia="宋体"/>
                <w:b w:val="0"/>
                <w:bCs w:val="0"/>
                <w:color w:val="auto"/>
                <w:lang w:val="en-US" w:eastAsia="zh-CN"/>
              </w:rPr>
            </w:pPr>
            <w:r>
              <w:rPr>
                <w:rFonts w:hint="eastAsia"/>
                <w:b w:val="0"/>
                <w:bCs w:val="0"/>
                <w:color w:val="auto"/>
                <w:highlight w:val="none"/>
                <w:shd w:val="clear" w:fill="FFFFFF" w:themeFill="background1"/>
              </w:rPr>
              <w:t>项目编号：</w:t>
            </w:r>
            <w:r>
              <w:rPr>
                <w:rFonts w:hint="eastAsia"/>
                <w:b w:val="0"/>
                <w:bCs w:val="0"/>
                <w:color w:val="auto"/>
                <w:highlight w:val="none"/>
                <w:shd w:val="clear" w:fill="FFFFFF" w:themeFill="background1"/>
                <w:lang w:eastAsia="zh-CN"/>
              </w:rPr>
              <w:t>社财采购竞争性磋商-202</w:t>
            </w:r>
            <w:r>
              <w:rPr>
                <w:rFonts w:hint="eastAsia"/>
                <w:b w:val="0"/>
                <w:bCs w:val="0"/>
                <w:color w:val="auto"/>
                <w:highlight w:val="none"/>
                <w:shd w:val="clear" w:fill="FFFFFF" w:themeFill="background1"/>
                <w:lang w:val="en-US" w:eastAsia="zh-CN"/>
              </w:rPr>
              <w:t>4</w:t>
            </w:r>
            <w:r>
              <w:rPr>
                <w:rFonts w:hint="eastAsia"/>
                <w:b w:val="0"/>
                <w:bCs w:val="0"/>
                <w:color w:val="auto"/>
                <w:highlight w:val="none"/>
                <w:shd w:val="clear" w:fill="FFFFFF" w:themeFill="background1"/>
                <w:lang w:eastAsia="zh-CN"/>
              </w:rPr>
              <w:t>-</w:t>
            </w:r>
            <w:r>
              <w:rPr>
                <w:rFonts w:hint="eastAsia"/>
                <w:b w:val="0"/>
                <w:bCs w:val="0"/>
                <w:color w:val="auto"/>
                <w:highlight w:val="none"/>
                <w:shd w:val="clear" w:fill="FFFFFF" w:themeFill="background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82" w:type="dxa"/>
            <w:noWrap/>
            <w:vAlign w:val="center"/>
          </w:tcPr>
          <w:p>
            <w:pPr>
              <w:wordWrap/>
              <w:topLinePunct w:val="0"/>
              <w:spacing w:line="360" w:lineRule="auto"/>
              <w:jc w:val="center"/>
            </w:pPr>
            <w:r>
              <w:rPr>
                <w:rFonts w:hint="eastAsia"/>
                <w:lang w:val="en-US" w:eastAsia="zh-CN"/>
              </w:rPr>
              <w:t>服务</w:t>
            </w:r>
            <w:r>
              <w:rPr>
                <w:rFonts w:hint="eastAsia"/>
              </w:rPr>
              <w:t>地点</w:t>
            </w:r>
          </w:p>
        </w:tc>
        <w:tc>
          <w:tcPr>
            <w:tcW w:w="6163" w:type="dxa"/>
            <w:noWrap/>
            <w:vAlign w:val="center"/>
          </w:tcPr>
          <w:p>
            <w:pPr>
              <w:wordWrap/>
              <w:topLinePunct w:val="0"/>
              <w:spacing w:line="360" w:lineRule="auto"/>
            </w:pPr>
            <w:r>
              <w:rPr>
                <w:rFonts w:hint="eastAsia"/>
                <w:shd w:val="clear" w:color="auto" w:fill="FFFFFF"/>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82" w:type="dxa"/>
            <w:noWrap/>
            <w:vAlign w:val="center"/>
          </w:tcPr>
          <w:p>
            <w:pPr>
              <w:wordWrap/>
              <w:topLinePunct w:val="0"/>
              <w:spacing w:line="360" w:lineRule="auto"/>
              <w:jc w:val="center"/>
            </w:pPr>
            <w:r>
              <w:rPr>
                <w:rFonts w:hint="eastAsia"/>
              </w:rPr>
              <w:t>资金来源</w:t>
            </w:r>
          </w:p>
        </w:tc>
        <w:tc>
          <w:tcPr>
            <w:tcW w:w="6163" w:type="dxa"/>
            <w:noWrap/>
            <w:vAlign w:val="center"/>
          </w:tcPr>
          <w:p>
            <w:pPr>
              <w:wordWrap/>
              <w:topLinePunct w:val="0"/>
              <w:spacing w:line="360" w:lineRule="auto"/>
            </w:pPr>
            <w:r>
              <w:rPr>
                <w:rFonts w:hint="eastAsi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82" w:type="dxa"/>
            <w:noWrap/>
            <w:vAlign w:val="center"/>
          </w:tcPr>
          <w:p>
            <w:pPr>
              <w:wordWrap/>
              <w:topLinePunct w:val="0"/>
              <w:spacing w:line="360" w:lineRule="auto"/>
              <w:jc w:val="center"/>
            </w:pPr>
            <w:r>
              <w:rPr>
                <w:rFonts w:hint="eastAsia"/>
              </w:rPr>
              <w:t>采购预算金额</w:t>
            </w:r>
          </w:p>
        </w:tc>
        <w:tc>
          <w:tcPr>
            <w:tcW w:w="6163" w:type="dxa"/>
            <w:noWrap/>
            <w:vAlign w:val="center"/>
          </w:tcPr>
          <w:p>
            <w:pPr>
              <w:wordWrap/>
              <w:spacing w:line="360" w:lineRule="auto"/>
              <w:jc w:val="left"/>
              <w:rPr>
                <w:rFonts w:hint="eastAsia"/>
                <w:b/>
                <w:bCs/>
                <w:highlight w:val="none"/>
                <w:shd w:val="clear" w:color="auto" w:fill="FFFFFF"/>
              </w:rPr>
            </w:pPr>
            <w:r>
              <w:rPr>
                <w:rFonts w:hint="eastAsia"/>
                <w:b/>
                <w:bCs/>
                <w:highlight w:val="none"/>
                <w:shd w:val="clear" w:color="auto" w:fill="FFFFFF"/>
              </w:rPr>
              <w:t>招标控制价：</w:t>
            </w:r>
            <w:r>
              <w:rPr>
                <w:rFonts w:hint="eastAsia"/>
                <w:b/>
                <w:bCs/>
                <w:highlight w:val="none"/>
                <w:shd w:val="clear" w:color="auto" w:fill="FFFFFF"/>
                <w:lang w:val="en-US" w:eastAsia="zh-CN"/>
              </w:rPr>
              <w:t>1400000</w:t>
            </w:r>
            <w:r>
              <w:rPr>
                <w:rFonts w:hint="eastAsia"/>
                <w:b/>
                <w:bCs/>
                <w:highlight w:val="none"/>
                <w:shd w:val="clear" w:color="auto" w:fill="FFFFFF"/>
              </w:rPr>
              <w:t>元。</w:t>
            </w:r>
          </w:p>
          <w:p>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82" w:type="dxa"/>
            <w:noWrap/>
            <w:vAlign w:val="center"/>
          </w:tcPr>
          <w:p>
            <w:pPr>
              <w:wordWrap/>
              <w:topLinePunct w:val="0"/>
              <w:spacing w:line="360" w:lineRule="auto"/>
              <w:jc w:val="center"/>
            </w:pPr>
            <w:r>
              <w:rPr>
                <w:rFonts w:hint="eastAsia"/>
              </w:rPr>
              <w:t>采购项目性质</w:t>
            </w:r>
          </w:p>
        </w:tc>
        <w:tc>
          <w:tcPr>
            <w:tcW w:w="6163" w:type="dxa"/>
            <w:noWrap/>
          </w:tcPr>
          <w:p>
            <w:pPr>
              <w:wordWrap/>
              <w:topLinePunct w:val="0"/>
              <w:spacing w:line="360" w:lineRule="auto"/>
              <w:rPr>
                <w:rFonts w:hint="eastAsia" w:eastAsia="宋体"/>
                <w:lang w:eastAsia="zh-CN"/>
              </w:rPr>
            </w:pPr>
            <w:r>
              <w:rPr>
                <w:rFonts w:hint="eastAsia"/>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82" w:type="dxa"/>
            <w:noWrap/>
            <w:vAlign w:val="center"/>
          </w:tcPr>
          <w:p>
            <w:pPr>
              <w:wordWrap/>
              <w:topLinePunct w:val="0"/>
              <w:spacing w:line="360" w:lineRule="auto"/>
              <w:jc w:val="center"/>
            </w:pPr>
            <w:r>
              <w:rPr>
                <w:rFonts w:hint="eastAsia"/>
              </w:rPr>
              <w:t>资金落实情况</w:t>
            </w:r>
          </w:p>
        </w:tc>
        <w:tc>
          <w:tcPr>
            <w:tcW w:w="6163" w:type="dxa"/>
            <w:noWrap/>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82" w:type="dxa"/>
            <w:noWrap/>
            <w:vAlign w:val="center"/>
          </w:tcPr>
          <w:p>
            <w:pPr>
              <w:wordWrap/>
              <w:topLinePunct w:val="0"/>
              <w:spacing w:line="360" w:lineRule="auto"/>
              <w:jc w:val="center"/>
            </w:pPr>
            <w:r>
              <w:rPr>
                <w:rFonts w:hint="eastAsia"/>
              </w:rPr>
              <w:t>采购范围</w:t>
            </w:r>
          </w:p>
        </w:tc>
        <w:tc>
          <w:tcPr>
            <w:tcW w:w="6163" w:type="dxa"/>
            <w:noWrap/>
          </w:tcPr>
          <w:p>
            <w:pPr>
              <w:wordWrap/>
              <w:topLinePunct w:val="0"/>
              <w:spacing w:line="360" w:lineRule="auto"/>
              <w:rPr>
                <w:rFonts w:hint="default" w:eastAsia="宋体"/>
                <w:lang w:val="en-US" w:eastAsia="zh-CN"/>
              </w:rPr>
            </w:pPr>
            <w:r>
              <w:rPr>
                <w:rFonts w:hint="eastAsia"/>
                <w:shd w:val="clear" w:color="auto" w:fill="FFFFFF"/>
                <w:lang w:val="en-US" w:eastAsia="zh-CN"/>
              </w:rPr>
              <w:t>详见服务需求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82" w:type="dxa"/>
            <w:noWrap/>
            <w:vAlign w:val="center"/>
          </w:tcPr>
          <w:p>
            <w:pPr>
              <w:wordWrap/>
              <w:topLinePunct w:val="0"/>
              <w:spacing w:line="360" w:lineRule="auto"/>
              <w:jc w:val="center"/>
              <w:rPr>
                <w:rFonts w:hint="default" w:eastAsia="宋体"/>
                <w:highlight w:val="none"/>
                <w:lang w:val="en-US" w:eastAsia="zh-CN"/>
              </w:rPr>
            </w:pPr>
            <w:r>
              <w:rPr>
                <w:rFonts w:hint="eastAsia"/>
                <w:highlight w:val="none"/>
                <w:lang w:val="en-US" w:eastAsia="zh-CN"/>
              </w:rPr>
              <w:t>服务期限</w:t>
            </w:r>
          </w:p>
        </w:tc>
        <w:tc>
          <w:tcPr>
            <w:tcW w:w="6163" w:type="dxa"/>
            <w:noWrap/>
          </w:tcPr>
          <w:p>
            <w:pPr>
              <w:wordWrap/>
              <w:topLinePunct w:val="0"/>
              <w:spacing w:line="360" w:lineRule="auto"/>
              <w:jc w:val="both"/>
              <w:rPr>
                <w:rFonts w:hint="eastAsia"/>
                <w:lang w:val="en-US" w:eastAsia="zh-CN"/>
              </w:rPr>
            </w:pPr>
            <w:r>
              <w:rPr>
                <w:rFonts w:hint="eastAsia"/>
                <w:lang w:val="en-US" w:eastAsia="zh-CN"/>
              </w:rPr>
              <w:t>合同签订后3年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82" w:type="dxa"/>
            <w:noWrap/>
            <w:vAlign w:val="center"/>
          </w:tcPr>
          <w:p>
            <w:pPr>
              <w:wordWrap/>
              <w:topLinePunct w:val="0"/>
              <w:spacing w:line="360" w:lineRule="auto"/>
              <w:jc w:val="center"/>
              <w:rPr>
                <w:rFonts w:hint="default" w:eastAsia="宋体"/>
                <w:lang w:val="en-US" w:eastAsia="zh-CN"/>
              </w:rPr>
            </w:pPr>
            <w:r>
              <w:rPr>
                <w:rFonts w:hint="eastAsia"/>
                <w:lang w:val="en-US" w:eastAsia="zh-CN"/>
              </w:rPr>
              <w:t>服务质量</w:t>
            </w:r>
          </w:p>
        </w:tc>
        <w:tc>
          <w:tcPr>
            <w:tcW w:w="6163" w:type="dxa"/>
            <w:noWrap/>
            <w:vAlign w:val="bottom"/>
          </w:tcPr>
          <w:p>
            <w:pPr>
              <w:wordWrap/>
              <w:topLinePunct w:val="0"/>
              <w:spacing w:line="360" w:lineRule="auto"/>
              <w:jc w:val="center"/>
              <w:rPr>
                <w:rFonts w:hint="eastAsia"/>
                <w:lang w:val="en-US" w:eastAsia="zh-CN"/>
              </w:rPr>
            </w:pPr>
            <w:r>
              <w:rPr>
                <w:rFonts w:hint="eastAsia"/>
                <w:lang w:val="en-US" w:eastAsia="zh-CN"/>
              </w:rPr>
              <w:t>符合国家、行业及地区现行相关规范和标准并满足采购人要求。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13</w:t>
            </w:r>
          </w:p>
        </w:tc>
        <w:tc>
          <w:tcPr>
            <w:tcW w:w="2682" w:type="dxa"/>
            <w:noWrap/>
            <w:vAlign w:val="center"/>
          </w:tcPr>
          <w:p>
            <w:pPr>
              <w:wordWrap/>
              <w:topLinePunct w:val="0"/>
              <w:spacing w:line="360" w:lineRule="auto"/>
              <w:jc w:val="center"/>
            </w:pPr>
            <w:r>
              <w:rPr>
                <w:rFonts w:hint="eastAsia"/>
              </w:rPr>
              <w:t>响应人资质要求</w:t>
            </w:r>
          </w:p>
        </w:tc>
        <w:tc>
          <w:tcPr>
            <w:tcW w:w="6163" w:type="dxa"/>
            <w:noWrap/>
          </w:tcPr>
          <w:p>
            <w:pPr>
              <w:rPr>
                <w:rFonts w:hint="eastAsia"/>
              </w:rPr>
            </w:pPr>
            <w:r>
              <w:rPr>
                <w:rFonts w:hint="eastAsia"/>
              </w:rPr>
              <w:t>1、符合《政府采购法》第二十二条之规定；</w:t>
            </w:r>
          </w:p>
          <w:p>
            <w:pPr>
              <w:rPr>
                <w:rFonts w:hint="eastAsia"/>
              </w:rPr>
            </w:pPr>
            <w:r>
              <w:rPr>
                <w:rFonts w:hint="eastAsia"/>
              </w:rPr>
              <w:t>（1）具有独立承担民事责任的能力；</w:t>
            </w:r>
          </w:p>
          <w:p>
            <w:pPr>
              <w:rPr>
                <w:rFonts w:hint="eastAsia"/>
              </w:rPr>
            </w:pPr>
            <w:r>
              <w:rPr>
                <w:rFonts w:hint="eastAsia"/>
              </w:rPr>
              <w:t>（2）具有良好的商业信誉和健全的财务会计制度；</w:t>
            </w:r>
          </w:p>
          <w:p>
            <w:pPr>
              <w:rPr>
                <w:rFonts w:hint="eastAsia"/>
              </w:rPr>
            </w:pPr>
            <w:r>
              <w:rPr>
                <w:rFonts w:hint="eastAsia"/>
              </w:rPr>
              <w:t>（3）具有履行合同所必需的设备和专业技术能力（提供承诺书，格式自拟）；</w:t>
            </w:r>
          </w:p>
          <w:p>
            <w:pPr>
              <w:rPr>
                <w:rFonts w:hint="eastAsia"/>
              </w:rPr>
            </w:pPr>
            <w:r>
              <w:rPr>
                <w:rFonts w:hint="eastAsia"/>
              </w:rPr>
              <w:t>（4）有依法缴纳税收和社会保障资金的良好记录</w:t>
            </w:r>
            <w:r>
              <w:rPr>
                <w:rFonts w:hint="eastAsia"/>
                <w:lang w:eastAsia="zh-CN"/>
              </w:rPr>
              <w:t>（提供近期任意</w:t>
            </w:r>
            <w:r>
              <w:rPr>
                <w:rFonts w:hint="eastAsia"/>
                <w:lang w:val="en-US" w:eastAsia="zh-CN"/>
              </w:rPr>
              <w:t>1</w:t>
            </w:r>
            <w:r>
              <w:rPr>
                <w:rFonts w:hint="eastAsia"/>
                <w:lang w:eastAsia="zh-CN"/>
              </w:rPr>
              <w:t>个月依法缴纳税收和社会保障资金证明材料）</w:t>
            </w:r>
            <w:r>
              <w:rPr>
                <w:rFonts w:hint="eastAsia"/>
              </w:rPr>
              <w:t>；</w:t>
            </w:r>
          </w:p>
          <w:p>
            <w:pPr>
              <w:rPr>
                <w:rFonts w:hint="eastAsia"/>
              </w:rPr>
            </w:pPr>
            <w:r>
              <w:rPr>
                <w:rFonts w:hint="eastAsia"/>
              </w:rPr>
              <w:t>（5）参加政府采购活动前三年内，在经营活动中没有重大违法记录（提供承诺书，格式自拟）；</w:t>
            </w:r>
          </w:p>
          <w:p>
            <w:pPr>
              <w:rPr>
                <w:rFonts w:hint="eastAsia"/>
              </w:rPr>
            </w:pPr>
            <w:r>
              <w:rPr>
                <w:rFonts w:hint="eastAsia"/>
              </w:rPr>
              <w:t>（6）法律、行政法规规定的其他条件。</w:t>
            </w:r>
          </w:p>
          <w:p>
            <w:pPr>
              <w:rPr>
                <w:rFonts w:hint="eastAsia"/>
              </w:rPr>
            </w:pPr>
            <w:r>
              <w:rPr>
                <w:rFonts w:hint="eastAsia"/>
              </w:rPr>
              <w:t>2.落实政府采购政策需满足的资格要求：</w:t>
            </w:r>
            <w:r>
              <w:rPr>
                <w:rFonts w:hint="eastAsia"/>
                <w:lang w:eastAsia="zh-CN"/>
              </w:rPr>
              <w:t>本项目执行优先采购节能产品、环境标志产品，扶持中小企业、监狱企业、残疾人福利性单位发展政策。</w:t>
            </w:r>
          </w:p>
          <w:p>
            <w:pPr>
              <w:rPr>
                <w:rFonts w:hint="eastAsia"/>
                <w:lang w:val="en-US" w:eastAsia="zh-CN"/>
              </w:rPr>
            </w:pPr>
            <w:r>
              <w:rPr>
                <w:rFonts w:hint="eastAsia"/>
                <w:lang w:val="en-US" w:eastAsia="zh-CN"/>
              </w:rPr>
              <w:t>3、本项目的特定资格要求</w:t>
            </w:r>
          </w:p>
          <w:p>
            <w:pPr>
              <w:rPr>
                <w:rFonts w:hint="eastAsia"/>
                <w:lang w:val="en-US" w:eastAsia="zh-CN"/>
              </w:rPr>
            </w:pPr>
            <w:r>
              <w:rPr>
                <w:rFonts w:hint="eastAsia"/>
                <w:lang w:val="en-US" w:eastAsia="zh-CN"/>
              </w:rPr>
              <w:t>3.1独立法人资格，提供有效的营业执照；</w:t>
            </w:r>
          </w:p>
          <w:p>
            <w:pPr>
              <w:rPr>
                <w:rFonts w:hint="eastAsia"/>
                <w:lang w:val="en-US" w:eastAsia="zh-CN"/>
              </w:rPr>
            </w:pPr>
            <w:r>
              <w:rPr>
                <w:rFonts w:hint="eastAsia"/>
                <w:lang w:val="en-US" w:eastAsia="zh-CN"/>
              </w:rPr>
              <w:t>3.2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rPr>
                <w:rFonts w:hint="eastAsia"/>
              </w:rPr>
            </w:pPr>
            <w:r>
              <w:rPr>
                <w:rFonts w:hint="eastAsia"/>
                <w:lang w:val="en-US" w:eastAsia="zh-CN"/>
              </w:rPr>
              <w:t>3.3</w:t>
            </w:r>
            <w:r>
              <w:rPr>
                <w:rFonts w:hint="eastAsia"/>
              </w:rPr>
              <w:t>供应商需提供无行贿犯罪记录承诺函（承诺对象包括：供应商、法定代表人、授权委托人）,并对其真实性负责，若承诺不实，造成的后果由供应商自行负责；</w:t>
            </w:r>
          </w:p>
          <w:p>
            <w:pPr>
              <w:rPr>
                <w:rFonts w:hint="eastAsia"/>
              </w:rPr>
            </w:pPr>
            <w:r>
              <w:rPr>
                <w:rFonts w:hint="eastAsia"/>
                <w:lang w:val="en-US" w:eastAsia="zh-CN"/>
              </w:rPr>
              <w:t>3.4</w:t>
            </w:r>
            <w:r>
              <w:rPr>
                <w:rFonts w:hint="eastAsia"/>
              </w:rPr>
              <w:t>本项目不接受联合体投标，不得分包转包；</w:t>
            </w:r>
          </w:p>
          <w:p>
            <w:r>
              <w:rPr>
                <w:rFonts w:hint="eastAsia"/>
              </w:rPr>
              <w:t>本项目采用资格后审，审查内容以投标截止时间前填报上传</w:t>
            </w:r>
            <w:r>
              <w:rPr>
                <w:rFonts w:hint="eastAsia"/>
                <w:lang w:eastAsia="zh-CN"/>
              </w:rPr>
              <w:t>市场主体库</w:t>
            </w:r>
            <w:r>
              <w:rPr>
                <w:rFonts w:hint="eastAsia"/>
              </w:rPr>
              <w:t>信息为准，过期更改的</w:t>
            </w:r>
            <w:r>
              <w:rPr>
                <w:rFonts w:hint="eastAsia"/>
                <w:lang w:eastAsia="zh-CN"/>
              </w:rPr>
              <w:t>主体库</w:t>
            </w:r>
            <w:r>
              <w:rPr>
                <w:rFonts w:hint="eastAsia"/>
              </w:rPr>
              <w:t>信息不作为本项目评审依据。开评标现场不接受</w:t>
            </w:r>
            <w:r>
              <w:rPr>
                <w:rFonts w:hint="eastAsia"/>
                <w:lang w:eastAsia="zh-CN"/>
              </w:rPr>
              <w:t>主体库</w:t>
            </w:r>
            <w:r>
              <w:rPr>
                <w:rFonts w:hint="eastAsia"/>
              </w:rPr>
              <w:t>信息原件。</w:t>
            </w:r>
            <w:r>
              <w:rPr>
                <w:rFonts w:hint="eastAsia"/>
                <w:lang w:eastAsia="zh-CN"/>
              </w:rPr>
              <w:t>主体库</w:t>
            </w:r>
            <w:r>
              <w:rPr>
                <w:rFonts w:hint="eastAsia"/>
              </w:rPr>
              <w:t>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82" w:type="dxa"/>
            <w:noWrap/>
            <w:vAlign w:val="center"/>
          </w:tcPr>
          <w:p>
            <w:pPr>
              <w:wordWrap/>
              <w:topLinePunct w:val="0"/>
              <w:spacing w:line="360" w:lineRule="auto"/>
              <w:jc w:val="center"/>
            </w:pPr>
            <w:r>
              <w:rPr>
                <w:rFonts w:hint="eastAsia"/>
              </w:rPr>
              <w:t>是否接受联合体参加磋商</w:t>
            </w:r>
          </w:p>
        </w:tc>
        <w:tc>
          <w:tcPr>
            <w:tcW w:w="6163" w:type="dxa"/>
            <w:noWrap/>
          </w:tcPr>
          <w:p>
            <w:pPr>
              <w:wordWrap/>
              <w:topLinePunct w:val="0"/>
              <w:spacing w:line="360" w:lineRule="auto"/>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82" w:type="dxa"/>
            <w:noWrap/>
            <w:vAlign w:val="center"/>
          </w:tcPr>
          <w:p>
            <w:pPr>
              <w:wordWrap/>
              <w:topLinePunct w:val="0"/>
              <w:spacing w:line="360" w:lineRule="auto"/>
              <w:jc w:val="center"/>
            </w:pPr>
            <w:r>
              <w:rPr>
                <w:rFonts w:hint="eastAsia"/>
              </w:rPr>
              <w:t>现场考察</w:t>
            </w:r>
          </w:p>
        </w:tc>
        <w:tc>
          <w:tcPr>
            <w:tcW w:w="616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82" w:type="dxa"/>
            <w:noWrap/>
            <w:vAlign w:val="center"/>
          </w:tcPr>
          <w:p>
            <w:pPr>
              <w:wordWrap/>
              <w:topLinePunct w:val="0"/>
              <w:spacing w:line="360" w:lineRule="auto"/>
              <w:ind w:left="38" w:leftChars="18"/>
              <w:jc w:val="center"/>
            </w:pPr>
            <w:r>
              <w:rPr>
                <w:rFonts w:hint="eastAsia"/>
              </w:rPr>
              <w:t>答 疑 会</w:t>
            </w:r>
          </w:p>
        </w:tc>
        <w:tc>
          <w:tcPr>
            <w:tcW w:w="616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82" w:type="dxa"/>
            <w:noWrap/>
            <w:vAlign w:val="center"/>
          </w:tcPr>
          <w:p>
            <w:pPr>
              <w:wordWrap/>
              <w:topLinePunct w:val="0"/>
              <w:spacing w:line="360" w:lineRule="auto"/>
              <w:jc w:val="center"/>
            </w:pPr>
            <w:r>
              <w:rPr>
                <w:rFonts w:hint="eastAsia"/>
              </w:rPr>
              <w:t>分包</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82" w:type="dxa"/>
            <w:noWrap/>
            <w:vAlign w:val="center"/>
          </w:tcPr>
          <w:p>
            <w:pPr>
              <w:wordWrap/>
              <w:topLinePunct w:val="0"/>
              <w:spacing w:line="360" w:lineRule="auto"/>
              <w:jc w:val="center"/>
            </w:pPr>
            <w:r>
              <w:rPr>
                <w:rFonts w:hint="eastAsia"/>
                <w:kern w:val="0"/>
              </w:rPr>
              <w:t>实质性偏差</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82" w:type="dxa"/>
            <w:noWrap/>
            <w:vAlign w:val="center"/>
          </w:tcPr>
          <w:p>
            <w:pPr>
              <w:wordWrap/>
              <w:topLinePunct w:val="0"/>
              <w:spacing w:line="360" w:lineRule="auto"/>
              <w:jc w:val="center"/>
            </w:pPr>
            <w:r>
              <w:rPr>
                <w:rFonts w:hint="eastAsia"/>
              </w:rPr>
              <w:t>是否接受选择性报价方案</w:t>
            </w:r>
          </w:p>
        </w:tc>
        <w:tc>
          <w:tcPr>
            <w:tcW w:w="616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82" w:type="dxa"/>
            <w:noWrap/>
            <w:vAlign w:val="center"/>
          </w:tcPr>
          <w:p>
            <w:pPr>
              <w:wordWrap/>
              <w:topLinePunct w:val="0"/>
              <w:spacing w:line="360" w:lineRule="auto"/>
              <w:jc w:val="center"/>
            </w:pPr>
            <w:r>
              <w:rPr>
                <w:rFonts w:hint="eastAsia"/>
              </w:rPr>
              <w:t>构成竞争性磋商文件的其他材料</w:t>
            </w:r>
          </w:p>
        </w:tc>
        <w:tc>
          <w:tcPr>
            <w:tcW w:w="616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82" w:type="dxa"/>
            <w:noWrap/>
            <w:vAlign w:val="center"/>
          </w:tcPr>
          <w:p>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pPr>
              <w:rPr>
                <w:highlight w:val="none"/>
              </w:rPr>
            </w:pPr>
            <w:r>
              <w:rPr>
                <w:rFonts w:ascii="宋体" w:hAnsi="宋体"/>
                <w:color w:val="auto"/>
                <w:sz w:val="21"/>
                <w:szCs w:val="21"/>
                <w:highlight w:val="none"/>
              </w:rPr>
              <w:t>当磋商文件与更正或补充文件相矛盾时，以最后发出的更正或补充文件为准。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82" w:type="dxa"/>
            <w:noWrap/>
            <w:vAlign w:val="center"/>
          </w:tcPr>
          <w:p>
            <w:pPr>
              <w:wordWrap/>
              <w:topLinePunct w:val="0"/>
              <w:spacing w:line="360" w:lineRule="auto"/>
              <w:jc w:val="center"/>
            </w:pPr>
            <w:r>
              <w:rPr>
                <w:rFonts w:hint="eastAsia"/>
              </w:rPr>
              <w:t>竞争性磋商文件澄清发出的形式</w:t>
            </w:r>
          </w:p>
        </w:tc>
        <w:tc>
          <w:tcPr>
            <w:tcW w:w="6163" w:type="dxa"/>
            <w:noWrap/>
            <w:vAlign w:val="center"/>
          </w:tcPr>
          <w:p>
            <w:pPr>
              <w:wordWrap/>
              <w:topLinePunct w:val="0"/>
              <w:spacing w:line="360" w:lineRule="auto"/>
            </w:pPr>
            <w:r>
              <w:rPr>
                <w:rFonts w:hint="eastAsia"/>
                <w:highlight w:val="none"/>
                <w:lang w:val="en-US" w:eastAsia="zh-CN"/>
              </w:rPr>
              <w:t>公告</w:t>
            </w:r>
            <w:r>
              <w:rPr>
                <w:rFonts w:hint="eastAsia"/>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82" w:type="dxa"/>
            <w:noWrap/>
            <w:vAlign w:val="center"/>
          </w:tcPr>
          <w:p>
            <w:pPr>
              <w:wordWrap/>
              <w:topLinePunct w:val="0"/>
              <w:spacing w:line="360" w:lineRule="auto"/>
              <w:jc w:val="center"/>
            </w:pPr>
            <w:r>
              <w:rPr>
                <w:rFonts w:hint="eastAsia"/>
              </w:rPr>
              <w:t>响应人确认收到竞争性磋商文件澄清的时间</w:t>
            </w:r>
          </w:p>
        </w:tc>
        <w:tc>
          <w:tcPr>
            <w:tcW w:w="616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82" w:type="dxa"/>
            <w:noWrap/>
            <w:vAlign w:val="center"/>
          </w:tcPr>
          <w:p>
            <w:pPr>
              <w:wordWrap/>
              <w:topLinePunct w:val="0"/>
              <w:spacing w:line="360" w:lineRule="auto"/>
              <w:jc w:val="center"/>
            </w:pPr>
            <w:r>
              <w:rPr>
                <w:rFonts w:hint="eastAsia"/>
              </w:rPr>
              <w:t>竞争性磋商文件修改发出的形式</w:t>
            </w:r>
          </w:p>
        </w:tc>
        <w:tc>
          <w:tcPr>
            <w:tcW w:w="6163" w:type="dxa"/>
            <w:noWrap/>
            <w:vAlign w:val="center"/>
          </w:tcPr>
          <w:p>
            <w:pPr>
              <w:wordWrap/>
              <w:topLinePunct w:val="0"/>
              <w:spacing w:line="360" w:lineRule="auto"/>
            </w:pPr>
            <w:r>
              <w:rPr>
                <w:rFonts w:hint="eastAsia"/>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82" w:type="dxa"/>
            <w:noWrap/>
            <w:vAlign w:val="center"/>
          </w:tcPr>
          <w:p>
            <w:pPr>
              <w:wordWrap/>
              <w:topLinePunct w:val="0"/>
              <w:spacing w:line="360" w:lineRule="auto"/>
              <w:jc w:val="center"/>
            </w:pPr>
            <w:r>
              <w:rPr>
                <w:rFonts w:hint="eastAsia"/>
              </w:rPr>
              <w:t>响应人确认收到竞争性磋商文件修改的时间</w:t>
            </w:r>
          </w:p>
        </w:tc>
        <w:tc>
          <w:tcPr>
            <w:tcW w:w="616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82" w:type="dxa"/>
            <w:noWrap/>
            <w:vAlign w:val="center"/>
          </w:tcPr>
          <w:p>
            <w:pPr>
              <w:wordWrap/>
              <w:topLinePunct w:val="0"/>
              <w:spacing w:line="360" w:lineRule="auto"/>
              <w:jc w:val="center"/>
            </w:pPr>
            <w:r>
              <w:rPr>
                <w:rFonts w:hint="eastAsia"/>
                <w:lang w:val="en-US" w:eastAsia="zh-CN"/>
              </w:rPr>
              <w:t>投标</w:t>
            </w:r>
            <w:r>
              <w:rPr>
                <w:rFonts w:hint="eastAsia"/>
              </w:rPr>
              <w:t>有效期</w:t>
            </w:r>
          </w:p>
        </w:tc>
        <w:tc>
          <w:tcPr>
            <w:tcW w:w="6163" w:type="dxa"/>
            <w:noWrap/>
          </w:tcPr>
          <w:p>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8" w:type="dxa"/>
            <w:noWrap/>
            <w:vAlign w:val="center"/>
          </w:tcPr>
          <w:p>
            <w:pPr>
              <w:wordWrap/>
              <w:topLinePunct w:val="0"/>
              <w:spacing w:line="360" w:lineRule="auto"/>
              <w:jc w:val="center"/>
            </w:pPr>
            <w:r>
              <w:rPr>
                <w:rFonts w:hint="eastAsia"/>
              </w:rPr>
              <w:t>27</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磋商保证金</w:t>
            </w:r>
          </w:p>
        </w:tc>
        <w:tc>
          <w:tcPr>
            <w:tcW w:w="6163" w:type="dxa"/>
            <w:noWrap/>
            <w:vAlign w:val="center"/>
          </w:tcPr>
          <w:p>
            <w:pPr>
              <w:wordWrap/>
              <w:spacing w:line="360" w:lineRule="auto"/>
              <w:rPr>
                <w:rFonts w:cs="FangSong_GB2312"/>
                <w:kern w:val="0"/>
              </w:rPr>
            </w:pPr>
            <w:r>
              <w:rPr>
                <w:rFonts w:hint="eastAsia" w:cs="FangSong_GB2312"/>
                <w:kern w:val="0"/>
              </w:rPr>
              <w:t>本项目不缴纳磋商保证金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82" w:type="dxa"/>
            <w:noWrap/>
            <w:vAlign w:val="center"/>
          </w:tcPr>
          <w:p>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82" w:type="dxa"/>
            <w:noWrap/>
          </w:tcPr>
          <w:p>
            <w:pPr>
              <w:pStyle w:val="40"/>
              <w:rPr>
                <w:b/>
                <w:sz w:val="20"/>
              </w:rPr>
            </w:pPr>
          </w:p>
          <w:p>
            <w:pPr>
              <w:pStyle w:val="40"/>
              <w:rPr>
                <w:b/>
                <w:sz w:val="20"/>
              </w:rPr>
            </w:pPr>
          </w:p>
          <w:p>
            <w:pPr>
              <w:pStyle w:val="40"/>
              <w:rPr>
                <w:b/>
                <w:sz w:val="20"/>
              </w:rPr>
            </w:pPr>
          </w:p>
          <w:p>
            <w:pPr>
              <w:pStyle w:val="40"/>
              <w:rPr>
                <w:b/>
                <w:sz w:val="20"/>
              </w:rPr>
            </w:pPr>
          </w:p>
          <w:p>
            <w:pPr>
              <w:pStyle w:val="40"/>
              <w:rPr>
                <w:b/>
                <w:sz w:val="20"/>
              </w:rPr>
            </w:pPr>
          </w:p>
          <w:p>
            <w:pPr>
              <w:pStyle w:val="40"/>
              <w:rPr>
                <w:b/>
                <w:sz w:val="20"/>
              </w:rPr>
            </w:pPr>
          </w:p>
          <w:p>
            <w:pPr>
              <w:pStyle w:val="40"/>
              <w:spacing w:before="6"/>
              <w:rPr>
                <w:b/>
                <w:sz w:val="25"/>
              </w:rPr>
            </w:pPr>
          </w:p>
          <w:p>
            <w:pPr>
              <w:pStyle w:val="40"/>
              <w:ind w:left="102" w:right="93"/>
              <w:jc w:val="center"/>
            </w:pPr>
            <w:r>
              <w:t>递交响应文件方式及地点</w:t>
            </w:r>
          </w:p>
        </w:tc>
        <w:tc>
          <w:tcPr>
            <w:tcW w:w="6163" w:type="dxa"/>
            <w:noWrap/>
          </w:tcPr>
          <w:p>
            <w:pPr>
              <w:pStyle w:val="40"/>
              <w:spacing w:before="131"/>
              <w:ind w:left="106" w:right="-15"/>
            </w:pPr>
            <w:r>
              <w:rPr>
                <w:rFonts w:hint="eastAsia"/>
              </w:rPr>
              <w:t>1、</w:t>
            </w:r>
            <w:r>
              <w:rPr>
                <w:rFonts w:hint="eastAsia"/>
                <w:lang w:val="en-US"/>
              </w:rPr>
              <w:t>响应</w:t>
            </w:r>
            <w:r>
              <w:rPr>
                <w:rFonts w:hint="eastAsia"/>
              </w:rPr>
              <w:t>文件递交</w:t>
            </w:r>
          </w:p>
          <w:p>
            <w:pPr>
              <w:pStyle w:val="40"/>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eastAsia="zh-CN"/>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pPr>
              <w:pStyle w:val="40"/>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pPr>
              <w:pStyle w:val="40"/>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pPr>
              <w:pStyle w:val="40"/>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82" w:type="dxa"/>
            <w:noWrap/>
            <w:vAlign w:val="center"/>
          </w:tcPr>
          <w:p>
            <w:pPr>
              <w:wordWrap/>
              <w:topLinePunct w:val="0"/>
              <w:spacing w:line="360" w:lineRule="auto"/>
              <w:jc w:val="center"/>
            </w:pPr>
            <w:r>
              <w:rPr>
                <w:rFonts w:hint="eastAsia"/>
              </w:rPr>
              <w:t>电子投标文件递交</w:t>
            </w:r>
          </w:p>
        </w:tc>
        <w:tc>
          <w:tcPr>
            <w:tcW w:w="6163" w:type="dxa"/>
            <w:noWrap/>
            <w:vAlign w:val="center"/>
          </w:tcPr>
          <w:p>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pPr>
              <w:wordWrap/>
              <w:topLinePunct w:val="0"/>
              <w:spacing w:line="360" w:lineRule="auto"/>
            </w:pPr>
            <w:r>
              <w:t>2</w:t>
            </w:r>
            <w:r>
              <w:rPr>
                <w:rFonts w:hint="eastAsia"/>
              </w:rPr>
              <w:t>、供应商所递交的电子投标文件在投标截止时间之后不予退回。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48" w:type="dxa"/>
            <w:noWrap/>
            <w:vAlign w:val="center"/>
          </w:tcPr>
          <w:p>
            <w:pPr>
              <w:wordWrap/>
              <w:topLinePunct w:val="0"/>
              <w:spacing w:line="360" w:lineRule="auto"/>
              <w:jc w:val="center"/>
            </w:pPr>
            <w:r>
              <w:rPr>
                <w:rFonts w:hint="eastAsia"/>
              </w:rPr>
              <w:t>31</w:t>
            </w:r>
          </w:p>
        </w:tc>
        <w:tc>
          <w:tcPr>
            <w:tcW w:w="2682" w:type="dxa"/>
            <w:noWrap/>
          </w:tcPr>
          <w:p>
            <w:pPr>
              <w:pStyle w:val="40"/>
              <w:rPr>
                <w:b/>
                <w:sz w:val="20"/>
              </w:rPr>
            </w:pPr>
          </w:p>
          <w:p>
            <w:pPr>
              <w:pStyle w:val="40"/>
              <w:spacing w:before="1"/>
              <w:ind w:left="102" w:right="93"/>
              <w:jc w:val="center"/>
            </w:pPr>
            <w:r>
              <w:t>响应文件的份数</w:t>
            </w:r>
          </w:p>
        </w:tc>
        <w:tc>
          <w:tcPr>
            <w:tcW w:w="6163" w:type="dxa"/>
            <w:noWrap/>
          </w:tcPr>
          <w:p>
            <w:pPr>
              <w:pStyle w:val="40"/>
              <w:spacing w:before="156"/>
              <w:rPr>
                <w:rFonts w:hint="eastAsia" w:eastAsia="宋体"/>
                <w:lang w:val="en-US" w:eastAsia="zh-CN" w:bidi="ar-SA"/>
              </w:rPr>
            </w:pPr>
            <w:r>
              <w:rPr>
                <w:rFonts w:hint="eastAsia"/>
                <w:lang w:val="en-US" w:bidi="ar-SA"/>
              </w:rPr>
              <w:t>供应商需在开标截止前上传一份符合要求的响应文件至社旗县公共资源交易中心系统</w:t>
            </w:r>
            <w:r>
              <w:rPr>
                <w:rFonts w:hint="eastAsi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32</w:t>
            </w:r>
          </w:p>
        </w:tc>
        <w:tc>
          <w:tcPr>
            <w:tcW w:w="2682" w:type="dxa"/>
            <w:noWrap/>
            <w:vAlign w:val="center"/>
          </w:tcPr>
          <w:p>
            <w:pPr>
              <w:wordWrap/>
              <w:topLinePunct w:val="0"/>
              <w:spacing w:line="360" w:lineRule="auto"/>
              <w:jc w:val="center"/>
            </w:pPr>
            <w:r>
              <w:rPr>
                <w:rFonts w:hint="eastAsia"/>
              </w:rPr>
              <w:t>开标程序</w:t>
            </w:r>
          </w:p>
        </w:tc>
        <w:tc>
          <w:tcPr>
            <w:tcW w:w="6163" w:type="dxa"/>
            <w:noWrap/>
            <w:vAlign w:val="center"/>
          </w:tcPr>
          <w:p>
            <w:pPr>
              <w:spacing w:line="360" w:lineRule="auto"/>
            </w:pPr>
            <w:r>
              <w:t>本项目采用“远程不见面”开标方式，不见面开标大厅地址</w:t>
            </w:r>
            <w:r>
              <w:rPr>
                <w:rFonts w:hint="eastAsia"/>
                <w:lang w:eastAsia="zh-CN"/>
              </w:rPr>
              <w:t>https://ggzyjy.nanyang.gov.cn/BidOpening/bidopeninghallaction/hall/login</w:t>
            </w:r>
            <w:r>
              <w:t>，供应商无需到南阳市</w:t>
            </w:r>
            <w:r>
              <w:rPr>
                <w:rFonts w:hint="eastAsia"/>
                <w:lang w:val="en-US" w:eastAsia="zh-CN"/>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pPr>
              <w:spacing w:line="360" w:lineRule="auto"/>
            </w:pPr>
            <w:r>
              <w:t>1、</w:t>
            </w:r>
            <w:r>
              <w:rPr>
                <w:rFonts w:hint="eastAsia"/>
              </w:rPr>
              <w:t>供应商</w:t>
            </w:r>
            <w:r>
              <w:t>代表持本单位CA数字证书提前登录不见面开标系统并在线签到。</w:t>
            </w:r>
          </w:p>
          <w:p>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pPr>
              <w:spacing w:line="360" w:lineRule="auto"/>
            </w:pPr>
            <w:r>
              <w:t xml:space="preserve">3、开标顺序： </w:t>
            </w:r>
          </w:p>
          <w:p>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pPr>
              <w:spacing w:line="360" w:lineRule="auto"/>
              <w:rPr>
                <w:rFonts w:hint="eastAsia" w:eastAsia="宋体"/>
                <w:lang w:eastAsia="zh-CN"/>
              </w:rPr>
            </w:pPr>
            <w:r>
              <w:t>②唱标。查看唱标信息（系统不提供语音在线播放，该页面停留5分钟供</w:t>
            </w:r>
            <w:r>
              <w:rPr>
                <w:rFonts w:hint="eastAsia"/>
              </w:rPr>
              <w:t>供应商</w:t>
            </w:r>
            <w:r>
              <w:t>查看，如无异议视为同意）。</w:t>
            </w:r>
            <w:r>
              <w:rPr>
                <w:rFonts w:hint="eastAsia"/>
              </w:rPr>
              <w:t>采购人</w:t>
            </w:r>
            <w:r>
              <w:t>、监督人需要关注开标过程中，</w:t>
            </w:r>
            <w:r>
              <w:rPr>
                <w:rFonts w:hint="eastAsia"/>
              </w:rPr>
              <w:t>供应商</w:t>
            </w:r>
            <w:r>
              <w:t>随时在线提出的异议、问题沟通等信息，并做好及时回复</w:t>
            </w:r>
            <w:r>
              <w:rPr>
                <w:rFonts w:hint="eastAsia"/>
                <w:lang w:eastAsia="zh-CN"/>
              </w:rPr>
              <w:t>。</w:t>
            </w:r>
          </w:p>
          <w:p>
            <w:pPr>
              <w:spacing w:line="360" w:lineRule="auto"/>
            </w:pPr>
            <w:r>
              <w:t>③</w:t>
            </w:r>
            <w:r>
              <w:rPr>
                <w:rFonts w:hint="eastAsia"/>
              </w:rPr>
              <w:t>采购人</w:t>
            </w:r>
            <w:r>
              <w:t>、监督人等相关人员在开标记录表上（可进入原评标系统直接打印）签字确认。</w:t>
            </w:r>
          </w:p>
          <w:p>
            <w:pPr>
              <w:spacing w:line="360" w:lineRule="auto"/>
              <w:rPr>
                <w:rFonts w:hint="eastAsia" w:eastAsia="宋体"/>
                <w:lang w:val="en-US" w:eastAsia="zh-CN"/>
              </w:rPr>
            </w:pPr>
            <w:r>
              <w:t>④招标代理机构宣布开标结束，在评标系统中点击“开标结束”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33</w:t>
            </w:r>
          </w:p>
        </w:tc>
        <w:tc>
          <w:tcPr>
            <w:tcW w:w="2682" w:type="dxa"/>
            <w:noWrap/>
            <w:vAlign w:val="center"/>
          </w:tcPr>
          <w:p>
            <w:pPr>
              <w:wordWrap/>
              <w:topLinePunct w:val="0"/>
              <w:spacing w:line="360" w:lineRule="auto"/>
              <w:jc w:val="center"/>
              <w:rPr>
                <w:color w:val="auto"/>
                <w:highlight w:val="none"/>
              </w:rPr>
            </w:pPr>
            <w:r>
              <w:rPr>
                <w:rFonts w:hint="eastAsia"/>
                <w:color w:val="auto"/>
                <w:highlight w:val="none"/>
              </w:rPr>
              <w:t>提交首次响应文件</w:t>
            </w:r>
          </w:p>
          <w:p>
            <w:pPr>
              <w:wordWrap/>
              <w:topLinePunct w:val="0"/>
              <w:spacing w:line="360" w:lineRule="auto"/>
              <w:jc w:val="center"/>
              <w:rPr>
                <w:color w:val="auto"/>
                <w:highlight w:val="none"/>
              </w:rPr>
            </w:pPr>
            <w:r>
              <w:rPr>
                <w:rFonts w:hint="eastAsia"/>
                <w:color w:val="auto"/>
                <w:highlight w:val="none"/>
              </w:rPr>
              <w:t>截止时间</w:t>
            </w:r>
          </w:p>
        </w:tc>
        <w:tc>
          <w:tcPr>
            <w:tcW w:w="6163" w:type="dxa"/>
            <w:noWrap/>
            <w:vAlign w:val="center"/>
          </w:tcPr>
          <w:p>
            <w:pPr>
              <w:wordWrap/>
              <w:topLinePunct w:val="0"/>
              <w:spacing w:line="360" w:lineRule="auto"/>
              <w:rPr>
                <w:color w:val="auto"/>
                <w:highlight w:val="none"/>
              </w:rPr>
            </w:pPr>
            <w:r>
              <w:rPr>
                <w:rFonts w:hint="eastAsia"/>
                <w:color w:val="auto"/>
                <w:highlight w:val="none"/>
                <w:lang w:eastAsia="zh-CN"/>
              </w:rPr>
              <w:t>202</w:t>
            </w:r>
            <w:r>
              <w:rPr>
                <w:rFonts w:hint="eastAsia"/>
                <w:color w:val="auto"/>
                <w:highlight w:val="none"/>
                <w:lang w:val="en-US" w:eastAsia="zh-CN"/>
              </w:rPr>
              <w:t>4</w:t>
            </w:r>
            <w:r>
              <w:rPr>
                <w:rFonts w:hint="eastAsia"/>
                <w:color w:val="auto"/>
                <w:highlight w:val="none"/>
                <w:lang w:eastAsia="zh-CN"/>
              </w:rPr>
              <w:t>年</w:t>
            </w:r>
            <w:r>
              <w:rPr>
                <w:rFonts w:hint="eastAsia"/>
                <w:color w:val="auto"/>
                <w:highlight w:val="none"/>
                <w:lang w:val="en-US" w:eastAsia="zh-CN"/>
              </w:rPr>
              <w:t>5</w:t>
            </w:r>
            <w:r>
              <w:rPr>
                <w:rFonts w:hint="eastAsia"/>
                <w:color w:val="auto"/>
                <w:highlight w:val="none"/>
                <w:lang w:eastAsia="zh-CN"/>
              </w:rPr>
              <w:t>月</w:t>
            </w:r>
            <w:r>
              <w:rPr>
                <w:rFonts w:hint="eastAsia"/>
                <w:color w:val="auto"/>
                <w:highlight w:val="none"/>
                <w:lang w:val="en-US" w:eastAsia="zh-CN"/>
              </w:rPr>
              <w:t>28</w:t>
            </w:r>
            <w:r>
              <w:rPr>
                <w:rFonts w:hint="eastAsia"/>
                <w:color w:val="auto"/>
                <w:highlight w:val="none"/>
                <w:lang w:eastAsia="zh-CN"/>
              </w:rPr>
              <w:t>日1</w:t>
            </w:r>
            <w:r>
              <w:rPr>
                <w:rFonts w:hint="eastAsia"/>
                <w:color w:val="auto"/>
                <w:highlight w:val="none"/>
                <w:lang w:val="en-US" w:eastAsia="zh-CN"/>
              </w:rPr>
              <w:t>5</w:t>
            </w:r>
            <w:r>
              <w:rPr>
                <w:rFonts w:hint="eastAsia"/>
                <w:color w:val="auto"/>
                <w:highlight w:val="none"/>
                <w:lang w:eastAsia="zh-CN"/>
              </w:rPr>
              <w:t>时</w:t>
            </w:r>
            <w:r>
              <w:rPr>
                <w:rFonts w:hint="eastAsia"/>
                <w:color w:val="auto"/>
                <w:highlight w:val="none"/>
                <w:lang w:val="en-US" w:eastAsia="zh-CN"/>
              </w:rPr>
              <w:t>0</w:t>
            </w:r>
            <w:r>
              <w:rPr>
                <w:rFonts w:hint="eastAsia"/>
                <w:color w:val="auto"/>
                <w:highlight w:val="none"/>
                <w:lang w:eastAsia="zh-CN"/>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34</w:t>
            </w:r>
          </w:p>
        </w:tc>
        <w:tc>
          <w:tcPr>
            <w:tcW w:w="2682" w:type="dxa"/>
            <w:noWrap/>
            <w:vAlign w:val="center"/>
          </w:tcPr>
          <w:p>
            <w:pPr>
              <w:wordWrap/>
              <w:topLinePunct w:val="0"/>
              <w:spacing w:line="360" w:lineRule="auto"/>
              <w:jc w:val="center"/>
              <w:rPr>
                <w:highlight w:val="yellow"/>
              </w:rPr>
            </w:pPr>
            <w:r>
              <w:rPr>
                <w:rFonts w:hint="eastAsia"/>
              </w:rPr>
              <w:t>提交首次响应文件地点</w:t>
            </w:r>
          </w:p>
        </w:tc>
        <w:tc>
          <w:tcPr>
            <w:tcW w:w="6163" w:type="dxa"/>
            <w:noWrap/>
            <w:vAlign w:val="center"/>
          </w:tcPr>
          <w:p>
            <w:pPr>
              <w:wordWrap/>
              <w:topLinePunct w:val="0"/>
              <w:spacing w:line="360" w:lineRule="auto"/>
              <w:jc w:val="left"/>
              <w:rPr>
                <w:rFonts w:hint="eastAsia" w:eastAsia="宋体"/>
                <w:highlight w:val="yellow"/>
                <w:lang w:eastAsia="zh-CN"/>
              </w:rPr>
            </w:pPr>
            <w:r>
              <w:rPr>
                <w:rFonts w:hint="eastAsia" w:eastAsia="宋体"/>
                <w:highlight w:val="none"/>
                <w:lang w:eastAsia="zh-CN"/>
              </w:rPr>
              <w:t>社旗县公共资源交易中心系统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35</w:t>
            </w:r>
          </w:p>
        </w:tc>
        <w:tc>
          <w:tcPr>
            <w:tcW w:w="2682" w:type="dxa"/>
            <w:noWrap/>
            <w:vAlign w:val="center"/>
          </w:tcPr>
          <w:p>
            <w:pPr>
              <w:wordWrap/>
              <w:topLinePunct w:val="0"/>
              <w:spacing w:line="360" w:lineRule="auto"/>
              <w:jc w:val="center"/>
            </w:pPr>
            <w:r>
              <w:rPr>
                <w:rFonts w:hint="eastAsia"/>
              </w:rPr>
              <w:t>是否退还磋商响应文件</w:t>
            </w:r>
          </w:p>
        </w:tc>
        <w:tc>
          <w:tcPr>
            <w:tcW w:w="616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36</w:t>
            </w:r>
          </w:p>
        </w:tc>
        <w:tc>
          <w:tcPr>
            <w:tcW w:w="2682" w:type="dxa"/>
            <w:noWrap/>
            <w:vAlign w:val="center"/>
          </w:tcPr>
          <w:p>
            <w:pPr>
              <w:wordWrap/>
              <w:topLinePunct w:val="0"/>
              <w:spacing w:line="360" w:lineRule="auto"/>
              <w:jc w:val="center"/>
            </w:pPr>
            <w:r>
              <w:rPr>
                <w:rFonts w:hint="eastAsia"/>
              </w:rPr>
              <w:t>磋商小组的组建</w:t>
            </w:r>
          </w:p>
        </w:tc>
        <w:tc>
          <w:tcPr>
            <w:tcW w:w="6163" w:type="dxa"/>
            <w:noWrap/>
          </w:tcPr>
          <w:p>
            <w:pPr>
              <w:wordWrap/>
              <w:topLinePunct w:val="0"/>
              <w:spacing w:line="360" w:lineRule="auto"/>
            </w:pPr>
            <w:r>
              <w:rPr>
                <w:rFonts w:hint="eastAsia"/>
              </w:rPr>
              <w:t>磋商小组由采购人代表1人和</w:t>
            </w:r>
            <w:r>
              <w:rPr>
                <w:rFonts w:hint="eastAsia"/>
                <w:lang w:val="en-US" w:eastAsia="zh-CN"/>
              </w:rPr>
              <w:t>评标</w:t>
            </w:r>
            <w:r>
              <w:rPr>
                <w:rFonts w:hint="eastAsia"/>
              </w:rPr>
              <w:t>专家2人组成，成员人数共3人，</w:t>
            </w:r>
            <w:r>
              <w:rPr>
                <w:rFonts w:hint="eastAsia"/>
                <w:lang w:val="en-US" w:eastAsia="zh-CN"/>
              </w:rPr>
              <w:t>评标</w:t>
            </w:r>
            <w:r>
              <w:rPr>
                <w:rFonts w:hint="eastAsia"/>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37</w:t>
            </w:r>
          </w:p>
        </w:tc>
        <w:tc>
          <w:tcPr>
            <w:tcW w:w="268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163" w:type="dxa"/>
            <w:noWrap/>
            <w:vAlign w:val="center"/>
          </w:tcPr>
          <w:p>
            <w:pPr>
              <w:wordWrap/>
              <w:topLinePunct w:val="0"/>
              <w:spacing w:line="360" w:lineRule="auto"/>
            </w:pPr>
            <w:r>
              <w:rPr>
                <w:rFonts w:hint="eastAsia"/>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38</w:t>
            </w:r>
          </w:p>
        </w:tc>
        <w:tc>
          <w:tcPr>
            <w:tcW w:w="2682" w:type="dxa"/>
            <w:noWrap/>
            <w:vAlign w:val="center"/>
          </w:tcPr>
          <w:p>
            <w:pPr>
              <w:wordWrap/>
              <w:topLinePunct w:val="0"/>
              <w:spacing w:line="360" w:lineRule="auto"/>
              <w:jc w:val="center"/>
            </w:pPr>
            <w:r>
              <w:rPr>
                <w:rFonts w:hint="eastAsia"/>
              </w:rPr>
              <w:t>履约保证金</w:t>
            </w:r>
          </w:p>
        </w:tc>
        <w:tc>
          <w:tcPr>
            <w:tcW w:w="6163" w:type="dxa"/>
            <w:noWrap/>
            <w:vAlign w:val="center"/>
          </w:tcPr>
          <w:p>
            <w:pPr>
              <w:wordWrap/>
              <w:spacing w:line="360" w:lineRule="auto"/>
            </w:pPr>
            <w:r>
              <w:rPr>
                <w:rFonts w:hint="eastAsia"/>
              </w:rPr>
              <w:t>本项目不缴纳履约保证金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39</w:t>
            </w:r>
          </w:p>
        </w:tc>
        <w:tc>
          <w:tcPr>
            <w:tcW w:w="2682" w:type="dxa"/>
            <w:noWrap/>
            <w:vAlign w:val="center"/>
          </w:tcPr>
          <w:p>
            <w:pPr>
              <w:wordWrap/>
              <w:topLinePunct w:val="0"/>
              <w:spacing w:line="360" w:lineRule="auto"/>
              <w:jc w:val="center"/>
            </w:pPr>
            <w:r>
              <w:rPr>
                <w:rFonts w:hint="eastAsia"/>
              </w:rPr>
              <w:t>代理费用收取方式及标准</w:t>
            </w:r>
          </w:p>
        </w:tc>
        <w:tc>
          <w:tcPr>
            <w:tcW w:w="6163" w:type="dxa"/>
            <w:noWrap/>
            <w:vAlign w:val="center"/>
          </w:tcPr>
          <w:p>
            <w:pPr>
              <w:wordWrap/>
              <w:topLinePunct w:val="0"/>
              <w:spacing w:line="360" w:lineRule="auto"/>
            </w:pPr>
            <w:r>
              <w:rPr>
                <w:rFonts w:hint="eastAsia"/>
                <w:lang w:val="en-US" w:eastAsia="zh-CN"/>
              </w:rPr>
              <w:t>参照河南省招标投标协会《河南省招标代理服务收费指导意见》豫招协〔2023〕002号文件规定</w:t>
            </w:r>
            <w:r>
              <w:rPr>
                <w:rFonts w:hint="eastAsia"/>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648" w:type="dxa"/>
            <w:noWrap/>
            <w:vAlign w:val="center"/>
          </w:tcPr>
          <w:p>
            <w:pPr>
              <w:wordWrap/>
              <w:topLinePunct w:val="0"/>
              <w:spacing w:line="360" w:lineRule="auto"/>
              <w:jc w:val="center"/>
            </w:pPr>
            <w:r>
              <w:rPr>
                <w:rFonts w:hint="eastAsia"/>
              </w:rPr>
              <w:t>40</w:t>
            </w:r>
          </w:p>
        </w:tc>
        <w:tc>
          <w:tcPr>
            <w:tcW w:w="2682" w:type="dxa"/>
            <w:noWrap/>
            <w:vAlign w:val="center"/>
          </w:tcPr>
          <w:p>
            <w:pPr>
              <w:wordWrap/>
              <w:topLinePunct w:val="0"/>
              <w:spacing w:line="360" w:lineRule="auto"/>
              <w:jc w:val="center"/>
            </w:pPr>
            <w:r>
              <w:rPr>
                <w:rFonts w:hint="eastAsia"/>
              </w:rPr>
              <w:t>采购程序</w:t>
            </w:r>
          </w:p>
        </w:tc>
        <w:tc>
          <w:tcPr>
            <w:tcW w:w="616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3.确定不少于3家的响应人参加磋商</w:t>
            </w:r>
          </w:p>
          <w:p>
            <w:pPr>
              <w:wordWrap/>
              <w:topLinePunct w:val="0"/>
              <w:spacing w:line="360" w:lineRule="auto"/>
            </w:pPr>
            <w:r>
              <w:rPr>
                <w:rFonts w:hint="eastAsia"/>
              </w:rPr>
              <w:t>4.磋商</w:t>
            </w:r>
          </w:p>
          <w:p>
            <w:pPr>
              <w:wordWrap/>
              <w:topLinePunct w:val="0"/>
              <w:spacing w:line="360" w:lineRule="auto"/>
            </w:pPr>
            <w:r>
              <w:rPr>
                <w:rFonts w:hint="eastAsia"/>
              </w:rPr>
              <w:t>5.确定响应人</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93" w:type="dxa"/>
            <w:gridSpan w:val="3"/>
            <w:noWrap/>
            <w:vAlign w:val="center"/>
          </w:tcPr>
          <w:p>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82" w:type="dxa"/>
            <w:noWrap/>
            <w:vAlign w:val="center"/>
          </w:tcPr>
          <w:p>
            <w:pPr>
              <w:autoSpaceDE w:val="0"/>
              <w:autoSpaceDN w:val="0"/>
              <w:spacing w:line="360" w:lineRule="auto"/>
              <w:jc w:val="center"/>
            </w:pPr>
            <w:r>
              <w:rPr>
                <w:rFonts w:hint="eastAsia" w:ascii="宋体" w:hAnsi="宋体" w:cs="宋体"/>
                <w:szCs w:val="21"/>
              </w:rPr>
              <w:t>政府采购政策支持</w:t>
            </w:r>
          </w:p>
        </w:tc>
        <w:tc>
          <w:tcPr>
            <w:tcW w:w="6163" w:type="dxa"/>
            <w:noWrap/>
            <w:vAlign w:val="center"/>
          </w:tcPr>
          <w:p>
            <w:pPr>
              <w:widowControl w:val="0"/>
              <w:tabs>
                <w:tab w:val="left" w:pos="1005"/>
              </w:tabs>
              <w:spacing w:line="360" w:lineRule="auto"/>
              <w:rPr>
                <w:rFonts w:ascii="宋体" w:hAns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pPr>
              <w:widowControl w:val="0"/>
              <w:numPr>
                <w:ilvl w:val="0"/>
                <w:numId w:val="3"/>
              </w:numPr>
              <w:tabs>
                <w:tab w:val="left" w:pos="1005"/>
              </w:tabs>
              <w:spacing w:line="360" w:lineRule="auto"/>
              <w:rPr>
                <w:rFonts w:ascii="宋体" w:hAnsi="宋体" w:cs="宋体"/>
                <w:b/>
                <w:bCs/>
                <w:color w:val="auto"/>
                <w:szCs w:val="21"/>
              </w:rPr>
            </w:pPr>
            <w:r>
              <w:rPr>
                <w:rFonts w:hint="eastAsia" w:ascii="宋体" w:hAnsi="宋体" w:cs="宋体"/>
                <w:bCs/>
                <w:szCs w:val="21"/>
              </w:rPr>
              <w:t>根据《政府采购促进中小企业发展管理办法》（财库（20</w:t>
            </w:r>
            <w:r>
              <w:rPr>
                <w:rFonts w:ascii="宋体" w:hAnsi="宋体" w:cs="宋体"/>
                <w:bCs/>
                <w:szCs w:val="21"/>
              </w:rPr>
              <w:t>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号）和《财政部司法部关于政府采购支持监狱企业发展有关问题的通知》（财库（2014）68号）的规定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cs="宋体"/>
                <w:bCs/>
                <w:color w:val="auto"/>
                <w:szCs w:val="21"/>
                <w:lang w:val="en-US" w:eastAsia="zh-CN"/>
              </w:rPr>
              <w:t>20</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pPr>
              <w:widowControl w:val="0"/>
              <w:numPr>
                <w:ilvl w:val="0"/>
                <w:numId w:val="3"/>
              </w:numPr>
              <w:tabs>
                <w:tab w:val="left" w:pos="1005"/>
              </w:tabs>
              <w:spacing w:line="360" w:lineRule="auto"/>
              <w:rPr>
                <w:rFonts w:ascii="宋体" w:hAnsi="宋体" w:cs="宋体"/>
                <w:bCs/>
                <w:color w:val="auto"/>
                <w:szCs w:val="21"/>
              </w:rPr>
            </w:pPr>
            <w:r>
              <w:rPr>
                <w:rFonts w:hint="eastAsia" w:ascii="宋体" w:hAnsi="宋体" w:cs="宋体"/>
                <w:bCs/>
                <w:color w:val="auto"/>
                <w:szCs w:val="21"/>
              </w:rPr>
              <w:t>中小企业划分标准以工信部联企业【2011】300号《工业和信息化部国家统计局国家发展和改革委财政部关于印发中小企业划型标准规定的通知》为依据。</w:t>
            </w:r>
          </w:p>
          <w:p>
            <w:pPr>
              <w:widowControl w:val="0"/>
              <w:tabs>
                <w:tab w:val="left" w:pos="1005"/>
              </w:tabs>
              <w:spacing w:line="360" w:lineRule="auto"/>
              <w:rPr>
                <w:rFonts w:ascii="宋体" w:hAnsi="宋体" w:cs="宋体"/>
                <w:bCs/>
                <w:color w:val="auto"/>
                <w:szCs w:val="21"/>
              </w:rPr>
            </w:pPr>
            <w:r>
              <w:rPr>
                <w:rFonts w:hint="eastAsia" w:ascii="宋体" w:hAnsi="宋体" w:cs="宋体"/>
                <w:b/>
                <w:color w:val="auto"/>
                <w:szCs w:val="21"/>
              </w:rPr>
              <w:t>（二）强制采购节能产品、信息安全产品，优先采购环境标志产品政策。</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pPr>
              <w:numPr>
                <w:ilvl w:val="0"/>
                <w:numId w:val="3"/>
              </w:numPr>
              <w:tabs>
                <w:tab w:val="left" w:pos="1005"/>
              </w:tabs>
              <w:spacing w:line="360" w:lineRule="auto"/>
            </w:pPr>
            <w:r>
              <w:rPr>
                <w:rFonts w:hint="eastAsia" w:ascii="宋体" w:hAnsi="宋体" w:cs="宋体"/>
                <w:bCs/>
                <w:color w:val="auto"/>
                <w:szCs w:val="21"/>
              </w:rPr>
              <w:t>提供的产品属于政府强制采购节能产品的，供应商应当选择《节能产品政府采购清单》中的产品投标，并提供有效的节能产品认证证书复印件。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rPr>
            </w:pPr>
          </w:p>
        </w:tc>
        <w:tc>
          <w:tcPr>
            <w:tcW w:w="2682" w:type="dxa"/>
            <w:noWrap/>
            <w:vAlign w:val="center"/>
          </w:tcPr>
          <w:p>
            <w:pPr>
              <w:widowControl/>
              <w:shd w:val="clear" w:color="auto" w:fill="FFFFFF"/>
              <w:spacing w:line="360" w:lineRule="auto"/>
              <w:jc w:val="center"/>
              <w:rPr>
                <w:rFonts w:hint="eastAsia"/>
                <w:kern w:val="0"/>
                <w:shd w:val="clear" w:color="auto" w:fill="FFFFFF"/>
              </w:rPr>
            </w:pPr>
            <w:r>
              <w:rPr>
                <w:rFonts w:hint="eastAsia"/>
                <w:kern w:val="0"/>
                <w:shd w:val="clear" w:color="auto" w:fill="FFFFFF"/>
              </w:rPr>
              <w:t>政府采购合同融资政策</w:t>
            </w:r>
          </w:p>
        </w:tc>
        <w:tc>
          <w:tcPr>
            <w:tcW w:w="6163" w:type="dxa"/>
            <w:noWrap/>
            <w:vAlign w:val="center"/>
          </w:tcPr>
          <w:p>
            <w:pPr>
              <w:spacing w:line="360" w:lineRule="auto"/>
            </w:pPr>
            <w:r>
              <w:t>政府采购合同融资是河南省财政厅支持中小微企业发展，针对参与 政府 采购活动的供应商融资难、融资贵问题推出的一项融资政策。 潜在供应 商若成为本次政府采购项目的中标成交供应商，可持政府 采购合同向金 融机构申请贷款，无需抵押、担保，融资机构将根据 《河南省政府采购 合同融资工作实施方案》（豫财购〔2017〕10） ，按照双方自愿的原则 提供便捷、优惠的贷款服务。贷款渠道和提 供贷款的金融机构，可在河南省政府采购网“河南省政府采购合同 融资平台 ”查询联系。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eastAsia="宋体"/>
                <w:lang w:eastAsia="zh-CN"/>
              </w:rPr>
            </w:pPr>
            <w:r>
              <w:rPr>
                <w:rFonts w:hint="eastAsia"/>
              </w:rPr>
              <w:t>4</w:t>
            </w:r>
            <w:r>
              <w:rPr>
                <w:rFonts w:hint="eastAsia"/>
                <w:lang w:val="en-US" w:eastAsia="zh-CN"/>
              </w:rPr>
              <w:t>2</w:t>
            </w:r>
          </w:p>
        </w:tc>
        <w:tc>
          <w:tcPr>
            <w:tcW w:w="2682" w:type="dxa"/>
            <w:noWrap/>
            <w:vAlign w:val="center"/>
          </w:tcPr>
          <w:p>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pPr>
              <w:spacing w:line="360" w:lineRule="auto"/>
            </w:pPr>
            <w:r>
              <w:t>注：构成本竞争性磋商文件的各个组成文件应互为解释，互为说明；除竞争性磋商文件 中有特 别规定外，仅适用于招标投标阶段的规定，按投标邀请书、供应商须知、评标 办法、投标文件 格式的先后顺序解释；同一组成文件中就同一事项的规定或约定不一 致的，以编排顺序在后者 为准；同一组成文件不同版本之间有不一致的，以形成时间 在后者为准。按本款前述规定仍不 能形成结论的，由采购人负责解释。竞争性磋商文 件解释权归采购人和采购代理机构。竞争性磋商文件未尽事宜按现行采购的有关法律法规和规定执行</w:t>
            </w:r>
            <w:bookmarkStart w:id="665" w:name="_GoBack"/>
            <w:bookmarkEnd w:id="6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eastAsia="宋体"/>
                <w:lang w:val="en-US" w:eastAsia="zh-CN"/>
              </w:rPr>
            </w:pPr>
            <w:r>
              <w:rPr>
                <w:rFonts w:hint="eastAsia"/>
                <w:lang w:val="en-US" w:eastAsia="zh-CN"/>
              </w:rPr>
              <w:t>43</w:t>
            </w:r>
          </w:p>
        </w:tc>
        <w:tc>
          <w:tcPr>
            <w:tcW w:w="8845" w:type="dxa"/>
            <w:gridSpan w:val="2"/>
            <w:noWrap/>
            <w:vAlign w:val="center"/>
          </w:tcPr>
          <w:p>
            <w:pPr>
              <w:spacing w:line="360" w:lineRule="auto"/>
              <w:rPr>
                <w:rFonts w:hint="eastAsia"/>
              </w:rPr>
            </w:pPr>
            <w:r>
              <w:rPr>
                <w:rStyle w:val="45"/>
                <w:rFonts w:hint="eastAsia" w:ascii="宋体" w:hAnsi="宋体" w:eastAsia="宋体" w:cs="Times New Roman"/>
                <w:szCs w:val="21"/>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bl>
    <w:p>
      <w:pPr>
        <w:pStyle w:val="36"/>
        <w:numPr>
          <w:ilvl w:val="0"/>
          <w:numId w:val="5"/>
        </w:numPr>
        <w:tabs>
          <w:tab w:val="left" w:pos="360"/>
          <w:tab w:val="clear" w:pos="425"/>
        </w:tabs>
        <w:spacing w:line="360" w:lineRule="auto"/>
        <w:jc w:val="both"/>
        <w:outlineLvl w:val="1"/>
        <w:rPr>
          <w:rFonts w:hAnsi="宋体" w:cs="黑体"/>
          <w:b/>
          <w:color w:val="auto"/>
        </w:rPr>
      </w:pPr>
      <w:bookmarkStart w:id="10" w:name="_Toc30815"/>
      <w:bookmarkStart w:id="11" w:name="_Toc12193"/>
      <w:r>
        <w:rPr>
          <w:rFonts w:hint="eastAsia" w:hAnsi="宋体" w:cs="黑体"/>
          <w:b/>
          <w:color w:val="auto"/>
        </w:rPr>
        <w:t>总则</w:t>
      </w:r>
      <w:bookmarkEnd w:id="10"/>
      <w:bookmarkEnd w:id="11"/>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2" w:name="_Toc454788009"/>
      <w:bookmarkStart w:id="13" w:name="_Toc463011253"/>
      <w:bookmarkStart w:id="14" w:name="_Toc27089"/>
      <w:bookmarkStart w:id="15" w:name="_Toc13394"/>
      <w:bookmarkStart w:id="16" w:name="_Toc428351629"/>
      <w:bookmarkStart w:id="17" w:name="_Toc462934274"/>
      <w:bookmarkStart w:id="18" w:name="_Toc455678100"/>
      <w:bookmarkStart w:id="19" w:name="_Toc428276569"/>
      <w:bookmarkStart w:id="20" w:name="_Toc277149365"/>
      <w:bookmarkStart w:id="21" w:name="_Toc25531"/>
      <w:r>
        <w:rPr>
          <w:rFonts w:hint="eastAsia" w:hAnsi="宋体" w:cs="黑体"/>
          <w:b/>
          <w:color w:val="auto"/>
          <w:sz w:val="21"/>
          <w:szCs w:val="21"/>
        </w:rPr>
        <w:t>项目概况</w:t>
      </w:r>
      <w:bookmarkEnd w:id="12"/>
      <w:bookmarkEnd w:id="13"/>
      <w:bookmarkEnd w:id="14"/>
      <w:bookmarkEnd w:id="15"/>
      <w:bookmarkEnd w:id="16"/>
      <w:bookmarkEnd w:id="17"/>
      <w:bookmarkEnd w:id="18"/>
      <w:bookmarkEnd w:id="19"/>
      <w:bookmarkEnd w:id="20"/>
      <w:bookmarkEnd w:id="21"/>
    </w:p>
    <w:p>
      <w:pPr>
        <w:wordWrap/>
        <w:topLinePunct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36"/>
        <w:numPr>
          <w:ilvl w:val="2"/>
          <w:numId w:val="5"/>
        </w:numPr>
        <w:tabs>
          <w:tab w:val="left" w:pos="0"/>
          <w:tab w:val="clear" w:pos="1418"/>
        </w:tabs>
        <w:spacing w:line="360" w:lineRule="auto"/>
        <w:ind w:left="420" w:leftChars="200" w:firstLine="0"/>
        <w:rPr>
          <w:rFonts w:hAnsi="宋体" w:cs="黑体"/>
          <w:color w:val="auto"/>
          <w:sz w:val="21"/>
          <w:szCs w:val="21"/>
        </w:rPr>
      </w:pPr>
      <w:r>
        <w:rPr>
          <w:rFonts w:hint="eastAsia" w:hAnsi="宋体" w:cs="黑体"/>
          <w:color w:val="auto"/>
          <w:sz w:val="21"/>
          <w:szCs w:val="21"/>
        </w:rPr>
        <w:t>采购人：《响应人须知前附表》中所述的，依法进行政府采购的国家机关、事业单位、团体组织。</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项目名称及采购编号：见《响应人须知前附表》。</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 w:name="_Toc277149366"/>
      <w:bookmarkStart w:id="23" w:name="_Toc454788010"/>
      <w:bookmarkStart w:id="24" w:name="_Toc269470296"/>
      <w:bookmarkStart w:id="25" w:name="_Toc428351630"/>
      <w:bookmarkStart w:id="26" w:name="_Toc270604577"/>
      <w:bookmarkStart w:id="27" w:name="_Toc455678101"/>
      <w:bookmarkStart w:id="28" w:name="_Toc463011254"/>
      <w:bookmarkStart w:id="29" w:name="_Toc428276570"/>
      <w:bookmarkStart w:id="30" w:name="_Toc13259"/>
      <w:bookmarkStart w:id="31" w:name="_Toc270604804"/>
      <w:bookmarkStart w:id="32" w:name="_Toc29176"/>
      <w:bookmarkStart w:id="33" w:name="_Toc19738"/>
      <w:bookmarkStart w:id="34" w:name="_Toc462934275"/>
      <w:r>
        <w:rPr>
          <w:rFonts w:hint="eastAsia" w:hAnsi="宋体" w:cs="黑体"/>
          <w:b/>
          <w:color w:val="auto"/>
          <w:sz w:val="21"/>
          <w:szCs w:val="21"/>
        </w:rPr>
        <w:t>资金来源和落实情况</w:t>
      </w:r>
      <w:bookmarkEnd w:id="22"/>
      <w:bookmarkEnd w:id="23"/>
      <w:bookmarkEnd w:id="24"/>
      <w:bookmarkEnd w:id="25"/>
      <w:bookmarkEnd w:id="26"/>
      <w:bookmarkEnd w:id="27"/>
      <w:bookmarkEnd w:id="28"/>
      <w:bookmarkEnd w:id="29"/>
      <w:bookmarkEnd w:id="30"/>
      <w:bookmarkEnd w:id="31"/>
      <w:bookmarkEnd w:id="32"/>
      <w:bookmarkEnd w:id="33"/>
      <w:bookmarkEnd w:id="34"/>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采购项目性质：见《响应人须知前附表》。</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 w:name="_Toc270604805"/>
      <w:bookmarkStart w:id="36" w:name="_Toc428276571"/>
      <w:bookmarkStart w:id="37" w:name="_Toc277149367"/>
      <w:bookmarkStart w:id="38" w:name="_Toc428351631"/>
      <w:bookmarkStart w:id="39" w:name="_Toc269470297"/>
      <w:bookmarkStart w:id="40" w:name="_Toc455678102"/>
      <w:bookmarkStart w:id="41" w:name="_Toc270604578"/>
      <w:bookmarkStart w:id="42" w:name="_Toc9637"/>
      <w:bookmarkStart w:id="43" w:name="_Toc74"/>
      <w:bookmarkStart w:id="44" w:name="_Toc463011255"/>
      <w:bookmarkStart w:id="45" w:name="_Toc20155"/>
      <w:bookmarkStart w:id="46" w:name="_Toc454788011"/>
      <w:bookmarkStart w:id="47" w:name="_Toc462934276"/>
      <w:r>
        <w:rPr>
          <w:rFonts w:hint="eastAsia" w:hAnsi="宋体" w:cs="黑体"/>
          <w:b/>
          <w:color w:val="auto"/>
          <w:sz w:val="21"/>
          <w:szCs w:val="21"/>
        </w:rPr>
        <w:t>采购范围、计划工期和质量</w:t>
      </w:r>
      <w:bookmarkEnd w:id="35"/>
      <w:bookmarkEnd w:id="36"/>
      <w:bookmarkEnd w:id="37"/>
      <w:bookmarkEnd w:id="38"/>
      <w:bookmarkEnd w:id="39"/>
      <w:bookmarkEnd w:id="40"/>
      <w:bookmarkEnd w:id="41"/>
      <w:bookmarkEnd w:id="42"/>
      <w:bookmarkEnd w:id="43"/>
      <w:bookmarkEnd w:id="44"/>
      <w:bookmarkEnd w:id="45"/>
      <w:bookmarkEnd w:id="46"/>
      <w:bookmarkEnd w:id="47"/>
      <w:r>
        <w:rPr>
          <w:rFonts w:hint="eastAsia" w:hAnsi="宋体" w:cs="黑体"/>
          <w:b/>
          <w:color w:val="auto"/>
          <w:sz w:val="21"/>
          <w:szCs w:val="21"/>
        </w:rPr>
        <w:t>标准</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lang w:val="en-US" w:eastAsia="zh-CN"/>
        </w:rPr>
        <w:t>服务期限</w:t>
      </w:r>
      <w:r>
        <w:rPr>
          <w:rFonts w:hint="eastAsia" w:hAnsi="宋体" w:cs="黑体"/>
          <w:color w:val="auto"/>
          <w:sz w:val="21"/>
          <w:szCs w:val="21"/>
        </w:rPr>
        <w:t>：见《响应人须知前附表》。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lang w:val="en-US" w:eastAsia="zh-CN"/>
        </w:rPr>
        <w:t>服务质量</w:t>
      </w:r>
      <w:r>
        <w:rPr>
          <w:rFonts w:hint="eastAsia" w:hAnsi="宋体" w:cs="黑体"/>
          <w:color w:val="auto"/>
          <w:sz w:val="21"/>
          <w:szCs w:val="21"/>
        </w:rPr>
        <w:t>：见《响应人须知前附表》。</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8" w:name="_Toc269470298"/>
      <w:bookmarkStart w:id="49" w:name="_Toc428276572"/>
      <w:bookmarkStart w:id="50" w:name="_Toc428351632"/>
      <w:bookmarkStart w:id="51" w:name="_Toc463011256"/>
      <w:bookmarkStart w:id="52" w:name="_Toc455678103"/>
      <w:bookmarkStart w:id="53" w:name="_Toc16958"/>
      <w:bookmarkStart w:id="54" w:name="_Toc454788012"/>
      <w:bookmarkStart w:id="55" w:name="_Toc11519"/>
      <w:bookmarkStart w:id="56" w:name="_Toc270604579"/>
      <w:bookmarkStart w:id="57" w:name="_Toc277149368"/>
      <w:bookmarkStart w:id="58" w:name="_Toc462934277"/>
      <w:bookmarkStart w:id="59" w:name="_Toc6648"/>
      <w:bookmarkStart w:id="60" w:name="_Toc270604806"/>
      <w:r>
        <w:rPr>
          <w:rFonts w:hint="eastAsia" w:hAnsi="宋体" w:cs="黑体"/>
          <w:b/>
          <w:color w:val="auto"/>
          <w:sz w:val="21"/>
          <w:szCs w:val="21"/>
        </w:rPr>
        <w:t>响应人资格要求</w:t>
      </w:r>
      <w:bookmarkEnd w:id="48"/>
      <w:bookmarkEnd w:id="49"/>
      <w:bookmarkEnd w:id="50"/>
      <w:bookmarkEnd w:id="51"/>
      <w:bookmarkEnd w:id="52"/>
      <w:bookmarkEnd w:id="53"/>
      <w:bookmarkEnd w:id="54"/>
      <w:bookmarkEnd w:id="55"/>
      <w:bookmarkEnd w:id="56"/>
      <w:bookmarkEnd w:id="57"/>
      <w:bookmarkEnd w:id="58"/>
      <w:bookmarkEnd w:id="59"/>
      <w:bookmarkEnd w:id="60"/>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响应人应具备的资格条件：见《响应人须知前附表》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响应人不得存在下列情形之一：</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bookmarkStart w:id="61" w:name="_Toc19948"/>
      <w:bookmarkStart w:id="62" w:name="_Toc428276573"/>
      <w:bookmarkStart w:id="63" w:name="_Toc28593"/>
      <w:bookmarkStart w:id="64" w:name="_Toc463011257"/>
      <w:bookmarkStart w:id="65" w:name="_Toc14128"/>
      <w:bookmarkStart w:id="66" w:name="_Toc269470299"/>
      <w:bookmarkStart w:id="67" w:name="_Toc462934278"/>
      <w:bookmarkStart w:id="68" w:name="_Toc428351633"/>
      <w:bookmarkStart w:id="69" w:name="_Toc277149369"/>
      <w:bookmarkStart w:id="70" w:name="_Toc455678104"/>
      <w:bookmarkStart w:id="71" w:name="_Toc270604807"/>
      <w:bookmarkStart w:id="72" w:name="_Toc454788013"/>
      <w:bookmarkStart w:id="73" w:name="_Toc270604580"/>
      <w:r>
        <w:rPr>
          <w:rFonts w:hint="eastAsia" w:cs="微软雅黑"/>
          <w:kern w:val="0"/>
        </w:rPr>
        <w:t>与采购人存在利害关系且可能影响磋商公正性；</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与本磋商项目的其他响应人为同一个单位负责人；</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与本磋商项目的其他响应人存在控股、管理关系；</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响应人以他人名义投标、串通投标、以行贿手段牟取中标，或在投标中弄虚作假的；</w:t>
      </w:r>
    </w:p>
    <w:p>
      <w:pPr>
        <w:numPr>
          <w:ilvl w:val="0"/>
          <w:numId w:val="6"/>
        </w:numPr>
        <w:wordWrap/>
        <w:topLinePunct w:val="0"/>
        <w:autoSpaceDE w:val="0"/>
        <w:autoSpaceDN w:val="0"/>
        <w:adjustRightInd w:val="0"/>
        <w:spacing w:line="360" w:lineRule="auto"/>
        <w:ind w:left="0" w:right="40" w:firstLine="420" w:firstLineChars="200"/>
        <w:jc w:val="left"/>
      </w:pPr>
      <w:r>
        <w:rPr>
          <w:rFonts w:hint="eastAsia" w:cs="微软雅黑"/>
          <w:kern w:val="0"/>
        </w:rPr>
        <w:t>法律法规规定的其他情形。</w:t>
      </w:r>
    </w:p>
    <w:bookmarkEnd w:id="61"/>
    <w:bookmarkEnd w:id="62"/>
    <w:bookmarkEnd w:id="63"/>
    <w:bookmarkEnd w:id="64"/>
    <w:bookmarkEnd w:id="65"/>
    <w:bookmarkEnd w:id="66"/>
    <w:bookmarkEnd w:id="67"/>
    <w:bookmarkEnd w:id="68"/>
    <w:bookmarkEnd w:id="69"/>
    <w:bookmarkEnd w:id="70"/>
    <w:bookmarkEnd w:id="71"/>
    <w:bookmarkEnd w:id="72"/>
    <w:bookmarkEnd w:id="73"/>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74" w:name="_Toc32336"/>
      <w:r>
        <w:rPr>
          <w:rFonts w:hint="eastAsia" w:hAnsi="宋体" w:cs="黑体"/>
          <w:b/>
          <w:color w:val="auto"/>
          <w:sz w:val="21"/>
          <w:szCs w:val="21"/>
        </w:rPr>
        <w:t>费用承担</w:t>
      </w:r>
    </w:p>
    <w:p>
      <w:pPr>
        <w:wordWrap/>
        <w:topLinePunct w:val="0"/>
        <w:spacing w:line="360" w:lineRule="auto"/>
        <w:ind w:left="420" w:leftChars="200"/>
      </w:pPr>
      <w:r>
        <w:rPr>
          <w:rFonts w:hint="eastAsia"/>
        </w:rPr>
        <w:t>响应人准备和参加竞争性磋商活动发生的费用自理。</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74"/>
    </w:p>
    <w:p>
      <w:pPr>
        <w:wordWrap/>
        <w:topLinePunct w:val="0"/>
        <w:spacing w:line="360" w:lineRule="auto"/>
        <w:ind w:firstLine="420" w:firstLineChars="200"/>
      </w:pPr>
      <w:bookmarkStart w:id="75" w:name="_Toc454788015"/>
      <w:bookmarkStart w:id="76" w:name="_Toc428276575"/>
      <w:bookmarkStart w:id="77" w:name="_Toc463011259"/>
      <w:bookmarkStart w:id="78" w:name="_Toc462934280"/>
      <w:bookmarkStart w:id="79" w:name="_Toc428351635"/>
      <w:bookmarkStart w:id="80" w:name="_Toc270604809"/>
      <w:bookmarkStart w:id="81" w:name="_Toc455678106"/>
      <w:bookmarkStart w:id="82" w:name="_Toc270604582"/>
      <w:bookmarkStart w:id="83" w:name="_Toc19438"/>
      <w:bookmarkStart w:id="84" w:name="_Toc269470301"/>
      <w:bookmarkStart w:id="85" w:name="_Toc7606"/>
      <w:bookmarkStart w:id="86" w:name="_Toc277149371"/>
      <w:r>
        <w:rPr>
          <w:rFonts w:hint="eastAsia"/>
        </w:rPr>
        <w:t>参与竞争性磋商活动的各方应对竞争性磋商文件和响应文件中的商业和技术等秘密保密，否则应承担相应的法律责任。</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7" w:name="_Toc25734"/>
      <w:r>
        <w:rPr>
          <w:rFonts w:hint="eastAsia" w:hAnsi="宋体" w:cs="黑体"/>
          <w:b/>
          <w:color w:val="auto"/>
          <w:sz w:val="21"/>
          <w:szCs w:val="21"/>
        </w:rPr>
        <w:t>语言文字</w:t>
      </w:r>
      <w:bookmarkEnd w:id="75"/>
      <w:bookmarkEnd w:id="76"/>
      <w:bookmarkEnd w:id="77"/>
      <w:bookmarkEnd w:id="78"/>
      <w:bookmarkEnd w:id="79"/>
      <w:bookmarkEnd w:id="80"/>
      <w:bookmarkEnd w:id="81"/>
      <w:bookmarkEnd w:id="82"/>
      <w:bookmarkEnd w:id="83"/>
      <w:bookmarkEnd w:id="84"/>
      <w:bookmarkEnd w:id="85"/>
      <w:bookmarkEnd w:id="86"/>
      <w:bookmarkEnd w:id="87"/>
    </w:p>
    <w:p>
      <w:pPr>
        <w:wordWrap/>
        <w:topLinePunct w:val="0"/>
        <w:spacing w:line="360" w:lineRule="auto"/>
        <w:ind w:firstLine="420" w:firstLineChars="200"/>
      </w:pPr>
      <w:bookmarkStart w:id="88" w:name="_Toc270604583"/>
      <w:bookmarkStart w:id="89" w:name="_Toc9894"/>
      <w:bookmarkStart w:id="90" w:name="_Toc277149372"/>
      <w:bookmarkStart w:id="91" w:name="_Toc29299"/>
      <w:bookmarkStart w:id="92" w:name="_Toc454788016"/>
      <w:bookmarkStart w:id="93" w:name="_Toc428276576"/>
      <w:bookmarkStart w:id="94" w:name="_Toc455678107"/>
      <w:bookmarkStart w:id="95" w:name="_Toc462934281"/>
      <w:bookmarkStart w:id="96" w:name="_Toc269470302"/>
      <w:bookmarkStart w:id="97" w:name="_Toc463011260"/>
      <w:bookmarkStart w:id="98" w:name="_Toc428351636"/>
      <w:bookmarkStart w:id="99" w:name="_Toc270604810"/>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00" w:name="_Toc30996"/>
      <w:r>
        <w:rPr>
          <w:rFonts w:hint="eastAsia" w:hAnsi="宋体" w:cs="黑体"/>
          <w:b/>
          <w:color w:val="auto"/>
          <w:sz w:val="21"/>
          <w:szCs w:val="21"/>
        </w:rPr>
        <w:t>计量单位</w:t>
      </w:r>
      <w:bookmarkEnd w:id="88"/>
      <w:bookmarkEnd w:id="89"/>
      <w:bookmarkEnd w:id="90"/>
      <w:bookmarkEnd w:id="91"/>
      <w:bookmarkEnd w:id="92"/>
      <w:bookmarkEnd w:id="93"/>
      <w:bookmarkEnd w:id="94"/>
      <w:bookmarkEnd w:id="95"/>
      <w:bookmarkEnd w:id="96"/>
      <w:bookmarkEnd w:id="97"/>
      <w:bookmarkEnd w:id="98"/>
      <w:bookmarkEnd w:id="99"/>
      <w:bookmarkEnd w:id="100"/>
    </w:p>
    <w:p>
      <w:pPr>
        <w:wordWrap/>
        <w:topLinePunct w:val="0"/>
        <w:spacing w:line="360" w:lineRule="auto"/>
        <w:ind w:left="420" w:leftChars="200"/>
      </w:pPr>
      <w:r>
        <w:rPr>
          <w:rFonts w:hint="eastAsia"/>
        </w:rPr>
        <w:t>所有计量均采用中华人民共和国法定计量标准单位。</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01" w:name="_Toc277149373"/>
      <w:bookmarkStart w:id="102" w:name="_Toc270604811"/>
      <w:bookmarkStart w:id="103" w:name="_Toc11248"/>
      <w:bookmarkStart w:id="104" w:name="_Toc455678108"/>
      <w:bookmarkStart w:id="105" w:name="_Toc454788017"/>
      <w:bookmarkStart w:id="106" w:name="_Toc463011261"/>
      <w:bookmarkStart w:id="107" w:name="_Toc269470303"/>
      <w:bookmarkStart w:id="108" w:name="_Toc7491"/>
      <w:bookmarkStart w:id="109" w:name="_Toc270604584"/>
      <w:bookmarkStart w:id="110" w:name="_Toc428276577"/>
      <w:bookmarkStart w:id="111" w:name="_Toc462934282"/>
      <w:bookmarkStart w:id="112" w:name="_Toc428351637"/>
      <w:bookmarkStart w:id="113" w:name="_Toc14349"/>
      <w:r>
        <w:rPr>
          <w:rFonts w:hint="eastAsia" w:hAnsi="宋体" w:cs="黑体"/>
          <w:b/>
          <w:color w:val="auto"/>
          <w:sz w:val="21"/>
          <w:szCs w:val="21"/>
        </w:rPr>
        <w:t>现场</w:t>
      </w:r>
      <w:bookmarkEnd w:id="101"/>
      <w:bookmarkEnd w:id="102"/>
      <w:bookmarkEnd w:id="103"/>
      <w:bookmarkEnd w:id="104"/>
      <w:bookmarkEnd w:id="105"/>
      <w:bookmarkEnd w:id="106"/>
      <w:bookmarkEnd w:id="107"/>
      <w:bookmarkEnd w:id="108"/>
      <w:bookmarkEnd w:id="109"/>
      <w:bookmarkEnd w:id="110"/>
      <w:bookmarkEnd w:id="111"/>
      <w:bookmarkEnd w:id="112"/>
      <w:r>
        <w:rPr>
          <w:rFonts w:hint="eastAsia" w:hAnsi="宋体" w:cs="黑体"/>
          <w:b/>
          <w:color w:val="auto"/>
          <w:sz w:val="21"/>
          <w:szCs w:val="21"/>
        </w:rPr>
        <w:t>考察</w:t>
      </w:r>
      <w:bookmarkEnd w:id="113"/>
      <w:r>
        <w:rPr>
          <w:rFonts w:hint="eastAsia" w:hAnsi="宋体" w:cs="黑体"/>
          <w:b/>
          <w:color w:val="auto"/>
          <w:sz w:val="21"/>
          <w:szCs w:val="21"/>
        </w:rPr>
        <w:t>或答疑会</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响应人现场考察发生的费用自理。</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除采购人的原因外，响应人自行负责在现场考察中所发生的人员伤亡和财产损失。</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采购人在现场考察中介绍的项目场地和相关的周边环境情况，供响应人在编制响应文件时参考，采购人不对响应人据此作出的判断和决策负责。</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答疑会：见《响应人须知前附表》。</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14" w:name="_Toc428276579"/>
      <w:bookmarkStart w:id="115" w:name="_Toc455678110"/>
      <w:bookmarkStart w:id="116" w:name="_Toc463011263"/>
      <w:bookmarkStart w:id="117" w:name="_Toc454788019"/>
      <w:bookmarkStart w:id="118" w:name="_Toc270604586"/>
      <w:bookmarkStart w:id="119" w:name="_Toc462934284"/>
      <w:bookmarkStart w:id="120" w:name="_Toc8646"/>
      <w:bookmarkStart w:id="121" w:name="_Toc24091"/>
      <w:bookmarkStart w:id="122" w:name="_Toc428351639"/>
      <w:bookmarkStart w:id="123" w:name="_Toc20135"/>
      <w:bookmarkStart w:id="124" w:name="_Toc270604813"/>
      <w:bookmarkStart w:id="125" w:name="_Toc277149375"/>
      <w:bookmarkStart w:id="126" w:name="_Toc269470305"/>
      <w:r>
        <w:rPr>
          <w:rFonts w:hint="eastAsia" w:hAnsi="宋体" w:cs="黑体"/>
          <w:b/>
          <w:color w:val="auto"/>
          <w:sz w:val="21"/>
          <w:szCs w:val="21"/>
        </w:rPr>
        <w:t>分包</w:t>
      </w:r>
      <w:bookmarkEnd w:id="114"/>
      <w:bookmarkEnd w:id="115"/>
      <w:bookmarkEnd w:id="116"/>
      <w:bookmarkEnd w:id="117"/>
      <w:bookmarkEnd w:id="118"/>
      <w:bookmarkEnd w:id="119"/>
      <w:bookmarkEnd w:id="120"/>
      <w:bookmarkEnd w:id="121"/>
      <w:bookmarkEnd w:id="122"/>
      <w:bookmarkEnd w:id="123"/>
      <w:bookmarkEnd w:id="124"/>
      <w:bookmarkEnd w:id="125"/>
      <w:bookmarkEnd w:id="126"/>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27" w:name="_Toc8513"/>
      <w:bookmarkStart w:id="128" w:name="_Toc463011264"/>
      <w:bookmarkStart w:id="129" w:name="_Toc454788020"/>
      <w:bookmarkStart w:id="130" w:name="_Toc277149376"/>
      <w:bookmarkStart w:id="131" w:name="_Toc428276580"/>
      <w:bookmarkStart w:id="132" w:name="_Toc428351640"/>
      <w:bookmarkStart w:id="133" w:name="_Toc270604587"/>
      <w:bookmarkStart w:id="134" w:name="_Toc270604814"/>
      <w:bookmarkStart w:id="135" w:name="_Toc269470306"/>
      <w:bookmarkStart w:id="136" w:name="_Toc10220"/>
      <w:bookmarkStart w:id="137" w:name="_Toc462934285"/>
      <w:bookmarkStart w:id="138" w:name="_Toc29688"/>
      <w:bookmarkStart w:id="139" w:name="_Toc455678111"/>
      <w:r>
        <w:rPr>
          <w:rFonts w:hint="eastAsia" w:hAnsi="宋体" w:cs="黑体"/>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27"/>
    <w:bookmarkEnd w:id="128"/>
    <w:bookmarkEnd w:id="129"/>
    <w:bookmarkEnd w:id="130"/>
    <w:bookmarkEnd w:id="131"/>
    <w:bookmarkEnd w:id="132"/>
    <w:bookmarkEnd w:id="133"/>
    <w:bookmarkEnd w:id="134"/>
    <w:bookmarkEnd w:id="135"/>
    <w:bookmarkEnd w:id="136"/>
    <w:bookmarkEnd w:id="137"/>
    <w:bookmarkEnd w:id="138"/>
    <w:bookmarkEnd w:id="139"/>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响应文件应当对竞争性磋商文件的实质性要求和条件作出满足性或更有利于采购人的响应，否则，响应人的响应文件将被否决。实质性要求和条件见《响应人须知前附表》。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响应文件对竞争性磋商文件的全部偏差，均应在响应文件的商务和技术偏差表中列明，除列明的内容外，视为响应人响应竞争性磋商文件的全部要求。</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40" w:name="_Toc455678112"/>
      <w:bookmarkStart w:id="141" w:name="_Toc463011265"/>
      <w:bookmarkStart w:id="142" w:name="_Toc17145"/>
      <w:bookmarkStart w:id="143" w:name="_Toc462934286"/>
      <w:bookmarkStart w:id="144" w:name="_Toc11809"/>
      <w:bookmarkStart w:id="145" w:name="_Toc23956"/>
      <w:r>
        <w:rPr>
          <w:rFonts w:hint="eastAsia" w:hAnsi="宋体" w:cs="黑体"/>
          <w:b/>
          <w:color w:val="auto"/>
          <w:sz w:val="21"/>
          <w:szCs w:val="21"/>
        </w:rPr>
        <w:t>选择性报价方案</w:t>
      </w:r>
      <w:bookmarkEnd w:id="140"/>
      <w:bookmarkEnd w:id="141"/>
      <w:bookmarkEnd w:id="142"/>
      <w:bookmarkEnd w:id="143"/>
      <w:bookmarkEnd w:id="144"/>
      <w:bookmarkEnd w:id="145"/>
    </w:p>
    <w:p>
      <w:pPr>
        <w:tabs>
          <w:tab w:val="left" w:pos="720"/>
          <w:tab w:val="left" w:pos="1320"/>
        </w:tabs>
        <w:snapToGrid w:val="0"/>
        <w:spacing w:line="360" w:lineRule="auto"/>
        <w:ind w:firstLine="420" w:firstLineChars="200"/>
        <w:contextualSpacing/>
      </w:pPr>
      <w:r>
        <w:rPr>
          <w:rFonts w:hint="eastAsia" w:cs="黑体"/>
        </w:rPr>
        <w:t>选择性报价方案：见响应人须知前附表。</w:t>
      </w:r>
    </w:p>
    <w:p>
      <w:pPr>
        <w:pStyle w:val="36"/>
        <w:numPr>
          <w:ilvl w:val="0"/>
          <w:numId w:val="5"/>
        </w:numPr>
        <w:tabs>
          <w:tab w:val="left" w:pos="360"/>
          <w:tab w:val="clear" w:pos="425"/>
        </w:tabs>
        <w:spacing w:line="360" w:lineRule="auto"/>
        <w:jc w:val="both"/>
        <w:outlineLvl w:val="1"/>
        <w:rPr>
          <w:rFonts w:hAnsi="宋体" w:cs="黑体"/>
          <w:b/>
          <w:color w:val="auto"/>
        </w:rPr>
      </w:pPr>
      <w:bookmarkStart w:id="146" w:name="_Toc5446"/>
      <w:bookmarkStart w:id="147" w:name="_Toc6260"/>
      <w:bookmarkStart w:id="148" w:name="_Toc270604588"/>
      <w:bookmarkStart w:id="149" w:name="_Toc9724"/>
      <w:r>
        <w:rPr>
          <w:rFonts w:hint="eastAsia" w:hAnsi="宋体" w:cs="黑体"/>
          <w:b/>
          <w:color w:val="auto"/>
        </w:rPr>
        <w:t>竞争性磋商文件</w:t>
      </w:r>
      <w:bookmarkEnd w:id="146"/>
      <w:bookmarkEnd w:id="147"/>
      <w:bookmarkEnd w:id="148"/>
      <w:bookmarkEnd w:id="149"/>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50" w:name="_Toc463011267"/>
      <w:bookmarkStart w:id="151" w:name="_Toc270604589"/>
      <w:bookmarkStart w:id="152" w:name="_Toc455678114"/>
      <w:bookmarkStart w:id="153" w:name="_Toc19729"/>
      <w:bookmarkStart w:id="154" w:name="_Toc270604816"/>
      <w:bookmarkStart w:id="155" w:name="_Toc27664"/>
      <w:bookmarkStart w:id="156" w:name="_Toc428276582"/>
      <w:bookmarkStart w:id="157" w:name="_Toc269470308"/>
      <w:bookmarkStart w:id="158" w:name="_Toc277149378"/>
      <w:bookmarkStart w:id="159" w:name="_Toc462934288"/>
      <w:bookmarkStart w:id="160" w:name="_Toc10962"/>
      <w:bookmarkStart w:id="161" w:name="_Toc454788022"/>
      <w:bookmarkStart w:id="162" w:name="_Toc428351642"/>
      <w:r>
        <w:rPr>
          <w:rFonts w:hint="eastAsia" w:hAnsi="宋体" w:cs="黑体"/>
          <w:b/>
          <w:color w:val="auto"/>
          <w:sz w:val="21"/>
          <w:szCs w:val="21"/>
        </w:rPr>
        <w:t>竞争性磋商文件的组成</w:t>
      </w:r>
      <w:bookmarkEnd w:id="150"/>
      <w:bookmarkEnd w:id="151"/>
      <w:bookmarkEnd w:id="152"/>
      <w:bookmarkEnd w:id="153"/>
      <w:bookmarkEnd w:id="154"/>
      <w:bookmarkEnd w:id="155"/>
      <w:bookmarkEnd w:id="156"/>
      <w:bookmarkEnd w:id="157"/>
      <w:bookmarkEnd w:id="158"/>
      <w:bookmarkEnd w:id="159"/>
      <w:bookmarkEnd w:id="160"/>
      <w:bookmarkEnd w:id="161"/>
      <w:bookmarkEnd w:id="162"/>
      <w:r>
        <w:rPr>
          <w:rFonts w:hint="eastAsia" w:hAnsi="宋体" w:cs="黑体"/>
          <w:b/>
          <w:color w:val="auto"/>
          <w:sz w:val="21"/>
          <w:szCs w:val="21"/>
          <w:lang w:val="en-US" w:eastAsia="zh-CN"/>
        </w:rPr>
        <w:t>见目录</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63" w:name="_Toc5047"/>
      <w:bookmarkStart w:id="164" w:name="_Toc455678115"/>
      <w:bookmarkStart w:id="165" w:name="_Toc13094"/>
      <w:bookmarkStart w:id="166" w:name="_Toc454788023"/>
      <w:bookmarkStart w:id="167" w:name="_Toc463011268"/>
      <w:bookmarkStart w:id="168" w:name="_Toc277149379"/>
      <w:bookmarkStart w:id="169" w:name="_Toc428351643"/>
      <w:bookmarkStart w:id="170" w:name="_Toc462934289"/>
      <w:bookmarkStart w:id="171" w:name="_Toc428276583"/>
      <w:bookmarkStart w:id="172" w:name="_Toc270604817"/>
      <w:bookmarkStart w:id="173" w:name="_Toc270604590"/>
      <w:bookmarkStart w:id="174" w:name="_Toc11511"/>
      <w:bookmarkStart w:id="175" w:name="_Toc269470309"/>
      <w:r>
        <w:rPr>
          <w:rFonts w:hint="eastAsia" w:hAnsi="宋体" w:cs="黑体"/>
          <w:b/>
          <w:color w:val="auto"/>
          <w:sz w:val="21"/>
          <w:szCs w:val="21"/>
        </w:rPr>
        <w:t>竞争性磋商文件的澄清</w:t>
      </w:r>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76" w:name="_Toc462934290"/>
      <w:bookmarkStart w:id="177" w:name="_Toc277149380"/>
      <w:bookmarkStart w:id="178" w:name="_Toc455678116"/>
      <w:bookmarkStart w:id="179" w:name="_Toc463011269"/>
      <w:bookmarkStart w:id="180" w:name="_Toc270604818"/>
      <w:bookmarkStart w:id="181" w:name="_Toc20316"/>
      <w:bookmarkStart w:id="182" w:name="_Toc400"/>
      <w:bookmarkStart w:id="183" w:name="_Toc428351644"/>
      <w:bookmarkStart w:id="184" w:name="_Toc269470310"/>
      <w:bookmarkStart w:id="185" w:name="_Toc270604591"/>
      <w:bookmarkStart w:id="186" w:name="_Toc428276584"/>
      <w:bookmarkStart w:id="187" w:name="_Toc454788024"/>
      <w:r>
        <w:rPr>
          <w:rFonts w:hint="eastAsia" w:hAnsi="宋体" w:cs="黑体"/>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8" w:name="_Toc5535"/>
      <w:r>
        <w:rPr>
          <w:rFonts w:hint="eastAsia" w:hAnsi="宋体" w:cs="黑体"/>
          <w:b/>
          <w:color w:val="auto"/>
          <w:sz w:val="21"/>
          <w:szCs w:val="21"/>
        </w:rPr>
        <w:t>竞争性磋商文件的修改</w:t>
      </w:r>
      <w:bookmarkEnd w:id="176"/>
      <w:bookmarkEnd w:id="177"/>
      <w:bookmarkEnd w:id="178"/>
      <w:bookmarkEnd w:id="179"/>
      <w:bookmarkEnd w:id="180"/>
      <w:bookmarkEnd w:id="181"/>
      <w:bookmarkEnd w:id="182"/>
      <w:bookmarkEnd w:id="183"/>
      <w:bookmarkEnd w:id="184"/>
      <w:bookmarkEnd w:id="185"/>
      <w:bookmarkEnd w:id="186"/>
      <w:bookmarkEnd w:id="187"/>
      <w:bookmarkEnd w:id="188"/>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89" w:name="_Toc270604592"/>
      <w:bookmarkStart w:id="190" w:name="_Toc12045"/>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36"/>
        <w:numPr>
          <w:ilvl w:val="0"/>
          <w:numId w:val="5"/>
        </w:numPr>
        <w:tabs>
          <w:tab w:val="left" w:pos="360"/>
          <w:tab w:val="clear" w:pos="425"/>
        </w:tabs>
        <w:spacing w:line="360" w:lineRule="auto"/>
        <w:jc w:val="both"/>
        <w:outlineLvl w:val="1"/>
        <w:rPr>
          <w:rFonts w:hAnsi="宋体" w:cs="黑体"/>
          <w:b/>
          <w:color w:val="auto"/>
        </w:rPr>
      </w:pPr>
      <w:bookmarkStart w:id="191" w:name="_Toc9050"/>
      <w:bookmarkStart w:id="192" w:name="_Toc28297"/>
      <w:r>
        <w:rPr>
          <w:rFonts w:hint="eastAsia" w:hAnsi="宋体" w:cs="黑体"/>
          <w:b/>
          <w:color w:val="auto"/>
        </w:rPr>
        <w:t>磋商响应文件</w:t>
      </w:r>
      <w:bookmarkEnd w:id="189"/>
      <w:bookmarkEnd w:id="190"/>
      <w:r>
        <w:rPr>
          <w:rFonts w:hint="eastAsia" w:hAnsi="宋体" w:cs="黑体"/>
          <w:b/>
          <w:color w:val="auto"/>
        </w:rPr>
        <w:t>编写</w:t>
      </w:r>
      <w:bookmarkEnd w:id="191"/>
      <w:bookmarkEnd w:id="192"/>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93" w:name="_Toc4803"/>
      <w:bookmarkStart w:id="194" w:name="_Toc462934293"/>
      <w:bookmarkStart w:id="195" w:name="_Toc22898"/>
      <w:bookmarkStart w:id="196" w:name="_Toc21496"/>
      <w:bookmarkStart w:id="197" w:name="_Toc455678119"/>
      <w:bookmarkStart w:id="198" w:name="_Toc463011272"/>
      <w:bookmarkStart w:id="199" w:name="_Toc277149384"/>
      <w:bookmarkStart w:id="200" w:name="_Toc269470314"/>
      <w:bookmarkStart w:id="201" w:name="_Toc270604595"/>
      <w:bookmarkStart w:id="202" w:name="_Toc270604822"/>
      <w:r>
        <w:rPr>
          <w:rFonts w:hint="eastAsia" w:hAnsi="宋体" w:cs="黑体"/>
          <w:b/>
          <w:color w:val="auto"/>
          <w:sz w:val="21"/>
          <w:szCs w:val="21"/>
        </w:rPr>
        <w:t>磋商价格构成及报价要求</w:t>
      </w:r>
      <w:bookmarkEnd w:id="193"/>
      <w:bookmarkEnd w:id="194"/>
      <w:bookmarkEnd w:id="195"/>
      <w:bookmarkEnd w:id="196"/>
      <w:bookmarkEnd w:id="197"/>
      <w:bookmarkEnd w:id="198"/>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203" w:name="_Toc455678120"/>
      <w:bookmarkStart w:id="204" w:name="_Toc428276588"/>
      <w:bookmarkStart w:id="205" w:name="_Toc462934294"/>
      <w:bookmarkStart w:id="206" w:name="_Toc9193"/>
      <w:bookmarkStart w:id="207" w:name="_Toc454788028"/>
      <w:bookmarkStart w:id="208" w:name="_Toc428351648"/>
      <w:bookmarkStart w:id="209" w:name="_Toc463011273"/>
      <w:bookmarkStart w:id="210" w:name="_Toc17969"/>
      <w:bookmarkStart w:id="211" w:name="_Toc58"/>
      <w:r>
        <w:rPr>
          <w:rFonts w:hint="eastAsia" w:hAnsi="宋体" w:cs="黑体"/>
          <w:color w:val="auto"/>
          <w:sz w:val="21"/>
          <w:szCs w:val="21"/>
        </w:rPr>
        <w:t>采购人设有最高采购限价的，响应人的报价不得超过最高采购限价，最高采购限价或其计算方法在响应人须知前附表中载明。</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磋商报价应包括施工设备、劳务、管理、材料、维护、利润、税金、政策性文件规定及合同中包含的风险、责任以及投标人认为与工程有关的其他费用。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分两次报价：第一次报价必须按照磋商文件的报价格式填报，第二次报价在磋商中填报，第二次报价（不得高于一次报价）即为最终报价。</w:t>
      </w:r>
    </w:p>
    <w:p>
      <w:pPr>
        <w:rPr>
          <w:rFonts w:hint="eastAsia" w:eastAsia="宋体"/>
          <w:lang w:val="en-US" w:eastAsia="zh-CN"/>
        </w:rPr>
      </w:pPr>
      <w:r>
        <w:rPr>
          <w:rFonts w:hint="eastAsia" w:cs="黑体"/>
          <w:b/>
          <w:bCs/>
          <w:color w:val="auto"/>
          <w:sz w:val="24"/>
          <w:szCs w:val="24"/>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磋商有效期见《响应人须知前附表》，从提交首次响应文件的截止之日起算。</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在磋商有效期内，响应人撤销响应文件的，应承担竞争性磋商文件和法律规定的责任。</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12" w:name="_Toc23856"/>
      <w:bookmarkStart w:id="213" w:name="_Toc428276589"/>
      <w:bookmarkStart w:id="214" w:name="_Toc462934295"/>
      <w:bookmarkStart w:id="215" w:name="_Toc25039"/>
      <w:bookmarkStart w:id="216" w:name="_Toc428351649"/>
      <w:bookmarkStart w:id="217" w:name="_Toc15074"/>
      <w:bookmarkStart w:id="218" w:name="_Toc463011274"/>
      <w:bookmarkStart w:id="219" w:name="_Toc455678121"/>
      <w:bookmarkStart w:id="220" w:name="_Toc454788029"/>
      <w:r>
        <w:rPr>
          <w:rFonts w:hint="eastAsia" w:hAnsi="宋体" w:cs="黑体"/>
          <w:b/>
          <w:color w:val="auto"/>
          <w:sz w:val="21"/>
          <w:szCs w:val="21"/>
        </w:rPr>
        <w:t>磋商保证金</w:t>
      </w:r>
      <w:bookmarkEnd w:id="212"/>
      <w:bookmarkEnd w:id="213"/>
      <w:bookmarkEnd w:id="214"/>
      <w:bookmarkEnd w:id="215"/>
      <w:bookmarkEnd w:id="216"/>
      <w:bookmarkEnd w:id="217"/>
      <w:bookmarkEnd w:id="218"/>
      <w:bookmarkEnd w:id="219"/>
      <w:bookmarkEnd w:id="220"/>
    </w:p>
    <w:p>
      <w:pPr>
        <w:pStyle w:val="36"/>
        <w:numPr>
          <w:ilvl w:val="0"/>
          <w:numId w:val="0"/>
        </w:numPr>
        <w:tabs>
          <w:tab w:val="left" w:pos="425"/>
          <w:tab w:val="left" w:pos="540"/>
        </w:tabs>
        <w:spacing w:line="360" w:lineRule="auto"/>
        <w:ind w:left="540"/>
        <w:jc w:val="both"/>
        <w:outlineLvl w:val="1"/>
        <w:rPr>
          <w:rFonts w:hAnsi="宋体" w:cs="黑体"/>
          <w:b/>
          <w:color w:val="auto"/>
          <w:sz w:val="21"/>
          <w:szCs w:val="21"/>
        </w:rPr>
      </w:pPr>
      <w:r>
        <w:rPr>
          <w:rFonts w:hint="eastAsia" w:hAnsi="宋体" w:cs="黑体"/>
          <w:b/>
          <w:color w:val="auto"/>
          <w:sz w:val="21"/>
          <w:szCs w:val="21"/>
        </w:rPr>
        <w:t>本项目不缴纳磋商保证金</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1" w:name="_Toc454788030"/>
      <w:bookmarkStart w:id="222" w:name="_Toc463011275"/>
      <w:bookmarkStart w:id="223" w:name="_Toc269470318"/>
      <w:bookmarkStart w:id="224" w:name="_Toc4446"/>
      <w:bookmarkStart w:id="225" w:name="_Toc428351650"/>
      <w:bookmarkStart w:id="226" w:name="_Toc270604596"/>
      <w:bookmarkStart w:id="227" w:name="_Toc455678122"/>
      <w:bookmarkStart w:id="228" w:name="_Toc277149385"/>
      <w:bookmarkStart w:id="229" w:name="_Toc7919"/>
      <w:bookmarkStart w:id="230" w:name="_Toc462934296"/>
      <w:bookmarkStart w:id="231" w:name="_Toc32308"/>
      <w:bookmarkStart w:id="232" w:name="_Toc428276590"/>
      <w:bookmarkStart w:id="233" w:name="_Toc270604823"/>
      <w:r>
        <w:rPr>
          <w:rFonts w:hint="eastAsia" w:hAnsi="宋体" w:cs="黑体"/>
          <w:b/>
          <w:color w:val="auto"/>
          <w:sz w:val="21"/>
          <w:szCs w:val="21"/>
        </w:rPr>
        <w:t>磋商响应文件的编制</w:t>
      </w:r>
      <w:bookmarkEnd w:id="221"/>
      <w:bookmarkEnd w:id="222"/>
      <w:bookmarkEnd w:id="223"/>
      <w:bookmarkEnd w:id="224"/>
      <w:bookmarkEnd w:id="225"/>
      <w:bookmarkEnd w:id="226"/>
      <w:bookmarkEnd w:id="227"/>
      <w:bookmarkEnd w:id="228"/>
      <w:bookmarkEnd w:id="229"/>
      <w:bookmarkEnd w:id="230"/>
      <w:bookmarkEnd w:id="231"/>
      <w:bookmarkEnd w:id="232"/>
      <w:bookmarkEnd w:id="233"/>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w:t>
      </w:r>
      <w:r>
        <w:rPr>
          <w:rFonts w:hint="eastAsia" w:hAnsi="宋体" w:cs="黑体"/>
          <w:color w:val="auto"/>
          <w:sz w:val="21"/>
          <w:szCs w:val="21"/>
          <w:lang w:val="en-US" w:eastAsia="zh-CN"/>
        </w:rPr>
        <w:t>服务期限</w:t>
      </w:r>
      <w:r>
        <w:rPr>
          <w:rFonts w:hint="eastAsia" w:hAnsi="宋体" w:cs="黑体"/>
          <w:color w:val="auto"/>
          <w:sz w:val="21"/>
          <w:szCs w:val="21"/>
        </w:rPr>
        <w:t>、磋商有效期、</w:t>
      </w:r>
      <w:r>
        <w:rPr>
          <w:rFonts w:hint="eastAsia" w:hAnsi="宋体" w:cs="黑体"/>
          <w:color w:val="auto"/>
          <w:sz w:val="21"/>
          <w:szCs w:val="21"/>
          <w:lang w:val="en-US" w:eastAsia="zh-CN"/>
        </w:rPr>
        <w:t>服务质量</w:t>
      </w:r>
      <w:r>
        <w:rPr>
          <w:rFonts w:hint="eastAsia" w:hAnsi="宋体" w:cs="黑体"/>
          <w:color w:val="auto"/>
          <w:sz w:val="21"/>
          <w:szCs w:val="21"/>
        </w:rPr>
        <w:t>等实质性内容作出响应。</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pPr>
        <w:pStyle w:val="36"/>
        <w:numPr>
          <w:ilvl w:val="0"/>
          <w:numId w:val="5"/>
        </w:numPr>
        <w:tabs>
          <w:tab w:val="left" w:pos="360"/>
          <w:tab w:val="clear" w:pos="425"/>
        </w:tabs>
        <w:spacing w:line="360" w:lineRule="auto"/>
        <w:jc w:val="both"/>
        <w:outlineLvl w:val="1"/>
        <w:rPr>
          <w:rFonts w:hAnsi="宋体" w:cs="黑体"/>
          <w:b/>
          <w:color w:val="auto"/>
        </w:rPr>
      </w:pPr>
      <w:bookmarkStart w:id="234" w:name="_Toc6530"/>
      <w:bookmarkStart w:id="235" w:name="_Toc13452"/>
      <w:bookmarkStart w:id="236" w:name="_Toc12187"/>
      <w:r>
        <w:rPr>
          <w:rFonts w:hint="eastAsia" w:hAnsi="宋体" w:cs="黑体"/>
          <w:b/>
          <w:color w:val="auto"/>
        </w:rPr>
        <w:t>响应文件的递交</w:t>
      </w:r>
      <w:bookmarkEnd w:id="234"/>
      <w:bookmarkEnd w:id="235"/>
      <w:bookmarkEnd w:id="236"/>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37" w:name="_Toc428351653"/>
      <w:bookmarkStart w:id="238" w:name="_Toc428276593"/>
      <w:bookmarkStart w:id="239" w:name="_Toc20197"/>
      <w:bookmarkStart w:id="240" w:name="_Toc5938"/>
      <w:bookmarkStart w:id="241" w:name="_Toc269470321"/>
      <w:bookmarkStart w:id="242" w:name="_Toc463011278"/>
      <w:bookmarkStart w:id="243" w:name="_Toc270604599"/>
      <w:bookmarkStart w:id="244" w:name="_Toc270604826"/>
      <w:bookmarkStart w:id="245" w:name="_Toc454788033"/>
      <w:bookmarkStart w:id="246" w:name="_Toc277149388"/>
      <w:bookmarkStart w:id="247" w:name="_Toc455678125"/>
      <w:bookmarkStart w:id="248" w:name="_Toc29167"/>
      <w:bookmarkStart w:id="249" w:name="_Toc462934299"/>
      <w:r>
        <w:rPr>
          <w:rFonts w:hint="eastAsia" w:hAnsi="宋体" w:cs="黑体"/>
          <w:b/>
          <w:color w:val="auto"/>
          <w:sz w:val="21"/>
          <w:szCs w:val="21"/>
        </w:rPr>
        <w:t>磋商响应文件的递交</w:t>
      </w:r>
      <w:bookmarkEnd w:id="237"/>
      <w:bookmarkEnd w:id="238"/>
      <w:bookmarkEnd w:id="239"/>
      <w:bookmarkEnd w:id="240"/>
      <w:bookmarkEnd w:id="241"/>
      <w:bookmarkEnd w:id="242"/>
      <w:bookmarkEnd w:id="243"/>
      <w:bookmarkEnd w:id="244"/>
      <w:bookmarkEnd w:id="245"/>
      <w:bookmarkEnd w:id="246"/>
      <w:bookmarkEnd w:id="247"/>
      <w:bookmarkEnd w:id="248"/>
      <w:bookmarkEnd w:id="249"/>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响应人应在《响应人须知前附表》规定的提交首次响应文件截止时间前递交响应文件。</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响应人递交响应文件的地点：见《响应人须知前附表》。</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除《响应人须知前附表》另有规定外响应人所递交的响应文件不予退还。</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50" w:name="_Toc270604827"/>
      <w:bookmarkStart w:id="251" w:name="_Toc428276594"/>
      <w:bookmarkStart w:id="252" w:name="_Toc277149389"/>
      <w:bookmarkStart w:id="253" w:name="_Toc27108"/>
      <w:bookmarkStart w:id="254" w:name="_Toc269470322"/>
      <w:bookmarkStart w:id="255" w:name="_Toc462934300"/>
      <w:bookmarkStart w:id="256" w:name="_Toc428351654"/>
      <w:bookmarkStart w:id="257" w:name="_Toc29096"/>
      <w:bookmarkStart w:id="258" w:name="_Toc454788034"/>
      <w:bookmarkStart w:id="259" w:name="_Toc270604600"/>
      <w:bookmarkStart w:id="260" w:name="_Toc455678126"/>
      <w:bookmarkStart w:id="261" w:name="_Toc463011279"/>
      <w:bookmarkStart w:id="262" w:name="_Toc26556"/>
      <w:r>
        <w:rPr>
          <w:rFonts w:hint="eastAsia" w:hAnsi="宋体" w:cs="黑体"/>
          <w:b/>
          <w:color w:val="auto"/>
          <w:sz w:val="21"/>
          <w:szCs w:val="21"/>
        </w:rPr>
        <w:t>磋商响应文件的补充、修改与撤回</w:t>
      </w:r>
      <w:bookmarkEnd w:id="250"/>
      <w:bookmarkEnd w:id="251"/>
      <w:bookmarkEnd w:id="252"/>
      <w:bookmarkEnd w:id="253"/>
      <w:bookmarkEnd w:id="254"/>
      <w:bookmarkEnd w:id="255"/>
      <w:bookmarkEnd w:id="256"/>
      <w:bookmarkEnd w:id="257"/>
      <w:bookmarkEnd w:id="258"/>
      <w:bookmarkEnd w:id="259"/>
      <w:bookmarkEnd w:id="260"/>
      <w:bookmarkEnd w:id="261"/>
      <w:bookmarkEnd w:id="262"/>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在本章第4.2.1项规定的递交首次磋商截止时间前，响应人可以补充、修改或撤回已递交的磋商响应文件。</w:t>
      </w:r>
    </w:p>
    <w:p>
      <w:pPr>
        <w:pStyle w:val="36"/>
        <w:numPr>
          <w:ilvl w:val="0"/>
          <w:numId w:val="5"/>
        </w:numPr>
        <w:tabs>
          <w:tab w:val="left" w:pos="360"/>
          <w:tab w:val="clear" w:pos="425"/>
        </w:tabs>
        <w:spacing w:line="360" w:lineRule="auto"/>
        <w:jc w:val="both"/>
        <w:outlineLvl w:val="1"/>
        <w:rPr>
          <w:rFonts w:hAnsi="宋体" w:cs="黑体"/>
          <w:b/>
          <w:color w:val="auto"/>
        </w:rPr>
      </w:pPr>
      <w:bookmarkStart w:id="263" w:name="_Toc270604601"/>
      <w:bookmarkStart w:id="264" w:name="_Toc5800"/>
      <w:bookmarkStart w:id="265" w:name="_Toc20799"/>
      <w:bookmarkStart w:id="266" w:name="_Toc5513"/>
      <w:r>
        <w:rPr>
          <w:rFonts w:hint="eastAsia" w:hAnsi="宋体" w:cs="黑体"/>
          <w:b/>
          <w:color w:val="auto"/>
        </w:rPr>
        <w:t>竞争性</w:t>
      </w:r>
      <w:bookmarkEnd w:id="263"/>
      <w:r>
        <w:rPr>
          <w:rFonts w:hint="eastAsia" w:hAnsi="宋体" w:cs="黑体"/>
          <w:b/>
          <w:color w:val="auto"/>
        </w:rPr>
        <w:t>磋商</w:t>
      </w:r>
      <w:bookmarkEnd w:id="264"/>
      <w:bookmarkEnd w:id="265"/>
      <w:bookmarkEnd w:id="266"/>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67" w:name="_Toc277149391"/>
      <w:bookmarkStart w:id="268" w:name="_Toc270604829"/>
      <w:bookmarkStart w:id="269" w:name="_Toc462934302"/>
      <w:bookmarkStart w:id="270" w:name="_Toc29475"/>
      <w:bookmarkStart w:id="271" w:name="_Toc270604602"/>
      <w:bookmarkStart w:id="272" w:name="_Toc454788036"/>
      <w:bookmarkStart w:id="273" w:name="_Toc10079"/>
      <w:bookmarkStart w:id="274" w:name="_Toc27501"/>
      <w:bookmarkStart w:id="275" w:name="_Toc455678128"/>
      <w:bookmarkStart w:id="276" w:name="_Toc428276596"/>
      <w:bookmarkStart w:id="277" w:name="_Toc269470324"/>
      <w:bookmarkStart w:id="278" w:name="_Toc428351656"/>
      <w:bookmarkStart w:id="279" w:name="_Toc463011281"/>
      <w:r>
        <w:rPr>
          <w:rFonts w:hint="eastAsia" w:hAnsi="宋体" w:cs="黑体"/>
          <w:b/>
          <w:color w:val="auto"/>
          <w:sz w:val="21"/>
          <w:szCs w:val="21"/>
        </w:rPr>
        <w:t>开启时间和地点</w:t>
      </w:r>
      <w:bookmarkEnd w:id="267"/>
      <w:bookmarkEnd w:id="268"/>
      <w:bookmarkEnd w:id="269"/>
      <w:bookmarkEnd w:id="270"/>
      <w:bookmarkEnd w:id="271"/>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采购人在本章第</w:t>
      </w:r>
      <w:r>
        <w:rPr>
          <w:rFonts w:cs="TimesNewRomanPSMT"/>
          <w:kern w:val="0"/>
        </w:rPr>
        <w:t>4.2.1</w:t>
      </w:r>
      <w:r>
        <w:rPr>
          <w:rFonts w:hint="eastAsia" w:cs="FangSong_GB2312"/>
          <w:kern w:val="0"/>
        </w:rPr>
        <w:t>项规定的提交首次响应文件截止时间（开启时间）和</w:t>
      </w:r>
      <w:r>
        <w:rPr>
          <w:rFonts w:hint="eastAsia" w:cs="黑体"/>
        </w:rPr>
        <w:t>《响应人须知前附表》</w:t>
      </w:r>
      <w:r>
        <w:rPr>
          <w:rFonts w:hint="eastAsia" w:cs="FangSong_GB2312"/>
          <w:kern w:val="0"/>
        </w:rPr>
        <w:t>规定的地点进行竞争性磋商，并邀请所有响应人的法定代表人或其委托代理人准时参加。</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80" w:name="_Toc14109"/>
      <w:bookmarkStart w:id="281" w:name="_Toc270604830"/>
      <w:bookmarkStart w:id="282" w:name="_Toc454788037"/>
      <w:bookmarkStart w:id="283" w:name="_Toc277149392"/>
      <w:bookmarkStart w:id="284" w:name="_Toc269470325"/>
      <w:bookmarkStart w:id="285" w:name="_Toc463011282"/>
      <w:bookmarkStart w:id="286" w:name="_Toc12033"/>
      <w:bookmarkStart w:id="287" w:name="_Toc428351657"/>
      <w:bookmarkStart w:id="288" w:name="_Toc270604603"/>
      <w:bookmarkStart w:id="289" w:name="_Toc428276597"/>
      <w:bookmarkStart w:id="290" w:name="_Toc462934303"/>
      <w:bookmarkStart w:id="291" w:name="_Toc455678129"/>
      <w:bookmarkStart w:id="292" w:name="_Toc21367"/>
      <w:r>
        <w:rPr>
          <w:rFonts w:hint="eastAsia" w:hAnsi="宋体" w:cs="黑体"/>
          <w:b/>
          <w:color w:val="auto"/>
          <w:sz w:val="21"/>
          <w:szCs w:val="21"/>
        </w:rPr>
        <w:t>磋商程序</w:t>
      </w:r>
      <w:bookmarkEnd w:id="280"/>
      <w:bookmarkEnd w:id="281"/>
      <w:bookmarkEnd w:id="282"/>
      <w:bookmarkEnd w:id="283"/>
      <w:bookmarkEnd w:id="284"/>
      <w:bookmarkEnd w:id="285"/>
      <w:bookmarkEnd w:id="286"/>
      <w:bookmarkEnd w:id="287"/>
      <w:bookmarkEnd w:id="288"/>
      <w:bookmarkEnd w:id="289"/>
      <w:bookmarkEnd w:id="290"/>
      <w:bookmarkEnd w:id="291"/>
      <w:bookmarkEnd w:id="292"/>
    </w:p>
    <w:p>
      <w:pPr>
        <w:wordWrap/>
        <w:topLinePunct w:val="0"/>
        <w:spacing w:line="360" w:lineRule="auto"/>
        <w:rPr>
          <w:highlight w:val="yellow"/>
        </w:rPr>
      </w:pPr>
      <w:bookmarkStart w:id="293" w:name="_Toc269470330"/>
      <w:r>
        <w:t>1</w:t>
      </w:r>
      <w:r>
        <w:rPr>
          <w:rFonts w:hint="eastAsia"/>
        </w:rPr>
        <w:t>、供应商代表持本单位</w:t>
      </w:r>
      <w:r>
        <w:t xml:space="preserve">CA </w:t>
      </w:r>
      <w:r>
        <w:rPr>
          <w:rFonts w:hint="eastAsia"/>
        </w:rPr>
        <w:t>数字证书提前登录不见面开标系统并在线</w:t>
      </w:r>
    </w:p>
    <w:p>
      <w:pPr>
        <w:wordWrap/>
        <w:topLinePunct w:val="0"/>
        <w:spacing w:line="360" w:lineRule="auto"/>
        <w:rPr>
          <w:highlight w:val="yellow"/>
        </w:rPr>
      </w:pPr>
      <w:r>
        <w:t>2</w:t>
      </w:r>
      <w:r>
        <w:rPr>
          <w:rFonts w:hint="eastAsia"/>
        </w:rPr>
        <w:t>、开标时间到，在线公布供应商、采购人代表、监标人等有关名单。</w:t>
      </w:r>
    </w:p>
    <w:p>
      <w:pPr>
        <w:wordWrap/>
        <w:topLinePunct w:val="0"/>
        <w:spacing w:line="360" w:lineRule="auto"/>
      </w:pPr>
      <w:r>
        <w:t>3</w:t>
      </w:r>
      <w:r>
        <w:rPr>
          <w:rFonts w:hint="eastAsia"/>
        </w:rPr>
        <w:t>、开标顺序：</w:t>
      </w:r>
    </w:p>
    <w:p>
      <w:pPr>
        <w:pStyle w:val="38"/>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pPr>
        <w:pStyle w:val="38"/>
        <w:ind w:firstLine="0"/>
        <w:rPr>
          <w:kern w:val="2"/>
          <w:szCs w:val="21"/>
          <w:lang w:val="en-US"/>
        </w:rPr>
      </w:pPr>
      <w:r>
        <w:rPr>
          <w:rFonts w:hint="default"/>
          <w:kern w:val="2"/>
          <w:szCs w:val="21"/>
          <w:lang w:val="en-US"/>
        </w:rPr>
        <w:t>②</w:t>
      </w:r>
      <w:r>
        <w:rPr>
          <w:rFonts w:hint="eastAsia"/>
          <w:kern w:val="2"/>
          <w:szCs w:val="21"/>
          <w:lang w:val="en-US"/>
        </w:rPr>
        <w:t>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pPr>
        <w:pStyle w:val="38"/>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94" w:name="_Toc455678130"/>
      <w:bookmarkStart w:id="295" w:name="_Toc2705"/>
      <w:bookmarkStart w:id="296" w:name="_Toc31993"/>
      <w:bookmarkStart w:id="297" w:name="_Toc462934304"/>
      <w:bookmarkStart w:id="298" w:name="_Toc8282"/>
      <w:bookmarkStart w:id="299" w:name="_Toc463011283"/>
      <w:r>
        <w:rPr>
          <w:rFonts w:hint="eastAsia" w:hAnsi="宋体" w:cs="黑体"/>
          <w:b/>
          <w:color w:val="auto"/>
          <w:sz w:val="21"/>
          <w:szCs w:val="21"/>
        </w:rPr>
        <w:t>磋商</w:t>
      </w:r>
      <w:bookmarkEnd w:id="294"/>
      <w:bookmarkEnd w:id="295"/>
      <w:bookmarkEnd w:id="296"/>
      <w:bookmarkEnd w:id="297"/>
      <w:bookmarkEnd w:id="298"/>
      <w:bookmarkEnd w:id="299"/>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7"/>
        </w:numPr>
        <w:snapToGrid w:val="0"/>
        <w:spacing w:line="360" w:lineRule="auto"/>
        <w:ind w:left="0" w:firstLine="420" w:firstLineChars="200"/>
        <w:contextualSpacing/>
      </w:pPr>
      <w:r>
        <w:rPr>
          <w:rFonts w:hint="eastAsia"/>
        </w:rPr>
        <w:t>磋商工作由磋商小组独立进行，磋商小组由采购人代表1人和评</w:t>
      </w:r>
      <w:r>
        <w:rPr>
          <w:rFonts w:hint="eastAsia"/>
          <w:lang w:val="en-US" w:eastAsia="zh-CN"/>
        </w:rPr>
        <w:t>标</w:t>
      </w:r>
      <w:r>
        <w:rPr>
          <w:rFonts w:hint="eastAsia"/>
        </w:rPr>
        <w:t>专家2人组成，成员人数共3人，评</w:t>
      </w:r>
      <w:r>
        <w:rPr>
          <w:rFonts w:hint="eastAsia"/>
          <w:lang w:val="en-US" w:eastAsia="zh-CN"/>
        </w:rPr>
        <w:t>标</w:t>
      </w:r>
      <w:r>
        <w:rPr>
          <w:rFonts w:hint="eastAsia"/>
        </w:rPr>
        <w:t>专家确定方式：从相关专家库中随机抽取。</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8"/>
        </w:numPr>
        <w:snapToGrid w:val="0"/>
        <w:spacing w:line="360" w:lineRule="auto"/>
        <w:ind w:left="0" w:firstLine="420" w:firstLineChars="200"/>
        <w:contextualSpacing/>
      </w:pPr>
      <w:r>
        <w:rPr>
          <w:rFonts w:hint="eastAsia"/>
        </w:rPr>
        <w:t>磋商小组成员应当按照客观、公正、审慎的原则，根据竞争性磋商文件第三章规定的评审程序、评审方法和评审标准进行独立评审。</w:t>
      </w:r>
    </w:p>
    <w:p>
      <w:pPr>
        <w:numPr>
          <w:ilvl w:val="0"/>
          <w:numId w:val="8"/>
        </w:numPr>
        <w:snapToGrid w:val="0"/>
        <w:spacing w:line="360" w:lineRule="auto"/>
        <w:ind w:left="0" w:firstLine="420" w:firstLineChars="200"/>
        <w:contextualSpacing/>
      </w:pPr>
      <w:r>
        <w:rPr>
          <w:rFonts w:hint="eastAsia"/>
        </w:rPr>
        <w:t>竞争性磋商文件内容违反国家有关强制性规定的，磋商小组应当停止评审并向采购人或者采购代理机构说明情况。</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00" w:name="_Toc90713357"/>
      <w:bookmarkStart w:id="301" w:name="_Toc109550798"/>
      <w:bookmarkStart w:id="302" w:name="_Toc109537522"/>
      <w:bookmarkStart w:id="303" w:name="_Toc90712538"/>
      <w:r>
        <w:rPr>
          <w:rFonts w:hint="eastAsia" w:hAnsi="宋体" w:cs="黑体"/>
          <w:color w:val="auto"/>
          <w:sz w:val="21"/>
          <w:szCs w:val="21"/>
        </w:rPr>
        <w:t>评审报告</w:t>
      </w:r>
    </w:p>
    <w:p>
      <w:pPr>
        <w:snapToGrid w:val="0"/>
        <w:spacing w:line="360" w:lineRule="auto"/>
        <w:ind w:firstLine="420" w:firstLineChars="200"/>
        <w:contextualSpacing/>
      </w:pPr>
      <w:r>
        <w:rPr>
          <w:rFonts w:hint="eastAsia"/>
        </w:rPr>
        <w:t>磋商</w:t>
      </w:r>
      <w:r>
        <w:t>小组应当根据评审记录和评审结果编写评审报告，其主要内容包括：</w:t>
      </w:r>
    </w:p>
    <w:p>
      <w:pPr>
        <w:numPr>
          <w:ilvl w:val="0"/>
          <w:numId w:val="9"/>
        </w:numPr>
        <w:snapToGrid w:val="0"/>
        <w:spacing w:line="360" w:lineRule="auto"/>
        <w:ind w:left="0" w:firstLine="420" w:firstLineChars="200"/>
        <w:contextualSpacing/>
      </w:pPr>
      <w:r>
        <w:t>邀请</w:t>
      </w:r>
      <w:r>
        <w:rPr>
          <w:rFonts w:hint="eastAsia"/>
        </w:rPr>
        <w:t>响应人</w:t>
      </w:r>
      <w:r>
        <w:t>参加采购活动的具体方式和相关情况</w:t>
      </w:r>
      <w:r>
        <w:rPr>
          <w:rFonts w:hint="eastAsia"/>
        </w:rPr>
        <w:t>；</w:t>
      </w:r>
    </w:p>
    <w:p>
      <w:pPr>
        <w:numPr>
          <w:ilvl w:val="0"/>
          <w:numId w:val="9"/>
        </w:numPr>
        <w:snapToGrid w:val="0"/>
        <w:spacing w:line="360" w:lineRule="auto"/>
        <w:ind w:left="0" w:firstLine="420" w:firstLineChars="200"/>
        <w:contextualSpacing/>
      </w:pPr>
      <w:r>
        <w:t>响应文件开启日期和地点</w:t>
      </w:r>
      <w:r>
        <w:rPr>
          <w:rFonts w:hint="eastAsia"/>
        </w:rPr>
        <w:t>；</w:t>
      </w:r>
    </w:p>
    <w:p>
      <w:pPr>
        <w:numPr>
          <w:ilvl w:val="0"/>
          <w:numId w:val="9"/>
        </w:numPr>
        <w:snapToGrid w:val="0"/>
        <w:spacing w:line="360" w:lineRule="auto"/>
        <w:ind w:left="0" w:firstLine="420" w:firstLineChars="200"/>
        <w:contextualSpacing/>
      </w:pPr>
      <w:r>
        <w:t>获取竞争性磋商文件的</w:t>
      </w:r>
      <w:r>
        <w:rPr>
          <w:rFonts w:hint="eastAsia"/>
        </w:rPr>
        <w:t>响应人</w:t>
      </w:r>
      <w:r>
        <w:t>名单和磋商小组成员名单</w:t>
      </w:r>
      <w:r>
        <w:rPr>
          <w:rFonts w:hint="eastAsia"/>
        </w:rPr>
        <w:t>；</w:t>
      </w:r>
    </w:p>
    <w:p>
      <w:pPr>
        <w:numPr>
          <w:ilvl w:val="0"/>
          <w:numId w:val="9"/>
        </w:numPr>
        <w:snapToGrid w:val="0"/>
        <w:spacing w:line="360" w:lineRule="auto"/>
        <w:ind w:left="0" w:firstLine="420" w:firstLineChars="20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pPr>
        <w:numPr>
          <w:ilvl w:val="0"/>
          <w:numId w:val="9"/>
        </w:numPr>
        <w:snapToGrid w:val="0"/>
        <w:spacing w:line="360" w:lineRule="auto"/>
        <w:ind w:left="0" w:firstLine="420" w:firstLineChars="200"/>
        <w:contextualSpacing/>
      </w:pPr>
      <w:r>
        <w:t>提出的成交候选</w:t>
      </w:r>
      <w:r>
        <w:rPr>
          <w:rFonts w:hint="eastAsia"/>
        </w:rPr>
        <w:t>人</w:t>
      </w:r>
      <w:r>
        <w:t>的排序名单及理由。</w:t>
      </w:r>
    </w:p>
    <w:p>
      <w:pPr>
        <w:snapToGrid w:val="0"/>
        <w:spacing w:line="360" w:lineRule="auto"/>
        <w:ind w:firstLine="420" w:firstLineChars="20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snapToGrid w:val="0"/>
        <w:spacing w:line="360" w:lineRule="auto"/>
        <w:ind w:firstLine="420" w:firstLineChars="200"/>
        <w:contextualSpacing/>
      </w:pPr>
      <w:r>
        <w:rPr>
          <w:rFonts w:hint="eastAsia"/>
        </w:rPr>
        <w:t>评审完成后，磋商小组应当向采购人提交书面评审报告和成交候选人名单。磋商小组推荐成交候选人的人数见响应人须知前附表。</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04" w:name="_Toc454788039"/>
      <w:bookmarkStart w:id="305" w:name="_Toc26984"/>
      <w:bookmarkStart w:id="306" w:name="_Toc462934305"/>
      <w:bookmarkStart w:id="307" w:name="_Toc422126473"/>
      <w:bookmarkStart w:id="308" w:name="_Toc455678131"/>
      <w:bookmarkStart w:id="309" w:name="_Toc21137"/>
      <w:bookmarkStart w:id="310" w:name="_Toc428276599"/>
      <w:bookmarkStart w:id="311" w:name="_Toc463011284"/>
      <w:bookmarkStart w:id="312" w:name="_Toc19623"/>
      <w:bookmarkStart w:id="313" w:name="_Toc428351659"/>
      <w:r>
        <w:rPr>
          <w:rFonts w:hint="eastAsia" w:hAnsi="宋体" w:cs="黑体"/>
          <w:b/>
          <w:color w:val="auto"/>
          <w:sz w:val="21"/>
          <w:szCs w:val="21"/>
        </w:rPr>
        <w:t>磋商过程的保密性</w:t>
      </w:r>
      <w:bookmarkEnd w:id="304"/>
      <w:bookmarkEnd w:id="305"/>
      <w:bookmarkEnd w:id="306"/>
      <w:bookmarkEnd w:id="307"/>
      <w:bookmarkEnd w:id="308"/>
      <w:bookmarkEnd w:id="309"/>
      <w:bookmarkEnd w:id="310"/>
      <w:bookmarkEnd w:id="311"/>
      <w:bookmarkEnd w:id="312"/>
      <w:bookmarkEnd w:id="313"/>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磋商期间，直到授予成交人合同止，凡是与磋商响应文件审查、澄清、评价、比较以及推荐成交人等方面的情况，均不得向响应人或其他无关的人员透露。</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在磋商过程中，响应人如向磋商小组成员施加任何影响，都将会导致其磋商被拒绝，政府采购监管部门将记录其不良行为。</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4" w:name="_Toc13834"/>
      <w:bookmarkStart w:id="315" w:name="_Toc455678132"/>
      <w:bookmarkStart w:id="316" w:name="_Toc463011285"/>
      <w:bookmarkStart w:id="317" w:name="_Toc5212"/>
      <w:bookmarkStart w:id="318" w:name="_Toc21281"/>
      <w:bookmarkStart w:id="319" w:name="_Toc462934306"/>
      <w:r>
        <w:rPr>
          <w:rFonts w:hint="eastAsia" w:hAnsi="宋体" w:cs="黑体"/>
          <w:b/>
          <w:color w:val="auto"/>
          <w:sz w:val="21"/>
          <w:szCs w:val="21"/>
        </w:rPr>
        <w:t>终止竞争性磋商采购活动</w:t>
      </w:r>
      <w:bookmarkEnd w:id="314"/>
      <w:bookmarkEnd w:id="315"/>
      <w:bookmarkEnd w:id="316"/>
      <w:bookmarkEnd w:id="317"/>
      <w:bookmarkEnd w:id="318"/>
      <w:bookmarkEnd w:id="319"/>
    </w:p>
    <w:p>
      <w:pPr>
        <w:pStyle w:val="5"/>
        <w:snapToGrid w:val="0"/>
        <w:spacing w:line="360" w:lineRule="auto"/>
        <w:contextualSpacing/>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0"/>
        </w:numPr>
        <w:snapToGrid w:val="0"/>
        <w:spacing w:line="360" w:lineRule="auto"/>
        <w:ind w:left="0" w:firstLine="420" w:firstLineChars="200"/>
        <w:contextualSpacing/>
      </w:pPr>
      <w:r>
        <w:rPr>
          <w:rFonts w:hint="eastAsia"/>
        </w:rPr>
        <w:t>因情况变化，不再符合规定的竞争性磋商采购方式适用情形的；</w:t>
      </w:r>
    </w:p>
    <w:p>
      <w:pPr>
        <w:numPr>
          <w:ilvl w:val="0"/>
          <w:numId w:val="10"/>
        </w:numPr>
        <w:snapToGrid w:val="0"/>
        <w:spacing w:line="360" w:lineRule="auto"/>
        <w:ind w:left="0" w:firstLine="420" w:firstLineChars="200"/>
        <w:contextualSpacing/>
      </w:pPr>
      <w:r>
        <w:rPr>
          <w:rFonts w:hint="eastAsia"/>
        </w:rPr>
        <w:t>出现影响采购公正的违法、违规行为的；</w:t>
      </w:r>
    </w:p>
    <w:p>
      <w:pPr>
        <w:numPr>
          <w:ilvl w:val="0"/>
          <w:numId w:val="10"/>
        </w:numPr>
        <w:snapToGrid w:val="0"/>
        <w:spacing w:line="360" w:lineRule="auto"/>
        <w:ind w:left="0" w:firstLine="420" w:firstLineChars="200"/>
        <w:contextualSpacing/>
      </w:pPr>
      <w:r>
        <w:rPr>
          <w:rFonts w:hint="eastAsia"/>
        </w:rPr>
        <w:t>在采购过程中符合要求的响应人或者报价未超过采购预算的响应人不足3家的。</w:t>
      </w:r>
    </w:p>
    <w:bookmarkEnd w:id="300"/>
    <w:bookmarkEnd w:id="301"/>
    <w:bookmarkEnd w:id="302"/>
    <w:bookmarkEnd w:id="303"/>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0" w:name="_Toc428351660"/>
      <w:bookmarkStart w:id="321" w:name="_Toc462934307"/>
      <w:bookmarkStart w:id="322" w:name="_Toc454788040"/>
      <w:bookmarkStart w:id="323" w:name="_Toc463011286"/>
      <w:bookmarkStart w:id="324" w:name="_Toc428276600"/>
      <w:bookmarkStart w:id="325" w:name="_Toc12985"/>
      <w:bookmarkStart w:id="326" w:name="_Toc455678133"/>
      <w:bookmarkStart w:id="327" w:name="_Toc31756"/>
      <w:bookmarkStart w:id="328" w:name="_Toc7308"/>
      <w:r>
        <w:rPr>
          <w:rFonts w:hint="eastAsia" w:hAnsi="宋体" w:cs="黑体"/>
          <w:b/>
          <w:color w:val="auto"/>
          <w:sz w:val="21"/>
          <w:szCs w:val="21"/>
        </w:rPr>
        <w:t>确定成交人</w:t>
      </w:r>
      <w:bookmarkEnd w:id="320"/>
      <w:bookmarkEnd w:id="321"/>
      <w:bookmarkEnd w:id="322"/>
      <w:bookmarkEnd w:id="323"/>
      <w:bookmarkEnd w:id="324"/>
      <w:bookmarkEnd w:id="325"/>
      <w:bookmarkEnd w:id="326"/>
      <w:bookmarkEnd w:id="327"/>
      <w:bookmarkEnd w:id="328"/>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w:t>
      </w:r>
      <w:r>
        <w:rPr>
          <w:rFonts w:hint="eastAsia" w:hAnsi="宋体" w:cs="黑体"/>
          <w:color w:val="auto"/>
          <w:sz w:val="21"/>
          <w:szCs w:val="21"/>
          <w:lang w:val="en-US" w:eastAsia="zh-CN"/>
        </w:rPr>
        <w:t>1</w:t>
      </w:r>
      <w:r>
        <w:rPr>
          <w:rFonts w:hint="eastAsia" w:hAnsi="宋体" w:cs="黑体"/>
          <w:color w:val="auto"/>
          <w:sz w:val="21"/>
          <w:szCs w:val="21"/>
        </w:rPr>
        <w:t>个工作日内将评审报告送交采购人。采购人应当自收到评审报告之日起</w:t>
      </w:r>
      <w:r>
        <w:rPr>
          <w:rFonts w:hint="eastAsia" w:hAnsi="宋体" w:cs="黑体"/>
          <w:color w:val="auto"/>
          <w:sz w:val="21"/>
          <w:szCs w:val="21"/>
          <w:lang w:val="en-US" w:eastAsia="zh-CN"/>
        </w:rPr>
        <w:t>1</w:t>
      </w:r>
      <w:r>
        <w:rPr>
          <w:rFonts w:hint="eastAsia" w:hAnsi="宋体" w:cs="黑体"/>
          <w:color w:val="auto"/>
          <w:sz w:val="21"/>
          <w:szCs w:val="21"/>
        </w:rPr>
        <w:t>个工作日内在评审报告推荐的成交候选人中按顺序确定成交人。</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9" w:name="_Toc422126474"/>
      <w:bookmarkStart w:id="330" w:name="_Toc454788041"/>
      <w:bookmarkStart w:id="331" w:name="_Toc455678134"/>
      <w:bookmarkStart w:id="332" w:name="_Toc428351661"/>
      <w:bookmarkStart w:id="333" w:name="_Toc428276601"/>
      <w:bookmarkStart w:id="334" w:name="_Toc2677"/>
      <w:bookmarkStart w:id="335" w:name="_Toc15190"/>
      <w:bookmarkStart w:id="336" w:name="_Toc463011287"/>
      <w:bookmarkStart w:id="337" w:name="_Toc16692"/>
      <w:bookmarkStart w:id="338" w:name="_Toc462934308"/>
      <w:r>
        <w:rPr>
          <w:rFonts w:hint="eastAsia" w:hAnsi="宋体" w:cs="黑体"/>
          <w:b/>
          <w:color w:val="auto"/>
          <w:sz w:val="21"/>
          <w:szCs w:val="21"/>
        </w:rPr>
        <w:t>成交结果</w:t>
      </w:r>
      <w:bookmarkEnd w:id="329"/>
      <w:bookmarkEnd w:id="330"/>
      <w:bookmarkEnd w:id="331"/>
      <w:bookmarkEnd w:id="332"/>
      <w:bookmarkEnd w:id="333"/>
      <w:r>
        <w:rPr>
          <w:rFonts w:hint="eastAsia" w:hAnsi="宋体" w:cs="黑体"/>
          <w:b/>
          <w:color w:val="auto"/>
          <w:sz w:val="21"/>
          <w:szCs w:val="21"/>
        </w:rPr>
        <w:t>公告</w:t>
      </w:r>
      <w:bookmarkEnd w:id="334"/>
      <w:bookmarkEnd w:id="335"/>
      <w:bookmarkEnd w:id="336"/>
      <w:bookmarkEnd w:id="337"/>
      <w:bookmarkEnd w:id="338"/>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w:t>
      </w:r>
      <w:r>
        <w:rPr>
          <w:rFonts w:hint="eastAsia" w:hAnsi="宋体" w:cs="黑体"/>
          <w:color w:val="auto"/>
          <w:sz w:val="21"/>
          <w:szCs w:val="21"/>
          <w:lang w:val="en-US" w:eastAsia="zh-CN"/>
        </w:rPr>
        <w:t>1</w:t>
      </w:r>
      <w:r>
        <w:rPr>
          <w:rFonts w:hint="eastAsia" w:hAnsi="宋体" w:cs="黑体"/>
          <w:color w:val="auto"/>
          <w:sz w:val="21"/>
          <w:szCs w:val="21"/>
        </w:rPr>
        <w:t>个工作日内，在公告发布的同一媒介上公告成交结果，同时向成交人发出成交通知书，并将竞争性磋商文件随成交结果同时公告，公告期限1个工作日。</w:t>
      </w:r>
    </w:p>
    <w:bookmarkEnd w:id="293"/>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39" w:name="_Toc463011289"/>
      <w:bookmarkStart w:id="340" w:name="_Toc4900"/>
      <w:bookmarkStart w:id="341" w:name="_Toc18026"/>
      <w:bookmarkStart w:id="342" w:name="_Toc11152"/>
      <w:bookmarkStart w:id="343" w:name="_Toc455678136"/>
      <w:bookmarkStart w:id="344" w:name="_Toc462934310"/>
      <w:r>
        <w:rPr>
          <w:rFonts w:hint="eastAsia" w:hAnsi="宋体" w:cs="黑体"/>
          <w:b/>
          <w:color w:val="auto"/>
          <w:sz w:val="21"/>
          <w:szCs w:val="21"/>
        </w:rPr>
        <w:t>成交通知书</w:t>
      </w:r>
      <w:bookmarkEnd w:id="339"/>
      <w:bookmarkEnd w:id="340"/>
      <w:bookmarkEnd w:id="341"/>
      <w:bookmarkEnd w:id="342"/>
      <w:bookmarkEnd w:id="343"/>
      <w:bookmarkEnd w:id="344"/>
      <w:bookmarkStart w:id="345" w:name="_Toc455678137"/>
      <w:bookmarkStart w:id="346" w:name="_Toc463011290"/>
      <w:bookmarkStart w:id="347" w:name="_Toc462934311"/>
      <w:bookmarkStart w:id="348" w:name="_Toc23963"/>
      <w:bookmarkStart w:id="349" w:name="_Toc11018"/>
      <w:bookmarkStart w:id="350" w:name="_Toc269470335"/>
    </w:p>
    <w:bookmarkEnd w:id="345"/>
    <w:bookmarkEnd w:id="346"/>
    <w:bookmarkEnd w:id="347"/>
    <w:bookmarkEnd w:id="348"/>
    <w:bookmarkEnd w:id="349"/>
    <w:p>
      <w:pPr>
        <w:wordWrap/>
        <w:topLinePunct w:val="0"/>
        <w:spacing w:line="360" w:lineRule="auto"/>
        <w:ind w:firstLine="420" w:firstLineChars="200"/>
      </w:pPr>
      <w:bookmarkStart w:id="351" w:name="_Toc720"/>
      <w:bookmarkStart w:id="352" w:name="_Toc10798"/>
      <w:bookmarkStart w:id="353" w:name="_Toc455678139"/>
      <w:bookmarkStart w:id="354" w:name="_Toc463011292"/>
      <w:bookmarkStart w:id="355" w:name="_Toc462934313"/>
      <w:r>
        <w:rPr>
          <w:rFonts w:hint="eastAsia"/>
        </w:rPr>
        <w:t>在公告成交结果的同时，采购人或者采购代理机构向成交人发出成交通知书，成交通知书将作为进行合同磋商和签订合同的依据。</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6" w:name="_Toc17481"/>
      <w:r>
        <w:rPr>
          <w:rFonts w:hint="eastAsia" w:hAnsi="宋体" w:cs="黑体"/>
          <w:b/>
          <w:color w:val="auto"/>
          <w:sz w:val="21"/>
          <w:szCs w:val="21"/>
        </w:rPr>
        <w:t>履约保证金</w:t>
      </w:r>
      <w:bookmarkEnd w:id="351"/>
      <w:bookmarkEnd w:id="352"/>
      <w:bookmarkEnd w:id="353"/>
      <w:bookmarkEnd w:id="354"/>
      <w:bookmarkEnd w:id="355"/>
      <w:bookmarkEnd w:id="356"/>
    </w:p>
    <w:p>
      <w:pPr>
        <w:ind w:firstLine="421"/>
        <w:rPr>
          <w:rFonts w:hint="eastAsia"/>
        </w:rPr>
      </w:pPr>
      <w:r>
        <w:rPr>
          <w:rFonts w:hint="eastAsia"/>
        </w:rPr>
        <w:t>不缴纳。</w:t>
      </w:r>
    </w:p>
    <w:p>
      <w:pPr>
        <w:widowControl/>
        <w:shd w:val="solid" w:color="FFFFFF" w:fill="auto"/>
        <w:wordWrap w:val="0"/>
        <w:spacing w:line="360" w:lineRule="auto"/>
        <w:rPr>
          <w:rFonts w:hint="eastAsia" w:cs="宋体"/>
          <w:b/>
          <w:bCs/>
          <w:szCs w:val="24"/>
        </w:rPr>
      </w:pPr>
      <w:r>
        <w:rPr>
          <w:rFonts w:hint="eastAsia" w:cs="宋体"/>
          <w:szCs w:val="24"/>
          <w:lang w:val="en-US" w:eastAsia="zh-CN"/>
        </w:rPr>
        <w:t>5.10</w:t>
      </w:r>
      <w:r>
        <w:rPr>
          <w:rFonts w:hint="eastAsia" w:cs="宋体"/>
          <w:b/>
          <w:bCs/>
          <w:szCs w:val="24"/>
        </w:rPr>
        <w:t>投标文件出现下列情况之一者，应当视为无效投标文件：</w:t>
      </w:r>
    </w:p>
    <w:p>
      <w:pPr>
        <w:widowControl/>
        <w:spacing w:line="360" w:lineRule="auto"/>
        <w:rPr>
          <w:rFonts w:hint="eastAsia" w:cs="宋体"/>
          <w:szCs w:val="24"/>
        </w:rPr>
      </w:pPr>
      <w:r>
        <w:rPr>
          <w:rFonts w:hint="eastAsia" w:cs="宋体"/>
          <w:szCs w:val="24"/>
        </w:rPr>
        <w:t xml:space="preserve"> 1)投标人不符合《中华人民共和国政府采购法》第二十二条规定,做无效标处理；</w:t>
      </w:r>
    </w:p>
    <w:p>
      <w:pPr>
        <w:widowControl/>
        <w:spacing w:line="360" w:lineRule="auto"/>
        <w:rPr>
          <w:rFonts w:hint="eastAsia" w:cs="宋体"/>
          <w:szCs w:val="24"/>
        </w:rPr>
      </w:pPr>
      <w:r>
        <w:rPr>
          <w:rFonts w:hint="eastAsia" w:cs="宋体"/>
          <w:szCs w:val="24"/>
        </w:rPr>
        <w:t xml:space="preserve"> 2)投标人以他人的名义投标、串通投标，做无效废标处理；</w:t>
      </w:r>
    </w:p>
    <w:p>
      <w:pPr>
        <w:widowControl/>
        <w:spacing w:line="360" w:lineRule="auto"/>
        <w:rPr>
          <w:rFonts w:hint="eastAsia" w:cs="宋体"/>
          <w:szCs w:val="24"/>
        </w:rPr>
      </w:pPr>
      <w:r>
        <w:rPr>
          <w:rFonts w:hint="eastAsia" w:cs="宋体"/>
          <w:szCs w:val="24"/>
        </w:rPr>
        <w:t xml:space="preserve"> 3)以不正当手段谋取中标的，做无效标处理；</w:t>
      </w:r>
    </w:p>
    <w:p>
      <w:pPr>
        <w:widowControl/>
        <w:spacing w:line="360" w:lineRule="auto"/>
        <w:rPr>
          <w:rFonts w:hint="eastAsia" w:cs="宋体"/>
          <w:szCs w:val="24"/>
        </w:rPr>
      </w:pPr>
      <w:r>
        <w:rPr>
          <w:rFonts w:hint="eastAsia" w:cs="宋体"/>
          <w:szCs w:val="24"/>
        </w:rPr>
        <w:t xml:space="preserve">      其形式有：a.投标人提供虚假材料谋取中标；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b.投标人干扰市场公平，采取赠送、赠予等方式谋取中标；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c.投标人以低于成本报价恶意竞标；</w:t>
      </w:r>
    </w:p>
    <w:p>
      <w:pPr>
        <w:widowControl/>
        <w:spacing w:line="360" w:lineRule="auto"/>
        <w:rPr>
          <w:rFonts w:hint="eastAsia" w:cs="宋体"/>
          <w:szCs w:val="24"/>
        </w:rPr>
      </w:pPr>
      <w:r>
        <w:rPr>
          <w:rFonts w:hint="eastAsia" w:cs="宋体"/>
          <w:szCs w:val="24"/>
        </w:rPr>
        <w:t xml:space="preserve">  4）交货期不确切、不肯定的投标，作无效标处理；</w:t>
      </w:r>
    </w:p>
    <w:p>
      <w:pPr>
        <w:widowControl/>
        <w:spacing w:line="360" w:lineRule="auto"/>
        <w:rPr>
          <w:rFonts w:hint="eastAsia" w:cs="宋体"/>
          <w:szCs w:val="24"/>
        </w:rPr>
      </w:pPr>
      <w:r>
        <w:rPr>
          <w:rFonts w:hint="eastAsia" w:cs="宋体"/>
          <w:szCs w:val="24"/>
        </w:rPr>
        <w:t xml:space="preserve">  5）投标人低于成本价竞标的，作废无效标处理；</w:t>
      </w:r>
    </w:p>
    <w:p>
      <w:pPr>
        <w:widowControl/>
        <w:spacing w:line="360" w:lineRule="auto"/>
        <w:rPr>
          <w:rFonts w:hint="eastAsia" w:cs="宋体"/>
          <w:szCs w:val="24"/>
        </w:rPr>
      </w:pPr>
      <w:r>
        <w:rPr>
          <w:rFonts w:hint="eastAsia" w:cs="宋体"/>
          <w:szCs w:val="24"/>
        </w:rPr>
        <w:t xml:space="preserve">  6）投标文件未按招标文件规定签字盖章的，作无效标处理； </w:t>
      </w:r>
    </w:p>
    <w:p>
      <w:pPr>
        <w:widowControl/>
        <w:spacing w:line="360" w:lineRule="auto"/>
        <w:rPr>
          <w:rFonts w:hint="eastAsia" w:cs="宋体"/>
          <w:szCs w:val="24"/>
        </w:rPr>
      </w:pPr>
      <w:r>
        <w:rPr>
          <w:rFonts w:hint="eastAsia" w:cs="宋体"/>
          <w:szCs w:val="24"/>
        </w:rPr>
        <w:t xml:space="preserve">  7）投标文件关键内容字迹模糊，无法辨认的，作无效标处理；</w:t>
      </w:r>
    </w:p>
    <w:p>
      <w:pPr>
        <w:widowControl/>
        <w:spacing w:line="360" w:lineRule="auto"/>
        <w:rPr>
          <w:rFonts w:hint="eastAsia" w:cs="宋体"/>
          <w:szCs w:val="24"/>
        </w:rPr>
      </w:pPr>
      <w:r>
        <w:rPr>
          <w:rFonts w:hint="eastAsia" w:cs="宋体"/>
          <w:szCs w:val="24"/>
        </w:rPr>
        <w:t xml:space="preserve">  8）投标文件不写投标报价或投标报价超过控制资金（不含等于控制资金）的，作无效标处理；</w:t>
      </w:r>
    </w:p>
    <w:p>
      <w:pPr>
        <w:widowControl/>
        <w:spacing w:line="360" w:lineRule="auto"/>
        <w:rPr>
          <w:rFonts w:hint="eastAsia" w:cs="宋体"/>
          <w:szCs w:val="24"/>
        </w:rPr>
      </w:pPr>
      <w:r>
        <w:rPr>
          <w:rFonts w:hint="eastAsia" w:cs="宋体"/>
          <w:szCs w:val="24"/>
        </w:rPr>
        <w:t xml:space="preserve">  9）审查不合格的，作无效标处理；</w:t>
      </w:r>
    </w:p>
    <w:p>
      <w:pPr>
        <w:widowControl/>
        <w:spacing w:line="360" w:lineRule="auto"/>
        <w:rPr>
          <w:rFonts w:hint="eastAsia" w:cs="宋体"/>
          <w:szCs w:val="24"/>
        </w:rPr>
      </w:pPr>
      <w:r>
        <w:rPr>
          <w:rFonts w:hint="eastAsia" w:cs="宋体"/>
          <w:szCs w:val="24"/>
        </w:rPr>
        <w:t xml:space="preserve">  10）附有招标人不能接受的条件的，作无效标处理；</w:t>
      </w:r>
    </w:p>
    <w:p>
      <w:pPr>
        <w:widowControl/>
        <w:spacing w:line="360" w:lineRule="auto"/>
        <w:rPr>
          <w:rFonts w:hint="eastAsia" w:cs="宋体"/>
          <w:szCs w:val="24"/>
        </w:rPr>
      </w:pPr>
      <w:r>
        <w:rPr>
          <w:rFonts w:hint="eastAsia" w:cs="宋体"/>
          <w:szCs w:val="24"/>
        </w:rPr>
        <w:t xml:space="preserve">  11) 未响应招标文件要求的；</w:t>
      </w:r>
    </w:p>
    <w:p>
      <w:pPr>
        <w:widowControl/>
        <w:spacing w:line="360" w:lineRule="auto"/>
        <w:rPr>
          <w:rFonts w:hint="eastAsia" w:cs="宋体"/>
          <w:szCs w:val="24"/>
        </w:rPr>
      </w:pPr>
      <w:r>
        <w:rPr>
          <w:rFonts w:hint="eastAsia" w:cs="宋体"/>
          <w:szCs w:val="24"/>
        </w:rPr>
        <w:t xml:space="preserve">  12）违反国家有关法律法规的，作无效标处理。</w:t>
      </w:r>
    </w:p>
    <w:p>
      <w:pPr>
        <w:widowControl/>
        <w:spacing w:line="360" w:lineRule="auto"/>
        <w:ind w:firstLine="210" w:firstLineChars="100"/>
        <w:rPr>
          <w:rFonts w:hint="eastAsia" w:cs="宋体"/>
          <w:szCs w:val="24"/>
        </w:rPr>
      </w:pPr>
      <w:r>
        <w:rPr>
          <w:rFonts w:hint="eastAsia" w:cs="宋体"/>
          <w:szCs w:val="24"/>
          <w:lang w:val="en-US" w:eastAsia="zh-CN"/>
        </w:rPr>
        <w:t>13</w:t>
      </w:r>
      <w:r>
        <w:rPr>
          <w:rFonts w:hint="eastAsia" w:cs="宋体"/>
          <w:szCs w:val="24"/>
        </w:rPr>
        <w:t>）不同供应商响应文件制作机器码一致的；</w:t>
      </w:r>
    </w:p>
    <w:p>
      <w:pPr>
        <w:widowControl/>
        <w:spacing w:line="360" w:lineRule="auto"/>
        <w:ind w:firstLine="210" w:firstLineChars="100"/>
        <w:rPr>
          <w:rFonts w:hint="eastAsia" w:cs="宋体"/>
          <w:szCs w:val="24"/>
        </w:rPr>
      </w:pPr>
      <w:r>
        <w:rPr>
          <w:rFonts w:hint="eastAsia" w:cs="宋体"/>
          <w:szCs w:val="24"/>
          <w:lang w:val="en-US" w:eastAsia="zh-CN"/>
        </w:rPr>
        <w:t>14</w:t>
      </w:r>
      <w:r>
        <w:rPr>
          <w:rFonts w:hint="eastAsia" w:cs="宋体"/>
          <w:szCs w:val="24"/>
        </w:rPr>
        <w:t>）不同供应商的报价文件异常一致或呈阶梯性规律变化的；</w:t>
      </w:r>
    </w:p>
    <w:p>
      <w:pPr>
        <w:widowControl/>
        <w:spacing w:line="360" w:lineRule="auto"/>
        <w:rPr>
          <w:rFonts w:hint="eastAsia" w:cs="宋体"/>
          <w:szCs w:val="24"/>
        </w:rPr>
      </w:pPr>
      <w:r>
        <w:rPr>
          <w:rFonts w:hint="eastAsia" w:cs="宋体"/>
          <w:szCs w:val="24"/>
          <w:lang w:val="en-US" w:eastAsia="zh-CN"/>
        </w:rPr>
        <w:t>5.11</w:t>
      </w:r>
      <w:r>
        <w:rPr>
          <w:rFonts w:hint="eastAsia" w:cs="宋体"/>
          <w:b/>
          <w:bCs/>
          <w:szCs w:val="24"/>
        </w:rPr>
        <w:t>有下列情形之一的，视为投标人串通投标，其投标无效：</w:t>
      </w:r>
    </w:p>
    <w:p>
      <w:pPr>
        <w:widowControl/>
        <w:spacing w:line="360" w:lineRule="auto"/>
        <w:rPr>
          <w:rFonts w:hint="eastAsia" w:cs="宋体"/>
          <w:szCs w:val="24"/>
        </w:rPr>
      </w:pPr>
      <w:r>
        <w:rPr>
          <w:rFonts w:hint="eastAsia" w:cs="宋体"/>
          <w:szCs w:val="24"/>
        </w:rPr>
        <w:t>（一）不同投标人的投标文件由同一单位或者个人编制；</w:t>
      </w:r>
    </w:p>
    <w:p>
      <w:pPr>
        <w:widowControl/>
        <w:spacing w:line="360" w:lineRule="auto"/>
        <w:rPr>
          <w:rFonts w:hint="eastAsia" w:cs="宋体"/>
          <w:szCs w:val="24"/>
        </w:rPr>
      </w:pPr>
      <w:r>
        <w:rPr>
          <w:rFonts w:hint="eastAsia" w:cs="宋体"/>
          <w:szCs w:val="24"/>
        </w:rPr>
        <w:t>（二）不同投标人委托同一单位或者个人办理投标事宜；</w:t>
      </w:r>
    </w:p>
    <w:p>
      <w:pPr>
        <w:widowControl/>
        <w:spacing w:line="360" w:lineRule="auto"/>
        <w:rPr>
          <w:rFonts w:hint="eastAsia" w:cs="宋体"/>
          <w:szCs w:val="24"/>
        </w:rPr>
      </w:pPr>
      <w:r>
        <w:rPr>
          <w:rFonts w:hint="eastAsia" w:cs="宋体"/>
          <w:szCs w:val="24"/>
        </w:rPr>
        <w:t>（三）不同投标人的投标文件载明的项目管理成员或者联系人员为同一人；</w:t>
      </w:r>
    </w:p>
    <w:p>
      <w:pPr>
        <w:widowControl/>
        <w:spacing w:line="360" w:lineRule="auto"/>
        <w:rPr>
          <w:rFonts w:hint="eastAsia" w:cs="宋体"/>
          <w:szCs w:val="24"/>
        </w:rPr>
      </w:pPr>
      <w:r>
        <w:rPr>
          <w:rFonts w:hint="eastAsia" w:cs="宋体"/>
          <w:szCs w:val="24"/>
        </w:rPr>
        <w:t>（四）不同投标人的投标文件异常一致或者投标报价呈规律性差异；</w:t>
      </w:r>
    </w:p>
    <w:p>
      <w:pPr>
        <w:widowControl/>
        <w:spacing w:line="360" w:lineRule="auto"/>
        <w:rPr>
          <w:rFonts w:hint="eastAsia" w:cs="宋体"/>
          <w:szCs w:val="24"/>
        </w:rPr>
      </w:pPr>
      <w:r>
        <w:rPr>
          <w:rFonts w:hint="eastAsia" w:cs="宋体"/>
          <w:szCs w:val="24"/>
        </w:rPr>
        <w:t>（五）不同投标人的投标文件相互混装；</w:t>
      </w:r>
    </w:p>
    <w:p>
      <w:pPr>
        <w:widowControl/>
        <w:spacing w:line="360" w:lineRule="auto"/>
      </w:pPr>
      <w:r>
        <w:rPr>
          <w:rFonts w:hint="eastAsia" w:cs="宋体"/>
          <w:szCs w:val="24"/>
        </w:rPr>
        <w:t>（六）不同投标人的投标保证金从同一单位或者个人的账户转出。</w:t>
      </w:r>
    </w:p>
    <w:p>
      <w:pPr>
        <w:pStyle w:val="36"/>
        <w:numPr>
          <w:ilvl w:val="0"/>
          <w:numId w:val="5"/>
        </w:numPr>
        <w:tabs>
          <w:tab w:val="left" w:pos="360"/>
          <w:tab w:val="clear" w:pos="425"/>
        </w:tabs>
        <w:spacing w:line="360" w:lineRule="auto"/>
        <w:jc w:val="both"/>
        <w:outlineLvl w:val="1"/>
        <w:rPr>
          <w:rFonts w:hAnsi="宋体" w:cs="黑体"/>
          <w:b/>
          <w:color w:val="auto"/>
        </w:rPr>
      </w:pPr>
      <w:bookmarkStart w:id="357" w:name="_Toc1471"/>
      <w:bookmarkStart w:id="358" w:name="_Toc23149"/>
      <w:r>
        <w:rPr>
          <w:rFonts w:hint="eastAsia" w:hAnsi="宋体" w:cs="黑体"/>
          <w:b/>
          <w:color w:val="auto"/>
        </w:rPr>
        <w:t>授予合同</w:t>
      </w:r>
      <w:bookmarkEnd w:id="357"/>
      <w:bookmarkEnd w:id="358"/>
      <w:bookmarkStart w:id="359" w:name="_Toc32765"/>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0" w:name="_Toc8361"/>
      <w:bookmarkStart w:id="361" w:name="_Toc26749"/>
      <w:bookmarkStart w:id="362" w:name="_Toc5672"/>
      <w:r>
        <w:rPr>
          <w:rFonts w:hint="eastAsia" w:hAnsi="宋体" w:cs="黑体"/>
          <w:color w:val="auto"/>
          <w:sz w:val="21"/>
          <w:szCs w:val="21"/>
        </w:rPr>
        <w:t>采购人自成交通知书发出之日起</w:t>
      </w:r>
      <w:r>
        <w:rPr>
          <w:rFonts w:hint="eastAsia" w:hAnsi="宋体" w:cs="黑体"/>
          <w:color w:val="auto"/>
          <w:sz w:val="21"/>
          <w:szCs w:val="21"/>
          <w:lang w:val="en-US" w:eastAsia="zh-CN"/>
        </w:rPr>
        <w:t>1</w:t>
      </w:r>
      <w:r>
        <w:rPr>
          <w:rFonts w:hint="eastAsia" w:hAnsi="宋体" w:cs="黑体"/>
          <w:color w:val="auto"/>
          <w:sz w:val="21"/>
          <w:szCs w:val="21"/>
        </w:rPr>
        <w:t>日内，按照竞争性磋商文件和成交人响应文件的规定，与成交人签订书面合同。所签订的合同不得对竞争性磋商文件确定的事项和成交人响应文件作实质性修改。</w:t>
      </w:r>
      <w:bookmarkEnd w:id="359"/>
      <w:bookmarkEnd w:id="360"/>
      <w:bookmarkEnd w:id="361"/>
      <w:bookmarkEnd w:id="362"/>
      <w:bookmarkStart w:id="363" w:name="_Toc26954"/>
    </w:p>
    <w:bookmarkEnd w:id="363"/>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4" w:name="_Toc12834"/>
      <w:bookmarkStart w:id="365" w:name="_Toc21772"/>
      <w:bookmarkStart w:id="366" w:name="_Toc14039"/>
      <w:bookmarkStart w:id="367" w:name="_Toc10652"/>
      <w:r>
        <w:rPr>
          <w:rFonts w:hint="eastAsia" w:hAnsi="宋体" w:cs="黑体"/>
          <w:color w:val="auto"/>
          <w:sz w:val="21"/>
          <w:szCs w:val="21"/>
        </w:rPr>
        <w:t>竞争性磋商文件、成交人的响应文件和澄清文件等，均应作为签约的合同文本的基础。</w:t>
      </w:r>
      <w:bookmarkEnd w:id="364"/>
      <w:bookmarkEnd w:id="365"/>
      <w:bookmarkEnd w:id="366"/>
      <w:bookmarkEnd w:id="367"/>
      <w:bookmarkStart w:id="368" w:name="_Toc5481"/>
    </w:p>
    <w:bookmarkEnd w:id="368"/>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9" w:name="_Toc10089"/>
      <w:bookmarkStart w:id="370" w:name="_Toc18228"/>
      <w:bookmarkStart w:id="371" w:name="_Toc12739"/>
      <w:bookmarkStart w:id="372" w:name="_Toc4762"/>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369"/>
      <w:bookmarkEnd w:id="370"/>
      <w:bookmarkEnd w:id="371"/>
      <w:bookmarkEnd w:id="372"/>
      <w:bookmarkStart w:id="373" w:name="_Toc7717"/>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74" w:name="_Toc18078"/>
      <w:bookmarkStart w:id="375" w:name="_Toc5311"/>
      <w:bookmarkStart w:id="376" w:name="_Toc6035"/>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373"/>
      <w:bookmarkEnd w:id="374"/>
      <w:bookmarkEnd w:id="375"/>
      <w:bookmarkEnd w:id="376"/>
    </w:p>
    <w:bookmarkEnd w:id="350"/>
    <w:p>
      <w:pPr>
        <w:pStyle w:val="36"/>
        <w:numPr>
          <w:ilvl w:val="0"/>
          <w:numId w:val="5"/>
        </w:numPr>
        <w:tabs>
          <w:tab w:val="left" w:pos="360"/>
          <w:tab w:val="clear" w:pos="425"/>
        </w:tabs>
        <w:spacing w:line="360" w:lineRule="auto"/>
        <w:jc w:val="both"/>
        <w:outlineLvl w:val="1"/>
        <w:rPr>
          <w:rFonts w:hAnsi="宋体" w:cs="黑体"/>
          <w:b/>
          <w:color w:val="auto"/>
        </w:rPr>
      </w:pPr>
      <w:bookmarkStart w:id="377" w:name="_Toc269470338"/>
      <w:bookmarkStart w:id="378" w:name="_Toc270604610"/>
      <w:bookmarkStart w:id="379" w:name="_Toc27882"/>
      <w:bookmarkStart w:id="380" w:name="_Toc25425"/>
      <w:bookmarkStart w:id="381" w:name="_Toc24967"/>
      <w:r>
        <w:rPr>
          <w:rFonts w:hint="eastAsia" w:hAnsi="宋体" w:cs="黑体"/>
          <w:b/>
          <w:color w:val="auto"/>
        </w:rPr>
        <w:t>纪律和监督</w:t>
      </w:r>
      <w:bookmarkEnd w:id="377"/>
      <w:bookmarkEnd w:id="378"/>
      <w:bookmarkEnd w:id="379"/>
      <w:bookmarkEnd w:id="380"/>
      <w:bookmarkEnd w:id="381"/>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82" w:name="_Toc455678149"/>
      <w:bookmarkStart w:id="383" w:name="_Toc277149399"/>
      <w:bookmarkStart w:id="384" w:name="_Toc462934323"/>
      <w:bookmarkStart w:id="385" w:name="_Toc463011302"/>
      <w:bookmarkStart w:id="386" w:name="_Toc428351666"/>
      <w:bookmarkStart w:id="387" w:name="_Toc31772"/>
      <w:bookmarkStart w:id="388" w:name="_Toc270604838"/>
      <w:bookmarkStart w:id="389" w:name="_Toc454788046"/>
      <w:bookmarkStart w:id="390" w:name="_Toc428276606"/>
      <w:bookmarkStart w:id="391" w:name="_Toc2717"/>
      <w:bookmarkStart w:id="392" w:name="_Toc269470339"/>
      <w:bookmarkStart w:id="393" w:name="_Toc13152"/>
      <w:bookmarkStart w:id="394" w:name="_Toc270604611"/>
      <w:r>
        <w:rPr>
          <w:rFonts w:hint="eastAsia" w:hAnsi="宋体" w:cs="黑体"/>
          <w:b/>
          <w:color w:val="auto"/>
          <w:sz w:val="21"/>
          <w:szCs w:val="21"/>
        </w:rPr>
        <w:t>对采购人的纪律要求</w:t>
      </w:r>
      <w:bookmarkEnd w:id="382"/>
      <w:bookmarkEnd w:id="383"/>
      <w:bookmarkEnd w:id="384"/>
      <w:bookmarkEnd w:id="385"/>
      <w:bookmarkEnd w:id="386"/>
      <w:bookmarkEnd w:id="387"/>
      <w:bookmarkEnd w:id="388"/>
      <w:bookmarkEnd w:id="389"/>
      <w:bookmarkEnd w:id="390"/>
      <w:bookmarkEnd w:id="391"/>
      <w:bookmarkEnd w:id="392"/>
      <w:bookmarkEnd w:id="393"/>
      <w:bookmarkEnd w:id="394"/>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采购人不得泄</w:t>
      </w:r>
      <w:r>
        <w:rPr>
          <w:rFonts w:hint="eastAsia" w:cs="FangSong_GB2312"/>
          <w:kern w:val="0"/>
          <w:lang w:eastAsia="zh-CN"/>
        </w:rPr>
        <w:t>露</w:t>
      </w:r>
      <w:r>
        <w:rPr>
          <w:rFonts w:hint="eastAsia" w:cs="FangSong_GB2312"/>
          <w:kern w:val="0"/>
        </w:rPr>
        <w:t>竞争性磋商中应当保密的情况和资料，不得与响应人串通损害国家利益、社会公共利益或者他人合法权益。</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95" w:name="_Toc455678150"/>
      <w:bookmarkStart w:id="396" w:name="_Toc10123"/>
      <w:bookmarkStart w:id="397" w:name="_Toc1136"/>
      <w:bookmarkStart w:id="398" w:name="_Toc277149400"/>
      <w:bookmarkStart w:id="399" w:name="_Toc269470340"/>
      <w:bookmarkStart w:id="400" w:name="_Toc270604612"/>
      <w:bookmarkStart w:id="401" w:name="_Toc462934324"/>
      <w:bookmarkStart w:id="402" w:name="_Toc428276607"/>
      <w:bookmarkStart w:id="403" w:name="_Toc428351667"/>
      <w:bookmarkStart w:id="404" w:name="_Toc463011303"/>
      <w:bookmarkStart w:id="405" w:name="_Toc24245"/>
      <w:bookmarkStart w:id="406" w:name="_Toc270604839"/>
      <w:bookmarkStart w:id="407" w:name="_Toc454788047"/>
      <w:r>
        <w:rPr>
          <w:rFonts w:hint="eastAsia" w:hAnsi="宋体" w:cs="黑体"/>
          <w:b/>
          <w:color w:val="auto"/>
          <w:sz w:val="21"/>
          <w:szCs w:val="21"/>
        </w:rPr>
        <w:t>对响应人的纪律要求</w:t>
      </w:r>
      <w:bookmarkEnd w:id="395"/>
      <w:bookmarkEnd w:id="396"/>
      <w:bookmarkEnd w:id="397"/>
      <w:bookmarkEnd w:id="398"/>
      <w:bookmarkEnd w:id="399"/>
      <w:bookmarkEnd w:id="400"/>
      <w:bookmarkEnd w:id="401"/>
      <w:bookmarkEnd w:id="402"/>
      <w:bookmarkEnd w:id="403"/>
      <w:bookmarkEnd w:id="404"/>
      <w:bookmarkEnd w:id="405"/>
      <w:bookmarkEnd w:id="406"/>
      <w:bookmarkEnd w:id="407"/>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响应人不得相互串通或者与采购人串通，不得向采购人或者磋商小组成员行贿谋取成交，不得以他人名义磋商或者以其他方式弄虚作假骗取成交；响应人不得以任何方式干扰、影响磋商工作。</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08" w:name="_Toc428276608"/>
      <w:bookmarkStart w:id="409" w:name="_Toc454788048"/>
      <w:bookmarkStart w:id="410" w:name="_Toc269470341"/>
      <w:bookmarkStart w:id="411" w:name="_Toc463011304"/>
      <w:bookmarkStart w:id="412" w:name="_Toc270604840"/>
      <w:bookmarkStart w:id="413" w:name="_Toc26184"/>
      <w:bookmarkStart w:id="414" w:name="_Toc462934325"/>
      <w:bookmarkStart w:id="415" w:name="_Toc23588"/>
      <w:bookmarkStart w:id="416" w:name="_Toc270604613"/>
      <w:bookmarkStart w:id="417" w:name="_Toc428351668"/>
      <w:bookmarkStart w:id="418" w:name="_Toc455678151"/>
      <w:bookmarkStart w:id="419" w:name="_Toc277149401"/>
      <w:bookmarkStart w:id="420" w:name="_Toc15953"/>
      <w:r>
        <w:rPr>
          <w:rFonts w:hint="eastAsia" w:hAnsi="宋体" w:cs="黑体"/>
          <w:b/>
          <w:color w:val="auto"/>
          <w:sz w:val="21"/>
          <w:szCs w:val="21"/>
        </w:rPr>
        <w:t>对磋商小组成员的纪律要求</w:t>
      </w:r>
      <w:bookmarkEnd w:id="408"/>
      <w:bookmarkEnd w:id="409"/>
      <w:bookmarkEnd w:id="410"/>
      <w:bookmarkEnd w:id="411"/>
      <w:bookmarkEnd w:id="412"/>
      <w:bookmarkEnd w:id="413"/>
      <w:bookmarkEnd w:id="414"/>
      <w:bookmarkEnd w:id="415"/>
      <w:bookmarkEnd w:id="416"/>
      <w:bookmarkEnd w:id="417"/>
      <w:bookmarkEnd w:id="418"/>
      <w:bookmarkEnd w:id="419"/>
      <w:bookmarkEnd w:id="420"/>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磋商小组成员不得收受他人的财物或者其他好处，不得向他人透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对磋商响应文件的评审和比较、成交候选人的推荐情况以及与磋商有关的其他情况。在磋商活动中，磋商小组成员不得擅离职守，影响磋商程序正常进行。</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21" w:name="_Toc454788049"/>
      <w:bookmarkStart w:id="422" w:name="_Toc8563"/>
      <w:bookmarkStart w:id="423" w:name="_Toc428351669"/>
      <w:bookmarkStart w:id="424" w:name="_Toc455678152"/>
      <w:bookmarkStart w:id="425" w:name="_Toc270604614"/>
      <w:bookmarkStart w:id="426" w:name="_Toc270604841"/>
      <w:bookmarkStart w:id="427" w:name="_Toc14202"/>
      <w:bookmarkStart w:id="428" w:name="_Toc462934326"/>
      <w:bookmarkStart w:id="429" w:name="_Toc269470342"/>
      <w:bookmarkStart w:id="430" w:name="_Toc277149402"/>
      <w:bookmarkStart w:id="431" w:name="_Toc428276609"/>
      <w:bookmarkStart w:id="432" w:name="_Toc463011305"/>
      <w:bookmarkStart w:id="433" w:name="_Toc4673"/>
      <w:r>
        <w:rPr>
          <w:rFonts w:hint="eastAsia" w:hAnsi="宋体" w:cs="黑体"/>
          <w:b/>
          <w:color w:val="auto"/>
          <w:sz w:val="21"/>
          <w:szCs w:val="21"/>
        </w:rPr>
        <w:t>对与磋商活动有关的工作人员的纪律要求</w:t>
      </w:r>
      <w:bookmarkEnd w:id="421"/>
      <w:bookmarkEnd w:id="422"/>
      <w:bookmarkEnd w:id="423"/>
      <w:bookmarkEnd w:id="424"/>
      <w:bookmarkEnd w:id="425"/>
      <w:bookmarkEnd w:id="426"/>
      <w:bookmarkEnd w:id="427"/>
      <w:bookmarkEnd w:id="428"/>
      <w:bookmarkEnd w:id="429"/>
      <w:bookmarkEnd w:id="430"/>
      <w:bookmarkEnd w:id="431"/>
      <w:bookmarkEnd w:id="432"/>
      <w:bookmarkEnd w:id="433"/>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与磋商活动有关的工作人员不得收受他人的财物或者其他好处，不得向他人透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对磋商响应文件的评审和比较、成交候选人的推荐情况以及与磋商有关的其他情况。在磋商活动中，与磋商活动有关的工作人员不得擅离职守，影响磋商程序正常进行。</w:t>
      </w:r>
    </w:p>
    <w:p>
      <w:pPr>
        <w:pStyle w:val="36"/>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34" w:name="_Toc29089"/>
      <w:bookmarkStart w:id="435" w:name="_Toc428276610"/>
      <w:bookmarkStart w:id="436" w:name="_Toc270604842"/>
      <w:bookmarkStart w:id="437" w:name="_Toc269470343"/>
      <w:bookmarkStart w:id="438" w:name="_Toc428351670"/>
      <w:bookmarkStart w:id="439" w:name="_Toc277149403"/>
      <w:bookmarkStart w:id="440" w:name="_Toc454788050"/>
      <w:bookmarkStart w:id="441" w:name="_Toc27033"/>
      <w:bookmarkStart w:id="442" w:name="_Toc270604615"/>
      <w:r>
        <w:rPr>
          <w:rFonts w:hint="eastAsia" w:hAnsi="宋体" w:cs="黑体"/>
          <w:b/>
          <w:color w:val="auto"/>
          <w:sz w:val="21"/>
          <w:szCs w:val="21"/>
        </w:rPr>
        <w:t>询问、质疑和投诉</w:t>
      </w:r>
      <w:bookmarkEnd w:id="434"/>
      <w:bookmarkEnd w:id="435"/>
      <w:bookmarkEnd w:id="436"/>
      <w:bookmarkEnd w:id="437"/>
      <w:bookmarkEnd w:id="438"/>
      <w:bookmarkEnd w:id="439"/>
      <w:bookmarkEnd w:id="440"/>
      <w:bookmarkEnd w:id="441"/>
      <w:bookmarkEnd w:id="442"/>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43" w:name="_Toc17445"/>
      <w:bookmarkStart w:id="444" w:name="_Toc462934328"/>
      <w:bookmarkStart w:id="445" w:name="_Toc455678154"/>
      <w:bookmarkStart w:id="446" w:name="_Toc463011307"/>
      <w:bookmarkStart w:id="447" w:name="_Toc11785"/>
      <w:r>
        <w:rPr>
          <w:rFonts w:hint="eastAsia" w:hAnsi="宋体" w:cs="黑体"/>
          <w:color w:val="auto"/>
          <w:sz w:val="21"/>
          <w:szCs w:val="21"/>
        </w:rPr>
        <w:t>响应人或有关当事人对磋商过程、成交结果有异议的，可以向采购人或者采购代理机构提出询问。</w:t>
      </w:r>
      <w:bookmarkEnd w:id="443"/>
      <w:bookmarkEnd w:id="444"/>
      <w:bookmarkEnd w:id="445"/>
      <w:bookmarkEnd w:id="446"/>
      <w:bookmarkEnd w:id="447"/>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48" w:name="_Toc27421"/>
      <w:bookmarkStart w:id="449" w:name="_Toc462934329"/>
      <w:bookmarkStart w:id="450" w:name="_Toc455678155"/>
      <w:bookmarkStart w:id="451" w:name="_Toc463011308"/>
      <w:bookmarkStart w:id="452" w:name="_Toc24621"/>
      <w:r>
        <w:rPr>
          <w:rFonts w:hint="eastAsia" w:hAnsi="宋体" w:cs="黑体"/>
          <w:color w:val="auto"/>
          <w:sz w:val="21"/>
          <w:szCs w:val="21"/>
        </w:rPr>
        <w:t>采购人或者采购代理机构应当在三个工作日内对响应人依法提出的询问作出答复。</w:t>
      </w:r>
      <w:bookmarkEnd w:id="448"/>
      <w:bookmarkEnd w:id="449"/>
      <w:bookmarkEnd w:id="450"/>
      <w:bookmarkEnd w:id="451"/>
      <w:bookmarkEnd w:id="452"/>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53" w:name="_Toc455678156"/>
      <w:bookmarkStart w:id="454" w:name="_Toc463011309"/>
      <w:bookmarkStart w:id="455" w:name="_Toc30298"/>
      <w:bookmarkStart w:id="456" w:name="_Toc462934330"/>
      <w:bookmarkStart w:id="457" w:name="_Toc28381"/>
      <w:r>
        <w:rPr>
          <w:rFonts w:hint="eastAsia" w:hAnsi="宋体" w:cs="黑体"/>
          <w:color w:val="auto"/>
          <w:sz w:val="21"/>
          <w:szCs w:val="21"/>
        </w:rPr>
        <w:t>响应人认为竞争性磋商文件、采购过程使自己的权益受到损害的，可以在知道或者应知其权益受到损害之日起七个工作日内，以书面形式向采购人提出质疑。</w:t>
      </w:r>
      <w:bookmarkEnd w:id="453"/>
      <w:bookmarkEnd w:id="454"/>
      <w:bookmarkEnd w:id="455"/>
      <w:bookmarkEnd w:id="456"/>
      <w:bookmarkEnd w:id="457"/>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58" w:name="_Toc288"/>
      <w:bookmarkStart w:id="459" w:name="_Toc462934331"/>
      <w:bookmarkStart w:id="460" w:name="_Toc16614"/>
      <w:bookmarkStart w:id="461" w:name="_Toc463011310"/>
      <w:r>
        <w:rPr>
          <w:rFonts w:hint="eastAsia" w:hAnsi="宋体" w:cs="黑体"/>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458"/>
      <w:bookmarkEnd w:id="459"/>
      <w:bookmarkEnd w:id="460"/>
      <w:bookmarkEnd w:id="461"/>
      <w:r>
        <w:rPr>
          <w:rFonts w:hint="eastAsia" w:hAnsi="宋体" w:cs="黑体"/>
          <w:color w:val="auto"/>
          <w:sz w:val="21"/>
          <w:szCs w:val="21"/>
        </w:rPr>
        <w:t>在法定质疑期内响应人针对同一采购程序环节的质疑应当一次性提出。</w:t>
      </w:r>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62" w:name="_Toc462934332"/>
      <w:bookmarkStart w:id="463" w:name="_Toc455678157"/>
      <w:bookmarkStart w:id="464" w:name="_Toc5258"/>
      <w:bookmarkStart w:id="465" w:name="_Toc463011311"/>
      <w:bookmarkStart w:id="466" w:name="_Toc18478"/>
      <w:r>
        <w:rPr>
          <w:rFonts w:hint="eastAsia" w:hAnsi="宋体" w:cs="黑体"/>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462"/>
      <w:bookmarkEnd w:id="463"/>
      <w:bookmarkEnd w:id="464"/>
      <w:bookmarkEnd w:id="465"/>
      <w:bookmarkEnd w:id="466"/>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67" w:name="_Toc4898"/>
      <w:bookmarkStart w:id="468" w:name="_Toc21390"/>
      <w:bookmarkStart w:id="469" w:name="_Toc462934333"/>
      <w:bookmarkStart w:id="470" w:name="_Toc463011312"/>
      <w:bookmarkStart w:id="471" w:name="_Toc455678158"/>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467"/>
      <w:bookmarkEnd w:id="468"/>
      <w:bookmarkEnd w:id="469"/>
      <w:bookmarkEnd w:id="470"/>
      <w:bookmarkEnd w:id="471"/>
    </w:p>
    <w:p>
      <w:pPr>
        <w:pStyle w:val="36"/>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72" w:name="_Toc11631"/>
      <w:bookmarkStart w:id="473" w:name="_Toc463011313"/>
      <w:bookmarkStart w:id="474" w:name="_Toc462934334"/>
      <w:bookmarkStart w:id="475" w:name="_Toc17682"/>
      <w:bookmarkStart w:id="476" w:name="_Toc455678159"/>
      <w:r>
        <w:rPr>
          <w:rFonts w:hint="eastAsia" w:hAnsi="宋体" w:cs="黑体"/>
          <w:color w:val="auto"/>
          <w:sz w:val="21"/>
          <w:szCs w:val="21"/>
        </w:rPr>
        <w:t>响应人质疑、投诉应当有明确的请求和必要的证明材料。响应人投诉的事项不得超出已质疑事项的范围。</w:t>
      </w:r>
      <w:bookmarkEnd w:id="472"/>
      <w:bookmarkEnd w:id="473"/>
      <w:bookmarkEnd w:id="474"/>
      <w:bookmarkEnd w:id="475"/>
      <w:bookmarkEnd w:id="476"/>
    </w:p>
    <w:p>
      <w:pPr>
        <w:pStyle w:val="36"/>
        <w:numPr>
          <w:ilvl w:val="0"/>
          <w:numId w:val="5"/>
        </w:numPr>
        <w:tabs>
          <w:tab w:val="left" w:pos="360"/>
          <w:tab w:val="clear" w:pos="425"/>
        </w:tabs>
        <w:spacing w:line="360" w:lineRule="auto"/>
        <w:jc w:val="both"/>
        <w:outlineLvl w:val="1"/>
        <w:rPr>
          <w:rFonts w:hAnsi="宋体" w:cs="黑体"/>
          <w:b/>
          <w:color w:val="auto"/>
        </w:rPr>
      </w:pPr>
      <w:bookmarkStart w:id="477" w:name="_Toc5729"/>
      <w:bookmarkStart w:id="478" w:name="_Toc13477"/>
      <w:r>
        <w:rPr>
          <w:rFonts w:hint="eastAsia" w:hAnsi="宋体" w:cs="黑体"/>
          <w:b/>
          <w:color w:val="auto"/>
        </w:rPr>
        <w:t>需要补充的其他内容</w:t>
      </w:r>
      <w:bookmarkEnd w:id="477"/>
      <w:bookmarkEnd w:id="478"/>
    </w:p>
    <w:p>
      <w:pPr>
        <w:autoSpaceDE w:val="0"/>
        <w:autoSpaceDN w:val="0"/>
        <w:adjustRightInd w:val="0"/>
        <w:snapToGrid w:val="0"/>
        <w:spacing w:line="360" w:lineRule="auto"/>
        <w:ind w:firstLine="420" w:firstLineChars="200"/>
        <w:contextualSpacing/>
        <w:jc w:val="left"/>
        <w:rPr>
          <w:rFonts w:hint="eastAsia"/>
          <w:b/>
          <w:sz w:val="32"/>
          <w:szCs w:val="32"/>
        </w:rPr>
      </w:pPr>
      <w:r>
        <w:rPr>
          <w:rFonts w:hint="eastAsia" w:cs="FangSong_GB2312"/>
          <w:kern w:val="0"/>
        </w:rPr>
        <w:t>需要补充的其他内容：见</w:t>
      </w:r>
      <w:r>
        <w:rPr>
          <w:rFonts w:hint="eastAsia" w:cs="黑体"/>
        </w:rPr>
        <w:t>《响应人须知前附表》</w:t>
      </w:r>
      <w:r>
        <w:rPr>
          <w:rFonts w:hint="eastAsia" w:cs="FangSong_GB2312"/>
          <w:kern w:val="0"/>
        </w:rPr>
        <w:t>。</w:t>
      </w:r>
      <w:bookmarkStart w:id="479" w:name="_Toc1582"/>
      <w:bookmarkStart w:id="480" w:name="_Toc26850"/>
      <w:bookmarkStart w:id="481" w:name="_Toc72695358"/>
      <w:bookmarkStart w:id="482" w:name="_Toc72694686"/>
      <w:bookmarkStart w:id="483" w:name="_Toc22649"/>
      <w:bookmarkStart w:id="484" w:name="_Toc6633"/>
      <w:bookmarkStart w:id="485" w:name="_Toc22753"/>
      <w:bookmarkStart w:id="486" w:name="_Toc23659"/>
      <w:bookmarkStart w:id="487" w:name="_Toc21398"/>
      <w:bookmarkStart w:id="488" w:name="_Toc16535"/>
      <w:bookmarkStart w:id="489" w:name="_Toc4734"/>
      <w:bookmarkStart w:id="490" w:name="_Toc14114"/>
      <w:bookmarkStart w:id="491" w:name="_Toc1534"/>
      <w:bookmarkStart w:id="492" w:name="_Toc16950"/>
      <w:bookmarkStart w:id="493" w:name="_Toc12415"/>
    </w:p>
    <w:p>
      <w:pPr>
        <w:rPr>
          <w:rFonts w:hint="eastAsia"/>
          <w:b/>
          <w:sz w:val="32"/>
          <w:szCs w:val="32"/>
        </w:rPr>
      </w:pPr>
    </w:p>
    <w:p>
      <w:pPr>
        <w:pStyle w:val="3"/>
        <w:outlineLvl w:val="9"/>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3"/>
        <w:outlineLvl w:val="9"/>
        <w:rPr>
          <w:rFonts w:hint="eastAsia"/>
          <w:b/>
          <w:sz w:val="32"/>
          <w:szCs w:val="32"/>
        </w:rPr>
      </w:pPr>
    </w:p>
    <w:p>
      <w:pPr>
        <w:rPr>
          <w:rFonts w:hint="eastAsia"/>
          <w:b/>
          <w:sz w:val="32"/>
          <w:szCs w:val="32"/>
        </w:rPr>
      </w:pPr>
    </w:p>
    <w:p>
      <w:pPr>
        <w:pStyle w:val="3"/>
        <w:outlineLvl w:val="9"/>
        <w:rPr>
          <w:rFonts w:hint="eastAsia"/>
        </w:rPr>
      </w:pPr>
    </w:p>
    <w:p>
      <w:pPr>
        <w:jc w:val="center"/>
        <w:outlineLvl w:val="0"/>
        <w:rPr>
          <w:b/>
          <w:sz w:val="32"/>
          <w:szCs w:val="32"/>
        </w:rPr>
      </w:pPr>
      <w:bookmarkStart w:id="494" w:name="_Toc19065"/>
      <w:r>
        <w:rPr>
          <w:rFonts w:hint="eastAsia"/>
          <w:b/>
          <w:sz w:val="32"/>
          <w:szCs w:val="32"/>
        </w:rPr>
        <w:t>第三章  评审办法</w:t>
      </w:r>
      <w:bookmarkEnd w:id="479"/>
      <w:bookmarkEnd w:id="480"/>
      <w:bookmarkEnd w:id="481"/>
      <w:bookmarkEnd w:id="482"/>
      <w:bookmarkEnd w:id="494"/>
    </w:p>
    <w:p>
      <w:pPr>
        <w:pStyle w:val="13"/>
        <w:spacing w:beforeLines="100" w:afterLines="100" w:line="276" w:lineRule="auto"/>
        <w:jc w:val="center"/>
        <w:outlineLvl w:val="1"/>
        <w:rPr>
          <w:rFonts w:hAnsi="宋体"/>
          <w:b/>
          <w:bCs/>
          <w:sz w:val="32"/>
          <w:szCs w:val="32"/>
        </w:rPr>
      </w:pPr>
      <w:bookmarkStart w:id="495" w:name="_Toc72694687"/>
      <w:r>
        <w:rPr>
          <w:rFonts w:hint="eastAsia" w:hAnsi="宋体"/>
          <w:b/>
          <w:bCs/>
          <w:sz w:val="32"/>
          <w:szCs w:val="32"/>
        </w:rPr>
        <w:t>评审办法前附表</w:t>
      </w:r>
      <w:bookmarkEnd w:id="483"/>
      <w:bookmarkEnd w:id="484"/>
      <w:bookmarkEnd w:id="485"/>
      <w:bookmarkEnd w:id="486"/>
      <w:bookmarkEnd w:id="487"/>
      <w:bookmarkEnd w:id="488"/>
      <w:bookmarkEnd w:id="489"/>
      <w:bookmarkEnd w:id="490"/>
      <w:bookmarkEnd w:id="491"/>
      <w:bookmarkEnd w:id="492"/>
      <w:bookmarkEnd w:id="493"/>
      <w:bookmarkEnd w:id="495"/>
    </w:p>
    <w:tbl>
      <w:tblPr>
        <w:tblStyle w:val="2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29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38"/>
              <w:ind w:firstLine="0" w:firstLineChars="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294" w:type="dxa"/>
            <w:noWrap/>
            <w:vAlign w:val="center"/>
          </w:tcPr>
          <w:p>
            <w:pPr>
              <w:widowControl/>
              <w:spacing w:line="360" w:lineRule="auto"/>
              <w:jc w:val="center"/>
              <w:rPr>
                <w:kern w:val="0"/>
              </w:rPr>
            </w:pPr>
            <w:r>
              <w:rPr>
                <w:rFonts w:hint="eastAsia"/>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29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响应人名称</w:t>
            </w:r>
          </w:p>
        </w:tc>
        <w:tc>
          <w:tcPr>
            <w:tcW w:w="529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29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276" w:lineRule="auto"/>
              <w:jc w:val="center"/>
              <w:rPr>
                <w:kern w:val="0"/>
              </w:rPr>
            </w:pPr>
            <w:r>
              <w:rPr>
                <w:rFonts w:hint="eastAsia"/>
              </w:rPr>
              <w:t>《中华人民共和国政府采购法》第二十二条</w:t>
            </w:r>
          </w:p>
        </w:tc>
        <w:tc>
          <w:tcPr>
            <w:tcW w:w="5294" w:type="dxa"/>
            <w:noWrap/>
            <w:vAlign w:val="center"/>
          </w:tcPr>
          <w:p>
            <w:pPr>
              <w:widowControl/>
              <w:spacing w:line="276"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营业执照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rPr>
                <w:kern w:val="0"/>
              </w:rPr>
            </w:pPr>
            <w:r>
              <w:rPr>
                <w:rFonts w:hint="eastAsia"/>
                <w:kern w:val="0"/>
              </w:rPr>
              <w:t>其他要求</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294" w:type="dxa"/>
            <w:noWrap/>
            <w:vAlign w:val="center"/>
          </w:tcPr>
          <w:p>
            <w:pPr>
              <w:widowControl/>
              <w:spacing w:line="276" w:lineRule="auto"/>
              <w:jc w:val="left"/>
              <w:rPr>
                <w:kern w:val="0"/>
              </w:rPr>
            </w:pPr>
            <w:r>
              <w:rPr>
                <w:rFonts w:hint="eastAsia"/>
                <w:kern w:val="0"/>
                <w:highlight w:val="none"/>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294" w:type="dxa"/>
            <w:noWrap/>
            <w:vAlign w:val="center"/>
          </w:tcPr>
          <w:p>
            <w:pPr>
              <w:widowControl/>
              <w:spacing w:line="276" w:lineRule="auto"/>
              <w:jc w:val="center"/>
              <w:rPr>
                <w:kern w:val="0"/>
              </w:rPr>
            </w:pPr>
            <w:r>
              <w:rPr>
                <w:rFonts w:hint="eastAsia"/>
                <w:kern w:val="0"/>
              </w:rPr>
              <w:t>符合第二章“响应人须知前附表”第10项规定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rFonts w:hint="default" w:eastAsia="宋体"/>
                <w:kern w:val="0"/>
                <w:lang w:val="en-US" w:eastAsia="zh-CN"/>
              </w:rPr>
            </w:pPr>
            <w:r>
              <w:rPr>
                <w:rFonts w:hint="eastAsia"/>
                <w:kern w:val="0"/>
                <w:lang w:val="en-US" w:eastAsia="zh-CN"/>
              </w:rPr>
              <w:t>服务期限</w:t>
            </w:r>
          </w:p>
        </w:tc>
        <w:tc>
          <w:tcPr>
            <w:tcW w:w="5294" w:type="dxa"/>
            <w:noWrap/>
            <w:vAlign w:val="center"/>
          </w:tcPr>
          <w:p>
            <w:pPr>
              <w:widowControl/>
              <w:spacing w:line="276" w:lineRule="auto"/>
              <w:jc w:val="center"/>
              <w:rPr>
                <w:kern w:val="0"/>
              </w:rPr>
            </w:pPr>
            <w:r>
              <w:rPr>
                <w:rFonts w:hint="eastAsia"/>
                <w:kern w:val="0"/>
              </w:rPr>
              <w:t>符合第二章“响应人须知前附表”第11项规定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rFonts w:hint="default" w:eastAsia="宋体"/>
                <w:kern w:val="0"/>
                <w:lang w:val="en-US" w:eastAsia="zh-CN"/>
              </w:rPr>
            </w:pPr>
            <w:r>
              <w:rPr>
                <w:rFonts w:hint="eastAsia"/>
                <w:kern w:val="0"/>
                <w:lang w:val="en-US" w:eastAsia="zh-CN"/>
              </w:rPr>
              <w:t>服务质量</w:t>
            </w:r>
          </w:p>
        </w:tc>
        <w:tc>
          <w:tcPr>
            <w:tcW w:w="5294" w:type="dxa"/>
            <w:noWrap/>
            <w:vAlign w:val="center"/>
          </w:tcPr>
          <w:p>
            <w:pPr>
              <w:widowControl/>
              <w:spacing w:line="276" w:lineRule="auto"/>
              <w:jc w:val="center"/>
              <w:rPr>
                <w:kern w:val="0"/>
              </w:rPr>
            </w:pPr>
            <w:r>
              <w:rPr>
                <w:rFonts w:hint="eastAsia"/>
                <w:kern w:val="0"/>
              </w:rPr>
              <w:t>符合第二章“响应人须知前附表”第12项规定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lang w:val="en-US" w:eastAsia="zh-CN"/>
              </w:rPr>
              <w:t>投标</w:t>
            </w:r>
            <w:r>
              <w:rPr>
                <w:rFonts w:hint="eastAsia"/>
              </w:rPr>
              <w:t>有效期</w:t>
            </w:r>
          </w:p>
        </w:tc>
        <w:tc>
          <w:tcPr>
            <w:tcW w:w="5294" w:type="dxa"/>
            <w:noWrap/>
            <w:vAlign w:val="center"/>
          </w:tcPr>
          <w:p>
            <w:pPr>
              <w:widowControl/>
              <w:spacing w:line="276" w:lineRule="auto"/>
              <w:jc w:val="center"/>
              <w:rPr>
                <w:kern w:val="0"/>
              </w:rPr>
            </w:pPr>
            <w:r>
              <w:rPr>
                <w:rFonts w:hint="eastAsia"/>
                <w:kern w:val="0"/>
              </w:rPr>
              <w:t>符合第二章“响应人须知前附表”第26项规定</w:t>
            </w:r>
          </w:p>
        </w:tc>
      </w:tr>
    </w:tbl>
    <w:p>
      <w:pPr>
        <w:spacing w:line="360" w:lineRule="auto"/>
        <w:rPr>
          <w:rFonts w:hint="eastAsia" w:ascii="宋体" w:hAnsi="宋体" w:cs="宋体"/>
          <w:color w:val="auto"/>
          <w:sz w:val="24"/>
        </w:rPr>
      </w:pP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对通过初步审查的响应文件，本项目采用综合评分法，总分为100分。评分标准和内容</w:t>
      </w:r>
      <w:r>
        <w:rPr>
          <w:rFonts w:hint="eastAsia" w:ascii="宋体" w:hAnsi="宋体" w:cs="宋体"/>
          <w:color w:val="auto"/>
          <w:sz w:val="24"/>
          <w:lang w:eastAsia="zh-CN"/>
        </w:rPr>
        <w:t>：</w:t>
      </w:r>
    </w:p>
    <w:p/>
    <w:tbl>
      <w:tblPr>
        <w:tblStyle w:val="22"/>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99"/>
        <w:gridCol w:w="1859"/>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067" w:type="dxa"/>
            <w:gridSpan w:val="4"/>
            <w:noWrap w:val="0"/>
            <w:vAlign w:val="top"/>
          </w:tcPr>
          <w:p>
            <w:pPr>
              <w:spacing w:line="400" w:lineRule="exact"/>
              <w:ind w:firstLine="480"/>
              <w:jc w:val="center"/>
              <w:rPr>
                <w:rFonts w:ascii="宋体" w:hAnsi="宋体"/>
                <w:color w:val="auto"/>
                <w:szCs w:val="21"/>
              </w:rPr>
            </w:pPr>
            <w:r>
              <w:rPr>
                <w:rFonts w:hint="eastAsia" w:ascii="宋体" w:hAnsi="宋体"/>
                <w:color w:val="auto"/>
                <w:szCs w:val="21"/>
              </w:rPr>
              <w:t>分值分布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93" w:type="dxa"/>
            <w:gridSpan w:val="3"/>
            <w:noWrap w:val="0"/>
            <w:vAlign w:val="top"/>
          </w:tcPr>
          <w:p>
            <w:pPr>
              <w:spacing w:line="400" w:lineRule="exact"/>
              <w:ind w:firstLine="420" w:firstLineChars="200"/>
              <w:jc w:val="left"/>
              <w:rPr>
                <w:rFonts w:ascii="宋体" w:hAnsi="宋体"/>
                <w:color w:val="auto"/>
                <w:szCs w:val="21"/>
              </w:rPr>
            </w:pPr>
            <w:r>
              <w:rPr>
                <w:rFonts w:hint="eastAsia" w:ascii="宋体" w:hAnsi="宋体"/>
                <w:color w:val="auto"/>
                <w:szCs w:val="21"/>
              </w:rPr>
              <w:t>投标报价</w:t>
            </w:r>
          </w:p>
        </w:tc>
        <w:tc>
          <w:tcPr>
            <w:tcW w:w="4474"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593" w:type="dxa"/>
            <w:gridSpan w:val="3"/>
            <w:noWrap w:val="0"/>
            <w:vAlign w:val="top"/>
          </w:tcPr>
          <w:p>
            <w:pPr>
              <w:spacing w:line="400" w:lineRule="exact"/>
              <w:ind w:firstLine="420" w:firstLineChars="200"/>
              <w:jc w:val="left"/>
              <w:rPr>
                <w:rFonts w:ascii="宋体" w:hAnsi="宋体"/>
                <w:color w:val="auto"/>
                <w:szCs w:val="21"/>
              </w:rPr>
            </w:pPr>
            <w:r>
              <w:rPr>
                <w:rFonts w:hint="eastAsia" w:ascii="宋体" w:hAnsi="宋体"/>
                <w:color w:val="auto"/>
                <w:szCs w:val="21"/>
              </w:rPr>
              <w:t>综合部分</w:t>
            </w:r>
          </w:p>
        </w:tc>
        <w:tc>
          <w:tcPr>
            <w:tcW w:w="4474"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color w:val="auto"/>
                <w:szCs w:val="21"/>
                <w:highlight w:val="none"/>
                <w:lang w:val="en-US" w:eastAsia="zh-CN"/>
              </w:rPr>
              <w:t>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93" w:type="dxa"/>
            <w:gridSpan w:val="3"/>
            <w:noWrap w:val="0"/>
            <w:vAlign w:val="top"/>
          </w:tcPr>
          <w:p>
            <w:pPr>
              <w:spacing w:line="400" w:lineRule="exact"/>
              <w:ind w:firstLine="420" w:firstLineChars="200"/>
              <w:jc w:val="left"/>
              <w:rPr>
                <w:rFonts w:ascii="宋体" w:hAnsi="宋体"/>
                <w:color w:val="auto"/>
                <w:szCs w:val="21"/>
              </w:rPr>
            </w:pPr>
            <w:r>
              <w:rPr>
                <w:rFonts w:hint="eastAsia" w:ascii="宋体" w:hAnsi="宋体"/>
                <w:color w:val="auto"/>
                <w:szCs w:val="21"/>
              </w:rPr>
              <w:t>技术部分</w:t>
            </w:r>
          </w:p>
        </w:tc>
        <w:tc>
          <w:tcPr>
            <w:tcW w:w="4474" w:type="dxa"/>
            <w:noWrap w:val="0"/>
            <w:vAlign w:val="top"/>
          </w:tcPr>
          <w:p>
            <w:pPr>
              <w:spacing w:line="400" w:lineRule="exact"/>
              <w:ind w:firstLine="420" w:firstLineChars="200"/>
              <w:rPr>
                <w:rFonts w:ascii="宋体" w:hAnsi="宋体"/>
                <w:color w:val="auto"/>
                <w:szCs w:val="21"/>
                <w:highlight w:val="none"/>
              </w:rPr>
            </w:pPr>
            <w:r>
              <w:rPr>
                <w:rFonts w:hint="eastAsia"/>
                <w:color w:val="auto"/>
                <w:szCs w:val="21"/>
                <w:highlight w:val="none"/>
                <w:lang w:val="en-US" w:eastAsia="zh-CN"/>
              </w:rPr>
              <w:t>15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93" w:type="dxa"/>
            <w:gridSpan w:val="3"/>
            <w:noWrap w:val="0"/>
            <w:vAlign w:val="top"/>
          </w:tcPr>
          <w:p>
            <w:pPr>
              <w:spacing w:line="400" w:lineRule="exact"/>
              <w:ind w:firstLine="420" w:firstLineChars="200"/>
              <w:jc w:val="left"/>
              <w:rPr>
                <w:rFonts w:ascii="宋体" w:hAnsi="宋体"/>
                <w:color w:val="auto"/>
                <w:szCs w:val="21"/>
              </w:rPr>
            </w:pPr>
            <w:r>
              <w:rPr>
                <w:rFonts w:hint="eastAsia" w:ascii="宋体" w:hAnsi="宋体"/>
                <w:color w:val="auto"/>
                <w:szCs w:val="21"/>
              </w:rPr>
              <w:t>合  计</w:t>
            </w:r>
          </w:p>
        </w:tc>
        <w:tc>
          <w:tcPr>
            <w:tcW w:w="4474" w:type="dxa"/>
            <w:noWrap w:val="0"/>
            <w:vAlign w:val="top"/>
          </w:tcPr>
          <w:p>
            <w:pPr>
              <w:tabs>
                <w:tab w:val="left" w:pos="472"/>
              </w:tabs>
              <w:spacing w:line="400" w:lineRule="exact"/>
              <w:ind w:firstLine="420" w:firstLineChars="200"/>
              <w:rPr>
                <w:rFonts w:ascii="宋体" w:hAnsi="宋体"/>
                <w:color w:val="auto"/>
                <w:szCs w:val="21"/>
              </w:rPr>
            </w:pPr>
            <w:r>
              <w:rPr>
                <w:rFonts w:hint="eastAsia" w:ascii="宋体" w:hAnsi="宋体"/>
                <w:color w:val="auto"/>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szCs w:val="21"/>
              </w:rPr>
            </w:pPr>
            <w:r>
              <w:rPr>
                <w:rFonts w:hint="eastAsia" w:ascii="宋体" w:hAnsi="宋体"/>
                <w:b/>
                <w:color w:val="auto"/>
                <w:szCs w:val="21"/>
              </w:rPr>
              <w:t>评分项目及分值</w:t>
            </w:r>
          </w:p>
        </w:tc>
        <w:tc>
          <w:tcPr>
            <w:tcW w:w="7632" w:type="dxa"/>
            <w:gridSpan w:val="3"/>
            <w:tcBorders>
              <w:top w:val="single" w:color="auto" w:sz="4" w:space="0"/>
              <w:left w:val="single" w:color="auto" w:sz="4" w:space="0"/>
              <w:bottom w:val="single" w:color="auto" w:sz="4" w:space="0"/>
              <w:right w:val="single" w:color="auto" w:sz="4" w:space="0"/>
            </w:tcBorders>
            <w:noWrap w:val="0"/>
            <w:vAlign w:val="center"/>
          </w:tcPr>
          <w:p>
            <w:pPr>
              <w:ind w:firstLine="482"/>
              <w:jc w:val="center"/>
              <w:rPr>
                <w:rFonts w:ascii="宋体" w:hAnsi="宋体"/>
                <w:b/>
                <w:color w:val="auto"/>
                <w:szCs w:val="21"/>
              </w:rPr>
            </w:pPr>
            <w:r>
              <w:rPr>
                <w:rFonts w:hint="eastAsia" w:ascii="宋体" w:hAnsi="宋体"/>
                <w:b/>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1435" w:type="dxa"/>
            <w:tcBorders>
              <w:top w:val="single" w:color="auto" w:sz="4" w:space="0"/>
              <w:left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一、投标报价（</w:t>
            </w:r>
            <w:r>
              <w:rPr>
                <w:rFonts w:hint="eastAsia" w:ascii="宋体" w:hAnsi="宋体"/>
                <w:color w:val="auto"/>
                <w:szCs w:val="21"/>
                <w:lang w:val="en-US" w:eastAsia="zh-CN"/>
              </w:rPr>
              <w:t>10</w:t>
            </w:r>
            <w:r>
              <w:rPr>
                <w:rFonts w:hint="eastAsia" w:ascii="宋体" w:hAnsi="宋体"/>
                <w:color w:val="auto"/>
                <w:szCs w:val="21"/>
              </w:rPr>
              <w:t>分）</w:t>
            </w:r>
          </w:p>
        </w:tc>
        <w:tc>
          <w:tcPr>
            <w:tcW w:w="7632" w:type="dxa"/>
            <w:gridSpan w:val="3"/>
            <w:tcBorders>
              <w:top w:val="single" w:color="auto" w:sz="4" w:space="0"/>
              <w:left w:val="single" w:color="auto" w:sz="4" w:space="0"/>
              <w:right w:val="single" w:color="auto" w:sz="4" w:space="0"/>
            </w:tcBorders>
            <w:noWrap w:val="0"/>
            <w:vAlign w:val="center"/>
          </w:tcPr>
          <w:p>
            <w:pPr>
              <w:widowControl/>
              <w:spacing w:line="360" w:lineRule="exact"/>
              <w:ind w:firstLine="420" w:firstLineChars="200"/>
              <w:rPr>
                <w:color w:val="auto"/>
              </w:rPr>
            </w:pPr>
            <w:r>
              <w:rPr>
                <w:rFonts w:hint="eastAsia"/>
                <w:color w:val="auto"/>
                <w:lang w:val="en-US" w:eastAsia="zh-CN"/>
              </w:rPr>
              <w:t>1、</w:t>
            </w:r>
            <w:r>
              <w:rPr>
                <w:rFonts w:hint="eastAsia"/>
                <w:color w:val="auto"/>
              </w:rPr>
              <w:t>采用低价优先法计算，即满足采购文件要求且投标价格最低的投标报价为评标基准价，其价格分为满分。其他供应商的价格分统一按照下列公式计算：</w:t>
            </w:r>
          </w:p>
          <w:p>
            <w:pPr>
              <w:widowControl/>
              <w:spacing w:line="360" w:lineRule="exact"/>
              <w:rPr>
                <w:rFonts w:hint="default" w:eastAsia="宋体"/>
                <w:color w:val="auto"/>
                <w:lang w:val="en-US" w:eastAsia="zh-CN"/>
              </w:rPr>
            </w:pPr>
            <w:r>
              <w:rPr>
                <w:rFonts w:hint="eastAsia"/>
                <w:color w:val="auto"/>
              </w:rPr>
              <w:t>投标报价得分=（评标基准价/投标报价）×</w:t>
            </w:r>
            <w:r>
              <w:rPr>
                <w:rFonts w:hint="eastAsia"/>
                <w:color w:val="auto"/>
                <w:lang w:val="en-US" w:eastAsia="zh-CN"/>
              </w:rPr>
              <w:t>1</w:t>
            </w:r>
            <w:r>
              <w:rPr>
                <w:rFonts w:hint="eastAsia"/>
                <w:color w:val="auto"/>
              </w:rPr>
              <w:t>0</w:t>
            </w:r>
            <w:r>
              <w:rPr>
                <w:rFonts w:hint="eastAsia"/>
                <w:color w:val="auto"/>
                <w:lang w:val="en-US" w:eastAsia="zh-CN"/>
              </w:rPr>
              <w:t>0</w:t>
            </w:r>
            <w:r>
              <w:rPr>
                <w:rFonts w:hint="eastAsia"/>
                <w:color w:val="auto"/>
              </w:rPr>
              <w:t>×</w:t>
            </w:r>
            <w:r>
              <w:rPr>
                <w:rFonts w:hint="eastAsia"/>
                <w:color w:val="auto"/>
                <w:lang w:val="en-US" w:eastAsia="zh-CN"/>
              </w:rPr>
              <w:t>10%</w:t>
            </w:r>
          </w:p>
          <w:p>
            <w:pPr>
              <w:widowControl/>
              <w:spacing w:line="360" w:lineRule="exact"/>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根据《政府采购促进中小企业发展管理办法》（财库（2020）46 号）和《财政部司法部关于政府采购支持监狱企业发展有关问题的通知》（财库（2014）68 号）的规定，对满足价格扣除条件且在投标文件中提交了《中小企业声明函》或省级以上监狱管理局、戒毒管理局（含新疆生产建设兵团）出具的属于监狱企业的证明文件的供应商，在满足资格项规定的条件后，其投标报价扣除 20%后参与评审。（注：多品目投标时所有产品的生产企业须同时为小型、微型企业才能享受价格扣除政策）投标报价扣除相应比例后称为“优惠后评标价”（即评标价）。</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3、中小企业用优惠后评标价参与评分。</w:t>
            </w:r>
          </w:p>
          <w:p>
            <w:pPr>
              <w:spacing w:line="400" w:lineRule="exact"/>
              <w:ind w:firstLine="420" w:firstLineChars="200"/>
              <w:rPr>
                <w:rFonts w:ascii="宋体" w:hAnsi="宋体" w:cs="宋体"/>
                <w:color w:val="auto"/>
                <w:szCs w:val="21"/>
              </w:rPr>
            </w:pPr>
            <w:r>
              <w:rPr>
                <w:rFonts w:hint="eastAsia" w:ascii="宋体" w:hAnsi="宋体" w:cs="宋体"/>
                <w:color w:val="auto"/>
                <w:szCs w:val="21"/>
              </w:rPr>
              <w:t>备注：报价得分四舍五入后取小数点后二位数字。</w:t>
            </w:r>
          </w:p>
          <w:p>
            <w:pPr>
              <w:spacing w:line="400" w:lineRule="exact"/>
              <w:ind w:firstLine="211" w:firstLineChars="100"/>
              <w:rPr>
                <w:rFonts w:ascii="宋体" w:hAnsi="宋体" w:cs="宋体"/>
                <w:b/>
                <w:bCs/>
                <w:color w:val="auto"/>
                <w:szCs w:val="21"/>
              </w:rPr>
            </w:pPr>
            <w:r>
              <w:rPr>
                <w:rFonts w:hint="eastAsia" w:ascii="宋体" w:hAnsi="宋体" w:cs="宋体"/>
                <w:b/>
                <w:bCs/>
                <w:color w:val="auto"/>
                <w:szCs w:val="21"/>
              </w:rPr>
              <w:t>评审</w:t>
            </w:r>
            <w:r>
              <w:rPr>
                <w:rFonts w:ascii="宋体" w:hAnsi="宋体" w:cs="宋体"/>
                <w:b/>
                <w:bCs/>
                <w:color w:val="auto"/>
                <w:szCs w:val="21"/>
              </w:rPr>
              <w:t>小组认为供应商的报价明显低于其他通过符合性审查供应商的报价，有可能影响</w:t>
            </w:r>
            <w:r>
              <w:rPr>
                <w:rFonts w:hint="eastAsia" w:ascii="宋体" w:hAnsi="宋体" w:cs="宋体"/>
                <w:b/>
                <w:bCs/>
                <w:color w:val="auto"/>
                <w:szCs w:val="21"/>
                <w:lang w:eastAsia="zh-CN"/>
              </w:rPr>
              <w:t>服务</w:t>
            </w:r>
            <w:r>
              <w:rPr>
                <w:rFonts w:ascii="宋体" w:hAnsi="宋体" w:cs="宋体"/>
                <w:b/>
                <w:bCs/>
                <w:color w:val="auto"/>
                <w:szCs w:val="21"/>
              </w:rPr>
              <w:t>质量或者不能诚信履约的，应当要求其在评标现场合理的时间内提供书面说明，必要时提交相关证明材料；</w:t>
            </w:r>
            <w:r>
              <w:rPr>
                <w:rFonts w:hint="eastAsia" w:ascii="宋体" w:hAnsi="宋体" w:cs="宋体"/>
                <w:b/>
                <w:bCs/>
                <w:color w:val="auto"/>
                <w:szCs w:val="21"/>
                <w:lang w:eastAsia="zh-CN"/>
              </w:rPr>
              <w:t>投标人</w:t>
            </w:r>
            <w:r>
              <w:rPr>
                <w:rFonts w:ascii="宋体" w:hAnsi="宋体" w:cs="宋体"/>
                <w:b/>
                <w:bCs/>
                <w:color w:val="auto"/>
                <w:szCs w:val="21"/>
              </w:rPr>
              <w:t>不能证明其报价合理性的，</w:t>
            </w:r>
            <w:r>
              <w:rPr>
                <w:rFonts w:hint="eastAsia" w:ascii="宋体" w:hAnsi="宋体" w:cs="宋体"/>
                <w:b/>
                <w:bCs/>
                <w:color w:val="auto"/>
                <w:szCs w:val="21"/>
              </w:rPr>
              <w:t>评审</w:t>
            </w:r>
            <w:r>
              <w:rPr>
                <w:rFonts w:ascii="宋体" w:hAnsi="宋体" w:cs="宋体"/>
                <w:b/>
                <w:bCs/>
                <w:color w:val="auto"/>
                <w:szCs w:val="21"/>
              </w:rPr>
              <w:t>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35" w:type="dxa"/>
            <w:vMerge w:val="restart"/>
            <w:tcBorders>
              <w:top w:val="single" w:color="auto" w:sz="4" w:space="0"/>
              <w:left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二、技术部分（</w:t>
            </w:r>
            <w:r>
              <w:rPr>
                <w:rFonts w:hint="eastAsia" w:ascii="宋体" w:hAnsi="宋体"/>
                <w:color w:val="auto"/>
                <w:szCs w:val="21"/>
                <w:lang w:val="en-US" w:eastAsia="zh-CN"/>
              </w:rPr>
              <w:t>7</w:t>
            </w:r>
            <w:r>
              <w:rPr>
                <w:rFonts w:hint="eastAsia"/>
                <w:color w:val="auto"/>
                <w:szCs w:val="21"/>
                <w:lang w:val="en-US" w:eastAsia="zh-CN"/>
              </w:rPr>
              <w:t>5</w:t>
            </w:r>
            <w:r>
              <w:rPr>
                <w:rFonts w:hint="eastAsia" w:ascii="宋体" w:hAnsi="宋体"/>
                <w:color w:val="auto"/>
                <w:szCs w:val="21"/>
              </w:rPr>
              <w:t>分）</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szCs w:val="21"/>
                <w:lang w:val="en-US" w:eastAsia="zh-CN"/>
              </w:rPr>
            </w:pPr>
            <w:r>
              <w:rPr>
                <w:rFonts w:hint="eastAsia" w:ascii="宋体" w:hAnsi="宋体"/>
                <w:color w:val="auto"/>
                <w:szCs w:val="21"/>
                <w:lang w:val="en-US" w:eastAsia="zh-CN"/>
              </w:rPr>
              <w:t>服务</w:t>
            </w:r>
            <w:r>
              <w:rPr>
                <w:rFonts w:hint="eastAsia" w:ascii="宋体" w:hAnsi="宋体"/>
                <w:color w:val="auto"/>
                <w:szCs w:val="21"/>
              </w:rPr>
              <w:t>方案</w:t>
            </w:r>
          </w:p>
          <w:p>
            <w:pPr>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30分</w:t>
            </w:r>
            <w:r>
              <w:rPr>
                <w:rFonts w:hint="eastAsia" w:ascii="宋体" w:hAnsi="宋体"/>
                <w:color w:val="auto"/>
                <w:szCs w:val="21"/>
              </w:rPr>
              <w:t>）</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ascii="宋体" w:hAnsi="宋体"/>
                <w:color w:val="auto"/>
              </w:rPr>
              <w:t>针对本项目制定详细的项目服务方案和工作进度安排，根据方案的周密性、先进性、可行性，进度安排的合理性、科学性，以及 确保项目服务方案和工作进度落实的配套措施进行综合评价</w:t>
            </w:r>
          </w:p>
          <w:p>
            <w:pPr>
              <w:rPr>
                <w:rFonts w:ascii="宋体" w:hAnsi="宋体"/>
                <w:color w:val="auto"/>
              </w:rPr>
            </w:pPr>
            <w:r>
              <w:rPr>
                <w:rFonts w:hint="eastAsia" w:ascii="宋体" w:hAnsi="宋体"/>
                <w:color w:val="auto"/>
              </w:rPr>
              <w:t>第一档：</w:t>
            </w:r>
            <w:r>
              <w:rPr>
                <w:rFonts w:hint="eastAsia" w:ascii="宋体" w:hAnsi="宋体"/>
                <w:color w:val="auto"/>
                <w:lang w:eastAsia="zh-CN"/>
              </w:rPr>
              <w:t>全面详细，可实施性强</w:t>
            </w:r>
            <w:r>
              <w:rPr>
                <w:rFonts w:hint="eastAsia" w:ascii="宋体" w:hAnsi="宋体"/>
                <w:color w:val="auto"/>
              </w:rPr>
              <w:t>的得</w:t>
            </w:r>
            <w:r>
              <w:rPr>
                <w:rFonts w:hint="eastAsia" w:ascii="宋体" w:hAnsi="宋体"/>
                <w:color w:val="auto"/>
                <w:lang w:val="en-US" w:eastAsia="zh-CN"/>
              </w:rPr>
              <w:t>30</w:t>
            </w:r>
            <w:r>
              <w:rPr>
                <w:rFonts w:hint="eastAsia" w:ascii="宋体" w:hAnsi="宋体"/>
                <w:color w:val="auto"/>
              </w:rPr>
              <w:t>分；</w:t>
            </w:r>
          </w:p>
          <w:p>
            <w:pPr>
              <w:rPr>
                <w:rFonts w:ascii="宋体" w:hAnsi="宋体"/>
                <w:color w:val="auto"/>
              </w:rPr>
            </w:pPr>
            <w:r>
              <w:rPr>
                <w:rFonts w:hint="eastAsia" w:ascii="宋体" w:hAnsi="宋体"/>
                <w:color w:val="auto"/>
              </w:rPr>
              <w:t>第二档：</w:t>
            </w:r>
            <w:r>
              <w:rPr>
                <w:rFonts w:hint="eastAsia" w:ascii="宋体" w:hAnsi="宋体"/>
                <w:color w:val="auto"/>
                <w:lang w:eastAsia="zh-CN"/>
              </w:rPr>
              <w:t>全面合理，切实可行</w:t>
            </w:r>
            <w:r>
              <w:rPr>
                <w:rFonts w:hint="eastAsia" w:ascii="宋体" w:hAnsi="宋体"/>
                <w:color w:val="auto"/>
              </w:rPr>
              <w:t>的得</w:t>
            </w:r>
            <w:r>
              <w:rPr>
                <w:rFonts w:hint="eastAsia" w:ascii="宋体" w:hAnsi="宋体"/>
                <w:color w:val="auto"/>
                <w:lang w:val="en-US" w:eastAsia="zh-CN"/>
              </w:rPr>
              <w:t>2</w:t>
            </w:r>
            <w:r>
              <w:rPr>
                <w:rFonts w:hint="eastAsia"/>
                <w:color w:val="auto"/>
                <w:lang w:val="en-US" w:eastAsia="zh-CN"/>
              </w:rPr>
              <w:t>0</w:t>
            </w:r>
            <w:r>
              <w:rPr>
                <w:rFonts w:hint="eastAsia" w:ascii="宋体" w:hAnsi="宋体"/>
                <w:color w:val="auto"/>
              </w:rPr>
              <w:t>分；</w:t>
            </w:r>
          </w:p>
          <w:p>
            <w:pPr>
              <w:rPr>
                <w:rFonts w:ascii="宋体" w:hAnsi="宋体"/>
                <w:color w:val="auto"/>
              </w:rPr>
            </w:pPr>
            <w:r>
              <w:rPr>
                <w:rFonts w:hint="eastAsia" w:ascii="宋体" w:hAnsi="宋体"/>
                <w:color w:val="auto"/>
              </w:rPr>
              <w:t>第三档：</w:t>
            </w:r>
            <w:r>
              <w:rPr>
                <w:rFonts w:hint="eastAsia" w:ascii="宋体" w:hAnsi="宋体"/>
                <w:color w:val="auto"/>
                <w:lang w:eastAsia="zh-CN"/>
              </w:rPr>
              <w:t>合理准确，适用可行的</w:t>
            </w:r>
            <w:r>
              <w:rPr>
                <w:rFonts w:hint="eastAsia" w:ascii="宋体" w:hAnsi="宋体"/>
                <w:color w:val="auto"/>
              </w:rPr>
              <w:t>得</w:t>
            </w:r>
            <w:r>
              <w:rPr>
                <w:rFonts w:hint="eastAsia" w:ascii="宋体" w:hAnsi="宋体"/>
                <w:color w:val="auto"/>
                <w:lang w:val="en-US" w:eastAsia="zh-CN"/>
              </w:rPr>
              <w:t>1</w:t>
            </w:r>
            <w:r>
              <w:rPr>
                <w:rFonts w:hint="eastAsia"/>
                <w:color w:val="auto"/>
                <w:lang w:val="en-US" w:eastAsia="zh-CN"/>
              </w:rPr>
              <w:t>0</w:t>
            </w:r>
            <w:r>
              <w:rPr>
                <w:rFonts w:hint="eastAsia" w:ascii="宋体" w:hAnsi="宋体"/>
                <w:color w:val="auto"/>
              </w:rPr>
              <w:t>分；</w:t>
            </w:r>
          </w:p>
          <w:p>
            <w:pPr>
              <w:rPr>
                <w:rFonts w:hint="eastAsia" w:ascii="宋体" w:hAnsi="宋体" w:eastAsia="宋体"/>
                <w:color w:val="auto"/>
                <w:lang w:eastAsia="zh-CN"/>
              </w:rPr>
            </w:pPr>
            <w:r>
              <w:rPr>
                <w:rFonts w:hint="eastAsia" w:ascii="宋体" w:hAnsi="宋体"/>
                <w:color w:val="auto"/>
              </w:rPr>
              <w:t>第四档：基本</w:t>
            </w:r>
            <w:r>
              <w:rPr>
                <w:rFonts w:hint="eastAsia" w:ascii="宋体" w:hAnsi="宋体"/>
                <w:color w:val="auto"/>
                <w:lang w:eastAsia="zh-CN"/>
              </w:rPr>
              <w:t>可行</w:t>
            </w:r>
            <w:r>
              <w:rPr>
                <w:rFonts w:hint="eastAsia" w:ascii="宋体" w:hAnsi="宋体"/>
                <w:color w:val="auto"/>
              </w:rPr>
              <w:t>的得</w:t>
            </w:r>
            <w:r>
              <w:rPr>
                <w:rFonts w:hint="eastAsia" w:ascii="宋体" w:hAnsi="宋体"/>
                <w:color w:val="auto"/>
                <w:lang w:val="en-US" w:eastAsia="zh-CN"/>
              </w:rPr>
              <w:t>5</w:t>
            </w:r>
            <w:r>
              <w:rPr>
                <w:rFonts w:hint="eastAsia" w:ascii="宋体" w:hAnsi="宋体"/>
                <w:color w:val="auto"/>
              </w:rPr>
              <w:t>分</w:t>
            </w:r>
            <w:r>
              <w:rPr>
                <w:rFonts w:hint="eastAsia" w:ascii="宋体" w:hAnsi="宋体"/>
                <w:color w:val="auto"/>
                <w:lang w:eastAsia="zh-CN"/>
              </w:rPr>
              <w:t>；</w:t>
            </w:r>
          </w:p>
          <w:p>
            <w:pPr>
              <w:rPr>
                <w:rFonts w:ascii="宋体" w:hAnsi="宋体"/>
                <w:color w:val="auto"/>
              </w:rPr>
            </w:pPr>
            <w:r>
              <w:rPr>
                <w:rFonts w:hint="eastAsia" w:ascii="宋体" w:hAnsi="宋体"/>
                <w:color w:val="auto"/>
              </w:rPr>
              <w:t>第五档：不提供不得分。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6" w:hRule="atLeast"/>
        </w:trPr>
        <w:tc>
          <w:tcPr>
            <w:tcW w:w="1435" w:type="dxa"/>
            <w:vMerge w:val="continue"/>
            <w:tcBorders>
              <w:left w:val="single" w:color="auto" w:sz="4" w:space="0"/>
              <w:right w:val="single" w:color="auto" w:sz="4" w:space="0"/>
            </w:tcBorders>
            <w:noWrap w:val="0"/>
            <w:vAlign w:val="center"/>
          </w:tcPr>
          <w:p>
            <w:pPr>
              <w:rPr>
                <w:rFonts w:ascii="宋体" w:hAnsi="宋体"/>
                <w:color w:val="auto"/>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管理和服务人员配置</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(15分) </w:t>
            </w:r>
          </w:p>
          <w:p>
            <w:pPr>
              <w:pStyle w:val="18"/>
              <w:rPr>
                <w:rFonts w:hint="eastAsia"/>
                <w:color w:val="auto"/>
                <w:lang w:val="en-US" w:eastAsia="zh-CN"/>
              </w:rPr>
            </w:pP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lang w:val="en-US" w:eastAsia="zh-CN"/>
              </w:rPr>
            </w:pPr>
            <w:r>
              <w:rPr>
                <w:rFonts w:hint="eastAsia"/>
                <w:color w:val="auto"/>
                <w:lang w:val="en-US" w:eastAsia="zh-CN"/>
              </w:rPr>
              <w:t xml:space="preserve">按照项目的实际需要配置合适的管理服务人员，对各岗位人员制订出相应的岗位职责和条件，列出所配备人员具备的技能或工作经历，明确人员的工作和责任范围。 </w:t>
            </w:r>
          </w:p>
          <w:p>
            <w:pPr>
              <w:rPr>
                <w:rFonts w:hint="eastAsia"/>
                <w:color w:val="auto"/>
              </w:rPr>
            </w:pPr>
            <w:r>
              <w:rPr>
                <w:rFonts w:hint="eastAsia" w:ascii="宋体" w:hAnsi="宋体"/>
                <w:color w:val="auto"/>
              </w:rPr>
              <w:t>第一档</w:t>
            </w:r>
            <w:r>
              <w:rPr>
                <w:rFonts w:hint="eastAsia" w:ascii="宋体" w:hAnsi="宋体"/>
                <w:color w:val="auto"/>
                <w:lang w:eastAsia="zh-CN"/>
              </w:rPr>
              <w:t>：</w:t>
            </w:r>
            <w:r>
              <w:rPr>
                <w:rFonts w:hint="eastAsia"/>
                <w:color w:val="auto"/>
                <w:lang w:val="en-US" w:eastAsia="zh-CN"/>
              </w:rPr>
              <w:t xml:space="preserve">配备人员合理，工作经验丰富、具备技能符合要求，并对工作和责任范围进行详细介绍的，得15分； </w:t>
            </w:r>
          </w:p>
          <w:p>
            <w:pPr>
              <w:rPr>
                <w:rFonts w:hint="eastAsia"/>
                <w:color w:val="auto"/>
              </w:rPr>
            </w:pPr>
            <w:r>
              <w:rPr>
                <w:rFonts w:hint="eastAsia" w:ascii="宋体" w:hAnsi="宋体"/>
                <w:color w:val="auto"/>
              </w:rPr>
              <w:t>第</w:t>
            </w:r>
            <w:r>
              <w:rPr>
                <w:rFonts w:hint="eastAsia" w:ascii="宋体" w:hAnsi="宋体"/>
                <w:color w:val="auto"/>
                <w:lang w:val="en-US" w:eastAsia="zh-CN"/>
              </w:rPr>
              <w:t>二</w:t>
            </w:r>
            <w:r>
              <w:rPr>
                <w:rFonts w:hint="eastAsia" w:ascii="宋体" w:hAnsi="宋体"/>
                <w:color w:val="auto"/>
              </w:rPr>
              <w:t>档</w:t>
            </w:r>
            <w:r>
              <w:rPr>
                <w:rFonts w:hint="eastAsia" w:ascii="宋体" w:hAnsi="宋体"/>
                <w:color w:val="auto"/>
                <w:lang w:eastAsia="zh-CN"/>
              </w:rPr>
              <w:t>：</w:t>
            </w:r>
            <w:r>
              <w:rPr>
                <w:rFonts w:hint="eastAsia"/>
                <w:color w:val="auto"/>
                <w:lang w:val="en-US" w:eastAsia="zh-CN"/>
              </w:rPr>
              <w:t xml:space="preserve">配备人员较合理，有一定工作经验、具备技能符合要求， </w:t>
            </w:r>
          </w:p>
          <w:p>
            <w:pPr>
              <w:rPr>
                <w:rFonts w:hint="eastAsia"/>
                <w:color w:val="auto"/>
              </w:rPr>
            </w:pPr>
            <w:r>
              <w:rPr>
                <w:rFonts w:hint="eastAsia"/>
                <w:color w:val="auto"/>
                <w:lang w:val="en-US" w:eastAsia="zh-CN"/>
              </w:rPr>
              <w:t xml:space="preserve">并对工作和责任范围进行介绍的，得11分； </w:t>
            </w:r>
          </w:p>
          <w:p>
            <w:pPr>
              <w:rPr>
                <w:rFonts w:hint="eastAsia"/>
                <w:color w:val="auto"/>
              </w:rPr>
            </w:pP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档</w:t>
            </w:r>
            <w:r>
              <w:rPr>
                <w:rFonts w:hint="eastAsia" w:ascii="宋体" w:hAnsi="宋体"/>
                <w:color w:val="auto"/>
                <w:lang w:eastAsia="zh-CN"/>
              </w:rPr>
              <w:t>：</w:t>
            </w:r>
            <w:r>
              <w:rPr>
                <w:rFonts w:hint="eastAsia"/>
                <w:color w:val="auto"/>
                <w:lang w:val="en-US" w:eastAsia="zh-CN"/>
              </w:rPr>
              <w:t xml:space="preserve">配备人员基本符合要求，有一定工作经验、具备技能基 </w:t>
            </w:r>
          </w:p>
          <w:p>
            <w:pPr>
              <w:rPr>
                <w:rFonts w:hint="eastAsia"/>
                <w:color w:val="auto"/>
              </w:rPr>
            </w:pPr>
            <w:r>
              <w:rPr>
                <w:rFonts w:hint="eastAsia"/>
                <w:color w:val="auto"/>
                <w:lang w:val="en-US" w:eastAsia="zh-CN"/>
              </w:rPr>
              <w:t xml:space="preserve">本符合要求，并对工作和责任范围进行一般介绍的，得 7分； </w:t>
            </w:r>
          </w:p>
          <w:p>
            <w:pPr>
              <w:rPr>
                <w:rFonts w:hint="default"/>
                <w:color w:val="auto"/>
                <w:lang w:val="en-US" w:eastAsia="zh-CN"/>
              </w:rPr>
            </w:pPr>
            <w:r>
              <w:rPr>
                <w:rFonts w:hint="eastAsia" w:ascii="宋体" w:hAnsi="宋体"/>
                <w:color w:val="auto"/>
              </w:rPr>
              <w:t>第</w:t>
            </w:r>
            <w:r>
              <w:rPr>
                <w:rFonts w:hint="eastAsia" w:ascii="宋体" w:hAnsi="宋体"/>
                <w:color w:val="auto"/>
                <w:lang w:val="en-US" w:eastAsia="zh-CN"/>
              </w:rPr>
              <w:t>四</w:t>
            </w:r>
            <w:r>
              <w:rPr>
                <w:rFonts w:hint="eastAsia" w:ascii="宋体" w:hAnsi="宋体"/>
                <w:color w:val="auto"/>
              </w:rPr>
              <w:t>档</w:t>
            </w:r>
            <w:r>
              <w:rPr>
                <w:rFonts w:hint="eastAsia" w:ascii="宋体" w:hAnsi="宋体"/>
                <w:color w:val="auto"/>
                <w:lang w:eastAsia="zh-CN"/>
              </w:rPr>
              <w:t>：</w:t>
            </w:r>
            <w:r>
              <w:rPr>
                <w:rFonts w:hint="eastAsia" w:ascii="宋体" w:hAnsi="宋体"/>
                <w:color w:val="auto"/>
                <w:lang w:val="en-US" w:eastAsia="zh-CN"/>
              </w:rPr>
              <w:t>基本可行、</w:t>
            </w:r>
            <w:r>
              <w:rPr>
                <w:rFonts w:hint="eastAsia"/>
                <w:color w:val="auto"/>
                <w:lang w:val="en-US" w:eastAsia="zh-CN"/>
              </w:rPr>
              <w:t>并对部分工作和责任范围进行介绍的，得3分；</w:t>
            </w:r>
          </w:p>
          <w:p>
            <w:pPr>
              <w:pStyle w:val="7"/>
              <w:rPr>
                <w:rFonts w:hint="default"/>
                <w:lang w:val="en-US"/>
              </w:rPr>
            </w:pPr>
            <w:r>
              <w:rPr>
                <w:rFonts w:hint="eastAsia" w:ascii="宋体" w:hAnsi="宋体"/>
                <w:color w:val="auto"/>
              </w:rPr>
              <w:t>第五档：不提供不得分。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35" w:type="dxa"/>
            <w:vMerge w:val="continue"/>
            <w:tcBorders>
              <w:left w:val="single" w:color="auto" w:sz="4" w:space="0"/>
              <w:right w:val="single" w:color="auto" w:sz="4" w:space="0"/>
            </w:tcBorders>
            <w:noWrap w:val="0"/>
            <w:vAlign w:val="center"/>
          </w:tcPr>
          <w:p>
            <w:pPr>
              <w:rPr>
                <w:rFonts w:ascii="宋体" w:hAnsi="宋体"/>
                <w:color w:val="auto"/>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分析本物业管理项目的管理特点</w:t>
            </w:r>
          </w:p>
          <w:p>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(1</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p>
            <w:pPr>
              <w:pStyle w:val="18"/>
              <w:rPr>
                <w:rFonts w:hint="eastAsia"/>
                <w:color w:val="auto"/>
                <w:lang w:val="en-US" w:eastAsia="zh-CN"/>
              </w:rPr>
            </w:pP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通过对本物业建筑架构、配套设施、周边环境等方面进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行分析、综合其布局、功能上的特点，列出本物业管理 </w:t>
            </w:r>
          </w:p>
          <w:p>
            <w:pPr>
              <w:keepNext w:val="0"/>
              <w:keepLines w:val="0"/>
              <w:widowControl/>
              <w:suppressLineNumbers w:val="0"/>
              <w:jc w:val="left"/>
              <w:rPr>
                <w:rFonts w:hint="eastAsia" w:ascii="宋体" w:hAnsi="宋体"/>
                <w:color w:val="auto"/>
              </w:rPr>
            </w:pPr>
            <w:r>
              <w:rPr>
                <w:rFonts w:hint="eastAsia" w:ascii="宋体" w:hAnsi="宋体" w:eastAsia="宋体" w:cs="宋体"/>
                <w:color w:val="000000"/>
                <w:kern w:val="0"/>
                <w:sz w:val="21"/>
                <w:szCs w:val="21"/>
                <w:lang w:val="en-US" w:eastAsia="zh-CN" w:bidi="ar"/>
              </w:rPr>
              <w:t>上的难点，提出相应的管理措施。</w:t>
            </w:r>
          </w:p>
          <w:p>
            <w:pPr>
              <w:rPr>
                <w:rFonts w:ascii="宋体" w:hAnsi="宋体"/>
                <w:color w:val="auto"/>
              </w:rPr>
            </w:pPr>
            <w:r>
              <w:rPr>
                <w:rFonts w:hint="eastAsia" w:ascii="宋体" w:hAnsi="宋体"/>
                <w:color w:val="auto"/>
              </w:rPr>
              <w:t>第一档：</w:t>
            </w:r>
            <w:r>
              <w:rPr>
                <w:rFonts w:hint="eastAsia" w:ascii="宋体" w:hAnsi="宋体"/>
                <w:color w:val="auto"/>
                <w:lang w:eastAsia="zh-CN"/>
              </w:rPr>
              <w:t>全面详细，可实施性强</w:t>
            </w:r>
            <w:r>
              <w:rPr>
                <w:rFonts w:hint="eastAsia" w:ascii="宋体" w:hAnsi="宋体"/>
                <w:color w:val="auto"/>
              </w:rPr>
              <w:t>的得</w:t>
            </w:r>
            <w:r>
              <w:rPr>
                <w:rFonts w:hint="eastAsia" w:ascii="宋体" w:hAnsi="宋体"/>
                <w:color w:val="auto"/>
                <w:lang w:val="en-US" w:eastAsia="zh-CN"/>
              </w:rPr>
              <w:t>1</w:t>
            </w:r>
            <w:r>
              <w:rPr>
                <w:rFonts w:hint="eastAsia"/>
                <w:color w:val="auto"/>
                <w:lang w:val="en-US" w:eastAsia="zh-CN"/>
              </w:rPr>
              <w:t>5</w:t>
            </w:r>
            <w:r>
              <w:rPr>
                <w:rFonts w:hint="eastAsia" w:ascii="宋体" w:hAnsi="宋体"/>
                <w:color w:val="auto"/>
              </w:rPr>
              <w:t>分；</w:t>
            </w:r>
          </w:p>
          <w:p>
            <w:pPr>
              <w:rPr>
                <w:rFonts w:ascii="宋体" w:hAnsi="宋体"/>
                <w:color w:val="auto"/>
              </w:rPr>
            </w:pPr>
            <w:r>
              <w:rPr>
                <w:rFonts w:hint="eastAsia" w:ascii="宋体" w:hAnsi="宋体"/>
                <w:color w:val="auto"/>
              </w:rPr>
              <w:t>第二档：</w:t>
            </w:r>
            <w:r>
              <w:rPr>
                <w:rFonts w:hint="eastAsia" w:ascii="宋体" w:hAnsi="宋体"/>
                <w:color w:val="auto"/>
                <w:lang w:eastAsia="zh-CN"/>
              </w:rPr>
              <w:t>全面合理，切实可行</w:t>
            </w:r>
            <w:r>
              <w:rPr>
                <w:rFonts w:hint="eastAsia" w:ascii="宋体" w:hAnsi="宋体"/>
                <w:color w:val="auto"/>
              </w:rPr>
              <w:t>的得</w:t>
            </w:r>
            <w:r>
              <w:rPr>
                <w:rFonts w:hint="eastAsia"/>
                <w:color w:val="auto"/>
                <w:lang w:val="en-US" w:eastAsia="zh-CN"/>
              </w:rPr>
              <w:t>11</w:t>
            </w:r>
            <w:r>
              <w:rPr>
                <w:rFonts w:hint="eastAsia" w:ascii="宋体" w:hAnsi="宋体"/>
                <w:color w:val="auto"/>
              </w:rPr>
              <w:t>分；</w:t>
            </w:r>
          </w:p>
          <w:p>
            <w:pPr>
              <w:rPr>
                <w:rFonts w:ascii="宋体" w:hAnsi="宋体"/>
                <w:color w:val="auto"/>
              </w:rPr>
            </w:pPr>
            <w:r>
              <w:rPr>
                <w:rFonts w:hint="eastAsia" w:ascii="宋体" w:hAnsi="宋体"/>
                <w:color w:val="auto"/>
              </w:rPr>
              <w:t>第三档：</w:t>
            </w:r>
            <w:r>
              <w:rPr>
                <w:rFonts w:hint="eastAsia" w:ascii="宋体" w:hAnsi="宋体"/>
                <w:color w:val="auto"/>
                <w:lang w:eastAsia="zh-CN"/>
              </w:rPr>
              <w:t>合理准确，适用可行的</w:t>
            </w:r>
            <w:r>
              <w:rPr>
                <w:rFonts w:hint="eastAsia" w:ascii="宋体" w:hAnsi="宋体"/>
                <w:color w:val="auto"/>
              </w:rPr>
              <w:t>得</w:t>
            </w:r>
            <w:r>
              <w:rPr>
                <w:rFonts w:hint="eastAsia"/>
                <w:color w:val="auto"/>
                <w:lang w:val="en-US" w:eastAsia="zh-CN"/>
              </w:rPr>
              <w:t>7</w:t>
            </w:r>
            <w:r>
              <w:rPr>
                <w:rFonts w:hint="eastAsia" w:ascii="宋体" w:hAnsi="宋体"/>
                <w:color w:val="auto"/>
              </w:rPr>
              <w:t>分；</w:t>
            </w:r>
          </w:p>
          <w:p>
            <w:pPr>
              <w:rPr>
                <w:rFonts w:hint="eastAsia" w:ascii="宋体" w:hAnsi="宋体" w:eastAsia="宋体"/>
                <w:color w:val="auto"/>
                <w:lang w:eastAsia="zh-CN"/>
              </w:rPr>
            </w:pPr>
            <w:r>
              <w:rPr>
                <w:rFonts w:hint="eastAsia" w:ascii="宋体" w:hAnsi="宋体"/>
                <w:color w:val="auto"/>
              </w:rPr>
              <w:t>第四档：基本</w:t>
            </w:r>
            <w:r>
              <w:rPr>
                <w:rFonts w:hint="eastAsia" w:ascii="宋体" w:hAnsi="宋体"/>
                <w:color w:val="auto"/>
                <w:lang w:eastAsia="zh-CN"/>
              </w:rPr>
              <w:t>可行</w:t>
            </w:r>
            <w:r>
              <w:rPr>
                <w:rFonts w:hint="eastAsia" w:ascii="宋体" w:hAnsi="宋体"/>
                <w:color w:val="auto"/>
              </w:rPr>
              <w:t>的得</w:t>
            </w:r>
            <w:r>
              <w:rPr>
                <w:rFonts w:hint="eastAsia"/>
                <w:color w:val="auto"/>
                <w:lang w:val="en-US" w:eastAsia="zh-CN"/>
              </w:rPr>
              <w:t>3</w:t>
            </w:r>
            <w:r>
              <w:rPr>
                <w:rFonts w:hint="eastAsia" w:ascii="宋体" w:hAnsi="宋体"/>
                <w:color w:val="auto"/>
              </w:rPr>
              <w:t>分</w:t>
            </w:r>
            <w:r>
              <w:rPr>
                <w:rFonts w:hint="eastAsia" w:ascii="宋体" w:hAnsi="宋体"/>
                <w:color w:val="auto"/>
                <w:lang w:eastAsia="zh-CN"/>
              </w:rPr>
              <w:t>；</w:t>
            </w:r>
          </w:p>
          <w:p>
            <w:pPr>
              <w:pStyle w:val="7"/>
              <w:rPr>
                <w:rFonts w:hint="eastAsia" w:ascii="宋体" w:hAnsi="宋体"/>
                <w:color w:val="auto"/>
              </w:rPr>
            </w:pPr>
            <w:r>
              <w:rPr>
                <w:rFonts w:hint="eastAsia" w:ascii="宋体" w:hAnsi="宋体" w:eastAsia="宋体" w:cs="宋体"/>
                <w:color w:val="auto"/>
                <w:kern w:val="2"/>
                <w:sz w:val="21"/>
                <w:szCs w:val="21"/>
                <w:lang w:val="en-US" w:eastAsia="zh-CN" w:bidi="ar-SA"/>
              </w:rPr>
              <w:t>第五档：不提供不得分。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35" w:type="dxa"/>
            <w:vMerge w:val="continue"/>
            <w:tcBorders>
              <w:left w:val="single" w:color="auto" w:sz="4" w:space="0"/>
              <w:right w:val="single" w:color="auto" w:sz="4" w:space="0"/>
            </w:tcBorders>
            <w:noWrap w:val="0"/>
            <w:vAlign w:val="center"/>
          </w:tcPr>
          <w:p>
            <w:pPr>
              <w:rPr>
                <w:rFonts w:ascii="宋体" w:hAnsi="宋体"/>
                <w:color w:val="auto"/>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pStyle w:val="1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管理服务应急措施</w:t>
            </w:r>
          </w:p>
          <w:p>
            <w:pPr>
              <w:pStyle w:val="18"/>
              <w:rPr>
                <w:rFonts w:hint="default"/>
                <w:color w:val="auto"/>
                <w:lang w:val="en-US" w:eastAsia="zh-CN"/>
              </w:rPr>
            </w:pPr>
            <w:r>
              <w:rPr>
                <w:rFonts w:hint="eastAsia" w:ascii="宋体" w:hAnsi="宋体" w:eastAsia="宋体" w:cs="宋体"/>
                <w:color w:val="auto"/>
                <w:kern w:val="2"/>
                <w:sz w:val="21"/>
                <w:szCs w:val="21"/>
                <w:lang w:val="en-US" w:eastAsia="zh-CN" w:bidi="ar-SA"/>
              </w:rPr>
              <w:t>（15分）</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对服务期间发生的消防、公共安全、公共卫生等方面的突发事件的 </w:t>
            </w:r>
          </w:p>
          <w:p>
            <w:pPr>
              <w:keepNext w:val="0"/>
              <w:keepLines w:val="0"/>
              <w:widowControl/>
              <w:suppressLineNumbers w:val="0"/>
              <w:jc w:val="left"/>
              <w:rPr>
                <w:rFonts w:hint="eastAsia" w:eastAsia="宋体"/>
                <w:lang w:val="en-US" w:eastAsia="zh-CN"/>
              </w:rPr>
            </w:pPr>
            <w:r>
              <w:rPr>
                <w:rFonts w:hint="eastAsia" w:ascii="宋体" w:hAnsi="宋体" w:eastAsia="宋体" w:cs="宋体"/>
                <w:color w:val="000000"/>
                <w:kern w:val="0"/>
                <w:sz w:val="21"/>
                <w:szCs w:val="21"/>
                <w:lang w:val="en-US" w:eastAsia="zh-CN" w:bidi="ar"/>
              </w:rPr>
              <w:t>应急预案和处理措施</w:t>
            </w:r>
            <w:r>
              <w:rPr>
                <w:rFonts w:hint="eastAsia"/>
                <w:color w:val="auto"/>
              </w:rPr>
              <w:t>进行横向对比、综合评价</w:t>
            </w:r>
            <w:r>
              <w:rPr>
                <w:rFonts w:hint="eastAsia"/>
                <w:color w:val="auto"/>
                <w:lang w:eastAsia="zh-CN"/>
              </w:rPr>
              <w:t>。</w:t>
            </w:r>
          </w:p>
          <w:p>
            <w:pPr>
              <w:jc w:val="left"/>
              <w:rPr>
                <w:color w:val="auto"/>
              </w:rPr>
            </w:pPr>
            <w:r>
              <w:rPr>
                <w:rFonts w:hint="eastAsia"/>
                <w:color w:val="auto"/>
              </w:rPr>
              <w:t>第一档：全面、可实施性强得</w:t>
            </w:r>
            <w:r>
              <w:rPr>
                <w:rFonts w:hint="eastAsia"/>
                <w:color w:val="auto"/>
                <w:lang w:val="en-US" w:eastAsia="zh-CN"/>
              </w:rPr>
              <w:t>15分</w:t>
            </w:r>
            <w:r>
              <w:rPr>
                <w:rFonts w:hint="eastAsia"/>
                <w:color w:val="auto"/>
              </w:rPr>
              <w:t>。</w:t>
            </w:r>
          </w:p>
          <w:p>
            <w:pPr>
              <w:jc w:val="left"/>
              <w:rPr>
                <w:color w:val="auto"/>
              </w:rPr>
            </w:pPr>
            <w:r>
              <w:rPr>
                <w:rFonts w:hint="eastAsia"/>
                <w:color w:val="auto"/>
              </w:rPr>
              <w:t>第二档：适用的、先进的得</w:t>
            </w:r>
            <w:r>
              <w:rPr>
                <w:rFonts w:hint="eastAsia"/>
                <w:color w:val="auto"/>
                <w:lang w:val="en-US" w:eastAsia="zh-CN"/>
              </w:rPr>
              <w:t>11</w:t>
            </w:r>
            <w:r>
              <w:rPr>
                <w:rFonts w:hint="eastAsia"/>
                <w:color w:val="auto"/>
              </w:rPr>
              <w:t>分。</w:t>
            </w:r>
          </w:p>
          <w:p>
            <w:pPr>
              <w:jc w:val="left"/>
              <w:rPr>
                <w:color w:val="auto"/>
              </w:rPr>
            </w:pPr>
            <w:r>
              <w:rPr>
                <w:rFonts w:hint="eastAsia"/>
                <w:color w:val="auto"/>
              </w:rPr>
              <w:t>第三档：</w:t>
            </w:r>
            <w:r>
              <w:rPr>
                <w:rFonts w:hint="eastAsia"/>
                <w:color w:val="auto"/>
                <w:lang w:eastAsia="zh-CN"/>
              </w:rPr>
              <w:t>适用</w:t>
            </w:r>
            <w:r>
              <w:rPr>
                <w:rFonts w:hint="eastAsia"/>
                <w:color w:val="auto"/>
              </w:rPr>
              <w:t>、可行的得</w:t>
            </w:r>
            <w:r>
              <w:rPr>
                <w:rFonts w:hint="eastAsia"/>
                <w:color w:val="auto"/>
                <w:lang w:val="en-US" w:eastAsia="zh-CN"/>
              </w:rPr>
              <w:t>7</w:t>
            </w:r>
            <w:r>
              <w:rPr>
                <w:rFonts w:hint="eastAsia"/>
                <w:color w:val="auto"/>
              </w:rPr>
              <w:t>分。</w:t>
            </w:r>
          </w:p>
          <w:p>
            <w:pPr>
              <w:jc w:val="left"/>
              <w:rPr>
                <w:rFonts w:hint="eastAsia"/>
                <w:color w:val="auto"/>
              </w:rPr>
            </w:pPr>
            <w:r>
              <w:rPr>
                <w:rFonts w:hint="eastAsia"/>
                <w:color w:val="auto"/>
              </w:rPr>
              <w:t>第四档：简单</w:t>
            </w:r>
            <w:r>
              <w:rPr>
                <w:rFonts w:hint="eastAsia"/>
                <w:color w:val="auto"/>
                <w:lang w:eastAsia="zh-CN"/>
              </w:rPr>
              <w:t>、</w:t>
            </w:r>
            <w:r>
              <w:rPr>
                <w:rFonts w:hint="eastAsia"/>
                <w:color w:val="auto"/>
                <w:lang w:val="en-US" w:eastAsia="zh-CN"/>
              </w:rPr>
              <w:t>合理的得3分</w:t>
            </w:r>
            <w:r>
              <w:rPr>
                <w:rFonts w:hint="eastAsia"/>
                <w:color w:val="auto"/>
              </w:rPr>
              <w:t>。</w:t>
            </w:r>
          </w:p>
          <w:p>
            <w:pPr>
              <w:pStyle w:val="7"/>
              <w:rPr>
                <w:rFonts w:hint="eastAsia" w:ascii="宋体" w:hAnsi="宋体"/>
                <w:color w:val="auto"/>
              </w:rPr>
            </w:pPr>
            <w:r>
              <w:rPr>
                <w:rFonts w:hint="eastAsia" w:ascii="Times New Roman" w:hAnsi="Times New Roman" w:eastAsia="宋体" w:cs="Times New Roman"/>
                <w:color w:val="auto"/>
                <w:kern w:val="2"/>
                <w:sz w:val="21"/>
                <w:szCs w:val="24"/>
                <w:lang w:val="en-US" w:eastAsia="zh-CN" w:bidi="ar-SA"/>
              </w:rPr>
              <w:t>第五档：没有提供不得分。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435" w:type="dxa"/>
            <w:tcBorders>
              <w:left w:val="single" w:color="auto" w:sz="4" w:space="0"/>
              <w:right w:val="single" w:color="auto" w:sz="4" w:space="0"/>
            </w:tcBorders>
            <w:noWrap w:val="0"/>
            <w:vAlign w:val="top"/>
          </w:tcPr>
          <w:p>
            <w:pPr>
              <w:rPr>
                <w:rFonts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三、综合部分（</w:t>
            </w:r>
            <w:r>
              <w:rPr>
                <w:rFonts w:hint="eastAsia"/>
                <w:color w:val="auto"/>
                <w:szCs w:val="21"/>
                <w:lang w:val="en-US" w:eastAsia="zh-CN"/>
              </w:rPr>
              <w:t>15</w:t>
            </w:r>
            <w:r>
              <w:rPr>
                <w:rFonts w:hint="eastAsia" w:ascii="宋体" w:hAnsi="宋体"/>
                <w:color w:val="auto"/>
                <w:szCs w:val="21"/>
              </w:rPr>
              <w:t>分）</w:t>
            </w:r>
          </w:p>
          <w:p>
            <w:pPr>
              <w:ind w:firstLine="480"/>
              <w:rPr>
                <w:rFonts w:ascii="宋体" w:hAnsi="宋体"/>
                <w:color w:val="auto"/>
                <w:szCs w:val="21"/>
              </w:rPr>
            </w:pPr>
          </w:p>
        </w:tc>
        <w:tc>
          <w:tcPr>
            <w:tcW w:w="1299" w:type="dxa"/>
            <w:tcBorders>
              <w:top w:val="single" w:color="auto" w:sz="4" w:space="0"/>
              <w:left w:val="single" w:color="auto" w:sz="4" w:space="0"/>
              <w:right w:val="single" w:color="auto" w:sz="4" w:space="0"/>
            </w:tcBorders>
            <w:noWrap w:val="0"/>
            <w:vAlign w:val="center"/>
          </w:tcPr>
          <w:p>
            <w:pPr>
              <w:jc w:val="left"/>
              <w:rPr>
                <w:rFonts w:hint="eastAsia" w:ascii="宋体" w:hAnsi="宋体"/>
                <w:color w:val="auto"/>
                <w:szCs w:val="21"/>
              </w:rPr>
            </w:pPr>
            <w:r>
              <w:rPr>
                <w:rFonts w:hint="eastAsia" w:ascii="宋体" w:hAnsi="宋体"/>
                <w:color w:val="auto"/>
                <w:szCs w:val="21"/>
              </w:rPr>
              <w:t>质量保证措施（</w:t>
            </w:r>
            <w:r>
              <w:rPr>
                <w:rFonts w:hint="eastAsia" w:ascii="宋体" w:hAnsi="宋体"/>
                <w:color w:val="auto"/>
                <w:szCs w:val="21"/>
                <w:lang w:val="en-US" w:eastAsia="zh-CN"/>
              </w:rPr>
              <w:t>15</w:t>
            </w:r>
            <w:r>
              <w:rPr>
                <w:rFonts w:hint="eastAsia" w:ascii="宋体" w:hAnsi="宋体"/>
                <w:color w:val="auto"/>
                <w:szCs w:val="21"/>
              </w:rPr>
              <w:t>分）</w:t>
            </w:r>
          </w:p>
        </w:tc>
        <w:tc>
          <w:tcPr>
            <w:tcW w:w="6333" w:type="dxa"/>
            <w:gridSpan w:val="2"/>
            <w:tcBorders>
              <w:top w:val="single" w:color="auto" w:sz="4" w:space="0"/>
              <w:left w:val="single" w:color="auto" w:sz="4" w:space="0"/>
              <w:right w:val="single" w:color="auto" w:sz="4" w:space="0"/>
            </w:tcBorders>
            <w:noWrap w:val="0"/>
            <w:vAlign w:val="center"/>
          </w:tcPr>
          <w:p>
            <w:pPr>
              <w:jc w:val="left"/>
              <w:rPr>
                <w:color w:val="auto"/>
              </w:rPr>
            </w:pPr>
            <w:r>
              <w:rPr>
                <w:rFonts w:hint="eastAsia"/>
                <w:color w:val="auto"/>
              </w:rPr>
              <w:t>评审小组据</w:t>
            </w:r>
            <w:r>
              <w:rPr>
                <w:rFonts w:hint="eastAsia"/>
                <w:color w:val="auto"/>
                <w:lang w:eastAsia="zh-CN"/>
              </w:rPr>
              <w:t>投标人</w:t>
            </w:r>
            <w:r>
              <w:rPr>
                <w:rFonts w:hint="eastAsia"/>
                <w:color w:val="auto"/>
              </w:rPr>
              <w:t>提供的</w:t>
            </w:r>
            <w:r>
              <w:rPr>
                <w:rFonts w:hint="eastAsia"/>
                <w:color w:val="auto"/>
                <w:lang w:eastAsia="zh-CN"/>
              </w:rPr>
              <w:t>服务</w:t>
            </w:r>
            <w:r>
              <w:rPr>
                <w:rFonts w:hint="eastAsia"/>
                <w:color w:val="auto"/>
              </w:rPr>
              <w:t>质量保证措施（包含但不限于项目质量</w:t>
            </w:r>
            <w:r>
              <w:rPr>
                <w:rFonts w:hint="eastAsia"/>
                <w:color w:val="auto"/>
                <w:lang w:val="en-US" w:eastAsia="zh-CN"/>
              </w:rPr>
              <w:t>保障</w:t>
            </w:r>
            <w:r>
              <w:rPr>
                <w:rFonts w:hint="eastAsia"/>
                <w:color w:val="auto"/>
              </w:rPr>
              <w:t>措施</w:t>
            </w:r>
            <w:r>
              <w:rPr>
                <w:rFonts w:hint="eastAsia"/>
                <w:color w:val="auto"/>
                <w:lang w:eastAsia="zh-CN"/>
              </w:rPr>
              <w:t>、</w:t>
            </w:r>
            <w:r>
              <w:rPr>
                <w:rFonts w:hint="eastAsia"/>
                <w:color w:val="auto"/>
                <w:lang w:val="en-US" w:eastAsia="zh-CN"/>
              </w:rPr>
              <w:t>售后服务承诺</w:t>
            </w:r>
            <w:r>
              <w:rPr>
                <w:rFonts w:hint="eastAsia"/>
                <w:color w:val="auto"/>
              </w:rPr>
              <w:t>等），进行横向对比、综合评价。</w:t>
            </w:r>
          </w:p>
          <w:p>
            <w:pPr>
              <w:jc w:val="left"/>
              <w:rPr>
                <w:color w:val="auto"/>
              </w:rPr>
            </w:pPr>
            <w:r>
              <w:rPr>
                <w:rFonts w:hint="eastAsia"/>
                <w:color w:val="auto"/>
              </w:rPr>
              <w:t>第一档：全面、可实施性强得</w:t>
            </w:r>
            <w:r>
              <w:rPr>
                <w:rFonts w:hint="eastAsia"/>
                <w:color w:val="auto"/>
                <w:lang w:val="en-US" w:eastAsia="zh-CN"/>
              </w:rPr>
              <w:t>15分</w:t>
            </w:r>
            <w:r>
              <w:rPr>
                <w:rFonts w:hint="eastAsia"/>
                <w:color w:val="auto"/>
              </w:rPr>
              <w:t>。</w:t>
            </w:r>
          </w:p>
          <w:p>
            <w:pPr>
              <w:jc w:val="left"/>
              <w:rPr>
                <w:color w:val="auto"/>
              </w:rPr>
            </w:pPr>
            <w:r>
              <w:rPr>
                <w:rFonts w:hint="eastAsia"/>
                <w:color w:val="auto"/>
              </w:rPr>
              <w:t>第二档：适用的、先进的得</w:t>
            </w:r>
            <w:r>
              <w:rPr>
                <w:rFonts w:hint="eastAsia"/>
                <w:color w:val="auto"/>
                <w:lang w:val="en-US" w:eastAsia="zh-CN"/>
              </w:rPr>
              <w:t>11</w:t>
            </w:r>
            <w:r>
              <w:rPr>
                <w:rFonts w:hint="eastAsia"/>
                <w:color w:val="auto"/>
              </w:rPr>
              <w:t>分。</w:t>
            </w:r>
          </w:p>
          <w:p>
            <w:pPr>
              <w:jc w:val="left"/>
              <w:rPr>
                <w:color w:val="auto"/>
              </w:rPr>
            </w:pPr>
            <w:r>
              <w:rPr>
                <w:rFonts w:hint="eastAsia"/>
                <w:color w:val="auto"/>
              </w:rPr>
              <w:t>第三档：</w:t>
            </w:r>
            <w:r>
              <w:rPr>
                <w:rFonts w:hint="eastAsia"/>
                <w:color w:val="auto"/>
                <w:lang w:eastAsia="zh-CN"/>
              </w:rPr>
              <w:t>适用</w:t>
            </w:r>
            <w:r>
              <w:rPr>
                <w:rFonts w:hint="eastAsia"/>
                <w:color w:val="auto"/>
              </w:rPr>
              <w:t>、可行的得</w:t>
            </w:r>
            <w:r>
              <w:rPr>
                <w:rFonts w:hint="eastAsia"/>
                <w:color w:val="auto"/>
                <w:lang w:val="en-US" w:eastAsia="zh-CN"/>
              </w:rPr>
              <w:t>7</w:t>
            </w:r>
            <w:r>
              <w:rPr>
                <w:rFonts w:hint="eastAsia"/>
                <w:color w:val="auto"/>
              </w:rPr>
              <w:t>分。</w:t>
            </w:r>
          </w:p>
          <w:p>
            <w:pPr>
              <w:jc w:val="left"/>
              <w:rPr>
                <w:rFonts w:hint="eastAsia"/>
                <w:color w:val="auto"/>
              </w:rPr>
            </w:pPr>
            <w:r>
              <w:rPr>
                <w:rFonts w:hint="eastAsia"/>
                <w:color w:val="auto"/>
              </w:rPr>
              <w:t>第四档：简单</w:t>
            </w:r>
            <w:r>
              <w:rPr>
                <w:rFonts w:hint="eastAsia"/>
                <w:color w:val="auto"/>
                <w:lang w:eastAsia="zh-CN"/>
              </w:rPr>
              <w:t>、</w:t>
            </w:r>
            <w:r>
              <w:rPr>
                <w:rFonts w:hint="eastAsia"/>
                <w:color w:val="auto"/>
                <w:lang w:val="en-US" w:eastAsia="zh-CN"/>
              </w:rPr>
              <w:t>合理的得3分</w:t>
            </w:r>
            <w:r>
              <w:rPr>
                <w:rFonts w:hint="eastAsia"/>
                <w:color w:val="auto"/>
              </w:rPr>
              <w:t>。</w:t>
            </w:r>
          </w:p>
          <w:p>
            <w:pPr>
              <w:pStyle w:val="18"/>
              <w:rPr>
                <w:rFonts w:hint="eastAsia" w:ascii="宋体" w:hAnsi="宋体"/>
                <w:color w:val="auto"/>
                <w:szCs w:val="21"/>
              </w:rPr>
            </w:pPr>
            <w:r>
              <w:rPr>
                <w:rFonts w:hint="eastAsia" w:ascii="Times New Roman" w:hAnsi="Times New Roman" w:eastAsia="宋体" w:cs="Times New Roman"/>
                <w:color w:val="auto"/>
                <w:kern w:val="2"/>
                <w:sz w:val="21"/>
                <w:szCs w:val="24"/>
                <w:lang w:val="en-US" w:eastAsia="zh-CN" w:bidi="ar-SA"/>
              </w:rPr>
              <w:t>第五档：没有提供不得分。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067" w:type="dxa"/>
            <w:gridSpan w:val="4"/>
            <w:tcBorders>
              <w:top w:val="single" w:color="auto" w:sz="4" w:space="0"/>
              <w:left w:val="single" w:color="auto" w:sz="4" w:space="0"/>
              <w:right w:val="single" w:color="auto" w:sz="4" w:space="0"/>
            </w:tcBorders>
            <w:noWrap w:val="0"/>
            <w:vAlign w:val="top"/>
          </w:tcPr>
          <w:p>
            <w:pPr>
              <w:tabs>
                <w:tab w:val="left" w:pos="2653"/>
              </w:tabs>
              <w:jc w:val="left"/>
              <w:rPr>
                <w:color w:val="auto"/>
              </w:rPr>
            </w:pPr>
            <w:r>
              <w:rPr>
                <w:rFonts w:hint="eastAsia"/>
                <w:color w:val="auto"/>
              </w:rPr>
              <w:t>注：第一档打分说明：指阐述（说明、方案、或承诺）完整详细、合理可行、针对性强。对于说明，有详尽的说明文件，包括具体实现方式及相关界面展示，并结合了招标文件中的具体</w:t>
            </w:r>
            <w:r>
              <w:rPr>
                <w:rFonts w:hint="eastAsia"/>
                <w:color w:val="auto"/>
                <w:lang w:eastAsia="zh-CN"/>
              </w:rPr>
              <w:t>服务</w:t>
            </w:r>
            <w:r>
              <w:rPr>
                <w:rFonts w:hint="eastAsia"/>
                <w:color w:val="auto"/>
              </w:rPr>
              <w:t>需求，不是笼统的表达；有方案的具体实现，包括说明方案的可行性、方案中涉及的技术手段的实现方法，方案的优点及能达到的效果；对于承诺，说明了如何能够实现承诺，如实现的技术手段、人员配备等。</w:t>
            </w:r>
          </w:p>
          <w:p>
            <w:pPr>
              <w:tabs>
                <w:tab w:val="left" w:pos="2653"/>
              </w:tabs>
              <w:jc w:val="left"/>
              <w:rPr>
                <w:color w:val="auto"/>
              </w:rPr>
            </w:pPr>
            <w:r>
              <w:rPr>
                <w:rFonts w:hint="eastAsia"/>
                <w:color w:val="auto"/>
              </w:rPr>
              <w:t>第二档打分说明：指阐述（说明、方案、或承诺）详细，有针对性。对于说明，有说明文件。能够满足招标文件要求，对于方案的各方面安排比较合理，对可行性、实现方法、优点、效果等方面有说明；对于承诺，能够满足符合招标文件要求。</w:t>
            </w:r>
          </w:p>
          <w:p>
            <w:pPr>
              <w:tabs>
                <w:tab w:val="left" w:pos="2653"/>
              </w:tabs>
              <w:jc w:val="left"/>
              <w:rPr>
                <w:rFonts w:hint="eastAsia"/>
                <w:color w:val="auto"/>
              </w:rPr>
            </w:pPr>
            <w:r>
              <w:rPr>
                <w:rFonts w:hint="eastAsia"/>
                <w:color w:val="auto"/>
              </w:rPr>
              <w:t>第三档打分说明：指阐述（说明、方案、或承诺）</w:t>
            </w:r>
            <w:r>
              <w:rPr>
                <w:rFonts w:hint="eastAsia"/>
                <w:color w:val="auto"/>
                <w:lang w:eastAsia="zh-CN"/>
              </w:rPr>
              <w:t>可行</w:t>
            </w:r>
            <w:r>
              <w:rPr>
                <w:rFonts w:hint="eastAsia"/>
                <w:color w:val="auto"/>
              </w:rPr>
              <w:t>，</w:t>
            </w:r>
            <w:r>
              <w:rPr>
                <w:rFonts w:hint="eastAsia"/>
                <w:color w:val="auto"/>
                <w:lang w:eastAsia="zh-CN"/>
              </w:rPr>
              <w:t>合理适用</w:t>
            </w:r>
            <w:r>
              <w:rPr>
                <w:rFonts w:hint="eastAsia"/>
                <w:color w:val="auto"/>
              </w:rPr>
              <w:t>。对于说明，有说明文件。能够满足招标文件要求，对于方案的各方面安排</w:t>
            </w:r>
            <w:r>
              <w:rPr>
                <w:rFonts w:hint="eastAsia"/>
                <w:color w:val="auto"/>
                <w:lang w:eastAsia="zh-CN"/>
              </w:rPr>
              <w:t>相对</w:t>
            </w:r>
            <w:r>
              <w:rPr>
                <w:rFonts w:hint="eastAsia"/>
                <w:color w:val="auto"/>
              </w:rPr>
              <w:t>合理，对可行性、实现方法、优点、效果等方面有说明；对于承诺，能够满足符合招标文件要求。</w:t>
            </w:r>
          </w:p>
          <w:p>
            <w:pPr>
              <w:tabs>
                <w:tab w:val="left" w:pos="2653"/>
              </w:tabs>
              <w:jc w:val="left"/>
              <w:rPr>
                <w:color w:val="auto"/>
              </w:rPr>
            </w:pPr>
            <w:r>
              <w:rPr>
                <w:rFonts w:hint="eastAsia"/>
                <w:color w:val="auto"/>
              </w:rPr>
              <w:t>第四档打分说明：指阐述（说明、方案、或承诺）笼统、模糊。对于说明，有说明文件，但实现手段描述不够全面详细；对于方案，可行性、实现方法、优点、效果等方面有说明；对于承诺，较为满足相关要求。</w:t>
            </w:r>
          </w:p>
          <w:p>
            <w:pPr>
              <w:tabs>
                <w:tab w:val="left" w:pos="2653"/>
              </w:tabs>
              <w:jc w:val="left"/>
              <w:rPr>
                <w:color w:val="auto"/>
              </w:rPr>
            </w:pPr>
            <w:r>
              <w:rPr>
                <w:rFonts w:hint="eastAsia"/>
                <w:color w:val="auto"/>
              </w:rPr>
              <w:t>第五档打分说明：指没有阐述（说明、方案、或承诺）</w:t>
            </w:r>
          </w:p>
        </w:tc>
      </w:tr>
    </w:tbl>
    <w:p>
      <w:pPr>
        <w:pStyle w:val="21"/>
        <w:spacing w:line="360" w:lineRule="auto"/>
        <w:ind w:left="0" w:leftChars="0" w:firstLine="0" w:firstLineChars="0"/>
        <w:rPr>
          <w:rFonts w:ascii="宋体" w:hAnsi="宋体" w:cs="宋体"/>
          <w:b/>
        </w:rPr>
      </w:pPr>
    </w:p>
    <w:p>
      <w:pPr>
        <w:pStyle w:val="36"/>
        <w:numPr>
          <w:ilvl w:val="0"/>
          <w:numId w:val="11"/>
        </w:numPr>
        <w:tabs>
          <w:tab w:val="left" w:pos="360"/>
        </w:tabs>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pPr>
        <w:pStyle w:val="36"/>
        <w:numPr>
          <w:ilvl w:val="0"/>
          <w:numId w:val="11"/>
        </w:numPr>
        <w:tabs>
          <w:tab w:val="left" w:pos="360"/>
        </w:tabs>
        <w:spacing w:line="360" w:lineRule="auto"/>
        <w:outlineLvl w:val="1"/>
        <w:rPr>
          <w:rFonts w:hAnsi="宋体" w:cs="黑体"/>
          <w:b/>
          <w:color w:val="auto"/>
        </w:rPr>
      </w:pPr>
      <w:bookmarkStart w:id="496" w:name="_Toc6135"/>
      <w:bookmarkStart w:id="497" w:name="_Toc9376"/>
      <w:bookmarkStart w:id="498" w:name="_Toc5920"/>
      <w:bookmarkStart w:id="499" w:name="_Toc30895"/>
      <w:bookmarkStart w:id="500" w:name="_Toc17219"/>
      <w:bookmarkStart w:id="501" w:name="_Toc30234"/>
      <w:bookmarkStart w:id="502" w:name="_Toc13454"/>
      <w:bookmarkStart w:id="503" w:name="_Toc3406"/>
      <w:bookmarkStart w:id="504" w:name="_Toc26533"/>
      <w:bookmarkStart w:id="505" w:name="_Toc4003"/>
      <w:r>
        <w:rPr>
          <w:rFonts w:hint="eastAsia" w:hAnsi="宋体" w:cs="黑体"/>
          <w:b/>
          <w:color w:val="auto"/>
        </w:rPr>
        <w:t>评审标准</w:t>
      </w:r>
      <w:bookmarkEnd w:id="496"/>
      <w:bookmarkEnd w:id="497"/>
      <w:bookmarkEnd w:id="498"/>
      <w:bookmarkEnd w:id="499"/>
      <w:bookmarkEnd w:id="500"/>
      <w:bookmarkEnd w:id="501"/>
      <w:bookmarkEnd w:id="502"/>
      <w:bookmarkEnd w:id="503"/>
      <w:bookmarkEnd w:id="504"/>
      <w:bookmarkEnd w:id="505"/>
    </w:p>
    <w:p>
      <w:pPr>
        <w:pStyle w:val="3"/>
        <w:numPr>
          <w:ilvl w:val="1"/>
          <w:numId w:val="12"/>
        </w:numPr>
        <w:rPr>
          <w:sz w:val="21"/>
        </w:rPr>
      </w:pPr>
      <w:bookmarkStart w:id="506" w:name="_Toc11754"/>
      <w:bookmarkStart w:id="507" w:name="_Toc25181"/>
      <w:bookmarkStart w:id="508" w:name="_Toc28336"/>
      <w:bookmarkStart w:id="509" w:name="_Toc10856"/>
      <w:bookmarkStart w:id="510" w:name="_Toc5467"/>
      <w:bookmarkStart w:id="511" w:name="_Toc7259"/>
      <w:bookmarkStart w:id="512" w:name="_Toc17735"/>
      <w:bookmarkStart w:id="513" w:name="_Toc6724"/>
      <w:bookmarkStart w:id="514" w:name="_Toc29139"/>
      <w:bookmarkStart w:id="515" w:name="_Toc31651"/>
      <w:bookmarkStart w:id="516" w:name="_Toc27094"/>
      <w:r>
        <w:rPr>
          <w:rFonts w:hint="eastAsia"/>
          <w:sz w:val="21"/>
        </w:rPr>
        <w:t>初步评审标准</w:t>
      </w:r>
      <w:bookmarkEnd w:id="506"/>
      <w:bookmarkEnd w:id="507"/>
    </w:p>
    <w:p>
      <w:pPr>
        <w:numPr>
          <w:ilvl w:val="2"/>
          <w:numId w:val="13"/>
        </w:numPr>
        <w:spacing w:line="360" w:lineRule="auto"/>
        <w:jc w:val="left"/>
      </w:pPr>
      <w:r>
        <w:rPr>
          <w:rFonts w:hint="eastAsia"/>
        </w:rPr>
        <w:t>形式评审标准：见评审办法前附表。</w:t>
      </w:r>
    </w:p>
    <w:p>
      <w:pPr>
        <w:numPr>
          <w:ilvl w:val="2"/>
          <w:numId w:val="13"/>
        </w:numPr>
        <w:spacing w:line="360" w:lineRule="auto"/>
        <w:jc w:val="left"/>
      </w:pPr>
      <w:r>
        <w:rPr>
          <w:rFonts w:hint="eastAsia"/>
        </w:rPr>
        <w:t>资格评审标准：见评审办法前附表。</w:t>
      </w:r>
    </w:p>
    <w:p>
      <w:pPr>
        <w:numPr>
          <w:ilvl w:val="2"/>
          <w:numId w:val="13"/>
        </w:numPr>
        <w:spacing w:line="360" w:lineRule="auto"/>
        <w:jc w:val="left"/>
      </w:pPr>
      <w:r>
        <w:rPr>
          <w:rFonts w:hint="eastAsia"/>
        </w:rPr>
        <w:t>响应性评审标准：见评审办法前附表。</w:t>
      </w:r>
    </w:p>
    <w:p>
      <w:pPr>
        <w:pStyle w:val="3"/>
        <w:numPr>
          <w:ilvl w:val="1"/>
          <w:numId w:val="12"/>
        </w:numPr>
        <w:rPr>
          <w:sz w:val="21"/>
        </w:rPr>
      </w:pPr>
      <w:bookmarkStart w:id="517" w:name="_Toc8909"/>
      <w:bookmarkStart w:id="518" w:name="_Toc3639"/>
      <w:r>
        <w:rPr>
          <w:rFonts w:hint="eastAsia"/>
          <w:sz w:val="21"/>
        </w:rPr>
        <w:t>分值构成与评分标准</w:t>
      </w:r>
      <w:bookmarkEnd w:id="508"/>
      <w:bookmarkEnd w:id="509"/>
      <w:bookmarkEnd w:id="510"/>
      <w:bookmarkEnd w:id="511"/>
      <w:bookmarkEnd w:id="512"/>
      <w:bookmarkEnd w:id="513"/>
      <w:bookmarkEnd w:id="514"/>
      <w:bookmarkEnd w:id="515"/>
      <w:bookmarkEnd w:id="516"/>
      <w:bookmarkEnd w:id="517"/>
      <w:bookmarkEnd w:id="518"/>
    </w:p>
    <w:p>
      <w:pPr>
        <w:numPr>
          <w:ilvl w:val="2"/>
          <w:numId w:val="14"/>
        </w:numPr>
        <w:autoSpaceDE w:val="0"/>
        <w:autoSpaceDN w:val="0"/>
        <w:adjustRightInd w:val="0"/>
        <w:spacing w:line="360" w:lineRule="auto"/>
        <w:ind w:right="-23"/>
        <w:jc w:val="left"/>
        <w:rPr>
          <w:kern w:val="0"/>
        </w:rPr>
      </w:pPr>
      <w:r>
        <w:rPr>
          <w:rFonts w:hint="eastAsia"/>
          <w:kern w:val="0"/>
        </w:rPr>
        <w:t>分值构成</w:t>
      </w:r>
    </w:p>
    <w:p>
      <w:pPr>
        <w:numPr>
          <w:ilvl w:val="0"/>
          <w:numId w:val="15"/>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报价得分：见评审办法前附表；</w:t>
      </w:r>
    </w:p>
    <w:p>
      <w:pPr>
        <w:numPr>
          <w:ilvl w:val="0"/>
          <w:numId w:val="15"/>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技术部分：见评审办法前附表；</w:t>
      </w:r>
    </w:p>
    <w:p>
      <w:pPr>
        <w:numPr>
          <w:ilvl w:val="0"/>
          <w:numId w:val="15"/>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综合实力部分：见评审办法前附表；</w:t>
      </w:r>
    </w:p>
    <w:p>
      <w:pPr>
        <w:numPr>
          <w:ilvl w:val="2"/>
          <w:numId w:val="14"/>
        </w:numPr>
        <w:autoSpaceDE w:val="0"/>
        <w:autoSpaceDN w:val="0"/>
        <w:adjustRightInd w:val="0"/>
        <w:spacing w:line="360" w:lineRule="auto"/>
        <w:ind w:right="-23"/>
        <w:jc w:val="left"/>
        <w:rPr>
          <w:kern w:val="0"/>
        </w:rPr>
      </w:pPr>
      <w:r>
        <w:rPr>
          <w:rFonts w:hint="eastAsia"/>
          <w:kern w:val="0"/>
        </w:rPr>
        <w:t>评分标准</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报价得分标准：见评审办法前附表；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技术部分标准：见评审办法前附表；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综合实力标准：见评审办法前附表；</w:t>
      </w:r>
    </w:p>
    <w:p>
      <w:pPr>
        <w:pStyle w:val="36"/>
        <w:numPr>
          <w:ilvl w:val="0"/>
          <w:numId w:val="11"/>
        </w:numPr>
        <w:tabs>
          <w:tab w:val="left" w:pos="360"/>
        </w:tabs>
        <w:spacing w:line="360" w:lineRule="auto"/>
        <w:jc w:val="both"/>
        <w:outlineLvl w:val="1"/>
        <w:rPr>
          <w:rFonts w:hAnsi="宋体" w:cs="黑体"/>
          <w:b/>
          <w:color w:val="auto"/>
        </w:rPr>
      </w:pPr>
      <w:bookmarkStart w:id="519" w:name="_Toc29125"/>
      <w:bookmarkStart w:id="520" w:name="_Toc5605"/>
      <w:bookmarkStart w:id="521" w:name="_Toc1740"/>
      <w:bookmarkStart w:id="522" w:name="_Toc16356"/>
      <w:bookmarkStart w:id="523" w:name="_Toc4338"/>
      <w:bookmarkStart w:id="524" w:name="_Toc21732"/>
      <w:bookmarkStart w:id="525" w:name="_Toc5149"/>
      <w:bookmarkStart w:id="526" w:name="_Toc28724"/>
      <w:bookmarkStart w:id="527" w:name="_Toc22175"/>
      <w:bookmarkStart w:id="528" w:name="_Toc26726"/>
      <w:r>
        <w:rPr>
          <w:rFonts w:hint="eastAsia" w:hAnsi="宋体" w:cs="黑体"/>
          <w:b/>
          <w:color w:val="auto"/>
        </w:rPr>
        <w:t>评审程序</w:t>
      </w:r>
      <w:bookmarkEnd w:id="519"/>
      <w:bookmarkEnd w:id="520"/>
      <w:bookmarkEnd w:id="521"/>
      <w:bookmarkEnd w:id="522"/>
      <w:bookmarkEnd w:id="523"/>
      <w:bookmarkEnd w:id="524"/>
      <w:bookmarkEnd w:id="525"/>
      <w:bookmarkEnd w:id="526"/>
      <w:bookmarkEnd w:id="527"/>
      <w:bookmarkEnd w:id="528"/>
    </w:p>
    <w:p>
      <w:pPr>
        <w:pStyle w:val="3"/>
        <w:numPr>
          <w:ilvl w:val="1"/>
          <w:numId w:val="17"/>
        </w:numPr>
        <w:rPr>
          <w:sz w:val="21"/>
        </w:rPr>
      </w:pPr>
      <w:bookmarkStart w:id="529" w:name="_Toc18983"/>
      <w:bookmarkStart w:id="530" w:name="_Toc9443"/>
      <w:bookmarkStart w:id="531" w:name="_Toc1654"/>
      <w:bookmarkStart w:id="532" w:name="_Toc3824"/>
      <w:bookmarkStart w:id="533" w:name="_Toc5708"/>
      <w:bookmarkStart w:id="534" w:name="_Toc32083"/>
      <w:bookmarkStart w:id="535" w:name="_Toc10682"/>
      <w:bookmarkStart w:id="536" w:name="_Toc9613"/>
      <w:bookmarkStart w:id="537" w:name="_Toc26056"/>
      <w:bookmarkStart w:id="538" w:name="_Toc17957"/>
      <w:bookmarkStart w:id="539" w:name="_Toc7036"/>
      <w:r>
        <w:rPr>
          <w:rFonts w:hint="eastAsia"/>
          <w:sz w:val="21"/>
        </w:rPr>
        <w:t>初步评审</w:t>
      </w:r>
      <w:bookmarkEnd w:id="529"/>
      <w:bookmarkEnd w:id="530"/>
      <w:bookmarkEnd w:id="531"/>
      <w:bookmarkEnd w:id="532"/>
      <w:bookmarkEnd w:id="533"/>
      <w:bookmarkEnd w:id="534"/>
      <w:bookmarkEnd w:id="535"/>
      <w:bookmarkEnd w:id="536"/>
      <w:bookmarkEnd w:id="537"/>
      <w:bookmarkEnd w:id="538"/>
      <w:bookmarkEnd w:id="539"/>
    </w:p>
    <w:p>
      <w:pPr>
        <w:numPr>
          <w:ilvl w:val="2"/>
          <w:numId w:val="18"/>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pPr>
        <w:numPr>
          <w:ilvl w:val="2"/>
          <w:numId w:val="18"/>
        </w:numPr>
        <w:autoSpaceDE w:val="0"/>
        <w:autoSpaceDN w:val="0"/>
        <w:adjustRightInd w:val="0"/>
        <w:spacing w:line="360" w:lineRule="auto"/>
        <w:ind w:right="-23"/>
        <w:jc w:val="left"/>
        <w:rPr>
          <w:kern w:val="0"/>
        </w:rPr>
      </w:pPr>
      <w:r>
        <w:rPr>
          <w:rFonts w:hint="eastAsia"/>
          <w:kern w:val="0"/>
        </w:rPr>
        <w:t>磋商报价有算术错误及其他错误的。</w:t>
      </w:r>
    </w:p>
    <w:p>
      <w:pPr>
        <w:numPr>
          <w:ilvl w:val="0"/>
          <w:numId w:val="19"/>
        </w:numPr>
        <w:wordWrap/>
        <w:topLinePunct w:val="0"/>
        <w:autoSpaceDE w:val="0"/>
        <w:autoSpaceDN w:val="0"/>
        <w:adjustRightInd w:val="0"/>
        <w:spacing w:line="360" w:lineRule="auto"/>
        <w:ind w:left="0" w:right="40" w:firstLine="420" w:firstLineChars="200"/>
        <w:jc w:val="left"/>
      </w:pPr>
      <w:r>
        <w:rPr>
          <w:rFonts w:hint="eastAsia"/>
        </w:rPr>
        <w:t>大写金额和小写金额不一致的，以大写金额为准。</w:t>
      </w:r>
    </w:p>
    <w:p>
      <w:pPr>
        <w:numPr>
          <w:ilvl w:val="0"/>
          <w:numId w:val="19"/>
        </w:numPr>
        <w:wordWrap/>
        <w:topLinePunct w:val="0"/>
        <w:autoSpaceDE w:val="0"/>
        <w:autoSpaceDN w:val="0"/>
        <w:adjustRightInd w:val="0"/>
        <w:spacing w:line="360" w:lineRule="auto"/>
        <w:ind w:left="0" w:right="40" w:firstLine="420" w:firstLineChars="200"/>
        <w:jc w:val="left"/>
      </w:pPr>
      <w:r>
        <w:rPr>
          <w:rFonts w:hint="eastAsia"/>
        </w:rPr>
        <w:t>总价金额与按单价汇总金额不一致的，以单价金额计算结果为准。</w:t>
      </w:r>
    </w:p>
    <w:p>
      <w:pPr>
        <w:numPr>
          <w:ilvl w:val="0"/>
          <w:numId w:val="19"/>
        </w:numPr>
        <w:wordWrap/>
        <w:topLinePunct w:val="0"/>
        <w:autoSpaceDE w:val="0"/>
        <w:autoSpaceDN w:val="0"/>
        <w:adjustRightInd w:val="0"/>
        <w:spacing w:line="360" w:lineRule="auto"/>
        <w:ind w:left="0" w:right="40" w:firstLine="420" w:firstLineChars="200"/>
        <w:jc w:val="left"/>
      </w:pPr>
      <w:r>
        <w:rPr>
          <w:rFonts w:hint="eastAsia"/>
        </w:rPr>
        <w:t>单价金额小数点或者百分比有明显错位的，以总价为准。</w:t>
      </w:r>
    </w:p>
    <w:p>
      <w:pPr>
        <w:pStyle w:val="3"/>
        <w:numPr>
          <w:ilvl w:val="1"/>
          <w:numId w:val="17"/>
        </w:numPr>
        <w:rPr>
          <w:sz w:val="21"/>
        </w:rPr>
      </w:pPr>
      <w:r>
        <w:rPr>
          <w:rFonts w:hint="eastAsia"/>
          <w:sz w:val="21"/>
        </w:rPr>
        <w:t>详细磋商</w:t>
      </w:r>
    </w:p>
    <w:p>
      <w:pPr>
        <w:numPr>
          <w:ilvl w:val="2"/>
          <w:numId w:val="20"/>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pPr>
        <w:numPr>
          <w:ilvl w:val="2"/>
          <w:numId w:val="20"/>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pPr>
        <w:numPr>
          <w:ilvl w:val="2"/>
          <w:numId w:val="20"/>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pPr>
        <w:numPr>
          <w:ilvl w:val="2"/>
          <w:numId w:val="20"/>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pPr>
        <w:pStyle w:val="3"/>
        <w:numPr>
          <w:ilvl w:val="1"/>
          <w:numId w:val="17"/>
        </w:numPr>
        <w:rPr>
          <w:sz w:val="21"/>
        </w:rPr>
      </w:pPr>
      <w:bookmarkStart w:id="540" w:name="_Toc30428"/>
      <w:bookmarkStart w:id="541" w:name="_Toc18705"/>
      <w:bookmarkStart w:id="542" w:name="_Toc24391"/>
      <w:bookmarkStart w:id="543" w:name="_Toc26213"/>
      <w:bookmarkStart w:id="544" w:name="_Toc22449"/>
      <w:bookmarkStart w:id="545" w:name="_Toc10132"/>
      <w:bookmarkStart w:id="546" w:name="_Toc18430"/>
      <w:bookmarkStart w:id="547" w:name="_Toc13336"/>
      <w:bookmarkStart w:id="548" w:name="_Toc1221"/>
      <w:bookmarkStart w:id="549" w:name="_Toc12089"/>
      <w:bookmarkStart w:id="550" w:name="_Toc8285"/>
      <w:r>
        <w:rPr>
          <w:rFonts w:hint="eastAsia"/>
          <w:sz w:val="21"/>
        </w:rPr>
        <w:t>详细评审</w:t>
      </w:r>
      <w:bookmarkEnd w:id="540"/>
      <w:bookmarkEnd w:id="541"/>
      <w:bookmarkEnd w:id="542"/>
      <w:bookmarkEnd w:id="543"/>
      <w:bookmarkEnd w:id="544"/>
      <w:bookmarkEnd w:id="545"/>
      <w:bookmarkEnd w:id="546"/>
      <w:bookmarkEnd w:id="547"/>
      <w:bookmarkEnd w:id="548"/>
      <w:bookmarkEnd w:id="549"/>
      <w:bookmarkEnd w:id="550"/>
    </w:p>
    <w:p>
      <w:pPr>
        <w:numPr>
          <w:ilvl w:val="2"/>
          <w:numId w:val="21"/>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2"/>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2"/>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2"/>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1"/>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pPr>
        <w:numPr>
          <w:ilvl w:val="2"/>
          <w:numId w:val="21"/>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pPr>
        <w:numPr>
          <w:ilvl w:val="2"/>
          <w:numId w:val="21"/>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pPr>
        <w:pStyle w:val="3"/>
        <w:numPr>
          <w:ilvl w:val="1"/>
          <w:numId w:val="17"/>
        </w:numPr>
        <w:rPr>
          <w:sz w:val="21"/>
        </w:rPr>
      </w:pPr>
      <w:r>
        <w:rPr>
          <w:rFonts w:hint="eastAsia"/>
          <w:sz w:val="21"/>
        </w:rPr>
        <w:t>评审结果</w:t>
      </w:r>
    </w:p>
    <w:p>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pPr>
        <w:wordWrap/>
        <w:topLinePunct w:val="0"/>
        <w:autoSpaceDE w:val="0"/>
        <w:autoSpaceDN w:val="0"/>
        <w:adjustRightInd w:val="0"/>
        <w:spacing w:before="40" w:line="360" w:lineRule="auto"/>
        <w:ind w:left="425" w:right="142"/>
        <w:jc w:val="left"/>
        <w:rPr>
          <w:bCs/>
          <w:kern w:val="0"/>
        </w:rPr>
      </w:pPr>
      <w:r>
        <w:rPr>
          <w:rFonts w:hint="eastAsia"/>
          <w:bCs/>
          <w:kern w:val="0"/>
        </w:rPr>
        <w:t>3.4.2磋商小组完成评审后，应当向采购人提交书面评审报告和成交候选人名单并编写评审报告。</w:t>
      </w: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ageBreakBefore/>
        <w:adjustRightInd w:val="0"/>
        <w:snapToGrid w:val="0"/>
        <w:spacing w:line="360" w:lineRule="auto"/>
        <w:jc w:val="center"/>
        <w:outlineLvl w:val="0"/>
        <w:rPr>
          <w:rFonts w:hint="eastAsia" w:ascii="宋体" w:hAnsi="宋体" w:cs="宋体"/>
          <w:b/>
          <w:bCs/>
          <w:color w:val="000000"/>
          <w:spacing w:val="4"/>
          <w:sz w:val="32"/>
          <w:szCs w:val="32"/>
        </w:rPr>
      </w:pPr>
      <w:bookmarkStart w:id="551" w:name="_Toc20944"/>
      <w:r>
        <w:rPr>
          <w:rFonts w:hint="eastAsia"/>
          <w:b/>
          <w:sz w:val="32"/>
          <w:szCs w:val="32"/>
        </w:rPr>
        <w:t>第四章</w:t>
      </w:r>
      <w:r>
        <w:rPr>
          <w:rFonts w:hint="eastAsia"/>
          <w:b/>
          <w:sz w:val="32"/>
          <w:szCs w:val="32"/>
          <w:lang w:val="en-US" w:eastAsia="zh-CN"/>
        </w:rPr>
        <w:t xml:space="preserve"> </w:t>
      </w:r>
      <w:r>
        <w:rPr>
          <w:rFonts w:hint="eastAsia" w:ascii="宋体" w:hAnsi="宋体" w:cs="宋体"/>
          <w:b/>
          <w:bCs/>
          <w:color w:val="000000"/>
          <w:spacing w:val="4"/>
          <w:sz w:val="32"/>
          <w:szCs w:val="32"/>
        </w:rPr>
        <w:t>采购合同（</w:t>
      </w:r>
      <w:r>
        <w:rPr>
          <w:rFonts w:hint="eastAsia" w:cs="宋体"/>
          <w:b/>
          <w:bCs/>
          <w:color w:val="000000"/>
          <w:spacing w:val="4"/>
          <w:sz w:val="32"/>
          <w:szCs w:val="32"/>
          <w:lang w:val="en-US" w:eastAsia="zh-CN"/>
        </w:rPr>
        <w:t>仅供参考</w:t>
      </w:r>
      <w:r>
        <w:rPr>
          <w:rFonts w:hint="eastAsia" w:ascii="宋体" w:hAnsi="宋体" w:cs="宋体"/>
          <w:b/>
          <w:bCs/>
          <w:color w:val="000000"/>
          <w:spacing w:val="4"/>
          <w:sz w:val="32"/>
          <w:szCs w:val="32"/>
        </w:rPr>
        <w:t>）</w:t>
      </w:r>
      <w:bookmarkEnd w:id="551"/>
    </w:p>
    <w:p>
      <w:pPr>
        <w:spacing w:before="100" w:line="225" w:lineRule="auto"/>
        <w:ind w:left="1434"/>
        <w:rPr>
          <w:rFonts w:ascii="新宋体" w:hAnsi="新宋体" w:eastAsia="新宋体" w:cs="新宋体"/>
          <w:spacing w:val="-1"/>
          <w:sz w:val="31"/>
          <w:szCs w:val="31"/>
        </w:rPr>
      </w:pPr>
    </w:p>
    <w:p>
      <w:pPr>
        <w:spacing w:before="100" w:line="225" w:lineRule="auto"/>
        <w:ind w:left="1434"/>
        <w:rPr>
          <w:rFonts w:ascii="新宋体" w:hAnsi="新宋体" w:eastAsia="新宋体" w:cs="新宋体"/>
          <w:spacing w:val="-1"/>
          <w:sz w:val="31"/>
          <w:szCs w:val="31"/>
        </w:rPr>
      </w:pPr>
    </w:p>
    <w:p>
      <w:pPr>
        <w:spacing w:before="100" w:line="225" w:lineRule="auto"/>
        <w:ind w:left="1434"/>
        <w:rPr>
          <w:rFonts w:ascii="新宋体" w:hAnsi="新宋体" w:eastAsia="新宋体" w:cs="新宋体"/>
          <w:spacing w:val="-1"/>
          <w:sz w:val="31"/>
          <w:szCs w:val="31"/>
        </w:rPr>
      </w:pPr>
    </w:p>
    <w:p>
      <w:pPr>
        <w:spacing w:before="100" w:line="225" w:lineRule="auto"/>
        <w:ind w:left="1434" w:firstLine="1674" w:firstLineChars="300"/>
        <w:jc w:val="both"/>
        <w:rPr>
          <w:rFonts w:hint="default" w:ascii="新宋体" w:hAnsi="新宋体" w:eastAsia="新宋体" w:cs="新宋体"/>
          <w:spacing w:val="-1"/>
          <w:sz w:val="56"/>
          <w:szCs w:val="56"/>
          <w:lang w:val="en-US" w:eastAsia="zh-CN"/>
        </w:rPr>
      </w:pPr>
      <w:r>
        <w:rPr>
          <w:rFonts w:hint="eastAsia" w:ascii="新宋体" w:hAnsi="新宋体" w:eastAsia="新宋体" w:cs="新宋体"/>
          <w:spacing w:val="-1"/>
          <w:sz w:val="56"/>
          <w:szCs w:val="56"/>
          <w:lang w:val="en-US" w:eastAsia="zh-CN"/>
        </w:rPr>
        <w:t>采购合同</w:t>
      </w:r>
    </w:p>
    <w:p>
      <w:pPr>
        <w:spacing w:before="100" w:line="225" w:lineRule="auto"/>
        <w:ind w:left="1434"/>
        <w:rPr>
          <w:rFonts w:ascii="新宋体" w:hAnsi="新宋体" w:eastAsia="新宋体" w:cs="新宋体"/>
          <w:spacing w:val="-1"/>
          <w:sz w:val="31"/>
          <w:szCs w:val="31"/>
        </w:rPr>
      </w:pPr>
    </w:p>
    <w:p>
      <w:pPr>
        <w:spacing w:before="100" w:line="225" w:lineRule="auto"/>
        <w:ind w:left="1434"/>
        <w:rPr>
          <w:rFonts w:ascii="新宋体" w:hAnsi="新宋体" w:eastAsia="新宋体" w:cs="新宋体"/>
          <w:spacing w:val="-1"/>
          <w:sz w:val="31"/>
          <w:szCs w:val="31"/>
        </w:rPr>
      </w:pPr>
    </w:p>
    <w:p>
      <w:pPr>
        <w:spacing w:before="100" w:line="225" w:lineRule="auto"/>
        <w:ind w:left="1434"/>
        <w:rPr>
          <w:rFonts w:ascii="新宋体" w:hAnsi="新宋体" w:eastAsia="新宋体" w:cs="新宋体"/>
          <w:spacing w:val="-1"/>
          <w:sz w:val="31"/>
          <w:szCs w:val="31"/>
        </w:rPr>
      </w:pPr>
    </w:p>
    <w:p>
      <w:pPr>
        <w:spacing w:before="100" w:line="225" w:lineRule="auto"/>
        <w:ind w:left="1434"/>
        <w:rPr>
          <w:rFonts w:ascii="新宋体" w:hAnsi="新宋体" w:eastAsia="新宋体" w:cs="新宋体"/>
          <w:sz w:val="31"/>
          <w:szCs w:val="31"/>
        </w:rPr>
      </w:pPr>
      <w:r>
        <w:rPr>
          <w:rFonts w:ascii="新宋体" w:hAnsi="新宋体" w:eastAsia="新宋体" w:cs="新宋体"/>
          <w:spacing w:val="-1"/>
          <w:sz w:val="31"/>
          <w:szCs w:val="31"/>
        </w:rPr>
        <w:t>项目名</w:t>
      </w:r>
      <w:r>
        <w:rPr>
          <w:rFonts w:ascii="新宋体" w:hAnsi="新宋体" w:eastAsia="新宋体" w:cs="新宋体"/>
          <w:sz w:val="31"/>
          <w:szCs w:val="31"/>
        </w:rPr>
        <w:t>称：</w:t>
      </w:r>
    </w:p>
    <w:p>
      <w:pPr>
        <w:spacing w:before="211" w:line="557" w:lineRule="exact"/>
        <w:ind w:left="1421"/>
        <w:rPr>
          <w:rFonts w:ascii="新宋体" w:hAnsi="新宋体" w:eastAsia="新宋体" w:cs="新宋体"/>
          <w:sz w:val="31"/>
          <w:szCs w:val="31"/>
        </w:rPr>
      </w:pPr>
      <w:r>
        <w:rPr>
          <w:rFonts w:ascii="新宋体" w:hAnsi="新宋体" w:eastAsia="新宋体" w:cs="新宋体"/>
          <w:spacing w:val="4"/>
          <w:position w:val="18"/>
          <w:sz w:val="31"/>
          <w:szCs w:val="31"/>
        </w:rPr>
        <w:t>采购文件编号</w:t>
      </w:r>
      <w:r>
        <w:rPr>
          <w:rFonts w:ascii="新宋体" w:hAnsi="新宋体" w:eastAsia="新宋体" w:cs="新宋体"/>
          <w:spacing w:val="3"/>
          <w:position w:val="18"/>
          <w:sz w:val="31"/>
          <w:szCs w:val="31"/>
        </w:rPr>
        <w:t>：</w:t>
      </w:r>
    </w:p>
    <w:p>
      <w:pPr>
        <w:spacing w:before="1" w:line="224" w:lineRule="auto"/>
        <w:ind w:left="1506"/>
        <w:rPr>
          <w:rFonts w:ascii="新宋体" w:hAnsi="新宋体" w:eastAsia="新宋体" w:cs="新宋体"/>
          <w:sz w:val="31"/>
          <w:szCs w:val="31"/>
        </w:rPr>
      </w:pPr>
      <w:r>
        <w:rPr>
          <w:rFonts w:ascii="新宋体" w:hAnsi="新宋体" w:eastAsia="新宋体" w:cs="新宋体"/>
          <w:spacing w:val="-16"/>
          <w:sz w:val="31"/>
          <w:szCs w:val="31"/>
        </w:rPr>
        <w:t>甲</w:t>
      </w:r>
      <w:r>
        <w:rPr>
          <w:rFonts w:ascii="新宋体" w:hAnsi="新宋体" w:eastAsia="新宋体" w:cs="新宋体"/>
          <w:spacing w:val="-10"/>
          <w:sz w:val="31"/>
          <w:szCs w:val="31"/>
        </w:rPr>
        <w:t>方合同编号：</w:t>
      </w:r>
    </w:p>
    <w:p>
      <w:pPr>
        <w:spacing w:before="153" w:line="226" w:lineRule="auto"/>
        <w:ind w:left="1506"/>
        <w:rPr>
          <w:rFonts w:ascii="新宋体" w:hAnsi="新宋体" w:eastAsia="新宋体" w:cs="新宋体"/>
          <w:sz w:val="31"/>
          <w:szCs w:val="31"/>
        </w:rPr>
      </w:pPr>
      <w:r>
        <w:rPr>
          <w:rFonts w:ascii="新宋体" w:hAnsi="新宋体" w:eastAsia="新宋体" w:cs="新宋体"/>
          <w:spacing w:val="-26"/>
          <w:sz w:val="31"/>
          <w:szCs w:val="31"/>
        </w:rPr>
        <w:t>甲</w:t>
      </w:r>
      <w:r>
        <w:rPr>
          <w:rFonts w:ascii="新宋体" w:hAnsi="新宋体" w:eastAsia="新宋体" w:cs="新宋体"/>
          <w:spacing w:val="-24"/>
          <w:sz w:val="31"/>
          <w:szCs w:val="31"/>
        </w:rPr>
        <w:t>方：</w:t>
      </w:r>
    </w:p>
    <w:p>
      <w:pPr>
        <w:spacing w:before="180" w:line="226" w:lineRule="auto"/>
        <w:ind w:left="1482"/>
        <w:rPr>
          <w:rFonts w:ascii="新宋体" w:hAnsi="新宋体" w:eastAsia="新宋体" w:cs="新宋体"/>
          <w:sz w:val="31"/>
          <w:szCs w:val="31"/>
        </w:rPr>
      </w:pPr>
      <w:r>
        <w:rPr>
          <w:rFonts w:ascii="新宋体" w:hAnsi="新宋体" w:eastAsia="新宋体" w:cs="新宋体"/>
          <w:spacing w:val="-18"/>
          <w:sz w:val="31"/>
          <w:szCs w:val="31"/>
        </w:rPr>
        <w:t>乙</w:t>
      </w:r>
      <w:r>
        <w:rPr>
          <w:rFonts w:ascii="新宋体" w:hAnsi="新宋体" w:eastAsia="新宋体" w:cs="新宋体"/>
          <w:spacing w:val="-17"/>
          <w:sz w:val="31"/>
          <w:szCs w:val="31"/>
        </w:rPr>
        <w:t>方：</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2" w:line="225" w:lineRule="auto"/>
        <w:ind w:left="1763"/>
        <w:sectPr>
          <w:footerReference r:id="rId3" w:type="default"/>
          <w:pgSz w:w="11911" w:h="16840"/>
          <w:pgMar w:top="400" w:right="1786" w:bottom="1304" w:left="1786" w:header="0" w:footer="1137" w:gutter="0"/>
          <w:pgNumType w:fmt="decimal" w:start="1"/>
          <w:cols w:space="720" w:num="1"/>
        </w:sectPr>
      </w:pPr>
      <w:r>
        <w:rPr>
          <w:rFonts w:ascii="宋体" w:hAnsi="宋体" w:eastAsia="宋体" w:cs="宋体"/>
          <w:spacing w:val="-12"/>
          <w:sz w:val="31"/>
          <w:szCs w:val="31"/>
        </w:rPr>
        <w:t>签</w:t>
      </w:r>
      <w:r>
        <w:rPr>
          <w:rFonts w:ascii="宋体" w:hAnsi="宋体" w:eastAsia="宋体" w:cs="宋体"/>
          <w:spacing w:val="-8"/>
          <w:sz w:val="31"/>
          <w:szCs w:val="31"/>
        </w:rPr>
        <w:t>订时间：         年    月     日</w:t>
      </w:r>
    </w:p>
    <w:p>
      <w:pPr>
        <w:spacing w:line="285" w:lineRule="auto"/>
        <w:rPr>
          <w:rFonts w:ascii="Arial"/>
          <w:sz w:val="21"/>
        </w:rPr>
      </w:pPr>
    </w:p>
    <w:p>
      <w:pPr>
        <w:spacing w:line="285" w:lineRule="auto"/>
        <w:rPr>
          <w:rFonts w:ascii="Arial"/>
          <w:sz w:val="21"/>
        </w:rPr>
      </w:pPr>
    </w:p>
    <w:p>
      <w:pPr>
        <w:spacing w:before="91" w:line="253" w:lineRule="auto"/>
        <w:ind w:firstLine="575"/>
        <w:rPr>
          <w:rFonts w:ascii="新宋体" w:hAnsi="新宋体" w:eastAsia="新宋体" w:cs="新宋体"/>
          <w:sz w:val="28"/>
          <w:szCs w:val="28"/>
        </w:rPr>
      </w:pPr>
      <w:r>
        <w:rPr>
          <w:rFonts w:ascii="新宋体" w:hAnsi="新宋体" w:eastAsia="新宋体" w:cs="新宋体"/>
          <w:spacing w:val="-28"/>
          <w:sz w:val="28"/>
          <w:szCs w:val="28"/>
        </w:rPr>
        <w:t>(</w:t>
      </w:r>
      <w:r>
        <w:rPr>
          <w:rFonts w:ascii="新宋体" w:hAnsi="新宋体" w:eastAsia="新宋体" w:cs="新宋体"/>
          <w:spacing w:val="-26"/>
          <w:sz w:val="28"/>
          <w:szCs w:val="28"/>
        </w:rPr>
        <w:t>甲</w:t>
      </w:r>
      <w:r>
        <w:rPr>
          <w:rFonts w:ascii="新宋体" w:hAnsi="新宋体" w:eastAsia="新宋体" w:cs="新宋体"/>
          <w:spacing w:val="-14"/>
          <w:sz w:val="28"/>
          <w:szCs w:val="28"/>
        </w:rPr>
        <w:t>方) (××项目) 委托 (代理机构名称) 进行了政府采购。按照评委</w:t>
      </w:r>
      <w:r>
        <w:rPr>
          <w:rFonts w:ascii="新宋体" w:hAnsi="新宋体" w:eastAsia="新宋体" w:cs="新宋体"/>
          <w:sz w:val="28"/>
          <w:szCs w:val="28"/>
        </w:rPr>
        <w:t xml:space="preserve"> </w:t>
      </w:r>
      <w:r>
        <w:rPr>
          <w:rFonts w:ascii="新宋体" w:hAnsi="新宋体" w:eastAsia="新宋体" w:cs="新宋体"/>
          <w:spacing w:val="-14"/>
          <w:sz w:val="28"/>
          <w:szCs w:val="28"/>
        </w:rPr>
        <w:t>会评审</w:t>
      </w:r>
      <w:r>
        <w:rPr>
          <w:rFonts w:ascii="新宋体" w:hAnsi="新宋体" w:eastAsia="新宋体" w:cs="新宋体"/>
          <w:spacing w:val="-9"/>
          <w:sz w:val="28"/>
          <w:szCs w:val="28"/>
        </w:rPr>
        <w:t>推</w:t>
      </w:r>
      <w:r>
        <w:rPr>
          <w:rFonts w:ascii="新宋体" w:hAnsi="新宋体" w:eastAsia="新宋体" w:cs="新宋体"/>
          <w:spacing w:val="-7"/>
          <w:sz w:val="28"/>
          <w:szCs w:val="28"/>
        </w:rPr>
        <w:t>荐、甲方确定乙方为中标单位。现甲乙双方协商同意签订本合同</w:t>
      </w:r>
    </w:p>
    <w:p>
      <w:pPr>
        <w:spacing w:before="139" w:line="140" w:lineRule="exact"/>
        <w:ind w:left="28"/>
        <w:rPr>
          <w:rFonts w:ascii="新宋体" w:hAnsi="新宋体" w:eastAsia="新宋体" w:cs="新宋体"/>
          <w:sz w:val="28"/>
          <w:szCs w:val="28"/>
        </w:rPr>
      </w:pPr>
      <w:r>
        <w:rPr>
          <w:rFonts w:ascii="新宋体" w:hAnsi="新宋体" w:eastAsia="新宋体" w:cs="新宋体"/>
          <w:position w:val="1"/>
          <w:sz w:val="28"/>
          <w:szCs w:val="28"/>
        </w:rPr>
        <w:t>。</w:t>
      </w:r>
    </w:p>
    <w:p>
      <w:pPr>
        <w:spacing w:line="300" w:lineRule="exact"/>
        <w:ind w:firstLine="523"/>
        <w:textAlignment w:val="center"/>
      </w:pPr>
      <w:r>
        <w:drawing>
          <wp:inline distT="0" distB="0" distL="0" distR="0">
            <wp:extent cx="1212215" cy="190500"/>
            <wp:effectExtent l="0" t="0" r="6985"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2"/>
                    <a:stretch>
                      <a:fillRect/>
                    </a:stretch>
                  </pic:blipFill>
                  <pic:spPr>
                    <a:xfrm>
                      <a:off x="0" y="0"/>
                      <a:ext cx="1212646" cy="190575"/>
                    </a:xfrm>
                    <a:prstGeom prst="rect">
                      <a:avLst/>
                    </a:prstGeom>
                  </pic:spPr>
                </pic:pic>
              </a:graphicData>
            </a:graphic>
          </wp:inline>
        </w:drawing>
      </w:r>
    </w:p>
    <w:p>
      <w:pPr>
        <w:spacing w:before="37" w:line="219" w:lineRule="auto"/>
        <w:ind w:left="578"/>
        <w:rPr>
          <w:rFonts w:ascii="新宋体" w:hAnsi="新宋体" w:eastAsia="新宋体" w:cs="新宋体"/>
          <w:sz w:val="28"/>
          <w:szCs w:val="28"/>
        </w:rPr>
      </w:pPr>
      <w:r>
        <w:rPr>
          <w:rFonts w:ascii="新宋体" w:hAnsi="新宋体" w:eastAsia="新宋体" w:cs="新宋体"/>
          <w:spacing w:val="-4"/>
          <w:sz w:val="28"/>
          <w:szCs w:val="28"/>
        </w:rPr>
        <w:t>下列与本次采购活</w:t>
      </w:r>
      <w:r>
        <w:rPr>
          <w:rFonts w:ascii="新宋体" w:hAnsi="新宋体" w:eastAsia="新宋体" w:cs="新宋体"/>
          <w:spacing w:val="-3"/>
          <w:sz w:val="28"/>
          <w:szCs w:val="28"/>
        </w:rPr>
        <w:t>动</w:t>
      </w:r>
      <w:r>
        <w:rPr>
          <w:rFonts w:ascii="新宋体" w:hAnsi="新宋体" w:eastAsia="新宋体" w:cs="新宋体"/>
          <w:spacing w:val="-2"/>
          <w:sz w:val="28"/>
          <w:szCs w:val="28"/>
        </w:rPr>
        <w:t>有关的文件及附件是本合同不可分割的组成部</w:t>
      </w:r>
    </w:p>
    <w:p>
      <w:pPr>
        <w:spacing w:before="29" w:line="221" w:lineRule="auto"/>
        <w:ind w:left="6"/>
        <w:rPr>
          <w:rFonts w:ascii="新宋体" w:hAnsi="新宋体" w:eastAsia="新宋体" w:cs="新宋体"/>
          <w:sz w:val="28"/>
          <w:szCs w:val="28"/>
        </w:rPr>
      </w:pPr>
      <w:r>
        <w:rPr>
          <w:rFonts w:ascii="新宋体" w:hAnsi="新宋体" w:eastAsia="新宋体" w:cs="新宋体"/>
          <w:spacing w:val="-4"/>
          <w:sz w:val="28"/>
          <w:szCs w:val="28"/>
        </w:rPr>
        <w:t>分，与本合</w:t>
      </w:r>
      <w:r>
        <w:rPr>
          <w:rFonts w:ascii="新宋体" w:hAnsi="新宋体" w:eastAsia="新宋体" w:cs="新宋体"/>
          <w:spacing w:val="-2"/>
          <w:sz w:val="28"/>
          <w:szCs w:val="28"/>
        </w:rPr>
        <w:t>同具有同等法律效力，这些文件包括但不限于：</w:t>
      </w:r>
    </w:p>
    <w:p>
      <w:pPr>
        <w:spacing w:before="28" w:line="219" w:lineRule="auto"/>
        <w:ind w:left="601"/>
        <w:rPr>
          <w:rFonts w:ascii="新宋体" w:hAnsi="新宋体" w:eastAsia="新宋体" w:cs="新宋体"/>
          <w:sz w:val="28"/>
          <w:szCs w:val="28"/>
        </w:rPr>
      </w:pPr>
      <w:r>
        <w:rPr>
          <w:rFonts w:ascii="新宋体" w:hAnsi="新宋体" w:eastAsia="新宋体" w:cs="新宋体"/>
          <w:spacing w:val="-35"/>
          <w:sz w:val="28"/>
          <w:szCs w:val="28"/>
        </w:rPr>
        <w:t>1</w:t>
      </w:r>
      <w:r>
        <w:rPr>
          <w:rFonts w:ascii="新宋体" w:hAnsi="新宋体" w:eastAsia="新宋体" w:cs="新宋体"/>
          <w:spacing w:val="-29"/>
          <w:sz w:val="28"/>
          <w:szCs w:val="28"/>
        </w:rPr>
        <w:t>、  ( ××号) 招标采购文件</w:t>
      </w:r>
    </w:p>
    <w:p>
      <w:pPr>
        <w:spacing w:before="29" w:line="239" w:lineRule="auto"/>
        <w:ind w:left="566"/>
        <w:rPr>
          <w:rFonts w:ascii="新宋体" w:hAnsi="新宋体" w:eastAsia="新宋体" w:cs="新宋体"/>
          <w:sz w:val="28"/>
          <w:szCs w:val="28"/>
        </w:rPr>
      </w:pPr>
      <w:r>
        <w:rPr>
          <w:rFonts w:ascii="新宋体" w:hAnsi="新宋体" w:eastAsia="新宋体" w:cs="新宋体"/>
          <w:spacing w:val="-6"/>
          <w:sz w:val="28"/>
          <w:szCs w:val="28"/>
        </w:rPr>
        <w:t>2、投标文件</w:t>
      </w:r>
    </w:p>
    <w:p>
      <w:pPr>
        <w:spacing w:line="237" w:lineRule="auto"/>
        <w:ind w:left="573"/>
        <w:rPr>
          <w:rFonts w:ascii="新宋体" w:hAnsi="新宋体" w:eastAsia="新宋体" w:cs="新宋体"/>
          <w:sz w:val="28"/>
          <w:szCs w:val="28"/>
        </w:rPr>
      </w:pPr>
      <w:r>
        <w:rPr>
          <w:rFonts w:ascii="新宋体" w:hAnsi="新宋体" w:eastAsia="新宋体" w:cs="新宋体"/>
          <w:spacing w:val="-8"/>
          <w:sz w:val="28"/>
          <w:szCs w:val="28"/>
        </w:rPr>
        <w:t>3</w:t>
      </w:r>
      <w:r>
        <w:rPr>
          <w:rFonts w:ascii="新宋体" w:hAnsi="新宋体" w:eastAsia="新宋体" w:cs="新宋体"/>
          <w:spacing w:val="-7"/>
          <w:sz w:val="28"/>
          <w:szCs w:val="28"/>
        </w:rPr>
        <w:t>、</w:t>
      </w:r>
      <w:r>
        <w:rPr>
          <w:rFonts w:ascii="新宋体" w:hAnsi="新宋体" w:eastAsia="新宋体" w:cs="新宋体"/>
          <w:spacing w:val="-4"/>
          <w:sz w:val="28"/>
          <w:szCs w:val="28"/>
        </w:rPr>
        <w:t>乙方在投标时的书面承诺</w:t>
      </w:r>
    </w:p>
    <w:p>
      <w:pPr>
        <w:spacing w:before="1" w:line="219" w:lineRule="auto"/>
        <w:ind w:left="558"/>
        <w:rPr>
          <w:rFonts w:ascii="新宋体" w:hAnsi="新宋体" w:eastAsia="新宋体" w:cs="新宋体"/>
          <w:sz w:val="28"/>
          <w:szCs w:val="28"/>
        </w:rPr>
      </w:pPr>
      <w:r>
        <w:rPr>
          <w:rFonts w:ascii="新宋体" w:hAnsi="新宋体" w:eastAsia="新宋体" w:cs="新宋体"/>
          <w:spacing w:val="-44"/>
          <w:sz w:val="28"/>
          <w:szCs w:val="28"/>
        </w:rPr>
        <w:t>4</w:t>
      </w:r>
      <w:r>
        <w:rPr>
          <w:rFonts w:ascii="新宋体" w:hAnsi="新宋体" w:eastAsia="新宋体" w:cs="新宋体"/>
          <w:spacing w:val="-32"/>
          <w:sz w:val="28"/>
          <w:szCs w:val="28"/>
        </w:rPr>
        <w:t>、  ( ××号)  中标通知书</w:t>
      </w:r>
    </w:p>
    <w:p>
      <w:pPr>
        <w:spacing w:before="30"/>
        <w:ind w:left="573"/>
        <w:rPr>
          <w:rFonts w:ascii="新宋体" w:hAnsi="新宋体" w:eastAsia="新宋体" w:cs="新宋体"/>
          <w:sz w:val="28"/>
          <w:szCs w:val="28"/>
        </w:rPr>
      </w:pPr>
      <w:r>
        <w:rPr>
          <w:rFonts w:ascii="新宋体" w:hAnsi="新宋体" w:eastAsia="新宋体" w:cs="新宋体"/>
          <w:spacing w:val="-8"/>
          <w:sz w:val="28"/>
          <w:szCs w:val="28"/>
        </w:rPr>
        <w:t>5</w:t>
      </w:r>
      <w:r>
        <w:rPr>
          <w:rFonts w:ascii="新宋体" w:hAnsi="新宋体" w:eastAsia="新宋体" w:cs="新宋体"/>
          <w:spacing w:val="-7"/>
          <w:sz w:val="28"/>
          <w:szCs w:val="28"/>
        </w:rPr>
        <w:t>、</w:t>
      </w:r>
      <w:r>
        <w:rPr>
          <w:rFonts w:ascii="新宋体" w:hAnsi="新宋体" w:eastAsia="新宋体" w:cs="新宋体"/>
          <w:spacing w:val="-4"/>
          <w:sz w:val="28"/>
          <w:szCs w:val="28"/>
        </w:rPr>
        <w:t>合同补充条款或说明</w:t>
      </w:r>
    </w:p>
    <w:p>
      <w:pPr>
        <w:spacing w:line="239" w:lineRule="auto"/>
        <w:ind w:left="564"/>
        <w:rPr>
          <w:rFonts w:ascii="新宋体" w:hAnsi="新宋体" w:eastAsia="新宋体" w:cs="新宋体"/>
          <w:sz w:val="28"/>
          <w:szCs w:val="28"/>
        </w:rPr>
      </w:pPr>
      <w:r>
        <w:rPr>
          <w:rFonts w:ascii="新宋体" w:hAnsi="新宋体" w:eastAsia="新宋体" w:cs="新宋体"/>
          <w:spacing w:val="-8"/>
          <w:sz w:val="28"/>
          <w:szCs w:val="28"/>
        </w:rPr>
        <w:t>6</w:t>
      </w:r>
      <w:r>
        <w:rPr>
          <w:rFonts w:ascii="新宋体" w:hAnsi="新宋体" w:eastAsia="新宋体" w:cs="新宋体"/>
          <w:spacing w:val="-4"/>
          <w:sz w:val="28"/>
          <w:szCs w:val="28"/>
        </w:rPr>
        <w:t>、保密协议或条款</w:t>
      </w:r>
    </w:p>
    <w:p>
      <w:pPr>
        <w:spacing w:before="1" w:line="219" w:lineRule="auto"/>
        <w:ind w:left="574"/>
        <w:rPr>
          <w:rFonts w:ascii="新宋体" w:hAnsi="新宋体" w:eastAsia="新宋体" w:cs="新宋体"/>
          <w:sz w:val="28"/>
          <w:szCs w:val="28"/>
        </w:rPr>
      </w:pPr>
      <w:r>
        <w:rPr>
          <w:rFonts w:ascii="新宋体" w:hAnsi="新宋体" w:eastAsia="新宋体" w:cs="新宋体"/>
          <w:spacing w:val="-8"/>
          <w:sz w:val="28"/>
          <w:szCs w:val="28"/>
        </w:rPr>
        <w:t>7</w:t>
      </w:r>
      <w:r>
        <w:rPr>
          <w:rFonts w:ascii="新宋体" w:hAnsi="新宋体" w:eastAsia="新宋体" w:cs="新宋体"/>
          <w:spacing w:val="-6"/>
          <w:sz w:val="28"/>
          <w:szCs w:val="28"/>
        </w:rPr>
        <w:t>、</w:t>
      </w:r>
      <w:r>
        <w:rPr>
          <w:rFonts w:ascii="新宋体" w:hAnsi="新宋体" w:eastAsia="新宋体" w:cs="新宋体"/>
          <w:spacing w:val="-4"/>
          <w:sz w:val="28"/>
          <w:szCs w:val="28"/>
        </w:rPr>
        <w:t>相关附件、图纸</w:t>
      </w:r>
    </w:p>
    <w:p>
      <w:pPr>
        <w:spacing w:line="333" w:lineRule="exact"/>
        <w:ind w:firstLine="523"/>
        <w:textAlignment w:val="center"/>
      </w:pPr>
      <w:r>
        <w:drawing>
          <wp:inline distT="0" distB="0" distL="0" distR="0">
            <wp:extent cx="1205865" cy="211455"/>
            <wp:effectExtent l="0" t="0" r="635" b="444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
                    <a:stretch>
                      <a:fillRect/>
                    </a:stretch>
                  </pic:blipFill>
                  <pic:spPr>
                    <a:xfrm>
                      <a:off x="0" y="0"/>
                      <a:ext cx="1206398" cy="211746"/>
                    </a:xfrm>
                    <a:prstGeom prst="rect">
                      <a:avLst/>
                    </a:prstGeom>
                  </pic:spPr>
                </pic:pic>
              </a:graphicData>
            </a:graphic>
          </wp:inline>
        </w:drawing>
      </w:r>
    </w:p>
    <w:p>
      <w:pPr>
        <w:spacing w:before="125" w:line="225" w:lineRule="auto"/>
        <w:ind w:left="36" w:right="240" w:firstLine="575"/>
        <w:rPr>
          <w:rFonts w:ascii="新宋体" w:hAnsi="新宋体" w:eastAsia="新宋体" w:cs="新宋体"/>
          <w:sz w:val="28"/>
          <w:szCs w:val="28"/>
        </w:rPr>
      </w:pPr>
      <w:r>
        <w:rPr>
          <w:rFonts w:ascii="新宋体" w:hAnsi="新宋体" w:eastAsia="新宋体" w:cs="新宋体"/>
          <w:spacing w:val="-16"/>
          <w:sz w:val="28"/>
          <w:szCs w:val="28"/>
        </w:rPr>
        <w:t>乙</w:t>
      </w:r>
      <w:r>
        <w:rPr>
          <w:rFonts w:ascii="新宋体" w:hAnsi="新宋体" w:eastAsia="新宋体" w:cs="新宋体"/>
          <w:spacing w:val="-15"/>
          <w:sz w:val="28"/>
          <w:szCs w:val="28"/>
        </w:rPr>
        <w:t>方</w:t>
      </w:r>
      <w:r>
        <w:rPr>
          <w:rFonts w:ascii="新宋体" w:hAnsi="新宋体" w:eastAsia="新宋体" w:cs="新宋体"/>
          <w:spacing w:val="-8"/>
          <w:sz w:val="28"/>
          <w:szCs w:val="28"/>
        </w:rPr>
        <w:t>根据甲方需求提供下列货物，货物名称、规格及数量，备件、</w:t>
      </w:r>
      <w:r>
        <w:rPr>
          <w:rFonts w:ascii="新宋体" w:hAnsi="新宋体" w:eastAsia="新宋体" w:cs="新宋体"/>
          <w:sz w:val="28"/>
          <w:szCs w:val="28"/>
        </w:rPr>
        <w:t xml:space="preserve"> </w:t>
      </w:r>
      <w:r>
        <w:rPr>
          <w:rFonts w:ascii="新宋体" w:hAnsi="新宋体" w:eastAsia="新宋体" w:cs="新宋体"/>
          <w:spacing w:val="-32"/>
          <w:sz w:val="28"/>
          <w:szCs w:val="28"/>
        </w:rPr>
        <w:t>易</w:t>
      </w:r>
      <w:r>
        <w:rPr>
          <w:rFonts w:ascii="新宋体" w:hAnsi="新宋体" w:eastAsia="新宋体" w:cs="新宋体"/>
          <w:spacing w:val="-19"/>
          <w:sz w:val="28"/>
          <w:szCs w:val="28"/>
        </w:rPr>
        <w:t>损件和专用工具等 (详见《服务一览表》  ) 。</w:t>
      </w:r>
    </w:p>
    <w:p>
      <w:pPr>
        <w:spacing w:line="302" w:lineRule="exact"/>
        <w:ind w:firstLine="523"/>
        <w:textAlignment w:val="center"/>
      </w:pPr>
      <w:r>
        <w:drawing>
          <wp:inline distT="0" distB="0" distL="0" distR="0">
            <wp:extent cx="1387475" cy="191770"/>
            <wp:effectExtent l="0" t="0" r="9525" b="1143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4"/>
                    <a:stretch>
                      <a:fillRect/>
                    </a:stretch>
                  </pic:blipFill>
                  <pic:spPr>
                    <a:xfrm>
                      <a:off x="0" y="0"/>
                      <a:ext cx="1388084" cy="191846"/>
                    </a:xfrm>
                    <a:prstGeom prst="rect">
                      <a:avLst/>
                    </a:prstGeom>
                  </pic:spPr>
                </pic:pic>
              </a:graphicData>
            </a:graphic>
          </wp:inline>
        </w:drawing>
      </w:r>
    </w:p>
    <w:p>
      <w:pPr>
        <w:spacing w:before="101" w:line="239" w:lineRule="auto"/>
        <w:ind w:left="563" w:right="1030"/>
        <w:rPr>
          <w:rFonts w:ascii="新宋体" w:hAnsi="新宋体" w:eastAsia="新宋体" w:cs="新宋体"/>
          <w:sz w:val="28"/>
          <w:szCs w:val="28"/>
        </w:rPr>
      </w:pPr>
      <w:r>
        <w:rPr>
          <w:rFonts w:ascii="新宋体" w:hAnsi="新宋体" w:eastAsia="新宋体" w:cs="新宋体"/>
          <w:spacing w:val="-16"/>
          <w:sz w:val="28"/>
          <w:szCs w:val="28"/>
        </w:rPr>
        <w:t>大写：</w:t>
      </w:r>
      <w:r>
        <w:rPr>
          <w:rFonts w:ascii="新宋体" w:hAnsi="新宋体" w:eastAsia="新宋体" w:cs="新宋体"/>
          <w:spacing w:val="-16"/>
          <w:sz w:val="28"/>
          <w:szCs w:val="28"/>
          <w:u w:val="single" w:color="auto"/>
        </w:rPr>
        <w:t xml:space="preserve"> </w:t>
      </w:r>
      <w:r>
        <w:rPr>
          <w:rFonts w:ascii="新宋体" w:hAnsi="新宋体" w:eastAsia="新宋体" w:cs="新宋体"/>
          <w:spacing w:val="-13"/>
          <w:sz w:val="28"/>
          <w:szCs w:val="28"/>
          <w:u w:val="single" w:color="auto"/>
        </w:rPr>
        <w:t xml:space="preserve"> </w:t>
      </w:r>
      <w:r>
        <w:rPr>
          <w:rFonts w:ascii="新宋体" w:hAnsi="新宋体" w:eastAsia="新宋体" w:cs="新宋体"/>
          <w:spacing w:val="-8"/>
          <w:sz w:val="28"/>
          <w:szCs w:val="28"/>
          <w:u w:val="single" w:color="auto"/>
        </w:rPr>
        <w:t xml:space="preserve">                                          </w:t>
      </w:r>
      <w:r>
        <w:rPr>
          <w:rFonts w:ascii="新宋体" w:hAnsi="新宋体" w:eastAsia="新宋体" w:cs="新宋体"/>
          <w:spacing w:val="-8"/>
          <w:sz w:val="28"/>
          <w:szCs w:val="28"/>
        </w:rPr>
        <w:t>元。</w:t>
      </w:r>
      <w:r>
        <w:rPr>
          <w:rFonts w:ascii="新宋体" w:hAnsi="新宋体" w:eastAsia="新宋体" w:cs="新宋体"/>
          <w:sz w:val="28"/>
          <w:szCs w:val="28"/>
        </w:rPr>
        <w:t xml:space="preserve"> </w:t>
      </w:r>
      <w:r>
        <w:rPr>
          <w:rFonts w:ascii="新宋体" w:hAnsi="新宋体" w:eastAsia="新宋体" w:cs="新宋体"/>
          <w:spacing w:val="-32"/>
          <w:sz w:val="28"/>
          <w:szCs w:val="28"/>
        </w:rPr>
        <w:t>本</w:t>
      </w:r>
      <w:r>
        <w:rPr>
          <w:rFonts w:ascii="新宋体" w:hAnsi="新宋体" w:eastAsia="新宋体" w:cs="新宋体"/>
          <w:spacing w:val="-20"/>
          <w:sz w:val="28"/>
          <w:szCs w:val="28"/>
        </w:rPr>
        <w:t>合同项下货物总金额：￥</w:t>
      </w:r>
      <w:r>
        <w:rPr>
          <w:rFonts w:ascii="新宋体" w:hAnsi="新宋体" w:eastAsia="新宋体" w:cs="新宋体"/>
          <w:spacing w:val="-20"/>
          <w:sz w:val="28"/>
          <w:szCs w:val="28"/>
          <w:u w:val="single" w:color="auto"/>
        </w:rPr>
        <w:t xml:space="preserve">                        </w:t>
      </w:r>
      <w:r>
        <w:rPr>
          <w:rFonts w:ascii="新宋体" w:hAnsi="新宋体" w:eastAsia="新宋体" w:cs="新宋体"/>
          <w:spacing w:val="-20"/>
          <w:sz w:val="28"/>
          <w:szCs w:val="28"/>
        </w:rPr>
        <w:t xml:space="preserve"> 元。  分</w:t>
      </w:r>
      <w:r>
        <w:rPr>
          <w:rFonts w:ascii="新宋体" w:hAnsi="新宋体" w:eastAsia="新宋体" w:cs="新宋体"/>
          <w:sz w:val="28"/>
          <w:szCs w:val="28"/>
        </w:rPr>
        <w:t xml:space="preserve"> </w:t>
      </w:r>
      <w:r>
        <w:rPr>
          <w:rFonts w:ascii="新宋体" w:hAnsi="新宋体" w:eastAsia="新宋体" w:cs="新宋体"/>
          <w:spacing w:val="-27"/>
          <w:sz w:val="28"/>
          <w:szCs w:val="28"/>
        </w:rPr>
        <w:t>项</w:t>
      </w:r>
      <w:r>
        <w:rPr>
          <w:rFonts w:ascii="新宋体" w:hAnsi="新宋体" w:eastAsia="新宋体" w:cs="新宋体"/>
          <w:spacing w:val="-18"/>
          <w:sz w:val="28"/>
          <w:szCs w:val="28"/>
        </w:rPr>
        <w:t>价款在《服务一览表》中有明确规定。</w:t>
      </w:r>
    </w:p>
    <w:p>
      <w:pPr>
        <w:spacing w:line="229" w:lineRule="auto"/>
        <w:ind w:right="110" w:firstLine="586"/>
        <w:rPr>
          <w:rFonts w:ascii="新宋体" w:hAnsi="新宋体" w:eastAsia="新宋体" w:cs="新宋体"/>
          <w:sz w:val="28"/>
          <w:szCs w:val="28"/>
        </w:rPr>
      </w:pPr>
      <w:r>
        <w:rPr>
          <w:rFonts w:ascii="新宋体" w:hAnsi="新宋体" w:eastAsia="新宋体" w:cs="新宋体"/>
          <w:spacing w:val="25"/>
          <w:sz w:val="28"/>
          <w:szCs w:val="28"/>
        </w:rPr>
        <w:t>本</w:t>
      </w:r>
      <w:r>
        <w:rPr>
          <w:rFonts w:ascii="新宋体" w:hAnsi="新宋体" w:eastAsia="新宋体" w:cs="新宋体"/>
          <w:spacing w:val="17"/>
          <w:sz w:val="28"/>
          <w:szCs w:val="28"/>
        </w:rPr>
        <w:t>合同总价款包括服务期间必须的日常物料、易耗品、工具、</w:t>
      </w:r>
      <w:r>
        <w:rPr>
          <w:rFonts w:ascii="新宋体" w:hAnsi="新宋体" w:eastAsia="新宋体" w:cs="新宋体"/>
          <w:sz w:val="28"/>
          <w:szCs w:val="28"/>
        </w:rPr>
        <w:t xml:space="preserve"> </w:t>
      </w:r>
      <w:r>
        <w:rPr>
          <w:rFonts w:ascii="新宋体" w:hAnsi="新宋体" w:eastAsia="新宋体" w:cs="新宋体"/>
          <w:spacing w:val="20"/>
          <w:sz w:val="28"/>
          <w:szCs w:val="28"/>
        </w:rPr>
        <w:t>调</w:t>
      </w:r>
      <w:r>
        <w:rPr>
          <w:rFonts w:ascii="新宋体" w:hAnsi="新宋体" w:eastAsia="新宋体" w:cs="新宋体"/>
          <w:spacing w:val="11"/>
          <w:sz w:val="28"/>
          <w:szCs w:val="28"/>
        </w:rPr>
        <w:t xml:space="preserve"> 试费、培训费等相关费用。</w:t>
      </w:r>
    </w:p>
    <w:p>
      <w:pPr>
        <w:spacing w:before="13" w:line="222" w:lineRule="auto"/>
        <w:ind w:left="9" w:right="110" w:firstLine="554"/>
        <w:rPr>
          <w:rFonts w:ascii="新宋体" w:hAnsi="新宋体" w:eastAsia="新宋体" w:cs="新宋体"/>
          <w:sz w:val="28"/>
          <w:szCs w:val="28"/>
        </w:rPr>
      </w:pPr>
      <w:r>
        <w:rPr>
          <w:rFonts w:ascii="新宋体" w:hAnsi="新宋体" w:eastAsia="新宋体" w:cs="新宋体"/>
          <w:spacing w:val="-4"/>
          <w:sz w:val="28"/>
          <w:szCs w:val="28"/>
        </w:rPr>
        <w:t>本合同执行</w:t>
      </w:r>
      <w:r>
        <w:rPr>
          <w:rFonts w:ascii="新宋体" w:hAnsi="新宋体" w:eastAsia="新宋体" w:cs="新宋体"/>
          <w:spacing w:val="-3"/>
          <w:sz w:val="28"/>
          <w:szCs w:val="28"/>
        </w:rPr>
        <w:t>期</w:t>
      </w:r>
      <w:r>
        <w:rPr>
          <w:rFonts w:ascii="新宋体" w:hAnsi="新宋体" w:eastAsia="新宋体" w:cs="新宋体"/>
          <w:spacing w:val="-2"/>
          <w:sz w:val="28"/>
          <w:szCs w:val="28"/>
        </w:rPr>
        <w:t>内因工作量变化而引起的服务费用的变动，在双方事</w:t>
      </w:r>
      <w:r>
        <w:rPr>
          <w:rFonts w:ascii="新宋体" w:hAnsi="新宋体" w:eastAsia="新宋体" w:cs="新宋体"/>
          <w:sz w:val="28"/>
          <w:szCs w:val="28"/>
        </w:rPr>
        <w:t xml:space="preserve"> </w:t>
      </w:r>
      <w:r>
        <w:rPr>
          <w:rFonts w:ascii="新宋体" w:hAnsi="新宋体" w:eastAsia="新宋体" w:cs="新宋体"/>
          <w:spacing w:val="-4"/>
          <w:sz w:val="28"/>
          <w:szCs w:val="28"/>
        </w:rPr>
        <w:t>先协商一致的前</w:t>
      </w:r>
      <w:r>
        <w:rPr>
          <w:rFonts w:ascii="新宋体" w:hAnsi="新宋体" w:eastAsia="新宋体" w:cs="新宋体"/>
          <w:spacing w:val="-2"/>
          <w:sz w:val="28"/>
          <w:szCs w:val="28"/>
        </w:rPr>
        <w:t>提下签订补充合同，但因此而增加的服务费用不得超过</w:t>
      </w:r>
      <w:r>
        <w:rPr>
          <w:rFonts w:ascii="新宋体" w:hAnsi="新宋体" w:eastAsia="新宋体" w:cs="新宋体"/>
          <w:sz w:val="28"/>
          <w:szCs w:val="28"/>
        </w:rPr>
        <w:t xml:space="preserve"> </w:t>
      </w:r>
      <w:r>
        <w:rPr>
          <w:rFonts w:ascii="新宋体" w:hAnsi="新宋体" w:eastAsia="新宋体" w:cs="新宋体"/>
          <w:spacing w:val="-6"/>
          <w:sz w:val="28"/>
          <w:szCs w:val="28"/>
        </w:rPr>
        <w:t>原</w:t>
      </w:r>
      <w:r>
        <w:rPr>
          <w:rFonts w:ascii="新宋体" w:hAnsi="新宋体" w:eastAsia="新宋体" w:cs="新宋体"/>
          <w:spacing w:val="-4"/>
          <w:sz w:val="28"/>
          <w:szCs w:val="28"/>
        </w:rPr>
        <w:t>中标金额的10%。</w:t>
      </w:r>
    </w:p>
    <w:p>
      <w:pPr>
        <w:spacing w:line="333" w:lineRule="exact"/>
        <w:ind w:firstLine="523"/>
        <w:textAlignment w:val="center"/>
      </w:pPr>
      <w:r>
        <w:drawing>
          <wp:inline distT="0" distB="0" distL="0" distR="0">
            <wp:extent cx="1743710" cy="211455"/>
            <wp:effectExtent l="0" t="0" r="8890" b="444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
                    <a:stretch>
                      <a:fillRect/>
                    </a:stretch>
                  </pic:blipFill>
                  <pic:spPr>
                    <a:xfrm>
                      <a:off x="0" y="0"/>
                      <a:ext cx="1743773" cy="211747"/>
                    </a:xfrm>
                    <a:prstGeom prst="rect">
                      <a:avLst/>
                    </a:prstGeom>
                  </pic:spPr>
                </pic:pic>
              </a:graphicData>
            </a:graphic>
          </wp:inline>
        </w:drawing>
      </w:r>
    </w:p>
    <w:p>
      <w:pPr>
        <w:spacing w:before="105" w:line="235" w:lineRule="auto"/>
        <w:ind w:left="8" w:right="98" w:firstLine="592"/>
        <w:rPr>
          <w:rFonts w:ascii="新宋体" w:hAnsi="新宋体" w:eastAsia="新宋体" w:cs="新宋体"/>
          <w:sz w:val="28"/>
          <w:szCs w:val="28"/>
        </w:rPr>
      </w:pPr>
      <w:r>
        <w:rPr>
          <w:rFonts w:ascii="新宋体" w:hAnsi="新宋体" w:eastAsia="新宋体" w:cs="新宋体"/>
          <w:spacing w:val="-16"/>
          <w:sz w:val="28"/>
          <w:szCs w:val="28"/>
        </w:rPr>
        <w:t>1、</w:t>
      </w:r>
      <w:r>
        <w:rPr>
          <w:rFonts w:ascii="新宋体" w:hAnsi="新宋体" w:eastAsia="新宋体" w:cs="新宋体"/>
          <w:spacing w:val="-12"/>
          <w:sz w:val="28"/>
          <w:szCs w:val="28"/>
        </w:rPr>
        <w:t>甲</w:t>
      </w:r>
      <w:r>
        <w:rPr>
          <w:rFonts w:ascii="新宋体" w:hAnsi="新宋体" w:eastAsia="新宋体" w:cs="新宋体"/>
          <w:spacing w:val="-8"/>
          <w:sz w:val="28"/>
          <w:szCs w:val="28"/>
        </w:rPr>
        <w:t>方保证服务期间，对乙方工作给予支持，提供水、电、场地等</w:t>
      </w:r>
      <w:r>
        <w:rPr>
          <w:rFonts w:ascii="新宋体" w:hAnsi="新宋体" w:eastAsia="新宋体" w:cs="新宋体"/>
          <w:sz w:val="28"/>
          <w:szCs w:val="28"/>
        </w:rPr>
        <w:t xml:space="preserve"> </w:t>
      </w:r>
      <w:r>
        <w:rPr>
          <w:rFonts w:ascii="新宋体" w:hAnsi="新宋体" w:eastAsia="新宋体" w:cs="新宋体"/>
          <w:spacing w:val="-12"/>
          <w:sz w:val="28"/>
          <w:szCs w:val="28"/>
        </w:rPr>
        <w:t>必</w:t>
      </w:r>
      <w:r>
        <w:rPr>
          <w:rFonts w:ascii="新宋体" w:hAnsi="新宋体" w:eastAsia="新宋体" w:cs="新宋体"/>
          <w:spacing w:val="-9"/>
          <w:sz w:val="28"/>
          <w:szCs w:val="28"/>
        </w:rPr>
        <w:t>须</w:t>
      </w:r>
      <w:r>
        <w:rPr>
          <w:rFonts w:ascii="新宋体" w:hAnsi="新宋体" w:eastAsia="新宋体" w:cs="新宋体"/>
          <w:spacing w:val="-6"/>
          <w:sz w:val="28"/>
          <w:szCs w:val="28"/>
        </w:rPr>
        <w:t>的基 础工作条件。如乙方有需要，还应提供履行合同所必需的有关</w:t>
      </w:r>
      <w:r>
        <w:rPr>
          <w:rFonts w:ascii="新宋体" w:hAnsi="新宋体" w:eastAsia="新宋体" w:cs="新宋体"/>
          <w:sz w:val="28"/>
          <w:szCs w:val="28"/>
        </w:rPr>
        <w:t xml:space="preserve"> </w:t>
      </w:r>
      <w:r>
        <w:rPr>
          <w:rFonts w:ascii="新宋体" w:hAnsi="新宋体" w:eastAsia="新宋体" w:cs="新宋体"/>
          <w:spacing w:val="-4"/>
          <w:sz w:val="28"/>
          <w:szCs w:val="28"/>
        </w:rPr>
        <w:t>图纸、数据、</w:t>
      </w:r>
      <w:r>
        <w:rPr>
          <w:rFonts w:ascii="新宋体" w:hAnsi="新宋体" w:eastAsia="新宋体" w:cs="新宋体"/>
          <w:spacing w:val="-3"/>
          <w:sz w:val="28"/>
          <w:szCs w:val="28"/>
        </w:rPr>
        <w:t>资</w:t>
      </w:r>
      <w:r>
        <w:rPr>
          <w:rFonts w:ascii="新宋体" w:hAnsi="新宋体" w:eastAsia="新宋体" w:cs="新宋体"/>
          <w:spacing w:val="-2"/>
          <w:sz w:val="28"/>
          <w:szCs w:val="28"/>
        </w:rPr>
        <w:t>料等。没有甲方事先同意，乙方不得将甲方资料提供给</w:t>
      </w:r>
      <w:r>
        <w:rPr>
          <w:rFonts w:ascii="新宋体" w:hAnsi="新宋体" w:eastAsia="新宋体" w:cs="新宋体"/>
          <w:sz w:val="28"/>
          <w:szCs w:val="28"/>
        </w:rPr>
        <w:t xml:space="preserve"> </w:t>
      </w:r>
      <w:r>
        <w:rPr>
          <w:rFonts w:ascii="新宋体" w:hAnsi="新宋体" w:eastAsia="新宋体" w:cs="新宋体"/>
          <w:spacing w:val="-2"/>
          <w:sz w:val="28"/>
          <w:szCs w:val="28"/>
        </w:rPr>
        <w:t>与履行本合同无关的任何其他人。即使向履行本合同有关的人员提供</w:t>
      </w:r>
      <w:r>
        <w:rPr>
          <w:rFonts w:ascii="新宋体" w:hAnsi="新宋体" w:eastAsia="新宋体" w:cs="新宋体"/>
          <w:spacing w:val="-1"/>
          <w:sz w:val="28"/>
          <w:szCs w:val="28"/>
        </w:rPr>
        <w:t>，</w:t>
      </w:r>
      <w:r>
        <w:rPr>
          <w:rFonts w:ascii="新宋体" w:hAnsi="新宋体" w:eastAsia="新宋体" w:cs="新宋体"/>
          <w:sz w:val="28"/>
          <w:szCs w:val="28"/>
        </w:rPr>
        <w:t xml:space="preserve"> </w:t>
      </w:r>
      <w:r>
        <w:rPr>
          <w:rFonts w:ascii="新宋体" w:hAnsi="新宋体" w:eastAsia="新宋体" w:cs="新宋体"/>
          <w:spacing w:val="-4"/>
          <w:sz w:val="28"/>
          <w:szCs w:val="28"/>
        </w:rPr>
        <w:t>也应注意保</w:t>
      </w:r>
      <w:r>
        <w:rPr>
          <w:rFonts w:ascii="新宋体" w:hAnsi="新宋体" w:eastAsia="新宋体" w:cs="新宋体"/>
          <w:spacing w:val="-3"/>
          <w:sz w:val="28"/>
          <w:szCs w:val="28"/>
        </w:rPr>
        <w:t>密</w:t>
      </w:r>
      <w:r>
        <w:rPr>
          <w:rFonts w:ascii="新宋体" w:hAnsi="新宋体" w:eastAsia="新宋体" w:cs="新宋体"/>
          <w:spacing w:val="-2"/>
          <w:sz w:val="28"/>
          <w:szCs w:val="28"/>
        </w:rPr>
        <w:t>并限于履行合同的必需范围内。</w:t>
      </w:r>
    </w:p>
    <w:p>
      <w:pPr>
        <w:spacing w:before="52" w:line="244" w:lineRule="auto"/>
        <w:ind w:left="2" w:right="115" w:firstLine="563"/>
        <w:rPr>
          <w:rFonts w:ascii="新宋体" w:hAnsi="新宋体" w:eastAsia="新宋体" w:cs="新宋体"/>
          <w:sz w:val="28"/>
          <w:szCs w:val="28"/>
        </w:rPr>
      </w:pPr>
      <w:r>
        <w:rPr>
          <w:rFonts w:ascii="新宋体" w:hAnsi="新宋体" w:eastAsia="新宋体" w:cs="新宋体"/>
          <w:spacing w:val="-10"/>
          <w:sz w:val="28"/>
          <w:szCs w:val="28"/>
        </w:rPr>
        <w:t>2</w:t>
      </w:r>
      <w:r>
        <w:rPr>
          <w:rFonts w:ascii="新宋体" w:hAnsi="新宋体" w:eastAsia="新宋体" w:cs="新宋体"/>
          <w:spacing w:val="-8"/>
          <w:sz w:val="28"/>
          <w:szCs w:val="28"/>
        </w:rPr>
        <w:t>、乙方保证所提供的服务或其任何一部分均不会侵犯任何第三方的</w:t>
      </w:r>
      <w:r>
        <w:rPr>
          <w:rFonts w:ascii="新宋体" w:hAnsi="新宋体" w:eastAsia="新宋体" w:cs="新宋体"/>
          <w:sz w:val="28"/>
          <w:szCs w:val="28"/>
        </w:rPr>
        <w:t xml:space="preserve"> </w:t>
      </w:r>
      <w:r>
        <w:rPr>
          <w:rFonts w:ascii="新宋体" w:hAnsi="新宋体" w:eastAsia="新宋体" w:cs="新宋体"/>
          <w:spacing w:val="-4"/>
          <w:sz w:val="28"/>
          <w:szCs w:val="28"/>
        </w:rPr>
        <w:t>专利权、商</w:t>
      </w:r>
      <w:r>
        <w:rPr>
          <w:rFonts w:ascii="新宋体" w:hAnsi="新宋体" w:eastAsia="新宋体" w:cs="新宋体"/>
          <w:spacing w:val="-2"/>
          <w:sz w:val="28"/>
          <w:szCs w:val="28"/>
        </w:rPr>
        <w:t>标权或著作权。一旦出现侵权，索赔或诉讼，乙方应承担全</w:t>
      </w:r>
      <w:r>
        <w:rPr>
          <w:rFonts w:ascii="新宋体" w:hAnsi="新宋体" w:eastAsia="新宋体" w:cs="新宋体"/>
          <w:sz w:val="28"/>
          <w:szCs w:val="28"/>
        </w:rPr>
        <w:t xml:space="preserve"> </w:t>
      </w:r>
      <w:r>
        <w:rPr>
          <w:rFonts w:ascii="新宋体" w:hAnsi="新宋体" w:eastAsia="新宋体" w:cs="新宋体"/>
          <w:spacing w:val="-4"/>
          <w:sz w:val="28"/>
          <w:szCs w:val="28"/>
        </w:rPr>
        <w:t>部责任。乙</w:t>
      </w:r>
      <w:r>
        <w:rPr>
          <w:rFonts w:ascii="新宋体" w:hAnsi="新宋体" w:eastAsia="新宋体" w:cs="新宋体"/>
          <w:spacing w:val="-2"/>
          <w:sz w:val="28"/>
          <w:szCs w:val="28"/>
        </w:rPr>
        <w:t>方保证服务不存在危及人身及财产安全的隐患，不存在违反</w:t>
      </w:r>
      <w:r>
        <w:rPr>
          <w:rFonts w:ascii="新宋体" w:hAnsi="新宋体" w:eastAsia="新宋体" w:cs="新宋体"/>
          <w:sz w:val="28"/>
          <w:szCs w:val="28"/>
        </w:rPr>
        <w:t xml:space="preserve"> </w:t>
      </w:r>
      <w:r>
        <w:rPr>
          <w:rFonts w:ascii="新宋体" w:hAnsi="新宋体" w:eastAsia="新宋体" w:cs="新宋体"/>
          <w:spacing w:val="-4"/>
          <w:sz w:val="28"/>
          <w:szCs w:val="28"/>
        </w:rPr>
        <w:t>国家法规、</w:t>
      </w:r>
      <w:r>
        <w:rPr>
          <w:rFonts w:ascii="新宋体" w:hAnsi="新宋体" w:eastAsia="新宋体" w:cs="新宋体"/>
          <w:spacing w:val="-2"/>
          <w:sz w:val="28"/>
          <w:szCs w:val="28"/>
        </w:rPr>
        <w:t>法令、法律以及行业规范所要求的有关安全条款，否则应承</w:t>
      </w:r>
      <w:r>
        <w:rPr>
          <w:rFonts w:ascii="新宋体" w:hAnsi="新宋体" w:eastAsia="新宋体" w:cs="新宋体"/>
          <w:sz w:val="28"/>
          <w:szCs w:val="28"/>
        </w:rPr>
        <w:t xml:space="preserve"> </w:t>
      </w:r>
      <w:r>
        <w:rPr>
          <w:rFonts w:ascii="新宋体" w:hAnsi="新宋体" w:eastAsia="新宋体" w:cs="新宋体"/>
          <w:spacing w:val="-8"/>
          <w:sz w:val="28"/>
          <w:szCs w:val="28"/>
        </w:rPr>
        <w:t>担</w:t>
      </w:r>
      <w:r>
        <w:rPr>
          <w:rFonts w:ascii="新宋体" w:hAnsi="新宋体" w:eastAsia="新宋体" w:cs="新宋体"/>
          <w:spacing w:val="-4"/>
          <w:sz w:val="28"/>
          <w:szCs w:val="28"/>
        </w:rPr>
        <w:t>全部法律责任。</w:t>
      </w:r>
    </w:p>
    <w:p>
      <w:pPr>
        <w:sectPr>
          <w:footerReference r:id="rId4" w:type="default"/>
          <w:pgSz w:w="11911" w:h="16840"/>
          <w:pgMar w:top="400" w:right="1576" w:bottom="1302" w:left="1608" w:header="0" w:footer="1134" w:gutter="0"/>
          <w:pgNumType w:fmt="decimal"/>
          <w:cols w:space="720" w:num="1"/>
        </w:sectPr>
      </w:pPr>
    </w:p>
    <w:p>
      <w:pPr>
        <w:spacing w:line="256" w:lineRule="auto"/>
        <w:rPr>
          <w:rFonts w:ascii="Arial"/>
          <w:sz w:val="21"/>
        </w:rPr>
      </w:pPr>
      <w:r>
        <w:drawing>
          <wp:anchor distT="0" distB="0" distL="0" distR="0" simplePos="0" relativeHeight="251659264" behindDoc="0" locked="0" layoutInCell="0" allowOverlap="1">
            <wp:simplePos x="0" y="0"/>
            <wp:positionH relativeFrom="page">
              <wp:posOffset>2169160</wp:posOffset>
            </wp:positionH>
            <wp:positionV relativeFrom="page">
              <wp:posOffset>6592570</wp:posOffset>
            </wp:positionV>
            <wp:extent cx="342900" cy="210820"/>
            <wp:effectExtent l="0" t="0" r="0" b="508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6"/>
                    <a:stretch>
                      <a:fillRect/>
                    </a:stretch>
                  </pic:blipFill>
                  <pic:spPr>
                    <a:xfrm>
                      <a:off x="0" y="0"/>
                      <a:ext cx="342785" cy="211061"/>
                    </a:xfrm>
                    <a:prstGeom prst="rect">
                      <a:avLst/>
                    </a:prstGeom>
                  </pic:spPr>
                </pic:pic>
              </a:graphicData>
            </a:graphic>
          </wp:anchor>
        </w:drawing>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334" w:lineRule="exact"/>
        <w:ind w:firstLine="527"/>
        <w:textAlignment w:val="center"/>
      </w:pPr>
      <w:r>
        <w:drawing>
          <wp:inline distT="0" distB="0" distL="0" distR="0">
            <wp:extent cx="1219835" cy="211455"/>
            <wp:effectExtent l="0" t="0" r="12065" b="444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1220088" cy="211747"/>
                    </a:xfrm>
                    <a:prstGeom prst="rect">
                      <a:avLst/>
                    </a:prstGeom>
                  </pic:spPr>
                </pic:pic>
              </a:graphicData>
            </a:graphic>
          </wp:inline>
        </w:drawing>
      </w:r>
    </w:p>
    <w:p>
      <w:pPr>
        <w:spacing w:before="55" w:line="242" w:lineRule="auto"/>
        <w:ind w:left="606"/>
        <w:rPr>
          <w:rFonts w:ascii="新宋体" w:hAnsi="新宋体" w:eastAsia="新宋体" w:cs="新宋体"/>
          <w:sz w:val="28"/>
          <w:szCs w:val="28"/>
        </w:rPr>
      </w:pPr>
      <w:r>
        <w:rPr>
          <w:rFonts w:ascii="新宋体" w:hAnsi="新宋体" w:eastAsia="新宋体" w:cs="新宋体"/>
          <w:spacing w:val="-8"/>
          <w:sz w:val="28"/>
          <w:szCs w:val="28"/>
        </w:rPr>
        <w:t>1</w:t>
      </w:r>
      <w:r>
        <w:rPr>
          <w:rFonts w:ascii="新宋体" w:hAnsi="新宋体" w:eastAsia="新宋体" w:cs="新宋体"/>
          <w:spacing w:val="-5"/>
          <w:sz w:val="28"/>
          <w:szCs w:val="28"/>
        </w:rPr>
        <w:t>、本合同项下所有款项均以人民币支付。</w:t>
      </w:r>
    </w:p>
    <w:p>
      <w:pPr>
        <w:spacing w:before="59" w:line="225" w:lineRule="auto"/>
        <w:ind w:left="12" w:right="398" w:firstLine="581"/>
        <w:rPr>
          <w:rFonts w:ascii="新宋体" w:hAnsi="新宋体" w:eastAsia="新宋体" w:cs="新宋体"/>
          <w:sz w:val="28"/>
          <w:szCs w:val="28"/>
        </w:rPr>
      </w:pPr>
      <w:r>
        <w:rPr>
          <w:rFonts w:ascii="新宋体" w:hAnsi="新宋体" w:eastAsia="新宋体" w:cs="新宋体"/>
          <w:spacing w:val="24"/>
          <w:sz w:val="28"/>
          <w:szCs w:val="28"/>
        </w:rPr>
        <w:t>2</w:t>
      </w:r>
      <w:r>
        <w:rPr>
          <w:rFonts w:ascii="新宋体" w:hAnsi="新宋体" w:eastAsia="新宋体" w:cs="新宋体"/>
          <w:spacing w:val="21"/>
          <w:sz w:val="28"/>
          <w:szCs w:val="28"/>
        </w:rPr>
        <w:t>、</w:t>
      </w:r>
      <w:r>
        <w:rPr>
          <w:rFonts w:ascii="新宋体" w:hAnsi="新宋体" w:eastAsia="新宋体" w:cs="新宋体"/>
          <w:spacing w:val="12"/>
          <w:sz w:val="28"/>
          <w:szCs w:val="28"/>
        </w:rPr>
        <w:t xml:space="preserve"> 乙方向甲方提交下列文件材料，经甲方审核无误后支付采</w:t>
      </w:r>
      <w:r>
        <w:rPr>
          <w:rFonts w:ascii="新宋体" w:hAnsi="新宋体" w:eastAsia="新宋体" w:cs="新宋体"/>
          <w:sz w:val="28"/>
          <w:szCs w:val="28"/>
        </w:rPr>
        <w:t xml:space="preserve"> </w:t>
      </w:r>
      <w:r>
        <w:rPr>
          <w:rFonts w:ascii="新宋体" w:hAnsi="新宋体" w:eastAsia="新宋体" w:cs="新宋体"/>
          <w:spacing w:val="1"/>
          <w:sz w:val="28"/>
          <w:szCs w:val="28"/>
        </w:rPr>
        <w:t>购资金</w:t>
      </w:r>
      <w:r>
        <w:rPr>
          <w:rFonts w:ascii="新宋体" w:hAnsi="新宋体" w:eastAsia="新宋体" w:cs="新宋体"/>
          <w:sz w:val="28"/>
          <w:szCs w:val="28"/>
        </w:rPr>
        <w:t>：</w:t>
      </w:r>
    </w:p>
    <w:p>
      <w:pPr>
        <w:spacing w:before="1" w:line="219" w:lineRule="auto"/>
        <w:ind w:left="579"/>
        <w:rPr>
          <w:rFonts w:ascii="新宋体" w:hAnsi="新宋体" w:eastAsia="新宋体" w:cs="新宋体"/>
          <w:sz w:val="28"/>
          <w:szCs w:val="28"/>
        </w:rPr>
      </w:pPr>
      <w:r>
        <w:rPr>
          <w:rFonts w:ascii="新宋体" w:hAnsi="新宋体" w:eastAsia="新宋体" w:cs="新宋体"/>
          <w:spacing w:val="-11"/>
          <w:sz w:val="28"/>
          <w:szCs w:val="28"/>
        </w:rPr>
        <w:t>(1) 经甲方确认的发票；</w:t>
      </w:r>
    </w:p>
    <w:p>
      <w:pPr>
        <w:spacing w:before="39" w:line="227" w:lineRule="auto"/>
        <w:ind w:right="167" w:firstLine="579"/>
        <w:rPr>
          <w:rFonts w:ascii="新宋体" w:hAnsi="新宋体" w:eastAsia="新宋体" w:cs="新宋体"/>
          <w:sz w:val="28"/>
          <w:szCs w:val="28"/>
        </w:rPr>
      </w:pPr>
      <w:r>
        <w:rPr>
          <w:rFonts w:ascii="新宋体" w:hAnsi="新宋体" w:eastAsia="新宋体" w:cs="新宋体"/>
          <w:spacing w:val="-36"/>
          <w:sz w:val="28"/>
          <w:szCs w:val="28"/>
        </w:rPr>
        <w:t>(</w:t>
      </w:r>
      <w:r>
        <w:rPr>
          <w:rFonts w:ascii="新宋体" w:hAnsi="新宋体" w:eastAsia="新宋体" w:cs="新宋体"/>
          <w:spacing w:val="-27"/>
          <w:sz w:val="28"/>
          <w:szCs w:val="28"/>
        </w:rPr>
        <w:t>2</w:t>
      </w:r>
      <w:r>
        <w:rPr>
          <w:rFonts w:ascii="新宋体" w:hAnsi="新宋体" w:eastAsia="新宋体" w:cs="新宋体"/>
          <w:spacing w:val="-18"/>
          <w:sz w:val="28"/>
          <w:szCs w:val="28"/>
        </w:rPr>
        <w:t>) 经甲乙双方确认签署的《验收报告》 (或按项目进度阶段性《 验收</w:t>
      </w:r>
      <w:r>
        <w:rPr>
          <w:rFonts w:ascii="新宋体" w:hAnsi="新宋体" w:eastAsia="新宋体" w:cs="新宋体"/>
          <w:sz w:val="28"/>
          <w:szCs w:val="28"/>
        </w:rPr>
        <w:t xml:space="preserve"> </w:t>
      </w:r>
      <w:r>
        <w:rPr>
          <w:rFonts w:ascii="新宋体" w:hAnsi="新宋体" w:eastAsia="新宋体" w:cs="新宋体"/>
          <w:spacing w:val="-37"/>
          <w:sz w:val="28"/>
          <w:szCs w:val="28"/>
        </w:rPr>
        <w:t>报</w:t>
      </w:r>
      <w:r>
        <w:rPr>
          <w:rFonts w:ascii="新宋体" w:hAnsi="新宋体" w:eastAsia="新宋体" w:cs="新宋体"/>
          <w:spacing w:val="-36"/>
          <w:sz w:val="28"/>
          <w:szCs w:val="28"/>
        </w:rPr>
        <w:t>告》) ；</w:t>
      </w:r>
    </w:p>
    <w:p>
      <w:pPr>
        <w:spacing w:before="2" w:line="219" w:lineRule="auto"/>
        <w:ind w:left="573"/>
        <w:rPr>
          <w:rFonts w:ascii="新宋体" w:hAnsi="新宋体" w:eastAsia="新宋体" w:cs="新宋体"/>
          <w:sz w:val="28"/>
          <w:szCs w:val="28"/>
        </w:rPr>
      </w:pPr>
      <w:r>
        <w:rPr>
          <w:rFonts w:ascii="新宋体" w:hAnsi="新宋体" w:eastAsia="新宋体" w:cs="新宋体"/>
          <w:spacing w:val="-8"/>
          <w:sz w:val="28"/>
          <w:szCs w:val="28"/>
        </w:rPr>
        <w:t>(3) 其他材料。</w:t>
      </w:r>
    </w:p>
    <w:p>
      <w:pPr>
        <w:spacing w:before="97" w:line="223" w:lineRule="auto"/>
        <w:ind w:left="1" w:right="319" w:firstLine="575"/>
        <w:rPr>
          <w:rFonts w:ascii="新宋体" w:hAnsi="新宋体" w:eastAsia="新宋体" w:cs="新宋体"/>
          <w:sz w:val="28"/>
          <w:szCs w:val="28"/>
        </w:rPr>
      </w:pPr>
      <w:r>
        <w:rPr>
          <w:rFonts w:ascii="新宋体" w:hAnsi="新宋体" w:eastAsia="新宋体" w:cs="新宋体"/>
          <w:spacing w:val="-15"/>
          <w:sz w:val="28"/>
          <w:szCs w:val="28"/>
        </w:rPr>
        <w:t>3</w:t>
      </w:r>
      <w:r>
        <w:rPr>
          <w:rFonts w:ascii="新宋体" w:hAnsi="新宋体" w:eastAsia="新宋体" w:cs="新宋体"/>
          <w:spacing w:val="-8"/>
          <w:sz w:val="28"/>
          <w:szCs w:val="28"/>
        </w:rPr>
        <w:t>、款项的支付进度以招标采购文件的有关规定为准。如招标采购文</w:t>
      </w:r>
      <w:r>
        <w:rPr>
          <w:rFonts w:ascii="新宋体" w:hAnsi="新宋体" w:eastAsia="新宋体" w:cs="新宋体"/>
          <w:sz w:val="28"/>
          <w:szCs w:val="28"/>
        </w:rPr>
        <w:t xml:space="preserve"> </w:t>
      </w:r>
      <w:r>
        <w:rPr>
          <w:rFonts w:ascii="新宋体" w:hAnsi="新宋体" w:eastAsia="新宋体" w:cs="新宋体"/>
          <w:spacing w:val="-4"/>
          <w:sz w:val="28"/>
          <w:szCs w:val="28"/>
        </w:rPr>
        <w:t>件未</w:t>
      </w:r>
      <w:r>
        <w:rPr>
          <w:rFonts w:ascii="新宋体" w:hAnsi="新宋体" w:eastAsia="新宋体" w:cs="新宋体"/>
          <w:spacing w:val="-3"/>
          <w:sz w:val="28"/>
          <w:szCs w:val="28"/>
        </w:rPr>
        <w:t>作</w:t>
      </w:r>
      <w:r>
        <w:rPr>
          <w:rFonts w:ascii="新宋体" w:hAnsi="新宋体" w:eastAsia="新宋体" w:cs="新宋体"/>
          <w:spacing w:val="-2"/>
          <w:sz w:val="28"/>
          <w:szCs w:val="28"/>
        </w:rPr>
        <w:t>特别规定，则付款进度应符合如下约定：</w:t>
      </w:r>
    </w:p>
    <w:p>
      <w:pPr>
        <w:spacing w:before="5" w:line="239" w:lineRule="auto"/>
        <w:ind w:left="1" w:right="242" w:firstLine="562"/>
        <w:rPr>
          <w:rFonts w:hint="default" w:ascii="新宋体" w:hAnsi="新宋体" w:eastAsia="新宋体" w:cs="新宋体"/>
          <w:color w:val="auto"/>
          <w:spacing w:val="-9"/>
          <w:sz w:val="28"/>
          <w:szCs w:val="28"/>
          <w:lang w:val="en-US" w:eastAsia="zh-CN"/>
        </w:rPr>
      </w:pPr>
      <w:r>
        <w:rPr>
          <w:rFonts w:hint="eastAsia" w:ascii="新宋体" w:hAnsi="新宋体" w:eastAsia="新宋体" w:cs="新宋体"/>
          <w:color w:val="auto"/>
          <w:spacing w:val="-9"/>
          <w:sz w:val="28"/>
          <w:szCs w:val="28"/>
          <w:lang w:val="en-US" w:eastAsia="zh-CN"/>
        </w:rPr>
        <w:t>次季度按照实际到岗人数据实支付上一季度服务费的100%。</w:t>
      </w:r>
    </w:p>
    <w:p>
      <w:pPr>
        <w:spacing w:before="1" w:line="233" w:lineRule="auto"/>
        <w:ind w:left="4" w:right="187" w:firstLine="662"/>
        <w:rPr>
          <w:rFonts w:ascii="新宋体" w:hAnsi="新宋体" w:eastAsia="新宋体" w:cs="新宋体"/>
          <w:sz w:val="28"/>
          <w:szCs w:val="28"/>
        </w:rPr>
      </w:pPr>
      <w:r>
        <w:rPr>
          <w:rFonts w:ascii="新宋体" w:hAnsi="新宋体" w:eastAsia="新宋体" w:cs="新宋体"/>
          <w:position w:val="-6"/>
          <w:sz w:val="28"/>
          <w:szCs w:val="28"/>
        </w:rPr>
        <w:drawing>
          <wp:inline distT="0" distB="0" distL="0" distR="0">
            <wp:extent cx="583565" cy="208280"/>
            <wp:effectExtent l="0" t="0" r="635" b="762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8"/>
                    <a:stretch>
                      <a:fillRect/>
                    </a:stretch>
                  </pic:blipFill>
                  <pic:spPr>
                    <a:xfrm>
                      <a:off x="0" y="0"/>
                      <a:ext cx="583615" cy="208356"/>
                    </a:xfrm>
                    <a:prstGeom prst="rect">
                      <a:avLst/>
                    </a:prstGeom>
                  </pic:spPr>
                </pic:pic>
              </a:graphicData>
            </a:graphic>
          </wp:inline>
        </w:drawing>
      </w:r>
      <w:r>
        <w:rPr>
          <w:rFonts w:ascii="新宋体" w:hAnsi="新宋体" w:eastAsia="新宋体" w:cs="新宋体"/>
          <w:spacing w:val="-24"/>
          <w:sz w:val="28"/>
          <w:szCs w:val="28"/>
        </w:rPr>
        <w:t xml:space="preserve"> </w:t>
      </w:r>
      <w:r>
        <w:rPr>
          <w:rFonts w:ascii="新宋体" w:hAnsi="新宋体" w:eastAsia="新宋体" w:cs="新宋体"/>
          <w:spacing w:val="-16"/>
          <w:sz w:val="28"/>
          <w:szCs w:val="28"/>
        </w:rPr>
        <w:t xml:space="preserve"> </w:t>
      </w:r>
      <w:r>
        <w:rPr>
          <w:rFonts w:ascii="新宋体" w:hAnsi="新宋体" w:eastAsia="新宋体" w:cs="新宋体"/>
          <w:position w:val="-6"/>
          <w:sz w:val="28"/>
          <w:szCs w:val="28"/>
        </w:rPr>
        <w:drawing>
          <wp:inline distT="0" distB="0" distL="0" distR="0">
            <wp:extent cx="868045" cy="207010"/>
            <wp:effectExtent l="0" t="0" r="8255" b="889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868552" cy="207517"/>
                    </a:xfrm>
                    <a:prstGeom prst="rect">
                      <a:avLst/>
                    </a:prstGeom>
                  </pic:spPr>
                </pic:pic>
              </a:graphicData>
            </a:graphic>
          </wp:inline>
        </w:drawing>
      </w:r>
      <w:r>
        <w:rPr>
          <w:rFonts w:ascii="新宋体" w:hAnsi="新宋体" w:eastAsia="新宋体" w:cs="新宋体"/>
          <w:spacing w:val="-16"/>
          <w:sz w:val="28"/>
          <w:szCs w:val="28"/>
        </w:rPr>
        <w:t xml:space="preserve"> (为减轻供应商负担，非特殊需求，不建议采购</w:t>
      </w:r>
      <w:r>
        <w:rPr>
          <w:rFonts w:ascii="新宋体" w:hAnsi="新宋体" w:eastAsia="新宋体" w:cs="新宋体"/>
          <w:sz w:val="28"/>
          <w:szCs w:val="28"/>
        </w:rPr>
        <w:t xml:space="preserve"> </w:t>
      </w:r>
      <w:r>
        <w:rPr>
          <w:rFonts w:ascii="新宋体" w:hAnsi="新宋体" w:eastAsia="新宋体" w:cs="新宋体"/>
          <w:spacing w:val="-1"/>
          <w:sz w:val="28"/>
          <w:szCs w:val="28"/>
        </w:rPr>
        <w:t>人收取履约保证金，供应商未</w:t>
      </w:r>
      <w:r>
        <w:rPr>
          <w:rFonts w:ascii="新宋体" w:hAnsi="新宋体" w:eastAsia="新宋体" w:cs="新宋体"/>
          <w:sz w:val="28"/>
          <w:szCs w:val="28"/>
        </w:rPr>
        <w:t xml:space="preserve">能按合同履行合同的，可报财政部门，进 </w:t>
      </w:r>
      <w:r>
        <w:rPr>
          <w:rFonts w:ascii="新宋体" w:hAnsi="新宋体" w:eastAsia="新宋体" w:cs="新宋体"/>
          <w:spacing w:val="-4"/>
          <w:sz w:val="28"/>
          <w:szCs w:val="28"/>
        </w:rPr>
        <w:t>行</w:t>
      </w:r>
      <w:r>
        <w:rPr>
          <w:rFonts w:ascii="新宋体" w:hAnsi="新宋体" w:eastAsia="新宋体" w:cs="新宋体"/>
          <w:spacing w:val="-3"/>
          <w:sz w:val="28"/>
          <w:szCs w:val="28"/>
        </w:rPr>
        <w:t>失信行为记录)</w:t>
      </w:r>
    </w:p>
    <w:p>
      <w:pPr>
        <w:spacing w:before="35" w:line="228" w:lineRule="auto"/>
        <w:ind w:left="16" w:right="213" w:firstLine="589"/>
        <w:rPr>
          <w:rFonts w:ascii="新宋体" w:hAnsi="新宋体" w:eastAsia="新宋体" w:cs="新宋体"/>
          <w:sz w:val="28"/>
          <w:szCs w:val="28"/>
        </w:rPr>
      </w:pPr>
      <w:r>
        <w:rPr>
          <w:rFonts w:ascii="新宋体" w:hAnsi="新宋体" w:eastAsia="新宋体" w:cs="新宋体"/>
          <w:spacing w:val="-27"/>
          <w:sz w:val="28"/>
          <w:szCs w:val="28"/>
        </w:rPr>
        <w:t>1</w:t>
      </w:r>
      <w:r>
        <w:rPr>
          <w:rFonts w:ascii="新宋体" w:hAnsi="新宋体" w:eastAsia="新宋体" w:cs="新宋体"/>
          <w:spacing w:val="-19"/>
          <w:sz w:val="28"/>
          <w:szCs w:val="28"/>
        </w:rPr>
        <w:t>、乙方在签订本合同之日，向甲方提交合同履约保证金</w:t>
      </w:r>
      <w:r>
        <w:rPr>
          <w:rFonts w:ascii="新宋体" w:hAnsi="新宋体" w:eastAsia="新宋体" w:cs="新宋体"/>
          <w:spacing w:val="-19"/>
          <w:sz w:val="28"/>
          <w:szCs w:val="28"/>
          <w:u w:val="single" w:color="auto"/>
        </w:rPr>
        <w:t xml:space="preserve">         </w:t>
      </w:r>
      <w:r>
        <w:rPr>
          <w:rFonts w:ascii="新宋体" w:hAnsi="新宋体" w:eastAsia="新宋体" w:cs="新宋体"/>
          <w:spacing w:val="-19"/>
          <w:sz w:val="28"/>
          <w:szCs w:val="28"/>
        </w:rPr>
        <w:t xml:space="preserve"> 元 (</w:t>
      </w:r>
      <w:r>
        <w:rPr>
          <w:rFonts w:ascii="新宋体" w:hAnsi="新宋体" w:eastAsia="新宋体" w:cs="新宋体"/>
          <w:sz w:val="28"/>
          <w:szCs w:val="28"/>
        </w:rPr>
        <w:t xml:space="preserve"> </w:t>
      </w:r>
      <w:r>
        <w:rPr>
          <w:rFonts w:ascii="新宋体" w:hAnsi="新宋体" w:eastAsia="新宋体" w:cs="新宋体"/>
          <w:spacing w:val="-15"/>
          <w:sz w:val="28"/>
          <w:szCs w:val="28"/>
        </w:rPr>
        <w:t>履</w:t>
      </w:r>
      <w:r>
        <w:rPr>
          <w:rFonts w:ascii="新宋体" w:hAnsi="新宋体" w:eastAsia="新宋体" w:cs="新宋体"/>
          <w:spacing w:val="-13"/>
          <w:sz w:val="28"/>
          <w:szCs w:val="28"/>
        </w:rPr>
        <w:t>约保证金的数额不得超过政府采购合同金额的10%)  。</w:t>
      </w:r>
    </w:p>
    <w:p>
      <w:pPr>
        <w:spacing w:before="32" w:line="229" w:lineRule="auto"/>
        <w:ind w:left="31" w:right="295" w:firstLine="517"/>
        <w:rPr>
          <w:rFonts w:ascii="新宋体" w:hAnsi="新宋体" w:eastAsia="新宋体" w:cs="新宋体"/>
          <w:sz w:val="28"/>
          <w:szCs w:val="28"/>
        </w:rPr>
      </w:pPr>
      <w:r>
        <w:rPr>
          <w:rFonts w:ascii="新宋体" w:hAnsi="新宋体" w:eastAsia="新宋体" w:cs="新宋体"/>
          <w:spacing w:val="-20"/>
          <w:sz w:val="28"/>
          <w:szCs w:val="28"/>
        </w:rPr>
        <w:t>2、</w:t>
      </w:r>
      <w:r>
        <w:rPr>
          <w:rFonts w:ascii="新宋体" w:hAnsi="新宋体" w:eastAsia="新宋体" w:cs="新宋体"/>
          <w:spacing w:val="-14"/>
          <w:sz w:val="28"/>
          <w:szCs w:val="28"/>
        </w:rPr>
        <w:t>履</w:t>
      </w:r>
      <w:r>
        <w:rPr>
          <w:rFonts w:ascii="新宋体" w:hAnsi="新宋体" w:eastAsia="新宋体" w:cs="新宋体"/>
          <w:spacing w:val="-10"/>
          <w:sz w:val="28"/>
          <w:szCs w:val="28"/>
        </w:rPr>
        <w:t>约保证金有效期为甲乙双方最终验收后1个月内。到期后，甲方</w:t>
      </w:r>
      <w:r>
        <w:rPr>
          <w:rFonts w:ascii="新宋体" w:hAnsi="新宋体" w:eastAsia="新宋体" w:cs="新宋体"/>
          <w:sz w:val="28"/>
          <w:szCs w:val="28"/>
        </w:rPr>
        <w:t xml:space="preserve"> </w:t>
      </w:r>
      <w:r>
        <w:rPr>
          <w:rFonts w:ascii="新宋体" w:hAnsi="新宋体" w:eastAsia="新宋体" w:cs="新宋体"/>
          <w:spacing w:val="-15"/>
          <w:sz w:val="28"/>
          <w:szCs w:val="28"/>
        </w:rPr>
        <w:t>向</w:t>
      </w:r>
      <w:r>
        <w:rPr>
          <w:rFonts w:ascii="新宋体" w:hAnsi="新宋体" w:eastAsia="新宋体" w:cs="新宋体"/>
          <w:spacing w:val="-12"/>
          <w:sz w:val="28"/>
          <w:szCs w:val="28"/>
        </w:rPr>
        <w:t>乙方无息退还。</w:t>
      </w:r>
    </w:p>
    <w:p>
      <w:pPr>
        <w:spacing w:before="37" w:line="224" w:lineRule="auto"/>
        <w:ind w:left="11" w:right="293" w:firstLine="562"/>
        <w:rPr>
          <w:rFonts w:ascii="新宋体" w:hAnsi="新宋体" w:eastAsia="新宋体" w:cs="新宋体"/>
          <w:sz w:val="28"/>
          <w:szCs w:val="28"/>
        </w:rPr>
      </w:pPr>
      <w:r>
        <w:rPr>
          <w:rFonts w:ascii="新宋体" w:hAnsi="新宋体" w:eastAsia="新宋体" w:cs="新宋体"/>
          <w:spacing w:val="-12"/>
          <w:sz w:val="28"/>
          <w:szCs w:val="28"/>
        </w:rPr>
        <w:t>3</w:t>
      </w:r>
      <w:r>
        <w:rPr>
          <w:rFonts w:ascii="新宋体" w:hAnsi="新宋体" w:eastAsia="新宋体" w:cs="新宋体"/>
          <w:spacing w:val="-8"/>
          <w:sz w:val="28"/>
          <w:szCs w:val="28"/>
        </w:rPr>
        <w:t>、如乙方未能履行、或未能完全履行合同规定的义务，甲方有权从</w:t>
      </w:r>
      <w:r>
        <w:rPr>
          <w:rFonts w:ascii="新宋体" w:hAnsi="新宋体" w:eastAsia="新宋体" w:cs="新宋体"/>
          <w:sz w:val="28"/>
          <w:szCs w:val="28"/>
        </w:rPr>
        <w:t xml:space="preserve"> </w:t>
      </w:r>
      <w:r>
        <w:rPr>
          <w:rFonts w:ascii="新宋体" w:hAnsi="新宋体" w:eastAsia="新宋体" w:cs="新宋体"/>
          <w:spacing w:val="-4"/>
          <w:sz w:val="28"/>
          <w:szCs w:val="28"/>
        </w:rPr>
        <w:t>履约保证金中</w:t>
      </w:r>
      <w:r>
        <w:rPr>
          <w:rFonts w:ascii="新宋体" w:hAnsi="新宋体" w:eastAsia="新宋体" w:cs="新宋体"/>
          <w:spacing w:val="-3"/>
          <w:sz w:val="28"/>
          <w:szCs w:val="28"/>
        </w:rPr>
        <w:t>取</w:t>
      </w:r>
      <w:r>
        <w:rPr>
          <w:rFonts w:ascii="新宋体" w:hAnsi="新宋体" w:eastAsia="新宋体" w:cs="新宋体"/>
          <w:spacing w:val="-2"/>
          <w:sz w:val="28"/>
          <w:szCs w:val="28"/>
        </w:rPr>
        <w:t>得补偿。履约保证金扣除甲方应得的补偿后的余额在合</w:t>
      </w:r>
      <w:r>
        <w:rPr>
          <w:rFonts w:ascii="新宋体" w:hAnsi="新宋体" w:eastAsia="新宋体" w:cs="新宋体"/>
          <w:sz w:val="28"/>
          <w:szCs w:val="28"/>
        </w:rPr>
        <w:t xml:space="preserve"> </w:t>
      </w:r>
      <w:r>
        <w:rPr>
          <w:rFonts w:ascii="新宋体" w:hAnsi="新宋体" w:eastAsia="新宋体" w:cs="新宋体"/>
          <w:spacing w:val="-10"/>
          <w:sz w:val="28"/>
          <w:szCs w:val="28"/>
        </w:rPr>
        <w:t>同</w:t>
      </w:r>
      <w:r>
        <w:rPr>
          <w:rFonts w:ascii="新宋体" w:hAnsi="新宋体" w:eastAsia="新宋体" w:cs="新宋体"/>
          <w:spacing w:val="-9"/>
          <w:sz w:val="28"/>
          <w:szCs w:val="28"/>
        </w:rPr>
        <w:t>期满后</w:t>
      </w:r>
      <w:r>
        <w:rPr>
          <w:rFonts w:ascii="新宋体" w:hAnsi="新宋体" w:eastAsia="新宋体" w:cs="新宋体"/>
          <w:spacing w:val="-9"/>
          <w:sz w:val="28"/>
          <w:szCs w:val="28"/>
          <w:u w:val="single" w:color="auto"/>
        </w:rPr>
        <w:t xml:space="preserve">     </w:t>
      </w:r>
      <w:r>
        <w:rPr>
          <w:rFonts w:ascii="新宋体" w:hAnsi="新宋体" w:eastAsia="新宋体" w:cs="新宋体"/>
          <w:spacing w:val="-9"/>
          <w:sz w:val="28"/>
          <w:szCs w:val="28"/>
        </w:rPr>
        <w:t xml:space="preserve"> 天内无息退还乙方。</w:t>
      </w:r>
    </w:p>
    <w:p>
      <w:pPr>
        <w:spacing w:line="333" w:lineRule="exact"/>
        <w:ind w:firstLine="666"/>
        <w:textAlignment w:val="center"/>
      </w:pPr>
      <w:r>
        <w:drawing>
          <wp:inline distT="0" distB="0" distL="0" distR="0">
            <wp:extent cx="501015" cy="211455"/>
            <wp:effectExtent l="0" t="0" r="6985" b="444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20"/>
                    <a:stretch>
                      <a:fillRect/>
                    </a:stretch>
                  </pic:blipFill>
                  <pic:spPr>
                    <a:xfrm>
                      <a:off x="0" y="0"/>
                      <a:ext cx="501053" cy="211632"/>
                    </a:xfrm>
                    <a:prstGeom prst="rect">
                      <a:avLst/>
                    </a:prstGeom>
                  </pic:spPr>
                </pic:pic>
              </a:graphicData>
            </a:graphic>
          </wp:inline>
        </w:drawing>
      </w:r>
    </w:p>
    <w:p>
      <w:pPr>
        <w:spacing w:before="59" w:line="232" w:lineRule="auto"/>
        <w:ind w:left="604"/>
        <w:rPr>
          <w:rFonts w:ascii="新宋体" w:hAnsi="新宋体" w:eastAsia="新宋体" w:cs="新宋体"/>
          <w:sz w:val="28"/>
          <w:szCs w:val="28"/>
        </w:rPr>
      </w:pPr>
      <w:r>
        <w:rPr>
          <w:rFonts w:ascii="新宋体" w:hAnsi="新宋体" w:eastAsia="新宋体" w:cs="新宋体"/>
          <w:spacing w:val="-20"/>
          <w:sz w:val="28"/>
          <w:szCs w:val="28"/>
        </w:rPr>
        <w:t>1</w:t>
      </w:r>
      <w:r>
        <w:rPr>
          <w:rFonts w:ascii="新宋体" w:hAnsi="新宋体" w:eastAsia="新宋体" w:cs="新宋体"/>
          <w:spacing w:val="-18"/>
          <w:sz w:val="28"/>
          <w:szCs w:val="28"/>
        </w:rPr>
        <w:t>、</w:t>
      </w:r>
      <w:r>
        <w:rPr>
          <w:rFonts w:ascii="新宋体" w:hAnsi="新宋体" w:eastAsia="新宋体" w:cs="新宋体"/>
          <w:spacing w:val="-10"/>
          <w:sz w:val="28"/>
          <w:szCs w:val="28"/>
        </w:rPr>
        <w:t>服务期限：</w:t>
      </w:r>
      <w:r>
        <w:rPr>
          <w:rFonts w:ascii="新宋体" w:hAnsi="新宋体" w:eastAsia="新宋体" w:cs="新宋体"/>
          <w:spacing w:val="-10"/>
          <w:sz w:val="28"/>
          <w:szCs w:val="28"/>
          <w:u w:val="single" w:color="auto"/>
        </w:rPr>
        <w:t xml:space="preserve">              </w:t>
      </w:r>
      <w:r>
        <w:rPr>
          <w:rFonts w:ascii="新宋体" w:hAnsi="新宋体" w:eastAsia="新宋体" w:cs="新宋体"/>
          <w:spacing w:val="-10"/>
          <w:sz w:val="28"/>
          <w:szCs w:val="28"/>
        </w:rPr>
        <w:t>至</w:t>
      </w:r>
      <w:r>
        <w:rPr>
          <w:rFonts w:ascii="新宋体" w:hAnsi="新宋体" w:eastAsia="新宋体" w:cs="新宋体"/>
          <w:spacing w:val="-10"/>
          <w:sz w:val="28"/>
          <w:szCs w:val="28"/>
          <w:u w:val="single" w:color="auto"/>
        </w:rPr>
        <w:t xml:space="preserve">         </w:t>
      </w:r>
      <w:r>
        <w:rPr>
          <w:rFonts w:ascii="新宋体" w:hAnsi="新宋体" w:eastAsia="新宋体" w:cs="新宋体"/>
          <w:spacing w:val="-10"/>
          <w:sz w:val="28"/>
          <w:szCs w:val="28"/>
        </w:rPr>
        <w:t>。</w:t>
      </w:r>
    </w:p>
    <w:p>
      <w:pPr>
        <w:spacing w:before="10" w:line="238" w:lineRule="auto"/>
        <w:ind w:left="571"/>
        <w:rPr>
          <w:rFonts w:ascii="新宋体" w:hAnsi="新宋体" w:eastAsia="新宋体" w:cs="新宋体"/>
          <w:sz w:val="28"/>
          <w:szCs w:val="28"/>
        </w:rPr>
      </w:pPr>
      <w:r>
        <w:rPr>
          <w:rFonts w:ascii="新宋体" w:hAnsi="新宋体" w:eastAsia="新宋体" w:cs="新宋体"/>
          <w:spacing w:val="-23"/>
          <w:sz w:val="28"/>
          <w:szCs w:val="28"/>
        </w:rPr>
        <w:t>2</w:t>
      </w:r>
      <w:r>
        <w:rPr>
          <w:rFonts w:ascii="新宋体" w:hAnsi="新宋体" w:eastAsia="新宋体" w:cs="新宋体"/>
          <w:spacing w:val="-14"/>
          <w:sz w:val="28"/>
          <w:szCs w:val="28"/>
        </w:rPr>
        <w:t>、服务地点：</w:t>
      </w:r>
      <w:r>
        <w:rPr>
          <w:rFonts w:ascii="新宋体" w:hAnsi="新宋体" w:eastAsia="新宋体" w:cs="新宋体"/>
          <w:spacing w:val="-14"/>
          <w:sz w:val="28"/>
          <w:szCs w:val="28"/>
          <w:u w:val="single" w:color="auto"/>
        </w:rPr>
        <w:t xml:space="preserve">                         </w:t>
      </w:r>
      <w:r>
        <w:rPr>
          <w:rFonts w:ascii="新宋体" w:hAnsi="新宋体" w:eastAsia="新宋体" w:cs="新宋体"/>
          <w:spacing w:val="-14"/>
          <w:sz w:val="28"/>
          <w:szCs w:val="28"/>
        </w:rPr>
        <w:t>。</w:t>
      </w:r>
    </w:p>
    <w:p>
      <w:pPr>
        <w:spacing w:before="2" w:line="237" w:lineRule="auto"/>
        <w:ind w:left="576"/>
        <w:rPr>
          <w:rFonts w:ascii="新宋体" w:hAnsi="新宋体" w:eastAsia="新宋体" w:cs="新宋体"/>
          <w:sz w:val="28"/>
          <w:szCs w:val="28"/>
        </w:rPr>
      </w:pPr>
      <w:r>
        <w:rPr>
          <w:rFonts w:ascii="新宋体" w:hAnsi="新宋体" w:eastAsia="新宋体" w:cs="新宋体"/>
          <w:spacing w:val="-26"/>
          <w:sz w:val="28"/>
          <w:szCs w:val="28"/>
        </w:rPr>
        <w:t>3</w:t>
      </w:r>
      <w:r>
        <w:rPr>
          <w:rFonts w:ascii="新宋体" w:hAnsi="新宋体" w:eastAsia="新宋体" w:cs="新宋体"/>
          <w:spacing w:val="-13"/>
          <w:sz w:val="28"/>
          <w:szCs w:val="28"/>
        </w:rPr>
        <w:t>、验收时间：</w:t>
      </w:r>
      <w:r>
        <w:rPr>
          <w:rFonts w:ascii="新宋体" w:hAnsi="新宋体" w:eastAsia="新宋体" w:cs="新宋体"/>
          <w:spacing w:val="-13"/>
          <w:sz w:val="28"/>
          <w:szCs w:val="28"/>
          <w:u w:val="single" w:color="auto"/>
        </w:rPr>
        <w:t xml:space="preserve">                         </w:t>
      </w:r>
      <w:r>
        <w:rPr>
          <w:rFonts w:ascii="新宋体" w:hAnsi="新宋体" w:eastAsia="新宋体" w:cs="新宋体"/>
          <w:spacing w:val="-13"/>
          <w:sz w:val="28"/>
          <w:szCs w:val="28"/>
        </w:rPr>
        <w:t>。</w:t>
      </w:r>
    </w:p>
    <w:p>
      <w:pPr>
        <w:spacing w:line="238" w:lineRule="auto"/>
        <w:ind w:left="562"/>
        <w:rPr>
          <w:rFonts w:ascii="新宋体" w:hAnsi="新宋体" w:eastAsia="新宋体" w:cs="新宋体"/>
          <w:sz w:val="28"/>
          <w:szCs w:val="28"/>
        </w:rPr>
      </w:pPr>
      <w:r>
        <w:rPr>
          <w:rFonts w:ascii="新宋体" w:hAnsi="新宋体" w:eastAsia="新宋体" w:cs="新宋体"/>
          <w:spacing w:val="-19"/>
          <w:sz w:val="28"/>
          <w:szCs w:val="28"/>
        </w:rPr>
        <w:t>4</w:t>
      </w:r>
      <w:r>
        <w:rPr>
          <w:rFonts w:ascii="新宋体" w:hAnsi="新宋体" w:eastAsia="新宋体" w:cs="新宋体"/>
          <w:spacing w:val="-14"/>
          <w:sz w:val="28"/>
          <w:szCs w:val="28"/>
        </w:rPr>
        <w:t>、验收地点：</w:t>
      </w:r>
      <w:r>
        <w:rPr>
          <w:rFonts w:ascii="新宋体" w:hAnsi="新宋体" w:eastAsia="新宋体" w:cs="新宋体"/>
          <w:spacing w:val="-14"/>
          <w:sz w:val="28"/>
          <w:szCs w:val="28"/>
          <w:u w:val="single" w:color="auto"/>
        </w:rPr>
        <w:t xml:space="preserve">                         </w:t>
      </w:r>
      <w:r>
        <w:rPr>
          <w:rFonts w:ascii="新宋体" w:hAnsi="新宋体" w:eastAsia="新宋体" w:cs="新宋体"/>
          <w:spacing w:val="-14"/>
          <w:sz w:val="28"/>
          <w:szCs w:val="28"/>
        </w:rPr>
        <w:t>。</w:t>
      </w:r>
    </w:p>
    <w:p>
      <w:pPr>
        <w:spacing w:before="38" w:line="226" w:lineRule="auto"/>
        <w:ind w:left="43" w:right="45" w:firstLine="530"/>
        <w:rPr>
          <w:rFonts w:ascii="新宋体" w:hAnsi="新宋体" w:eastAsia="新宋体" w:cs="新宋体"/>
          <w:sz w:val="28"/>
          <w:szCs w:val="28"/>
        </w:rPr>
      </w:pPr>
      <w:r>
        <w:rPr>
          <w:rFonts w:ascii="新宋体" w:hAnsi="新宋体" w:eastAsia="新宋体" w:cs="新宋体"/>
          <w:spacing w:val="-10"/>
          <w:sz w:val="28"/>
          <w:szCs w:val="28"/>
        </w:rPr>
        <w:t>5</w:t>
      </w:r>
      <w:r>
        <w:rPr>
          <w:rFonts w:ascii="新宋体" w:hAnsi="新宋体" w:eastAsia="新宋体" w:cs="新宋体"/>
          <w:spacing w:val="-8"/>
          <w:sz w:val="28"/>
          <w:szCs w:val="28"/>
        </w:rPr>
        <w:t>、乙方应对提供的服务成果作出全面自查和整理，并列出清单，作为</w:t>
      </w:r>
      <w:r>
        <w:rPr>
          <w:rFonts w:ascii="新宋体" w:hAnsi="新宋体" w:eastAsia="新宋体" w:cs="新宋体"/>
          <w:sz w:val="28"/>
          <w:szCs w:val="28"/>
        </w:rPr>
        <w:t xml:space="preserve"> </w:t>
      </w:r>
      <w:r>
        <w:rPr>
          <w:rFonts w:ascii="新宋体" w:hAnsi="新宋体" w:eastAsia="新宋体" w:cs="新宋体"/>
          <w:spacing w:val="-10"/>
          <w:sz w:val="28"/>
          <w:szCs w:val="28"/>
        </w:rPr>
        <w:t>甲</w:t>
      </w:r>
      <w:r>
        <w:rPr>
          <w:rFonts w:ascii="新宋体" w:hAnsi="新宋体" w:eastAsia="新宋体" w:cs="新宋体"/>
          <w:spacing w:val="-8"/>
          <w:sz w:val="28"/>
          <w:szCs w:val="28"/>
        </w:rPr>
        <w:t>方</w:t>
      </w:r>
      <w:r>
        <w:rPr>
          <w:rFonts w:ascii="新宋体" w:hAnsi="新宋体" w:eastAsia="新宋体" w:cs="新宋体"/>
          <w:spacing w:val="-5"/>
          <w:sz w:val="28"/>
          <w:szCs w:val="28"/>
        </w:rPr>
        <w:t>验收和使用的服务条件依据，清单应随提供的服务成果交给甲方。</w:t>
      </w:r>
    </w:p>
    <w:p>
      <w:pPr>
        <w:spacing w:before="70" w:line="244" w:lineRule="auto"/>
        <w:ind w:left="3" w:firstLine="565"/>
        <w:rPr>
          <w:rFonts w:ascii="新宋体" w:hAnsi="新宋体" w:eastAsia="新宋体" w:cs="新宋体"/>
          <w:sz w:val="28"/>
          <w:szCs w:val="28"/>
        </w:rPr>
      </w:pPr>
      <w:r>
        <w:rPr>
          <w:rFonts w:ascii="新宋体" w:hAnsi="新宋体" w:eastAsia="新宋体" w:cs="新宋体"/>
          <w:spacing w:val="-10"/>
          <w:sz w:val="28"/>
          <w:szCs w:val="28"/>
        </w:rPr>
        <w:t>6</w:t>
      </w:r>
      <w:r>
        <w:rPr>
          <w:rFonts w:ascii="新宋体" w:hAnsi="新宋体" w:eastAsia="新宋体" w:cs="新宋体"/>
          <w:spacing w:val="-8"/>
          <w:sz w:val="28"/>
          <w:szCs w:val="28"/>
        </w:rPr>
        <w:t>、验收时，甲乙双方必须同时在场，乙方所提供的服务不符合合同内</w:t>
      </w:r>
      <w:r>
        <w:rPr>
          <w:rFonts w:ascii="新宋体" w:hAnsi="新宋体" w:eastAsia="新宋体" w:cs="新宋体"/>
          <w:sz w:val="28"/>
          <w:szCs w:val="28"/>
        </w:rPr>
        <w:t xml:space="preserve"> </w:t>
      </w:r>
      <w:r>
        <w:rPr>
          <w:rFonts w:ascii="新宋体" w:hAnsi="新宋体" w:eastAsia="新宋体" w:cs="新宋体"/>
          <w:spacing w:val="-4"/>
          <w:sz w:val="28"/>
          <w:szCs w:val="28"/>
        </w:rPr>
        <w:t>容规定的，甲</w:t>
      </w:r>
      <w:r>
        <w:rPr>
          <w:rFonts w:ascii="新宋体" w:hAnsi="新宋体" w:eastAsia="新宋体" w:cs="新宋体"/>
          <w:spacing w:val="-2"/>
          <w:sz w:val="28"/>
          <w:szCs w:val="28"/>
        </w:rPr>
        <w:t>方有权拒绝验收。乙方应及时按本合同内容规定和甲方要求</w:t>
      </w:r>
      <w:r>
        <w:rPr>
          <w:rFonts w:ascii="新宋体" w:hAnsi="新宋体" w:eastAsia="新宋体" w:cs="新宋体"/>
          <w:sz w:val="28"/>
          <w:szCs w:val="28"/>
        </w:rPr>
        <w:t xml:space="preserve"> </w:t>
      </w:r>
      <w:r>
        <w:rPr>
          <w:rFonts w:ascii="新宋体" w:hAnsi="新宋体" w:eastAsia="新宋体" w:cs="新宋体"/>
          <w:spacing w:val="-8"/>
          <w:sz w:val="28"/>
          <w:szCs w:val="28"/>
        </w:rPr>
        <w:t>免费进</w:t>
      </w:r>
      <w:r>
        <w:rPr>
          <w:rFonts w:ascii="新宋体" w:hAnsi="新宋体" w:eastAsia="新宋体" w:cs="新宋体"/>
          <w:spacing w:val="-7"/>
          <w:sz w:val="28"/>
          <w:szCs w:val="28"/>
        </w:rPr>
        <w:t>行</w:t>
      </w:r>
      <w:r>
        <w:rPr>
          <w:rFonts w:ascii="新宋体" w:hAnsi="新宋体" w:eastAsia="新宋体" w:cs="新宋体"/>
          <w:spacing w:val="-4"/>
          <w:sz w:val="28"/>
          <w:szCs w:val="28"/>
        </w:rPr>
        <w:t>整改，直至验收合格，方视为乙方按本合同规定完成服务。验收</w:t>
      </w:r>
      <w:r>
        <w:rPr>
          <w:rFonts w:ascii="新宋体" w:hAnsi="新宋体" w:eastAsia="新宋体" w:cs="新宋体"/>
          <w:sz w:val="28"/>
          <w:szCs w:val="28"/>
        </w:rPr>
        <w:t xml:space="preserve"> </w:t>
      </w:r>
      <w:r>
        <w:rPr>
          <w:rFonts w:ascii="新宋体" w:hAnsi="新宋体" w:eastAsia="新宋体" w:cs="新宋体"/>
          <w:spacing w:val="-14"/>
          <w:sz w:val="28"/>
          <w:szCs w:val="28"/>
        </w:rPr>
        <w:t>合</w:t>
      </w:r>
      <w:r>
        <w:rPr>
          <w:rFonts w:ascii="新宋体" w:hAnsi="新宋体" w:eastAsia="新宋体" w:cs="新宋体"/>
          <w:spacing w:val="-10"/>
          <w:sz w:val="28"/>
          <w:szCs w:val="28"/>
        </w:rPr>
        <w:t>格的，由双方共同签署《验收报告》。在经过两次限期整改后，服务仍达</w:t>
      </w:r>
      <w:r>
        <w:rPr>
          <w:rFonts w:ascii="新宋体" w:hAnsi="新宋体" w:eastAsia="新宋体" w:cs="新宋体"/>
          <w:sz w:val="28"/>
          <w:szCs w:val="28"/>
        </w:rPr>
        <w:t xml:space="preserve"> </w:t>
      </w:r>
      <w:r>
        <w:rPr>
          <w:rFonts w:ascii="新宋体" w:hAnsi="新宋体" w:eastAsia="新宋体" w:cs="新宋体"/>
          <w:spacing w:val="-10"/>
          <w:sz w:val="28"/>
          <w:szCs w:val="28"/>
        </w:rPr>
        <w:t>不到合同</w:t>
      </w:r>
      <w:r>
        <w:rPr>
          <w:rFonts w:ascii="新宋体" w:hAnsi="新宋体" w:eastAsia="新宋体" w:cs="新宋体"/>
          <w:spacing w:val="-9"/>
          <w:sz w:val="28"/>
          <w:szCs w:val="28"/>
        </w:rPr>
        <w:t>文</w:t>
      </w:r>
      <w:r>
        <w:rPr>
          <w:rFonts w:ascii="新宋体" w:hAnsi="新宋体" w:eastAsia="新宋体" w:cs="新宋体"/>
          <w:spacing w:val="-5"/>
          <w:sz w:val="28"/>
          <w:szCs w:val="28"/>
        </w:rPr>
        <w:t>件规定内容的，甲方有权拒收，并可以解除合同；由此引起甲</w:t>
      </w:r>
      <w:r>
        <w:rPr>
          <w:rFonts w:ascii="新宋体" w:hAnsi="新宋体" w:eastAsia="新宋体" w:cs="新宋体"/>
          <w:sz w:val="28"/>
          <w:szCs w:val="28"/>
        </w:rPr>
        <w:t xml:space="preserve"> </w:t>
      </w:r>
      <w:r>
        <w:rPr>
          <w:rFonts w:ascii="新宋体" w:hAnsi="新宋体" w:eastAsia="新宋体" w:cs="新宋体"/>
          <w:spacing w:val="-4"/>
          <w:sz w:val="28"/>
          <w:szCs w:val="28"/>
        </w:rPr>
        <w:t>方损失及</w:t>
      </w:r>
      <w:r>
        <w:rPr>
          <w:rFonts w:ascii="新宋体" w:hAnsi="新宋体" w:eastAsia="新宋体" w:cs="新宋体"/>
          <w:spacing w:val="-2"/>
          <w:sz w:val="28"/>
          <w:szCs w:val="28"/>
        </w:rPr>
        <w:t>赔偿责任由乙方承担。</w:t>
      </w:r>
    </w:p>
    <w:p>
      <w:pPr>
        <w:sectPr>
          <w:footerReference r:id="rId5" w:type="default"/>
          <w:pgSz w:w="11911" w:h="16840"/>
          <w:pgMar w:top="400" w:right="1396" w:bottom="1304" w:left="1604" w:header="0" w:footer="1137" w:gutter="0"/>
          <w:pgNumType w:fmt="decimal"/>
          <w:cols w:space="720" w:num="1"/>
        </w:sectPr>
      </w:pPr>
    </w:p>
    <w:p>
      <w:pPr>
        <w:spacing w:line="251" w:lineRule="auto"/>
        <w:rPr>
          <w:rFonts w:ascii="Arial"/>
          <w:sz w:val="21"/>
        </w:rPr>
      </w:pPr>
      <w:r>
        <w:drawing>
          <wp:anchor distT="0" distB="0" distL="0" distR="0" simplePos="0" relativeHeight="251661312" behindDoc="0" locked="0" layoutInCell="0" allowOverlap="1">
            <wp:simplePos x="0" y="0"/>
            <wp:positionH relativeFrom="page">
              <wp:posOffset>1353185</wp:posOffset>
            </wp:positionH>
            <wp:positionV relativeFrom="page">
              <wp:posOffset>2944495</wp:posOffset>
            </wp:positionV>
            <wp:extent cx="535940" cy="190500"/>
            <wp:effectExtent l="0" t="0" r="1016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535990" cy="190576"/>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1353185</wp:posOffset>
            </wp:positionH>
            <wp:positionV relativeFrom="page">
              <wp:posOffset>3831590</wp:posOffset>
            </wp:positionV>
            <wp:extent cx="520065" cy="211455"/>
            <wp:effectExtent l="0" t="0" r="635" b="4445"/>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22"/>
                    <a:stretch>
                      <a:fillRect/>
                    </a:stretch>
                  </pic:blipFill>
                  <pic:spPr>
                    <a:xfrm>
                      <a:off x="0" y="0"/>
                      <a:ext cx="520115" cy="211747"/>
                    </a:xfrm>
                    <a:prstGeom prst="rect">
                      <a:avLst/>
                    </a:prstGeom>
                  </pic:spPr>
                </pic:pic>
              </a:graphicData>
            </a:graphic>
          </wp:anchor>
        </w:drawing>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232" w:lineRule="auto"/>
        <w:ind w:left="166" w:right="225" w:firstLine="569"/>
        <w:rPr>
          <w:rFonts w:ascii="新宋体" w:hAnsi="新宋体" w:eastAsia="新宋体" w:cs="新宋体"/>
          <w:sz w:val="28"/>
          <w:szCs w:val="28"/>
        </w:rPr>
      </w:pPr>
      <w:r>
        <w:rPr>
          <w:rFonts w:ascii="新宋体" w:hAnsi="新宋体" w:eastAsia="新宋体" w:cs="新宋体"/>
          <w:spacing w:val="-4"/>
          <w:sz w:val="28"/>
          <w:szCs w:val="28"/>
        </w:rPr>
        <w:t>7、甲方可以视</w:t>
      </w:r>
      <w:r>
        <w:rPr>
          <w:rFonts w:ascii="新宋体" w:hAnsi="新宋体" w:eastAsia="新宋体" w:cs="新宋体"/>
          <w:spacing w:val="-3"/>
          <w:sz w:val="28"/>
          <w:szCs w:val="28"/>
        </w:rPr>
        <w:t>项</w:t>
      </w:r>
      <w:r>
        <w:rPr>
          <w:rFonts w:ascii="新宋体" w:hAnsi="新宋体" w:eastAsia="新宋体" w:cs="新宋体"/>
          <w:spacing w:val="-2"/>
          <w:sz w:val="28"/>
          <w:szCs w:val="28"/>
        </w:rPr>
        <w:t>目规模或复杂情况聘请专业人员参与验收，大型</w:t>
      </w:r>
      <w:r>
        <w:rPr>
          <w:rFonts w:ascii="新宋体" w:hAnsi="新宋体" w:eastAsia="新宋体" w:cs="新宋体"/>
          <w:sz w:val="28"/>
          <w:szCs w:val="28"/>
        </w:rPr>
        <w:t xml:space="preserve"> </w:t>
      </w:r>
      <w:r>
        <w:rPr>
          <w:rFonts w:ascii="新宋体" w:hAnsi="新宋体" w:eastAsia="新宋体" w:cs="新宋体"/>
          <w:spacing w:val="-12"/>
          <w:sz w:val="28"/>
          <w:szCs w:val="28"/>
        </w:rPr>
        <w:t>或</w:t>
      </w:r>
      <w:r>
        <w:rPr>
          <w:rFonts w:ascii="新宋体" w:hAnsi="新宋体" w:eastAsia="新宋体" w:cs="新宋体"/>
          <w:spacing w:val="-8"/>
          <w:sz w:val="28"/>
          <w:szCs w:val="28"/>
        </w:rPr>
        <w:t>复杂项，以及涉及专业服务内容的应当邀请国家认可的第三方质量检</w:t>
      </w:r>
      <w:r>
        <w:rPr>
          <w:rFonts w:ascii="新宋体" w:hAnsi="新宋体" w:eastAsia="新宋体" w:cs="新宋体"/>
          <w:sz w:val="28"/>
          <w:szCs w:val="28"/>
        </w:rPr>
        <w:t xml:space="preserve"> </w:t>
      </w:r>
      <w:r>
        <w:rPr>
          <w:rFonts w:ascii="新宋体" w:hAnsi="新宋体" w:eastAsia="新宋体" w:cs="新宋体"/>
          <w:spacing w:val="-8"/>
          <w:sz w:val="28"/>
          <w:szCs w:val="28"/>
        </w:rPr>
        <w:t>测</w:t>
      </w:r>
      <w:r>
        <w:rPr>
          <w:rFonts w:ascii="新宋体" w:hAnsi="新宋体" w:eastAsia="新宋体" w:cs="新宋体"/>
          <w:spacing w:val="-4"/>
          <w:sz w:val="28"/>
          <w:szCs w:val="28"/>
        </w:rPr>
        <w:t>机构参与验收。</w:t>
      </w:r>
    </w:p>
    <w:p>
      <w:pPr>
        <w:spacing w:before="54" w:line="239" w:lineRule="auto"/>
        <w:ind w:left="41" w:right="230" w:firstLine="683"/>
        <w:rPr>
          <w:rFonts w:ascii="新宋体" w:hAnsi="新宋体" w:eastAsia="新宋体" w:cs="新宋体"/>
          <w:sz w:val="28"/>
          <w:szCs w:val="28"/>
        </w:rPr>
      </w:pPr>
      <w:r>
        <w:rPr>
          <w:rFonts w:ascii="新宋体" w:hAnsi="新宋体" w:eastAsia="新宋体" w:cs="新宋体"/>
          <w:spacing w:val="-4"/>
          <w:sz w:val="28"/>
          <w:szCs w:val="28"/>
        </w:rPr>
        <w:t>8、如根据</w:t>
      </w:r>
      <w:r>
        <w:rPr>
          <w:rFonts w:ascii="新宋体" w:hAnsi="新宋体" w:eastAsia="新宋体" w:cs="新宋体"/>
          <w:spacing w:val="-2"/>
          <w:sz w:val="28"/>
          <w:szCs w:val="28"/>
        </w:rPr>
        <w:t>项目实施情况需要分阶段验收，则双方分阶段签署《验</w:t>
      </w:r>
      <w:r>
        <w:rPr>
          <w:rFonts w:ascii="新宋体" w:hAnsi="新宋体" w:eastAsia="新宋体" w:cs="新宋体"/>
          <w:sz w:val="28"/>
          <w:szCs w:val="28"/>
        </w:rPr>
        <w:t xml:space="preserve"> </w:t>
      </w:r>
      <w:r>
        <w:rPr>
          <w:rFonts w:ascii="新宋体" w:hAnsi="新宋体" w:eastAsia="新宋体" w:cs="新宋体"/>
          <w:spacing w:val="-26"/>
          <w:w w:val="94"/>
          <w:sz w:val="28"/>
          <w:szCs w:val="28"/>
        </w:rPr>
        <w:t>收报告》</w:t>
      </w:r>
      <w:r>
        <w:rPr>
          <w:rFonts w:ascii="新宋体" w:hAnsi="新宋体" w:eastAsia="新宋体" w:cs="新宋体"/>
          <w:spacing w:val="-45"/>
          <w:sz w:val="28"/>
          <w:szCs w:val="28"/>
        </w:rPr>
        <w:t xml:space="preserve"> </w:t>
      </w:r>
      <w:r>
        <w:rPr>
          <w:rFonts w:ascii="新宋体" w:hAnsi="新宋体" w:eastAsia="新宋体" w:cs="新宋体"/>
          <w:spacing w:val="-26"/>
          <w:w w:val="94"/>
          <w:sz w:val="28"/>
          <w:szCs w:val="28"/>
        </w:rPr>
        <w:t>。</w:t>
      </w:r>
    </w:p>
    <w:p>
      <w:pPr>
        <w:spacing w:before="2" w:line="238" w:lineRule="auto"/>
        <w:ind w:left="22" w:right="220" w:firstLine="700"/>
        <w:rPr>
          <w:rFonts w:ascii="新宋体" w:hAnsi="新宋体" w:eastAsia="新宋体" w:cs="新宋体"/>
          <w:sz w:val="28"/>
          <w:szCs w:val="28"/>
        </w:rPr>
      </w:pPr>
      <w:r>
        <w:rPr>
          <w:rFonts w:ascii="新宋体" w:hAnsi="新宋体" w:eastAsia="新宋体" w:cs="新宋体"/>
          <w:spacing w:val="-49"/>
          <w:sz w:val="28"/>
          <w:szCs w:val="28"/>
        </w:rPr>
        <w:t>9</w:t>
      </w:r>
      <w:r>
        <w:rPr>
          <w:rFonts w:ascii="新宋体" w:hAnsi="新宋体" w:eastAsia="新宋体" w:cs="新宋体"/>
          <w:spacing w:val="-29"/>
          <w:sz w:val="28"/>
          <w:szCs w:val="28"/>
        </w:rPr>
        <w:t>、如果合同双方对《验收报告》有分歧，双方须于出现分歧后</w:t>
      </w:r>
      <w:r>
        <w:rPr>
          <w:rFonts w:ascii="新宋体" w:hAnsi="新宋体" w:eastAsia="新宋体" w:cs="新宋体"/>
          <w:spacing w:val="-29"/>
          <w:sz w:val="28"/>
          <w:szCs w:val="28"/>
          <w:u w:val="single" w:color="auto"/>
        </w:rPr>
        <w:t xml:space="preserve">    </w:t>
      </w:r>
      <w:r>
        <w:rPr>
          <w:rFonts w:ascii="新宋体" w:hAnsi="新宋体" w:eastAsia="新宋体" w:cs="新宋体"/>
          <w:spacing w:val="-29"/>
          <w:sz w:val="28"/>
          <w:szCs w:val="28"/>
        </w:rPr>
        <w:t xml:space="preserve"> 天内</w:t>
      </w:r>
      <w:r>
        <w:rPr>
          <w:rFonts w:ascii="新宋体" w:hAnsi="新宋体" w:eastAsia="新宋体" w:cs="新宋体"/>
          <w:sz w:val="28"/>
          <w:szCs w:val="28"/>
        </w:rPr>
        <w:t xml:space="preserve"> </w:t>
      </w:r>
      <w:r>
        <w:rPr>
          <w:rFonts w:ascii="新宋体" w:hAnsi="新宋体" w:eastAsia="新宋体" w:cs="新宋体"/>
          <w:spacing w:val="-4"/>
          <w:sz w:val="28"/>
          <w:szCs w:val="28"/>
        </w:rPr>
        <w:t>给对方书</w:t>
      </w:r>
      <w:r>
        <w:rPr>
          <w:rFonts w:ascii="新宋体" w:hAnsi="新宋体" w:eastAsia="新宋体" w:cs="新宋体"/>
          <w:spacing w:val="-2"/>
          <w:sz w:val="28"/>
          <w:szCs w:val="28"/>
        </w:rPr>
        <w:t>面声明，以陈述己方的理由及要求，并附有关证据。分歧应通</w:t>
      </w:r>
    </w:p>
    <w:p>
      <w:pPr>
        <w:spacing w:line="211" w:lineRule="auto"/>
        <w:ind w:left="22"/>
        <w:rPr>
          <w:rFonts w:ascii="新宋体" w:hAnsi="新宋体" w:eastAsia="新宋体" w:cs="新宋体"/>
          <w:sz w:val="28"/>
          <w:szCs w:val="28"/>
        </w:rPr>
      </w:pPr>
      <w:r>
        <w:rPr>
          <w:rFonts w:ascii="新宋体" w:hAnsi="新宋体" w:eastAsia="新宋体" w:cs="新宋体"/>
          <w:spacing w:val="-8"/>
          <w:sz w:val="28"/>
          <w:szCs w:val="28"/>
        </w:rPr>
        <w:t>过</w:t>
      </w:r>
      <w:r>
        <w:rPr>
          <w:rFonts w:ascii="新宋体" w:hAnsi="新宋体" w:eastAsia="新宋体" w:cs="新宋体"/>
          <w:spacing w:val="-4"/>
          <w:sz w:val="28"/>
          <w:szCs w:val="28"/>
        </w:rPr>
        <w:t>协商解决。</w:t>
      </w:r>
    </w:p>
    <w:p>
      <w:pPr>
        <w:spacing w:line="300" w:lineRule="exact"/>
        <w:ind w:firstLine="1792"/>
        <w:textAlignment w:val="center"/>
      </w:pPr>
      <w:r>
        <w:drawing>
          <wp:inline distT="0" distB="0" distL="0" distR="0">
            <wp:extent cx="955675" cy="190500"/>
            <wp:effectExtent l="0" t="0" r="9525"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955992" cy="190627"/>
                    </a:xfrm>
                    <a:prstGeom prst="rect">
                      <a:avLst/>
                    </a:prstGeom>
                  </pic:spPr>
                </pic:pic>
              </a:graphicData>
            </a:graphic>
          </wp:inline>
        </w:drawing>
      </w:r>
    </w:p>
    <w:p>
      <w:pPr>
        <w:spacing w:before="70" w:line="228" w:lineRule="auto"/>
        <w:ind w:left="68" w:right="264" w:firstLine="566"/>
        <w:rPr>
          <w:rFonts w:ascii="新宋体" w:hAnsi="新宋体" w:eastAsia="新宋体" w:cs="新宋体"/>
          <w:sz w:val="28"/>
          <w:szCs w:val="28"/>
        </w:rPr>
      </w:pPr>
      <w:r>
        <w:rPr>
          <w:rFonts w:ascii="新宋体" w:hAnsi="新宋体" w:eastAsia="新宋体" w:cs="新宋体"/>
          <w:spacing w:val="-10"/>
          <w:sz w:val="28"/>
          <w:szCs w:val="28"/>
        </w:rPr>
        <w:t>乙</w:t>
      </w:r>
      <w:r>
        <w:rPr>
          <w:rFonts w:ascii="新宋体" w:hAnsi="新宋体" w:eastAsia="新宋体" w:cs="新宋体"/>
          <w:spacing w:val="-5"/>
          <w:sz w:val="28"/>
          <w:szCs w:val="28"/>
        </w:rPr>
        <w:t>方要指定不少于一人全权全程负责本项目服务的落实，包括服务</w:t>
      </w:r>
      <w:r>
        <w:rPr>
          <w:rFonts w:ascii="新宋体" w:hAnsi="新宋体" w:eastAsia="新宋体" w:cs="新宋体"/>
          <w:sz w:val="28"/>
          <w:szCs w:val="28"/>
        </w:rPr>
        <w:t xml:space="preserve"> </w:t>
      </w:r>
      <w:r>
        <w:rPr>
          <w:rFonts w:ascii="新宋体" w:hAnsi="新宋体" w:eastAsia="新宋体" w:cs="新宋体"/>
          <w:spacing w:val="-14"/>
          <w:sz w:val="28"/>
          <w:szCs w:val="28"/>
        </w:rPr>
        <w:t>的</w:t>
      </w:r>
      <w:r>
        <w:rPr>
          <w:rFonts w:ascii="新宋体" w:hAnsi="新宋体" w:eastAsia="新宋体" w:cs="新宋体"/>
          <w:spacing w:val="-9"/>
          <w:sz w:val="28"/>
          <w:szCs w:val="28"/>
        </w:rPr>
        <w:t>咨</w:t>
      </w:r>
      <w:r>
        <w:rPr>
          <w:rFonts w:ascii="新宋体" w:hAnsi="新宋体" w:eastAsia="新宋体" w:cs="新宋体"/>
          <w:spacing w:val="-7"/>
          <w:sz w:val="28"/>
          <w:szCs w:val="28"/>
        </w:rPr>
        <w:t>询、执行和后续工作。</w:t>
      </w:r>
    </w:p>
    <w:p>
      <w:pPr>
        <w:spacing w:before="2" w:line="219" w:lineRule="auto"/>
        <w:ind w:left="591"/>
        <w:rPr>
          <w:rFonts w:ascii="新宋体" w:hAnsi="新宋体" w:eastAsia="新宋体" w:cs="新宋体"/>
          <w:sz w:val="28"/>
          <w:szCs w:val="28"/>
        </w:rPr>
      </w:pPr>
      <w:r>
        <w:rPr>
          <w:rFonts w:ascii="新宋体" w:hAnsi="新宋体" w:eastAsia="新宋体" w:cs="新宋体"/>
          <w:spacing w:val="-17"/>
          <w:sz w:val="28"/>
          <w:szCs w:val="28"/>
        </w:rPr>
        <w:t>项目负责人姓名：</w:t>
      </w:r>
      <w:r>
        <w:rPr>
          <w:rFonts w:ascii="新宋体" w:hAnsi="新宋体" w:eastAsia="新宋体" w:cs="新宋体"/>
          <w:spacing w:val="-17"/>
          <w:sz w:val="28"/>
          <w:szCs w:val="28"/>
          <w:u w:val="single" w:color="auto"/>
        </w:rPr>
        <w:t xml:space="preserve">             </w:t>
      </w:r>
      <w:r>
        <w:rPr>
          <w:rFonts w:ascii="新宋体" w:hAnsi="新宋体" w:eastAsia="新宋体" w:cs="新宋体"/>
          <w:spacing w:val="-17"/>
          <w:sz w:val="28"/>
          <w:szCs w:val="28"/>
        </w:rPr>
        <w:t>；联系电话：</w:t>
      </w:r>
      <w:r>
        <w:rPr>
          <w:rFonts w:ascii="新宋体" w:hAnsi="新宋体" w:eastAsia="新宋体" w:cs="新宋体"/>
          <w:spacing w:val="-17"/>
          <w:sz w:val="28"/>
          <w:szCs w:val="28"/>
          <w:u w:val="single" w:color="auto"/>
        </w:rPr>
        <w:t xml:space="preserve">                   </w:t>
      </w:r>
      <w:r>
        <w:rPr>
          <w:rFonts w:ascii="新宋体" w:hAnsi="新宋体" w:eastAsia="新宋体" w:cs="新宋体"/>
          <w:spacing w:val="-11"/>
          <w:sz w:val="28"/>
          <w:szCs w:val="28"/>
        </w:rPr>
        <w:t>。</w:t>
      </w:r>
    </w:p>
    <w:p>
      <w:pPr>
        <w:spacing w:before="2" w:line="332" w:lineRule="exact"/>
        <w:ind w:firstLine="1731"/>
        <w:textAlignment w:val="center"/>
      </w:pPr>
      <w:r>
        <w:drawing>
          <wp:inline distT="0" distB="0" distL="0" distR="0">
            <wp:extent cx="640080" cy="210820"/>
            <wp:effectExtent l="0" t="0" r="7620" b="508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24"/>
                    <a:stretch>
                      <a:fillRect/>
                    </a:stretch>
                  </pic:blipFill>
                  <pic:spPr>
                    <a:xfrm>
                      <a:off x="0" y="0"/>
                      <a:ext cx="640664" cy="211150"/>
                    </a:xfrm>
                    <a:prstGeom prst="rect">
                      <a:avLst/>
                    </a:prstGeom>
                  </pic:spPr>
                </pic:pic>
              </a:graphicData>
            </a:graphic>
          </wp:inline>
        </w:drawing>
      </w:r>
    </w:p>
    <w:p>
      <w:pPr>
        <w:tabs>
          <w:tab w:val="left" w:pos="440"/>
        </w:tabs>
        <w:spacing w:before="121" w:line="237" w:lineRule="auto"/>
        <w:ind w:right="161" w:firstLine="668"/>
        <w:rPr>
          <w:rFonts w:ascii="新宋体" w:hAnsi="新宋体" w:eastAsia="新宋体" w:cs="新宋体"/>
          <w:sz w:val="28"/>
          <w:szCs w:val="28"/>
        </w:rPr>
      </w:pPr>
      <w:r>
        <w:rPr>
          <w:rFonts w:ascii="新宋体" w:hAnsi="新宋体" w:eastAsia="新宋体" w:cs="新宋体"/>
          <w:spacing w:val="6"/>
          <w:sz w:val="28"/>
          <w:szCs w:val="28"/>
        </w:rPr>
        <w:t>1、乙方提供服务 的质量保证期为 自服务通过最终验收之 日起</w:t>
      </w:r>
      <w:r>
        <w:rPr>
          <w:rFonts w:ascii="新宋体" w:hAnsi="新宋体" w:eastAsia="新宋体" w:cs="新宋体"/>
          <w:sz w:val="28"/>
          <w:szCs w:val="28"/>
        </w:rPr>
        <w:t xml:space="preserve"> </w:t>
      </w:r>
      <w:r>
        <w:rPr>
          <w:rFonts w:ascii="新宋体" w:hAnsi="新宋体" w:eastAsia="新宋体" w:cs="新宋体"/>
          <w:sz w:val="28"/>
          <w:szCs w:val="28"/>
          <w:u w:val="single" w:color="auto"/>
        </w:rPr>
        <w:tab/>
      </w:r>
      <w:r>
        <w:rPr>
          <w:rFonts w:ascii="新宋体" w:hAnsi="新宋体" w:eastAsia="新宋体" w:cs="新宋体"/>
          <w:spacing w:val="26"/>
          <w:sz w:val="28"/>
          <w:szCs w:val="28"/>
        </w:rPr>
        <w:t>个</w:t>
      </w:r>
      <w:r>
        <w:rPr>
          <w:rFonts w:ascii="新宋体" w:hAnsi="新宋体" w:eastAsia="新宋体" w:cs="新宋体"/>
          <w:spacing w:val="20"/>
          <w:sz w:val="28"/>
          <w:szCs w:val="28"/>
        </w:rPr>
        <w:t>月 。若国家有明确规定的质量保证期高于此质量保证期的，</w:t>
      </w:r>
      <w:r>
        <w:rPr>
          <w:rFonts w:ascii="新宋体" w:hAnsi="新宋体" w:eastAsia="新宋体" w:cs="新宋体"/>
          <w:sz w:val="28"/>
          <w:szCs w:val="28"/>
        </w:rPr>
        <w:t xml:space="preserve"> </w:t>
      </w:r>
      <w:r>
        <w:rPr>
          <w:rFonts w:ascii="新宋体" w:hAnsi="新宋体" w:eastAsia="新宋体" w:cs="新宋体"/>
          <w:spacing w:val="17"/>
          <w:sz w:val="28"/>
          <w:szCs w:val="28"/>
        </w:rPr>
        <w:t>执</w:t>
      </w:r>
      <w:r>
        <w:rPr>
          <w:rFonts w:ascii="新宋体" w:hAnsi="新宋体" w:eastAsia="新宋体" w:cs="新宋体"/>
          <w:spacing w:val="13"/>
          <w:sz w:val="28"/>
          <w:szCs w:val="28"/>
        </w:rPr>
        <w:t xml:space="preserve"> 行 国家规定。</w:t>
      </w:r>
    </w:p>
    <w:p>
      <w:pPr>
        <w:spacing w:before="2" w:line="227" w:lineRule="auto"/>
        <w:ind w:left="20" w:firstLine="593"/>
        <w:rPr>
          <w:rFonts w:ascii="新宋体" w:hAnsi="新宋体" w:eastAsia="新宋体" w:cs="新宋体"/>
          <w:sz w:val="28"/>
          <w:szCs w:val="28"/>
        </w:rPr>
      </w:pPr>
      <w:r>
        <w:rPr>
          <w:rFonts w:ascii="新宋体" w:hAnsi="新宋体" w:eastAsia="新宋体" w:cs="新宋体"/>
          <w:spacing w:val="11"/>
          <w:sz w:val="28"/>
          <w:szCs w:val="28"/>
        </w:rPr>
        <w:t>2、服务期内，乙方应提供相关服务支持 。对甲方所反映的任</w:t>
      </w:r>
      <w:r>
        <w:rPr>
          <w:rFonts w:ascii="新宋体" w:hAnsi="新宋体" w:eastAsia="新宋体" w:cs="新宋体"/>
          <w:spacing w:val="9"/>
          <w:sz w:val="28"/>
          <w:szCs w:val="28"/>
        </w:rPr>
        <w:t>何</w:t>
      </w:r>
      <w:r>
        <w:rPr>
          <w:rFonts w:ascii="新宋体" w:hAnsi="新宋体" w:eastAsia="新宋体" w:cs="新宋体"/>
          <w:sz w:val="28"/>
          <w:szCs w:val="28"/>
        </w:rPr>
        <w:t xml:space="preserve"> </w:t>
      </w:r>
      <w:r>
        <w:rPr>
          <w:rFonts w:ascii="新宋体" w:hAnsi="新宋体" w:eastAsia="新宋体" w:cs="新宋体"/>
          <w:spacing w:val="-4"/>
          <w:sz w:val="28"/>
          <w:szCs w:val="28"/>
        </w:rPr>
        <w:t>服务问题在</w:t>
      </w:r>
      <w:r>
        <w:rPr>
          <w:rFonts w:ascii="新宋体" w:hAnsi="新宋体" w:eastAsia="新宋体" w:cs="新宋体"/>
          <w:spacing w:val="-4"/>
          <w:sz w:val="28"/>
          <w:szCs w:val="28"/>
          <w:u w:val="single" w:color="auto"/>
        </w:rPr>
        <w:t xml:space="preserve">     </w:t>
      </w:r>
      <w:r>
        <w:rPr>
          <w:rFonts w:ascii="新宋体" w:hAnsi="新宋体" w:eastAsia="新宋体" w:cs="新宋体"/>
          <w:spacing w:val="-4"/>
          <w:sz w:val="28"/>
          <w:szCs w:val="28"/>
        </w:rPr>
        <w:t xml:space="preserve"> 日 (</w:t>
      </w:r>
      <w:r>
        <w:rPr>
          <w:rFonts w:ascii="新宋体" w:hAnsi="新宋体" w:eastAsia="新宋体" w:cs="新宋体"/>
          <w:spacing w:val="-3"/>
          <w:sz w:val="28"/>
          <w:szCs w:val="28"/>
        </w:rPr>
        <w:t>小</w:t>
      </w:r>
      <w:r>
        <w:rPr>
          <w:rFonts w:ascii="新宋体" w:hAnsi="新宋体" w:eastAsia="新宋体" w:cs="新宋体"/>
          <w:spacing w:val="-2"/>
          <w:sz w:val="28"/>
          <w:szCs w:val="28"/>
        </w:rPr>
        <w:t>时)  之内做出及时响应，在</w:t>
      </w:r>
      <w:r>
        <w:rPr>
          <w:rFonts w:ascii="新宋体" w:hAnsi="新宋体" w:eastAsia="新宋体" w:cs="新宋体"/>
          <w:spacing w:val="-2"/>
          <w:sz w:val="28"/>
          <w:szCs w:val="28"/>
          <w:u w:val="single" w:color="auto"/>
        </w:rPr>
        <w:t xml:space="preserve">      </w:t>
      </w:r>
      <w:r>
        <w:rPr>
          <w:rFonts w:ascii="新宋体" w:hAnsi="新宋体" w:eastAsia="新宋体" w:cs="新宋体"/>
          <w:spacing w:val="-2"/>
          <w:sz w:val="28"/>
          <w:szCs w:val="28"/>
        </w:rPr>
        <w:t xml:space="preserve"> 日 (小时)</w:t>
      </w:r>
      <w:r>
        <w:rPr>
          <w:rFonts w:ascii="新宋体" w:hAnsi="新宋体" w:eastAsia="新宋体" w:cs="新宋体"/>
          <w:sz w:val="28"/>
          <w:szCs w:val="28"/>
        </w:rPr>
        <w:t xml:space="preserve"> </w:t>
      </w:r>
      <w:r>
        <w:rPr>
          <w:rFonts w:ascii="新宋体" w:hAnsi="新宋体" w:eastAsia="新宋体" w:cs="新宋体"/>
          <w:spacing w:val="4"/>
          <w:sz w:val="28"/>
          <w:szCs w:val="28"/>
        </w:rPr>
        <w:t>之内赶到现场实地解决问题</w:t>
      </w:r>
      <w:r>
        <w:rPr>
          <w:rFonts w:ascii="新宋体" w:hAnsi="新宋体" w:eastAsia="新宋体" w:cs="新宋体"/>
          <w:spacing w:val="2"/>
          <w:sz w:val="28"/>
          <w:szCs w:val="28"/>
        </w:rPr>
        <w:t>。若问题在</w:t>
      </w:r>
      <w:r>
        <w:rPr>
          <w:rFonts w:ascii="新宋体" w:hAnsi="新宋体" w:eastAsia="新宋体" w:cs="新宋体"/>
          <w:spacing w:val="2"/>
          <w:sz w:val="28"/>
          <w:szCs w:val="28"/>
          <w:u w:val="single" w:color="auto"/>
        </w:rPr>
        <w:t xml:space="preserve">     </w:t>
      </w:r>
      <w:r>
        <w:rPr>
          <w:rFonts w:ascii="新宋体" w:hAnsi="新宋体" w:eastAsia="新宋体" w:cs="新宋体"/>
          <w:spacing w:val="2"/>
          <w:sz w:val="28"/>
          <w:szCs w:val="28"/>
        </w:rPr>
        <w:t>工作日(小时)后仍无法 解</w:t>
      </w:r>
    </w:p>
    <w:p>
      <w:pPr>
        <w:spacing w:line="219" w:lineRule="auto"/>
        <w:ind w:left="29"/>
        <w:rPr>
          <w:rFonts w:ascii="新宋体" w:hAnsi="新宋体" w:eastAsia="新宋体" w:cs="新宋体"/>
          <w:sz w:val="28"/>
          <w:szCs w:val="28"/>
        </w:rPr>
      </w:pPr>
      <w:r>
        <w:rPr>
          <w:rFonts w:ascii="新宋体" w:hAnsi="新宋体" w:eastAsia="新宋体" w:cs="新宋体"/>
          <w:spacing w:val="8"/>
          <w:sz w:val="28"/>
          <w:szCs w:val="28"/>
        </w:rPr>
        <w:t>决，乙方</w:t>
      </w:r>
      <w:r>
        <w:rPr>
          <w:rFonts w:ascii="新宋体" w:hAnsi="新宋体" w:eastAsia="新宋体" w:cs="新宋体"/>
          <w:spacing w:val="7"/>
          <w:sz w:val="28"/>
          <w:szCs w:val="28"/>
        </w:rPr>
        <w:t>应</w:t>
      </w:r>
      <w:r>
        <w:rPr>
          <w:rFonts w:ascii="新宋体" w:hAnsi="新宋体" w:eastAsia="新宋体" w:cs="新宋体"/>
          <w:spacing w:val="4"/>
          <w:sz w:val="28"/>
          <w:szCs w:val="28"/>
        </w:rPr>
        <w:t>在</w:t>
      </w:r>
      <w:r>
        <w:rPr>
          <w:rFonts w:ascii="新宋体" w:hAnsi="新宋体" w:eastAsia="新宋体" w:cs="新宋体"/>
          <w:spacing w:val="4"/>
          <w:sz w:val="28"/>
          <w:szCs w:val="28"/>
          <w:u w:val="single" w:color="auto"/>
        </w:rPr>
        <w:t xml:space="preserve">      </w:t>
      </w:r>
      <w:r>
        <w:rPr>
          <w:rFonts w:ascii="新宋体" w:hAnsi="新宋体" w:eastAsia="新宋体" w:cs="新宋体"/>
          <w:spacing w:val="4"/>
          <w:sz w:val="28"/>
          <w:szCs w:val="28"/>
        </w:rPr>
        <w:t>日 (小时)  内免费提供服务的补偿、替换方案，</w:t>
      </w:r>
    </w:p>
    <w:p>
      <w:pPr>
        <w:spacing w:before="13" w:line="220" w:lineRule="auto"/>
        <w:ind w:left="23"/>
        <w:rPr>
          <w:rFonts w:ascii="新宋体" w:hAnsi="新宋体" w:eastAsia="新宋体" w:cs="新宋体"/>
          <w:sz w:val="28"/>
          <w:szCs w:val="28"/>
        </w:rPr>
      </w:pPr>
      <w:r>
        <w:rPr>
          <w:rFonts w:ascii="新宋体" w:hAnsi="新宋体" w:eastAsia="新宋体" w:cs="新宋体"/>
          <w:spacing w:val="17"/>
          <w:sz w:val="28"/>
          <w:szCs w:val="28"/>
        </w:rPr>
        <w:t>直</w:t>
      </w:r>
      <w:r>
        <w:rPr>
          <w:rFonts w:ascii="新宋体" w:hAnsi="新宋体" w:eastAsia="新宋体" w:cs="新宋体"/>
          <w:spacing w:val="12"/>
          <w:sz w:val="28"/>
          <w:szCs w:val="28"/>
        </w:rPr>
        <w:t>至服务恢复正常。</w:t>
      </w:r>
    </w:p>
    <w:p>
      <w:pPr>
        <w:spacing w:before="75" w:line="219" w:lineRule="auto"/>
        <w:ind w:left="24" w:right="259" w:firstLine="570"/>
        <w:rPr>
          <w:rFonts w:ascii="新宋体" w:hAnsi="新宋体" w:eastAsia="新宋体" w:cs="新宋体"/>
          <w:sz w:val="28"/>
          <w:szCs w:val="28"/>
        </w:rPr>
      </w:pPr>
      <w:r>
        <w:rPr>
          <w:rFonts w:ascii="新宋体" w:hAnsi="新宋体" w:eastAsia="新宋体" w:cs="新宋体"/>
          <w:spacing w:val="-15"/>
          <w:sz w:val="28"/>
          <w:szCs w:val="28"/>
        </w:rPr>
        <w:t>3</w:t>
      </w:r>
      <w:r>
        <w:rPr>
          <w:rFonts w:ascii="新宋体" w:hAnsi="新宋体" w:eastAsia="新宋体" w:cs="新宋体"/>
          <w:spacing w:val="-8"/>
          <w:sz w:val="28"/>
          <w:szCs w:val="28"/>
        </w:rPr>
        <w:t>、乙方必须遵守甲方的有关管理制度、操作规程。对于乙方违规操</w:t>
      </w:r>
      <w:r>
        <w:rPr>
          <w:rFonts w:ascii="新宋体" w:hAnsi="新宋体" w:eastAsia="新宋体" w:cs="新宋体"/>
          <w:sz w:val="28"/>
          <w:szCs w:val="28"/>
        </w:rPr>
        <w:t xml:space="preserve"> </w:t>
      </w:r>
      <w:r>
        <w:rPr>
          <w:rFonts w:ascii="新宋体" w:hAnsi="新宋体" w:eastAsia="新宋体" w:cs="新宋体"/>
          <w:spacing w:val="-6"/>
          <w:sz w:val="28"/>
          <w:szCs w:val="28"/>
        </w:rPr>
        <w:t>作造成甲方损</w:t>
      </w:r>
      <w:r>
        <w:rPr>
          <w:rFonts w:ascii="新宋体" w:hAnsi="新宋体" w:eastAsia="新宋体" w:cs="新宋体"/>
          <w:spacing w:val="-5"/>
          <w:sz w:val="28"/>
          <w:szCs w:val="28"/>
        </w:rPr>
        <w:t>失</w:t>
      </w:r>
      <w:r>
        <w:rPr>
          <w:rFonts w:ascii="新宋体" w:hAnsi="新宋体" w:eastAsia="新宋体" w:cs="新宋体"/>
          <w:spacing w:val="-3"/>
          <w:sz w:val="28"/>
          <w:szCs w:val="28"/>
        </w:rPr>
        <w:t>的，由乙方按照本合同第十二条的约定承担赔偿责任。</w:t>
      </w:r>
    </w:p>
    <w:p>
      <w:pPr>
        <w:spacing w:line="333" w:lineRule="exact"/>
        <w:ind w:firstLine="545"/>
        <w:textAlignment w:val="center"/>
      </w:pPr>
      <w:r>
        <w:drawing>
          <wp:inline distT="0" distB="0" distL="0" distR="0">
            <wp:extent cx="878205" cy="211455"/>
            <wp:effectExtent l="0" t="0" r="10795" b="444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878344" cy="211620"/>
                    </a:xfrm>
                    <a:prstGeom prst="rect">
                      <a:avLst/>
                    </a:prstGeom>
                  </pic:spPr>
                </pic:pic>
              </a:graphicData>
            </a:graphic>
          </wp:inline>
        </w:drawing>
      </w:r>
    </w:p>
    <w:p>
      <w:pPr>
        <w:spacing w:before="89" w:line="219" w:lineRule="auto"/>
        <w:ind w:left="26" w:right="228" w:firstLine="613"/>
        <w:rPr>
          <w:rFonts w:ascii="新宋体" w:hAnsi="新宋体" w:eastAsia="新宋体" w:cs="新宋体"/>
          <w:sz w:val="28"/>
          <w:szCs w:val="28"/>
        </w:rPr>
      </w:pPr>
      <w:r>
        <w:rPr>
          <w:rFonts w:ascii="新宋体" w:hAnsi="新宋体" w:eastAsia="新宋体" w:cs="新宋体"/>
          <w:spacing w:val="24"/>
          <w:sz w:val="28"/>
          <w:szCs w:val="28"/>
        </w:rPr>
        <w:t>除</w:t>
      </w:r>
      <w:r>
        <w:rPr>
          <w:rFonts w:ascii="新宋体" w:hAnsi="新宋体" w:eastAsia="新宋体" w:cs="新宋体"/>
          <w:spacing w:val="16"/>
          <w:sz w:val="28"/>
          <w:szCs w:val="28"/>
        </w:rPr>
        <w:t>招标采购文件事先说明、且经甲方事先书面同意外，乙方不</w:t>
      </w:r>
      <w:r>
        <w:rPr>
          <w:rFonts w:ascii="新宋体" w:hAnsi="新宋体" w:eastAsia="新宋体" w:cs="新宋体"/>
          <w:sz w:val="28"/>
          <w:szCs w:val="28"/>
        </w:rPr>
        <w:t xml:space="preserve"> </w:t>
      </w:r>
      <w:r>
        <w:rPr>
          <w:rFonts w:ascii="新宋体" w:hAnsi="新宋体" w:eastAsia="新宋体" w:cs="新宋体"/>
          <w:spacing w:val="20"/>
          <w:sz w:val="28"/>
          <w:szCs w:val="28"/>
        </w:rPr>
        <w:t>得</w:t>
      </w:r>
      <w:r>
        <w:rPr>
          <w:rFonts w:ascii="新宋体" w:hAnsi="新宋体" w:eastAsia="新宋体" w:cs="新宋体"/>
          <w:spacing w:val="18"/>
          <w:sz w:val="28"/>
          <w:szCs w:val="28"/>
        </w:rPr>
        <w:t xml:space="preserve"> 分包、转包其应履行的合同义务。</w:t>
      </w:r>
    </w:p>
    <w:p>
      <w:pPr>
        <w:spacing w:line="334" w:lineRule="exact"/>
        <w:ind w:firstLine="593"/>
        <w:textAlignment w:val="center"/>
      </w:pPr>
      <w:r>
        <w:drawing>
          <wp:inline distT="0" distB="0" distL="0" distR="0">
            <wp:extent cx="1670685" cy="211455"/>
            <wp:effectExtent l="0" t="0" r="5715" b="4445"/>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26"/>
                    <a:stretch>
                      <a:fillRect/>
                    </a:stretch>
                  </pic:blipFill>
                  <pic:spPr>
                    <a:xfrm>
                      <a:off x="0" y="0"/>
                      <a:ext cx="1671192" cy="211747"/>
                    </a:xfrm>
                    <a:prstGeom prst="rect">
                      <a:avLst/>
                    </a:prstGeom>
                  </pic:spPr>
                </pic:pic>
              </a:graphicData>
            </a:graphic>
          </wp:inline>
        </w:drawing>
      </w:r>
    </w:p>
    <w:p>
      <w:pPr>
        <w:spacing w:before="122" w:line="229" w:lineRule="auto"/>
        <w:ind w:left="25" w:right="321" w:firstLine="623"/>
        <w:rPr>
          <w:rFonts w:ascii="新宋体" w:hAnsi="新宋体" w:eastAsia="新宋体" w:cs="新宋体"/>
          <w:sz w:val="28"/>
          <w:szCs w:val="28"/>
        </w:rPr>
      </w:pPr>
      <w:r>
        <w:rPr>
          <w:rFonts w:ascii="新宋体" w:hAnsi="新宋体" w:eastAsia="新宋体" w:cs="新宋体"/>
          <w:spacing w:val="34"/>
          <w:sz w:val="28"/>
          <w:szCs w:val="28"/>
        </w:rPr>
        <w:t>1</w:t>
      </w:r>
      <w:r>
        <w:rPr>
          <w:rFonts w:ascii="新宋体" w:hAnsi="新宋体" w:eastAsia="新宋体" w:cs="新宋体"/>
          <w:spacing w:val="19"/>
          <w:sz w:val="28"/>
          <w:szCs w:val="28"/>
        </w:rPr>
        <w:t>、</w:t>
      </w:r>
      <w:r>
        <w:rPr>
          <w:rFonts w:ascii="新宋体" w:hAnsi="新宋体" w:eastAsia="新宋体" w:cs="新宋体"/>
          <w:spacing w:val="17"/>
          <w:sz w:val="28"/>
          <w:szCs w:val="28"/>
        </w:rPr>
        <w:t>本合同经甲乙双方授权代表签字并加盖公章或合同专用章</w:t>
      </w:r>
      <w:r>
        <w:rPr>
          <w:rFonts w:ascii="新宋体" w:hAnsi="新宋体" w:eastAsia="新宋体" w:cs="新宋体"/>
          <w:sz w:val="28"/>
          <w:szCs w:val="28"/>
        </w:rPr>
        <w:t xml:space="preserve"> </w:t>
      </w:r>
      <w:r>
        <w:rPr>
          <w:rFonts w:ascii="新宋体" w:hAnsi="新宋体" w:eastAsia="新宋体" w:cs="新宋体"/>
          <w:spacing w:val="6"/>
          <w:sz w:val="28"/>
          <w:szCs w:val="28"/>
        </w:rPr>
        <w:t>后</w:t>
      </w:r>
      <w:r>
        <w:rPr>
          <w:rFonts w:ascii="新宋体" w:hAnsi="新宋体" w:eastAsia="新宋体" w:cs="新宋体"/>
          <w:spacing w:val="5"/>
          <w:sz w:val="28"/>
          <w:szCs w:val="28"/>
        </w:rPr>
        <w:t xml:space="preserve"> 生效。</w:t>
      </w:r>
    </w:p>
    <w:p>
      <w:pPr>
        <w:spacing w:line="210" w:lineRule="auto"/>
        <w:ind w:left="588"/>
        <w:rPr>
          <w:rFonts w:ascii="新宋体" w:hAnsi="新宋体" w:eastAsia="新宋体" w:cs="新宋体"/>
          <w:sz w:val="28"/>
          <w:szCs w:val="28"/>
        </w:rPr>
      </w:pPr>
      <w:r>
        <w:rPr>
          <w:rFonts w:ascii="新宋体" w:hAnsi="新宋体" w:eastAsia="新宋体" w:cs="新宋体"/>
          <w:spacing w:val="-17"/>
          <w:sz w:val="28"/>
          <w:szCs w:val="28"/>
        </w:rPr>
        <w:t>2</w:t>
      </w:r>
      <w:r>
        <w:rPr>
          <w:rFonts w:ascii="新宋体" w:hAnsi="新宋体" w:eastAsia="新宋体" w:cs="新宋体"/>
          <w:spacing w:val="-14"/>
          <w:sz w:val="28"/>
          <w:szCs w:val="28"/>
        </w:rPr>
        <w:t>、生效后，除《政府采购法》 第 49 条、第 50 条第二款规定的情形</w:t>
      </w:r>
    </w:p>
    <w:p>
      <w:pPr>
        <w:spacing w:before="2" w:line="219" w:lineRule="auto"/>
        <w:ind w:left="31"/>
        <w:rPr>
          <w:rFonts w:ascii="新宋体" w:hAnsi="新宋体" w:eastAsia="新宋体" w:cs="新宋体"/>
          <w:sz w:val="28"/>
          <w:szCs w:val="28"/>
        </w:rPr>
      </w:pPr>
      <w:r>
        <w:rPr>
          <w:rFonts w:ascii="新宋体" w:hAnsi="新宋体" w:eastAsia="新宋体" w:cs="新宋体"/>
          <w:spacing w:val="-2"/>
          <w:sz w:val="28"/>
          <w:szCs w:val="28"/>
        </w:rPr>
        <w:t>外，甲乙 双方不</w:t>
      </w:r>
      <w:r>
        <w:rPr>
          <w:rFonts w:ascii="新宋体" w:hAnsi="新宋体" w:eastAsia="新宋体" w:cs="新宋体"/>
          <w:spacing w:val="-1"/>
          <w:sz w:val="28"/>
          <w:szCs w:val="28"/>
        </w:rPr>
        <w:t>得擅自变更、中止或终止合同。</w:t>
      </w:r>
    </w:p>
    <w:p>
      <w:pPr>
        <w:spacing w:before="7" w:line="334" w:lineRule="exact"/>
        <w:ind w:firstLine="545"/>
        <w:textAlignment w:val="center"/>
      </w:pPr>
      <w:r>
        <w:drawing>
          <wp:inline distT="0" distB="0" distL="0" distR="0">
            <wp:extent cx="1386840" cy="211455"/>
            <wp:effectExtent l="0" t="0" r="10160" b="444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7"/>
                    <a:stretch>
                      <a:fillRect/>
                    </a:stretch>
                  </pic:blipFill>
                  <pic:spPr>
                    <a:xfrm>
                      <a:off x="0" y="0"/>
                      <a:ext cx="1387271" cy="211747"/>
                    </a:xfrm>
                    <a:prstGeom prst="rect">
                      <a:avLst/>
                    </a:prstGeom>
                  </pic:spPr>
                </pic:pic>
              </a:graphicData>
            </a:graphic>
          </wp:inline>
        </w:drawing>
      </w:r>
    </w:p>
    <w:p>
      <w:pPr>
        <w:spacing w:before="124" w:line="246" w:lineRule="auto"/>
        <w:ind w:left="19" w:right="137" w:firstLine="629"/>
        <w:rPr>
          <w:rFonts w:ascii="新宋体" w:hAnsi="新宋体" w:eastAsia="新宋体" w:cs="新宋体"/>
          <w:sz w:val="28"/>
          <w:szCs w:val="28"/>
        </w:rPr>
      </w:pPr>
      <w:r>
        <w:rPr>
          <w:rFonts w:ascii="新宋体" w:hAnsi="新宋体" w:eastAsia="新宋体" w:cs="新宋体"/>
          <w:spacing w:val="16"/>
          <w:sz w:val="28"/>
          <w:szCs w:val="28"/>
        </w:rPr>
        <w:t>1</w:t>
      </w:r>
      <w:r>
        <w:rPr>
          <w:rFonts w:ascii="新宋体" w:hAnsi="新宋体" w:eastAsia="新宋体" w:cs="新宋体"/>
          <w:spacing w:val="10"/>
          <w:sz w:val="28"/>
          <w:szCs w:val="28"/>
        </w:rPr>
        <w:t>、</w:t>
      </w:r>
      <w:r>
        <w:rPr>
          <w:rFonts w:ascii="新宋体" w:hAnsi="新宋体" w:eastAsia="新宋体" w:cs="新宋体"/>
          <w:spacing w:val="8"/>
          <w:sz w:val="28"/>
          <w:szCs w:val="28"/>
        </w:rPr>
        <w:t>乙方所交付服务成果不符合本合同规定的， 甲方有权拒收，</w:t>
      </w:r>
      <w:r>
        <w:rPr>
          <w:rFonts w:ascii="新宋体" w:hAnsi="新宋体" w:eastAsia="新宋体" w:cs="新宋体"/>
          <w:sz w:val="28"/>
          <w:szCs w:val="28"/>
        </w:rPr>
        <w:t xml:space="preserve"> </w:t>
      </w:r>
      <w:r>
        <w:rPr>
          <w:rFonts w:ascii="新宋体" w:hAnsi="新宋体" w:eastAsia="新宋体" w:cs="新宋体"/>
          <w:spacing w:val="19"/>
          <w:sz w:val="28"/>
          <w:szCs w:val="28"/>
        </w:rPr>
        <w:t>乙方在得到甲方通知之日起</w:t>
      </w:r>
      <w:r>
        <w:rPr>
          <w:rFonts w:ascii="新宋体" w:hAnsi="新宋体" w:eastAsia="新宋体" w:cs="新宋体"/>
          <w:spacing w:val="19"/>
          <w:sz w:val="28"/>
          <w:szCs w:val="28"/>
          <w:u w:val="single" w:color="auto"/>
        </w:rPr>
        <w:t xml:space="preserve">  </w:t>
      </w:r>
      <w:r>
        <w:rPr>
          <w:rFonts w:ascii="新宋体" w:hAnsi="新宋体" w:eastAsia="新宋体" w:cs="新宋体"/>
          <w:spacing w:val="19"/>
          <w:sz w:val="28"/>
          <w:szCs w:val="28"/>
        </w:rPr>
        <w:t>个工作日内采取补救措施，逾期仍未</w:t>
      </w:r>
      <w:r>
        <w:rPr>
          <w:rFonts w:ascii="新宋体" w:hAnsi="新宋体" w:eastAsia="新宋体" w:cs="新宋体"/>
          <w:sz w:val="28"/>
          <w:szCs w:val="28"/>
        </w:rPr>
        <w:t xml:space="preserve"> </w:t>
      </w:r>
      <w:r>
        <w:rPr>
          <w:rFonts w:ascii="新宋体" w:hAnsi="新宋体" w:eastAsia="新宋体" w:cs="新宋体"/>
          <w:spacing w:val="21"/>
          <w:sz w:val="28"/>
          <w:szCs w:val="28"/>
        </w:rPr>
        <w:t>采</w:t>
      </w:r>
      <w:r>
        <w:rPr>
          <w:rFonts w:ascii="新宋体" w:hAnsi="新宋体" w:eastAsia="新宋体" w:cs="新宋体"/>
          <w:spacing w:val="14"/>
          <w:sz w:val="28"/>
          <w:szCs w:val="28"/>
        </w:rPr>
        <w:t xml:space="preserve"> 取有效措施的，甲方有权要求乙方赔偿因此造成的损失或扣留履</w:t>
      </w:r>
      <w:r>
        <w:rPr>
          <w:rFonts w:ascii="新宋体" w:hAnsi="新宋体" w:eastAsia="新宋体" w:cs="新宋体"/>
          <w:sz w:val="28"/>
          <w:szCs w:val="28"/>
        </w:rPr>
        <w:t xml:space="preserve"> </w:t>
      </w:r>
      <w:r>
        <w:rPr>
          <w:rFonts w:ascii="新宋体" w:hAnsi="新宋体" w:eastAsia="新宋体" w:cs="新宋体"/>
          <w:spacing w:val="1"/>
          <w:sz w:val="28"/>
          <w:szCs w:val="28"/>
        </w:rPr>
        <w:t>约保证金；同时乙方应向甲方支付合同总</w:t>
      </w:r>
      <w:r>
        <w:rPr>
          <w:rFonts w:ascii="新宋体" w:hAnsi="新宋体" w:eastAsia="新宋体" w:cs="新宋体"/>
          <w:sz w:val="28"/>
          <w:szCs w:val="28"/>
        </w:rPr>
        <w:t>价</w:t>
      </w:r>
      <w:r>
        <w:rPr>
          <w:rFonts w:ascii="新宋体" w:hAnsi="新宋体" w:eastAsia="新宋体" w:cs="新宋体"/>
          <w:sz w:val="28"/>
          <w:szCs w:val="28"/>
          <w:u w:val="single" w:color="auto"/>
        </w:rPr>
        <w:t xml:space="preserve">    </w:t>
      </w:r>
      <w:r>
        <w:rPr>
          <w:rFonts w:ascii="新宋体" w:hAnsi="新宋体" w:eastAsia="新宋体" w:cs="新宋体"/>
          <w:sz w:val="28"/>
          <w:szCs w:val="28"/>
        </w:rPr>
        <w:t>％的违约金。</w:t>
      </w:r>
    </w:p>
    <w:p>
      <w:pPr>
        <w:sectPr>
          <w:footerReference r:id="rId6" w:type="default"/>
          <w:pgSz w:w="11911" w:h="16840"/>
          <w:pgMar w:top="400" w:right="1456" w:bottom="1302" w:left="1586" w:header="0" w:footer="1134" w:gutter="0"/>
          <w:pgNumType w:fmt="decimal"/>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237" w:lineRule="auto"/>
        <w:ind w:left="33" w:right="352" w:firstLine="602"/>
        <w:rPr>
          <w:rFonts w:ascii="新宋体" w:hAnsi="新宋体" w:eastAsia="新宋体" w:cs="新宋体"/>
          <w:sz w:val="28"/>
          <w:szCs w:val="28"/>
        </w:rPr>
      </w:pPr>
      <w:r>
        <w:rPr>
          <w:rFonts w:ascii="新宋体" w:hAnsi="新宋体" w:eastAsia="新宋体" w:cs="新宋体"/>
          <w:spacing w:val="34"/>
          <w:sz w:val="28"/>
          <w:szCs w:val="28"/>
        </w:rPr>
        <w:t>2</w:t>
      </w:r>
      <w:r>
        <w:rPr>
          <w:rFonts w:ascii="新宋体" w:hAnsi="新宋体" w:eastAsia="新宋体" w:cs="新宋体"/>
          <w:spacing w:val="22"/>
          <w:sz w:val="28"/>
          <w:szCs w:val="28"/>
        </w:rPr>
        <w:t>、</w:t>
      </w:r>
      <w:r>
        <w:rPr>
          <w:rFonts w:ascii="新宋体" w:hAnsi="新宋体" w:eastAsia="新宋体" w:cs="新宋体"/>
          <w:spacing w:val="17"/>
          <w:sz w:val="28"/>
          <w:szCs w:val="28"/>
        </w:rPr>
        <w:t xml:space="preserve"> 甲方无正当理由拒收服务 ，甲方应向乙方偿付拒付服务</w:t>
      </w:r>
      <w:r>
        <w:rPr>
          <w:rFonts w:ascii="新宋体" w:hAnsi="新宋体" w:eastAsia="新宋体" w:cs="新宋体"/>
          <w:sz w:val="28"/>
          <w:szCs w:val="28"/>
        </w:rPr>
        <w:t xml:space="preserve"> </w:t>
      </w:r>
      <w:r>
        <w:rPr>
          <w:rFonts w:ascii="新宋体" w:hAnsi="新宋体" w:eastAsia="新宋体" w:cs="新宋体"/>
          <w:spacing w:val="9"/>
          <w:sz w:val="28"/>
          <w:szCs w:val="28"/>
        </w:rPr>
        <w:t>费用  ％的违约金。</w:t>
      </w:r>
    </w:p>
    <w:p>
      <w:pPr>
        <w:spacing w:before="4" w:line="233" w:lineRule="auto"/>
        <w:ind w:right="235" w:firstLine="599"/>
        <w:rPr>
          <w:rFonts w:ascii="新宋体" w:hAnsi="新宋体" w:eastAsia="新宋体" w:cs="新宋体"/>
          <w:sz w:val="28"/>
          <w:szCs w:val="28"/>
        </w:rPr>
      </w:pPr>
      <w:r>
        <w:rPr>
          <w:rFonts w:ascii="新宋体" w:hAnsi="新宋体" w:eastAsia="新宋体" w:cs="新宋体"/>
          <w:spacing w:val="19"/>
          <w:sz w:val="28"/>
          <w:szCs w:val="28"/>
        </w:rPr>
        <w:t>3</w:t>
      </w:r>
      <w:r>
        <w:rPr>
          <w:rFonts w:ascii="新宋体" w:hAnsi="新宋体" w:eastAsia="新宋体" w:cs="新宋体"/>
          <w:spacing w:val="16"/>
          <w:sz w:val="28"/>
          <w:szCs w:val="28"/>
        </w:rPr>
        <w:t>、乙方无正当理由逾期交付服务的，每逾期1天，乙方向甲方</w:t>
      </w:r>
      <w:r>
        <w:rPr>
          <w:rFonts w:ascii="新宋体" w:hAnsi="新宋体" w:eastAsia="新宋体" w:cs="新宋体"/>
          <w:sz w:val="28"/>
          <w:szCs w:val="28"/>
        </w:rPr>
        <w:t xml:space="preserve"> </w:t>
      </w:r>
      <w:r>
        <w:rPr>
          <w:rFonts w:ascii="新宋体" w:hAnsi="新宋体" w:eastAsia="新宋体" w:cs="新宋体"/>
          <w:spacing w:val="6"/>
          <w:sz w:val="28"/>
          <w:szCs w:val="28"/>
        </w:rPr>
        <w:t>偿 付合同总额的</w:t>
      </w:r>
      <w:r>
        <w:rPr>
          <w:rFonts w:ascii="新宋体" w:hAnsi="新宋体" w:eastAsia="新宋体" w:cs="新宋体"/>
          <w:spacing w:val="6"/>
          <w:sz w:val="28"/>
          <w:szCs w:val="28"/>
          <w:u w:val="single" w:color="auto"/>
        </w:rPr>
        <w:t xml:space="preserve">    </w:t>
      </w:r>
      <w:r>
        <w:rPr>
          <w:rFonts w:ascii="新宋体" w:hAnsi="新宋体" w:eastAsia="新宋体" w:cs="新宋体"/>
          <w:spacing w:val="6"/>
          <w:sz w:val="28"/>
          <w:szCs w:val="28"/>
        </w:rPr>
        <w:t>‰的违约金。如乙方逾期达</w:t>
      </w:r>
      <w:r>
        <w:rPr>
          <w:rFonts w:ascii="新宋体" w:hAnsi="新宋体" w:eastAsia="新宋体" w:cs="新宋体"/>
          <w:spacing w:val="6"/>
          <w:sz w:val="28"/>
          <w:szCs w:val="28"/>
          <w:u w:val="single" w:color="auto"/>
        </w:rPr>
        <w:t xml:space="preserve">    </w:t>
      </w:r>
      <w:r>
        <w:rPr>
          <w:rFonts w:ascii="新宋体" w:hAnsi="新宋体" w:eastAsia="新宋体" w:cs="新宋体"/>
          <w:spacing w:val="6"/>
          <w:sz w:val="28"/>
          <w:szCs w:val="28"/>
        </w:rPr>
        <w:t>天， 甲方</w:t>
      </w:r>
      <w:r>
        <w:rPr>
          <w:rFonts w:ascii="新宋体" w:hAnsi="新宋体" w:eastAsia="新宋体" w:cs="新宋体"/>
          <w:spacing w:val="5"/>
          <w:sz w:val="28"/>
          <w:szCs w:val="28"/>
        </w:rPr>
        <w:t>有</w:t>
      </w:r>
      <w:r>
        <w:rPr>
          <w:rFonts w:ascii="新宋体" w:hAnsi="新宋体" w:eastAsia="新宋体" w:cs="新宋体"/>
          <w:sz w:val="28"/>
          <w:szCs w:val="28"/>
        </w:rPr>
        <w:t xml:space="preserve">权 </w:t>
      </w:r>
      <w:r>
        <w:rPr>
          <w:rFonts w:ascii="新宋体" w:hAnsi="新宋体" w:eastAsia="新宋体" w:cs="新宋体"/>
          <w:spacing w:val="16"/>
          <w:sz w:val="28"/>
          <w:szCs w:val="28"/>
        </w:rPr>
        <w:t>解除</w:t>
      </w:r>
      <w:r>
        <w:rPr>
          <w:rFonts w:ascii="新宋体" w:hAnsi="新宋体" w:eastAsia="新宋体" w:cs="新宋体"/>
          <w:spacing w:val="15"/>
          <w:sz w:val="28"/>
          <w:szCs w:val="28"/>
        </w:rPr>
        <w:t>合</w:t>
      </w:r>
      <w:r>
        <w:rPr>
          <w:rFonts w:ascii="新宋体" w:hAnsi="新宋体" w:eastAsia="新宋体" w:cs="新宋体"/>
          <w:spacing w:val="8"/>
          <w:sz w:val="28"/>
          <w:szCs w:val="28"/>
        </w:rPr>
        <w:t>同， 甲方解除合同的通知自到达乙方时生效 。在此情况下，</w:t>
      </w:r>
      <w:r>
        <w:rPr>
          <w:rFonts w:ascii="新宋体" w:hAnsi="新宋体" w:eastAsia="新宋体" w:cs="新宋体"/>
          <w:sz w:val="28"/>
          <w:szCs w:val="28"/>
        </w:rPr>
        <w:t xml:space="preserve"> </w:t>
      </w:r>
      <w:r>
        <w:rPr>
          <w:rFonts w:ascii="新宋体" w:hAnsi="新宋体" w:eastAsia="新宋体" w:cs="新宋体"/>
          <w:spacing w:val="19"/>
          <w:sz w:val="28"/>
          <w:szCs w:val="28"/>
        </w:rPr>
        <w:t>乙方给甲方造成的实际损失高于违约金的，对高出违约金的部分乙</w:t>
      </w:r>
      <w:r>
        <w:rPr>
          <w:rFonts w:ascii="新宋体" w:hAnsi="新宋体" w:eastAsia="新宋体" w:cs="新宋体"/>
          <w:sz w:val="28"/>
          <w:szCs w:val="28"/>
        </w:rPr>
        <w:t xml:space="preserve"> </w:t>
      </w:r>
      <w:r>
        <w:rPr>
          <w:rFonts w:ascii="新宋体" w:hAnsi="新宋体" w:eastAsia="新宋体" w:cs="新宋体"/>
          <w:spacing w:val="13"/>
          <w:sz w:val="28"/>
          <w:szCs w:val="28"/>
        </w:rPr>
        <w:t>方应予以赔偿。</w:t>
      </w:r>
    </w:p>
    <w:p>
      <w:pPr>
        <w:spacing w:before="26" w:line="231" w:lineRule="auto"/>
        <w:ind w:left="4" w:right="216" w:firstLine="580"/>
        <w:rPr>
          <w:rFonts w:ascii="新宋体" w:hAnsi="新宋体" w:eastAsia="新宋体" w:cs="新宋体"/>
          <w:sz w:val="28"/>
          <w:szCs w:val="28"/>
        </w:rPr>
      </w:pPr>
      <w:r>
        <w:rPr>
          <w:rFonts w:ascii="新宋体" w:hAnsi="新宋体" w:eastAsia="新宋体" w:cs="新宋体"/>
          <w:spacing w:val="24"/>
          <w:sz w:val="28"/>
          <w:szCs w:val="28"/>
        </w:rPr>
        <w:t>4</w:t>
      </w:r>
      <w:r>
        <w:rPr>
          <w:rFonts w:ascii="新宋体" w:hAnsi="新宋体" w:eastAsia="新宋体" w:cs="新宋体"/>
          <w:spacing w:val="23"/>
          <w:sz w:val="28"/>
          <w:szCs w:val="28"/>
        </w:rPr>
        <w:t>、</w:t>
      </w:r>
      <w:r>
        <w:rPr>
          <w:rFonts w:ascii="新宋体" w:hAnsi="新宋体" w:eastAsia="新宋体" w:cs="新宋体"/>
          <w:spacing w:val="12"/>
          <w:sz w:val="28"/>
          <w:szCs w:val="28"/>
        </w:rPr>
        <w:t xml:space="preserve"> 甲方未按合同规定的期限向乙方支付合同款的，每逾期1天</w:t>
      </w:r>
      <w:r>
        <w:rPr>
          <w:rFonts w:ascii="新宋体" w:hAnsi="新宋体" w:eastAsia="新宋体" w:cs="新宋体"/>
          <w:sz w:val="28"/>
          <w:szCs w:val="28"/>
        </w:rPr>
        <w:t xml:space="preserve"> </w:t>
      </w:r>
      <w:r>
        <w:rPr>
          <w:rFonts w:ascii="新宋体" w:hAnsi="新宋体" w:eastAsia="新宋体" w:cs="新宋体"/>
          <w:spacing w:val="22"/>
          <w:sz w:val="28"/>
          <w:szCs w:val="28"/>
        </w:rPr>
        <w:t>甲</w:t>
      </w:r>
      <w:r>
        <w:rPr>
          <w:rFonts w:ascii="新宋体" w:hAnsi="新宋体" w:eastAsia="新宋体" w:cs="新宋体"/>
          <w:spacing w:val="13"/>
          <w:sz w:val="28"/>
          <w:szCs w:val="28"/>
        </w:rPr>
        <w:t>方向乙方偿付欠款总额的</w:t>
      </w:r>
      <w:r>
        <w:rPr>
          <w:rFonts w:ascii="新宋体" w:hAnsi="新宋体" w:eastAsia="新宋体" w:cs="新宋体"/>
          <w:spacing w:val="13"/>
          <w:sz w:val="28"/>
          <w:szCs w:val="28"/>
          <w:u w:val="single" w:color="auto"/>
        </w:rPr>
        <w:t xml:space="preserve">     </w:t>
      </w:r>
      <w:r>
        <w:rPr>
          <w:rFonts w:ascii="新宋体" w:hAnsi="新宋体" w:eastAsia="新宋体" w:cs="新宋体"/>
          <w:spacing w:val="13"/>
          <w:sz w:val="28"/>
          <w:szCs w:val="28"/>
        </w:rPr>
        <w:t>‰违约金，但累计违约金总额不超</w:t>
      </w:r>
      <w:r>
        <w:rPr>
          <w:rFonts w:ascii="新宋体" w:hAnsi="新宋体" w:eastAsia="新宋体" w:cs="新宋体"/>
          <w:sz w:val="28"/>
          <w:szCs w:val="28"/>
        </w:rPr>
        <w:t xml:space="preserve"> </w:t>
      </w:r>
      <w:r>
        <w:rPr>
          <w:rFonts w:ascii="新宋体" w:hAnsi="新宋体" w:eastAsia="新宋体" w:cs="新宋体"/>
          <w:spacing w:val="-9"/>
          <w:sz w:val="28"/>
          <w:szCs w:val="28"/>
        </w:rPr>
        <w:t>过</w:t>
      </w:r>
      <w:r>
        <w:rPr>
          <w:rFonts w:ascii="新宋体" w:hAnsi="新宋体" w:eastAsia="新宋体" w:cs="新宋体"/>
          <w:spacing w:val="-8"/>
          <w:sz w:val="28"/>
          <w:szCs w:val="28"/>
        </w:rPr>
        <w:t>欠 款总额的</w:t>
      </w:r>
      <w:r>
        <w:rPr>
          <w:rFonts w:ascii="新宋体" w:hAnsi="新宋体" w:eastAsia="新宋体" w:cs="新宋体"/>
          <w:spacing w:val="-8"/>
          <w:sz w:val="28"/>
          <w:szCs w:val="28"/>
          <w:u w:val="single" w:color="auto"/>
        </w:rPr>
        <w:t xml:space="preserve">    </w:t>
      </w:r>
      <w:r>
        <w:rPr>
          <w:rFonts w:ascii="新宋体" w:hAnsi="新宋体" w:eastAsia="新宋体" w:cs="新宋体"/>
          <w:spacing w:val="-8"/>
          <w:sz w:val="28"/>
          <w:szCs w:val="28"/>
        </w:rPr>
        <w:t xml:space="preserve"> ％。</w:t>
      </w:r>
    </w:p>
    <w:p>
      <w:pPr>
        <w:spacing w:before="54" w:line="225" w:lineRule="auto"/>
        <w:ind w:left="6" w:right="237" w:firstLine="568"/>
        <w:rPr>
          <w:rFonts w:ascii="新宋体" w:hAnsi="新宋体" w:eastAsia="新宋体" w:cs="新宋体"/>
          <w:sz w:val="28"/>
          <w:szCs w:val="28"/>
        </w:rPr>
      </w:pPr>
      <w:r>
        <w:rPr>
          <w:rFonts w:ascii="新宋体" w:hAnsi="新宋体" w:eastAsia="新宋体" w:cs="新宋体"/>
          <w:spacing w:val="-44"/>
          <w:sz w:val="28"/>
          <w:szCs w:val="28"/>
        </w:rPr>
        <w:t>5</w:t>
      </w:r>
      <w:r>
        <w:rPr>
          <w:rFonts w:ascii="新宋体" w:hAnsi="新宋体" w:eastAsia="新宋体" w:cs="新宋体"/>
          <w:spacing w:val="-23"/>
          <w:sz w:val="28"/>
          <w:szCs w:val="28"/>
        </w:rPr>
        <w:t>、</w:t>
      </w:r>
      <w:r>
        <w:rPr>
          <w:rFonts w:ascii="新宋体" w:hAnsi="新宋体" w:eastAsia="新宋体" w:cs="新宋体"/>
          <w:spacing w:val="-22"/>
          <w:sz w:val="28"/>
          <w:szCs w:val="28"/>
        </w:rPr>
        <w:t>其它未尽事宜，以《合同法》和《政府采购法》等有关法律法规规定</w:t>
      </w:r>
      <w:r>
        <w:rPr>
          <w:rFonts w:ascii="新宋体" w:hAnsi="新宋体" w:eastAsia="新宋体" w:cs="新宋体"/>
          <w:sz w:val="28"/>
          <w:szCs w:val="28"/>
        </w:rPr>
        <w:t xml:space="preserve"> </w:t>
      </w:r>
      <w:r>
        <w:rPr>
          <w:rFonts w:ascii="新宋体" w:hAnsi="新宋体" w:eastAsia="新宋体" w:cs="新宋体"/>
          <w:spacing w:val="-4"/>
          <w:sz w:val="28"/>
          <w:szCs w:val="28"/>
        </w:rPr>
        <w:t>为准，无相</w:t>
      </w:r>
      <w:r>
        <w:rPr>
          <w:rFonts w:ascii="新宋体" w:hAnsi="新宋体" w:eastAsia="新宋体" w:cs="新宋体"/>
          <w:spacing w:val="-3"/>
          <w:sz w:val="28"/>
          <w:szCs w:val="28"/>
        </w:rPr>
        <w:t>关</w:t>
      </w:r>
      <w:r>
        <w:rPr>
          <w:rFonts w:ascii="新宋体" w:hAnsi="新宋体" w:eastAsia="新宋体" w:cs="新宋体"/>
          <w:spacing w:val="-2"/>
          <w:sz w:val="28"/>
          <w:szCs w:val="28"/>
        </w:rPr>
        <w:t>规定的，双方协商解决。</w:t>
      </w:r>
    </w:p>
    <w:p>
      <w:pPr>
        <w:spacing w:line="302" w:lineRule="exact"/>
        <w:ind w:firstLine="525"/>
        <w:textAlignment w:val="center"/>
      </w:pPr>
      <w:r>
        <w:drawing>
          <wp:inline distT="0" distB="0" distL="0" distR="0">
            <wp:extent cx="1379220" cy="191770"/>
            <wp:effectExtent l="0" t="0" r="5080" b="1143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28"/>
                    <a:stretch>
                      <a:fillRect/>
                    </a:stretch>
                  </pic:blipFill>
                  <pic:spPr>
                    <a:xfrm>
                      <a:off x="0" y="0"/>
                      <a:ext cx="1379245" cy="191846"/>
                    </a:xfrm>
                    <a:prstGeom prst="rect">
                      <a:avLst/>
                    </a:prstGeom>
                  </pic:spPr>
                </pic:pic>
              </a:graphicData>
            </a:graphic>
          </wp:inline>
        </w:drawing>
      </w:r>
    </w:p>
    <w:p>
      <w:pPr>
        <w:spacing w:before="87" w:line="226" w:lineRule="auto"/>
        <w:ind w:left="4" w:firstLine="630"/>
        <w:rPr>
          <w:rFonts w:ascii="新宋体" w:hAnsi="新宋体" w:eastAsia="新宋体" w:cs="新宋体"/>
          <w:sz w:val="28"/>
          <w:szCs w:val="28"/>
        </w:rPr>
      </w:pPr>
      <w:r>
        <w:rPr>
          <w:rFonts w:ascii="新宋体" w:hAnsi="新宋体" w:eastAsia="新宋体" w:cs="新宋体"/>
          <w:spacing w:val="-10"/>
          <w:sz w:val="28"/>
          <w:szCs w:val="28"/>
        </w:rPr>
        <w:t>甲、</w:t>
      </w:r>
      <w:r>
        <w:rPr>
          <w:rFonts w:ascii="新宋体" w:hAnsi="新宋体" w:eastAsia="新宋体" w:cs="新宋体"/>
          <w:spacing w:val="-8"/>
          <w:sz w:val="28"/>
          <w:szCs w:val="28"/>
        </w:rPr>
        <w:t>乙</w:t>
      </w:r>
      <w:r>
        <w:rPr>
          <w:rFonts w:ascii="新宋体" w:hAnsi="新宋体" w:eastAsia="新宋体" w:cs="新宋体"/>
          <w:spacing w:val="-5"/>
          <w:sz w:val="28"/>
          <w:szCs w:val="28"/>
        </w:rPr>
        <w:t>方中任何一方，因不可抗力不能按时或完全履行合同的，应及</w:t>
      </w:r>
      <w:r>
        <w:rPr>
          <w:rFonts w:ascii="新宋体" w:hAnsi="新宋体" w:eastAsia="新宋体" w:cs="新宋体"/>
          <w:sz w:val="28"/>
          <w:szCs w:val="28"/>
        </w:rPr>
        <w:t xml:space="preserve"> </w:t>
      </w:r>
      <w:r>
        <w:rPr>
          <w:rFonts w:ascii="新宋体" w:hAnsi="新宋体" w:eastAsia="新宋体" w:cs="新宋体"/>
          <w:spacing w:val="-18"/>
          <w:sz w:val="28"/>
          <w:szCs w:val="28"/>
        </w:rPr>
        <w:t>时通</w:t>
      </w:r>
      <w:r>
        <w:rPr>
          <w:rFonts w:ascii="新宋体" w:hAnsi="新宋体" w:eastAsia="新宋体" w:cs="新宋体"/>
          <w:spacing w:val="-15"/>
          <w:sz w:val="28"/>
          <w:szCs w:val="28"/>
        </w:rPr>
        <w:t>知</w:t>
      </w:r>
      <w:r>
        <w:rPr>
          <w:rFonts w:ascii="新宋体" w:hAnsi="新宋体" w:eastAsia="新宋体" w:cs="新宋体"/>
          <w:spacing w:val="-9"/>
          <w:sz w:val="28"/>
          <w:szCs w:val="28"/>
        </w:rPr>
        <w:t>对方，并在</w:t>
      </w:r>
      <w:r>
        <w:rPr>
          <w:rFonts w:ascii="新宋体" w:hAnsi="新宋体" w:eastAsia="新宋体" w:cs="新宋体"/>
          <w:spacing w:val="-9"/>
          <w:sz w:val="28"/>
          <w:szCs w:val="28"/>
          <w:u w:val="single" w:color="auto"/>
        </w:rPr>
        <w:t xml:space="preserve">   </w:t>
      </w:r>
      <w:r>
        <w:rPr>
          <w:rFonts w:ascii="新宋体" w:hAnsi="新宋体" w:eastAsia="新宋体" w:cs="新宋体"/>
          <w:spacing w:val="-9"/>
          <w:sz w:val="28"/>
          <w:szCs w:val="28"/>
        </w:rPr>
        <w:t xml:space="preserve"> 个工作日内提供相应证明。未履行完合同部分是否继</w:t>
      </w:r>
      <w:r>
        <w:rPr>
          <w:rFonts w:ascii="新宋体" w:hAnsi="新宋体" w:eastAsia="新宋体" w:cs="新宋体"/>
          <w:sz w:val="28"/>
          <w:szCs w:val="28"/>
        </w:rPr>
        <w:t xml:space="preserve"> </w:t>
      </w:r>
      <w:r>
        <w:rPr>
          <w:rFonts w:ascii="新宋体" w:hAnsi="新宋体" w:eastAsia="新宋体" w:cs="新宋体"/>
          <w:spacing w:val="-4"/>
          <w:sz w:val="28"/>
          <w:szCs w:val="28"/>
        </w:rPr>
        <w:t>续履行、如何履行</w:t>
      </w:r>
      <w:r>
        <w:rPr>
          <w:rFonts w:ascii="新宋体" w:hAnsi="新宋体" w:eastAsia="新宋体" w:cs="新宋体"/>
          <w:spacing w:val="-2"/>
          <w:sz w:val="28"/>
          <w:szCs w:val="28"/>
        </w:rPr>
        <w:t>等问题，可由双方初步协商，并向主管部门和政府采购</w:t>
      </w:r>
      <w:r>
        <w:rPr>
          <w:rFonts w:ascii="新宋体" w:hAnsi="新宋体" w:eastAsia="新宋体" w:cs="新宋体"/>
          <w:sz w:val="28"/>
          <w:szCs w:val="28"/>
        </w:rPr>
        <w:t xml:space="preserve"> </w:t>
      </w:r>
      <w:r>
        <w:rPr>
          <w:rFonts w:ascii="新宋体" w:hAnsi="新宋体" w:eastAsia="新宋体" w:cs="新宋体"/>
          <w:spacing w:val="-8"/>
          <w:sz w:val="28"/>
          <w:szCs w:val="28"/>
        </w:rPr>
        <w:t>管</w:t>
      </w:r>
      <w:r>
        <w:rPr>
          <w:rFonts w:ascii="新宋体" w:hAnsi="新宋体" w:eastAsia="新宋体" w:cs="新宋体"/>
          <w:spacing w:val="-6"/>
          <w:sz w:val="28"/>
          <w:szCs w:val="28"/>
        </w:rPr>
        <w:t>理</w:t>
      </w:r>
      <w:r>
        <w:rPr>
          <w:rFonts w:ascii="新宋体" w:hAnsi="新宋体" w:eastAsia="新宋体" w:cs="新宋体"/>
          <w:spacing w:val="-4"/>
          <w:sz w:val="28"/>
          <w:szCs w:val="28"/>
        </w:rPr>
        <w:t>部门报告。确定为不可抗力原因造成的损失，免予承担责任。</w:t>
      </w:r>
    </w:p>
    <w:p>
      <w:pPr>
        <w:spacing w:line="333" w:lineRule="exact"/>
        <w:ind w:firstLine="525"/>
        <w:textAlignment w:val="center"/>
      </w:pPr>
      <w:r>
        <w:drawing>
          <wp:inline distT="0" distB="0" distL="0" distR="0">
            <wp:extent cx="1734185" cy="211455"/>
            <wp:effectExtent l="0" t="0" r="5715" b="444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9"/>
                    <a:stretch>
                      <a:fillRect/>
                    </a:stretch>
                  </pic:blipFill>
                  <pic:spPr>
                    <a:xfrm>
                      <a:off x="0" y="0"/>
                      <a:ext cx="1734439" cy="211746"/>
                    </a:xfrm>
                    <a:prstGeom prst="rect">
                      <a:avLst/>
                    </a:prstGeom>
                  </pic:spPr>
                </pic:pic>
              </a:graphicData>
            </a:graphic>
          </wp:inline>
        </w:drawing>
      </w:r>
    </w:p>
    <w:p>
      <w:pPr>
        <w:spacing w:before="106" w:line="231" w:lineRule="auto"/>
        <w:ind w:left="4" w:right="182" w:firstLine="600"/>
        <w:rPr>
          <w:rFonts w:ascii="新宋体" w:hAnsi="新宋体" w:eastAsia="新宋体" w:cs="新宋体"/>
          <w:sz w:val="28"/>
          <w:szCs w:val="28"/>
        </w:rPr>
      </w:pPr>
      <w:r>
        <w:rPr>
          <w:rFonts w:ascii="新宋体" w:hAnsi="新宋体" w:eastAsia="新宋体" w:cs="新宋体"/>
          <w:spacing w:val="-16"/>
          <w:sz w:val="28"/>
          <w:szCs w:val="28"/>
        </w:rPr>
        <w:t>1、</w:t>
      </w:r>
      <w:r>
        <w:rPr>
          <w:rFonts w:ascii="新宋体" w:hAnsi="新宋体" w:eastAsia="新宋体" w:cs="新宋体"/>
          <w:spacing w:val="-12"/>
          <w:sz w:val="28"/>
          <w:szCs w:val="28"/>
        </w:rPr>
        <w:t>因</w:t>
      </w:r>
      <w:r>
        <w:rPr>
          <w:rFonts w:ascii="新宋体" w:hAnsi="新宋体" w:eastAsia="新宋体" w:cs="新宋体"/>
          <w:spacing w:val="-8"/>
          <w:sz w:val="28"/>
          <w:szCs w:val="28"/>
        </w:rPr>
        <w:t>货物的质量问题发生争议的，应当邀请国家认可的质量检测机</w:t>
      </w:r>
      <w:r>
        <w:rPr>
          <w:rFonts w:ascii="新宋体" w:hAnsi="新宋体" w:eastAsia="新宋体" w:cs="新宋体"/>
          <w:sz w:val="28"/>
          <w:szCs w:val="28"/>
        </w:rPr>
        <w:t xml:space="preserve"> </w:t>
      </w:r>
      <w:r>
        <w:rPr>
          <w:rFonts w:ascii="新宋体" w:hAnsi="新宋体" w:eastAsia="新宋体" w:cs="新宋体"/>
          <w:spacing w:val="-30"/>
          <w:sz w:val="28"/>
          <w:szCs w:val="28"/>
        </w:rPr>
        <w:t>构</w:t>
      </w:r>
      <w:r>
        <w:rPr>
          <w:rFonts w:ascii="新宋体" w:hAnsi="新宋体" w:eastAsia="新宋体" w:cs="新宋体"/>
          <w:spacing w:val="-26"/>
          <w:sz w:val="28"/>
          <w:szCs w:val="28"/>
        </w:rPr>
        <w:t>对</w:t>
      </w:r>
      <w:r>
        <w:rPr>
          <w:rFonts w:ascii="新宋体" w:hAnsi="新宋体" w:eastAsia="新宋体" w:cs="新宋体"/>
          <w:spacing w:val="-15"/>
          <w:sz w:val="28"/>
          <w:szCs w:val="28"/>
        </w:rPr>
        <w:t>货物质量进行鉴定。货物符合标准的，鉴定费由甲方承担；货物不符合</w:t>
      </w:r>
      <w:r>
        <w:rPr>
          <w:rFonts w:ascii="新宋体" w:hAnsi="新宋体" w:eastAsia="新宋体" w:cs="新宋体"/>
          <w:sz w:val="28"/>
          <w:szCs w:val="28"/>
        </w:rPr>
        <w:t xml:space="preserve"> </w:t>
      </w:r>
      <w:r>
        <w:rPr>
          <w:rFonts w:ascii="新宋体" w:hAnsi="新宋体" w:eastAsia="新宋体" w:cs="新宋体"/>
          <w:spacing w:val="-4"/>
          <w:sz w:val="28"/>
          <w:szCs w:val="28"/>
        </w:rPr>
        <w:t>质量标</w:t>
      </w:r>
      <w:r>
        <w:rPr>
          <w:rFonts w:ascii="新宋体" w:hAnsi="新宋体" w:eastAsia="新宋体" w:cs="新宋体"/>
          <w:spacing w:val="-3"/>
          <w:sz w:val="28"/>
          <w:szCs w:val="28"/>
        </w:rPr>
        <w:t>准</w:t>
      </w:r>
      <w:r>
        <w:rPr>
          <w:rFonts w:ascii="新宋体" w:hAnsi="新宋体" w:eastAsia="新宋体" w:cs="新宋体"/>
          <w:spacing w:val="-2"/>
          <w:sz w:val="28"/>
          <w:szCs w:val="28"/>
        </w:rPr>
        <w:t>的，鉴定费由乙方承担。</w:t>
      </w:r>
    </w:p>
    <w:p>
      <w:pPr>
        <w:spacing w:before="20" w:line="228" w:lineRule="auto"/>
        <w:ind w:left="11" w:right="319" w:firstLine="556"/>
        <w:rPr>
          <w:rFonts w:ascii="新宋体" w:hAnsi="新宋体" w:eastAsia="新宋体" w:cs="新宋体"/>
          <w:sz w:val="28"/>
          <w:szCs w:val="28"/>
        </w:rPr>
      </w:pPr>
      <w:r>
        <w:rPr>
          <w:rFonts w:ascii="新宋体" w:hAnsi="新宋体" w:eastAsia="新宋体" w:cs="新宋体"/>
          <w:spacing w:val="-10"/>
          <w:sz w:val="28"/>
          <w:szCs w:val="28"/>
        </w:rPr>
        <w:t>2</w:t>
      </w:r>
      <w:r>
        <w:rPr>
          <w:rFonts w:ascii="新宋体" w:hAnsi="新宋体" w:eastAsia="新宋体" w:cs="新宋体"/>
          <w:spacing w:val="-8"/>
          <w:sz w:val="28"/>
          <w:szCs w:val="28"/>
        </w:rPr>
        <w:t>、在解释或者执行本合同的过程中发生争议时，双方应通过协商方</w:t>
      </w:r>
      <w:r>
        <w:rPr>
          <w:rFonts w:ascii="新宋体" w:hAnsi="新宋体" w:eastAsia="新宋体" w:cs="新宋体"/>
          <w:sz w:val="28"/>
          <w:szCs w:val="28"/>
        </w:rPr>
        <w:t xml:space="preserve"> </w:t>
      </w:r>
      <w:r>
        <w:rPr>
          <w:rFonts w:ascii="新宋体" w:hAnsi="新宋体" w:eastAsia="新宋体" w:cs="新宋体"/>
          <w:spacing w:val="-9"/>
          <w:sz w:val="28"/>
          <w:szCs w:val="28"/>
        </w:rPr>
        <w:t>式解决。</w:t>
      </w:r>
    </w:p>
    <w:p>
      <w:pPr>
        <w:spacing w:before="1" w:line="219" w:lineRule="auto"/>
        <w:ind w:left="575"/>
        <w:rPr>
          <w:rFonts w:ascii="新宋体" w:hAnsi="新宋体" w:eastAsia="新宋体" w:cs="新宋体"/>
          <w:sz w:val="28"/>
          <w:szCs w:val="28"/>
        </w:rPr>
      </w:pPr>
      <w:r>
        <w:rPr>
          <w:rFonts w:ascii="新宋体" w:hAnsi="新宋体" w:eastAsia="新宋体" w:cs="新宋体"/>
          <w:spacing w:val="-8"/>
          <w:sz w:val="28"/>
          <w:szCs w:val="28"/>
        </w:rPr>
        <w:t>3</w:t>
      </w:r>
      <w:r>
        <w:rPr>
          <w:rFonts w:ascii="新宋体" w:hAnsi="新宋体" w:eastAsia="新宋体" w:cs="新宋体"/>
          <w:spacing w:val="-6"/>
          <w:sz w:val="28"/>
          <w:szCs w:val="28"/>
        </w:rPr>
        <w:t>、经协商不能解决的争议，双方可选择以下第</w:t>
      </w:r>
      <w:r>
        <w:rPr>
          <w:rFonts w:ascii="新宋体" w:hAnsi="新宋体" w:eastAsia="新宋体" w:cs="新宋体"/>
          <w:spacing w:val="-6"/>
          <w:sz w:val="28"/>
          <w:szCs w:val="28"/>
          <w:u w:val="single" w:color="auto"/>
        </w:rPr>
        <w:t xml:space="preserve">   </w:t>
      </w:r>
      <w:r>
        <w:rPr>
          <w:rFonts w:ascii="新宋体" w:hAnsi="新宋体" w:eastAsia="新宋体" w:cs="新宋体"/>
          <w:spacing w:val="-6"/>
          <w:sz w:val="28"/>
          <w:szCs w:val="28"/>
        </w:rPr>
        <w:t xml:space="preserve"> 种方式解决：</w:t>
      </w:r>
    </w:p>
    <w:p>
      <w:pPr>
        <w:spacing w:before="29" w:line="218" w:lineRule="auto"/>
        <w:ind w:left="561"/>
        <w:rPr>
          <w:rFonts w:ascii="新宋体" w:hAnsi="新宋体" w:eastAsia="新宋体" w:cs="新宋体"/>
          <w:sz w:val="28"/>
          <w:szCs w:val="28"/>
        </w:rPr>
      </w:pPr>
      <w:r>
        <w:rPr>
          <w:rFonts w:ascii="新宋体" w:hAnsi="新宋体" w:eastAsia="新宋体" w:cs="新宋体"/>
          <w:spacing w:val="-10"/>
          <w:sz w:val="28"/>
          <w:szCs w:val="28"/>
        </w:rPr>
        <w:t>①向</w:t>
      </w:r>
      <w:r>
        <w:rPr>
          <w:rFonts w:ascii="新宋体" w:hAnsi="新宋体" w:eastAsia="新宋体" w:cs="新宋体"/>
          <w:spacing w:val="-6"/>
          <w:sz w:val="28"/>
          <w:szCs w:val="28"/>
        </w:rPr>
        <w:t>社</w:t>
      </w:r>
      <w:r>
        <w:rPr>
          <w:rFonts w:ascii="新宋体" w:hAnsi="新宋体" w:eastAsia="新宋体" w:cs="新宋体"/>
          <w:spacing w:val="-5"/>
          <w:sz w:val="28"/>
          <w:szCs w:val="28"/>
        </w:rPr>
        <w:t>旗县有管辖权的法院提起诉讼；</w:t>
      </w:r>
    </w:p>
    <w:p>
      <w:pPr>
        <w:spacing w:before="34" w:line="218" w:lineRule="auto"/>
        <w:ind w:left="558"/>
        <w:rPr>
          <w:rFonts w:ascii="新宋体" w:hAnsi="新宋体" w:eastAsia="新宋体" w:cs="新宋体"/>
          <w:sz w:val="28"/>
          <w:szCs w:val="28"/>
        </w:rPr>
      </w:pPr>
      <w:r>
        <w:rPr>
          <w:rFonts w:ascii="新宋体" w:hAnsi="新宋体" w:eastAsia="新宋体" w:cs="新宋体"/>
          <w:spacing w:val="-8"/>
          <w:sz w:val="28"/>
          <w:szCs w:val="28"/>
        </w:rPr>
        <w:t>②</w:t>
      </w:r>
      <w:r>
        <w:rPr>
          <w:rFonts w:ascii="新宋体" w:hAnsi="新宋体" w:eastAsia="新宋体" w:cs="新宋体"/>
          <w:spacing w:val="-7"/>
          <w:sz w:val="28"/>
          <w:szCs w:val="28"/>
        </w:rPr>
        <w:t>向社旗仲裁委员会提出仲裁。</w:t>
      </w:r>
    </w:p>
    <w:p>
      <w:pPr>
        <w:spacing w:before="97" w:line="225" w:lineRule="auto"/>
        <w:ind w:left="10" w:right="182" w:firstLine="548"/>
        <w:rPr>
          <w:rFonts w:ascii="新宋体" w:hAnsi="新宋体" w:eastAsia="新宋体" w:cs="新宋体"/>
          <w:sz w:val="28"/>
          <w:szCs w:val="28"/>
        </w:rPr>
      </w:pPr>
      <w:r>
        <w:rPr>
          <w:rFonts w:ascii="新宋体" w:hAnsi="新宋体" w:eastAsia="新宋体" w:cs="新宋体"/>
          <w:spacing w:val="-16"/>
          <w:sz w:val="28"/>
          <w:szCs w:val="28"/>
        </w:rPr>
        <w:t>4</w:t>
      </w:r>
      <w:r>
        <w:rPr>
          <w:rFonts w:ascii="新宋体" w:hAnsi="新宋体" w:eastAsia="新宋体" w:cs="新宋体"/>
          <w:spacing w:val="-12"/>
          <w:sz w:val="28"/>
          <w:szCs w:val="28"/>
        </w:rPr>
        <w:t>、在法院审理和仲裁期间，除有争议部分外，本合同其他部分可以履</w:t>
      </w:r>
      <w:r>
        <w:rPr>
          <w:rFonts w:ascii="新宋体" w:hAnsi="新宋体" w:eastAsia="新宋体" w:cs="新宋体"/>
          <w:sz w:val="28"/>
          <w:szCs w:val="28"/>
        </w:rPr>
        <w:t xml:space="preserve"> </w:t>
      </w:r>
      <w:r>
        <w:rPr>
          <w:rFonts w:ascii="新宋体" w:hAnsi="新宋体" w:eastAsia="新宋体" w:cs="新宋体"/>
          <w:spacing w:val="-4"/>
          <w:sz w:val="28"/>
          <w:szCs w:val="28"/>
        </w:rPr>
        <w:t>行的仍应按</w:t>
      </w:r>
      <w:r>
        <w:rPr>
          <w:rFonts w:ascii="新宋体" w:hAnsi="新宋体" w:eastAsia="新宋体" w:cs="新宋体"/>
          <w:spacing w:val="-3"/>
          <w:sz w:val="28"/>
          <w:szCs w:val="28"/>
        </w:rPr>
        <w:t>合</w:t>
      </w:r>
      <w:r>
        <w:rPr>
          <w:rFonts w:ascii="新宋体" w:hAnsi="新宋体" w:eastAsia="新宋体" w:cs="新宋体"/>
          <w:spacing w:val="-2"/>
          <w:sz w:val="28"/>
          <w:szCs w:val="28"/>
        </w:rPr>
        <w:t>同条款继续履行。</w:t>
      </w:r>
    </w:p>
    <w:p>
      <w:pPr>
        <w:spacing w:line="301" w:lineRule="exact"/>
        <w:ind w:firstLine="525"/>
        <w:textAlignment w:val="center"/>
      </w:pPr>
      <w:r>
        <w:drawing>
          <wp:inline distT="0" distB="0" distL="0" distR="0">
            <wp:extent cx="1040130" cy="191135"/>
            <wp:effectExtent l="0" t="0" r="1270" b="12065"/>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30"/>
                    <a:stretch>
                      <a:fillRect/>
                    </a:stretch>
                  </pic:blipFill>
                  <pic:spPr>
                    <a:xfrm>
                      <a:off x="0" y="0"/>
                      <a:ext cx="1040421" cy="191479"/>
                    </a:xfrm>
                    <a:prstGeom prst="rect">
                      <a:avLst/>
                    </a:prstGeom>
                  </pic:spPr>
                </pic:pic>
              </a:graphicData>
            </a:graphic>
          </wp:inline>
        </w:drawing>
      </w:r>
    </w:p>
    <w:p>
      <w:pPr>
        <w:spacing w:before="103" w:line="220" w:lineRule="auto"/>
        <w:ind w:left="567"/>
        <w:rPr>
          <w:rFonts w:ascii="新宋体" w:hAnsi="新宋体" w:eastAsia="新宋体" w:cs="新宋体"/>
          <w:sz w:val="28"/>
          <w:szCs w:val="28"/>
        </w:rPr>
      </w:pPr>
      <w:r>
        <w:rPr>
          <w:rFonts w:ascii="新宋体" w:hAnsi="新宋体" w:eastAsia="新宋体" w:cs="新宋体"/>
          <w:spacing w:val="-18"/>
          <w:sz w:val="28"/>
          <w:szCs w:val="28"/>
        </w:rPr>
        <w:t>符</w:t>
      </w:r>
      <w:r>
        <w:rPr>
          <w:rFonts w:ascii="新宋体" w:hAnsi="新宋体" w:eastAsia="新宋体" w:cs="新宋体"/>
          <w:spacing w:val="-11"/>
          <w:sz w:val="28"/>
          <w:szCs w:val="28"/>
        </w:rPr>
        <w:t>合《政府采购法》第49条规定的，经双方协商，办理政府采购手续</w:t>
      </w:r>
    </w:p>
    <w:p>
      <w:pPr>
        <w:spacing w:before="27" w:line="210" w:lineRule="auto"/>
        <w:ind w:left="3"/>
        <w:rPr>
          <w:rFonts w:ascii="新宋体" w:hAnsi="新宋体" w:eastAsia="新宋体" w:cs="新宋体"/>
          <w:sz w:val="28"/>
          <w:szCs w:val="28"/>
        </w:rPr>
      </w:pPr>
      <w:r>
        <w:rPr>
          <w:rFonts w:ascii="新宋体" w:hAnsi="新宋体" w:eastAsia="新宋体" w:cs="新宋体"/>
          <w:spacing w:val="-4"/>
          <w:sz w:val="28"/>
          <w:szCs w:val="28"/>
        </w:rPr>
        <w:t>后，可</w:t>
      </w:r>
      <w:r>
        <w:rPr>
          <w:rFonts w:ascii="新宋体" w:hAnsi="新宋体" w:eastAsia="新宋体" w:cs="新宋体"/>
          <w:spacing w:val="-3"/>
          <w:sz w:val="28"/>
          <w:szCs w:val="28"/>
        </w:rPr>
        <w:t>签</w:t>
      </w:r>
      <w:r>
        <w:rPr>
          <w:rFonts w:ascii="新宋体" w:hAnsi="新宋体" w:eastAsia="新宋体" w:cs="新宋体"/>
          <w:spacing w:val="-2"/>
          <w:sz w:val="28"/>
          <w:szCs w:val="28"/>
        </w:rPr>
        <w:t>订补充合同，所签订的补充合同与本合同具有同等法律效力。</w:t>
      </w:r>
    </w:p>
    <w:p>
      <w:pPr>
        <w:spacing w:before="1" w:line="219" w:lineRule="auto"/>
        <w:ind w:left="566"/>
        <w:rPr>
          <w:rFonts w:ascii="新宋体" w:hAnsi="新宋体" w:eastAsia="新宋体" w:cs="新宋体"/>
          <w:sz w:val="28"/>
          <w:szCs w:val="28"/>
        </w:rPr>
      </w:pPr>
      <w:r>
        <w:rPr>
          <w:rFonts w:ascii="新宋体" w:hAnsi="新宋体" w:eastAsia="新宋体" w:cs="新宋体"/>
          <w:spacing w:val="-11"/>
          <w:sz w:val="28"/>
          <w:szCs w:val="28"/>
        </w:rPr>
        <w:t>本合同一式</w:t>
      </w:r>
      <w:r>
        <w:rPr>
          <w:rFonts w:ascii="新宋体" w:hAnsi="新宋体" w:eastAsia="新宋体" w:cs="新宋体"/>
          <w:spacing w:val="-11"/>
          <w:sz w:val="28"/>
          <w:szCs w:val="28"/>
          <w:u w:val="single" w:color="auto"/>
        </w:rPr>
        <w:t xml:space="preserve">      </w:t>
      </w:r>
      <w:r>
        <w:rPr>
          <w:rFonts w:ascii="新宋体" w:hAnsi="新宋体" w:eastAsia="新宋体" w:cs="新宋体"/>
          <w:spacing w:val="-11"/>
          <w:sz w:val="28"/>
          <w:szCs w:val="28"/>
        </w:rPr>
        <w:t xml:space="preserve"> 份，甲、乙双方各执</w:t>
      </w:r>
      <w:r>
        <w:rPr>
          <w:rFonts w:ascii="新宋体" w:hAnsi="新宋体" w:eastAsia="新宋体" w:cs="新宋体"/>
          <w:spacing w:val="-11"/>
          <w:sz w:val="28"/>
          <w:szCs w:val="28"/>
          <w:u w:val="single" w:color="auto"/>
        </w:rPr>
        <w:t xml:space="preserve">     </w:t>
      </w:r>
      <w:r>
        <w:rPr>
          <w:rFonts w:ascii="新宋体" w:hAnsi="新宋体" w:eastAsia="新宋体" w:cs="新宋体"/>
          <w:spacing w:val="-11"/>
          <w:sz w:val="28"/>
          <w:szCs w:val="28"/>
        </w:rPr>
        <w:t xml:space="preserve"> 份</w:t>
      </w:r>
      <w:r>
        <w:rPr>
          <w:rFonts w:ascii="新宋体" w:hAnsi="新宋体" w:eastAsia="新宋体" w:cs="新宋体"/>
          <w:spacing w:val="-8"/>
          <w:sz w:val="28"/>
          <w:szCs w:val="28"/>
        </w:rPr>
        <w:t>。</w:t>
      </w:r>
    </w:p>
    <w:p>
      <w:pPr>
        <w:sectPr>
          <w:footerReference r:id="rId7" w:type="default"/>
          <w:pgSz w:w="11911" w:h="16840"/>
          <w:pgMar w:top="400" w:right="1398" w:bottom="1302" w:left="1605" w:header="0" w:footer="1134" w:gutter="0"/>
          <w:pgNumType w:fmt="decimal"/>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91" w:line="221" w:lineRule="auto"/>
        <w:ind w:left="70"/>
        <w:rPr>
          <w:rFonts w:ascii="新宋体" w:hAnsi="新宋体" w:eastAsia="新宋体" w:cs="新宋体"/>
          <w:sz w:val="28"/>
          <w:szCs w:val="28"/>
        </w:rPr>
      </w:pPr>
      <w:r>
        <w:rPr>
          <w:rFonts w:ascii="新宋体" w:hAnsi="新宋体" w:eastAsia="新宋体" w:cs="新宋体"/>
          <w:spacing w:val="-20"/>
          <w:sz w:val="28"/>
          <w:szCs w:val="28"/>
        </w:rPr>
        <w:t>甲方：</w:t>
      </w:r>
      <w:r>
        <w:rPr>
          <w:rFonts w:ascii="新宋体" w:hAnsi="新宋体" w:eastAsia="新宋体" w:cs="新宋体"/>
          <w:spacing w:val="-12"/>
          <w:sz w:val="28"/>
          <w:szCs w:val="28"/>
        </w:rPr>
        <w:t xml:space="preserve"> </w:t>
      </w:r>
      <w:r>
        <w:rPr>
          <w:rFonts w:ascii="新宋体" w:hAnsi="新宋体" w:eastAsia="新宋体" w:cs="新宋体"/>
          <w:spacing w:val="-10"/>
          <w:sz w:val="28"/>
          <w:szCs w:val="28"/>
        </w:rPr>
        <w:t xml:space="preserve">                                     乙方：</w:t>
      </w:r>
    </w:p>
    <w:p>
      <w:pPr>
        <w:spacing w:line="296" w:lineRule="auto"/>
        <w:rPr>
          <w:rFonts w:ascii="Arial"/>
          <w:sz w:val="21"/>
        </w:rPr>
      </w:pPr>
    </w:p>
    <w:p>
      <w:pPr>
        <w:spacing w:before="91" w:line="219" w:lineRule="auto"/>
        <w:ind w:left="9"/>
        <w:rPr>
          <w:rFonts w:ascii="新宋体" w:hAnsi="新宋体" w:eastAsia="新宋体" w:cs="新宋体"/>
          <w:sz w:val="28"/>
          <w:szCs w:val="28"/>
        </w:rPr>
      </w:pPr>
      <w:r>
        <w:rPr>
          <w:rFonts w:ascii="新宋体" w:hAnsi="新宋体" w:eastAsia="新宋体" w:cs="新宋体"/>
          <w:spacing w:val="-20"/>
          <w:sz w:val="28"/>
          <w:szCs w:val="28"/>
        </w:rPr>
        <w:t>名</w:t>
      </w:r>
      <w:r>
        <w:rPr>
          <w:rFonts w:ascii="新宋体" w:hAnsi="新宋体" w:eastAsia="新宋体" w:cs="新宋体"/>
          <w:spacing w:val="-15"/>
          <w:sz w:val="28"/>
          <w:szCs w:val="28"/>
        </w:rPr>
        <w:t>称：  盖(章)                             名称：  盖(章)</w:t>
      </w:r>
    </w:p>
    <w:p>
      <w:pPr>
        <w:spacing w:line="299" w:lineRule="auto"/>
        <w:rPr>
          <w:rFonts w:ascii="Arial"/>
          <w:sz w:val="21"/>
        </w:rPr>
      </w:pPr>
    </w:p>
    <w:p>
      <w:pPr>
        <w:spacing w:before="91" w:line="229" w:lineRule="auto"/>
        <w:rPr>
          <w:rFonts w:ascii="新宋体" w:hAnsi="新宋体" w:eastAsia="新宋体" w:cs="新宋体"/>
          <w:sz w:val="28"/>
          <w:szCs w:val="28"/>
        </w:rPr>
      </w:pPr>
      <w:r>
        <w:rPr>
          <w:rFonts w:ascii="新宋体" w:hAnsi="新宋体" w:eastAsia="新宋体" w:cs="新宋体"/>
          <w:spacing w:val="-18"/>
          <w:sz w:val="28"/>
          <w:szCs w:val="28"/>
        </w:rPr>
        <w:t>地址：</w:t>
      </w:r>
      <w:r>
        <w:rPr>
          <w:rFonts w:ascii="新宋体" w:hAnsi="新宋体" w:eastAsia="新宋体" w:cs="新宋体"/>
          <w:spacing w:val="-14"/>
          <w:sz w:val="28"/>
          <w:szCs w:val="28"/>
        </w:rPr>
        <w:t xml:space="preserve"> </w:t>
      </w:r>
      <w:r>
        <w:rPr>
          <w:rFonts w:ascii="新宋体" w:hAnsi="新宋体" w:eastAsia="新宋体" w:cs="新宋体"/>
          <w:spacing w:val="-9"/>
          <w:sz w:val="28"/>
          <w:szCs w:val="28"/>
        </w:rPr>
        <w:t xml:space="preserve">                                     地址：</w:t>
      </w:r>
    </w:p>
    <w:p>
      <w:pPr>
        <w:spacing w:line="284" w:lineRule="auto"/>
        <w:rPr>
          <w:rFonts w:ascii="Arial"/>
          <w:sz w:val="21"/>
        </w:rPr>
      </w:pPr>
    </w:p>
    <w:p>
      <w:pPr>
        <w:spacing w:before="91" w:line="220" w:lineRule="auto"/>
        <w:ind w:left="4"/>
        <w:rPr>
          <w:rFonts w:ascii="新宋体" w:hAnsi="新宋体" w:eastAsia="新宋体" w:cs="新宋体"/>
          <w:sz w:val="28"/>
          <w:szCs w:val="28"/>
        </w:rPr>
      </w:pPr>
      <w:r>
        <w:rPr>
          <w:rFonts w:ascii="新宋体" w:hAnsi="新宋体" w:eastAsia="新宋体" w:cs="新宋体"/>
          <w:spacing w:val="-16"/>
          <w:sz w:val="28"/>
          <w:szCs w:val="28"/>
        </w:rPr>
        <w:t>法定代表人：  签(字)                       法定代表人：  签(字</w:t>
      </w:r>
      <w:r>
        <w:rPr>
          <w:rFonts w:ascii="新宋体" w:hAnsi="新宋体" w:eastAsia="新宋体" w:cs="新宋体"/>
          <w:spacing w:val="-8"/>
          <w:sz w:val="28"/>
          <w:szCs w:val="28"/>
        </w:rPr>
        <w:t>)</w:t>
      </w:r>
    </w:p>
    <w:p>
      <w:pPr>
        <w:spacing w:line="300" w:lineRule="auto"/>
        <w:rPr>
          <w:rFonts w:ascii="Arial"/>
          <w:sz w:val="21"/>
        </w:rPr>
      </w:pPr>
    </w:p>
    <w:p>
      <w:pPr>
        <w:spacing w:before="92" w:line="220" w:lineRule="auto"/>
        <w:rPr>
          <w:rFonts w:ascii="新宋体" w:hAnsi="新宋体" w:eastAsia="新宋体" w:cs="新宋体"/>
          <w:sz w:val="28"/>
          <w:szCs w:val="28"/>
        </w:rPr>
      </w:pPr>
      <w:r>
        <w:rPr>
          <w:rFonts w:ascii="新宋体" w:hAnsi="新宋体" w:eastAsia="新宋体" w:cs="新宋体"/>
          <w:spacing w:val="-30"/>
          <w:sz w:val="28"/>
          <w:szCs w:val="28"/>
        </w:rPr>
        <w:t>授权</w:t>
      </w:r>
      <w:r>
        <w:rPr>
          <w:rFonts w:ascii="新宋体" w:hAnsi="新宋体" w:eastAsia="新宋体" w:cs="新宋体"/>
          <w:spacing w:val="-21"/>
          <w:sz w:val="28"/>
          <w:szCs w:val="28"/>
        </w:rPr>
        <w:t>代</w:t>
      </w:r>
      <w:r>
        <w:rPr>
          <w:rFonts w:ascii="新宋体" w:hAnsi="新宋体" w:eastAsia="新宋体" w:cs="新宋体"/>
          <w:spacing w:val="-15"/>
          <w:sz w:val="28"/>
          <w:szCs w:val="28"/>
        </w:rPr>
        <w:t>表人：  签(字)                       授权代表人：  签(字)</w:t>
      </w:r>
    </w:p>
    <w:p>
      <w:pPr>
        <w:spacing w:line="297" w:lineRule="auto"/>
        <w:rPr>
          <w:rFonts w:ascii="Arial"/>
          <w:sz w:val="21"/>
        </w:rPr>
      </w:pPr>
    </w:p>
    <w:p>
      <w:pPr>
        <w:spacing w:before="91" w:line="221" w:lineRule="auto"/>
        <w:ind w:left="4"/>
        <w:rPr>
          <w:rFonts w:ascii="新宋体" w:hAnsi="新宋体" w:eastAsia="新宋体" w:cs="新宋体"/>
          <w:sz w:val="28"/>
          <w:szCs w:val="28"/>
        </w:rPr>
      </w:pPr>
      <w:r>
        <w:rPr>
          <w:rFonts w:ascii="新宋体" w:hAnsi="新宋体" w:eastAsia="新宋体" w:cs="新宋体"/>
          <w:spacing w:val="-22"/>
          <w:sz w:val="28"/>
          <w:szCs w:val="28"/>
        </w:rPr>
        <w:t>开户银</w:t>
      </w:r>
      <w:r>
        <w:rPr>
          <w:rFonts w:ascii="新宋体" w:hAnsi="新宋体" w:eastAsia="新宋体" w:cs="新宋体"/>
          <w:spacing w:val="-11"/>
          <w:sz w:val="28"/>
          <w:szCs w:val="28"/>
        </w:rPr>
        <w:t>行：                                  开户银行：</w:t>
      </w:r>
    </w:p>
    <w:p>
      <w:pPr>
        <w:spacing w:line="299" w:lineRule="auto"/>
        <w:rPr>
          <w:rFonts w:ascii="Arial"/>
          <w:sz w:val="21"/>
        </w:rPr>
      </w:pPr>
    </w:p>
    <w:p>
      <w:pPr>
        <w:spacing w:before="92" w:line="221" w:lineRule="auto"/>
        <w:ind w:left="4"/>
        <w:rPr>
          <w:rFonts w:ascii="新宋体" w:hAnsi="新宋体" w:eastAsia="新宋体" w:cs="新宋体"/>
          <w:sz w:val="28"/>
          <w:szCs w:val="28"/>
        </w:rPr>
      </w:pPr>
      <w:r>
        <w:rPr>
          <w:rFonts w:ascii="新宋体" w:hAnsi="新宋体" w:eastAsia="新宋体" w:cs="新宋体"/>
          <w:spacing w:val="-22"/>
          <w:sz w:val="28"/>
          <w:szCs w:val="28"/>
        </w:rPr>
        <w:t>银行账</w:t>
      </w:r>
      <w:r>
        <w:rPr>
          <w:rFonts w:ascii="新宋体" w:hAnsi="新宋体" w:eastAsia="新宋体" w:cs="新宋体"/>
          <w:spacing w:val="-11"/>
          <w:sz w:val="28"/>
          <w:szCs w:val="28"/>
        </w:rPr>
        <w:t>号：                                  银行账号：</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1" w:line="220" w:lineRule="auto"/>
        <w:ind w:right="350"/>
        <w:jc w:val="right"/>
        <w:sectPr>
          <w:footerReference r:id="rId8" w:type="default"/>
          <w:pgSz w:w="11911" w:h="16840"/>
          <w:pgMar w:top="400" w:right="1786" w:bottom="1304" w:left="1605" w:header="0" w:footer="1137" w:gutter="0"/>
          <w:pgNumType w:fmt="decimal"/>
          <w:cols w:space="720" w:num="1"/>
        </w:sectPr>
      </w:pPr>
      <w:r>
        <w:rPr>
          <w:rFonts w:ascii="新宋体" w:hAnsi="新宋体" w:eastAsia="新宋体" w:cs="新宋体"/>
          <w:spacing w:val="-24"/>
          <w:sz w:val="28"/>
          <w:szCs w:val="28"/>
        </w:rPr>
        <w:t>合</w:t>
      </w:r>
      <w:r>
        <w:rPr>
          <w:rFonts w:ascii="新宋体" w:hAnsi="新宋体" w:eastAsia="新宋体" w:cs="新宋体"/>
          <w:spacing w:val="-17"/>
          <w:sz w:val="28"/>
          <w:szCs w:val="28"/>
        </w:rPr>
        <w:t>同</w:t>
      </w:r>
      <w:r>
        <w:rPr>
          <w:rFonts w:ascii="新宋体" w:hAnsi="新宋体" w:eastAsia="新宋体" w:cs="新宋体"/>
          <w:spacing w:val="-12"/>
          <w:sz w:val="28"/>
          <w:szCs w:val="28"/>
        </w:rPr>
        <w:t>签订时间：       年      月       日</w:t>
      </w:r>
    </w:p>
    <w:p>
      <w:pPr>
        <w:spacing w:line="289" w:lineRule="auto"/>
        <w:rPr>
          <w:rFonts w:ascii="Arial"/>
          <w:sz w:val="21"/>
        </w:rPr>
      </w:pPr>
    </w:p>
    <w:p>
      <w:pPr>
        <w:spacing w:line="290" w:lineRule="auto"/>
        <w:rPr>
          <w:rFonts w:ascii="Arial"/>
          <w:sz w:val="21"/>
        </w:rPr>
      </w:pPr>
    </w:p>
    <w:p>
      <w:pPr>
        <w:spacing w:before="140" w:line="225" w:lineRule="auto"/>
        <w:ind w:left="2962"/>
        <w:rPr>
          <w:rFonts w:ascii="黑体" w:hAnsi="黑体" w:eastAsia="黑体" w:cs="黑体"/>
          <w:sz w:val="43"/>
          <w:szCs w:val="43"/>
        </w:rPr>
      </w:pPr>
      <w:r>
        <w:rPr>
          <w:rFonts w:ascii="黑体" w:hAnsi="黑体" w:eastAsia="黑体" w:cs="黑体"/>
          <w:spacing w:val="8"/>
          <w:sz w:val="43"/>
          <w:szCs w:val="43"/>
        </w:rPr>
        <w:t>服</w:t>
      </w:r>
      <w:r>
        <w:rPr>
          <w:rFonts w:ascii="黑体" w:hAnsi="黑体" w:eastAsia="黑体" w:cs="黑体"/>
          <w:spacing w:val="4"/>
          <w:sz w:val="43"/>
          <w:szCs w:val="43"/>
        </w:rPr>
        <w:t>务明细项目一览表</w:t>
      </w:r>
    </w:p>
    <w:p/>
    <w:p>
      <w:pPr>
        <w:spacing w:line="190" w:lineRule="exact"/>
      </w:pPr>
    </w:p>
    <w:tbl>
      <w:tblPr>
        <w:tblStyle w:val="47"/>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7"/>
        <w:gridCol w:w="1412"/>
        <w:gridCol w:w="2911"/>
        <w:gridCol w:w="742"/>
        <w:gridCol w:w="615"/>
        <w:gridCol w:w="1118"/>
        <w:gridCol w:w="1192"/>
        <w:gridCol w:w="12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27" w:type="dxa"/>
            <w:textDirection w:val="tbRlV"/>
            <w:vAlign w:val="top"/>
          </w:tcPr>
          <w:p>
            <w:pPr>
              <w:spacing w:before="104" w:line="225" w:lineRule="auto"/>
              <w:ind w:left="475"/>
              <w:rPr>
                <w:rFonts w:ascii="宋体" w:hAnsi="宋体" w:eastAsia="宋体" w:cs="宋体"/>
                <w:sz w:val="23"/>
                <w:szCs w:val="23"/>
              </w:rPr>
            </w:pPr>
            <w:r>
              <w:rPr>
                <w:rFonts w:ascii="宋体" w:hAnsi="宋体" w:eastAsia="宋体" w:cs="宋体"/>
                <w:spacing w:val="22"/>
                <w:sz w:val="23"/>
                <w:szCs w:val="23"/>
              </w:rPr>
              <w:t>序号</w:t>
            </w:r>
          </w:p>
        </w:tc>
        <w:tc>
          <w:tcPr>
            <w:tcW w:w="1412" w:type="dxa"/>
            <w:vAlign w:val="top"/>
          </w:tcPr>
          <w:p>
            <w:pPr>
              <w:spacing w:line="266" w:lineRule="auto"/>
              <w:rPr>
                <w:rFonts w:ascii="Arial"/>
                <w:sz w:val="21"/>
              </w:rPr>
            </w:pPr>
          </w:p>
          <w:p>
            <w:pPr>
              <w:spacing w:line="266" w:lineRule="auto"/>
              <w:rPr>
                <w:rFonts w:ascii="Arial"/>
                <w:sz w:val="21"/>
              </w:rPr>
            </w:pPr>
          </w:p>
          <w:p>
            <w:pPr>
              <w:spacing w:before="75" w:line="227" w:lineRule="auto"/>
              <w:ind w:left="238"/>
              <w:rPr>
                <w:rFonts w:ascii="宋体" w:hAnsi="宋体" w:eastAsia="宋体" w:cs="宋体"/>
                <w:sz w:val="23"/>
                <w:szCs w:val="23"/>
              </w:rPr>
            </w:pPr>
            <w:r>
              <w:rPr>
                <w:rFonts w:ascii="宋体" w:hAnsi="宋体" w:eastAsia="宋体" w:cs="宋体"/>
                <w:spacing w:val="3"/>
                <w:sz w:val="23"/>
                <w:szCs w:val="23"/>
              </w:rPr>
              <w:t>服务名</w:t>
            </w:r>
            <w:r>
              <w:rPr>
                <w:rFonts w:ascii="宋体" w:hAnsi="宋体" w:eastAsia="宋体" w:cs="宋体"/>
                <w:spacing w:val="2"/>
                <w:sz w:val="23"/>
                <w:szCs w:val="23"/>
              </w:rPr>
              <w:t>称</w:t>
            </w:r>
          </w:p>
        </w:tc>
        <w:tc>
          <w:tcPr>
            <w:tcW w:w="2911" w:type="dxa"/>
            <w:vAlign w:val="top"/>
          </w:tcPr>
          <w:p>
            <w:pPr>
              <w:spacing w:line="266" w:lineRule="auto"/>
              <w:rPr>
                <w:rFonts w:ascii="Arial"/>
                <w:sz w:val="21"/>
              </w:rPr>
            </w:pPr>
          </w:p>
          <w:p>
            <w:pPr>
              <w:spacing w:line="266" w:lineRule="auto"/>
              <w:rPr>
                <w:rFonts w:ascii="Arial"/>
                <w:sz w:val="21"/>
              </w:rPr>
            </w:pPr>
          </w:p>
          <w:p>
            <w:pPr>
              <w:spacing w:before="75" w:line="227" w:lineRule="auto"/>
              <w:ind w:left="989"/>
              <w:rPr>
                <w:rFonts w:ascii="宋体" w:hAnsi="宋体" w:eastAsia="宋体" w:cs="宋体"/>
                <w:sz w:val="23"/>
                <w:szCs w:val="23"/>
              </w:rPr>
            </w:pPr>
            <w:r>
              <w:rPr>
                <w:rFonts w:ascii="宋体" w:hAnsi="宋体" w:eastAsia="宋体" w:cs="宋体"/>
                <w:spacing w:val="3"/>
                <w:sz w:val="23"/>
                <w:szCs w:val="23"/>
              </w:rPr>
              <w:t>服务内</w:t>
            </w:r>
            <w:r>
              <w:rPr>
                <w:rFonts w:ascii="宋体" w:hAnsi="宋体" w:eastAsia="宋体" w:cs="宋体"/>
                <w:spacing w:val="2"/>
                <w:sz w:val="23"/>
                <w:szCs w:val="23"/>
              </w:rPr>
              <w:t>容</w:t>
            </w:r>
          </w:p>
        </w:tc>
        <w:tc>
          <w:tcPr>
            <w:tcW w:w="742" w:type="dxa"/>
            <w:textDirection w:val="tbRlV"/>
            <w:vAlign w:val="top"/>
          </w:tcPr>
          <w:p>
            <w:pPr>
              <w:spacing w:before="248" w:line="225" w:lineRule="auto"/>
              <w:ind w:left="55"/>
              <w:rPr>
                <w:rFonts w:ascii="宋体" w:hAnsi="宋体" w:eastAsia="宋体" w:cs="宋体"/>
                <w:sz w:val="23"/>
                <w:szCs w:val="23"/>
              </w:rPr>
            </w:pPr>
            <w:r>
              <w:rPr>
                <w:rFonts w:ascii="宋体" w:hAnsi="宋体" w:eastAsia="宋体" w:cs="宋体"/>
                <w:spacing w:val="8"/>
                <w:sz w:val="23"/>
                <w:szCs w:val="23"/>
              </w:rPr>
              <w:t xml:space="preserve">计 量 单 </w:t>
            </w:r>
            <w:r>
              <w:rPr>
                <w:rFonts w:ascii="宋体" w:hAnsi="宋体" w:eastAsia="宋体" w:cs="宋体"/>
                <w:spacing w:val="7"/>
                <w:sz w:val="23"/>
                <w:szCs w:val="23"/>
              </w:rPr>
              <w:t>位</w:t>
            </w:r>
          </w:p>
        </w:tc>
        <w:tc>
          <w:tcPr>
            <w:tcW w:w="615" w:type="dxa"/>
            <w:textDirection w:val="tbRlV"/>
            <w:vAlign w:val="top"/>
          </w:tcPr>
          <w:p>
            <w:pPr>
              <w:spacing w:before="184" w:line="225" w:lineRule="auto"/>
              <w:ind w:left="276"/>
              <w:rPr>
                <w:rFonts w:ascii="宋体" w:hAnsi="宋体" w:eastAsia="宋体" w:cs="宋体"/>
                <w:sz w:val="23"/>
                <w:szCs w:val="23"/>
              </w:rPr>
            </w:pPr>
            <w:r>
              <w:rPr>
                <w:rFonts w:ascii="宋体" w:hAnsi="宋体" w:eastAsia="宋体" w:cs="宋体"/>
                <w:spacing w:val="8"/>
                <w:sz w:val="23"/>
                <w:szCs w:val="23"/>
              </w:rPr>
              <w:t>工 作 量</w:t>
            </w:r>
          </w:p>
        </w:tc>
        <w:tc>
          <w:tcPr>
            <w:tcW w:w="1118" w:type="dxa"/>
            <w:vAlign w:val="top"/>
          </w:tcPr>
          <w:p>
            <w:pPr>
              <w:spacing w:line="289" w:lineRule="auto"/>
              <w:rPr>
                <w:rFonts w:ascii="Arial"/>
                <w:sz w:val="21"/>
              </w:rPr>
            </w:pPr>
          </w:p>
          <w:p>
            <w:pPr>
              <w:spacing w:line="290" w:lineRule="auto"/>
              <w:rPr>
                <w:rFonts w:ascii="Arial"/>
                <w:sz w:val="21"/>
              </w:rPr>
            </w:pPr>
          </w:p>
          <w:p>
            <w:pPr>
              <w:spacing w:before="75" w:line="312" w:lineRule="exact"/>
              <w:ind w:left="378"/>
              <w:rPr>
                <w:rFonts w:ascii="宋体" w:hAnsi="宋体" w:eastAsia="宋体" w:cs="宋体"/>
                <w:sz w:val="23"/>
                <w:szCs w:val="23"/>
              </w:rPr>
            </w:pPr>
            <w:r>
              <w:rPr>
                <w:rFonts w:ascii="宋体" w:hAnsi="宋体" w:eastAsia="宋体" w:cs="宋体"/>
                <w:spacing w:val="-1"/>
                <w:position w:val="5"/>
                <w:sz w:val="23"/>
                <w:szCs w:val="23"/>
              </w:rPr>
              <w:t>单价</w:t>
            </w:r>
          </w:p>
          <w:p>
            <w:pPr>
              <w:spacing w:line="228" w:lineRule="auto"/>
              <w:ind w:left="234"/>
              <w:rPr>
                <w:rFonts w:ascii="宋体" w:hAnsi="宋体" w:eastAsia="宋体" w:cs="宋体"/>
                <w:sz w:val="23"/>
                <w:szCs w:val="23"/>
              </w:rPr>
            </w:pPr>
            <w:r>
              <w:rPr>
                <w:rFonts w:ascii="宋体" w:hAnsi="宋体" w:eastAsia="宋体" w:cs="宋体"/>
                <w:spacing w:val="31"/>
                <w:sz w:val="23"/>
                <w:szCs w:val="23"/>
              </w:rPr>
              <w:t>(元</w:t>
            </w:r>
            <w:r>
              <w:rPr>
                <w:rFonts w:ascii="宋体" w:hAnsi="宋体" w:eastAsia="宋体" w:cs="宋体"/>
                <w:spacing w:val="30"/>
                <w:sz w:val="23"/>
                <w:szCs w:val="23"/>
              </w:rPr>
              <w:t>)</w:t>
            </w:r>
          </w:p>
        </w:tc>
        <w:tc>
          <w:tcPr>
            <w:tcW w:w="1192" w:type="dxa"/>
            <w:vAlign w:val="top"/>
          </w:tcPr>
          <w:p>
            <w:pPr>
              <w:spacing w:line="289" w:lineRule="auto"/>
              <w:rPr>
                <w:rFonts w:ascii="Arial"/>
                <w:sz w:val="21"/>
              </w:rPr>
            </w:pPr>
          </w:p>
          <w:p>
            <w:pPr>
              <w:spacing w:line="289" w:lineRule="auto"/>
              <w:rPr>
                <w:rFonts w:ascii="Arial"/>
                <w:sz w:val="21"/>
              </w:rPr>
            </w:pPr>
          </w:p>
          <w:p>
            <w:pPr>
              <w:spacing w:before="75" w:line="222" w:lineRule="auto"/>
              <w:ind w:left="426"/>
              <w:rPr>
                <w:rFonts w:ascii="宋体" w:hAnsi="宋体" w:eastAsia="宋体" w:cs="宋体"/>
                <w:sz w:val="23"/>
                <w:szCs w:val="23"/>
              </w:rPr>
            </w:pPr>
            <w:r>
              <w:rPr>
                <w:rFonts w:ascii="宋体" w:hAnsi="宋体" w:eastAsia="宋体" w:cs="宋体"/>
                <w:spacing w:val="-3"/>
                <w:sz w:val="23"/>
                <w:szCs w:val="23"/>
              </w:rPr>
              <w:t>总价</w:t>
            </w:r>
          </w:p>
          <w:p>
            <w:pPr>
              <w:spacing w:line="228" w:lineRule="auto"/>
              <w:ind w:left="275"/>
              <w:rPr>
                <w:rFonts w:ascii="宋体" w:hAnsi="宋体" w:eastAsia="宋体" w:cs="宋体"/>
                <w:sz w:val="23"/>
                <w:szCs w:val="23"/>
              </w:rPr>
            </w:pPr>
            <w:r>
              <w:rPr>
                <w:rFonts w:ascii="宋体" w:hAnsi="宋体" w:eastAsia="宋体" w:cs="宋体"/>
                <w:spacing w:val="34"/>
                <w:sz w:val="23"/>
                <w:szCs w:val="23"/>
              </w:rPr>
              <w:t>(元)</w:t>
            </w:r>
          </w:p>
        </w:tc>
        <w:tc>
          <w:tcPr>
            <w:tcW w:w="1297"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5" w:line="229" w:lineRule="auto"/>
              <w:ind w:left="311"/>
              <w:rPr>
                <w:rFonts w:ascii="宋体" w:hAnsi="宋体" w:eastAsia="宋体" w:cs="宋体"/>
                <w:sz w:val="23"/>
                <w:szCs w:val="23"/>
              </w:rPr>
            </w:pPr>
            <w:r>
              <w:rPr>
                <w:rFonts w:ascii="宋体" w:hAnsi="宋体" w:eastAsia="宋体" w:cs="宋体"/>
                <w:spacing w:val="6"/>
                <w:sz w:val="23"/>
                <w:szCs w:val="23"/>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spacing w:before="134" w:line="227" w:lineRule="auto"/>
              <w:ind w:left="46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视明细项目加行)</w:t>
            </w: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2911" w:type="dxa"/>
            <w:vAlign w:val="top"/>
          </w:tcPr>
          <w:p>
            <w:pPr>
              <w:rPr>
                <w:rFonts w:ascii="Arial"/>
                <w:sz w:val="21"/>
              </w:rPr>
            </w:pPr>
          </w:p>
        </w:tc>
        <w:tc>
          <w:tcPr>
            <w:tcW w:w="742" w:type="dxa"/>
            <w:vAlign w:val="top"/>
          </w:tcPr>
          <w:p>
            <w:pPr>
              <w:rPr>
                <w:rFonts w:ascii="Arial"/>
                <w:sz w:val="21"/>
              </w:rPr>
            </w:pPr>
          </w:p>
        </w:tc>
        <w:tc>
          <w:tcPr>
            <w:tcW w:w="615" w:type="dxa"/>
            <w:vAlign w:val="top"/>
          </w:tcPr>
          <w:p>
            <w:pPr>
              <w:rPr>
                <w:rFonts w:ascii="Arial"/>
                <w:sz w:val="21"/>
              </w:rPr>
            </w:pPr>
          </w:p>
        </w:tc>
        <w:tc>
          <w:tcPr>
            <w:tcW w:w="1118" w:type="dxa"/>
            <w:vAlign w:val="top"/>
          </w:tcPr>
          <w:p>
            <w:pPr>
              <w:rPr>
                <w:rFonts w:ascii="Arial"/>
                <w:sz w:val="21"/>
              </w:rPr>
            </w:pP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627" w:type="dxa"/>
            <w:vAlign w:val="top"/>
          </w:tcPr>
          <w:p>
            <w:pPr>
              <w:rPr>
                <w:rFonts w:ascii="Arial"/>
                <w:sz w:val="21"/>
              </w:rPr>
            </w:pPr>
          </w:p>
        </w:tc>
        <w:tc>
          <w:tcPr>
            <w:tcW w:w="1412" w:type="dxa"/>
            <w:vAlign w:val="top"/>
          </w:tcPr>
          <w:p>
            <w:pPr>
              <w:rPr>
                <w:rFonts w:ascii="Arial"/>
                <w:sz w:val="21"/>
              </w:rPr>
            </w:pPr>
          </w:p>
        </w:tc>
        <w:tc>
          <w:tcPr>
            <w:tcW w:w="5386" w:type="dxa"/>
            <w:gridSpan w:val="4"/>
            <w:vAlign w:val="top"/>
          </w:tcPr>
          <w:p>
            <w:pPr>
              <w:spacing w:before="143" w:line="228" w:lineRule="auto"/>
              <w:ind w:left="2530"/>
              <w:rPr>
                <w:rFonts w:ascii="宋体" w:hAnsi="宋体" w:eastAsia="宋体" w:cs="宋体"/>
                <w:sz w:val="23"/>
                <w:szCs w:val="23"/>
              </w:rPr>
            </w:pPr>
            <w:r>
              <w:rPr>
                <w:rFonts w:ascii="宋体" w:hAnsi="宋体" w:eastAsia="宋体" w:cs="宋体"/>
                <w:spacing w:val="1"/>
                <w:sz w:val="23"/>
                <w:szCs w:val="23"/>
              </w:rPr>
              <w:t>物</w:t>
            </w:r>
            <w:r>
              <w:rPr>
                <w:rFonts w:ascii="宋体" w:hAnsi="宋体" w:eastAsia="宋体" w:cs="宋体"/>
                <w:sz w:val="23"/>
                <w:szCs w:val="23"/>
              </w:rPr>
              <w:t>料</w:t>
            </w: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7" w:type="dxa"/>
            <w:vAlign w:val="top"/>
          </w:tcPr>
          <w:p>
            <w:pPr>
              <w:rPr>
                <w:rFonts w:ascii="Arial"/>
                <w:sz w:val="21"/>
              </w:rPr>
            </w:pPr>
          </w:p>
        </w:tc>
        <w:tc>
          <w:tcPr>
            <w:tcW w:w="1412" w:type="dxa"/>
            <w:vAlign w:val="top"/>
          </w:tcPr>
          <w:p>
            <w:pPr>
              <w:rPr>
                <w:rFonts w:ascii="Arial"/>
                <w:sz w:val="21"/>
              </w:rPr>
            </w:pPr>
          </w:p>
        </w:tc>
        <w:tc>
          <w:tcPr>
            <w:tcW w:w="5386" w:type="dxa"/>
            <w:gridSpan w:val="4"/>
            <w:vAlign w:val="top"/>
          </w:tcPr>
          <w:p>
            <w:pPr>
              <w:spacing w:before="142" w:line="227" w:lineRule="auto"/>
              <w:ind w:left="2445"/>
              <w:rPr>
                <w:rFonts w:ascii="宋体" w:hAnsi="宋体" w:eastAsia="宋体" w:cs="宋体"/>
                <w:sz w:val="23"/>
                <w:szCs w:val="23"/>
              </w:rPr>
            </w:pPr>
            <w:r>
              <w:rPr>
                <w:rFonts w:ascii="宋体" w:hAnsi="宋体" w:eastAsia="宋体" w:cs="宋体"/>
                <w:spacing w:val="-9"/>
                <w:sz w:val="23"/>
                <w:szCs w:val="23"/>
              </w:rPr>
              <w:t>易</w:t>
            </w:r>
            <w:r>
              <w:rPr>
                <w:rFonts w:ascii="宋体" w:hAnsi="宋体" w:eastAsia="宋体" w:cs="宋体"/>
                <w:spacing w:val="-8"/>
                <w:sz w:val="23"/>
                <w:szCs w:val="23"/>
              </w:rPr>
              <w:t>耗品</w:t>
            </w: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7" w:type="dxa"/>
            <w:vAlign w:val="top"/>
          </w:tcPr>
          <w:p>
            <w:pPr>
              <w:rPr>
                <w:rFonts w:ascii="Arial"/>
                <w:sz w:val="21"/>
              </w:rPr>
            </w:pPr>
          </w:p>
        </w:tc>
        <w:tc>
          <w:tcPr>
            <w:tcW w:w="1412" w:type="dxa"/>
            <w:vAlign w:val="top"/>
          </w:tcPr>
          <w:p>
            <w:pPr>
              <w:rPr>
                <w:rFonts w:ascii="Arial"/>
                <w:sz w:val="21"/>
              </w:rPr>
            </w:pPr>
          </w:p>
        </w:tc>
        <w:tc>
          <w:tcPr>
            <w:tcW w:w="5386" w:type="dxa"/>
            <w:gridSpan w:val="4"/>
            <w:vAlign w:val="top"/>
          </w:tcPr>
          <w:p>
            <w:pPr>
              <w:spacing w:before="142" w:line="228" w:lineRule="auto"/>
              <w:ind w:left="2291"/>
              <w:rPr>
                <w:rFonts w:ascii="宋体" w:hAnsi="宋体" w:eastAsia="宋体" w:cs="宋体"/>
                <w:sz w:val="23"/>
                <w:szCs w:val="23"/>
              </w:rPr>
            </w:pPr>
            <w:r>
              <w:rPr>
                <w:rFonts w:ascii="宋体" w:hAnsi="宋体" w:eastAsia="宋体" w:cs="宋体"/>
                <w:spacing w:val="4"/>
                <w:sz w:val="23"/>
                <w:szCs w:val="23"/>
              </w:rPr>
              <w:t>专</w:t>
            </w:r>
            <w:r>
              <w:rPr>
                <w:rFonts w:ascii="宋体" w:hAnsi="宋体" w:eastAsia="宋体" w:cs="宋体"/>
                <w:spacing w:val="2"/>
                <w:sz w:val="23"/>
                <w:szCs w:val="23"/>
              </w:rPr>
              <w:t>用工具</w:t>
            </w: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7" w:type="dxa"/>
            <w:vAlign w:val="top"/>
          </w:tcPr>
          <w:p>
            <w:pPr>
              <w:rPr>
                <w:rFonts w:ascii="Arial"/>
                <w:sz w:val="21"/>
              </w:rPr>
            </w:pPr>
          </w:p>
        </w:tc>
        <w:tc>
          <w:tcPr>
            <w:tcW w:w="1412" w:type="dxa"/>
            <w:vAlign w:val="top"/>
          </w:tcPr>
          <w:p>
            <w:pPr>
              <w:rPr>
                <w:rFonts w:ascii="Arial"/>
                <w:sz w:val="21"/>
              </w:rPr>
            </w:pPr>
          </w:p>
        </w:tc>
        <w:tc>
          <w:tcPr>
            <w:tcW w:w="5386" w:type="dxa"/>
            <w:gridSpan w:val="4"/>
            <w:vAlign w:val="top"/>
          </w:tcPr>
          <w:p>
            <w:pPr>
              <w:spacing w:before="143" w:line="228" w:lineRule="auto"/>
              <w:ind w:left="2409"/>
              <w:rPr>
                <w:rFonts w:ascii="宋体" w:hAnsi="宋体" w:eastAsia="宋体" w:cs="宋体"/>
                <w:sz w:val="23"/>
                <w:szCs w:val="23"/>
              </w:rPr>
            </w:pPr>
            <w:r>
              <w:rPr>
                <w:rFonts w:ascii="宋体" w:hAnsi="宋体" w:eastAsia="宋体" w:cs="宋体"/>
                <w:spacing w:val="1"/>
                <w:sz w:val="23"/>
                <w:szCs w:val="23"/>
              </w:rPr>
              <w:t>调</w:t>
            </w:r>
            <w:r>
              <w:rPr>
                <w:rFonts w:ascii="宋体" w:hAnsi="宋体" w:eastAsia="宋体" w:cs="宋体"/>
                <w:sz w:val="23"/>
                <w:szCs w:val="23"/>
              </w:rPr>
              <w:t>试费</w:t>
            </w: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27" w:type="dxa"/>
            <w:vAlign w:val="top"/>
          </w:tcPr>
          <w:p>
            <w:pPr>
              <w:rPr>
                <w:rFonts w:ascii="Arial"/>
                <w:sz w:val="21"/>
              </w:rPr>
            </w:pPr>
          </w:p>
        </w:tc>
        <w:tc>
          <w:tcPr>
            <w:tcW w:w="1412" w:type="dxa"/>
            <w:vAlign w:val="top"/>
          </w:tcPr>
          <w:p>
            <w:pPr>
              <w:rPr>
                <w:rFonts w:ascii="Arial"/>
                <w:sz w:val="21"/>
              </w:rPr>
            </w:pPr>
          </w:p>
        </w:tc>
        <w:tc>
          <w:tcPr>
            <w:tcW w:w="5386" w:type="dxa"/>
            <w:gridSpan w:val="4"/>
            <w:vAlign w:val="top"/>
          </w:tcPr>
          <w:p>
            <w:pPr>
              <w:spacing w:before="144" w:line="228" w:lineRule="auto"/>
              <w:ind w:left="2408"/>
              <w:rPr>
                <w:rFonts w:ascii="宋体" w:hAnsi="宋体" w:eastAsia="宋体" w:cs="宋体"/>
                <w:sz w:val="23"/>
                <w:szCs w:val="23"/>
              </w:rPr>
            </w:pPr>
            <w:r>
              <w:rPr>
                <w:rFonts w:ascii="宋体" w:hAnsi="宋体" w:eastAsia="宋体" w:cs="宋体"/>
                <w:spacing w:val="1"/>
                <w:sz w:val="23"/>
                <w:szCs w:val="23"/>
              </w:rPr>
              <w:t>培训</w:t>
            </w:r>
            <w:r>
              <w:rPr>
                <w:rFonts w:ascii="宋体" w:hAnsi="宋体" w:eastAsia="宋体" w:cs="宋体"/>
                <w:sz w:val="23"/>
                <w:szCs w:val="23"/>
              </w:rPr>
              <w:t>费</w:t>
            </w: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7" w:type="dxa"/>
            <w:vAlign w:val="top"/>
          </w:tcPr>
          <w:p>
            <w:pPr>
              <w:rPr>
                <w:rFonts w:ascii="Arial"/>
                <w:sz w:val="21"/>
              </w:rPr>
            </w:pPr>
          </w:p>
        </w:tc>
        <w:tc>
          <w:tcPr>
            <w:tcW w:w="1412" w:type="dxa"/>
            <w:vAlign w:val="top"/>
          </w:tcPr>
          <w:p>
            <w:pPr>
              <w:rPr>
                <w:rFonts w:ascii="Arial"/>
                <w:sz w:val="21"/>
              </w:rPr>
            </w:pPr>
          </w:p>
        </w:tc>
        <w:tc>
          <w:tcPr>
            <w:tcW w:w="5386" w:type="dxa"/>
            <w:gridSpan w:val="4"/>
            <w:vAlign w:val="top"/>
          </w:tcPr>
          <w:p>
            <w:pPr>
              <w:spacing w:before="141" w:line="228" w:lineRule="auto"/>
              <w:ind w:left="2528"/>
              <w:rPr>
                <w:rFonts w:ascii="宋体" w:hAnsi="宋体" w:eastAsia="宋体" w:cs="宋体"/>
                <w:sz w:val="23"/>
                <w:szCs w:val="23"/>
              </w:rPr>
            </w:pPr>
            <w:r>
              <w:rPr>
                <w:rFonts w:ascii="宋体" w:hAnsi="宋体" w:eastAsia="宋体" w:cs="宋体"/>
                <w:spacing w:val="-1"/>
                <w:sz w:val="23"/>
                <w:szCs w:val="23"/>
              </w:rPr>
              <w:t>其</w:t>
            </w:r>
            <w:r>
              <w:rPr>
                <w:rFonts w:ascii="宋体" w:hAnsi="宋体" w:eastAsia="宋体" w:cs="宋体"/>
                <w:sz w:val="23"/>
                <w:szCs w:val="23"/>
              </w:rPr>
              <w:t>他</w:t>
            </w:r>
          </w:p>
        </w:tc>
        <w:tc>
          <w:tcPr>
            <w:tcW w:w="1192" w:type="dxa"/>
            <w:vAlign w:val="top"/>
          </w:tcPr>
          <w:p>
            <w:pPr>
              <w:rPr>
                <w:rFonts w:ascii="Arial"/>
                <w:sz w:val="21"/>
              </w:rPr>
            </w:pPr>
          </w:p>
        </w:tc>
        <w:tc>
          <w:tcPr>
            <w:tcW w:w="12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39" w:type="dxa"/>
            <w:gridSpan w:val="2"/>
            <w:tcBorders>
              <w:right w:val="nil"/>
            </w:tcBorders>
            <w:vAlign w:val="top"/>
          </w:tcPr>
          <w:p>
            <w:pPr>
              <w:spacing w:before="146" w:line="228" w:lineRule="auto"/>
              <w:ind w:left="269"/>
              <w:rPr>
                <w:rFonts w:ascii="宋体" w:hAnsi="宋体" w:eastAsia="宋体" w:cs="宋体"/>
                <w:sz w:val="23"/>
                <w:szCs w:val="23"/>
              </w:rPr>
            </w:pPr>
            <w:r>
              <w:rPr>
                <w:rFonts w:ascii="宋体" w:hAnsi="宋体" w:eastAsia="宋体" w:cs="宋体"/>
                <w:spacing w:val="-29"/>
                <w:sz w:val="23"/>
                <w:szCs w:val="23"/>
              </w:rPr>
              <w:t>大写：</w:t>
            </w:r>
          </w:p>
        </w:tc>
        <w:tc>
          <w:tcPr>
            <w:tcW w:w="7875" w:type="dxa"/>
            <w:gridSpan w:val="6"/>
            <w:tcBorders>
              <w:left w:val="nil"/>
            </w:tcBorders>
            <w:vAlign w:val="top"/>
          </w:tcPr>
          <w:p>
            <w:pPr>
              <w:spacing w:before="146" w:line="226" w:lineRule="auto"/>
              <w:ind w:left="4512"/>
              <w:rPr>
                <w:rFonts w:ascii="宋体" w:hAnsi="宋体" w:eastAsia="宋体" w:cs="宋体"/>
                <w:sz w:val="23"/>
                <w:szCs w:val="23"/>
              </w:rPr>
            </w:pPr>
            <w:r>
              <w:rPr>
                <w:rFonts w:ascii="宋体" w:hAnsi="宋体" w:eastAsia="宋体" w:cs="宋体"/>
                <w:spacing w:val="-16"/>
                <w:sz w:val="23"/>
                <w:szCs w:val="23"/>
              </w:rPr>
              <w:t xml:space="preserve">合同价：               </w:t>
            </w:r>
            <w:r>
              <w:rPr>
                <w:rFonts w:ascii="宋体" w:hAnsi="宋体" w:eastAsia="宋体" w:cs="宋体"/>
                <w:spacing w:val="-13"/>
                <w:sz w:val="23"/>
                <w:szCs w:val="23"/>
              </w:rPr>
              <w:t>元</w:t>
            </w:r>
          </w:p>
        </w:tc>
      </w:tr>
    </w:tbl>
    <w:p>
      <w:pPr>
        <w:rPr>
          <w:rFonts w:hint="eastAsia" w:ascii="宋体" w:hAnsi="宋体"/>
          <w:sz w:val="28"/>
          <w:szCs w:val="28"/>
        </w:rPr>
      </w:pPr>
    </w:p>
    <w:p>
      <w:pPr>
        <w:pStyle w:val="21"/>
        <w:spacing w:line="360" w:lineRule="auto"/>
        <w:ind w:left="0" w:leftChars="0" w:firstLine="0" w:firstLineChars="0"/>
        <w:rPr>
          <w:rFonts w:ascii="宋体" w:hAnsi="宋体"/>
          <w:b/>
          <w:sz w:val="24"/>
          <w:szCs w:val="24"/>
        </w:rPr>
      </w:pPr>
    </w:p>
    <w:p>
      <w:pPr>
        <w:jc w:val="center"/>
        <w:outlineLvl w:val="0"/>
        <w:rPr>
          <w:rFonts w:hint="default" w:eastAsia="宋体"/>
          <w:b/>
          <w:sz w:val="30"/>
          <w:szCs w:val="30"/>
          <w:lang w:val="en-US" w:eastAsia="zh-CN"/>
        </w:rPr>
      </w:pPr>
      <w:bookmarkStart w:id="552" w:name="_Toc22360"/>
      <w:bookmarkStart w:id="553" w:name="_Toc72695360"/>
      <w:bookmarkStart w:id="554" w:name="_Toc28820"/>
      <w:r>
        <w:rPr>
          <w:rFonts w:hint="eastAsia"/>
          <w:b/>
          <w:sz w:val="32"/>
          <w:szCs w:val="32"/>
        </w:rPr>
        <w:t xml:space="preserve">第五章 </w:t>
      </w:r>
      <w:bookmarkEnd w:id="552"/>
      <w:bookmarkEnd w:id="553"/>
      <w:r>
        <w:rPr>
          <w:rFonts w:hint="eastAsia"/>
          <w:b/>
          <w:sz w:val="32"/>
          <w:szCs w:val="32"/>
          <w:lang w:val="en-US" w:eastAsia="zh-CN"/>
        </w:rPr>
        <w:t>服务需求</w:t>
      </w:r>
      <w:bookmarkEnd w:id="554"/>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hAnsi="Times New Roman" w:cs="Times New Roman"/>
          <w:b w:val="0"/>
          <w:bCs/>
          <w:sz w:val="28"/>
          <w:szCs w:val="28"/>
          <w:lang w:val="en-US" w:eastAsia="zh-CN"/>
        </w:rPr>
      </w:pPr>
      <w:r>
        <w:rPr>
          <w:rFonts w:hint="eastAsia" w:ascii="宋体" w:hAnsi="Times New Roman" w:cs="Times New Roman"/>
          <w:b w:val="0"/>
          <w:bCs/>
          <w:sz w:val="28"/>
          <w:szCs w:val="28"/>
          <w:lang w:eastAsia="zh-CN"/>
        </w:rPr>
        <w:t>服务物业公共区域总面积5300㎡，其中：县委机关1300㎡；行政一区4600㎡；行政二区400㎡。物业清扫绿化维护费用暂定为2元/㎡</w:t>
      </w:r>
      <w:r>
        <w:rPr>
          <w:rFonts w:hint="eastAsia" w:ascii="宋体" w:cs="Times New Roman"/>
          <w:b w:val="0"/>
          <w:bCs/>
          <w:sz w:val="28"/>
          <w:szCs w:val="28"/>
          <w:lang w:eastAsia="zh-CN"/>
        </w:rPr>
        <w:t>，</w:t>
      </w:r>
      <w:r>
        <w:rPr>
          <w:rFonts w:hint="eastAsia" w:ascii="宋体" w:hAnsi="Times New Roman" w:cs="Times New Roman"/>
          <w:b w:val="0"/>
          <w:bCs/>
          <w:sz w:val="28"/>
          <w:szCs w:val="28"/>
          <w:lang w:eastAsia="zh-CN"/>
        </w:rPr>
        <w:t>增加到报价清单当中。</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hAnsi="Times New Roman" w:cs="Times New Roman"/>
          <w:b w:val="0"/>
          <w:bCs/>
          <w:sz w:val="28"/>
          <w:szCs w:val="28"/>
          <w:lang w:val="en-US" w:eastAsia="zh-CN"/>
        </w:rPr>
      </w:pPr>
      <w:r>
        <w:rPr>
          <w:rFonts w:hint="eastAsia" w:ascii="宋体" w:cs="Times New Roman"/>
          <w:b w:val="0"/>
          <w:bCs/>
          <w:sz w:val="28"/>
          <w:szCs w:val="28"/>
          <w:lang w:val="en-US" w:eastAsia="zh-CN"/>
        </w:rPr>
        <w:t>服务期限：自签订合同之日起三年。项目总投资：140万元。</w:t>
      </w:r>
    </w:p>
    <w:p>
      <w:pPr>
        <w:keepNext w:val="0"/>
        <w:keepLines w:val="0"/>
        <w:pageBreakBefore w:val="0"/>
        <w:numPr>
          <w:ilvl w:val="0"/>
          <w:numId w:val="23"/>
        </w:numPr>
        <w:kinsoku/>
        <w:wordWrap/>
        <w:overflowPunct/>
        <w:topLinePunct w:val="0"/>
        <w:autoSpaceDE/>
        <w:bidi w:val="0"/>
        <w:adjustRightInd/>
        <w:snapToGrid/>
        <w:spacing w:line="500" w:lineRule="exact"/>
        <w:ind w:firstLine="562" w:firstLineChars="200"/>
        <w:jc w:val="left"/>
        <w:textAlignment w:val="auto"/>
        <w:rPr>
          <w:rFonts w:hint="eastAsia" w:ascii="宋体"/>
          <w:b/>
          <w:bCs w:val="0"/>
          <w:sz w:val="28"/>
          <w:szCs w:val="28"/>
          <w:lang w:val="en-US" w:eastAsia="zh-CN"/>
        </w:rPr>
      </w:pPr>
      <w:r>
        <w:rPr>
          <w:rFonts w:hint="eastAsia" w:ascii="宋体"/>
          <w:b/>
          <w:bCs w:val="0"/>
          <w:sz w:val="28"/>
          <w:szCs w:val="28"/>
          <w:lang w:val="en-US" w:eastAsia="zh-CN"/>
        </w:rPr>
        <w:t>物业管理服务总体需求</w:t>
      </w:r>
    </w:p>
    <w:p>
      <w:pPr>
        <w:keepNext w:val="0"/>
        <w:keepLines w:val="0"/>
        <w:pageBreakBefore w:val="0"/>
        <w:kinsoku/>
        <w:wordWrap/>
        <w:overflowPunct/>
        <w:topLinePunct w:val="0"/>
        <w:autoSpaceDE/>
        <w:bidi w:val="0"/>
        <w:adjustRightInd/>
        <w:snapToGrid/>
        <w:spacing w:line="500" w:lineRule="exact"/>
        <w:ind w:firstLine="562" w:firstLineChars="200"/>
        <w:jc w:val="left"/>
        <w:textAlignment w:val="auto"/>
        <w:rPr>
          <w:rFonts w:hint="default" w:ascii="宋体" w:cs="Times New Roman"/>
          <w:b/>
          <w:bCs w:val="0"/>
          <w:sz w:val="28"/>
          <w:szCs w:val="28"/>
          <w:lang w:val="en-US" w:eastAsia="zh-CN"/>
        </w:rPr>
      </w:pPr>
      <w:r>
        <w:rPr>
          <w:rFonts w:hint="default" w:ascii="宋体" w:cs="Times New Roman"/>
          <w:b/>
          <w:bCs w:val="0"/>
          <w:sz w:val="28"/>
          <w:szCs w:val="28"/>
          <w:lang w:val="en-US" w:eastAsia="zh-CN"/>
        </w:rPr>
        <w:t>(一)管理事项</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cs="Times New Roman"/>
          <w:b w:val="0"/>
          <w:bCs/>
          <w:sz w:val="28"/>
          <w:szCs w:val="28"/>
          <w:lang w:val="en-US" w:eastAsia="zh-CN"/>
        </w:rPr>
      </w:pPr>
      <w:r>
        <w:rPr>
          <w:rFonts w:hint="default" w:ascii="宋体" w:cs="Times New Roman"/>
          <w:b w:val="0"/>
          <w:bCs/>
          <w:sz w:val="28"/>
          <w:szCs w:val="28"/>
          <w:lang w:val="en-US" w:eastAsia="zh-CN"/>
        </w:rPr>
        <w:t>1、</w:t>
      </w:r>
      <w:r>
        <w:rPr>
          <w:rFonts w:hint="eastAsia" w:ascii="宋体" w:cs="Times New Roman"/>
          <w:b w:val="0"/>
          <w:bCs/>
          <w:sz w:val="28"/>
          <w:szCs w:val="28"/>
          <w:lang w:val="en-US" w:eastAsia="zh-CN"/>
        </w:rPr>
        <w:t>安全防范管理</w:t>
      </w:r>
      <w:r>
        <w:rPr>
          <w:rFonts w:hint="default" w:ascii="宋体" w:cs="Times New Roman"/>
          <w:b w:val="0"/>
          <w:bCs/>
          <w:sz w:val="28"/>
          <w:szCs w:val="28"/>
          <w:lang w:val="en-US" w:eastAsia="zh-CN"/>
        </w:rPr>
        <w:t>。包括：</w:t>
      </w:r>
      <w:r>
        <w:rPr>
          <w:rFonts w:hint="eastAsia" w:ascii="宋体" w:hAnsi="宋体" w:cs="宋体"/>
          <w:b w:val="0"/>
          <w:bCs/>
          <w:sz w:val="28"/>
          <w:szCs w:val="28"/>
          <w:shd w:val="clear" w:color="auto" w:fill="FFFFFF"/>
        </w:rPr>
        <w:t>车辆出入管理</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物品</w:t>
      </w:r>
      <w:r>
        <w:rPr>
          <w:rFonts w:hint="eastAsia" w:ascii="宋体" w:hAnsi="宋体" w:cs="宋体"/>
          <w:b w:val="0"/>
          <w:bCs/>
          <w:sz w:val="28"/>
          <w:szCs w:val="28"/>
          <w:shd w:val="clear" w:color="auto" w:fill="FFFFFF"/>
        </w:rPr>
        <w:t>出入管理</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rPr>
        <w:t>访客人员管理</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巡查管理</w:t>
      </w:r>
      <w:r>
        <w:rPr>
          <w:rFonts w:hint="default" w:ascii="宋体" w:cs="Times New Roman"/>
          <w:b w:val="0"/>
          <w:bCs/>
          <w:sz w:val="28"/>
          <w:szCs w:val="28"/>
          <w:lang w:val="en-US" w:eastAsia="zh-CN"/>
        </w:rPr>
        <w:t>等。</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cs="Times New Roman"/>
          <w:b w:val="0"/>
          <w:bCs/>
          <w:sz w:val="28"/>
          <w:szCs w:val="28"/>
          <w:lang w:val="en-US" w:eastAsia="zh-CN"/>
        </w:rPr>
      </w:pPr>
      <w:r>
        <w:rPr>
          <w:rFonts w:hint="default" w:ascii="宋体" w:cs="Times New Roman"/>
          <w:b w:val="0"/>
          <w:bCs/>
          <w:sz w:val="28"/>
          <w:szCs w:val="28"/>
          <w:lang w:val="en-US" w:eastAsia="zh-CN"/>
        </w:rPr>
        <w:t>2、公共区域卫生的清洁，</w:t>
      </w:r>
      <w:r>
        <w:rPr>
          <w:rFonts w:hint="eastAsia" w:ascii="宋体" w:cs="Times New Roman"/>
          <w:b w:val="0"/>
          <w:bCs/>
          <w:sz w:val="28"/>
          <w:szCs w:val="28"/>
          <w:lang w:val="en-US" w:eastAsia="zh-CN"/>
        </w:rPr>
        <w:t>卫生间、玻璃门窗、楼道、大厅及各公共区域等</w:t>
      </w:r>
      <w:r>
        <w:rPr>
          <w:rFonts w:hint="default" w:ascii="宋体" w:cs="Times New Roman"/>
          <w:b w:val="0"/>
          <w:bCs/>
          <w:sz w:val="28"/>
          <w:szCs w:val="28"/>
          <w:lang w:val="en-US" w:eastAsia="zh-CN"/>
        </w:rPr>
        <w:t>。</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cs="Times New Roman"/>
          <w:b w:val="0"/>
          <w:bCs/>
          <w:sz w:val="28"/>
          <w:szCs w:val="28"/>
          <w:lang w:val="en-US" w:eastAsia="zh-CN"/>
        </w:rPr>
      </w:pPr>
      <w:r>
        <w:rPr>
          <w:rFonts w:hint="default" w:ascii="宋体" w:cs="Times New Roman"/>
          <w:b w:val="0"/>
          <w:bCs/>
          <w:sz w:val="28"/>
          <w:szCs w:val="28"/>
          <w:lang w:val="en-US" w:eastAsia="zh-CN"/>
        </w:rPr>
        <w:t>3、</w:t>
      </w:r>
      <w:r>
        <w:rPr>
          <w:rFonts w:hint="eastAsia" w:ascii="宋体" w:cs="Times New Roman"/>
          <w:b w:val="0"/>
          <w:bCs/>
          <w:sz w:val="28"/>
          <w:szCs w:val="28"/>
          <w:lang w:val="en-US" w:eastAsia="zh-CN"/>
        </w:rPr>
        <w:t>水电管道</w:t>
      </w:r>
      <w:r>
        <w:rPr>
          <w:rFonts w:hint="default" w:ascii="宋体" w:cs="Times New Roman"/>
          <w:b w:val="0"/>
          <w:bCs/>
          <w:sz w:val="28"/>
          <w:szCs w:val="28"/>
          <w:lang w:val="en-US" w:eastAsia="zh-CN"/>
        </w:rPr>
        <w:t>系统、亮化、</w:t>
      </w:r>
      <w:r>
        <w:rPr>
          <w:rFonts w:hint="eastAsia" w:ascii="宋体" w:cs="Times New Roman"/>
          <w:b w:val="0"/>
          <w:bCs/>
          <w:sz w:val="28"/>
          <w:szCs w:val="28"/>
          <w:lang w:val="en-US" w:eastAsia="zh-CN"/>
        </w:rPr>
        <w:t>管道、</w:t>
      </w:r>
      <w:r>
        <w:rPr>
          <w:rFonts w:hint="default" w:ascii="宋体" w:cs="Times New Roman"/>
          <w:b w:val="0"/>
          <w:bCs/>
          <w:sz w:val="28"/>
          <w:szCs w:val="28"/>
          <w:lang w:val="en-US" w:eastAsia="zh-CN"/>
        </w:rPr>
        <w:t>照明及其他设备设施的维修、养护、运行和管理。</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cs="Times New Roman"/>
          <w:b w:val="0"/>
          <w:bCs/>
          <w:sz w:val="28"/>
          <w:szCs w:val="28"/>
          <w:lang w:val="en-US" w:eastAsia="zh-CN"/>
        </w:rPr>
      </w:pPr>
      <w:r>
        <w:rPr>
          <w:rFonts w:hint="default" w:ascii="宋体" w:cs="Times New Roman"/>
          <w:b w:val="0"/>
          <w:bCs/>
          <w:sz w:val="28"/>
          <w:szCs w:val="28"/>
          <w:lang w:val="en-US" w:eastAsia="zh-CN"/>
        </w:rPr>
        <w:t>4、电梯维修维护及强检服务。</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cs="Times New Roman"/>
          <w:b w:val="0"/>
          <w:bCs/>
          <w:sz w:val="28"/>
          <w:szCs w:val="28"/>
          <w:lang w:val="en-US" w:eastAsia="zh-CN"/>
        </w:rPr>
      </w:pPr>
      <w:r>
        <w:rPr>
          <w:rFonts w:hint="default" w:ascii="宋体" w:cs="Times New Roman"/>
          <w:b w:val="0"/>
          <w:bCs/>
          <w:sz w:val="28"/>
          <w:szCs w:val="28"/>
          <w:lang w:val="en-US" w:eastAsia="zh-CN"/>
        </w:rPr>
        <w:t>5、园林绿化服务</w:t>
      </w:r>
      <w:r>
        <w:rPr>
          <w:rFonts w:hint="eastAsia" w:ascii="宋体" w:cs="Times New Roman"/>
          <w:b w:val="0"/>
          <w:bCs/>
          <w:sz w:val="28"/>
          <w:szCs w:val="28"/>
          <w:lang w:val="en-US" w:eastAsia="zh-CN"/>
        </w:rPr>
        <w:t>。包括日常维护养护，提高观感与环境质量</w:t>
      </w:r>
      <w:r>
        <w:rPr>
          <w:rFonts w:hint="default" w:ascii="宋体" w:cs="Times New Roman"/>
          <w:b w:val="0"/>
          <w:bCs/>
          <w:sz w:val="28"/>
          <w:szCs w:val="28"/>
          <w:lang w:val="en-US" w:eastAsia="zh-CN"/>
        </w:rPr>
        <w:t>。</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default" w:ascii="宋体" w:cs="Times New Roman"/>
          <w:b w:val="0"/>
          <w:bCs/>
          <w:sz w:val="28"/>
          <w:szCs w:val="28"/>
          <w:lang w:val="en-US" w:eastAsia="zh-CN"/>
        </w:rPr>
      </w:pPr>
      <w:r>
        <w:rPr>
          <w:rFonts w:hint="default" w:ascii="宋体" w:cs="Times New Roman"/>
          <w:b w:val="0"/>
          <w:bCs/>
          <w:sz w:val="28"/>
          <w:szCs w:val="28"/>
          <w:lang w:val="en-US" w:eastAsia="zh-CN"/>
        </w:rPr>
        <w:t>6、</w:t>
      </w:r>
      <w:r>
        <w:rPr>
          <w:rFonts w:hint="eastAsia" w:ascii="宋体" w:hAnsi="宋体"/>
          <w:b w:val="0"/>
          <w:bCs/>
          <w:sz w:val="28"/>
          <w:szCs w:val="28"/>
          <w:lang w:val="en-US" w:eastAsia="zh-CN"/>
        </w:rPr>
        <w:t>指导处置公共突发事件的组织指挥和各种处置方法的拟制、演练</w:t>
      </w:r>
      <w:r>
        <w:rPr>
          <w:rFonts w:hint="default" w:ascii="宋体" w:cs="Times New Roman"/>
          <w:b w:val="0"/>
          <w:bCs/>
          <w:sz w:val="28"/>
          <w:szCs w:val="28"/>
          <w:lang w:val="en-US" w:eastAsia="zh-CN"/>
        </w:rPr>
        <w:t>管理与物业相关的档案资料管理。</w:t>
      </w:r>
    </w:p>
    <w:p>
      <w:pPr>
        <w:keepNext w:val="0"/>
        <w:keepLines w:val="0"/>
        <w:pageBreakBefore w:val="0"/>
        <w:kinsoku/>
        <w:wordWrap/>
        <w:overflowPunct/>
        <w:topLinePunct w:val="0"/>
        <w:autoSpaceDE/>
        <w:bidi w:val="0"/>
        <w:adjustRightInd/>
        <w:snapToGrid/>
        <w:spacing w:line="500" w:lineRule="exact"/>
        <w:ind w:firstLine="562" w:firstLineChars="200"/>
        <w:jc w:val="left"/>
        <w:textAlignment w:val="auto"/>
        <w:rPr>
          <w:rFonts w:hint="eastAsia" w:ascii="宋体" w:cs="Times New Roman"/>
          <w:b/>
          <w:bCs w:val="0"/>
          <w:sz w:val="28"/>
          <w:szCs w:val="28"/>
          <w:lang w:val="en-US" w:eastAsia="zh-CN"/>
        </w:rPr>
      </w:pPr>
      <w:r>
        <w:rPr>
          <w:rFonts w:hint="default" w:ascii="宋体" w:cs="Times New Roman"/>
          <w:b/>
          <w:bCs w:val="0"/>
          <w:sz w:val="28"/>
          <w:szCs w:val="28"/>
          <w:lang w:val="en-US" w:eastAsia="zh-CN"/>
        </w:rPr>
        <w:t>(</w:t>
      </w:r>
      <w:r>
        <w:rPr>
          <w:rFonts w:hint="eastAsia" w:ascii="宋体" w:cs="Times New Roman"/>
          <w:b/>
          <w:bCs w:val="0"/>
          <w:sz w:val="28"/>
          <w:szCs w:val="28"/>
          <w:lang w:val="en-US" w:eastAsia="zh-CN"/>
        </w:rPr>
        <w:t>二</w:t>
      </w:r>
      <w:r>
        <w:rPr>
          <w:rFonts w:hint="default" w:ascii="宋体" w:cs="Times New Roman"/>
          <w:b/>
          <w:bCs w:val="0"/>
          <w:sz w:val="28"/>
          <w:szCs w:val="28"/>
          <w:lang w:val="en-US" w:eastAsia="zh-CN"/>
        </w:rPr>
        <w:t>)</w:t>
      </w:r>
      <w:r>
        <w:rPr>
          <w:rFonts w:hint="eastAsia" w:ascii="宋体" w:cs="Times New Roman"/>
          <w:b/>
          <w:bCs w:val="0"/>
          <w:sz w:val="28"/>
          <w:szCs w:val="28"/>
          <w:lang w:val="en-US" w:eastAsia="zh-CN"/>
        </w:rPr>
        <w:t>服务人员</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人员配备最低要求：73人，具体要求如下：</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物业管理负责人员：1人。</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电梯强检人员：6人。</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电梯维修维护人员：3人。</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水电维修维护人员：5人，具有电工证。</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园林绿化人员：8人。</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cs="Times New Roman"/>
          <w:b w:val="0"/>
          <w:bCs/>
          <w:sz w:val="28"/>
          <w:szCs w:val="28"/>
          <w:lang w:val="en-US" w:eastAsia="zh-CN"/>
        </w:rPr>
      </w:pPr>
      <w:r>
        <w:rPr>
          <w:rFonts w:hint="eastAsia" w:ascii="宋体" w:cs="Times New Roman"/>
          <w:b w:val="0"/>
          <w:bCs/>
          <w:sz w:val="28"/>
          <w:szCs w:val="28"/>
          <w:lang w:val="en-US" w:eastAsia="zh-CN"/>
        </w:rPr>
        <w:t>保安人员：24人。</w:t>
      </w:r>
    </w:p>
    <w:p>
      <w:pPr>
        <w:keepNext w:val="0"/>
        <w:keepLines w:val="0"/>
        <w:pageBreakBefore w:val="0"/>
        <w:kinsoku/>
        <w:wordWrap/>
        <w:overflowPunct/>
        <w:topLinePunct w:val="0"/>
        <w:autoSpaceDE/>
        <w:bidi w:val="0"/>
        <w:adjustRightInd/>
        <w:snapToGrid/>
        <w:spacing w:line="500" w:lineRule="exact"/>
        <w:ind w:firstLine="560" w:firstLineChars="200"/>
        <w:jc w:val="left"/>
        <w:textAlignment w:val="auto"/>
        <w:rPr>
          <w:rFonts w:hint="eastAsia" w:ascii="宋体"/>
          <w:b/>
          <w:bCs w:val="0"/>
          <w:sz w:val="28"/>
          <w:szCs w:val="28"/>
          <w:lang w:val="en-US" w:eastAsia="zh-CN"/>
        </w:rPr>
      </w:pPr>
      <w:r>
        <w:rPr>
          <w:rFonts w:hint="eastAsia" w:ascii="宋体" w:cs="Times New Roman"/>
          <w:b w:val="0"/>
          <w:bCs/>
          <w:sz w:val="28"/>
          <w:szCs w:val="28"/>
          <w:lang w:val="en-US" w:eastAsia="zh-CN"/>
        </w:rPr>
        <w:t>保洁服务人员：26人。</w:t>
      </w:r>
    </w:p>
    <w:p>
      <w:pPr>
        <w:keepNext w:val="0"/>
        <w:keepLines w:val="0"/>
        <w:pageBreakBefore w:val="0"/>
        <w:kinsoku/>
        <w:wordWrap/>
        <w:overflowPunct/>
        <w:topLinePunct w:val="0"/>
        <w:autoSpaceDE/>
        <w:bidi w:val="0"/>
        <w:adjustRightInd/>
        <w:snapToGrid/>
        <w:spacing w:line="500" w:lineRule="exact"/>
        <w:ind w:firstLine="562" w:firstLineChars="200"/>
        <w:jc w:val="left"/>
        <w:textAlignment w:val="auto"/>
        <w:rPr>
          <w:rFonts w:hint="default" w:ascii="宋体"/>
          <w:b/>
          <w:bCs w:val="0"/>
          <w:sz w:val="28"/>
          <w:szCs w:val="28"/>
          <w:lang w:val="en-US" w:eastAsia="zh-CN"/>
        </w:rPr>
      </w:pPr>
      <w:r>
        <w:rPr>
          <w:rFonts w:hint="default" w:ascii="宋体" w:cs="Times New Roman"/>
          <w:b/>
          <w:bCs w:val="0"/>
          <w:sz w:val="28"/>
          <w:szCs w:val="28"/>
          <w:lang w:val="en-US" w:eastAsia="zh-CN"/>
        </w:rPr>
        <w:t>(</w:t>
      </w:r>
      <w:r>
        <w:rPr>
          <w:rFonts w:hint="eastAsia" w:ascii="宋体" w:cs="Times New Roman"/>
          <w:b/>
          <w:bCs w:val="0"/>
          <w:sz w:val="28"/>
          <w:szCs w:val="28"/>
          <w:lang w:val="en-US" w:eastAsia="zh-CN"/>
        </w:rPr>
        <w:t>三</w:t>
      </w:r>
      <w:r>
        <w:rPr>
          <w:rFonts w:hint="default" w:ascii="宋体" w:cs="Times New Roman"/>
          <w:b/>
          <w:bCs w:val="0"/>
          <w:sz w:val="28"/>
          <w:szCs w:val="28"/>
          <w:lang w:val="en-US" w:eastAsia="zh-CN"/>
        </w:rPr>
        <w:t>)</w:t>
      </w:r>
      <w:r>
        <w:rPr>
          <w:rFonts w:hint="eastAsia" w:ascii="宋体" w:cs="Times New Roman"/>
          <w:b/>
          <w:bCs w:val="0"/>
          <w:sz w:val="28"/>
          <w:szCs w:val="28"/>
          <w:lang w:val="en-US" w:eastAsia="zh-CN"/>
        </w:rPr>
        <w:t>物业管理服务内容及标准</w:t>
      </w:r>
    </w:p>
    <w:p>
      <w:pPr>
        <w:keepNext w:val="0"/>
        <w:keepLines w:val="0"/>
        <w:pageBreakBefore w:val="0"/>
        <w:kinsoku/>
        <w:wordWrap/>
        <w:overflowPunct/>
        <w:topLinePunct w:val="0"/>
        <w:autoSpaceDE/>
        <w:bidi w:val="0"/>
        <w:adjustRightInd/>
        <w:snapToGrid/>
        <w:spacing w:line="500" w:lineRule="exact"/>
        <w:ind w:firstLine="562" w:firstLineChars="200"/>
        <w:textAlignment w:val="auto"/>
        <w:rPr>
          <w:rFonts w:hint="eastAsia"/>
          <w:b/>
          <w:bCs w:val="0"/>
          <w:sz w:val="28"/>
          <w:szCs w:val="28"/>
        </w:rPr>
      </w:pPr>
      <w:r>
        <w:rPr>
          <w:rFonts w:hint="eastAsia" w:ascii="宋体"/>
          <w:b/>
          <w:bCs w:val="0"/>
          <w:sz w:val="28"/>
          <w:szCs w:val="28"/>
          <w:lang w:val="en-US" w:eastAsia="zh-CN"/>
        </w:rPr>
        <w:t>1、</w:t>
      </w:r>
      <w:r>
        <w:rPr>
          <w:rFonts w:hint="eastAsia" w:ascii="宋体"/>
          <w:b/>
          <w:bCs w:val="0"/>
          <w:sz w:val="28"/>
          <w:szCs w:val="28"/>
        </w:rPr>
        <w:t>安全防范管理服务工作</w:t>
      </w:r>
      <w:r>
        <w:rPr>
          <w:rFonts w:hint="eastAsia"/>
          <w:b/>
          <w:bCs w:val="0"/>
          <w:sz w:val="28"/>
          <w:szCs w:val="28"/>
          <w:lang w:val="en-US" w:eastAsia="zh-CN"/>
        </w:rPr>
        <w:t>：</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560" w:firstLineChars="20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lang w:val="en-US" w:eastAsia="zh-CN"/>
        </w:rPr>
        <w:t xml:space="preserve">1.1 </w:t>
      </w:r>
      <w:r>
        <w:rPr>
          <w:rFonts w:hint="eastAsia" w:ascii="宋体" w:hAnsi="宋体" w:cs="宋体"/>
          <w:b w:val="0"/>
          <w:bCs/>
          <w:sz w:val="28"/>
          <w:szCs w:val="28"/>
          <w:shd w:val="clear" w:color="auto" w:fill="FFFFFF"/>
        </w:rPr>
        <w:t>车辆出入管理</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⑴ 管制出入单位的机动车辆，一般接洽业务或参观访问等人员所乘机动车辆，一律按指定位置依序停放，不按照规定者，应即时纠正。</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 xml:space="preserve">⑵ 对于本单位人员车辆停放一律要求一车一位，整齐排放。 </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⑶ 维护单位周围通道秩序，不准机动车、自行车乱停放。</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⑷ 加强对车辆的安全检查巡视，注意有无载有违禁、危险或易燃物品，发现异常立即上报处理，随时与安全主管保持联络，密切协作，保证车辆安全。</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⑸ 严格按照要求填写《外来车辆出入情况登记表》。</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lang w:val="en-US" w:eastAsia="zh-CN"/>
        </w:rPr>
        <w:t xml:space="preserve">1.2 </w:t>
      </w:r>
      <w:r>
        <w:rPr>
          <w:rFonts w:hint="eastAsia" w:ascii="宋体" w:hAnsi="宋体" w:cs="宋体"/>
          <w:b w:val="0"/>
          <w:bCs/>
          <w:sz w:val="28"/>
          <w:szCs w:val="28"/>
          <w:shd w:val="clear" w:color="auto" w:fill="FFFFFF"/>
        </w:rPr>
        <w:t>物品出入管理</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⑴ 物品放行应凭核准的出门证经安防工作人员确认核对无误始得放行。</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⑵ 严格按照要求填写《</w:t>
      </w:r>
      <w:r>
        <w:rPr>
          <w:rFonts w:hint="eastAsia" w:ascii="宋体" w:hAnsi="宋体" w:cs="宋体"/>
          <w:b w:val="0"/>
          <w:bCs/>
          <w:sz w:val="28"/>
          <w:szCs w:val="28"/>
        </w:rPr>
        <w:fldChar w:fldCharType="begin"/>
      </w:r>
      <w:r>
        <w:rPr>
          <w:rFonts w:hint="eastAsia" w:ascii="宋体" w:hAnsi="宋体" w:cs="宋体"/>
          <w:b w:val="0"/>
          <w:bCs/>
          <w:sz w:val="28"/>
          <w:szCs w:val="28"/>
        </w:rPr>
        <w:instrText xml:space="preserve">HYPERLINK "http://www.so.com/s?q=物品进出情况登记表&amp;ie=utf-8&amp;src=se_lighten_quotes_f"</w:instrText>
      </w:r>
      <w:r>
        <w:rPr>
          <w:rFonts w:hint="eastAsia" w:ascii="宋体" w:hAnsi="宋体" w:cs="宋体"/>
          <w:b w:val="0"/>
          <w:bCs/>
          <w:sz w:val="28"/>
          <w:szCs w:val="28"/>
        </w:rPr>
        <w:fldChar w:fldCharType="separate"/>
      </w:r>
      <w:r>
        <w:rPr>
          <w:rFonts w:hint="eastAsia" w:ascii="宋体" w:hAnsi="宋体" w:cs="宋体"/>
          <w:b w:val="0"/>
          <w:bCs/>
          <w:sz w:val="28"/>
          <w:szCs w:val="28"/>
        </w:rPr>
        <w:t>物品出入情况登记表</w:t>
      </w:r>
      <w:r>
        <w:rPr>
          <w:rFonts w:hint="eastAsia" w:ascii="宋体" w:hAnsi="宋体" w:cs="宋体"/>
          <w:b w:val="0"/>
          <w:bCs/>
          <w:sz w:val="28"/>
          <w:szCs w:val="28"/>
        </w:rPr>
        <w:fldChar w:fldCharType="end"/>
      </w:r>
      <w:r>
        <w:rPr>
          <w:rFonts w:hint="eastAsia" w:ascii="宋体" w:hAnsi="宋体" w:cs="宋体"/>
          <w:b w:val="0"/>
          <w:bCs/>
          <w:sz w:val="28"/>
          <w:szCs w:val="28"/>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lang w:val="en-US" w:eastAsia="zh-CN"/>
        </w:rPr>
        <w:t xml:space="preserve">1.3 </w:t>
      </w:r>
      <w:r>
        <w:rPr>
          <w:rFonts w:hint="eastAsia" w:ascii="宋体" w:hAnsi="宋体" w:cs="宋体"/>
          <w:b w:val="0"/>
          <w:bCs/>
          <w:sz w:val="28"/>
          <w:szCs w:val="28"/>
          <w:shd w:val="clear" w:color="auto" w:fill="FFFFFF"/>
        </w:rPr>
        <w:t>访客人员管理</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⑴ 外界来宾到单位接洽业务或参观访问，以及其他需要来访人员等应至值班室办理进入单位的手续，并联络有关部门接待。非经单位部门人员接待者，不得任其进入单位。凡来访人员不可携带易燃、易爆、剧毒等物品进入单位。</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⑵ 无明确探访对象的人员，在未明白来意之前，不得让其进入单位。</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⑶ 所有推销，收废品等闲杂人员，未经办公室允许，不得进入单位。</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⑷ 严格按照要求填写《</w:t>
      </w:r>
      <w:r>
        <w:rPr>
          <w:rFonts w:hint="eastAsia" w:ascii="宋体" w:hAnsi="宋体" w:cs="宋体"/>
          <w:b w:val="0"/>
          <w:bCs/>
          <w:sz w:val="28"/>
          <w:szCs w:val="28"/>
        </w:rPr>
        <w:fldChar w:fldCharType="begin"/>
      </w:r>
      <w:r>
        <w:rPr>
          <w:rFonts w:hint="eastAsia" w:ascii="宋体" w:hAnsi="宋体" w:cs="宋体"/>
          <w:b w:val="0"/>
          <w:bCs/>
          <w:sz w:val="28"/>
          <w:szCs w:val="28"/>
        </w:rPr>
        <w:instrText xml:space="preserve">HYPERLINK "http://www.so.com/s?q=外来人员出入库登记簿&amp;ie=utf-8&amp;src=se_lighten_quotes_f"</w:instrText>
      </w:r>
      <w:r>
        <w:rPr>
          <w:rFonts w:hint="eastAsia" w:ascii="宋体" w:hAnsi="宋体" w:cs="宋体"/>
          <w:b w:val="0"/>
          <w:bCs/>
          <w:sz w:val="28"/>
          <w:szCs w:val="28"/>
        </w:rPr>
        <w:fldChar w:fldCharType="separate"/>
      </w:r>
      <w:r>
        <w:rPr>
          <w:rFonts w:hint="eastAsia" w:ascii="宋体" w:hAnsi="宋体" w:cs="宋体"/>
          <w:b w:val="0"/>
          <w:bCs/>
          <w:sz w:val="28"/>
          <w:szCs w:val="28"/>
        </w:rPr>
        <w:t>外来人员出入登记</w:t>
      </w:r>
      <w:r>
        <w:rPr>
          <w:rFonts w:hint="eastAsia" w:ascii="宋体" w:hAnsi="宋体" w:cs="宋体"/>
          <w:b w:val="0"/>
          <w:bCs/>
          <w:sz w:val="28"/>
          <w:szCs w:val="28"/>
        </w:rPr>
        <w:fldChar w:fldCharType="end"/>
      </w:r>
      <w:r>
        <w:rPr>
          <w:rFonts w:hint="eastAsia" w:ascii="宋体" w:hAnsi="宋体" w:cs="宋体"/>
          <w:b w:val="0"/>
          <w:bCs/>
          <w:sz w:val="28"/>
          <w:szCs w:val="28"/>
        </w:rPr>
        <w:t>表</w:t>
      </w:r>
      <w:r>
        <w:rPr>
          <w:rFonts w:hint="eastAsia" w:ascii="宋体" w:hAnsi="宋体" w:cs="宋体"/>
          <w:b w:val="0"/>
          <w:bCs/>
          <w:sz w:val="28"/>
          <w:szCs w:val="28"/>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lang w:val="en-US" w:eastAsia="zh-CN"/>
        </w:rPr>
        <w:t xml:space="preserve">1.4 </w:t>
      </w:r>
      <w:r>
        <w:rPr>
          <w:rFonts w:hint="eastAsia" w:ascii="宋体" w:hAnsi="宋体" w:cs="宋体"/>
          <w:b w:val="0"/>
          <w:bCs/>
          <w:sz w:val="28"/>
          <w:szCs w:val="28"/>
          <w:shd w:val="clear" w:color="auto" w:fill="FFFFFF"/>
        </w:rPr>
        <w:t>巡查制度</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⑴ 白天：由安全主管或其指定安防人员负责巡查，监督单位内部治安、消防及财产安全，发现违规行为及时制止并记录上报有关领导按章处罚，最大限度地避免安全事故隐患。</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ascii="宋体" w:hAnsi="宋体" w:cs="宋体"/>
          <w:b w:val="0"/>
          <w:bCs/>
          <w:sz w:val="28"/>
          <w:szCs w:val="28"/>
          <w:shd w:val="clear" w:color="auto" w:fill="FFFFFF"/>
        </w:rPr>
      </w:pPr>
      <w:r>
        <w:rPr>
          <w:rFonts w:hint="eastAsia" w:ascii="宋体" w:hAnsi="宋体" w:cs="宋体"/>
          <w:b w:val="0"/>
          <w:bCs/>
          <w:sz w:val="28"/>
          <w:szCs w:val="28"/>
          <w:shd w:val="clear" w:color="auto" w:fill="FFFFFF"/>
        </w:rPr>
        <w:t>⑵ 夜间：由值班安防人员负责巡查，监督单位内部治安、消防及财产安全，发现违规行为及时制止并记录上报有关领导按章处罚，最大限度地避免安全事故隐患；值班人员每日巡查安全防范责任范围至少三次，并做好巡查记录，以确保单位安全。</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480"/>
        <w:textAlignment w:val="auto"/>
        <w:rPr>
          <w:rFonts w:hint="eastAsia"/>
          <w:b w:val="0"/>
          <w:bCs/>
          <w:sz w:val="28"/>
          <w:szCs w:val="28"/>
        </w:rPr>
      </w:pPr>
      <w:r>
        <w:rPr>
          <w:rFonts w:hint="eastAsia" w:ascii="宋体" w:hAnsi="宋体" w:cs="宋体"/>
          <w:b w:val="0"/>
          <w:bCs/>
          <w:sz w:val="28"/>
          <w:szCs w:val="28"/>
          <w:shd w:val="clear" w:color="auto" w:fill="FFFFFF"/>
        </w:rPr>
        <w:t>⑶ 交换班时，应将执勤所需器械物品，注意事项交接清楚，并将执勤中所见重要事项或事故，以及巡逻时间等登记入《</w:t>
      </w:r>
      <w:r>
        <w:rPr>
          <w:rFonts w:hint="eastAsia" w:ascii="宋体" w:hAnsi="宋体" w:cs="宋体"/>
          <w:b w:val="0"/>
          <w:bCs/>
          <w:sz w:val="28"/>
          <w:szCs w:val="28"/>
        </w:rPr>
        <w:fldChar w:fldCharType="begin"/>
      </w:r>
      <w:r>
        <w:rPr>
          <w:rFonts w:hint="eastAsia" w:ascii="宋体" w:hAnsi="宋体" w:cs="宋体"/>
          <w:b w:val="0"/>
          <w:bCs/>
          <w:sz w:val="28"/>
          <w:szCs w:val="28"/>
        </w:rPr>
        <w:instrText xml:space="preserve">HYPERLINK "http://www.so.com/s?q=值班记录表&amp;ie=utf-8&amp;src=se_lighten_quotes_f"</w:instrText>
      </w:r>
      <w:r>
        <w:rPr>
          <w:rFonts w:hint="eastAsia" w:ascii="宋体" w:hAnsi="宋体" w:cs="宋体"/>
          <w:b w:val="0"/>
          <w:bCs/>
          <w:sz w:val="28"/>
          <w:szCs w:val="28"/>
        </w:rPr>
        <w:fldChar w:fldCharType="separate"/>
      </w:r>
      <w:r>
        <w:rPr>
          <w:rFonts w:hint="eastAsia" w:ascii="宋体" w:hAnsi="宋体" w:cs="宋体"/>
          <w:b w:val="0"/>
          <w:bCs/>
          <w:sz w:val="28"/>
          <w:szCs w:val="28"/>
        </w:rPr>
        <w:t>值班记录表</w:t>
      </w:r>
      <w:r>
        <w:rPr>
          <w:rFonts w:hint="eastAsia" w:ascii="宋体" w:hAnsi="宋体" w:cs="宋体"/>
          <w:b w:val="0"/>
          <w:bCs/>
          <w:sz w:val="28"/>
          <w:szCs w:val="28"/>
        </w:rPr>
        <w:fldChar w:fldCharType="end"/>
      </w:r>
      <w:r>
        <w:rPr>
          <w:rFonts w:hint="eastAsia" w:ascii="宋体" w:hAnsi="宋体" w:cs="宋体"/>
          <w:b w:val="0"/>
          <w:bCs/>
          <w:sz w:val="28"/>
          <w:szCs w:val="28"/>
          <w:shd w:val="clear" w:color="auto" w:fill="FFFFFF"/>
        </w:rPr>
        <w:t>》。</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b w:val="0"/>
          <w:bCs/>
          <w:sz w:val="28"/>
          <w:szCs w:val="28"/>
        </w:rPr>
      </w:pPr>
      <w:r>
        <w:rPr>
          <w:rFonts w:hint="eastAsia"/>
          <w:b w:val="0"/>
          <w:bCs/>
          <w:sz w:val="28"/>
          <w:szCs w:val="28"/>
          <w:lang w:val="en-US" w:eastAsia="zh-CN"/>
        </w:rPr>
        <w:t>1.5</w:t>
      </w:r>
      <w:r>
        <w:rPr>
          <w:rFonts w:hint="eastAsia"/>
          <w:b w:val="0"/>
          <w:bCs/>
          <w:sz w:val="28"/>
          <w:szCs w:val="28"/>
        </w:rPr>
        <w:t>管理措施：</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b w:val="0"/>
          <w:bCs/>
          <w:sz w:val="28"/>
          <w:szCs w:val="28"/>
        </w:rPr>
      </w:pPr>
      <w:r>
        <w:rPr>
          <w:rFonts w:hint="eastAsia" w:ascii="宋体" w:hAnsi="宋体" w:cs="宋体"/>
          <w:b w:val="0"/>
          <w:bCs/>
          <w:sz w:val="28"/>
          <w:szCs w:val="28"/>
          <w:shd w:val="clear" w:color="auto" w:fill="FFFFFF"/>
        </w:rPr>
        <w:t xml:space="preserve">⑴ </w:t>
      </w:r>
      <w:r>
        <w:rPr>
          <w:rFonts w:hint="eastAsia"/>
          <w:b w:val="0"/>
          <w:bCs/>
          <w:sz w:val="28"/>
          <w:szCs w:val="28"/>
        </w:rPr>
        <w:t>实行半军事化管理，制定安防工作人员管理和奖惩制度，严格付诸实施，以增强安防人员的工作责任心；</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b w:val="0"/>
          <w:bCs/>
          <w:sz w:val="28"/>
          <w:szCs w:val="28"/>
        </w:rPr>
      </w:pPr>
      <w:r>
        <w:rPr>
          <w:rFonts w:hint="eastAsia" w:ascii="宋体" w:hAnsi="宋体" w:cs="宋体"/>
          <w:b w:val="0"/>
          <w:bCs/>
          <w:sz w:val="28"/>
          <w:szCs w:val="28"/>
          <w:shd w:val="clear" w:color="auto" w:fill="FFFFFF"/>
        </w:rPr>
        <w:t>⑵</w:t>
      </w:r>
      <w:r>
        <w:rPr>
          <w:rFonts w:hint="eastAsia"/>
          <w:b w:val="0"/>
          <w:bCs/>
          <w:sz w:val="28"/>
          <w:szCs w:val="28"/>
        </w:rPr>
        <w:t>加强安防工作人员的行为规范教育，服装统一，佩证上岗，语言文明，举止得当；</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b w:val="0"/>
          <w:bCs/>
          <w:sz w:val="28"/>
          <w:szCs w:val="28"/>
        </w:rPr>
      </w:pPr>
      <w:r>
        <w:rPr>
          <w:rFonts w:hint="eastAsia" w:ascii="宋体" w:hAnsi="宋体" w:cs="宋体"/>
          <w:b w:val="0"/>
          <w:bCs/>
          <w:sz w:val="28"/>
          <w:szCs w:val="28"/>
          <w:shd w:val="clear" w:color="auto" w:fill="FFFFFF"/>
        </w:rPr>
        <w:t xml:space="preserve">⑶ </w:t>
      </w:r>
      <w:r>
        <w:rPr>
          <w:rFonts w:hint="eastAsia"/>
          <w:b w:val="0"/>
          <w:bCs/>
          <w:sz w:val="28"/>
          <w:szCs w:val="28"/>
        </w:rPr>
        <w:t>严格执行安防工作巡更点到制度，确保巡逻质量。</w:t>
      </w:r>
    </w:p>
    <w:p>
      <w:pPr>
        <w:keepNext w:val="0"/>
        <w:keepLines w:val="0"/>
        <w:pageBreakBefore w:val="0"/>
        <w:kinsoku/>
        <w:wordWrap/>
        <w:overflowPunct/>
        <w:topLinePunct w:val="0"/>
        <w:autoSpaceDE/>
        <w:bidi w:val="0"/>
        <w:adjustRightInd/>
        <w:snapToGrid/>
        <w:spacing w:line="500" w:lineRule="exact"/>
        <w:ind w:firstLine="281" w:firstLineChars="100"/>
        <w:textAlignment w:val="auto"/>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w:t>
      </w:r>
      <w:r>
        <w:rPr>
          <w:rFonts w:hint="eastAsia" w:ascii="宋体"/>
          <w:b/>
          <w:bCs w:val="0"/>
          <w:sz w:val="28"/>
          <w:szCs w:val="28"/>
        </w:rPr>
        <w:t>保洁服务工作</w:t>
      </w:r>
      <w:r>
        <w:rPr>
          <w:rFonts w:hint="eastAsia" w:ascii="宋体" w:hAnsi="宋体"/>
          <w:b/>
          <w:bCs w:val="0"/>
          <w:sz w:val="28"/>
          <w:szCs w:val="28"/>
        </w:rPr>
        <w:t>：</w:t>
      </w:r>
    </w:p>
    <w:p>
      <w:pPr>
        <w:keepNext w:val="0"/>
        <w:keepLines w:val="0"/>
        <w:pageBreakBefore w:val="0"/>
        <w:kinsoku/>
        <w:wordWrap/>
        <w:overflowPunct/>
        <w:topLinePunct w:val="0"/>
        <w:autoSpaceDE/>
        <w:bidi w:val="0"/>
        <w:adjustRightInd/>
        <w:snapToGrid/>
        <w:spacing w:line="500" w:lineRule="exact"/>
        <w:ind w:firstLine="548" w:firstLineChars="196"/>
        <w:textAlignment w:val="auto"/>
        <w:rPr>
          <w:rFonts w:hint="eastAsia" w:ascii="宋体" w:hAnsi="宋体"/>
          <w:b w:val="0"/>
          <w:bCs/>
          <w:sz w:val="28"/>
          <w:szCs w:val="28"/>
        </w:rPr>
      </w:pPr>
      <w:r>
        <w:rPr>
          <w:rFonts w:hint="eastAsia" w:ascii="宋体" w:hAnsi="宋体"/>
          <w:b w:val="0"/>
          <w:bCs/>
          <w:sz w:val="28"/>
          <w:szCs w:val="28"/>
        </w:rPr>
        <w:t>清洁卫生：通过日常保洁工作，使办公楼公共环境和公共部位整洁，公共设施洁净、无异味、无水渍、无灰尘。</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b w:val="0"/>
          <w:bCs/>
          <w:sz w:val="28"/>
          <w:szCs w:val="28"/>
          <w:lang w:val="en-US" w:eastAsia="zh-CN"/>
        </w:rPr>
        <w:t>2.</w:t>
      </w:r>
      <w:r>
        <w:rPr>
          <w:rFonts w:hint="eastAsia" w:ascii="宋体" w:hAnsi="宋体"/>
          <w:b w:val="0"/>
          <w:bCs/>
          <w:sz w:val="28"/>
          <w:szCs w:val="28"/>
        </w:rPr>
        <w:t>1、公共卫生间设专人巡回清洁，保持整洁无异味；</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b w:val="0"/>
          <w:bCs/>
          <w:sz w:val="28"/>
          <w:szCs w:val="28"/>
          <w:lang w:val="en-US" w:eastAsia="zh-CN"/>
        </w:rPr>
        <w:t>2.</w:t>
      </w:r>
      <w:r>
        <w:rPr>
          <w:rFonts w:hint="eastAsia" w:ascii="宋体" w:hAnsi="宋体"/>
          <w:b w:val="0"/>
          <w:bCs/>
          <w:sz w:val="28"/>
          <w:szCs w:val="28"/>
        </w:rPr>
        <w:t>2、大厅设专人巡回保洁，玻璃门窗保持光亮，无明显印渍；</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b w:val="0"/>
          <w:bCs/>
          <w:sz w:val="28"/>
          <w:szCs w:val="28"/>
          <w:lang w:val="en-US" w:eastAsia="zh-CN"/>
        </w:rPr>
        <w:t>2.</w:t>
      </w:r>
      <w:r>
        <w:rPr>
          <w:rFonts w:hint="eastAsia" w:ascii="宋体" w:hAnsi="宋体"/>
          <w:b w:val="0"/>
          <w:bCs/>
          <w:sz w:val="28"/>
          <w:szCs w:val="28"/>
        </w:rPr>
        <w:t xml:space="preserve">3、办公楼各公共区域保持清洁，无随意堆放杂物和占用公共场所现象，随时清除各类污渍、积水； </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b w:val="0"/>
          <w:bCs/>
          <w:sz w:val="28"/>
          <w:szCs w:val="28"/>
          <w:lang w:val="en-US" w:eastAsia="zh-CN"/>
        </w:rPr>
        <w:t>2.</w:t>
      </w:r>
      <w:r>
        <w:rPr>
          <w:rFonts w:hint="eastAsia" w:ascii="宋体" w:hAnsi="宋体"/>
          <w:b w:val="0"/>
          <w:bCs/>
          <w:sz w:val="28"/>
          <w:szCs w:val="28"/>
        </w:rPr>
        <w:t>4、会议室日常保洁，会前确认准备保障会议室舒适整洁，会后及时清场；</w:t>
      </w:r>
    </w:p>
    <w:p>
      <w:pPr>
        <w:keepNext w:val="0"/>
        <w:keepLines w:val="0"/>
        <w:pageBreakBefore w:val="0"/>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b w:val="0"/>
          <w:bCs/>
          <w:sz w:val="28"/>
          <w:szCs w:val="28"/>
          <w:lang w:val="en-US" w:eastAsia="zh-CN"/>
        </w:rPr>
        <w:t>2.5、</w:t>
      </w:r>
      <w:r>
        <w:rPr>
          <w:rFonts w:hint="eastAsia" w:ascii="宋体" w:hAnsi="宋体"/>
          <w:b w:val="0"/>
          <w:bCs/>
          <w:sz w:val="28"/>
          <w:szCs w:val="28"/>
        </w:rPr>
        <w:t>管理措施：</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cs="宋体"/>
          <w:b w:val="0"/>
          <w:bCs/>
          <w:sz w:val="28"/>
          <w:szCs w:val="28"/>
          <w:shd w:val="clear" w:color="auto" w:fill="FFFFFF"/>
        </w:rPr>
        <w:t>⑴</w:t>
      </w:r>
      <w:r>
        <w:rPr>
          <w:rFonts w:hint="eastAsia" w:ascii="宋体" w:hAnsi="宋体"/>
          <w:b w:val="0"/>
          <w:bCs/>
          <w:sz w:val="28"/>
          <w:szCs w:val="28"/>
        </w:rPr>
        <w:t>加强业务培训，增强专业技能；</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cs="宋体"/>
          <w:b w:val="0"/>
          <w:bCs/>
          <w:sz w:val="28"/>
          <w:szCs w:val="28"/>
          <w:shd w:val="clear" w:color="auto" w:fill="FFFFFF"/>
        </w:rPr>
        <w:t>⑵</w:t>
      </w:r>
      <w:r>
        <w:rPr>
          <w:rFonts w:hint="eastAsia" w:ascii="宋体" w:hAnsi="宋体"/>
          <w:b w:val="0"/>
          <w:bCs/>
          <w:sz w:val="28"/>
          <w:szCs w:val="28"/>
        </w:rPr>
        <w:t>加强日常监督检查，按月考核，确保保洁服务满意率</w:t>
      </w:r>
      <w:r>
        <w:rPr>
          <w:rFonts w:hint="eastAsia" w:ascii="宋体" w:hAnsi="宋体"/>
          <w:b w:val="0"/>
          <w:bCs/>
          <w:sz w:val="28"/>
          <w:szCs w:val="28"/>
          <w:lang w:val="en-US" w:eastAsia="zh-CN"/>
        </w:rPr>
        <w:t>不低于</w:t>
      </w:r>
      <w:r>
        <w:rPr>
          <w:rFonts w:hint="eastAsia" w:ascii="宋体" w:hAnsi="宋体"/>
          <w:b w:val="0"/>
          <w:bCs/>
          <w:sz w:val="28"/>
          <w:szCs w:val="28"/>
        </w:rPr>
        <w:t>95%；</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rPr>
      </w:pPr>
      <w:r>
        <w:rPr>
          <w:rFonts w:hint="eastAsia" w:ascii="宋体" w:hAnsi="宋体" w:cs="宋体"/>
          <w:b w:val="0"/>
          <w:bCs/>
          <w:sz w:val="28"/>
          <w:szCs w:val="28"/>
          <w:shd w:val="clear" w:color="auto" w:fill="FFFFFF"/>
        </w:rPr>
        <w:t>⑶</w:t>
      </w:r>
      <w:r>
        <w:rPr>
          <w:rFonts w:hint="eastAsia" w:ascii="宋体" w:hAnsi="宋体"/>
          <w:b w:val="0"/>
          <w:bCs/>
          <w:sz w:val="28"/>
          <w:szCs w:val="28"/>
        </w:rPr>
        <w:t>强化行为规范管理，服装统一、标识齐全、言行文明。</w:t>
      </w:r>
    </w:p>
    <w:p>
      <w:pPr>
        <w:keepNext w:val="0"/>
        <w:keepLines w:val="0"/>
        <w:pageBreakBefore w:val="0"/>
        <w:kinsoku/>
        <w:wordWrap/>
        <w:overflowPunct/>
        <w:topLinePunct w:val="0"/>
        <w:autoSpaceDE/>
        <w:bidi w:val="0"/>
        <w:adjustRightInd/>
        <w:snapToGrid/>
        <w:spacing w:line="500" w:lineRule="exact"/>
        <w:ind w:firstLine="281" w:firstLineChars="100"/>
        <w:textAlignment w:val="auto"/>
        <w:rPr>
          <w:rFonts w:hint="eastAsia" w:ascii="宋体"/>
          <w:b/>
          <w:bCs w:val="0"/>
          <w:sz w:val="28"/>
          <w:szCs w:val="28"/>
          <w:lang w:val="en-US" w:eastAsia="zh-CN"/>
        </w:rPr>
      </w:pPr>
      <w:r>
        <w:rPr>
          <w:rFonts w:hint="eastAsia" w:ascii="宋体"/>
          <w:b/>
          <w:bCs w:val="0"/>
          <w:sz w:val="28"/>
          <w:szCs w:val="28"/>
          <w:lang w:val="en-US" w:eastAsia="zh-CN"/>
        </w:rPr>
        <w:t>3、水电管道服务工作</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3.</w:t>
      </w:r>
      <w:r>
        <w:rPr>
          <w:rFonts w:hint="default" w:ascii="宋体" w:hAnsi="宋体"/>
          <w:b w:val="0"/>
          <w:bCs/>
          <w:sz w:val="28"/>
          <w:szCs w:val="28"/>
          <w:lang w:val="en-US" w:eastAsia="zh-CN"/>
        </w:rPr>
        <w:t>1、保证各种电气设施和元件的完好，及时更换和修复损坏的灯泡、灯具、开关等电器设备。</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3.</w:t>
      </w:r>
      <w:r>
        <w:rPr>
          <w:rFonts w:hint="default" w:ascii="宋体" w:hAnsi="宋体"/>
          <w:b w:val="0"/>
          <w:bCs/>
          <w:sz w:val="28"/>
          <w:szCs w:val="28"/>
          <w:lang w:val="en-US" w:eastAsia="zh-CN"/>
        </w:rPr>
        <w:t>2、检查房屋的主体结构，发现裂缝、脱落、损坏等隐患，及时上报业主单位。</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3.</w:t>
      </w:r>
      <w:r>
        <w:rPr>
          <w:rFonts w:hint="default" w:ascii="宋体" w:hAnsi="宋体"/>
          <w:b w:val="0"/>
          <w:bCs/>
          <w:sz w:val="28"/>
          <w:szCs w:val="28"/>
          <w:lang w:val="en-US" w:eastAsia="zh-CN"/>
        </w:rPr>
        <w:t>3、上下水管道设施跑、漏水的止水和补修，水阀、便器具、管道的检修和更换等。</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3.</w:t>
      </w:r>
      <w:r>
        <w:rPr>
          <w:rFonts w:hint="default" w:ascii="宋体" w:hAnsi="宋体"/>
          <w:b w:val="0"/>
          <w:bCs/>
          <w:sz w:val="28"/>
          <w:szCs w:val="28"/>
          <w:lang w:val="en-US" w:eastAsia="zh-CN"/>
        </w:rPr>
        <w:t>4、各种机械设备和电器设备的简单修复。如：开水器、空调器、供电开关、窗帘等。</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3.</w:t>
      </w:r>
      <w:r>
        <w:rPr>
          <w:rFonts w:hint="default" w:ascii="宋体" w:hAnsi="宋体"/>
          <w:b w:val="0"/>
          <w:bCs/>
          <w:sz w:val="28"/>
          <w:szCs w:val="28"/>
          <w:lang w:val="en-US" w:eastAsia="zh-CN"/>
        </w:rPr>
        <w:t>5、其他需要维修的项目。室内要求安装其他设施，维修及时率达到100%，人员10分钟到位，电气、水暖维修不超过24小时</w:t>
      </w:r>
      <w:r>
        <w:rPr>
          <w:rFonts w:hint="eastAsia" w:ascii="宋体" w:hAnsi="宋体"/>
          <w:b w:val="0"/>
          <w:bCs/>
          <w:sz w:val="28"/>
          <w:szCs w:val="28"/>
          <w:lang w:val="en-US" w:eastAsia="zh-CN"/>
        </w:rPr>
        <w:t>。</w:t>
      </w:r>
    </w:p>
    <w:p>
      <w:pPr>
        <w:keepNext w:val="0"/>
        <w:keepLines w:val="0"/>
        <w:pageBreakBefore w:val="0"/>
        <w:kinsoku/>
        <w:wordWrap/>
        <w:overflowPunct/>
        <w:topLinePunct w:val="0"/>
        <w:autoSpaceDE/>
        <w:bidi w:val="0"/>
        <w:adjustRightInd/>
        <w:snapToGrid/>
        <w:spacing w:line="500" w:lineRule="exact"/>
        <w:ind w:firstLine="281" w:firstLineChars="100"/>
        <w:textAlignment w:val="auto"/>
        <w:rPr>
          <w:rFonts w:hint="eastAsia" w:ascii="宋体"/>
          <w:b/>
          <w:bCs w:val="0"/>
          <w:sz w:val="28"/>
          <w:szCs w:val="28"/>
          <w:lang w:val="en-US" w:eastAsia="zh-CN"/>
        </w:rPr>
      </w:pPr>
      <w:r>
        <w:rPr>
          <w:rFonts w:hint="eastAsia" w:ascii="宋体"/>
          <w:b/>
          <w:bCs w:val="0"/>
          <w:sz w:val="28"/>
          <w:szCs w:val="28"/>
          <w:lang w:val="en-US" w:eastAsia="zh-CN"/>
        </w:rPr>
        <w:t>4、电梯维修维护及强检服务工作</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4.1</w:t>
      </w:r>
      <w:r>
        <w:rPr>
          <w:rFonts w:hint="default" w:ascii="宋体" w:hAnsi="宋体"/>
          <w:b w:val="0"/>
          <w:bCs/>
          <w:sz w:val="28"/>
          <w:szCs w:val="28"/>
          <w:lang w:val="en-US" w:eastAsia="zh-CN"/>
        </w:rPr>
        <w:t>确立安全第一的原则，确保电梯设备处于正常工作状态；</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4.2</w:t>
      </w:r>
      <w:r>
        <w:rPr>
          <w:rFonts w:hint="default" w:ascii="宋体" w:hAnsi="宋体"/>
          <w:b w:val="0"/>
          <w:bCs/>
          <w:sz w:val="28"/>
          <w:szCs w:val="28"/>
          <w:lang w:val="en-US" w:eastAsia="zh-CN"/>
        </w:rPr>
        <w:t>加强电梯设备的日常维护和保养，定期进行安全检查</w:t>
      </w:r>
      <w:r>
        <w:rPr>
          <w:rFonts w:hint="eastAsia" w:ascii="宋体" w:hAnsi="宋体"/>
          <w:b w:val="0"/>
          <w:bCs/>
          <w:sz w:val="28"/>
          <w:szCs w:val="28"/>
          <w:lang w:val="en-US" w:eastAsia="zh-CN"/>
        </w:rPr>
        <w:t>，</w:t>
      </w:r>
      <w:r>
        <w:rPr>
          <w:rFonts w:hint="default" w:ascii="宋体" w:hAnsi="宋体"/>
          <w:b w:val="0"/>
          <w:bCs/>
          <w:sz w:val="28"/>
          <w:szCs w:val="28"/>
          <w:lang w:val="en-US" w:eastAsia="zh-CN"/>
        </w:rPr>
        <w:t>及时发现故障；</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4.3</w:t>
      </w:r>
      <w:r>
        <w:rPr>
          <w:rFonts w:hint="default" w:ascii="宋体" w:hAnsi="宋体"/>
          <w:b w:val="0"/>
          <w:bCs/>
          <w:sz w:val="28"/>
          <w:szCs w:val="28"/>
          <w:lang w:val="en-US" w:eastAsia="zh-CN"/>
        </w:rPr>
        <w:t>建立完善的电梯安全管理制度，明确职责分工，健全安全管理机制</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4.4</w:t>
      </w:r>
      <w:r>
        <w:rPr>
          <w:rFonts w:hint="default" w:ascii="宋体" w:hAnsi="宋体"/>
          <w:b w:val="0"/>
          <w:bCs/>
          <w:sz w:val="28"/>
          <w:szCs w:val="28"/>
          <w:lang w:val="en-US" w:eastAsia="zh-CN"/>
        </w:rPr>
        <w:t>建立日常维护档案，对电梯设备进行定期维护和保养；</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4.5</w:t>
      </w:r>
      <w:r>
        <w:rPr>
          <w:rFonts w:hint="default" w:ascii="宋体" w:hAnsi="宋体"/>
          <w:b w:val="0"/>
          <w:bCs/>
          <w:sz w:val="28"/>
          <w:szCs w:val="28"/>
          <w:lang w:val="en-US" w:eastAsia="zh-CN"/>
        </w:rPr>
        <w:t>加强电梯内部清洁、消毒、通风等工作</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4.6对机房环境、控制屏柜、主电源开关、曳引轮、限速器、井道与底坑、导轨、层门与轿厢、对重应有压板可靠固定，防止松动、限速器张紧装置、钢带张紧装置应设安全开关、补偿链、绳在电梯运行时，不得与井道或其它部件相碰撞、电气安全部分等检查周期每年不少于一次。</w:t>
      </w:r>
    </w:p>
    <w:p>
      <w:pPr>
        <w:keepNext w:val="0"/>
        <w:keepLines w:val="0"/>
        <w:pageBreakBefore w:val="0"/>
        <w:numPr>
          <w:ilvl w:val="0"/>
          <w:numId w:val="0"/>
        </w:numPr>
        <w:kinsoku/>
        <w:wordWrap/>
        <w:overflowPunct/>
        <w:topLinePunct w:val="0"/>
        <w:autoSpaceDE/>
        <w:bidi w:val="0"/>
        <w:adjustRightInd/>
        <w:snapToGrid/>
        <w:spacing w:line="500" w:lineRule="exact"/>
        <w:textAlignment w:val="auto"/>
        <w:rPr>
          <w:rFonts w:hint="eastAsia" w:ascii="宋体"/>
          <w:b/>
          <w:bCs w:val="0"/>
          <w:sz w:val="28"/>
          <w:szCs w:val="28"/>
          <w:lang w:val="en-US" w:eastAsia="zh-CN"/>
        </w:rPr>
      </w:pPr>
      <w:r>
        <w:rPr>
          <w:rFonts w:hint="eastAsia" w:ascii="宋体"/>
          <w:b/>
          <w:bCs w:val="0"/>
          <w:sz w:val="28"/>
          <w:szCs w:val="28"/>
          <w:lang w:val="en-US" w:eastAsia="zh-CN"/>
        </w:rPr>
        <w:t>5、园林绿化服务工作</w:t>
      </w:r>
    </w:p>
    <w:p>
      <w:pPr>
        <w:keepNext w:val="0"/>
        <w:keepLines w:val="0"/>
        <w:pageBreakBefore w:val="0"/>
        <w:tabs>
          <w:tab w:val="left" w:pos="540"/>
        </w:tabs>
        <w:kinsoku/>
        <w:wordWrap/>
        <w:overflowPunct/>
        <w:topLinePunct w:val="0"/>
        <w:autoSpaceDE/>
        <w:bidi w:val="0"/>
        <w:adjustRightInd/>
        <w:snapToGrid/>
        <w:spacing w:line="500" w:lineRule="exact"/>
        <w:ind w:firstLine="280" w:firstLineChars="1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 xml:space="preserve"> 5.1对服务范围内全部的花草树木进展病虫害防治。    </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5.2对服务范围内全部花草树木进展正常的维护和养护。</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5.3</w:t>
      </w:r>
      <w:r>
        <w:rPr>
          <w:rFonts w:hint="default" w:ascii="宋体" w:hAnsi="宋体"/>
          <w:b w:val="0"/>
          <w:bCs/>
          <w:sz w:val="28"/>
          <w:szCs w:val="28"/>
          <w:lang w:val="en-US" w:eastAsia="zh-CN"/>
        </w:rPr>
        <w:t>依据植物生长状况，每年适时追肥</w:t>
      </w:r>
      <w:r>
        <w:rPr>
          <w:rFonts w:hint="eastAsia" w:ascii="宋体" w:hAnsi="宋体"/>
          <w:b w:val="0"/>
          <w:bCs/>
          <w:sz w:val="28"/>
          <w:szCs w:val="28"/>
          <w:lang w:val="en-US" w:eastAsia="zh-CN"/>
        </w:rPr>
        <w:t>不少于</w:t>
      </w:r>
      <w:r>
        <w:rPr>
          <w:rFonts w:hint="default" w:ascii="宋体" w:hAnsi="宋体"/>
          <w:b w:val="0"/>
          <w:bCs/>
          <w:sz w:val="28"/>
          <w:szCs w:val="28"/>
          <w:lang w:val="en-US" w:eastAsia="zh-CN"/>
        </w:rPr>
        <w:t>两次，确保植物生长旺盛。</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5.4</w:t>
      </w:r>
      <w:r>
        <w:rPr>
          <w:rFonts w:hint="default" w:ascii="宋体" w:hAnsi="宋体"/>
          <w:b w:val="0"/>
          <w:bCs/>
          <w:sz w:val="28"/>
          <w:szCs w:val="28"/>
          <w:lang w:val="en-US" w:eastAsia="zh-CN"/>
        </w:rPr>
        <w:t>依据植物抗旱力量跟气候状况，适时对花草进展培土浇水，保障花草所需水分。</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5.5</w:t>
      </w:r>
      <w:r>
        <w:rPr>
          <w:rFonts w:hint="default" w:ascii="宋体" w:hAnsi="宋体"/>
          <w:b w:val="0"/>
          <w:bCs/>
          <w:sz w:val="28"/>
          <w:szCs w:val="28"/>
          <w:lang w:val="en-US" w:eastAsia="zh-CN"/>
        </w:rPr>
        <w:t>做好冬季花草树木的防冻工作，在立冬前进展培土、包干、涂白，增加花木的抗低温力量，确保其安全越冬。</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5.6努力做到因地制宜，干净美丽，布局合理，从而不断充实丰富植物层次，达到感观效果好，提高环境质量。</w:t>
      </w:r>
    </w:p>
    <w:p>
      <w:pPr>
        <w:keepNext w:val="0"/>
        <w:keepLines w:val="0"/>
        <w:pageBreakBefore w:val="0"/>
        <w:numPr>
          <w:ilvl w:val="0"/>
          <w:numId w:val="0"/>
        </w:numPr>
        <w:kinsoku/>
        <w:wordWrap/>
        <w:overflowPunct/>
        <w:topLinePunct w:val="0"/>
        <w:autoSpaceDE/>
        <w:bidi w:val="0"/>
        <w:adjustRightInd/>
        <w:snapToGrid/>
        <w:spacing w:line="500" w:lineRule="exact"/>
        <w:textAlignment w:val="auto"/>
        <w:rPr>
          <w:rFonts w:hint="eastAsia" w:ascii="宋体"/>
          <w:b/>
          <w:bCs w:val="0"/>
          <w:sz w:val="28"/>
          <w:szCs w:val="28"/>
          <w:lang w:val="en-US" w:eastAsia="zh-CN"/>
        </w:rPr>
      </w:pPr>
      <w:r>
        <w:rPr>
          <w:rFonts w:hint="eastAsia" w:ascii="宋体"/>
          <w:b/>
          <w:bCs w:val="0"/>
          <w:sz w:val="28"/>
          <w:szCs w:val="28"/>
          <w:lang w:val="en-US" w:eastAsia="zh-CN"/>
        </w:rPr>
        <w:t>6、物业管理负责人服务工作</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 xml:space="preserve">6.1负责物业服务的全面工作，根据物业管理委托合同和有关物业管理的法规、政策，组织员工向辖区提供公共秩序、保洁、绿化养护、房屋及设备设施运行维护保养等服务。 </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6.2指导处置公共突发事件的组织指挥和各种处置方法的拟制、演练。</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6.3对物业服务发生的各类安全事故和隐患要认真核实、区分责任，提出处理建议。</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6.4指导检查物业服务的清洁卫生和环境绿化、美化工作，建立和完善行之有效的清洁、绿化量化管理运作流程。</w:t>
      </w:r>
    </w:p>
    <w:p>
      <w:pPr>
        <w:keepNext w:val="0"/>
        <w:keepLines w:val="0"/>
        <w:pageBreakBefore w:val="0"/>
        <w:tabs>
          <w:tab w:val="left" w:pos="540"/>
        </w:tabs>
        <w:kinsoku/>
        <w:wordWrap/>
        <w:overflowPunct/>
        <w:topLinePunct w:val="0"/>
        <w:autoSpaceDE/>
        <w:bidi w:val="0"/>
        <w:adjustRightInd/>
        <w:snapToGrid/>
        <w:spacing w:line="500" w:lineRule="exact"/>
        <w:ind w:firstLine="560" w:firstLineChars="200"/>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6.5对员工进行培训和教育，促进服务质量的提高，每月要完整的对所管理的物业进行至少一次巡视，以便全面检查服务工作质量情况；对物业服务中心的安全责任。</w:t>
      </w:r>
    </w:p>
    <w:p>
      <w:pPr>
        <w:spacing w:line="360" w:lineRule="auto"/>
        <w:ind w:firstLine="4094" w:firstLineChars="1942"/>
        <w:rPr>
          <w:b/>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21"/>
        <w:spacing w:line="360" w:lineRule="auto"/>
        <w:ind w:firstLine="482"/>
        <w:rPr>
          <w:rFonts w:ascii="宋体" w:hAnsi="宋体"/>
          <w:b/>
          <w:sz w:val="24"/>
          <w:szCs w:val="24"/>
        </w:rPr>
      </w:pPr>
    </w:p>
    <w:p>
      <w:pPr>
        <w:jc w:val="center"/>
        <w:outlineLvl w:val="0"/>
      </w:pPr>
      <w:bookmarkStart w:id="555" w:name="_Toc3615"/>
      <w:bookmarkStart w:id="556" w:name="_Toc72694691"/>
      <w:bookmarkStart w:id="557" w:name="_Toc15058_WPSOffice_Level1"/>
      <w:bookmarkStart w:id="558" w:name="_Toc72695363"/>
      <w:bookmarkStart w:id="559" w:name="_Toc11677"/>
      <w:bookmarkStart w:id="560" w:name="_Toc13661"/>
      <w:r>
        <w:rPr>
          <w:rFonts w:hint="eastAsia"/>
          <w:b/>
          <w:sz w:val="32"/>
          <w:szCs w:val="32"/>
        </w:rPr>
        <w:t>第</w:t>
      </w:r>
      <w:r>
        <w:rPr>
          <w:rFonts w:hint="eastAsia"/>
          <w:b/>
          <w:sz w:val="32"/>
          <w:szCs w:val="32"/>
          <w:lang w:val="en-US" w:eastAsia="zh-CN"/>
        </w:rPr>
        <w:t>六</w:t>
      </w:r>
      <w:r>
        <w:rPr>
          <w:rFonts w:hint="eastAsia"/>
          <w:b/>
          <w:sz w:val="32"/>
          <w:szCs w:val="32"/>
        </w:rPr>
        <w:t xml:space="preserve">章  </w:t>
      </w:r>
      <w:bookmarkEnd w:id="555"/>
      <w:bookmarkEnd w:id="556"/>
      <w:bookmarkEnd w:id="557"/>
      <w:bookmarkEnd w:id="558"/>
      <w:bookmarkEnd w:id="559"/>
      <w:r>
        <w:rPr>
          <w:rFonts w:hint="eastAsia"/>
          <w:b/>
          <w:sz w:val="32"/>
          <w:szCs w:val="32"/>
        </w:rPr>
        <w:t>磋商响应文件格式</w:t>
      </w:r>
      <w:bookmarkEnd w:id="560"/>
    </w:p>
    <w:p>
      <w:pPr>
        <w:pStyle w:val="13"/>
        <w:spacing w:beforeLines="100" w:afterLines="100" w:line="360" w:lineRule="auto"/>
        <w:ind w:firstLine="7280" w:firstLineChars="2600"/>
        <w:jc w:val="left"/>
        <w:rPr>
          <w:rFonts w:hAnsi="宋体"/>
          <w:bCs/>
          <w:sz w:val="28"/>
          <w:szCs w:val="28"/>
        </w:rPr>
      </w:pPr>
    </w:p>
    <w:p>
      <w:pPr>
        <w:pStyle w:val="13"/>
        <w:spacing w:beforeLines="100" w:afterLines="100" w:line="360" w:lineRule="auto"/>
        <w:jc w:val="center"/>
        <w:rPr>
          <w:rFonts w:hAnsi="宋体"/>
          <w:b/>
          <w:sz w:val="44"/>
          <w:szCs w:val="44"/>
        </w:rPr>
      </w:pPr>
      <w:bookmarkStart w:id="561" w:name="_Toc7266_WPSOffice_Level1"/>
      <w:bookmarkStart w:id="562" w:name="_Toc31859_WPSOffice_Level1"/>
      <w:bookmarkStart w:id="563" w:name="_Toc2821_WPSOffice_Level1"/>
      <w:r>
        <w:rPr>
          <w:rFonts w:hint="eastAsia" w:hAnsi="宋体"/>
          <w:b/>
          <w:sz w:val="44"/>
          <w:szCs w:val="44"/>
          <w:u w:val="single"/>
        </w:rPr>
        <w:t xml:space="preserve">    </w:t>
      </w:r>
      <w:r>
        <w:rPr>
          <w:rFonts w:hint="eastAsia" w:hAnsi="宋体"/>
          <w:b/>
          <w:sz w:val="44"/>
          <w:szCs w:val="44"/>
        </w:rPr>
        <w:t>项目竞争性磋商</w:t>
      </w:r>
      <w:bookmarkEnd w:id="561"/>
      <w:bookmarkEnd w:id="562"/>
      <w:bookmarkEnd w:id="563"/>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84"/>
          <w:szCs w:val="84"/>
        </w:rPr>
      </w:pPr>
      <w:bookmarkStart w:id="564" w:name="_Toc9678_WPSOffice_Level1"/>
      <w:bookmarkStart w:id="565" w:name="_Toc22398_WPSOffice_Level1"/>
      <w:bookmarkStart w:id="566" w:name="_Toc22990_WPSOffice_Level1"/>
      <w:r>
        <w:rPr>
          <w:rFonts w:hint="eastAsia" w:hAnsi="宋体"/>
          <w:b/>
          <w:bCs/>
          <w:sz w:val="84"/>
          <w:szCs w:val="84"/>
        </w:rPr>
        <w:t>响应文件</w:t>
      </w:r>
      <w:bookmarkEnd w:id="564"/>
      <w:bookmarkEnd w:id="565"/>
      <w:bookmarkEnd w:id="566"/>
    </w:p>
    <w:p>
      <w:pPr>
        <w:pStyle w:val="13"/>
        <w:spacing w:beforeLines="100" w:afterLines="100" w:line="360" w:lineRule="auto"/>
        <w:jc w:val="center"/>
        <w:rPr>
          <w:rFonts w:hAnsi="宋体"/>
          <w:b/>
          <w:bCs/>
          <w:sz w:val="30"/>
          <w:szCs w:val="30"/>
        </w:rPr>
      </w:pPr>
      <w:bookmarkStart w:id="567" w:name="_Toc29975_WPSOffice_Level1"/>
      <w:bookmarkStart w:id="568" w:name="_Toc26010_WPSOffice_Level1"/>
      <w:bookmarkStart w:id="569" w:name="_Toc26187_WPSOffice_Level1"/>
      <w:r>
        <w:rPr>
          <w:rFonts w:hint="eastAsia" w:hAnsi="宋体"/>
          <w:b/>
          <w:bCs/>
          <w:sz w:val="30"/>
          <w:szCs w:val="30"/>
        </w:rPr>
        <w:t>采购编号：</w:t>
      </w:r>
      <w:bookmarkEnd w:id="567"/>
      <w:bookmarkEnd w:id="568"/>
      <w:bookmarkEnd w:id="569"/>
    </w:p>
    <w:p>
      <w:pPr>
        <w:pStyle w:val="13"/>
        <w:spacing w:beforeLines="100" w:afterLines="100" w:line="360" w:lineRule="auto"/>
        <w:jc w:val="center"/>
        <w:rPr>
          <w:rFonts w:hAnsi="宋体"/>
          <w:bCs/>
          <w:sz w:val="32"/>
        </w:rPr>
      </w:pPr>
      <w:bookmarkStart w:id="570" w:name="_Toc25149_WPSOffice_Level1"/>
      <w:bookmarkStart w:id="571" w:name="_Toc31498_WPSOffice_Level1"/>
      <w:bookmarkStart w:id="572" w:name="_Toc21750_WPSOffice_Level1"/>
      <w:r>
        <w:rPr>
          <w:rFonts w:hint="eastAsia" w:hAnsi="宋体"/>
          <w:bCs/>
          <w:sz w:val="32"/>
        </w:rPr>
        <w:t>（封面）</w:t>
      </w:r>
      <w:bookmarkEnd w:id="570"/>
      <w:bookmarkEnd w:id="571"/>
      <w:bookmarkEnd w:id="572"/>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bookmarkStart w:id="573" w:name="_Toc7166_WPSOffice_Level1"/>
      <w:bookmarkStart w:id="574" w:name="_Toc25974_WPSOffice_Level1"/>
      <w:bookmarkStart w:id="575" w:name="_Toc25325_WPSOffice_Level1"/>
      <w:r>
        <w:rPr>
          <w:rFonts w:hint="eastAsia" w:hAnsi="宋体"/>
          <w:b/>
          <w:bCs/>
          <w:sz w:val="32"/>
        </w:rPr>
        <w:t>供  应  商：（电子签章）</w:t>
      </w:r>
      <w:bookmarkEnd w:id="573"/>
      <w:bookmarkEnd w:id="574"/>
      <w:bookmarkEnd w:id="575"/>
    </w:p>
    <w:p>
      <w:pPr>
        <w:pStyle w:val="13"/>
        <w:spacing w:beforeLines="100" w:afterLines="100" w:line="360" w:lineRule="auto"/>
        <w:ind w:firstLine="596" w:firstLineChars="198"/>
        <w:rPr>
          <w:rFonts w:hAnsi="宋体"/>
          <w:b/>
          <w:bCs/>
          <w:sz w:val="30"/>
          <w:szCs w:val="30"/>
        </w:rPr>
      </w:pPr>
      <w:bookmarkStart w:id="576" w:name="_Toc31393_WPSOffice_Level1"/>
      <w:bookmarkStart w:id="577" w:name="_Toc29840_WPSOffice_Level1"/>
      <w:bookmarkStart w:id="578" w:name="_Toc21858_WPSOffice_Level1"/>
      <w:r>
        <w:rPr>
          <w:rFonts w:hint="eastAsia" w:hAnsi="宋体"/>
          <w:b/>
          <w:bCs/>
          <w:sz w:val="30"/>
          <w:szCs w:val="30"/>
        </w:rPr>
        <w:t>法定代表人或其委托代理人：（电子签名）</w:t>
      </w:r>
      <w:bookmarkEnd w:id="576"/>
      <w:bookmarkEnd w:id="577"/>
      <w:bookmarkEnd w:id="578"/>
    </w:p>
    <w:p>
      <w:pPr>
        <w:pStyle w:val="11"/>
        <w:spacing w:line="360" w:lineRule="auto"/>
        <w:ind w:left="0" w:leftChars="0" w:firstLine="2129" w:firstLineChars="707"/>
        <w:rPr>
          <w:rFonts w:ascii="宋体" w:hAnsi="宋体"/>
          <w:b/>
          <w:bCs/>
          <w:sz w:val="30"/>
          <w:szCs w:val="30"/>
        </w:rPr>
      </w:pPr>
      <w:bookmarkStart w:id="579" w:name="_Toc11679_WPSOffice_Level1"/>
      <w:bookmarkStart w:id="580" w:name="_Toc15496_WPSOffice_Level1"/>
      <w:bookmarkStart w:id="581" w:name="_Toc32012_WPSOffice_Level1"/>
      <w:r>
        <w:rPr>
          <w:rFonts w:hint="eastAsia" w:ascii="宋体" w:hAnsi="宋体"/>
          <w:b/>
          <w:bCs/>
          <w:sz w:val="30"/>
          <w:szCs w:val="30"/>
        </w:rPr>
        <w:t>日      期：       年    月    日</w:t>
      </w:r>
      <w:bookmarkEnd w:id="579"/>
      <w:bookmarkEnd w:id="580"/>
      <w:bookmarkEnd w:id="581"/>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left="0" w:leftChars="0" w:firstLine="0" w:firstLineChars="0"/>
        <w:rPr>
          <w:rFonts w:ascii="宋体" w:hAnsi="宋体"/>
          <w:b/>
          <w:sz w:val="24"/>
          <w:szCs w:val="24"/>
        </w:rPr>
      </w:pPr>
    </w:p>
    <w:p>
      <w:pPr>
        <w:keepNext w:val="0"/>
        <w:keepLines w:val="0"/>
        <w:pageBreakBefore w:val="0"/>
        <w:widowControl w:val="0"/>
        <w:kinsoku/>
        <w:overflowPunct/>
        <w:bidi w:val="0"/>
        <w:snapToGrid/>
        <w:spacing w:line="660" w:lineRule="exact"/>
        <w:jc w:val="center"/>
        <w:textAlignment w:val="auto"/>
        <w:rPr>
          <w:b/>
          <w:color w:val="auto"/>
          <w:sz w:val="28"/>
          <w:szCs w:val="28"/>
        </w:rPr>
      </w:pPr>
      <w:bookmarkStart w:id="582" w:name="_Toc502_WPSOffice_Level1"/>
      <w:bookmarkStart w:id="583" w:name="_Toc20683_WPSOffice_Level1"/>
      <w:bookmarkStart w:id="584" w:name="_Toc11715_WPSOffice_Level1"/>
      <w:r>
        <w:rPr>
          <w:rFonts w:hint="eastAsia"/>
          <w:b/>
          <w:color w:val="auto"/>
          <w:sz w:val="28"/>
          <w:szCs w:val="28"/>
        </w:rPr>
        <w:t>响应文件目录</w:t>
      </w:r>
      <w:bookmarkEnd w:id="582"/>
      <w:bookmarkEnd w:id="583"/>
      <w:bookmarkEnd w:id="584"/>
    </w:p>
    <w:p>
      <w:pPr>
        <w:keepNext w:val="0"/>
        <w:keepLines w:val="0"/>
        <w:pageBreakBefore w:val="0"/>
        <w:widowControl w:val="0"/>
        <w:kinsoku/>
        <w:wordWrap/>
        <w:overflowPunct/>
        <w:topLinePunct w:val="0"/>
        <w:autoSpaceDE w:val="0"/>
        <w:autoSpaceDN w:val="0"/>
        <w:bidi w:val="0"/>
        <w:adjustRightInd w:val="0"/>
        <w:snapToGrid/>
        <w:spacing w:line="660" w:lineRule="exact"/>
        <w:ind w:right="40" w:firstLine="420" w:firstLineChars="200"/>
        <w:jc w:val="left"/>
        <w:textAlignment w:val="auto"/>
        <w:rPr>
          <w:rFonts w:cs="微软雅黑"/>
          <w:kern w:val="0"/>
        </w:rPr>
      </w:pPr>
      <w:bookmarkStart w:id="585" w:name="_Toc2989_WPSOffice_Level1"/>
      <w:bookmarkStart w:id="586" w:name="_Toc11154_WPSOffice_Level1"/>
      <w:bookmarkStart w:id="587" w:name="_Toc22859_WPSOffice_Level1"/>
      <w:r>
        <w:rPr>
          <w:rFonts w:hint="eastAsia"/>
        </w:rPr>
        <w:t>一、</w:t>
      </w:r>
      <w:r>
        <w:rPr>
          <w:rFonts w:hint="eastAsia" w:cs="微软雅黑"/>
          <w:kern w:val="0"/>
        </w:rPr>
        <w:t>报价函及报价函附录</w:t>
      </w:r>
      <w:bookmarkEnd w:id="585"/>
      <w:bookmarkEnd w:id="586"/>
      <w:bookmarkEnd w:id="587"/>
    </w:p>
    <w:p>
      <w:pPr>
        <w:keepNext w:val="0"/>
        <w:keepLines w:val="0"/>
        <w:pageBreakBefore w:val="0"/>
        <w:widowControl w:val="0"/>
        <w:kinsoku/>
        <w:wordWrap/>
        <w:overflowPunct/>
        <w:topLinePunct w:val="0"/>
        <w:bidi w:val="0"/>
        <w:snapToGrid/>
        <w:spacing w:line="660" w:lineRule="exact"/>
        <w:ind w:firstLine="420" w:firstLineChars="200"/>
        <w:textAlignment w:val="auto"/>
        <w:rPr>
          <w:kern w:val="0"/>
        </w:rPr>
      </w:pPr>
      <w:bookmarkStart w:id="588" w:name="_Toc13949_WPSOffice_Level1"/>
      <w:bookmarkStart w:id="589" w:name="_Toc7550_WPSOffice_Level1"/>
      <w:bookmarkStart w:id="590" w:name="_Toc6626_WPSOffice_Level1"/>
      <w:r>
        <w:rPr>
          <w:rFonts w:hint="eastAsia"/>
        </w:rPr>
        <w:t>二、法定代表人身份证明</w:t>
      </w:r>
      <w:r>
        <w:rPr>
          <w:rFonts w:hint="eastAsia"/>
          <w:kern w:val="0"/>
        </w:rPr>
        <w:t>或授权委托书</w:t>
      </w:r>
      <w:bookmarkEnd w:id="588"/>
      <w:bookmarkEnd w:id="589"/>
      <w:bookmarkEnd w:id="590"/>
    </w:p>
    <w:p>
      <w:pPr>
        <w:keepNext w:val="0"/>
        <w:keepLines w:val="0"/>
        <w:pageBreakBefore w:val="0"/>
        <w:widowControl w:val="0"/>
        <w:kinsoku/>
        <w:wordWrap/>
        <w:overflowPunct/>
        <w:topLinePunct w:val="0"/>
        <w:bidi w:val="0"/>
        <w:snapToGrid/>
        <w:spacing w:line="660" w:lineRule="exact"/>
        <w:ind w:firstLine="420" w:firstLineChars="200"/>
        <w:textAlignment w:val="auto"/>
      </w:pPr>
      <w:bookmarkStart w:id="591" w:name="_Toc31278_WPSOffice_Level1"/>
      <w:bookmarkStart w:id="592" w:name="_Toc19690_WPSOffice_Level1"/>
      <w:bookmarkStart w:id="593" w:name="_Toc32584_WPSOffice_Level1"/>
      <w:r>
        <w:rPr>
          <w:rFonts w:hint="eastAsia"/>
        </w:rPr>
        <w:t>三、响应人资格审查资料</w:t>
      </w:r>
      <w:bookmarkEnd w:id="591"/>
      <w:bookmarkEnd w:id="592"/>
      <w:bookmarkEnd w:id="593"/>
    </w:p>
    <w:p>
      <w:pPr>
        <w:keepNext w:val="0"/>
        <w:keepLines w:val="0"/>
        <w:pageBreakBefore w:val="0"/>
        <w:widowControl w:val="0"/>
        <w:kinsoku/>
        <w:wordWrap/>
        <w:overflowPunct/>
        <w:topLinePunct w:val="0"/>
        <w:bidi w:val="0"/>
        <w:snapToGrid/>
        <w:spacing w:line="660" w:lineRule="exact"/>
        <w:ind w:firstLine="420" w:firstLineChars="200"/>
        <w:textAlignment w:val="auto"/>
        <w:rPr>
          <w:rFonts w:hint="default" w:eastAsia="宋体"/>
          <w:lang w:val="en-US" w:eastAsia="zh-CN"/>
        </w:rPr>
      </w:pPr>
      <w:bookmarkStart w:id="594" w:name="_Toc19781_WPSOffice_Level1"/>
      <w:bookmarkStart w:id="595" w:name="_Toc16168_WPSOffice_Level1"/>
      <w:bookmarkStart w:id="596" w:name="_Toc4041_WPSOffice_Level1"/>
      <w:r>
        <w:rPr>
          <w:rFonts w:hint="eastAsia"/>
        </w:rPr>
        <w:t>四、</w:t>
      </w:r>
      <w:bookmarkEnd w:id="594"/>
      <w:bookmarkEnd w:id="595"/>
      <w:bookmarkEnd w:id="596"/>
      <w:r>
        <w:rPr>
          <w:rFonts w:hint="eastAsia"/>
          <w:lang w:val="en-US" w:eastAsia="zh-CN"/>
        </w:rPr>
        <w:t>投标报价明细表</w:t>
      </w:r>
    </w:p>
    <w:p>
      <w:pPr>
        <w:keepNext w:val="0"/>
        <w:keepLines w:val="0"/>
        <w:pageBreakBefore w:val="0"/>
        <w:widowControl w:val="0"/>
        <w:kinsoku/>
        <w:wordWrap/>
        <w:overflowPunct/>
        <w:topLinePunct w:val="0"/>
        <w:autoSpaceDE w:val="0"/>
        <w:autoSpaceDN w:val="0"/>
        <w:bidi w:val="0"/>
        <w:adjustRightInd w:val="0"/>
        <w:snapToGrid/>
        <w:spacing w:line="660" w:lineRule="exact"/>
        <w:ind w:right="40" w:firstLine="420" w:firstLineChars="200"/>
        <w:jc w:val="left"/>
        <w:textAlignment w:val="auto"/>
        <w:rPr>
          <w:rFonts w:hint="default" w:eastAsia="宋体" w:cs="微软雅黑"/>
          <w:kern w:val="0"/>
          <w:lang w:val="en-US" w:eastAsia="zh-CN"/>
        </w:rPr>
      </w:pPr>
      <w:bookmarkStart w:id="597" w:name="_Toc10657_WPSOffice_Level1"/>
      <w:bookmarkStart w:id="598" w:name="_Toc31174_WPSOffice_Level1"/>
      <w:bookmarkStart w:id="599" w:name="_Toc9873_WPSOffice_Level1"/>
      <w:r>
        <w:rPr>
          <w:rFonts w:hint="eastAsia"/>
          <w:lang w:val="en-US" w:eastAsia="zh-CN"/>
        </w:rPr>
        <w:t>五</w:t>
      </w:r>
      <w:r>
        <w:rPr>
          <w:rFonts w:hint="eastAsia"/>
        </w:rPr>
        <w:t>、</w:t>
      </w:r>
      <w:bookmarkEnd w:id="597"/>
      <w:bookmarkEnd w:id="598"/>
      <w:bookmarkEnd w:id="599"/>
      <w:r>
        <w:rPr>
          <w:rFonts w:hint="eastAsia" w:cs="微软雅黑"/>
          <w:kern w:val="0"/>
          <w:lang w:val="en-US" w:eastAsia="zh-CN"/>
        </w:rPr>
        <w:t>信用承诺书</w:t>
      </w:r>
    </w:p>
    <w:p>
      <w:pPr>
        <w:keepNext w:val="0"/>
        <w:keepLines w:val="0"/>
        <w:pageBreakBefore w:val="0"/>
        <w:widowControl w:val="0"/>
        <w:kinsoku/>
        <w:wordWrap/>
        <w:overflowPunct/>
        <w:topLinePunct w:val="0"/>
        <w:autoSpaceDE w:val="0"/>
        <w:autoSpaceDN w:val="0"/>
        <w:bidi w:val="0"/>
        <w:adjustRightInd w:val="0"/>
        <w:snapToGrid/>
        <w:spacing w:line="660" w:lineRule="exact"/>
        <w:ind w:right="40" w:firstLine="420" w:firstLineChars="200"/>
        <w:jc w:val="left"/>
        <w:textAlignment w:val="auto"/>
        <w:rPr>
          <w:rFonts w:cs="微软雅黑"/>
          <w:kern w:val="0"/>
        </w:rPr>
      </w:pPr>
      <w:bookmarkStart w:id="600" w:name="_Toc18831_WPSOffice_Level1"/>
      <w:bookmarkStart w:id="601" w:name="_Toc16358_WPSOffice_Level1"/>
      <w:bookmarkStart w:id="602" w:name="_Toc31900_WPSOffice_Level1"/>
      <w:r>
        <w:rPr>
          <w:rFonts w:hint="eastAsia" w:cs="微软雅黑"/>
          <w:kern w:val="0"/>
          <w:lang w:val="en-US" w:eastAsia="zh-CN"/>
        </w:rPr>
        <w:t>六</w:t>
      </w:r>
      <w:r>
        <w:rPr>
          <w:rFonts w:hint="eastAsia" w:cs="微软雅黑"/>
          <w:kern w:val="0"/>
        </w:rPr>
        <w:t>、反商业贿赂承诺书</w:t>
      </w:r>
      <w:bookmarkEnd w:id="600"/>
      <w:bookmarkEnd w:id="601"/>
      <w:bookmarkEnd w:id="602"/>
    </w:p>
    <w:p>
      <w:pPr>
        <w:keepNext w:val="0"/>
        <w:keepLines w:val="0"/>
        <w:pageBreakBefore w:val="0"/>
        <w:widowControl w:val="0"/>
        <w:kinsoku/>
        <w:wordWrap/>
        <w:overflowPunct/>
        <w:topLinePunct w:val="0"/>
        <w:autoSpaceDE w:val="0"/>
        <w:autoSpaceDN w:val="0"/>
        <w:bidi w:val="0"/>
        <w:adjustRightInd w:val="0"/>
        <w:snapToGrid/>
        <w:spacing w:line="660" w:lineRule="exact"/>
        <w:ind w:right="40" w:firstLine="420" w:firstLineChars="200"/>
        <w:jc w:val="left"/>
        <w:textAlignment w:val="auto"/>
        <w:rPr>
          <w:rFonts w:cs="微软雅黑"/>
          <w:kern w:val="0"/>
        </w:rPr>
      </w:pPr>
      <w:bookmarkStart w:id="603" w:name="_Toc25410_WPSOffice_Level1"/>
      <w:bookmarkStart w:id="604" w:name="_Toc25044_WPSOffice_Level1"/>
      <w:bookmarkStart w:id="605" w:name="_Toc527_WPSOffice_Level1"/>
      <w:r>
        <w:rPr>
          <w:rFonts w:hint="eastAsia" w:cs="微软雅黑"/>
          <w:kern w:val="0"/>
          <w:lang w:val="en-US" w:eastAsia="zh-CN"/>
        </w:rPr>
        <w:t>七</w:t>
      </w:r>
      <w:r>
        <w:rPr>
          <w:rFonts w:hint="eastAsia" w:cs="微软雅黑"/>
          <w:kern w:val="0"/>
        </w:rPr>
        <w:t>、中小企业声明函</w:t>
      </w:r>
      <w:bookmarkEnd w:id="603"/>
      <w:bookmarkEnd w:id="604"/>
      <w:bookmarkEnd w:id="605"/>
    </w:p>
    <w:p>
      <w:pPr>
        <w:keepNext w:val="0"/>
        <w:keepLines w:val="0"/>
        <w:pageBreakBefore w:val="0"/>
        <w:widowControl w:val="0"/>
        <w:kinsoku/>
        <w:wordWrap/>
        <w:overflowPunct/>
        <w:topLinePunct w:val="0"/>
        <w:autoSpaceDE w:val="0"/>
        <w:autoSpaceDN w:val="0"/>
        <w:bidi w:val="0"/>
        <w:adjustRightInd w:val="0"/>
        <w:snapToGrid/>
        <w:spacing w:line="660" w:lineRule="exact"/>
        <w:ind w:right="40" w:firstLine="420" w:firstLineChars="200"/>
        <w:jc w:val="left"/>
        <w:textAlignment w:val="auto"/>
        <w:rPr>
          <w:rFonts w:cs="微软雅黑"/>
          <w:kern w:val="0"/>
        </w:rPr>
      </w:pPr>
      <w:bookmarkStart w:id="606" w:name="_Toc21910_WPSOffice_Level1"/>
      <w:bookmarkStart w:id="607" w:name="_Toc29336_WPSOffice_Level1"/>
      <w:bookmarkStart w:id="608" w:name="_Toc14706_WPSOffice_Level1"/>
      <w:r>
        <w:rPr>
          <w:rFonts w:hint="eastAsia" w:cs="微软雅黑"/>
          <w:kern w:val="0"/>
          <w:lang w:val="en-US" w:eastAsia="zh-CN"/>
        </w:rPr>
        <w:t>八</w:t>
      </w:r>
      <w:r>
        <w:rPr>
          <w:rFonts w:hint="eastAsia" w:cs="微软雅黑"/>
          <w:kern w:val="0"/>
        </w:rPr>
        <w:t>、残疾人福利性单位声明函</w:t>
      </w:r>
      <w:bookmarkEnd w:id="606"/>
      <w:bookmarkEnd w:id="607"/>
      <w:bookmarkEnd w:id="608"/>
    </w:p>
    <w:p>
      <w:pPr>
        <w:keepNext w:val="0"/>
        <w:keepLines w:val="0"/>
        <w:pageBreakBefore w:val="0"/>
        <w:widowControl w:val="0"/>
        <w:kinsoku/>
        <w:wordWrap/>
        <w:overflowPunct/>
        <w:topLinePunct w:val="0"/>
        <w:autoSpaceDE w:val="0"/>
        <w:autoSpaceDN w:val="0"/>
        <w:bidi w:val="0"/>
        <w:adjustRightInd w:val="0"/>
        <w:snapToGrid/>
        <w:spacing w:line="660" w:lineRule="exact"/>
        <w:ind w:right="40" w:firstLine="420" w:firstLineChars="200"/>
        <w:jc w:val="left"/>
        <w:textAlignment w:val="auto"/>
        <w:rPr>
          <w:rFonts w:cs="微软雅黑"/>
          <w:kern w:val="0"/>
        </w:rPr>
      </w:pPr>
      <w:bookmarkStart w:id="609" w:name="_Toc10752_WPSOffice_Level1"/>
      <w:bookmarkStart w:id="610" w:name="_Toc27164_WPSOffice_Level1"/>
      <w:bookmarkStart w:id="611" w:name="_Toc27516_WPSOffice_Level1"/>
      <w:r>
        <w:rPr>
          <w:rFonts w:hint="eastAsia" w:cs="微软雅黑"/>
          <w:kern w:val="0"/>
          <w:lang w:val="en-US" w:eastAsia="zh-CN"/>
        </w:rPr>
        <w:t>九</w:t>
      </w:r>
      <w:r>
        <w:rPr>
          <w:rFonts w:hint="eastAsia" w:cs="微软雅黑"/>
          <w:kern w:val="0"/>
        </w:rPr>
        <w:t>、其他资料</w:t>
      </w:r>
      <w:bookmarkEnd w:id="609"/>
      <w:bookmarkEnd w:id="610"/>
      <w:bookmarkEnd w:id="611"/>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0"/>
      </w:pP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3"/>
        <w:numPr>
          <w:ilvl w:val="0"/>
          <w:numId w:val="24"/>
        </w:numPr>
        <w:tabs>
          <w:tab w:val="left" w:pos="425"/>
        </w:tabs>
        <w:rPr>
          <w:szCs w:val="24"/>
        </w:rPr>
      </w:pPr>
      <w:bookmarkStart w:id="612" w:name="_Toc29365"/>
      <w:bookmarkStart w:id="613" w:name="_Toc32417_WPSOffice_Level1"/>
      <w:bookmarkStart w:id="614" w:name="_Toc11653_WPSOffice_Level1"/>
      <w:bookmarkStart w:id="615" w:name="_Toc7590_WPSOffice_Level1"/>
      <w:r>
        <w:rPr>
          <w:rFonts w:hint="eastAsia"/>
          <w:szCs w:val="24"/>
          <w:lang w:val="zh-CN"/>
        </w:rPr>
        <w:t>报价函及报价函附录</w:t>
      </w:r>
      <w:bookmarkEnd w:id="612"/>
      <w:bookmarkEnd w:id="613"/>
      <w:bookmarkEnd w:id="614"/>
      <w:bookmarkEnd w:id="615"/>
    </w:p>
    <w:p>
      <w:pPr>
        <w:pStyle w:val="4"/>
        <w:numPr>
          <w:ilvl w:val="0"/>
          <w:numId w:val="25"/>
        </w:numPr>
        <w:jc w:val="center"/>
        <w:rPr>
          <w:sz w:val="28"/>
          <w:szCs w:val="28"/>
        </w:rPr>
      </w:pPr>
      <w:r>
        <w:rPr>
          <w:rFonts w:hint="eastAsia"/>
          <w:sz w:val="28"/>
          <w:szCs w:val="28"/>
          <w:lang w:val="zh-CN"/>
        </w:rPr>
        <w:t>报价函</w:t>
      </w:r>
    </w:p>
    <w:p>
      <w:pPr>
        <w:keepNext w:val="0"/>
        <w:keepLines w:val="0"/>
        <w:widowControl/>
        <w:suppressLineNumbers w:val="0"/>
        <w:jc w:val="left"/>
      </w:pPr>
      <w:r>
        <w:rPr>
          <w:rFonts w:hint="eastAsia"/>
          <w:lang w:val="en-US" w:eastAsia="zh-CN"/>
        </w:rPr>
        <w:t>致：</w:t>
      </w:r>
      <w:r>
        <w:rPr>
          <w:rFonts w:hint="eastAsia"/>
          <w:u w:val="single"/>
          <w:lang w:val="en-US" w:eastAsia="zh-CN"/>
        </w:rPr>
        <w:t xml:space="preserve">             </w:t>
      </w:r>
      <w:r>
        <w:rPr>
          <w:rFonts w:hint="eastAsia"/>
          <w:lang w:val="en-US" w:eastAsia="zh-CN"/>
        </w:rPr>
        <w:t xml:space="preserve">（采购人名称） </w:t>
      </w:r>
    </w:p>
    <w:p>
      <w:pPr>
        <w:keepNext w:val="0"/>
        <w:keepLines w:val="0"/>
        <w:widowControl/>
        <w:suppressLineNumbers w:val="0"/>
        <w:jc w:val="left"/>
      </w:pPr>
      <w:r>
        <w:rPr>
          <w:rFonts w:hint="eastAsia"/>
          <w:lang w:val="en-US" w:eastAsia="zh-CN"/>
        </w:rPr>
        <w:t>我们收到了采购编号为</w:t>
      </w:r>
      <w:r>
        <w:rPr>
          <w:rFonts w:hint="eastAsia"/>
          <w:u w:val="single"/>
          <w:lang w:val="en-US" w:eastAsia="zh-CN"/>
        </w:rPr>
        <w:t xml:space="preserve">           </w:t>
      </w:r>
      <w:r>
        <w:rPr>
          <w:rFonts w:hint="eastAsia"/>
          <w:lang w:val="en-US" w:eastAsia="zh-CN"/>
        </w:rPr>
        <w:t>的</w:t>
      </w:r>
      <w:r>
        <w:rPr>
          <w:rFonts w:hint="eastAsia"/>
          <w:u w:val="single"/>
          <w:lang w:val="en-US" w:eastAsia="zh-CN"/>
        </w:rPr>
        <w:t xml:space="preserve">           </w:t>
      </w:r>
      <w:r>
        <w:rPr>
          <w:rFonts w:hint="eastAsia"/>
          <w:lang w:val="en-US" w:eastAsia="zh-CN"/>
        </w:rPr>
        <w:t xml:space="preserve">（项目名称）采购文件， 经详细研究，我们决定参加该项目的投标活动并按要求提交投标文件。我们郑重声明以下诸点并负法律责任： </w:t>
      </w:r>
    </w:p>
    <w:p>
      <w:pPr>
        <w:keepNext w:val="0"/>
        <w:keepLines w:val="0"/>
        <w:widowControl/>
        <w:suppressLineNumbers w:val="0"/>
        <w:jc w:val="left"/>
      </w:pPr>
      <w:r>
        <w:rPr>
          <w:rFonts w:hint="eastAsia"/>
          <w:lang w:val="en-US" w:eastAsia="zh-CN"/>
        </w:rPr>
        <w:t>(1)愿按照采购文件中规定的条款和要求，提供完成采购文件规定的全部工作，投标总报价为（大写）</w:t>
      </w:r>
      <w:r>
        <w:rPr>
          <w:rFonts w:hint="eastAsia"/>
          <w:u w:val="single"/>
          <w:lang w:val="en-US" w:eastAsia="zh-CN"/>
        </w:rPr>
        <w:t xml:space="preserve">           </w:t>
      </w:r>
      <w:r>
        <w:rPr>
          <w:rFonts w:hint="eastAsia"/>
          <w:lang w:val="en-US" w:eastAsia="zh-CN"/>
        </w:rPr>
        <w:t>元（小写</w:t>
      </w:r>
      <w:r>
        <w:rPr>
          <w:rFonts w:hint="eastAsia"/>
          <w:u w:val="single"/>
          <w:lang w:val="en-US" w:eastAsia="zh-CN"/>
        </w:rPr>
        <w:t xml:space="preserve">           </w:t>
      </w:r>
      <w:r>
        <w:rPr>
          <w:rFonts w:hint="eastAsia"/>
          <w:lang w:val="en-US" w:eastAsia="zh-CN"/>
        </w:rPr>
        <w:t>元），服务期限为</w:t>
      </w:r>
      <w:r>
        <w:rPr>
          <w:rFonts w:hint="eastAsia"/>
          <w:u w:val="single"/>
          <w:lang w:val="en-US" w:eastAsia="zh-CN"/>
        </w:rPr>
        <w:t xml:space="preserve">           </w:t>
      </w:r>
      <w:r>
        <w:rPr>
          <w:rFonts w:hint="eastAsia"/>
          <w:u w:val="none"/>
          <w:lang w:val="en-US" w:eastAsia="zh-CN"/>
        </w:rPr>
        <w:t>服务质量为</w:t>
      </w:r>
      <w:r>
        <w:rPr>
          <w:rFonts w:hint="eastAsia"/>
          <w:u w:val="single"/>
          <w:lang w:val="en-US" w:eastAsia="zh-CN"/>
        </w:rPr>
        <w:t xml:space="preserve">           </w:t>
      </w:r>
      <w:r>
        <w:rPr>
          <w:rFonts w:hint="eastAsia"/>
          <w:lang w:val="en-US" w:eastAsia="zh-CN"/>
        </w:rPr>
        <w:t xml:space="preserve"> 。 </w:t>
      </w:r>
    </w:p>
    <w:p>
      <w:pPr>
        <w:keepNext w:val="0"/>
        <w:keepLines w:val="0"/>
        <w:widowControl/>
        <w:suppressLineNumbers w:val="0"/>
        <w:jc w:val="left"/>
      </w:pPr>
      <w:r>
        <w:rPr>
          <w:rFonts w:hint="eastAsia"/>
          <w:lang w:val="en-US" w:eastAsia="zh-CN"/>
        </w:rPr>
        <w:t xml:space="preserve">(2) 如果我们的响应文件被接受，我们将履行采购文件中规定的各项要求。 </w:t>
      </w:r>
    </w:p>
    <w:p>
      <w:pPr>
        <w:keepNext w:val="0"/>
        <w:keepLines w:val="0"/>
        <w:widowControl/>
        <w:suppressLineNumbers w:val="0"/>
        <w:jc w:val="left"/>
      </w:pPr>
      <w:r>
        <w:rPr>
          <w:rFonts w:hint="eastAsia"/>
          <w:lang w:val="en-US" w:eastAsia="zh-CN"/>
        </w:rPr>
        <w:t xml:space="preserve">(3) 我们同意本采购文件中有关投标有效期的规定。如果中标，有效期延长至合同终止日止。 </w:t>
      </w:r>
    </w:p>
    <w:p>
      <w:pPr>
        <w:keepNext w:val="0"/>
        <w:keepLines w:val="0"/>
        <w:widowControl/>
        <w:suppressLineNumbers w:val="0"/>
        <w:jc w:val="left"/>
      </w:pPr>
      <w:r>
        <w:rPr>
          <w:rFonts w:hint="eastAsia"/>
          <w:lang w:val="en-US" w:eastAsia="zh-CN"/>
        </w:rPr>
        <w:t xml:space="preserve">(4) 我们愿提供采购文件中要求的所有文件资料。 </w:t>
      </w:r>
    </w:p>
    <w:p>
      <w:pPr>
        <w:keepNext w:val="0"/>
        <w:keepLines w:val="0"/>
        <w:widowControl/>
        <w:suppressLineNumbers w:val="0"/>
        <w:jc w:val="left"/>
      </w:pPr>
      <w:r>
        <w:rPr>
          <w:rFonts w:hint="eastAsia"/>
          <w:lang w:val="en-US" w:eastAsia="zh-CN"/>
        </w:rPr>
        <w:t xml:space="preserve">(5) 我们已经详细审核了全部采购文件，如有需要澄清的问题，我们同意按采购文件规定的时间向采购人提出。逾期不提，我公司同意放弃对这方面有不明及误解的权利。 </w:t>
      </w:r>
    </w:p>
    <w:p>
      <w:pPr>
        <w:keepNext w:val="0"/>
        <w:keepLines w:val="0"/>
        <w:widowControl/>
        <w:suppressLineNumbers w:val="0"/>
        <w:jc w:val="left"/>
      </w:pPr>
      <w:r>
        <w:rPr>
          <w:rFonts w:hint="eastAsia"/>
          <w:lang w:val="en-US" w:eastAsia="zh-CN"/>
        </w:rPr>
        <w:t xml:space="preserve">(6) 我们承诺，与采购人聘请的为此项目提供咨询服务及任何附属机构均无关联，非采购人的附属机构。 </w:t>
      </w:r>
    </w:p>
    <w:p>
      <w:pPr>
        <w:keepNext w:val="0"/>
        <w:keepLines w:val="0"/>
        <w:widowControl/>
        <w:suppressLineNumbers w:val="0"/>
        <w:jc w:val="left"/>
      </w:pPr>
      <w:r>
        <w:rPr>
          <w:rFonts w:hint="eastAsia"/>
          <w:lang w:val="en-US" w:eastAsia="zh-CN"/>
        </w:rPr>
        <w:t xml:space="preserve">(7) 我公司同意提供按照采购人可能要求的与其投标有关的一切数据或资料，完全理解采购人不一定接受最低价的投标或收到的任何投标。 </w:t>
      </w:r>
    </w:p>
    <w:p>
      <w:pPr>
        <w:keepNext w:val="0"/>
        <w:keepLines w:val="0"/>
        <w:widowControl/>
        <w:suppressLineNumbers w:val="0"/>
        <w:jc w:val="left"/>
        <w:rPr>
          <w:rFonts w:hint="eastAsia"/>
          <w:lang w:val="en-US" w:eastAsia="zh-CN"/>
        </w:rPr>
      </w:pPr>
      <w:r>
        <w:rPr>
          <w:rFonts w:hint="eastAsia"/>
          <w:lang w:val="en-US" w:eastAsia="zh-CN"/>
        </w:rPr>
        <w:t xml:space="preserve">(8) 我们愿按《中华人民共和国合同法》履行自己的全部责任。 </w:t>
      </w:r>
    </w:p>
    <w:p>
      <w:pPr>
        <w:keepNext w:val="0"/>
        <w:keepLines w:val="0"/>
        <w:widowControl/>
        <w:suppressLineNumbers w:val="0"/>
        <w:jc w:val="left"/>
      </w:pPr>
      <w:r>
        <w:rPr>
          <w:rFonts w:hint="eastAsia"/>
          <w:lang w:val="en-US" w:eastAsia="zh-CN"/>
        </w:rPr>
        <w:t xml:space="preserve">与本投标有关的正式通讯地址： </w:t>
      </w:r>
    </w:p>
    <w:p>
      <w:pPr>
        <w:keepNext w:val="0"/>
        <w:keepLines w:val="0"/>
        <w:widowControl/>
        <w:suppressLineNumbers w:val="0"/>
        <w:jc w:val="left"/>
      </w:pPr>
      <w:r>
        <w:rPr>
          <w:rFonts w:hint="eastAsia"/>
          <w:lang w:val="en-US" w:eastAsia="zh-CN"/>
        </w:rPr>
        <w:t>地 址：</w:t>
      </w:r>
    </w:p>
    <w:p>
      <w:pPr>
        <w:keepNext w:val="0"/>
        <w:keepLines w:val="0"/>
        <w:widowControl/>
        <w:suppressLineNumbers w:val="0"/>
        <w:jc w:val="left"/>
      </w:pPr>
    </w:p>
    <w:p>
      <w:pPr>
        <w:pStyle w:val="11"/>
        <w:spacing w:line="360" w:lineRule="auto"/>
        <w:ind w:left="1" w:leftChars="0" w:firstLine="420" w:firstLineChars="200"/>
        <w:rPr>
          <w:rFonts w:ascii="宋体" w:hAnsi="宋体" w:cs="宋体"/>
        </w:rPr>
      </w:pPr>
      <w:r>
        <w:rPr>
          <w:rFonts w:hint="eastAsia" w:ascii="宋体" w:hAnsi="宋体" w:cs="宋体"/>
        </w:rPr>
        <w:t xml:space="preserve">               </w:t>
      </w:r>
    </w:p>
    <w:p>
      <w:pPr>
        <w:pStyle w:val="11"/>
        <w:spacing w:line="360" w:lineRule="auto"/>
        <w:ind w:left="1" w:leftChars="0" w:firstLine="420" w:firstLineChars="200"/>
        <w:rPr>
          <w:rFonts w:ascii="宋体" w:hAnsi="宋体" w:cs="宋体"/>
        </w:rPr>
      </w:pPr>
    </w:p>
    <w:p>
      <w:pPr>
        <w:pStyle w:val="11"/>
        <w:spacing w:line="360" w:lineRule="auto"/>
        <w:ind w:left="1" w:leftChars="0" w:firstLine="420" w:firstLineChars="200"/>
        <w:jc w:val="right"/>
        <w:rPr>
          <w:rFonts w:ascii="宋体" w:hAnsi="宋体" w:cs="宋体"/>
        </w:rPr>
      </w:pPr>
      <w:r>
        <w:rPr>
          <w:rFonts w:hint="eastAsia" w:ascii="宋体" w:hAnsi="宋体" w:cs="宋体"/>
        </w:rPr>
        <w:t>响应人：（电子签章）</w:t>
      </w:r>
    </w:p>
    <w:p>
      <w:pPr>
        <w:pStyle w:val="11"/>
        <w:spacing w:line="360" w:lineRule="auto"/>
        <w:ind w:left="1" w:leftChars="0" w:firstLine="420" w:firstLineChars="200"/>
        <w:jc w:val="right"/>
        <w:rPr>
          <w:rFonts w:hint="eastAsia" w:ascii="宋体" w:hAnsi="宋体" w:cs="宋体"/>
        </w:rPr>
      </w:pPr>
      <w:r>
        <w:rPr>
          <w:rFonts w:hint="eastAsia" w:ascii="宋体" w:hAnsi="宋体" w:cs="宋体"/>
        </w:rPr>
        <w:t>法定代表人或其委托代理人：（电子签名）</w:t>
      </w:r>
    </w:p>
    <w:p>
      <w:pPr>
        <w:pStyle w:val="11"/>
        <w:wordWrap w:val="0"/>
        <w:spacing w:line="360" w:lineRule="auto"/>
        <w:ind w:left="1" w:leftChars="0" w:firstLine="420" w:firstLineChars="200"/>
        <w:jc w:val="right"/>
        <w:rPr>
          <w:rFonts w:hint="eastAsia" w:ascii="宋体" w:hAnsi="宋体" w:cs="宋体"/>
          <w:u w:val="single"/>
          <w:lang w:val="en-US" w:eastAsia="zh-CN"/>
        </w:rPr>
      </w:pPr>
      <w:r>
        <w:rPr>
          <w:rFonts w:hint="eastAsia" w:ascii="宋体" w:hAnsi="宋体" w:cs="宋体"/>
          <w:lang w:val="en-US" w:eastAsia="zh-CN"/>
        </w:rPr>
        <w:t xml:space="preserve">投标联系人; </w:t>
      </w:r>
      <w:r>
        <w:rPr>
          <w:rFonts w:hint="eastAsia" w:ascii="宋体" w:hAnsi="宋体" w:cs="宋体"/>
          <w:u w:val="single"/>
          <w:lang w:val="en-US" w:eastAsia="zh-CN"/>
        </w:rPr>
        <w:t xml:space="preserve">                           </w:t>
      </w:r>
    </w:p>
    <w:p>
      <w:pPr>
        <w:pStyle w:val="11"/>
        <w:wordWrap w:val="0"/>
        <w:spacing w:line="360" w:lineRule="auto"/>
        <w:ind w:left="1" w:leftChars="0" w:firstLine="420" w:firstLineChars="200"/>
        <w:jc w:val="right"/>
        <w:rPr>
          <w:rFonts w:hint="default" w:ascii="宋体" w:hAnsi="宋体" w:cs="宋体"/>
          <w:u w:val="single"/>
          <w:lang w:val="en-US" w:eastAsia="zh-CN"/>
        </w:rPr>
      </w:pPr>
      <w:r>
        <w:rPr>
          <w:rFonts w:hint="eastAsia" w:ascii="宋体" w:hAnsi="宋体" w:cs="宋体"/>
          <w:u w:val="none"/>
          <w:lang w:val="en-US" w:eastAsia="zh-CN"/>
        </w:rPr>
        <w:t xml:space="preserve">联系电话（手机号码）; </w:t>
      </w:r>
      <w:r>
        <w:rPr>
          <w:rFonts w:hint="eastAsia" w:ascii="宋体" w:hAnsi="宋体" w:cs="宋体"/>
          <w:u w:val="single"/>
          <w:lang w:val="en-US" w:eastAsia="zh-CN"/>
        </w:rPr>
        <w:t xml:space="preserve">                 </w:t>
      </w:r>
    </w:p>
    <w:p>
      <w:pPr>
        <w:pStyle w:val="11"/>
        <w:spacing w:line="360" w:lineRule="auto"/>
        <w:ind w:left="1" w:leftChars="0" w:firstLine="420" w:firstLineChars="200"/>
        <w:jc w:val="right"/>
        <w:rPr>
          <w:rFonts w:ascii="宋体" w:hAnsi="宋体" w:cs="宋体"/>
        </w:rPr>
      </w:pPr>
      <w:r>
        <w:rPr>
          <w:rFonts w:hint="eastAsia" w:ascii="宋体" w:hAnsi="宋体" w:cs="宋体"/>
        </w:rPr>
        <w:t>日期：     年    月    日</w:t>
      </w:r>
    </w:p>
    <w:p>
      <w:pPr>
        <w:pStyle w:val="21"/>
        <w:spacing w:line="360" w:lineRule="auto"/>
        <w:ind w:firstLine="482"/>
        <w:rPr>
          <w:rFonts w:ascii="宋体" w:hAnsi="宋体"/>
          <w:b/>
          <w:sz w:val="24"/>
          <w:szCs w:val="24"/>
        </w:rPr>
      </w:pPr>
    </w:p>
    <w:p>
      <w:pPr>
        <w:pStyle w:val="21"/>
        <w:spacing w:line="360" w:lineRule="auto"/>
        <w:ind w:firstLine="482"/>
        <w:rPr>
          <w:rFonts w:ascii="宋体" w:hAnsi="宋体"/>
          <w:b/>
          <w:sz w:val="24"/>
          <w:szCs w:val="24"/>
        </w:rPr>
      </w:pPr>
    </w:p>
    <w:p>
      <w:pPr>
        <w:pStyle w:val="5"/>
      </w:pPr>
    </w:p>
    <w:p>
      <w:pPr>
        <w:pStyle w:val="5"/>
      </w:pPr>
    </w:p>
    <w:p>
      <w:pPr>
        <w:pStyle w:val="5"/>
      </w:pPr>
    </w:p>
    <w:p>
      <w:pPr>
        <w:pStyle w:val="5"/>
      </w:pPr>
    </w:p>
    <w:p>
      <w:pPr>
        <w:pStyle w:val="5"/>
      </w:pPr>
    </w:p>
    <w:p>
      <w:pPr>
        <w:pStyle w:val="5"/>
      </w:pPr>
    </w:p>
    <w:p>
      <w:pPr>
        <w:pStyle w:val="5"/>
      </w:pPr>
    </w:p>
    <w:p>
      <w:pPr>
        <w:pStyle w:val="4"/>
        <w:numPr>
          <w:ilvl w:val="0"/>
          <w:numId w:val="25"/>
        </w:numPr>
        <w:jc w:val="center"/>
        <w:rPr>
          <w:sz w:val="28"/>
          <w:szCs w:val="28"/>
          <w:lang w:val="zh-CN"/>
        </w:rPr>
      </w:pPr>
      <w:bookmarkStart w:id="616" w:name="_Toc21386"/>
      <w:r>
        <w:rPr>
          <w:rFonts w:hint="eastAsia"/>
          <w:sz w:val="28"/>
          <w:szCs w:val="28"/>
          <w:lang w:val="zh-CN"/>
        </w:rPr>
        <w:t>报价函附录（第一轮报价）</w:t>
      </w:r>
      <w:bookmarkEnd w:id="616"/>
    </w:p>
    <w:p>
      <w:pPr>
        <w:spacing w:line="360" w:lineRule="auto"/>
        <w:rPr>
          <w:lang w:val="zh-CN"/>
        </w:rPr>
      </w:pPr>
    </w:p>
    <w:tbl>
      <w:tblPr>
        <w:tblStyle w:val="2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响应人</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（响应人应在此填列第一次报价，但以响应人最后一次的磋商报价为成交价）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default" w:eastAsia="宋体"/>
                <w:lang w:val="en-US" w:eastAsia="zh-CN"/>
              </w:rPr>
            </w:pPr>
            <w:r>
              <w:rPr>
                <w:rFonts w:hint="eastAsia"/>
                <w:lang w:val="en-US" w:eastAsia="zh-CN"/>
              </w:rPr>
              <w:t>服务期限</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lang w:val="en-US" w:eastAsia="zh-CN"/>
              </w:rPr>
              <w:t>服务</w:t>
            </w:r>
            <w:r>
              <w:rPr>
                <w:rFonts w:hint="eastAsia"/>
              </w:rPr>
              <w:t>质量</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优惠与</w:t>
            </w:r>
          </w:p>
          <w:p>
            <w:pPr>
              <w:widowControl/>
              <w:spacing w:line="360" w:lineRule="auto"/>
              <w:jc w:val="center"/>
            </w:pPr>
            <w:r>
              <w:rPr>
                <w:rFonts w:hint="eastAsia"/>
              </w:rPr>
              <w:t>服务承诺</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响应人：（电子签章）</w:t>
      </w:r>
    </w:p>
    <w:p>
      <w:pPr>
        <w:spacing w:line="360" w:lineRule="auto"/>
        <w:jc w:val="right"/>
      </w:pPr>
    </w:p>
    <w:p>
      <w:pPr>
        <w:spacing w:line="360" w:lineRule="auto"/>
        <w:jc w:val="right"/>
      </w:pPr>
      <w:r>
        <w:rPr>
          <w:rFonts w:hint="eastAsia"/>
        </w:rPr>
        <w:t>法定代表人或其委托代理人：（电子签名）</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36"/>
        <w:numPr>
          <w:ilvl w:val="1"/>
          <w:numId w:val="0"/>
        </w:numPr>
        <w:spacing w:line="360" w:lineRule="auto"/>
        <w:rPr>
          <w:rFonts w:hAnsi="宋体"/>
          <w:color w:val="auto"/>
        </w:rPr>
      </w:pPr>
    </w:p>
    <w:p>
      <w:pPr>
        <w:rPr>
          <w:rFonts w:hAnsi="宋体"/>
          <w:color w:val="auto"/>
        </w:rPr>
      </w:pPr>
    </w:p>
    <w:p>
      <w:pPr>
        <w:rPr>
          <w:rFonts w:hAnsi="宋体"/>
          <w:color w:val="auto"/>
        </w:rPr>
      </w:pPr>
    </w:p>
    <w:p>
      <w:pPr>
        <w:rPr>
          <w:rFonts w:hAnsi="宋体"/>
          <w:color w:val="auto"/>
        </w:rPr>
      </w:pPr>
    </w:p>
    <w:p>
      <w:pPr>
        <w:pStyle w:val="3"/>
        <w:numPr>
          <w:ilvl w:val="0"/>
          <w:numId w:val="24"/>
        </w:numPr>
        <w:tabs>
          <w:tab w:val="left" w:pos="425"/>
        </w:tabs>
        <w:rPr>
          <w:szCs w:val="24"/>
          <w:lang w:val="zh-CN"/>
        </w:rPr>
      </w:pPr>
      <w:bookmarkStart w:id="617" w:name="_Toc22490_WPSOffice_Level1"/>
      <w:bookmarkStart w:id="618" w:name="_Toc3479_WPSOffice_Level1"/>
      <w:bookmarkStart w:id="619" w:name="_Toc5242_WPSOffice_Level1"/>
      <w:r>
        <w:rPr>
          <w:rFonts w:hint="eastAsia"/>
          <w:szCs w:val="24"/>
          <w:lang w:val="zh-CN"/>
        </w:rPr>
        <w:t>法定代表人身份证明</w:t>
      </w:r>
      <w:bookmarkEnd w:id="617"/>
      <w:bookmarkEnd w:id="618"/>
      <w:bookmarkEnd w:id="619"/>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u w:val="single"/>
        </w:rPr>
      </w:pPr>
      <w:r>
        <w:rPr>
          <w:rFonts w:hint="eastAsia"/>
          <w:kern w:val="0"/>
        </w:rPr>
        <w:t>响应人名称：</w:t>
      </w:r>
    </w:p>
    <w:p>
      <w:pPr>
        <w:wordWrap/>
        <w:topLinePunct w:val="0"/>
        <w:autoSpaceDE w:val="0"/>
        <w:autoSpaceDN w:val="0"/>
        <w:adjustRightInd w:val="0"/>
        <w:spacing w:line="360" w:lineRule="auto"/>
        <w:ind w:firstLine="420" w:firstLineChars="200"/>
        <w:rPr>
          <w:kern w:val="0"/>
          <w:u w:val="single"/>
        </w:rPr>
      </w:pPr>
      <w:r>
        <w:rPr>
          <w:rFonts w:hint="eastAsia"/>
          <w:kern w:val="0"/>
        </w:rPr>
        <w:t>姓名： 性别： 年龄： 职务：系（响应人名称）的法定代表人。</w:t>
      </w:r>
    </w:p>
    <w:p>
      <w:pPr>
        <w:wordWrap/>
        <w:topLinePunct w:val="0"/>
        <w:autoSpaceDE w:val="0"/>
        <w:autoSpaceDN w:val="0"/>
        <w:adjustRightInd w:val="0"/>
        <w:spacing w:line="360" w:lineRule="auto"/>
        <w:rPr>
          <w:kern w:val="0"/>
        </w:rPr>
      </w:pPr>
      <w:r>
        <w:rPr>
          <w:rFonts w:hint="eastAsia"/>
          <w:kern w:val="0"/>
        </w:rPr>
        <w:t>特此证明。</w:t>
      </w:r>
    </w:p>
    <w:p>
      <w:pPr>
        <w:wordWrap/>
        <w:topLinePunct w:val="0"/>
        <w:autoSpaceDE w:val="0"/>
        <w:autoSpaceDN w:val="0"/>
        <w:adjustRightInd w:val="0"/>
        <w:spacing w:line="360" w:lineRule="auto"/>
        <w:rPr>
          <w:kern w:val="0"/>
        </w:rPr>
      </w:pPr>
      <w:r>
        <w:rPr>
          <w:rFonts w:hint="eastAsia"/>
          <w:kern w:val="0"/>
        </w:rPr>
        <w:t xml:space="preserve">附：法定代表人身份证复印件。 </w:t>
      </w:r>
    </w:p>
    <w:p>
      <w:pPr>
        <w:wordWrap/>
        <w:topLinePunct w:val="0"/>
        <w:autoSpaceDE w:val="0"/>
        <w:autoSpaceDN w:val="0"/>
        <w:adjustRightInd w:val="0"/>
        <w:spacing w:line="360" w:lineRule="auto"/>
        <w:rPr>
          <w:kern w:val="0"/>
        </w:rPr>
      </w:pPr>
      <w:r>
        <w:rPr>
          <w:rFonts w:hint="eastAsia"/>
          <w:kern w:val="0"/>
        </w:rPr>
        <w:t>注：本身份证明需由响应人加盖单位公章。</w:t>
      </w: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spacing w:line="360" w:lineRule="auto"/>
        <w:jc w:val="right"/>
      </w:pPr>
      <w:r>
        <w:rPr>
          <w:rFonts w:hint="eastAsia"/>
        </w:rPr>
        <w:t>响应人：（电子签章）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firstLine="482"/>
        <w:rPr>
          <w:rFonts w:ascii="宋体" w:hAnsi="宋体"/>
          <w:b/>
          <w:sz w:val="24"/>
          <w:szCs w:val="24"/>
        </w:rPr>
      </w:pPr>
    </w:p>
    <w:p>
      <w:pPr>
        <w:pStyle w:val="20"/>
        <w:rPr>
          <w:rFonts w:ascii="宋体" w:hAnsi="宋体"/>
          <w:b/>
          <w:sz w:val="24"/>
          <w:szCs w:val="24"/>
        </w:rPr>
      </w:pPr>
    </w:p>
    <w:p>
      <w:pPr>
        <w:pStyle w:val="21"/>
        <w:rPr>
          <w:rFonts w:ascii="宋体" w:hAnsi="宋体"/>
          <w:b/>
          <w:sz w:val="24"/>
          <w:szCs w:val="24"/>
        </w:rPr>
      </w:pPr>
    </w:p>
    <w:p>
      <w:pPr>
        <w:pStyle w:val="20"/>
        <w:rPr>
          <w:rFonts w:ascii="宋体" w:hAnsi="宋体"/>
          <w:b/>
          <w:sz w:val="24"/>
          <w:szCs w:val="24"/>
        </w:rPr>
      </w:pPr>
    </w:p>
    <w:p>
      <w:pPr>
        <w:pStyle w:val="21"/>
      </w:pPr>
    </w:p>
    <w:p>
      <w:pPr>
        <w:pStyle w:val="21"/>
        <w:tabs>
          <w:tab w:val="left" w:pos="4093"/>
        </w:tabs>
        <w:spacing w:line="360" w:lineRule="auto"/>
        <w:ind w:firstLine="482"/>
        <w:rPr>
          <w:rFonts w:ascii="宋体" w:hAnsi="宋体"/>
          <w:b/>
          <w:sz w:val="24"/>
          <w:szCs w:val="24"/>
        </w:rPr>
      </w:pPr>
    </w:p>
    <w:p>
      <w:pPr>
        <w:pStyle w:val="21"/>
        <w:tabs>
          <w:tab w:val="left" w:pos="4093"/>
        </w:tabs>
        <w:spacing w:line="360" w:lineRule="auto"/>
        <w:ind w:left="0" w:leftChars="0" w:firstLine="0" w:firstLineChars="0"/>
        <w:rPr>
          <w:rFonts w:ascii="宋体" w:hAnsi="宋体"/>
          <w:b/>
          <w:sz w:val="24"/>
          <w:szCs w:val="24"/>
        </w:rPr>
      </w:pPr>
    </w:p>
    <w:p>
      <w:pPr>
        <w:pStyle w:val="5"/>
      </w:pPr>
    </w:p>
    <w:p>
      <w:pPr>
        <w:spacing w:line="360" w:lineRule="auto"/>
        <w:jc w:val="center"/>
        <w:rPr>
          <w:b/>
          <w:bCs/>
          <w:sz w:val="32"/>
          <w:szCs w:val="32"/>
          <w:lang w:val="zh-CN"/>
        </w:rPr>
      </w:pPr>
      <w:bookmarkStart w:id="620" w:name="_Toc6674"/>
      <w:bookmarkStart w:id="621" w:name="_Toc21662_WPSOffice_Level1"/>
      <w:bookmarkStart w:id="622" w:name="_Toc28309"/>
      <w:bookmarkStart w:id="623" w:name="_Toc31474_WPSOffice_Level1"/>
      <w:bookmarkStart w:id="624" w:name="_Toc12134"/>
      <w:bookmarkStart w:id="625" w:name="_Toc7315_WPSOffice_Level1"/>
      <w:bookmarkStart w:id="626" w:name="_Toc11816"/>
      <w:r>
        <w:rPr>
          <w:rFonts w:hint="eastAsia"/>
          <w:b/>
          <w:bCs/>
          <w:sz w:val="32"/>
          <w:szCs w:val="32"/>
          <w:lang w:val="zh-CN"/>
        </w:rPr>
        <w:t>法定代表人授权委托书</w:t>
      </w:r>
      <w:bookmarkEnd w:id="620"/>
      <w:bookmarkEnd w:id="621"/>
      <w:bookmarkEnd w:id="622"/>
      <w:bookmarkEnd w:id="623"/>
      <w:bookmarkEnd w:id="624"/>
      <w:bookmarkEnd w:id="625"/>
      <w:bookmarkEnd w:id="626"/>
    </w:p>
    <w:p>
      <w:pPr>
        <w:autoSpaceDE w:val="0"/>
        <w:autoSpaceDN w:val="0"/>
        <w:adjustRightInd w:val="0"/>
        <w:spacing w:line="360" w:lineRule="auto"/>
        <w:rPr>
          <w:rFonts w:cs="微软雅黑"/>
          <w:kern w:val="0"/>
          <w:sz w:val="20"/>
          <w:szCs w:val="20"/>
        </w:rPr>
      </w:pPr>
    </w:p>
    <w:p>
      <w:pPr>
        <w:tabs>
          <w:tab w:val="left" w:pos="3880"/>
        </w:tabs>
        <w:wordWrap/>
        <w:topLinePunct w:val="0"/>
        <w:autoSpaceDE w:val="0"/>
        <w:autoSpaceDN w:val="0"/>
        <w:adjustRightInd w:val="0"/>
        <w:spacing w:line="360" w:lineRule="auto"/>
        <w:ind w:firstLine="420" w:firstLineChars="20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pPr>
        <w:wordWrap/>
        <w:topLinePunct w:val="0"/>
        <w:spacing w:line="360" w:lineRule="auto"/>
        <w:ind w:firstLine="420"/>
      </w:pPr>
    </w:p>
    <w:p>
      <w:pPr>
        <w:spacing w:line="360" w:lineRule="auto"/>
        <w:ind w:firstLine="420" w:firstLineChars="200"/>
        <w:rPr>
          <w:u w:val="single"/>
        </w:rPr>
      </w:pPr>
      <w:r>
        <w:rPr>
          <w:rFonts w:hint="eastAsia"/>
        </w:rPr>
        <w:t>委托期限：</w:t>
      </w:r>
    </w:p>
    <w:p>
      <w:pPr>
        <w:spacing w:line="360" w:lineRule="auto"/>
        <w:ind w:firstLine="420" w:firstLineChars="200"/>
      </w:pPr>
      <w:r>
        <w:rPr>
          <w:rFonts w:hint="eastAsia"/>
        </w:rPr>
        <w:t>代理人无转委托权。</w:t>
      </w:r>
    </w:p>
    <w:p>
      <w:pPr>
        <w:spacing w:line="360" w:lineRule="auto"/>
        <w:ind w:firstLine="420" w:firstLineChars="20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pPr>
        <w:spacing w:line="360" w:lineRule="auto"/>
      </w:pPr>
    </w:p>
    <w:p>
      <w:pPr>
        <w:spacing w:line="360" w:lineRule="auto"/>
      </w:pPr>
    </w:p>
    <w:p>
      <w:pPr>
        <w:spacing w:line="360" w:lineRule="auto"/>
      </w:pPr>
      <w:r>
        <w:rPr>
          <w:rFonts w:hint="eastAsia"/>
        </w:rPr>
        <w:t>响应人：（电子签章）</w:t>
      </w:r>
    </w:p>
    <w:p>
      <w:pPr>
        <w:pStyle w:val="36"/>
        <w:numPr>
          <w:ilvl w:val="0"/>
          <w:numId w:val="0"/>
        </w:numPr>
        <w:spacing w:line="360" w:lineRule="auto"/>
        <w:ind w:left="575" w:hanging="575"/>
        <w:rPr>
          <w:rFonts w:hAnsi="宋体"/>
          <w:color w:val="auto"/>
          <w:kern w:val="2"/>
          <w:sz w:val="21"/>
          <w:szCs w:val="21"/>
        </w:rPr>
      </w:pPr>
      <w:r>
        <w:rPr>
          <w:rFonts w:hint="eastAsia" w:hAnsi="宋体"/>
          <w:color w:val="auto"/>
          <w:kern w:val="2"/>
          <w:sz w:val="21"/>
          <w:szCs w:val="21"/>
        </w:rPr>
        <w:t>法定代表人：（电子签名）</w:t>
      </w:r>
    </w:p>
    <w:p>
      <w:pPr>
        <w:pStyle w:val="36"/>
        <w:numPr>
          <w:ilvl w:val="0"/>
          <w:numId w:val="0"/>
        </w:numPr>
        <w:spacing w:line="360" w:lineRule="auto"/>
        <w:ind w:left="575" w:hanging="575"/>
        <w:rPr>
          <w:rFonts w:hAnsi="宋体"/>
          <w:color w:val="auto"/>
          <w:kern w:val="2"/>
          <w:sz w:val="21"/>
          <w:szCs w:val="21"/>
          <w:u w:val="single"/>
        </w:rPr>
      </w:pPr>
      <w:r>
        <w:rPr>
          <w:rFonts w:hint="eastAsia" w:hAnsi="宋体"/>
          <w:color w:val="auto"/>
          <w:kern w:val="2"/>
          <w:sz w:val="21"/>
          <w:szCs w:val="21"/>
        </w:rPr>
        <w:t>身份证号：</w:t>
      </w:r>
    </w:p>
    <w:p>
      <w:pPr>
        <w:spacing w:line="360" w:lineRule="auto"/>
      </w:pPr>
      <w:r>
        <w:rPr>
          <w:rFonts w:hint="eastAsia"/>
        </w:rPr>
        <w:t>委托代理人：（电子签名）</w:t>
      </w:r>
    </w:p>
    <w:p>
      <w:pPr>
        <w:spacing w:line="360" w:lineRule="auto"/>
        <w:rPr>
          <w:u w:val="single"/>
        </w:rPr>
      </w:pPr>
      <w:r>
        <w:rPr>
          <w:rFonts w:hint="eastAsia"/>
        </w:rPr>
        <w:t>身份证号：</w:t>
      </w:r>
    </w:p>
    <w:p>
      <w:pPr>
        <w:spacing w:line="360" w:lineRule="auto"/>
        <w:rPr>
          <w:kern w:val="0"/>
          <w:u w:val="single"/>
        </w:rPr>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1"/>
        <w:tabs>
          <w:tab w:val="left" w:pos="4093"/>
        </w:tabs>
        <w:spacing w:line="360" w:lineRule="auto"/>
        <w:ind w:firstLine="482"/>
        <w:jc w:val="right"/>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21"/>
        <w:spacing w:line="360" w:lineRule="auto"/>
        <w:ind w:left="0" w:leftChars="0" w:firstLine="0" w:firstLineChars="0"/>
        <w:rPr>
          <w:rFonts w:ascii="宋体" w:hAnsi="宋体"/>
          <w:b/>
          <w:sz w:val="24"/>
          <w:szCs w:val="24"/>
        </w:rPr>
      </w:pPr>
    </w:p>
    <w:p>
      <w:pPr>
        <w:pStyle w:val="5"/>
        <w:ind w:left="0" w:leftChars="0" w:firstLine="0" w:firstLineChars="0"/>
        <w:rPr>
          <w:lang w:val="zh-CN"/>
        </w:rPr>
      </w:pPr>
    </w:p>
    <w:p>
      <w:pPr>
        <w:pStyle w:val="5"/>
        <w:spacing w:line="360" w:lineRule="auto"/>
        <w:rPr>
          <w:rFonts w:ascii="宋体" w:hAnsi="宋体"/>
          <w:lang w:val="zh-CN"/>
        </w:rPr>
      </w:pPr>
    </w:p>
    <w:p>
      <w:pPr>
        <w:pStyle w:val="3"/>
        <w:numPr>
          <w:ilvl w:val="0"/>
          <w:numId w:val="24"/>
        </w:numPr>
        <w:tabs>
          <w:tab w:val="left" w:pos="425"/>
        </w:tabs>
        <w:rPr>
          <w:szCs w:val="24"/>
          <w:lang w:val="zh-CN"/>
        </w:rPr>
      </w:pPr>
      <w:bookmarkStart w:id="627" w:name="_Toc108_WPSOffice_Level1"/>
      <w:bookmarkStart w:id="628" w:name="_Toc15417_WPSOffice_Level1"/>
      <w:bookmarkStart w:id="629" w:name="_Toc10033_WPSOffice_Level1"/>
      <w:r>
        <w:rPr>
          <w:rFonts w:hint="eastAsia"/>
          <w:szCs w:val="24"/>
          <w:lang w:val="zh-CN"/>
        </w:rPr>
        <w:t>响应人资格审查资料</w:t>
      </w:r>
      <w:bookmarkEnd w:id="627"/>
      <w:bookmarkEnd w:id="628"/>
      <w:bookmarkEnd w:id="629"/>
    </w:p>
    <w:p>
      <w:pPr>
        <w:spacing w:line="360" w:lineRule="auto"/>
      </w:pPr>
    </w:p>
    <w:p>
      <w:pPr>
        <w:spacing w:line="360" w:lineRule="auto"/>
        <w:jc w:val="center"/>
        <w:rPr>
          <w:b/>
        </w:rPr>
      </w:pPr>
      <w:r>
        <w:rPr>
          <w:rFonts w:hint="eastAsia"/>
          <w:b/>
        </w:rPr>
        <w:t>（一）响应人基本情况表</w:t>
      </w:r>
    </w:p>
    <w:tbl>
      <w:tblPr>
        <w:tblStyle w:val="22"/>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tblPrEx>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响应人名称</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4"/>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网址</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组织结构</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6"/>
            <w:noWrap/>
            <w:vAlign w:val="center"/>
          </w:tcPr>
          <w:p>
            <w:pPr>
              <w:spacing w:line="360" w:lineRule="auto"/>
            </w:pPr>
            <w:r>
              <w:rPr>
                <w:rFonts w:hint="eastAsia"/>
              </w:rPr>
              <w:t>员工总人数：</w:t>
            </w:r>
          </w:p>
        </w:tc>
      </w:tr>
      <w:tr>
        <w:tblPrEx>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营业执照号</w:t>
            </w:r>
          </w:p>
        </w:tc>
        <w:tc>
          <w:tcPr>
            <w:tcW w:w="2786" w:type="dxa"/>
            <w:gridSpan w:val="2"/>
            <w:noWrap/>
            <w:vAlign w:val="center"/>
          </w:tcPr>
          <w:p>
            <w:pPr>
              <w:spacing w:line="360" w:lineRule="auto"/>
            </w:pPr>
          </w:p>
        </w:tc>
        <w:tc>
          <w:tcPr>
            <w:tcW w:w="691" w:type="dxa"/>
            <w:vMerge w:val="restart"/>
            <w:noWrap/>
            <w:vAlign w:val="center"/>
          </w:tcPr>
          <w:p>
            <w:pPr>
              <w:spacing w:line="360" w:lineRule="auto"/>
            </w:pPr>
            <w:r>
              <w:rPr>
                <w:rFonts w:hint="eastAsia"/>
              </w:rPr>
              <w:t>其中</w:t>
            </w:r>
          </w:p>
        </w:tc>
        <w:tc>
          <w:tcPr>
            <w:tcW w:w="1744" w:type="dxa"/>
            <w:gridSpan w:val="3"/>
            <w:noWrap/>
            <w:vAlign w:val="center"/>
          </w:tcPr>
          <w:p>
            <w:pPr>
              <w:spacing w:line="360" w:lineRule="auto"/>
            </w:pPr>
            <w:r>
              <w:rPr>
                <w:rFonts w:hint="eastAsia"/>
              </w:rPr>
              <w:t>项目经理</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注册资金</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高级职称人员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开户银行</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中级职称人员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账号</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初级职称人员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noWrap/>
            <w:vAlign w:val="center"/>
          </w:tcPr>
          <w:p>
            <w:pPr>
              <w:spacing w:line="360" w:lineRule="auto"/>
            </w:pP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技工</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8"/>
            <w:noWrap/>
          </w:tcPr>
          <w:p>
            <w:pPr>
              <w:spacing w:line="360" w:lineRule="auto"/>
              <w:ind w:firstLine="420" w:firstLineChars="200"/>
            </w:pPr>
          </w:p>
        </w:tc>
      </w:tr>
    </w:tbl>
    <w:p>
      <w:pPr>
        <w:spacing w:line="360" w:lineRule="auto"/>
        <w:rPr>
          <w:b/>
        </w:rPr>
      </w:pPr>
    </w:p>
    <w:p>
      <w:pPr>
        <w:autoSpaceDE w:val="0"/>
        <w:autoSpaceDN w:val="0"/>
        <w:adjustRightInd w:val="0"/>
        <w:spacing w:line="360" w:lineRule="auto"/>
        <w:jc w:val="left"/>
        <w:rPr>
          <w:bCs/>
        </w:rPr>
      </w:pPr>
    </w:p>
    <w:p>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复印件</w:t>
      </w:r>
    </w:p>
    <w:p>
      <w:pPr>
        <w:pStyle w:val="38"/>
        <w:spacing w:line="360" w:lineRule="auto"/>
        <w:ind w:firstLine="0"/>
        <w:rPr>
          <w:lang w:val="en-US"/>
        </w:rPr>
      </w:pP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Lines="50" w:afterLines="50" w:line="360" w:lineRule="auto"/>
        <w:ind w:left="687" w:leftChars="227" w:hanging="210" w:hangingChars="100"/>
        <w:rPr>
          <w:highlight w:val="yellow"/>
          <w:u w:val="single"/>
        </w:rPr>
      </w:pPr>
      <w:r>
        <w:rPr>
          <w:rFonts w:hint="eastAsia"/>
        </w:rPr>
        <w:t>采购人名称：</w:t>
      </w:r>
    </w:p>
    <w:p>
      <w:pPr>
        <w:spacing w:beforeLines="50" w:afterLines="50" w:line="360" w:lineRule="auto"/>
        <w:ind w:left="689" w:leftChars="328" w:firstLine="210" w:firstLineChars="100"/>
      </w:pPr>
      <w:r>
        <w:rPr>
          <w:rFonts w:hint="eastAsia"/>
        </w:rPr>
        <w:t>我单位在参加政府采购活动前3年在经营活动中没有重大违法记录，特此声明。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8"/>
        <w:spacing w:line="360" w:lineRule="auto"/>
        <w:rPr>
          <w:lang w:val="en-US"/>
        </w:rPr>
      </w:pPr>
    </w:p>
    <w:p>
      <w:pPr>
        <w:pStyle w:val="38"/>
        <w:spacing w:line="360" w:lineRule="auto"/>
        <w:rPr>
          <w:lang w:val="en-US"/>
        </w:rPr>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line="360" w:lineRule="auto"/>
        <w:rPr>
          <w:b/>
        </w:rPr>
      </w:pPr>
    </w:p>
    <w:p>
      <w:pPr>
        <w:pStyle w:val="36"/>
        <w:numPr>
          <w:ilvl w:val="0"/>
          <w:numId w:val="0"/>
        </w:numPr>
        <w:spacing w:line="360" w:lineRule="auto"/>
        <w:ind w:left="424" w:leftChars="202" w:firstLine="1050" w:firstLineChars="500"/>
        <w:rPr>
          <w:rFonts w:hAnsi="宋体"/>
          <w:b/>
          <w:color w:val="auto"/>
          <w:kern w:val="2"/>
          <w:sz w:val="21"/>
          <w:szCs w:val="21"/>
        </w:rPr>
      </w:pPr>
      <w:r>
        <w:rPr>
          <w:rFonts w:hAnsi="宋体"/>
          <w:color w:val="auto"/>
          <w:sz w:val="21"/>
        </w:rPr>
        <w:br w:type="page"/>
      </w:r>
      <w:r>
        <w:rPr>
          <w:rFonts w:hint="eastAsia" w:hAnsi="宋体"/>
          <w:b/>
          <w:color w:val="auto"/>
          <w:kern w:val="2"/>
          <w:sz w:val="21"/>
          <w:szCs w:val="21"/>
        </w:rPr>
        <w:t>（三）具备履行合同所必需的设备和专业技术能力的证明材料</w:t>
      </w:r>
    </w:p>
    <w:p>
      <w:pPr>
        <w:pStyle w:val="36"/>
        <w:numPr>
          <w:ilvl w:val="0"/>
          <w:numId w:val="0"/>
        </w:numPr>
        <w:spacing w:line="360" w:lineRule="auto"/>
        <w:ind w:left="425"/>
        <w:rPr>
          <w:rFonts w:hAnsi="宋体" w:cs="黑体"/>
          <w:b/>
          <w:color w:val="auto"/>
          <w:sz w:val="28"/>
          <w:szCs w:val="28"/>
        </w:rPr>
      </w:pPr>
    </w:p>
    <w:p>
      <w:pPr>
        <w:spacing w:beforeLines="50" w:afterLines="50" w:line="360" w:lineRule="auto"/>
        <w:ind w:left="687" w:leftChars="227" w:hanging="210" w:hangingChars="100"/>
        <w:rPr>
          <w:highlight w:val="yellow"/>
        </w:rPr>
      </w:pPr>
      <w:r>
        <w:rPr>
          <w:rFonts w:hint="eastAsia"/>
        </w:rPr>
        <w:t>采购人名称：</w:t>
      </w:r>
    </w:p>
    <w:p>
      <w:pPr>
        <w:spacing w:beforeLines="50" w:afterLines="50" w:line="360" w:lineRule="auto"/>
        <w:ind w:left="689" w:leftChars="328" w:firstLine="210" w:firstLineChars="100"/>
      </w:pPr>
      <w:r>
        <w:rPr>
          <w:rFonts w:hint="eastAsia"/>
        </w:rPr>
        <w:t>我单位具备履行合同所必需的设备和专业技术能力，特此声明。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8"/>
        <w:spacing w:line="360" w:lineRule="auto"/>
        <w:rPr>
          <w:lang w:val="en-US"/>
        </w:rPr>
      </w:pPr>
    </w:p>
    <w:p>
      <w:pPr>
        <w:pStyle w:val="38"/>
        <w:spacing w:line="360" w:lineRule="auto"/>
        <w:rPr>
          <w:lang w:val="en-US"/>
        </w:rPr>
      </w:pPr>
    </w:p>
    <w:p>
      <w:pPr>
        <w:spacing w:beforeLines="50" w:afterLines="50" w:line="360" w:lineRule="auto"/>
        <w:ind w:left="687" w:leftChars="227" w:hanging="210" w:hangingChars="100"/>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21"/>
        <w:spacing w:line="360" w:lineRule="auto"/>
        <w:rPr>
          <w:rFonts w:ascii="宋体" w:hAnsi="宋体" w:cs="宋体"/>
        </w:rPr>
      </w:pPr>
    </w:p>
    <w:p>
      <w:pPr>
        <w:pStyle w:val="21"/>
        <w:spacing w:line="360" w:lineRule="auto"/>
        <w:rPr>
          <w:rFonts w:ascii="宋体" w:hAnsi="宋体" w:cs="宋体"/>
        </w:rPr>
      </w:pPr>
    </w:p>
    <w:p>
      <w:pPr>
        <w:pStyle w:val="21"/>
        <w:spacing w:line="360" w:lineRule="auto"/>
        <w:ind w:left="0" w:leftChars="0" w:firstLine="0" w:firstLineChars="0"/>
        <w:rPr>
          <w:rFonts w:ascii="宋体" w:hAnsi="宋体" w:cs="宋体"/>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附件：</w:t>
      </w:r>
    </w:p>
    <w:p>
      <w:pPr>
        <w:rPr>
          <w:rFonts w:hint="eastAsia" w:ascii="仿宋" w:hAnsi="仿宋" w:eastAsia="仿宋" w:cs="仿宋"/>
          <w:sz w:val="22"/>
          <w:szCs w:val="28"/>
        </w:rPr>
      </w:pPr>
    </w:p>
    <w:p>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社旗县</w:t>
      </w:r>
      <w:r>
        <w:rPr>
          <w:rFonts w:hint="eastAsia" w:ascii="宋体" w:hAnsi="宋体" w:eastAsia="宋体" w:cs="宋体"/>
          <w:b/>
          <w:bCs/>
          <w:sz w:val="28"/>
          <w:szCs w:val="36"/>
        </w:rPr>
        <w:t>政府采购供应商信用承诺函</w:t>
      </w:r>
    </w:p>
    <w:p>
      <w:pPr>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致(采购人或采购代理机构):</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单位名称：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统一社会信用代码：</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法定代表人：</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联系地址和电话：</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(五)参加政府采购活动前三年内，在经营活动中没有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rPr>
      </w:pPr>
      <w:r>
        <w:rPr>
          <w:rFonts w:hint="eastAsia" w:ascii="仿宋" w:hAnsi="仿宋" w:eastAsia="仿宋" w:cs="仿宋"/>
          <w:sz w:val="22"/>
          <w:szCs w:val="28"/>
        </w:rPr>
        <w:t>重大违法记录；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rPr>
      </w:pPr>
      <w:r>
        <w:rPr>
          <w:rFonts w:hint="eastAsia" w:ascii="仿宋" w:hAnsi="仿宋" w:eastAsia="仿宋" w:cs="仿宋"/>
          <w:sz w:val="22"/>
          <w:szCs w:val="28"/>
        </w:rPr>
        <w:t>投标人(企业电子章):</w:t>
      </w:r>
    </w:p>
    <w:p>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rPr>
      </w:pPr>
      <w:r>
        <w:rPr>
          <w:rFonts w:hint="eastAsia" w:ascii="仿宋" w:hAnsi="仿宋" w:eastAsia="仿宋" w:cs="仿宋"/>
          <w:sz w:val="22"/>
          <w:szCs w:val="28"/>
        </w:rPr>
        <w:t>法定代表人或授权代表(签字或电子印章):</w:t>
      </w:r>
    </w:p>
    <w:p>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rPr>
      </w:pPr>
      <w:r>
        <w:rPr>
          <w:rFonts w:hint="eastAsia" w:ascii="仿宋" w:hAnsi="仿宋" w:eastAsia="仿宋" w:cs="仿宋"/>
          <w:sz w:val="22"/>
          <w:szCs w:val="28"/>
        </w:rPr>
        <w:t>日期：        年     月    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1、投标人须在投标文件中按此模板提供承诺函，未提供视为未实质性响应招标文件要求，按无效投标处理。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2、投标人的法定代表人或者授权代表的签字或盖章应 真实、有效，如由授权代表签字或盖章的，应提供“法定代表人授权书”。</w:t>
      </w:r>
    </w:p>
    <w:p/>
    <w:p>
      <w:pPr>
        <w:pStyle w:val="21"/>
        <w:spacing w:line="360" w:lineRule="auto"/>
        <w:ind w:left="0" w:leftChars="0" w:firstLine="0" w:firstLineChars="0"/>
        <w:rPr>
          <w:rFonts w:ascii="宋体" w:hAnsi="宋体" w:cs="宋体"/>
        </w:rPr>
      </w:pPr>
    </w:p>
    <w:p>
      <w:pPr>
        <w:spacing w:beforeLines="50" w:afterLines="50" w:line="360" w:lineRule="auto"/>
        <w:jc w:val="center"/>
        <w:rPr>
          <w:rFonts w:hint="eastAsia"/>
          <w:b/>
        </w:rPr>
      </w:pPr>
    </w:p>
    <w:p>
      <w:pPr>
        <w:spacing w:beforeLines="50" w:afterLines="50" w:line="360" w:lineRule="auto"/>
        <w:jc w:val="center"/>
        <w:rPr>
          <w:rFonts w:hint="eastAsia"/>
          <w:b/>
        </w:rPr>
      </w:pPr>
    </w:p>
    <w:p>
      <w:pPr>
        <w:spacing w:beforeLines="50" w:afterLines="50" w:line="360" w:lineRule="auto"/>
        <w:jc w:val="center"/>
        <w:rPr>
          <w:b/>
        </w:rPr>
      </w:pPr>
      <w:r>
        <w:rPr>
          <w:rFonts w:hint="eastAsia"/>
          <w:b/>
        </w:rPr>
        <w:t>（四）其他资料</w:t>
      </w:r>
    </w:p>
    <w:p>
      <w:pPr>
        <w:spacing w:line="360" w:lineRule="auto"/>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20"/>
        <w:rPr>
          <w:rFonts w:ascii="宋体" w:hAnsi="宋体"/>
        </w:rPr>
      </w:pPr>
    </w:p>
    <w:p>
      <w:pPr>
        <w:pStyle w:val="21"/>
        <w:rPr>
          <w:rFonts w:ascii="宋体" w:hAnsi="宋体"/>
        </w:rPr>
      </w:pPr>
    </w:p>
    <w:p>
      <w:pPr>
        <w:pStyle w:val="20"/>
        <w:rPr>
          <w:rFonts w:ascii="宋体" w:hAnsi="宋体"/>
        </w:rPr>
      </w:pPr>
    </w:p>
    <w:p>
      <w:pPr>
        <w:pStyle w:val="46"/>
        <w:jc w:val="center"/>
        <w:rPr>
          <w:rFonts w:hint="eastAsia" w:ascii="宋体" w:hAnsi="宋体" w:eastAsia="宋体"/>
          <w:b/>
          <w:szCs w:val="24"/>
          <w:lang w:eastAsia="zh-CN"/>
        </w:rPr>
      </w:pPr>
      <w:r>
        <w:rPr>
          <w:rFonts w:hint="eastAsia" w:eastAsia="宋体"/>
          <w:b/>
          <w:sz w:val="32"/>
          <w:szCs w:val="32"/>
          <w:lang w:val="en-US" w:eastAsia="zh-CN"/>
        </w:rPr>
        <w:t>社旗县</w:t>
      </w:r>
      <w:r>
        <w:rPr>
          <w:rFonts w:hint="eastAsia" w:ascii="宋体" w:hAnsi="宋体" w:eastAsia="宋体"/>
          <w:b/>
          <w:sz w:val="32"/>
          <w:szCs w:val="32"/>
          <w:lang w:eastAsia="zh-CN"/>
        </w:rPr>
        <w:t>采购供应商信用记录表</w:t>
      </w:r>
    </w:p>
    <w:p>
      <w:pPr>
        <w:rPr>
          <w:rFonts w:hint="eastAsia" w:ascii="Cambria" w:hAnsi="Cambria"/>
        </w:rPr>
      </w:pPr>
      <w: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ascii="宋体" w:hAnsi="宋体"/>
          <w:sz w:val="24"/>
          <w:szCs w:val="24"/>
        </w:rPr>
        <w:t>注：根据</w:t>
      </w:r>
      <w:r>
        <w:rPr>
          <w:rFonts w:hint="eastAsia" w:ascii="宋体" w:hAnsi="宋体"/>
          <w:sz w:val="24"/>
          <w:szCs w:val="24"/>
          <w:lang w:eastAsia="zh-CN"/>
        </w:rPr>
        <w:t>社旗县</w:t>
      </w:r>
      <w:r>
        <w:rPr>
          <w:rFonts w:hint="eastAsia" w:ascii="宋体" w:hAnsi="宋体"/>
          <w:sz w:val="24"/>
          <w:szCs w:val="24"/>
        </w:rPr>
        <w:t>财政局</w:t>
      </w:r>
      <w:r>
        <w:rPr>
          <w:rFonts w:hint="eastAsia" w:ascii="宋体" w:hAnsi="宋体"/>
          <w:sz w:val="24"/>
          <w:szCs w:val="24"/>
          <w:lang w:eastAsia="zh-CN"/>
        </w:rPr>
        <w:t>规定</w:t>
      </w:r>
      <w:r>
        <w:rPr>
          <w:rFonts w:hint="eastAsia"/>
          <w:sz w:val="24"/>
          <w:szCs w:val="24"/>
          <w:lang w:val="en-US" w:eastAsia="zh-CN"/>
        </w:rPr>
        <w:t>2023</w:t>
      </w:r>
      <w:r>
        <w:rPr>
          <w:rFonts w:hint="eastAsia" w:ascii="宋体" w:hAnsi="宋体"/>
          <w:sz w:val="24"/>
          <w:szCs w:val="24"/>
        </w:rPr>
        <w:t>年</w:t>
      </w:r>
      <w:r>
        <w:rPr>
          <w:rFonts w:hint="eastAsia"/>
          <w:sz w:val="24"/>
          <w:szCs w:val="24"/>
          <w:lang w:val="en-US" w:eastAsia="zh-CN"/>
        </w:rPr>
        <w:t>1</w:t>
      </w:r>
      <w:r>
        <w:rPr>
          <w:rFonts w:hint="eastAsia" w:ascii="宋体" w:hAnsi="宋体"/>
          <w:sz w:val="24"/>
          <w:szCs w:val="24"/>
        </w:rPr>
        <w:t>月</w:t>
      </w:r>
      <w:r>
        <w:rPr>
          <w:rFonts w:hint="eastAsia"/>
          <w:sz w:val="24"/>
          <w:szCs w:val="24"/>
          <w:lang w:val="en-US" w:eastAsia="zh-CN"/>
        </w:rPr>
        <w:t>1</w:t>
      </w:r>
      <w:r>
        <w:rPr>
          <w:rFonts w:hint="eastAsia" w:ascii="宋体" w:hAnsi="宋体"/>
          <w:sz w:val="24"/>
          <w:szCs w:val="24"/>
        </w:rPr>
        <w:t>日</w:t>
      </w:r>
      <w:r>
        <w:rPr>
          <w:rFonts w:hint="eastAsia" w:ascii="宋体" w:hAnsi="宋体"/>
          <w:sz w:val="24"/>
          <w:szCs w:val="24"/>
          <w:lang w:eastAsia="zh-CN"/>
        </w:rPr>
        <w:t>起</w:t>
      </w:r>
      <w:r>
        <w:rPr>
          <w:rFonts w:hint="eastAsia" w:ascii="宋体" w:hAnsi="宋体"/>
          <w:sz w:val="24"/>
          <w:szCs w:val="24"/>
        </w:rPr>
        <w:t>按照《社旗县政府采购信用评价实施办法》的规定，由供应商在投标（响应）文件中提供“社旗县政府采购供应商信用记录表”（由供应商注册后在系统内打印），供应商按照该文件要求进入</w:t>
      </w:r>
      <w:r>
        <w:rPr>
          <w:rFonts w:hint="eastAsia"/>
          <w:sz w:val="24"/>
          <w:szCs w:val="24"/>
        </w:rPr>
        <w:t>http://sheqi.nanyangzcxy.cn/</w:t>
      </w:r>
      <w:r>
        <w:rPr>
          <w:rFonts w:hint="eastAsia" w:ascii="宋体" w:hAnsi="宋体"/>
          <w:sz w:val="24"/>
          <w:szCs w:val="24"/>
        </w:rPr>
        <w:t>，完善供应商信息并打印信用记录附于此处。</w:t>
      </w: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0"/>
      </w:pPr>
    </w:p>
    <w:p>
      <w:pPr>
        <w:pStyle w:val="21"/>
      </w:pPr>
    </w:p>
    <w:p>
      <w:pPr>
        <w:pStyle w:val="21"/>
        <w:spacing w:line="360" w:lineRule="auto"/>
        <w:ind w:left="0" w:leftChars="0" w:firstLine="0" w:firstLineChars="0"/>
        <w:rPr>
          <w:rFonts w:ascii="宋体" w:hAnsi="宋体"/>
        </w:rPr>
      </w:pPr>
    </w:p>
    <w:p>
      <w:pPr>
        <w:pStyle w:val="21"/>
        <w:spacing w:line="360" w:lineRule="auto"/>
        <w:ind w:left="0" w:leftChars="0" w:firstLine="0" w:firstLineChars="0"/>
        <w:rPr>
          <w:rFonts w:ascii="宋体" w:hAnsi="宋体"/>
        </w:rPr>
      </w:pPr>
    </w:p>
    <w:p>
      <w:pPr>
        <w:pStyle w:val="3"/>
        <w:numPr>
          <w:ilvl w:val="0"/>
          <w:numId w:val="24"/>
        </w:numPr>
        <w:tabs>
          <w:tab w:val="left" w:pos="425"/>
        </w:tabs>
        <w:rPr>
          <w:rFonts w:hint="eastAsia"/>
          <w:szCs w:val="24"/>
          <w:lang w:val="en-US" w:eastAsia="zh-CN"/>
        </w:rPr>
      </w:pPr>
      <w:r>
        <w:rPr>
          <w:rFonts w:hint="eastAsia"/>
          <w:szCs w:val="24"/>
          <w:lang w:val="en-US" w:eastAsia="zh-CN"/>
        </w:rPr>
        <w:t>投标报价明细表</w:t>
      </w:r>
    </w:p>
    <w:p>
      <w:pPr>
        <w:rPr>
          <w:rFonts w:hint="eastAsia"/>
          <w:szCs w:val="24"/>
          <w:lang w:val="en-US" w:eastAsia="zh-CN"/>
        </w:rPr>
      </w:pPr>
    </w:p>
    <w:p>
      <w:pPr>
        <w:rPr>
          <w:rFonts w:hint="eastAsia"/>
          <w:szCs w:val="24"/>
          <w:lang w:val="zh-CN"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738"/>
        <w:gridCol w:w="1891"/>
        <w:gridCol w:w="18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3"/>
              <w:tabs>
                <w:tab w:val="left" w:pos="840"/>
              </w:tabs>
              <w:rPr>
                <w:rFonts w:hint="eastAsia" w:eastAsia="宋体"/>
                <w:bCs w:val="0"/>
                <w:sz w:val="24"/>
                <w:szCs w:val="21"/>
                <w:vertAlign w:val="baseline"/>
                <w:lang w:val="en-US" w:eastAsia="zh-CN"/>
              </w:rPr>
            </w:pPr>
            <w:r>
              <w:rPr>
                <w:rFonts w:hint="eastAsia"/>
                <w:bCs w:val="0"/>
                <w:sz w:val="24"/>
                <w:szCs w:val="21"/>
                <w:vertAlign w:val="baseline"/>
                <w:lang w:val="en-US" w:eastAsia="zh-CN"/>
              </w:rPr>
              <w:t>序号</w:t>
            </w:r>
          </w:p>
        </w:tc>
        <w:tc>
          <w:tcPr>
            <w:tcW w:w="2738" w:type="dxa"/>
          </w:tcPr>
          <w:p>
            <w:pPr>
              <w:pStyle w:val="3"/>
              <w:tabs>
                <w:tab w:val="left" w:pos="840"/>
              </w:tabs>
              <w:rPr>
                <w:rFonts w:hint="default" w:eastAsia="宋体"/>
                <w:bCs w:val="0"/>
                <w:sz w:val="24"/>
                <w:szCs w:val="21"/>
                <w:vertAlign w:val="baseline"/>
                <w:lang w:val="en-US" w:eastAsia="zh-CN"/>
              </w:rPr>
            </w:pPr>
            <w:r>
              <w:rPr>
                <w:rFonts w:hint="eastAsia"/>
                <w:bCs w:val="0"/>
                <w:sz w:val="24"/>
                <w:szCs w:val="21"/>
                <w:vertAlign w:val="baseline"/>
                <w:lang w:val="en-US" w:eastAsia="zh-CN"/>
              </w:rPr>
              <w:t>岗位名称</w:t>
            </w:r>
          </w:p>
        </w:tc>
        <w:tc>
          <w:tcPr>
            <w:tcW w:w="1891" w:type="dxa"/>
          </w:tcPr>
          <w:p>
            <w:pPr>
              <w:pStyle w:val="3"/>
              <w:tabs>
                <w:tab w:val="left" w:pos="840"/>
              </w:tabs>
              <w:rPr>
                <w:rFonts w:hint="eastAsia" w:eastAsia="宋体"/>
                <w:bCs w:val="0"/>
                <w:sz w:val="24"/>
                <w:szCs w:val="21"/>
                <w:vertAlign w:val="baseline"/>
                <w:lang w:val="en-US" w:eastAsia="zh-CN"/>
              </w:rPr>
            </w:pPr>
            <w:r>
              <w:rPr>
                <w:rFonts w:hint="eastAsia"/>
                <w:bCs w:val="0"/>
                <w:sz w:val="24"/>
                <w:szCs w:val="21"/>
                <w:vertAlign w:val="baseline"/>
                <w:lang w:val="en-US" w:eastAsia="zh-CN"/>
              </w:rPr>
              <w:t>人数</w:t>
            </w:r>
          </w:p>
        </w:tc>
        <w:tc>
          <w:tcPr>
            <w:tcW w:w="1891" w:type="dxa"/>
          </w:tcPr>
          <w:p>
            <w:pPr>
              <w:pStyle w:val="3"/>
              <w:tabs>
                <w:tab w:val="left" w:pos="840"/>
              </w:tabs>
              <w:rPr>
                <w:rFonts w:hint="default" w:eastAsia="宋体"/>
                <w:bCs w:val="0"/>
                <w:sz w:val="24"/>
                <w:szCs w:val="21"/>
                <w:vertAlign w:val="baseline"/>
                <w:lang w:val="en-US" w:eastAsia="zh-CN"/>
              </w:rPr>
            </w:pPr>
            <w:r>
              <w:rPr>
                <w:rFonts w:hint="eastAsia"/>
                <w:bCs w:val="0"/>
                <w:sz w:val="24"/>
                <w:szCs w:val="21"/>
                <w:vertAlign w:val="baseline"/>
                <w:lang w:val="en-US" w:eastAsia="zh-CN"/>
              </w:rPr>
              <w:t>月费用(元)</w:t>
            </w:r>
          </w:p>
        </w:tc>
        <w:tc>
          <w:tcPr>
            <w:tcW w:w="1892" w:type="dxa"/>
          </w:tcPr>
          <w:p>
            <w:pPr>
              <w:pStyle w:val="3"/>
              <w:tabs>
                <w:tab w:val="left" w:pos="840"/>
              </w:tabs>
              <w:rPr>
                <w:rFonts w:hint="eastAsia" w:eastAsia="宋体"/>
                <w:bCs w:val="0"/>
                <w:sz w:val="24"/>
                <w:szCs w:val="21"/>
                <w:vertAlign w:val="baseline"/>
                <w:lang w:val="en-US" w:eastAsia="zh-CN"/>
              </w:rPr>
            </w:pPr>
            <w:r>
              <w:rPr>
                <w:rFonts w:hint="eastAsia"/>
                <w:bCs w:val="0"/>
                <w:sz w:val="24"/>
                <w:szCs w:val="21"/>
                <w:vertAlign w:val="baseline"/>
                <w:lang w:val="en-US" w:eastAsia="zh-CN"/>
              </w:rPr>
              <w:t>年费用（元）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物业管理负责人员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电梯强检人员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电梯维修维护人员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水电维修维护人员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园林绿化人员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保安人员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2738" w:type="dxa"/>
          </w:tcPr>
          <w:p>
            <w:pPr>
              <w:wordWrap/>
              <w:spacing w:line="360" w:lineRule="auto"/>
              <w:jc w:val="center"/>
              <w:rPr>
                <w:rFonts w:hint="eastAsia" w:ascii="宋体" w:hAnsi="宋体" w:eastAsia="宋体" w:cs="宋体"/>
                <w:lang w:val="zh-CN"/>
              </w:rPr>
            </w:pPr>
            <w:r>
              <w:rPr>
                <w:rFonts w:hint="eastAsia" w:ascii="宋体" w:hAnsi="宋体" w:eastAsia="宋体" w:cs="宋体"/>
                <w:lang w:val="en-US" w:eastAsia="zh-CN"/>
              </w:rPr>
              <w:t>保洁服务人员</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2738"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一切保洁、秩序维护用品、洗涤用品、耗材、工装、人员福利及其他支出（若包含在人员费用当中则无需单列）</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2738" w:type="dxa"/>
          </w:tcPr>
          <w:p>
            <w:pPr>
              <w:wordWrap/>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wordWrap/>
              <w:spacing w:line="360" w:lineRule="auto"/>
              <w:jc w:val="center"/>
              <w:rPr>
                <w:rFonts w:hint="eastAsia" w:ascii="宋体" w:hAnsi="宋体" w:eastAsia="宋体" w:cs="宋体"/>
                <w:lang w:val="en-US" w:eastAsia="zh-CN"/>
              </w:rPr>
            </w:pPr>
            <w:r>
              <w:rPr>
                <w:rFonts w:hint="eastAsia" w:ascii="宋体" w:hAnsi="宋体" w:eastAsia="宋体" w:cs="宋体"/>
                <w:b/>
                <w:bCs/>
                <w:lang w:val="en-US" w:eastAsia="zh-CN"/>
              </w:rPr>
              <w:t>总计</w:t>
            </w:r>
          </w:p>
        </w:tc>
        <w:tc>
          <w:tcPr>
            <w:tcW w:w="2738" w:type="dxa"/>
          </w:tcPr>
          <w:p>
            <w:pPr>
              <w:wordWrap/>
              <w:spacing w:line="360" w:lineRule="auto"/>
              <w:jc w:val="center"/>
              <w:rPr>
                <w:rFonts w:hint="eastAsia" w:ascii="宋体" w:hAnsi="宋体" w:eastAsia="宋体" w:cs="宋体"/>
                <w:lang w:val="en-US" w:eastAsia="zh-CN"/>
              </w:rPr>
            </w:pPr>
          </w:p>
        </w:tc>
        <w:tc>
          <w:tcPr>
            <w:tcW w:w="1891" w:type="dxa"/>
          </w:tcPr>
          <w:p>
            <w:pPr>
              <w:wordWrap/>
              <w:spacing w:line="360" w:lineRule="auto"/>
              <w:jc w:val="center"/>
              <w:rPr>
                <w:rFonts w:hint="eastAsia" w:ascii="宋体" w:hAnsi="宋体" w:eastAsia="宋体" w:cs="宋体"/>
                <w:lang w:val="zh-CN"/>
              </w:rPr>
            </w:pPr>
          </w:p>
        </w:tc>
        <w:tc>
          <w:tcPr>
            <w:tcW w:w="1891" w:type="dxa"/>
          </w:tcPr>
          <w:p>
            <w:pPr>
              <w:pStyle w:val="3"/>
              <w:tabs>
                <w:tab w:val="left" w:pos="840"/>
              </w:tabs>
              <w:jc w:val="center"/>
              <w:outlineLvl w:val="9"/>
              <w:rPr>
                <w:rFonts w:hint="eastAsia"/>
                <w:bCs w:val="0"/>
                <w:szCs w:val="24"/>
                <w:vertAlign w:val="baseline"/>
                <w:lang w:val="zh-CN"/>
              </w:rPr>
            </w:pPr>
          </w:p>
        </w:tc>
        <w:tc>
          <w:tcPr>
            <w:tcW w:w="1892" w:type="dxa"/>
          </w:tcPr>
          <w:p>
            <w:pPr>
              <w:pStyle w:val="3"/>
              <w:tabs>
                <w:tab w:val="left" w:pos="840"/>
              </w:tabs>
              <w:jc w:val="center"/>
              <w:outlineLvl w:val="9"/>
              <w:rPr>
                <w:rFonts w:hint="eastAsia"/>
                <w:bCs w:val="0"/>
                <w:szCs w:val="24"/>
                <w:vertAlign w:val="baseline"/>
                <w:lang w:val="zh-CN"/>
              </w:rPr>
            </w:pPr>
          </w:p>
        </w:tc>
      </w:tr>
    </w:tbl>
    <w:p>
      <w:pPr>
        <w:pStyle w:val="3"/>
        <w:tabs>
          <w:tab w:val="left" w:pos="840"/>
        </w:tabs>
        <w:ind w:left="0"/>
        <w:rPr>
          <w:rFonts w:hint="eastAsia" w:hAnsi="宋体" w:cs="黑体"/>
          <w:color w:val="auto"/>
          <w:sz w:val="21"/>
          <w:szCs w:val="21"/>
        </w:rPr>
      </w:pPr>
      <w:r>
        <w:rPr>
          <w:rFonts w:hint="eastAsia" w:hAnsi="宋体" w:cs="黑体"/>
          <w:color w:val="auto"/>
          <w:sz w:val="21"/>
          <w:szCs w:val="21"/>
        </w:rPr>
        <w:t>报价应包括税金</w:t>
      </w:r>
      <w:r>
        <w:rPr>
          <w:rFonts w:hint="eastAsia" w:hAnsi="宋体" w:cs="黑体"/>
          <w:color w:val="auto"/>
          <w:sz w:val="21"/>
          <w:szCs w:val="21"/>
          <w:lang w:eastAsia="zh-CN"/>
        </w:rPr>
        <w:t>、</w:t>
      </w:r>
      <w:r>
        <w:rPr>
          <w:rFonts w:hint="eastAsia" w:hAnsi="宋体" w:cs="黑体"/>
          <w:color w:val="auto"/>
          <w:sz w:val="21"/>
          <w:szCs w:val="21"/>
        </w:rPr>
        <w:t>劳务、管理、材料、维护、利润、政策性文件规定及合同中包含的风险、责任以及投标人认为与工程有关的其他费用</w:t>
      </w:r>
    </w:p>
    <w:p>
      <w:pPr>
        <w:spacing w:line="360" w:lineRule="auto"/>
        <w:jc w:val="right"/>
        <w:rPr>
          <w:u w:val="single"/>
        </w:rPr>
      </w:pPr>
      <w:bookmarkStart w:id="630" w:name="_Toc21612_WPSOffice_Level1"/>
      <w:bookmarkStart w:id="631" w:name="_Toc29835_WPSOffice_Level1"/>
      <w:bookmarkStart w:id="632" w:name="_Toc25723_WPSOffice_Level1"/>
      <w:bookmarkStart w:id="633" w:name="_Toc28662"/>
      <w:r>
        <w:rPr>
          <w:rFonts w:hint="eastAsia"/>
        </w:rPr>
        <w:t>响应人（电子签章）：</w:t>
      </w:r>
    </w:p>
    <w:p>
      <w:pPr>
        <w:spacing w:line="360" w:lineRule="auto"/>
        <w:jc w:val="right"/>
      </w:pPr>
      <w:r>
        <w:rPr>
          <w:rFonts w:hint="eastAsia"/>
        </w:rPr>
        <w:t>法定代表人或被授权人（电子签名）：</w:t>
      </w:r>
    </w:p>
    <w:p>
      <w:pPr>
        <w:spacing w:line="360" w:lineRule="auto"/>
        <w:jc w:val="right"/>
      </w:pPr>
      <w:r>
        <w:rPr>
          <w:rFonts w:hint="eastAsia"/>
        </w:rPr>
        <w:t>日期：  年  月  日</w:t>
      </w:r>
    </w:p>
    <w:p>
      <w:pPr>
        <w:pStyle w:val="3"/>
        <w:tabs>
          <w:tab w:val="left" w:pos="840"/>
        </w:tabs>
        <w:ind w:left="0"/>
        <w:outlineLvl w:val="9"/>
        <w:rPr>
          <w:rFonts w:hint="eastAsia"/>
          <w:bCs w:val="0"/>
          <w:szCs w:val="24"/>
          <w:highlight w:val="none"/>
          <w:lang w:val="zh-CN"/>
        </w:rPr>
      </w:pPr>
    </w:p>
    <w:p>
      <w:pPr>
        <w:rPr>
          <w:rFonts w:hint="eastAsia"/>
          <w:lang w:val="zh-CN"/>
        </w:rPr>
      </w:pPr>
    </w:p>
    <w:bookmarkEnd w:id="630"/>
    <w:bookmarkEnd w:id="631"/>
    <w:bookmarkEnd w:id="632"/>
    <w:bookmarkEnd w:id="633"/>
    <w:p>
      <w:pPr>
        <w:spacing w:line="360" w:lineRule="auto"/>
        <w:rPr>
          <w:rFonts w:hint="eastAsia"/>
        </w:rPr>
      </w:pPr>
    </w:p>
    <w:p>
      <w:pPr>
        <w:spacing w:line="360" w:lineRule="auto"/>
        <w:rPr>
          <w:rFonts w:hint="eastAsia"/>
        </w:rPr>
      </w:pPr>
    </w:p>
    <w:p>
      <w:pPr>
        <w:pStyle w:val="7"/>
        <w:spacing w:before="7"/>
        <w:ind w:left="0"/>
        <w:jc w:val="center"/>
        <w:rPr>
          <w:b/>
          <w:sz w:val="10"/>
        </w:rPr>
      </w:pPr>
      <w:r>
        <w:rPr>
          <w:rFonts w:hint="eastAsia"/>
          <w:b/>
          <w:sz w:val="32"/>
          <w:szCs w:val="24"/>
          <w:lang w:val="en-US" w:eastAsia="zh-CN"/>
        </w:rPr>
        <w:t>五</w:t>
      </w:r>
      <w:r>
        <w:rPr>
          <w:rFonts w:hint="eastAsia" w:ascii="宋体" w:hAnsi="宋体" w:eastAsia="宋体" w:cs="宋体"/>
          <w:b/>
          <w:sz w:val="32"/>
          <w:szCs w:val="24"/>
          <w:lang w:val="en-US" w:eastAsia="zh-CN"/>
        </w:rPr>
        <w:t>、信用承诺书</w:t>
      </w:r>
    </w:p>
    <w:p>
      <w:pPr>
        <w:spacing w:before="66"/>
        <w:ind w:left="3618" w:right="0" w:firstLine="0"/>
        <w:jc w:val="left"/>
        <w:rPr>
          <w:b/>
          <w:sz w:val="24"/>
        </w:rPr>
      </w:pPr>
      <w:r>
        <w:rPr>
          <w:b/>
          <w:sz w:val="24"/>
        </w:rPr>
        <w:t>（投标单位范本）</w:t>
      </w:r>
    </w:p>
    <w:p>
      <w:pPr>
        <w:pStyle w:val="7"/>
        <w:spacing w:before="161" w:line="312" w:lineRule="auto"/>
        <w:ind w:right="237" w:firstLine="566"/>
      </w:pPr>
      <w:r>
        <w:t>为营造公开、公平、公正、诚实守信的公共资源交易环境，树立诚信守法的供应商形象，本人代表本单位作出以下承诺：</w:t>
      </w:r>
    </w:p>
    <w:p>
      <w:pPr>
        <w:pStyle w:val="7"/>
        <w:spacing w:before="2" w:line="312" w:lineRule="auto"/>
        <w:ind w:right="117" w:firstLine="566"/>
      </w:pPr>
      <w:r>
        <w:t>（一）本单位对所提交的企（事）业单位基本信息、企（事）业负责人、项目</w:t>
      </w:r>
      <w:r>
        <w:rPr>
          <w:spacing w:val="-15"/>
        </w:rPr>
        <w:t>负责人、技术负责人、从业资质和资格、业绩、财务状况、信誉等所有资料，均合法、</w:t>
      </w:r>
      <w:r>
        <w:t>真实、准确、有效，无任何伪造、修改、虚假成份，并对所提供资料的真实性负责。</w:t>
      </w:r>
    </w:p>
    <w:p>
      <w:pPr>
        <w:pStyle w:val="7"/>
        <w:spacing w:before="2" w:line="312" w:lineRule="auto"/>
        <w:ind w:right="117" w:firstLine="566"/>
      </w:pPr>
      <w:r>
        <w:t>（二）严格依照国家和河南省关于招标投标的法律、法规、规章、规范性文件， 参加公共资源招标投标活动，不挂靠、借用、出租、出借、转让资质，积极履行社会责任，促进廉政建设。</w:t>
      </w:r>
    </w:p>
    <w:p>
      <w:pPr>
        <w:pStyle w:val="7"/>
        <w:spacing w:before="2" w:line="312" w:lineRule="auto"/>
        <w:ind w:right="117" w:firstLine="566"/>
      </w:pPr>
      <w:r>
        <w:t>（三）自我约束、自我管理，守合同、重信用，不参与围标串标、弄虚作假、骗取中标、干扰评标、胁迫他人投标（放弃中标）、恶意投诉、违约毁约等行为，自觉维护公共资源招标投标的良好秩序。</w:t>
      </w:r>
    </w:p>
    <w:p>
      <w:pPr>
        <w:pStyle w:val="7"/>
        <w:spacing w:before="2" w:line="312" w:lineRule="auto"/>
        <w:ind w:right="117" w:firstLine="566"/>
      </w:pPr>
      <w:r>
        <w:t>（四）本单位及项目经办人员信用状况良好，未被列为失信惩戒对象或“老赖”，符合参与公共资源交易活动的相关要求。</w:t>
      </w:r>
    </w:p>
    <w:p>
      <w:pPr>
        <w:pStyle w:val="7"/>
        <w:spacing w:before="2" w:line="312" w:lineRule="auto"/>
        <w:ind w:right="117" w:firstLine="566"/>
      </w:pPr>
      <w: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pPr>
        <w:pStyle w:val="7"/>
        <w:spacing w:before="2" w:line="312" w:lineRule="auto"/>
        <w:ind w:right="117" w:firstLine="566"/>
      </w:pPr>
      <w:r>
        <w:t>（六）若中标，本单位将在规定的时间内与招标人签订合同并自觉履行合同义务，不转包或违法分包中标项目。</w:t>
      </w:r>
    </w:p>
    <w:p>
      <w:pPr>
        <w:pStyle w:val="7"/>
        <w:spacing w:before="2" w:line="312" w:lineRule="auto"/>
        <w:ind w:right="117" w:firstLine="566"/>
      </w:pPr>
      <w:r>
        <w:t>（七）自觉接受政府、行业组织、社会公众、新闻舆论的监督。</w:t>
      </w:r>
    </w:p>
    <w:p>
      <w:pPr>
        <w:pStyle w:val="7"/>
        <w:spacing w:before="2" w:line="312" w:lineRule="auto"/>
        <w:ind w:right="117" w:firstLine="566"/>
      </w:pPr>
      <w: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7"/>
        <w:spacing w:before="2" w:line="312" w:lineRule="auto"/>
        <w:ind w:right="117" w:firstLine="566"/>
      </w:pPr>
      <w:r>
        <w:t>（九）本人已认真阅读了上述承诺，并向本单位员工作了宣传教育。</w:t>
      </w:r>
    </w:p>
    <w:p>
      <w:pPr>
        <w:pStyle w:val="7"/>
        <w:spacing w:before="2" w:line="312" w:lineRule="auto"/>
        <w:ind w:right="117" w:firstLine="566"/>
      </w:pPr>
    </w:p>
    <w:p>
      <w:pPr>
        <w:pStyle w:val="7"/>
        <w:spacing w:before="11"/>
        <w:ind w:left="0"/>
        <w:rPr>
          <w:sz w:val="19"/>
        </w:rPr>
      </w:pPr>
    </w:p>
    <w:p>
      <w:pPr>
        <w:pStyle w:val="7"/>
        <w:spacing w:before="93" w:line="312" w:lineRule="auto"/>
        <w:ind w:right="237" w:firstLine="566"/>
        <w:jc w:val="both"/>
        <w:rPr>
          <w:spacing w:val="-10"/>
        </w:rPr>
      </w:pPr>
      <w:r>
        <w:rPr>
          <w:spacing w:val="-10"/>
        </w:rPr>
        <w:t>供应商（全称）：（电子签章）</w:t>
      </w:r>
    </w:p>
    <w:p>
      <w:pPr>
        <w:pStyle w:val="7"/>
        <w:spacing w:before="93" w:line="312" w:lineRule="auto"/>
        <w:ind w:right="237" w:firstLine="566"/>
        <w:jc w:val="both"/>
        <w:rPr>
          <w:spacing w:val="-10"/>
        </w:rPr>
      </w:pPr>
      <w:r>
        <w:rPr>
          <w:spacing w:val="-10"/>
        </w:rPr>
        <w:t>法定代表人（负责人）或其授权代表（电子签章/签名）：</w:t>
      </w:r>
    </w:p>
    <w:p>
      <w:pPr>
        <w:pStyle w:val="7"/>
        <w:spacing w:before="93" w:line="312" w:lineRule="auto"/>
        <w:ind w:right="237" w:firstLine="566"/>
        <w:jc w:val="both"/>
        <w:rPr>
          <w:spacing w:val="-10"/>
        </w:rPr>
      </w:pPr>
      <w:r>
        <w:rPr>
          <w:spacing w:val="-10"/>
        </w:rPr>
        <w:t>日期：</w:t>
      </w:r>
    </w:p>
    <w:p>
      <w:pPr>
        <w:spacing w:line="360" w:lineRule="auto"/>
        <w:rPr>
          <w:rFonts w:hint="eastAsia"/>
          <w:b/>
          <w:bCs/>
        </w:rPr>
      </w:pPr>
    </w:p>
    <w:p>
      <w:pPr>
        <w:pStyle w:val="3"/>
        <w:numPr>
          <w:ilvl w:val="0"/>
          <w:numId w:val="0"/>
        </w:numPr>
        <w:tabs>
          <w:tab w:val="left" w:pos="840"/>
        </w:tabs>
        <w:ind w:left="630" w:leftChars="0"/>
        <w:jc w:val="center"/>
        <w:outlineLvl w:val="9"/>
        <w:rPr>
          <w:rFonts w:hint="eastAsia"/>
          <w:szCs w:val="24"/>
          <w:lang w:val="en-US" w:eastAsia="zh-CN"/>
        </w:rPr>
      </w:pPr>
      <w:bookmarkStart w:id="634" w:name="_Toc339972632"/>
      <w:bookmarkStart w:id="635" w:name="_Toc20487"/>
      <w:bookmarkStart w:id="636" w:name="_Toc275795959"/>
      <w:bookmarkStart w:id="637" w:name="_Toc355809725"/>
      <w:bookmarkStart w:id="638" w:name="_Toc11065_WPSOffice_Level1"/>
      <w:bookmarkStart w:id="639" w:name="_Toc12975_WPSOffice_Level1"/>
      <w:bookmarkStart w:id="640" w:name="_Toc28100"/>
      <w:bookmarkStart w:id="641" w:name="_Toc31795_WPSOffice_Level1"/>
      <w:bookmarkStart w:id="642" w:name="_Toc17966"/>
    </w:p>
    <w:p>
      <w:pPr>
        <w:pStyle w:val="3"/>
        <w:numPr>
          <w:ilvl w:val="0"/>
          <w:numId w:val="0"/>
        </w:numPr>
        <w:tabs>
          <w:tab w:val="left" w:pos="840"/>
        </w:tabs>
        <w:ind w:left="630" w:leftChars="0"/>
        <w:jc w:val="center"/>
        <w:outlineLvl w:val="9"/>
        <w:rPr>
          <w:rFonts w:hint="eastAsia"/>
          <w:szCs w:val="24"/>
          <w:lang w:val="en-US" w:eastAsia="zh-CN"/>
        </w:rPr>
      </w:pPr>
    </w:p>
    <w:p>
      <w:pPr>
        <w:pStyle w:val="3"/>
        <w:numPr>
          <w:ilvl w:val="0"/>
          <w:numId w:val="0"/>
        </w:numPr>
        <w:tabs>
          <w:tab w:val="left" w:pos="840"/>
        </w:tabs>
        <w:ind w:left="630" w:leftChars="0"/>
        <w:jc w:val="center"/>
        <w:rPr>
          <w:szCs w:val="24"/>
        </w:rPr>
      </w:pPr>
      <w:r>
        <w:rPr>
          <w:rFonts w:hint="eastAsia"/>
          <w:szCs w:val="24"/>
          <w:lang w:val="en-US" w:eastAsia="zh-CN"/>
        </w:rPr>
        <w:t>六、</w:t>
      </w:r>
      <w:r>
        <w:rPr>
          <w:rFonts w:hint="eastAsia"/>
          <w:szCs w:val="24"/>
          <w:lang w:val="zh-CN"/>
        </w:rPr>
        <w:t>反商业贿赂承诺书</w:t>
      </w:r>
      <w:bookmarkEnd w:id="634"/>
      <w:bookmarkEnd w:id="635"/>
      <w:bookmarkEnd w:id="636"/>
      <w:bookmarkEnd w:id="637"/>
      <w:bookmarkEnd w:id="638"/>
      <w:bookmarkEnd w:id="639"/>
      <w:bookmarkEnd w:id="640"/>
      <w:bookmarkEnd w:id="641"/>
      <w:bookmarkEnd w:id="642"/>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spacing w:line="360" w:lineRule="auto"/>
        <w:ind w:firstLine="555"/>
      </w:pPr>
    </w:p>
    <w:p>
      <w:pPr>
        <w:spacing w:line="360" w:lineRule="auto"/>
        <w:ind w:firstLine="2880"/>
        <w:jc w:val="right"/>
        <w:rPr>
          <w:u w:val="single"/>
        </w:rPr>
      </w:pPr>
      <w:r>
        <w:rPr>
          <w:rFonts w:hint="eastAsia"/>
        </w:rPr>
        <w:t>公司法人代表（电子签名）：</w:t>
      </w:r>
    </w:p>
    <w:p>
      <w:pPr>
        <w:spacing w:line="360" w:lineRule="auto"/>
        <w:ind w:firstLine="2880"/>
        <w:jc w:val="right"/>
        <w:rPr>
          <w:u w:val="single"/>
        </w:rPr>
      </w:pPr>
      <w:r>
        <w:rPr>
          <w:rFonts w:hint="eastAsia"/>
        </w:rPr>
        <w:t>法人授权代表（电子签名）：</w:t>
      </w:r>
    </w:p>
    <w:p>
      <w:pPr>
        <w:spacing w:line="360" w:lineRule="auto"/>
        <w:ind w:firstLine="555"/>
        <w:jc w:val="right"/>
      </w:pPr>
      <w:r>
        <w:rPr>
          <w:rFonts w:hint="eastAsia"/>
        </w:rPr>
        <w:t>响应人：（电子签章）</w:t>
      </w:r>
    </w:p>
    <w:p>
      <w:pPr>
        <w:spacing w:line="360" w:lineRule="auto"/>
        <w:ind w:firstLine="555"/>
        <w:jc w:val="right"/>
      </w:pPr>
      <w:r>
        <w:rPr>
          <w:rFonts w:hint="eastAsia"/>
        </w:rPr>
        <w:t>日期： 年  月  日</w:t>
      </w:r>
    </w:p>
    <w:p>
      <w:pPr>
        <w:spacing w:line="360" w:lineRule="auto"/>
        <w:jc w:val="right"/>
      </w:pPr>
    </w:p>
    <w:p>
      <w:pPr>
        <w:pStyle w:val="3"/>
        <w:numPr>
          <w:ilvl w:val="0"/>
          <w:numId w:val="0"/>
        </w:numPr>
        <w:tabs>
          <w:tab w:val="left" w:pos="840"/>
        </w:tabs>
        <w:ind w:left="630" w:leftChars="0"/>
        <w:jc w:val="center"/>
        <w:rPr>
          <w:bCs w:val="0"/>
          <w:szCs w:val="24"/>
          <w:lang w:val="zh-CN"/>
        </w:rPr>
      </w:pPr>
      <w:bookmarkStart w:id="643" w:name="_Toc13712"/>
      <w:r>
        <w:rPr>
          <w:rFonts w:hint="eastAsia"/>
          <w:szCs w:val="24"/>
          <w:lang w:eastAsia="zh-CN"/>
        </w:rPr>
        <w:br w:type="page"/>
      </w:r>
      <w:bookmarkEnd w:id="643"/>
      <w:bookmarkStart w:id="644" w:name="_Toc15983"/>
      <w:bookmarkStart w:id="645" w:name="_Toc8534_WPSOffice_Level1"/>
      <w:bookmarkStart w:id="646" w:name="_Toc18051_WPSOffice_Level1"/>
      <w:bookmarkStart w:id="647" w:name="_Toc27715_WPSOffice_Level1"/>
      <w:bookmarkStart w:id="648" w:name="_Toc13391"/>
      <w:r>
        <w:rPr>
          <w:rFonts w:hint="eastAsia"/>
          <w:szCs w:val="24"/>
          <w:lang w:val="en-US" w:eastAsia="zh-CN"/>
        </w:rPr>
        <w:t>七、</w:t>
      </w:r>
      <w:r>
        <w:rPr>
          <w:rFonts w:hint="eastAsia"/>
          <w:szCs w:val="24"/>
          <w:lang w:val="zh-CN"/>
        </w:rPr>
        <w:t>中小企业声明函</w:t>
      </w:r>
      <w:bookmarkEnd w:id="644"/>
      <w:bookmarkEnd w:id="645"/>
      <w:bookmarkEnd w:id="646"/>
      <w:bookmarkEnd w:id="647"/>
      <w:bookmarkEnd w:id="648"/>
    </w:p>
    <w:p>
      <w:pPr>
        <w:spacing w:line="360" w:lineRule="auto"/>
        <w:ind w:left="59" w:leftChars="28"/>
        <w:jc w:val="center"/>
      </w:pPr>
      <w:r>
        <w:rPr>
          <w:rFonts w:hint="eastAsia"/>
        </w:rPr>
        <w:t>（属于中小微企业的填写，不属于的无需填写此项内容）</w:t>
      </w:r>
    </w:p>
    <w:p>
      <w:pPr>
        <w:spacing w:line="360" w:lineRule="auto"/>
        <w:ind w:firstLine="472" w:firstLineChars="225"/>
      </w:pPr>
    </w:p>
    <w:p>
      <w:pPr>
        <w:spacing w:line="360" w:lineRule="auto"/>
        <w:ind w:firstLine="472" w:firstLineChars="225"/>
      </w:pPr>
      <w:r>
        <w:t>本公司郑重声明，根据</w:t>
      </w:r>
      <w:r>
        <w:rPr>
          <w:rFonts w:hint="eastAsia"/>
          <w:lang w:eastAsia="zh-CN"/>
        </w:rPr>
        <w:t>《政府采购促进中小企业发展管理办法》（财库（2020）46号）</w:t>
      </w:r>
      <w:r>
        <w:t>的规定，本公司为（请填写：中型、小型、微型）企业。即，本公司同时满足以下条件：</w:t>
      </w:r>
    </w:p>
    <w:p>
      <w:pPr>
        <w:spacing w:line="360" w:lineRule="auto"/>
        <w:ind w:firstLine="472" w:firstLineChars="225"/>
      </w:pPr>
      <w: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72" w:firstLineChars="225"/>
      </w:pPr>
      <w:r>
        <w:t>2.本公司参加单位的项目采购活动提供本企业制造的货物，由本企业承担项目、提供服务，或者提供其他______（请填写：中型、小型、微型）企业制造的货物。本条所称货物不包括使用大型企业注册商标的货物。</w:t>
      </w:r>
    </w:p>
    <w:p>
      <w:pPr>
        <w:spacing w:line="360" w:lineRule="auto"/>
        <w:ind w:firstLine="472" w:firstLineChars="225"/>
      </w:pPr>
      <w:r>
        <w:t>本公司对上述声明的真实性负责。如有虚假，将依法承担相应责任。</w:t>
      </w:r>
    </w:p>
    <w:p>
      <w:pPr>
        <w:spacing w:line="360" w:lineRule="auto"/>
        <w:ind w:firstLine="472" w:firstLineChars="225"/>
      </w:pPr>
    </w:p>
    <w:p>
      <w:pPr>
        <w:spacing w:line="360" w:lineRule="auto"/>
        <w:ind w:firstLine="472" w:firstLineChars="225"/>
      </w:pPr>
    </w:p>
    <w:p>
      <w:pPr>
        <w:spacing w:line="360" w:lineRule="auto"/>
        <w:ind w:firstLine="472" w:firstLineChars="225"/>
        <w:jc w:val="right"/>
      </w:pPr>
      <w:r>
        <w:t>企业名称：（</w:t>
      </w:r>
      <w:r>
        <w:rPr>
          <w:rFonts w:hint="eastAsia"/>
        </w:rPr>
        <w:t>电子签章</w:t>
      </w:r>
      <w:r>
        <w:t>）</w:t>
      </w:r>
    </w:p>
    <w:p>
      <w:pPr>
        <w:spacing w:line="360" w:lineRule="auto"/>
        <w:ind w:firstLine="472" w:firstLineChars="225"/>
        <w:jc w:val="right"/>
        <w:rPr>
          <w:spacing w:val="6"/>
        </w:rPr>
      </w:pPr>
      <w:r>
        <w:t>日 期：年月日</w:t>
      </w:r>
    </w:p>
    <w:p>
      <w:pPr>
        <w:wordWrap/>
        <w:topLinePunct w:val="0"/>
        <w:spacing w:line="360" w:lineRule="auto"/>
        <w:ind w:firstLine="420" w:firstLineChars="200"/>
      </w:pPr>
      <w:r>
        <w:rPr>
          <w:rFonts w:hint="eastAsia"/>
        </w:rPr>
        <w:t>财政部、工信部关于印发《政府采购促进中小企业发展</w:t>
      </w:r>
      <w:r>
        <w:rPr>
          <w:rFonts w:hint="eastAsia"/>
          <w:lang w:eastAsia="zh-CN"/>
        </w:rPr>
        <w:t>管理</w:t>
      </w:r>
      <w:r>
        <w:rPr>
          <w:rFonts w:hint="eastAsia"/>
        </w:rPr>
        <w:t>办法》的通知（财库（2020）46号）第二条规定：中小企业（含中型、小型、微型企业）应当同时符合以下条件：</w:t>
      </w:r>
    </w:p>
    <w:p>
      <w:pPr>
        <w:wordWrap/>
        <w:topLinePunct w:val="0"/>
        <w:spacing w:line="360" w:lineRule="auto"/>
        <w:ind w:firstLine="420" w:firstLineChars="20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pPr>
        <w:wordWrap/>
        <w:topLinePunct w:val="0"/>
        <w:spacing w:line="360" w:lineRule="auto"/>
        <w:ind w:firstLine="420" w:firstLineChars="200"/>
      </w:pPr>
      <w:r>
        <w:rPr>
          <w:rFonts w:hint="eastAsia"/>
        </w:rPr>
        <w:t>2. 提供本企业制造的货物、承担的工程或者服务，或者提供其他小微企业制造的货物。本项所称货物不包括使用大型企业注册商标的货物。</w:t>
      </w:r>
    </w:p>
    <w:p>
      <w:pPr>
        <w:wordWrap/>
        <w:topLinePunct w:val="0"/>
        <w:spacing w:line="360" w:lineRule="auto"/>
        <w:ind w:firstLine="420" w:firstLineChars="200"/>
      </w:pPr>
      <w:r>
        <w:rPr>
          <w:rFonts w:hint="eastAsia"/>
        </w:rPr>
        <w:t>3. 本办法所称中小企业划分标准，是指国务院有关部门根据企业从业人员、营业收入、资产总额等指标制定的中小企业划型标准。</w:t>
      </w:r>
    </w:p>
    <w:p>
      <w:pPr>
        <w:wordWrap/>
        <w:topLinePunct w:val="0"/>
        <w:spacing w:line="360" w:lineRule="auto"/>
        <w:ind w:firstLine="420" w:firstLineChars="200"/>
      </w:pPr>
      <w:r>
        <w:rPr>
          <w:rFonts w:hint="eastAsia"/>
        </w:rPr>
        <w:t>4. 小型、微型企业提供中型企业制造的货物的，视同为中型企业。</w:t>
      </w:r>
    </w:p>
    <w:p>
      <w:pPr>
        <w:wordWrap/>
        <w:topLinePunct w:val="0"/>
        <w:spacing w:line="360" w:lineRule="auto"/>
      </w:pPr>
    </w:p>
    <w:p>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pPr>
        <w:pStyle w:val="3"/>
        <w:numPr>
          <w:ilvl w:val="0"/>
          <w:numId w:val="26"/>
        </w:numPr>
        <w:tabs>
          <w:tab w:val="left" w:pos="840"/>
        </w:tabs>
        <w:ind w:left="1027" w:leftChars="0" w:firstLineChars="0"/>
        <w:rPr>
          <w:bCs w:val="0"/>
          <w:szCs w:val="24"/>
          <w:lang w:eastAsia="zh-CN"/>
        </w:rPr>
      </w:pPr>
      <w:bookmarkStart w:id="649" w:name="_Toc9983"/>
      <w:bookmarkStart w:id="650" w:name="_Toc28975"/>
      <w:r>
        <w:rPr>
          <w:rFonts w:hint="eastAsia"/>
          <w:bCs w:val="0"/>
          <w:szCs w:val="24"/>
          <w:lang w:eastAsia="zh-CN"/>
        </w:rPr>
        <w:br w:type="page"/>
      </w:r>
      <w:bookmarkStart w:id="651" w:name="_Toc5859_WPSOffice_Level1"/>
      <w:bookmarkStart w:id="652" w:name="_Toc14029"/>
      <w:bookmarkStart w:id="653" w:name="_Toc21261"/>
      <w:bookmarkStart w:id="654" w:name="_Toc2499"/>
      <w:bookmarkStart w:id="655" w:name="_Toc25619_WPSOffice_Level1"/>
      <w:bookmarkStart w:id="656" w:name="_Toc30034_WPSOffice_Level1"/>
      <w:bookmarkStart w:id="657" w:name="_Toc23233"/>
      <w:bookmarkStart w:id="658" w:name="OLE_LINK13"/>
      <w:bookmarkStart w:id="659" w:name="OLE_LINK14"/>
      <w:r>
        <w:rPr>
          <w:rFonts w:hint="eastAsia"/>
          <w:szCs w:val="24"/>
          <w:lang w:eastAsia="zh-CN"/>
        </w:rPr>
        <w:t>残疾人福利性单位声明函</w:t>
      </w:r>
      <w:bookmarkEnd w:id="651"/>
      <w:bookmarkEnd w:id="652"/>
      <w:bookmarkEnd w:id="653"/>
      <w:bookmarkEnd w:id="654"/>
      <w:bookmarkEnd w:id="655"/>
      <w:bookmarkEnd w:id="656"/>
      <w:bookmarkEnd w:id="657"/>
    </w:p>
    <w:bookmarkEnd w:id="658"/>
    <w:bookmarkEnd w:id="659"/>
    <w:p>
      <w:pPr>
        <w:spacing w:line="360" w:lineRule="auto"/>
        <w:rPr>
          <w:b/>
          <w:spacing w:val="6"/>
        </w:rPr>
      </w:pPr>
    </w:p>
    <w:p>
      <w:pPr>
        <w:spacing w:line="360" w:lineRule="auto"/>
        <w:ind w:firstLine="44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spacing w:val="6"/>
        </w:rPr>
      </w:pPr>
      <w:r>
        <w:rPr>
          <w:rFonts w:hint="eastAsia"/>
          <w:spacing w:val="6"/>
        </w:rPr>
        <w:t>本单位对上述声明的真实性负责。如有虚假，将依法承担相应责任。</w:t>
      </w:r>
    </w:p>
    <w:p>
      <w:pPr>
        <w:spacing w:line="360" w:lineRule="auto"/>
        <w:ind w:firstLine="444" w:firstLineChars="200"/>
        <w:rPr>
          <w:spacing w:val="6"/>
        </w:rPr>
      </w:pPr>
    </w:p>
    <w:p>
      <w:pPr>
        <w:spacing w:line="360" w:lineRule="auto"/>
        <w:ind w:firstLine="444" w:firstLineChars="200"/>
        <w:rPr>
          <w:spacing w:val="6"/>
        </w:rPr>
      </w:pPr>
    </w:p>
    <w:p>
      <w:pPr>
        <w:tabs>
          <w:tab w:val="left" w:pos="4860"/>
        </w:tabs>
        <w:spacing w:line="360" w:lineRule="auto"/>
        <w:ind w:right="1560" w:firstLine="444" w:firstLineChars="200"/>
        <w:jc w:val="right"/>
        <w:rPr>
          <w:spacing w:val="6"/>
          <w:u w:val="single"/>
        </w:rPr>
      </w:pPr>
      <w:r>
        <w:rPr>
          <w:rFonts w:hint="eastAsia"/>
          <w:spacing w:val="6"/>
        </w:rPr>
        <w:t xml:space="preserve">                 单位名称：（电子签章）</w:t>
      </w:r>
    </w:p>
    <w:p>
      <w:pPr>
        <w:tabs>
          <w:tab w:val="left" w:pos="4860"/>
        </w:tabs>
        <w:spacing w:line="360" w:lineRule="auto"/>
        <w:ind w:right="1560" w:firstLine="444" w:firstLineChars="200"/>
        <w:jc w:val="right"/>
        <w:rPr>
          <w:spacing w:val="6"/>
        </w:rPr>
      </w:pPr>
      <w:r>
        <w:rPr>
          <w:rFonts w:hint="eastAsia"/>
          <w:spacing w:val="6"/>
        </w:rPr>
        <w:t xml:space="preserve">       日  期：  年 月 日</w:t>
      </w:r>
    </w:p>
    <w:p>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pPr>
        <w:widowControl/>
        <w:spacing w:line="360" w:lineRule="auto"/>
        <w:rPr>
          <w:b/>
        </w:rPr>
      </w:pPr>
      <w:r>
        <w:rPr>
          <w:rFonts w:hint="eastAsia"/>
          <w:b/>
        </w:rPr>
        <w:t>》。否则，因此导致虚假投标的后果由响应人自行承担。）</w:t>
      </w:r>
    </w:p>
    <w:p>
      <w:pPr>
        <w:tabs>
          <w:tab w:val="left" w:pos="840"/>
        </w:tabs>
        <w:autoSpaceDE w:val="0"/>
        <w:autoSpaceDN w:val="0"/>
        <w:adjustRightInd w:val="0"/>
        <w:spacing w:line="360" w:lineRule="auto"/>
        <w:rPr>
          <w:b/>
          <w:sz w:val="24"/>
        </w:rPr>
      </w:pPr>
    </w:p>
    <w:p>
      <w:pPr>
        <w:spacing w:line="360" w:lineRule="auto"/>
      </w:pPr>
      <w:r>
        <w:rPr>
          <w:rFonts w:hint="eastAsia"/>
        </w:rPr>
        <w:t>《财政部民政部中国残疾人联合会关于促进残疾人就业政府采购政策的通知》（财库（2017〔141〕号）的规定：</w:t>
      </w:r>
    </w:p>
    <w:p>
      <w:pPr>
        <w:spacing w:line="360" w:lineRule="auto"/>
        <w:ind w:firstLine="420" w:firstLineChars="200"/>
      </w:pPr>
      <w:r>
        <w:rPr>
          <w:rFonts w:hint="eastAsia"/>
        </w:rPr>
        <w:t>1. 享受政府采购支持政策的残疾人福利性单位应当同时满足以下条件：</w:t>
      </w:r>
    </w:p>
    <w:p>
      <w:pPr>
        <w:spacing w:line="360" w:lineRule="auto"/>
      </w:pPr>
      <w:r>
        <w:rPr>
          <w:rFonts w:hint="eastAsia"/>
        </w:rPr>
        <w:t>（1）安置的残疾人占本单位在职职工人数的比例不低于25%（含25%），并且安置的残疾人人数不少于10人（含10人）；</w:t>
      </w:r>
    </w:p>
    <w:p>
      <w:pPr>
        <w:spacing w:line="360" w:lineRule="auto"/>
      </w:pPr>
      <w:r>
        <w:rPr>
          <w:rFonts w:hint="eastAsia"/>
        </w:rPr>
        <w:t>（2）依法与安置的每位残疾人签订了一年以上（含一年）的劳动合同或服务协议；</w:t>
      </w:r>
    </w:p>
    <w:p>
      <w:pPr>
        <w:spacing w:line="360" w:lineRule="auto"/>
      </w:pPr>
      <w:r>
        <w:rPr>
          <w:rFonts w:hint="eastAsia"/>
        </w:rPr>
        <w:t>（3）为安置的每位残疾人按月足额缴纳了基本养老保险、基本医疗保险、失业保险、工伤保险和生育保险等社会保险费；</w:t>
      </w:r>
    </w:p>
    <w:p>
      <w:pPr>
        <w:spacing w:line="360" w:lineRule="auto"/>
      </w:pPr>
      <w:r>
        <w:rPr>
          <w:rFonts w:hint="eastAsia"/>
        </w:rPr>
        <w:t>（4）通过银行等金融机构向安置的每位残疾人，按月支付了不低于单位所在区县适用的经省级人民政府批准的月最低工资标准的工资；</w:t>
      </w:r>
    </w:p>
    <w:p>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pPr>
      <w:r>
        <w:rPr>
          <w:rFonts w:hint="eastAsia"/>
        </w:rPr>
        <w:t>2. 成交人为残疾人福利性单位的，采购人或者其委托的采购代理机构应当随成交结果同时公告其《残疾人福利性单位声明函》，接受社会监督。</w:t>
      </w:r>
    </w:p>
    <w:p>
      <w:pPr>
        <w:pStyle w:val="3"/>
        <w:numPr>
          <w:ilvl w:val="0"/>
          <w:numId w:val="0"/>
        </w:numPr>
        <w:tabs>
          <w:tab w:val="left" w:pos="425"/>
        </w:tabs>
        <w:ind w:leftChars="0"/>
        <w:jc w:val="both"/>
        <w:outlineLvl w:val="9"/>
        <w:rPr>
          <w:szCs w:val="24"/>
        </w:rPr>
      </w:pPr>
      <w:bookmarkStart w:id="660" w:name="_Toc25289_WPSOffice_Level1"/>
      <w:bookmarkStart w:id="661" w:name="_Toc751_WPSOffice_Level1"/>
      <w:bookmarkStart w:id="662" w:name="_Toc11075"/>
      <w:bookmarkStart w:id="663" w:name="_Toc15051_WPSOffice_Level1"/>
    </w:p>
    <w:p>
      <w:pPr>
        <w:pStyle w:val="3"/>
        <w:numPr>
          <w:ilvl w:val="0"/>
          <w:numId w:val="26"/>
        </w:numPr>
        <w:tabs>
          <w:tab w:val="left" w:pos="425"/>
        </w:tabs>
        <w:ind w:left="1027" w:leftChars="0" w:firstLineChars="0"/>
        <w:rPr>
          <w:szCs w:val="24"/>
        </w:rPr>
      </w:pPr>
      <w:r>
        <w:rPr>
          <w:rFonts w:hint="eastAsia"/>
          <w:szCs w:val="24"/>
        </w:rPr>
        <w:t>其他</w:t>
      </w:r>
      <w:bookmarkEnd w:id="649"/>
      <w:r>
        <w:rPr>
          <w:rFonts w:hint="eastAsia"/>
          <w:szCs w:val="24"/>
        </w:rPr>
        <w:t>资料</w:t>
      </w:r>
      <w:bookmarkEnd w:id="650"/>
      <w:bookmarkEnd w:id="660"/>
      <w:bookmarkEnd w:id="661"/>
      <w:bookmarkEnd w:id="662"/>
      <w:bookmarkEnd w:id="663"/>
    </w:p>
    <w:p>
      <w:pPr>
        <w:spacing w:line="360" w:lineRule="auto"/>
        <w:rPr>
          <w:rFonts w:hint="eastAsia" w:eastAsia="宋体"/>
          <w:b/>
          <w:lang w:val="en-US" w:eastAsia="zh-CN"/>
        </w:rPr>
      </w:pPr>
    </w:p>
    <w:p>
      <w:pPr>
        <w:numPr>
          <w:ilvl w:val="0"/>
          <w:numId w:val="27"/>
        </w:numPr>
        <w:spacing w:line="360" w:lineRule="auto"/>
        <w:rPr>
          <w:rFonts w:hint="eastAsia"/>
          <w:lang w:val="en-US" w:eastAsia="zh-CN"/>
        </w:rPr>
      </w:pPr>
      <w:r>
        <w:rPr>
          <w:rFonts w:hint="eastAsia"/>
          <w:lang w:val="en-US" w:eastAsia="zh-CN"/>
        </w:rPr>
        <w:t>服务方案</w:t>
      </w:r>
    </w:p>
    <w:p>
      <w:pPr>
        <w:numPr>
          <w:ilvl w:val="0"/>
          <w:numId w:val="27"/>
        </w:numPr>
        <w:spacing w:line="360" w:lineRule="auto"/>
        <w:rPr>
          <w:rFonts w:hint="default"/>
          <w:lang w:val="en-US" w:eastAsia="zh-CN"/>
        </w:rPr>
      </w:pPr>
      <w:r>
        <w:rPr>
          <w:rFonts w:hint="eastAsia"/>
          <w:lang w:val="en-US" w:eastAsia="zh-CN"/>
        </w:rPr>
        <w:t>管理和服务人员配置</w:t>
      </w:r>
    </w:p>
    <w:p>
      <w:pPr>
        <w:numPr>
          <w:ilvl w:val="0"/>
          <w:numId w:val="27"/>
        </w:numPr>
        <w:spacing w:line="360" w:lineRule="auto"/>
        <w:rPr>
          <w:rFonts w:hint="default"/>
          <w:lang w:val="en-US" w:eastAsia="zh-CN"/>
        </w:rPr>
      </w:pPr>
      <w:r>
        <w:rPr>
          <w:rFonts w:hint="eastAsia"/>
          <w:lang w:val="en-US" w:eastAsia="zh-CN"/>
        </w:rPr>
        <w:t>分析本物业管理项目的管理特点</w:t>
      </w:r>
    </w:p>
    <w:p>
      <w:pPr>
        <w:numPr>
          <w:ilvl w:val="0"/>
          <w:numId w:val="27"/>
        </w:numPr>
        <w:spacing w:line="360" w:lineRule="auto"/>
        <w:rPr>
          <w:rFonts w:hint="default"/>
          <w:lang w:val="en-US" w:eastAsia="zh-CN"/>
        </w:rPr>
      </w:pPr>
      <w:r>
        <w:rPr>
          <w:rFonts w:hint="eastAsia"/>
          <w:lang w:val="en-US" w:eastAsia="zh-CN"/>
        </w:rPr>
        <w:t>管理服务应急措施</w:t>
      </w:r>
    </w:p>
    <w:p>
      <w:pPr>
        <w:numPr>
          <w:ilvl w:val="0"/>
          <w:numId w:val="27"/>
        </w:numPr>
        <w:spacing w:line="360" w:lineRule="auto"/>
        <w:rPr>
          <w:rFonts w:hint="default"/>
          <w:lang w:val="en-US" w:eastAsia="zh-CN"/>
        </w:rPr>
      </w:pPr>
      <w:r>
        <w:rPr>
          <w:rFonts w:hint="eastAsia"/>
          <w:lang w:val="en-US" w:eastAsia="zh-CN"/>
        </w:rPr>
        <w:t>质量保证措施</w:t>
      </w:r>
    </w:p>
    <w:p>
      <w:pPr>
        <w:numPr>
          <w:ilvl w:val="0"/>
          <w:numId w:val="27"/>
        </w:numPr>
        <w:spacing w:line="360" w:lineRule="auto"/>
        <w:rPr>
          <w:rFonts w:hint="default"/>
          <w:lang w:val="en-US" w:eastAsia="zh-CN"/>
        </w:rPr>
      </w:pPr>
      <w:r>
        <w:rPr>
          <w:rFonts w:hint="eastAsia"/>
          <w:lang w:val="en-US" w:eastAsia="zh-CN"/>
        </w:rPr>
        <w:t>其他资料</w:t>
      </w:r>
    </w:p>
    <w:p>
      <w:pPr>
        <w:numPr>
          <w:ilvl w:val="0"/>
          <w:numId w:val="0"/>
        </w:numPr>
        <w:spacing w:line="360" w:lineRule="auto"/>
        <w:rPr>
          <w:rFonts w:hint="default"/>
          <w:lang w:val="en-US" w:eastAsia="zh-CN"/>
        </w:rPr>
      </w:pPr>
    </w:p>
    <w:p>
      <w:pPr>
        <w:pStyle w:val="11"/>
        <w:spacing w:line="360" w:lineRule="auto"/>
        <w:ind w:left="0" w:leftChars="0" w:firstLine="0" w:firstLineChars="0"/>
        <w:rPr>
          <w:rFonts w:ascii="宋体" w:hAnsi="宋体"/>
          <w:b/>
        </w:rPr>
      </w:pPr>
    </w:p>
    <w:p>
      <w:pPr>
        <w:spacing w:line="360" w:lineRule="auto"/>
        <w:rPr>
          <w:sz w:val="24"/>
        </w:rPr>
      </w:pPr>
      <w:r>
        <w:rPr>
          <w:sz w:val="24"/>
        </w:rPr>
        <w:br w:type="page"/>
      </w:r>
    </w:p>
    <w:p>
      <w:pPr>
        <w:spacing w:line="360" w:lineRule="auto"/>
        <w:jc w:val="center"/>
        <w:rPr>
          <w:sz w:val="28"/>
          <w:szCs w:val="28"/>
        </w:rPr>
      </w:pPr>
      <w:r>
        <w:rPr>
          <w:rFonts w:hint="eastAsia"/>
          <w:sz w:val="28"/>
          <w:szCs w:val="28"/>
        </w:rPr>
        <w:t>磋商文件确认书</w:t>
      </w:r>
    </w:p>
    <w:p>
      <w:pPr>
        <w:pStyle w:val="21"/>
        <w:spacing w:line="360" w:lineRule="auto"/>
        <w:rPr>
          <w:rFonts w:ascii="宋体" w:hAnsi="宋体"/>
        </w:rPr>
      </w:pPr>
    </w:p>
    <w:p>
      <w:pPr>
        <w:spacing w:line="360" w:lineRule="auto"/>
        <w:outlineLvl w:val="0"/>
      </w:pPr>
      <w:bookmarkStart w:id="664" w:name="_Toc1397"/>
      <w:r>
        <w:rPr>
          <w:rFonts w:hint="eastAsia"/>
        </w:rPr>
        <w:t>致：（</w:t>
      </w:r>
      <w:r>
        <w:rPr>
          <w:rFonts w:hint="eastAsia"/>
          <w:u w:val="single"/>
        </w:rPr>
        <w:t>采购人或采购代理机构名称</w:t>
      </w:r>
      <w:r>
        <w:rPr>
          <w:rFonts w:hint="eastAsia"/>
        </w:rPr>
        <w:t>）</w:t>
      </w:r>
      <w:bookmarkEnd w:id="664"/>
    </w:p>
    <w:p>
      <w:pPr>
        <w:spacing w:line="360" w:lineRule="auto"/>
        <w:ind w:firstLine="420" w:firstLineChars="20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pPr>
        <w:pStyle w:val="36"/>
        <w:numPr>
          <w:ilvl w:val="1"/>
          <w:numId w:val="0"/>
        </w:numPr>
        <w:spacing w:line="360" w:lineRule="auto"/>
        <w:rPr>
          <w:rFonts w:hAnsi="宋体"/>
          <w:color w:val="auto"/>
        </w:rPr>
      </w:pPr>
    </w:p>
    <w:p>
      <w:pPr>
        <w:spacing w:line="360" w:lineRule="auto"/>
        <w:ind w:firstLine="2880"/>
      </w:pPr>
    </w:p>
    <w:p>
      <w:pPr>
        <w:spacing w:line="360" w:lineRule="auto"/>
        <w:ind w:firstLine="2880"/>
      </w:pPr>
    </w:p>
    <w:p>
      <w:pPr>
        <w:spacing w:line="360" w:lineRule="auto"/>
        <w:ind w:firstLine="420" w:firstLineChars="200"/>
        <w:jc w:val="right"/>
        <w:rPr>
          <w:u w:val="single"/>
        </w:rPr>
      </w:pPr>
      <w:r>
        <w:rPr>
          <w:rFonts w:hint="eastAsia"/>
        </w:rPr>
        <w:t>公司法人代表（电子签名）：</w:t>
      </w:r>
    </w:p>
    <w:p>
      <w:pPr>
        <w:spacing w:line="360" w:lineRule="auto"/>
        <w:ind w:firstLine="420" w:firstLineChars="200"/>
        <w:jc w:val="right"/>
        <w:rPr>
          <w:u w:val="single"/>
        </w:rPr>
      </w:pPr>
      <w:r>
        <w:rPr>
          <w:rFonts w:hint="eastAsia"/>
        </w:rPr>
        <w:t>法人授权代表（电子签名）：</w:t>
      </w:r>
    </w:p>
    <w:p>
      <w:pPr>
        <w:spacing w:line="360" w:lineRule="auto"/>
        <w:ind w:firstLine="420" w:firstLineChars="200"/>
        <w:jc w:val="right"/>
        <w:rPr>
          <w:u w:val="single"/>
        </w:rPr>
      </w:pPr>
      <w:r>
        <w:rPr>
          <w:rFonts w:hint="eastAsia"/>
        </w:rPr>
        <w:t>响应人：（电子签章）</w:t>
      </w:r>
    </w:p>
    <w:p>
      <w:pPr>
        <w:spacing w:line="360" w:lineRule="auto"/>
        <w:ind w:firstLine="420" w:firstLineChars="200"/>
        <w:jc w:val="right"/>
      </w:pPr>
      <w:r>
        <w:rPr>
          <w:rFonts w:hint="eastAsia"/>
        </w:rPr>
        <w:t>日期：   年  月  日</w:t>
      </w: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sectPr>
      <w:footerReference r:id="rId9" w:type="default"/>
      <w:pgSz w:w="11906" w:h="16838"/>
      <w:pgMar w:top="1440" w:right="1279" w:bottom="1440" w:left="1387" w:header="850"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2"/>
      </w:tabs>
      <w:spacing w:line="205" w:lineRule="auto"/>
      <w:ind w:left="4105"/>
      <w:rPr>
        <w:rFonts w:ascii="Arial" w:hAnsi="Arial" w:eastAsia="Arial" w:cs="Arial"/>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286"/>
      <w:rPr>
        <w:rFonts w:ascii="Arial" w:hAnsi="Arial" w:eastAsia="Arial" w:cs="Arial"/>
        <w:sz w:val="17"/>
        <w:szCs w:val="17"/>
      </w:rPr>
    </w:pPr>
    <w:r>
      <w:rPr>
        <w:rFonts w:ascii="Arial" w:hAnsi="Arial" w:eastAsia="Arial" w:cs="Arial"/>
        <w:spacing w:val="-8"/>
        <w:sz w:val="17"/>
        <w:szCs w:val="17"/>
      </w:rPr>
      <w:t>1</w:t>
    </w:r>
    <w:r>
      <w:rPr>
        <w:rFonts w:ascii="Arial" w:hAnsi="Arial" w:eastAsia="Arial" w:cs="Arial"/>
        <w:spacing w:val="-7"/>
        <w:sz w:val="17"/>
        <w:szCs w:val="1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290"/>
      <w:rPr>
        <w:rFonts w:ascii="Arial" w:hAnsi="Arial" w:eastAsia="Arial" w:cs="Arial"/>
        <w:sz w:val="17"/>
        <w:szCs w:val="17"/>
      </w:rPr>
    </w:pPr>
    <w:r>
      <w:rPr>
        <w:rFonts w:ascii="Arial" w:hAnsi="Arial" w:eastAsia="Arial" w:cs="Arial"/>
        <w:spacing w:val="-8"/>
        <w:sz w:val="17"/>
        <w:szCs w:val="17"/>
      </w:rPr>
      <w:t>1</w:t>
    </w:r>
    <w:r>
      <w:rPr>
        <w:rFonts w:ascii="Arial" w:hAnsi="Arial" w:eastAsia="Arial" w:cs="Arial"/>
        <w:spacing w:val="-7"/>
        <w:sz w:val="17"/>
        <w:szCs w:val="17"/>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308"/>
      <w:rPr>
        <w:rFonts w:ascii="Arial" w:hAnsi="Arial" w:eastAsia="Arial" w:cs="Arial"/>
        <w:sz w:val="17"/>
        <w:szCs w:val="17"/>
      </w:rPr>
    </w:pPr>
    <w:r>
      <w:rPr>
        <w:rFonts w:ascii="Arial" w:hAnsi="Arial" w:eastAsia="Arial" w:cs="Arial"/>
        <w:spacing w:val="-8"/>
        <w:sz w:val="17"/>
        <w:szCs w:val="17"/>
      </w:rPr>
      <w:t>1</w:t>
    </w:r>
    <w:r>
      <w:rPr>
        <w:rFonts w:ascii="Arial" w:hAnsi="Arial" w:eastAsia="Arial" w:cs="Arial"/>
        <w:spacing w:val="-7"/>
        <w:sz w:val="17"/>
        <w:szCs w:val="17"/>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288"/>
      <w:rPr>
        <w:rFonts w:ascii="Arial" w:hAnsi="Arial" w:eastAsia="Arial" w:cs="Arial"/>
        <w:sz w:val="17"/>
        <w:szCs w:val="17"/>
      </w:rPr>
    </w:pPr>
    <w:r>
      <w:rPr>
        <w:rFonts w:ascii="Arial" w:hAnsi="Arial" w:eastAsia="Arial" w:cs="Arial"/>
        <w:spacing w:val="-8"/>
        <w:sz w:val="17"/>
        <w:szCs w:val="17"/>
      </w:rPr>
      <w:t>1</w:t>
    </w:r>
    <w:r>
      <w:rPr>
        <w:rFonts w:ascii="Arial" w:hAnsi="Arial" w:eastAsia="Arial" w:cs="Arial"/>
        <w:spacing w:val="-7"/>
        <w:sz w:val="17"/>
        <w:szCs w:val="17"/>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288"/>
      <w:rPr>
        <w:rFonts w:ascii="Arial" w:hAnsi="Arial" w:eastAsia="Arial" w:cs="Arial"/>
        <w:sz w:val="17"/>
        <w:szCs w:val="17"/>
      </w:rPr>
    </w:pPr>
    <w:r>
      <w:rPr>
        <w:rFonts w:ascii="Arial" w:hAnsi="Arial" w:eastAsia="Arial" w:cs="Arial"/>
        <w:spacing w:val="-8"/>
        <w:sz w:val="17"/>
        <w:szCs w:val="17"/>
      </w:rPr>
      <w:t>1</w:t>
    </w:r>
    <w:r>
      <w:rPr>
        <w:rFonts w:ascii="Arial" w:hAnsi="Arial" w:eastAsia="Arial" w:cs="Arial"/>
        <w:spacing w:val="-7"/>
        <w:sz w:val="17"/>
        <w:szCs w:val="17"/>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DED2D"/>
    <w:multiLevelType w:val="singleLevel"/>
    <w:tmpl w:val="81EDED2D"/>
    <w:lvl w:ilvl="0" w:tentative="0">
      <w:start w:val="1"/>
      <w:numFmt w:val="decimal"/>
      <w:suff w:val="nothing"/>
      <w:lvlText w:val="%1、"/>
      <w:lvlJc w:val="left"/>
    </w:lvl>
  </w:abstractNum>
  <w:abstractNum w:abstractNumId="1">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20C8B71"/>
    <w:multiLevelType w:val="singleLevel"/>
    <w:tmpl w:val="920C8B71"/>
    <w:lvl w:ilvl="0" w:tentative="0">
      <w:start w:val="1"/>
      <w:numFmt w:val="decimal"/>
      <w:lvlText w:val="(%1)"/>
      <w:lvlJc w:val="left"/>
      <w:pPr>
        <w:ind w:left="425" w:hanging="425"/>
      </w:pPr>
      <w:rPr>
        <w:rFonts w:hint="default"/>
      </w:rPr>
    </w:lvl>
  </w:abstractNum>
  <w:abstractNum w:abstractNumId="4">
    <w:nsid w:val="92FEED52"/>
    <w:multiLevelType w:val="singleLevel"/>
    <w:tmpl w:val="92FEED52"/>
    <w:lvl w:ilvl="0" w:tentative="0">
      <w:start w:val="1"/>
      <w:numFmt w:val="decimal"/>
      <w:lvlText w:val="(%1)"/>
      <w:lvlJc w:val="left"/>
      <w:pPr>
        <w:ind w:left="425" w:hanging="425"/>
      </w:pPr>
      <w:rPr>
        <w:rFonts w:hint="default"/>
      </w:rPr>
    </w:lvl>
  </w:abstractNum>
  <w:abstractNum w:abstractNumId="5">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AFC9ACCA"/>
    <w:multiLevelType w:val="singleLevel"/>
    <w:tmpl w:val="AFC9ACCA"/>
    <w:lvl w:ilvl="0" w:tentative="0">
      <w:start w:val="1"/>
      <w:numFmt w:val="chineseCounting"/>
      <w:suff w:val="nothing"/>
      <w:lvlText w:val="%1、"/>
      <w:lvlJc w:val="left"/>
      <w:rPr>
        <w:rFonts w:hint="eastAsia"/>
      </w:rPr>
    </w:lvl>
  </w:abstractNum>
  <w:abstractNum w:abstractNumId="7">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F3F79CC7"/>
    <w:multiLevelType w:val="singleLevel"/>
    <w:tmpl w:val="F3F79CC7"/>
    <w:lvl w:ilvl="0" w:tentative="0">
      <w:start w:val="1"/>
      <w:numFmt w:val="decimal"/>
      <w:lvlText w:val="(%1)"/>
      <w:lvlJc w:val="left"/>
      <w:pPr>
        <w:ind w:left="425" w:hanging="425"/>
      </w:pPr>
      <w:rPr>
        <w:rFonts w:hint="default"/>
      </w:rPr>
    </w:lvl>
  </w:abstractNum>
  <w:abstractNum w:abstractNumId="11">
    <w:nsid w:val="FCC59B67"/>
    <w:multiLevelType w:val="singleLevel"/>
    <w:tmpl w:val="FCC59B67"/>
    <w:lvl w:ilvl="0" w:tentative="0">
      <w:start w:val="1"/>
      <w:numFmt w:val="decimal"/>
      <w:lvlText w:val="(%1)"/>
      <w:lvlJc w:val="left"/>
      <w:pPr>
        <w:ind w:left="425" w:hanging="425"/>
      </w:pPr>
      <w:rPr>
        <w:rFonts w:hint="default"/>
      </w:rPr>
    </w:lvl>
  </w:abstractNum>
  <w:abstractNum w:abstractNumId="12">
    <w:nsid w:val="0000000F"/>
    <w:multiLevelType w:val="singleLevel"/>
    <w:tmpl w:val="0000000F"/>
    <w:lvl w:ilvl="0" w:tentative="0">
      <w:start w:val="1"/>
      <w:numFmt w:val="decimal"/>
      <w:lvlText w:val="(%1)"/>
      <w:lvlJc w:val="left"/>
      <w:pPr>
        <w:ind w:left="425" w:hanging="425"/>
      </w:pPr>
      <w:rPr>
        <w:rFonts w:hint="default"/>
      </w:rPr>
    </w:lvl>
  </w:abstractNum>
  <w:abstractNum w:abstractNumId="13">
    <w:nsid w:val="039EA102"/>
    <w:multiLevelType w:val="singleLevel"/>
    <w:tmpl w:val="039EA102"/>
    <w:lvl w:ilvl="0" w:tentative="0">
      <w:start w:val="8"/>
      <w:numFmt w:val="chineseCounting"/>
      <w:suff w:val="nothing"/>
      <w:lvlText w:val="%1、"/>
      <w:lvlJc w:val="left"/>
      <w:pPr>
        <w:ind w:left="1027" w:hanging="397"/>
      </w:pPr>
      <w:rPr>
        <w:rFonts w:hint="eastAsia"/>
        <w:sz w:val="32"/>
      </w:rPr>
    </w:lvl>
  </w:abstractNum>
  <w:abstractNum w:abstractNumId="14">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149490AF"/>
    <w:multiLevelType w:val="singleLevel"/>
    <w:tmpl w:val="149490AF"/>
    <w:lvl w:ilvl="0" w:tentative="0">
      <w:start w:val="1"/>
      <w:numFmt w:val="decimal"/>
      <w:lvlText w:val="(%1)"/>
      <w:lvlJc w:val="left"/>
      <w:pPr>
        <w:ind w:left="425" w:hanging="425"/>
      </w:pPr>
      <w:rPr>
        <w:rFonts w:hint="default"/>
      </w:rPr>
    </w:lvl>
  </w:abstractNum>
  <w:abstractNum w:abstractNumId="16">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D6A2507"/>
    <w:multiLevelType w:val="singleLevel"/>
    <w:tmpl w:val="2D6A2507"/>
    <w:lvl w:ilvl="0" w:tentative="0">
      <w:start w:val="1"/>
      <w:numFmt w:val="decimal"/>
      <w:lvlText w:val="(%1)"/>
      <w:lvlJc w:val="left"/>
      <w:pPr>
        <w:ind w:left="425" w:hanging="425"/>
      </w:pPr>
      <w:rPr>
        <w:rFonts w:hint="default"/>
      </w:rPr>
    </w:lvl>
  </w:abstractNum>
  <w:abstractNum w:abstractNumId="18">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9">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0">
    <w:nsid w:val="570C9FE6"/>
    <w:multiLevelType w:val="singleLevel"/>
    <w:tmpl w:val="570C9FE6"/>
    <w:lvl w:ilvl="0" w:tentative="0">
      <w:start w:val="1"/>
      <w:numFmt w:val="decimal"/>
      <w:lvlText w:val="(%1)"/>
      <w:lvlJc w:val="left"/>
      <w:pPr>
        <w:ind w:left="425" w:hanging="425"/>
      </w:pPr>
      <w:rPr>
        <w:rFonts w:hint="default"/>
      </w:rPr>
    </w:lvl>
  </w:abstractNum>
  <w:abstractNum w:abstractNumId="21">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2">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36"/>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6">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1"/>
  </w:num>
  <w:num w:numId="2">
    <w:abstractNumId w:val="25"/>
  </w:num>
  <w:num w:numId="3">
    <w:abstractNumId w:val="21"/>
  </w:num>
  <w:num w:numId="4">
    <w:abstractNumId w:val="16"/>
  </w:num>
  <w:num w:numId="5">
    <w:abstractNumId w:val="19"/>
  </w:num>
  <w:num w:numId="6">
    <w:abstractNumId w:val="12"/>
  </w:num>
  <w:num w:numId="7">
    <w:abstractNumId w:val="10"/>
  </w:num>
  <w:num w:numId="8">
    <w:abstractNumId w:val="11"/>
  </w:num>
  <w:num w:numId="9">
    <w:abstractNumId w:val="15"/>
  </w:num>
  <w:num w:numId="10">
    <w:abstractNumId w:val="3"/>
  </w:num>
  <w:num w:numId="11">
    <w:abstractNumId w:val="2"/>
  </w:num>
  <w:num w:numId="12">
    <w:abstractNumId w:val="7"/>
  </w:num>
  <w:num w:numId="13">
    <w:abstractNumId w:val="23"/>
  </w:num>
  <w:num w:numId="14">
    <w:abstractNumId w:val="24"/>
  </w:num>
  <w:num w:numId="15">
    <w:abstractNumId w:val="17"/>
  </w:num>
  <w:num w:numId="16">
    <w:abstractNumId w:val="8"/>
  </w:num>
  <w:num w:numId="17">
    <w:abstractNumId w:val="9"/>
  </w:num>
  <w:num w:numId="18">
    <w:abstractNumId w:val="5"/>
  </w:num>
  <w:num w:numId="19">
    <w:abstractNumId w:val="20"/>
  </w:num>
  <w:num w:numId="20">
    <w:abstractNumId w:val="22"/>
  </w:num>
  <w:num w:numId="21">
    <w:abstractNumId w:val="14"/>
  </w:num>
  <w:num w:numId="22">
    <w:abstractNumId w:val="4"/>
  </w:num>
  <w:num w:numId="23">
    <w:abstractNumId w:val="6"/>
  </w:num>
  <w:num w:numId="24">
    <w:abstractNumId w:val="18"/>
  </w:num>
  <w:num w:numId="25">
    <w:abstractNumId w:val="26"/>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VkNjIzODJkZmMwMjQyMmJhODFmMjkxMWQ3MTk4ZDU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9F1E62"/>
    <w:rsid w:val="00A13B7F"/>
    <w:rsid w:val="00A20D8C"/>
    <w:rsid w:val="00A815E9"/>
    <w:rsid w:val="00A843BC"/>
    <w:rsid w:val="00AA163D"/>
    <w:rsid w:val="00B3135C"/>
    <w:rsid w:val="00B5211D"/>
    <w:rsid w:val="00B739E1"/>
    <w:rsid w:val="00B84955"/>
    <w:rsid w:val="00B92382"/>
    <w:rsid w:val="00B93FA5"/>
    <w:rsid w:val="00C34E4D"/>
    <w:rsid w:val="00C65E2C"/>
    <w:rsid w:val="00CB0EC6"/>
    <w:rsid w:val="00D066E8"/>
    <w:rsid w:val="00D5003D"/>
    <w:rsid w:val="00DD76BC"/>
    <w:rsid w:val="00EF4F56"/>
    <w:rsid w:val="00F73983"/>
    <w:rsid w:val="00FA3089"/>
    <w:rsid w:val="00FC279E"/>
    <w:rsid w:val="00FE358C"/>
    <w:rsid w:val="0177566F"/>
    <w:rsid w:val="0194617D"/>
    <w:rsid w:val="01B566AA"/>
    <w:rsid w:val="01C6424A"/>
    <w:rsid w:val="01F746CC"/>
    <w:rsid w:val="027E105B"/>
    <w:rsid w:val="031F075B"/>
    <w:rsid w:val="03A367D0"/>
    <w:rsid w:val="04376A28"/>
    <w:rsid w:val="04420C1A"/>
    <w:rsid w:val="04443B8E"/>
    <w:rsid w:val="04CE5ACF"/>
    <w:rsid w:val="0510665E"/>
    <w:rsid w:val="051F008D"/>
    <w:rsid w:val="0537264C"/>
    <w:rsid w:val="055528F0"/>
    <w:rsid w:val="0602580F"/>
    <w:rsid w:val="0673692E"/>
    <w:rsid w:val="06940F6E"/>
    <w:rsid w:val="06BF4050"/>
    <w:rsid w:val="06C17DA2"/>
    <w:rsid w:val="070D7F1A"/>
    <w:rsid w:val="07147808"/>
    <w:rsid w:val="07416A2C"/>
    <w:rsid w:val="07605B88"/>
    <w:rsid w:val="079109FF"/>
    <w:rsid w:val="07CB6D50"/>
    <w:rsid w:val="081B1407"/>
    <w:rsid w:val="08B30470"/>
    <w:rsid w:val="08C11C46"/>
    <w:rsid w:val="09216B15"/>
    <w:rsid w:val="0958241C"/>
    <w:rsid w:val="09972033"/>
    <w:rsid w:val="09D41DD9"/>
    <w:rsid w:val="0A583F07"/>
    <w:rsid w:val="0A9F7CC7"/>
    <w:rsid w:val="0AE4737E"/>
    <w:rsid w:val="0B786294"/>
    <w:rsid w:val="0B8948E1"/>
    <w:rsid w:val="0BB21CA6"/>
    <w:rsid w:val="0BDA0450"/>
    <w:rsid w:val="0C1747A7"/>
    <w:rsid w:val="0C3876E1"/>
    <w:rsid w:val="0C583C7C"/>
    <w:rsid w:val="0D725B91"/>
    <w:rsid w:val="0DF06AB6"/>
    <w:rsid w:val="0E0316E5"/>
    <w:rsid w:val="0E1F1149"/>
    <w:rsid w:val="0E41532F"/>
    <w:rsid w:val="0E5057A7"/>
    <w:rsid w:val="0E6B438E"/>
    <w:rsid w:val="0EC23754"/>
    <w:rsid w:val="0F4B7CDC"/>
    <w:rsid w:val="0F7811B7"/>
    <w:rsid w:val="106520CA"/>
    <w:rsid w:val="10750231"/>
    <w:rsid w:val="118E4BD2"/>
    <w:rsid w:val="11D62FF5"/>
    <w:rsid w:val="11EF20A7"/>
    <w:rsid w:val="11FB48CB"/>
    <w:rsid w:val="1202500A"/>
    <w:rsid w:val="12B5594B"/>
    <w:rsid w:val="13290CC0"/>
    <w:rsid w:val="13B84571"/>
    <w:rsid w:val="13BA0375"/>
    <w:rsid w:val="140275A9"/>
    <w:rsid w:val="140A700E"/>
    <w:rsid w:val="147703D7"/>
    <w:rsid w:val="14EA7D03"/>
    <w:rsid w:val="14F6689B"/>
    <w:rsid w:val="15003C2A"/>
    <w:rsid w:val="154A17E0"/>
    <w:rsid w:val="15B0523B"/>
    <w:rsid w:val="15DA3E6C"/>
    <w:rsid w:val="15E016E9"/>
    <w:rsid w:val="15FB31A6"/>
    <w:rsid w:val="164C3046"/>
    <w:rsid w:val="16605D72"/>
    <w:rsid w:val="168B7CC4"/>
    <w:rsid w:val="16CD3D3A"/>
    <w:rsid w:val="172A0B43"/>
    <w:rsid w:val="17493E21"/>
    <w:rsid w:val="17716EF2"/>
    <w:rsid w:val="17A96B94"/>
    <w:rsid w:val="1815331E"/>
    <w:rsid w:val="183835B9"/>
    <w:rsid w:val="184E4CDF"/>
    <w:rsid w:val="188934B1"/>
    <w:rsid w:val="18D06E6E"/>
    <w:rsid w:val="18F764CF"/>
    <w:rsid w:val="1A2116FE"/>
    <w:rsid w:val="1A3B4995"/>
    <w:rsid w:val="1A917A9D"/>
    <w:rsid w:val="1AE35E18"/>
    <w:rsid w:val="1B444924"/>
    <w:rsid w:val="1B7274D8"/>
    <w:rsid w:val="1B855063"/>
    <w:rsid w:val="1C5B503C"/>
    <w:rsid w:val="1C71346E"/>
    <w:rsid w:val="1C751CC0"/>
    <w:rsid w:val="1C8A7A20"/>
    <w:rsid w:val="1CA91C01"/>
    <w:rsid w:val="1CF61417"/>
    <w:rsid w:val="1DD01F5E"/>
    <w:rsid w:val="1E013AE5"/>
    <w:rsid w:val="1EF36406"/>
    <w:rsid w:val="1F1B20C0"/>
    <w:rsid w:val="1F38258B"/>
    <w:rsid w:val="1F611352"/>
    <w:rsid w:val="1F9A5ADC"/>
    <w:rsid w:val="1FE16132"/>
    <w:rsid w:val="1FF029B3"/>
    <w:rsid w:val="202473D5"/>
    <w:rsid w:val="20500524"/>
    <w:rsid w:val="21260264"/>
    <w:rsid w:val="21D50045"/>
    <w:rsid w:val="223D1008"/>
    <w:rsid w:val="228E2F63"/>
    <w:rsid w:val="22920C51"/>
    <w:rsid w:val="22D67A89"/>
    <w:rsid w:val="23244DE0"/>
    <w:rsid w:val="23430E21"/>
    <w:rsid w:val="23584B09"/>
    <w:rsid w:val="2392181F"/>
    <w:rsid w:val="245F11C9"/>
    <w:rsid w:val="24912949"/>
    <w:rsid w:val="255565CE"/>
    <w:rsid w:val="255803A2"/>
    <w:rsid w:val="25827827"/>
    <w:rsid w:val="25BA705F"/>
    <w:rsid w:val="2620130C"/>
    <w:rsid w:val="26A6577E"/>
    <w:rsid w:val="26D95710"/>
    <w:rsid w:val="26F77352"/>
    <w:rsid w:val="26FD2AD2"/>
    <w:rsid w:val="272111CC"/>
    <w:rsid w:val="27885D6E"/>
    <w:rsid w:val="27D663B3"/>
    <w:rsid w:val="27DB2214"/>
    <w:rsid w:val="27DD64FE"/>
    <w:rsid w:val="284B765E"/>
    <w:rsid w:val="285B6F44"/>
    <w:rsid w:val="286F620C"/>
    <w:rsid w:val="28AB1AFF"/>
    <w:rsid w:val="28D356FA"/>
    <w:rsid w:val="290F389D"/>
    <w:rsid w:val="29210AA9"/>
    <w:rsid w:val="29411A95"/>
    <w:rsid w:val="29633B6B"/>
    <w:rsid w:val="29CE14C5"/>
    <w:rsid w:val="2A1851C7"/>
    <w:rsid w:val="2A54165B"/>
    <w:rsid w:val="2A653A8E"/>
    <w:rsid w:val="2A82637D"/>
    <w:rsid w:val="2AC82E3D"/>
    <w:rsid w:val="2AD510B6"/>
    <w:rsid w:val="2AE123EE"/>
    <w:rsid w:val="2B1231A2"/>
    <w:rsid w:val="2B147C4C"/>
    <w:rsid w:val="2B7E692D"/>
    <w:rsid w:val="2BD80AE5"/>
    <w:rsid w:val="2D631ACE"/>
    <w:rsid w:val="2D765006"/>
    <w:rsid w:val="2E3558C9"/>
    <w:rsid w:val="2E9927AB"/>
    <w:rsid w:val="2EDA2C9E"/>
    <w:rsid w:val="2F4915DD"/>
    <w:rsid w:val="2F64421D"/>
    <w:rsid w:val="2F7637C4"/>
    <w:rsid w:val="2FCF2953"/>
    <w:rsid w:val="2FF10757"/>
    <w:rsid w:val="2FF7387C"/>
    <w:rsid w:val="30202DD3"/>
    <w:rsid w:val="305321F7"/>
    <w:rsid w:val="307F3F9D"/>
    <w:rsid w:val="30D37E45"/>
    <w:rsid w:val="313D7C21"/>
    <w:rsid w:val="314C1FBC"/>
    <w:rsid w:val="31C76D4C"/>
    <w:rsid w:val="32052BC0"/>
    <w:rsid w:val="32256487"/>
    <w:rsid w:val="32791125"/>
    <w:rsid w:val="3280604C"/>
    <w:rsid w:val="32995BE9"/>
    <w:rsid w:val="32F3689A"/>
    <w:rsid w:val="331A5131"/>
    <w:rsid w:val="33B20A89"/>
    <w:rsid w:val="33E86E49"/>
    <w:rsid w:val="34DB2353"/>
    <w:rsid w:val="34EA179C"/>
    <w:rsid w:val="35DD207D"/>
    <w:rsid w:val="361137EB"/>
    <w:rsid w:val="36140CE4"/>
    <w:rsid w:val="361B3C50"/>
    <w:rsid w:val="3648705E"/>
    <w:rsid w:val="364E7C0B"/>
    <w:rsid w:val="36D51686"/>
    <w:rsid w:val="372B418D"/>
    <w:rsid w:val="37483D30"/>
    <w:rsid w:val="37A10CCC"/>
    <w:rsid w:val="38DF5D4B"/>
    <w:rsid w:val="392D1BDF"/>
    <w:rsid w:val="3A9718D8"/>
    <w:rsid w:val="3AFC72C1"/>
    <w:rsid w:val="3B0A1551"/>
    <w:rsid w:val="3B0F7120"/>
    <w:rsid w:val="3B190F9D"/>
    <w:rsid w:val="3B6D132B"/>
    <w:rsid w:val="3BC33845"/>
    <w:rsid w:val="3C5C6A7D"/>
    <w:rsid w:val="3C7375C6"/>
    <w:rsid w:val="3CA76B12"/>
    <w:rsid w:val="3D954E00"/>
    <w:rsid w:val="3D9B2C50"/>
    <w:rsid w:val="3DB10256"/>
    <w:rsid w:val="3E243C51"/>
    <w:rsid w:val="3E44668D"/>
    <w:rsid w:val="3EA50AAD"/>
    <w:rsid w:val="3EA96539"/>
    <w:rsid w:val="3EBB1BB4"/>
    <w:rsid w:val="3F1B42A4"/>
    <w:rsid w:val="3F3235E9"/>
    <w:rsid w:val="3F50551A"/>
    <w:rsid w:val="3F7F7B16"/>
    <w:rsid w:val="3FEE4136"/>
    <w:rsid w:val="3FF43FBE"/>
    <w:rsid w:val="40376A71"/>
    <w:rsid w:val="40422761"/>
    <w:rsid w:val="40604362"/>
    <w:rsid w:val="40A631FF"/>
    <w:rsid w:val="40D6427E"/>
    <w:rsid w:val="41546164"/>
    <w:rsid w:val="41DF7B97"/>
    <w:rsid w:val="41F1446F"/>
    <w:rsid w:val="42075379"/>
    <w:rsid w:val="422D2AE1"/>
    <w:rsid w:val="42327B3D"/>
    <w:rsid w:val="42A42757"/>
    <w:rsid w:val="43261B3E"/>
    <w:rsid w:val="43647715"/>
    <w:rsid w:val="436E7D5C"/>
    <w:rsid w:val="437E115F"/>
    <w:rsid w:val="43840FF8"/>
    <w:rsid w:val="43A54463"/>
    <w:rsid w:val="43AC2EA4"/>
    <w:rsid w:val="44242A3A"/>
    <w:rsid w:val="45263081"/>
    <w:rsid w:val="452E61C6"/>
    <w:rsid w:val="459573D0"/>
    <w:rsid w:val="45E56BC5"/>
    <w:rsid w:val="46072613"/>
    <w:rsid w:val="46227866"/>
    <w:rsid w:val="46D97A34"/>
    <w:rsid w:val="47226FD9"/>
    <w:rsid w:val="47A57393"/>
    <w:rsid w:val="483407B7"/>
    <w:rsid w:val="48F81ADF"/>
    <w:rsid w:val="490D6193"/>
    <w:rsid w:val="493558F1"/>
    <w:rsid w:val="49382222"/>
    <w:rsid w:val="49F40EDA"/>
    <w:rsid w:val="4AD40230"/>
    <w:rsid w:val="4B1732F9"/>
    <w:rsid w:val="4C0C7A09"/>
    <w:rsid w:val="4CF83380"/>
    <w:rsid w:val="4D4407EF"/>
    <w:rsid w:val="4DDF75B7"/>
    <w:rsid w:val="4E6425F3"/>
    <w:rsid w:val="4F1A629F"/>
    <w:rsid w:val="4F25234F"/>
    <w:rsid w:val="4F340266"/>
    <w:rsid w:val="4F984E5D"/>
    <w:rsid w:val="4FB908A7"/>
    <w:rsid w:val="4FE57280"/>
    <w:rsid w:val="502E4D6F"/>
    <w:rsid w:val="510415F0"/>
    <w:rsid w:val="518C7D55"/>
    <w:rsid w:val="51F5571B"/>
    <w:rsid w:val="53933819"/>
    <w:rsid w:val="54336CC9"/>
    <w:rsid w:val="543738E7"/>
    <w:rsid w:val="543A3BB4"/>
    <w:rsid w:val="544058F5"/>
    <w:rsid w:val="54445B5D"/>
    <w:rsid w:val="544E068E"/>
    <w:rsid w:val="54617CCA"/>
    <w:rsid w:val="553D4C66"/>
    <w:rsid w:val="558B23DC"/>
    <w:rsid w:val="56345B1B"/>
    <w:rsid w:val="56895AEA"/>
    <w:rsid w:val="569500E2"/>
    <w:rsid w:val="56C368E4"/>
    <w:rsid w:val="57034803"/>
    <w:rsid w:val="57304314"/>
    <w:rsid w:val="5792065C"/>
    <w:rsid w:val="57BC047B"/>
    <w:rsid w:val="57F86E32"/>
    <w:rsid w:val="580F5CC1"/>
    <w:rsid w:val="586F71B3"/>
    <w:rsid w:val="58A834B3"/>
    <w:rsid w:val="58A85546"/>
    <w:rsid w:val="596F1AB8"/>
    <w:rsid w:val="598167C2"/>
    <w:rsid w:val="59BD6D86"/>
    <w:rsid w:val="5A9811BD"/>
    <w:rsid w:val="5B210CCD"/>
    <w:rsid w:val="5B411CCC"/>
    <w:rsid w:val="5B612747"/>
    <w:rsid w:val="5BFD6385"/>
    <w:rsid w:val="5D34025D"/>
    <w:rsid w:val="5D6E44BA"/>
    <w:rsid w:val="5E080DA7"/>
    <w:rsid w:val="5E251431"/>
    <w:rsid w:val="5E936A02"/>
    <w:rsid w:val="5EAC401C"/>
    <w:rsid w:val="5F2D76BD"/>
    <w:rsid w:val="5F3D56E4"/>
    <w:rsid w:val="5F636457"/>
    <w:rsid w:val="60060999"/>
    <w:rsid w:val="60093E56"/>
    <w:rsid w:val="600A7F6A"/>
    <w:rsid w:val="601561E9"/>
    <w:rsid w:val="602815A6"/>
    <w:rsid w:val="604C6429"/>
    <w:rsid w:val="6183303E"/>
    <w:rsid w:val="619856F0"/>
    <w:rsid w:val="61B37DFE"/>
    <w:rsid w:val="61CC6EEE"/>
    <w:rsid w:val="61F977D4"/>
    <w:rsid w:val="62145A44"/>
    <w:rsid w:val="62CF3C9A"/>
    <w:rsid w:val="636206F0"/>
    <w:rsid w:val="63830944"/>
    <w:rsid w:val="63AF7BD5"/>
    <w:rsid w:val="64922E50"/>
    <w:rsid w:val="6508537E"/>
    <w:rsid w:val="6530528B"/>
    <w:rsid w:val="65654809"/>
    <w:rsid w:val="658512D8"/>
    <w:rsid w:val="65901886"/>
    <w:rsid w:val="66306C44"/>
    <w:rsid w:val="668A5624"/>
    <w:rsid w:val="66D05AEB"/>
    <w:rsid w:val="677F62EE"/>
    <w:rsid w:val="67CF567A"/>
    <w:rsid w:val="68AE0CE2"/>
    <w:rsid w:val="68BB3926"/>
    <w:rsid w:val="68EA5751"/>
    <w:rsid w:val="695232F6"/>
    <w:rsid w:val="69DA3201"/>
    <w:rsid w:val="6A257076"/>
    <w:rsid w:val="6B012F47"/>
    <w:rsid w:val="6B9E3939"/>
    <w:rsid w:val="6C036338"/>
    <w:rsid w:val="6C0E1577"/>
    <w:rsid w:val="6C6A77E5"/>
    <w:rsid w:val="6C774839"/>
    <w:rsid w:val="6C802A04"/>
    <w:rsid w:val="6C8A26FB"/>
    <w:rsid w:val="6CAE5914"/>
    <w:rsid w:val="6CDA5BDB"/>
    <w:rsid w:val="6DBB590E"/>
    <w:rsid w:val="6DD07685"/>
    <w:rsid w:val="6E0E64EC"/>
    <w:rsid w:val="6E5701FC"/>
    <w:rsid w:val="6E707D8C"/>
    <w:rsid w:val="6E9C5CA8"/>
    <w:rsid w:val="6F076040"/>
    <w:rsid w:val="6F4B3B49"/>
    <w:rsid w:val="6F860A4C"/>
    <w:rsid w:val="6F9D6336"/>
    <w:rsid w:val="70445C8E"/>
    <w:rsid w:val="705D2CAC"/>
    <w:rsid w:val="70E76812"/>
    <w:rsid w:val="71647F7A"/>
    <w:rsid w:val="71E73B2D"/>
    <w:rsid w:val="71F1097C"/>
    <w:rsid w:val="71F87270"/>
    <w:rsid w:val="71F954EC"/>
    <w:rsid w:val="72640322"/>
    <w:rsid w:val="73534EB3"/>
    <w:rsid w:val="738A14AC"/>
    <w:rsid w:val="73B40E35"/>
    <w:rsid w:val="73B76B77"/>
    <w:rsid w:val="7542786F"/>
    <w:rsid w:val="756012FF"/>
    <w:rsid w:val="75BA46FD"/>
    <w:rsid w:val="76736AD0"/>
    <w:rsid w:val="768C025F"/>
    <w:rsid w:val="77A230AB"/>
    <w:rsid w:val="77EC0E63"/>
    <w:rsid w:val="78173D50"/>
    <w:rsid w:val="78305AC3"/>
    <w:rsid w:val="78323E46"/>
    <w:rsid w:val="78B05F90"/>
    <w:rsid w:val="78DB07B8"/>
    <w:rsid w:val="78F656C4"/>
    <w:rsid w:val="794E46D0"/>
    <w:rsid w:val="79C2027D"/>
    <w:rsid w:val="7A3507F6"/>
    <w:rsid w:val="7B56696B"/>
    <w:rsid w:val="7B64108B"/>
    <w:rsid w:val="7BB81D6B"/>
    <w:rsid w:val="7C1A3ECD"/>
    <w:rsid w:val="7C61444B"/>
    <w:rsid w:val="7CB73983"/>
    <w:rsid w:val="7CBD4472"/>
    <w:rsid w:val="7D017254"/>
    <w:rsid w:val="7D551FAD"/>
    <w:rsid w:val="7DA912DF"/>
    <w:rsid w:val="7E7315B9"/>
    <w:rsid w:val="7EA924BC"/>
    <w:rsid w:val="7EBA1B60"/>
    <w:rsid w:val="7F657B77"/>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autoRedefine/>
    <w:qFormat/>
    <w:uiPriority w:val="0"/>
    <w:pPr>
      <w:spacing w:line="360" w:lineRule="auto"/>
      <w:jc w:val="center"/>
      <w:outlineLvl w:val="0"/>
    </w:pPr>
    <w:rPr>
      <w:rFonts w:cs="Times New Roman"/>
      <w:b/>
      <w:bCs/>
      <w:sz w:val="44"/>
      <w:szCs w:val="32"/>
      <w:lang w:eastAsia="en-US"/>
    </w:rPr>
  </w:style>
  <w:style w:type="paragraph" w:styleId="3">
    <w:name w:val="heading 2"/>
    <w:basedOn w:val="1"/>
    <w:next w:val="1"/>
    <w:autoRedefine/>
    <w:semiHidden/>
    <w:unhideWhenUsed/>
    <w:qFormat/>
    <w:uiPriority w:val="0"/>
    <w:pPr>
      <w:spacing w:line="360" w:lineRule="auto"/>
      <w:ind w:left="119"/>
      <w:jc w:val="center"/>
      <w:outlineLvl w:val="1"/>
    </w:pPr>
    <w:rPr>
      <w:rFonts w:cs="Times New Roman"/>
      <w:b/>
      <w:bCs/>
      <w:sz w:val="32"/>
      <w:lang w:eastAsia="en-US"/>
    </w:rPr>
  </w:style>
  <w:style w:type="paragraph" w:styleId="4">
    <w:name w:val="heading 3"/>
    <w:basedOn w:val="1"/>
    <w:next w:val="1"/>
    <w:autoRedefine/>
    <w:qFormat/>
    <w:uiPriority w:val="0"/>
    <w:pPr>
      <w:keepNext/>
      <w:keepLines/>
      <w:numPr>
        <w:ilvl w:val="2"/>
        <w:numId w:val="1"/>
      </w:numPr>
      <w:spacing w:line="360" w:lineRule="auto"/>
      <w:outlineLvl w:val="2"/>
    </w:pPr>
    <w:rPr>
      <w:rFonts w:cs="Times New Roman"/>
      <w:b/>
      <w:bCs/>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cs="Times New Roman"/>
      <w:szCs w:val="20"/>
    </w:rPr>
  </w:style>
  <w:style w:type="paragraph" w:styleId="6">
    <w:name w:val="index 5"/>
    <w:basedOn w:val="1"/>
    <w:next w:val="1"/>
    <w:autoRedefine/>
    <w:qFormat/>
    <w:uiPriority w:val="0"/>
    <w:pPr>
      <w:ind w:left="798" w:leftChars="380"/>
      <w:jc w:val="left"/>
    </w:pPr>
    <w:rPr>
      <w:rFonts w:ascii="Calibri" w:hAnsi="Calibri" w:eastAsia="宋体" w:cs="Times New Roman"/>
      <w:sz w:val="21"/>
      <w:szCs w:val="24"/>
    </w:rPr>
  </w:style>
  <w:style w:type="paragraph" w:styleId="7">
    <w:name w:val="Body Text"/>
    <w:basedOn w:val="1"/>
    <w:next w:val="8"/>
    <w:autoRedefine/>
    <w:qFormat/>
    <w:uiPriority w:val="0"/>
  </w:style>
  <w:style w:type="paragraph" w:styleId="8">
    <w:name w:val="Body Text 2"/>
    <w:basedOn w:val="1"/>
    <w:next w:val="7"/>
    <w:autoRedefine/>
    <w:qFormat/>
    <w:uiPriority w:val="0"/>
    <w:pPr>
      <w:suppressAutoHyphens/>
      <w:jc w:val="left"/>
    </w:pPr>
    <w:rPr>
      <w:color w:val="000000"/>
      <w:kern w:val="1"/>
      <w:sz w:val="28"/>
      <w:szCs w:val="20"/>
    </w:rPr>
  </w:style>
  <w:style w:type="paragraph" w:styleId="9">
    <w:name w:val="Body Text Indent"/>
    <w:basedOn w:val="1"/>
    <w:next w:val="10"/>
    <w:autoRedefine/>
    <w:qFormat/>
    <w:uiPriority w:val="0"/>
    <w:pPr>
      <w:spacing w:after="120"/>
      <w:ind w:left="420" w:leftChars="200"/>
    </w:pPr>
    <w:rPr>
      <w:rFonts w:ascii="Times New Roman" w:hAnsi="Times New Roman" w:cs="Times New Roman"/>
    </w:rPr>
  </w:style>
  <w:style w:type="paragraph" w:styleId="10">
    <w:name w:val="envelope return"/>
    <w:basedOn w:val="1"/>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pPr>
    <w:rPr>
      <w:rFonts w:ascii="Times New Roman" w:hAnsi="Times New Roman" w:cs="Times New Roman"/>
    </w:rPr>
  </w:style>
  <w:style w:type="paragraph" w:styleId="12">
    <w:name w:val="List Continue"/>
    <w:basedOn w:val="1"/>
    <w:autoRedefine/>
    <w:qFormat/>
    <w:uiPriority w:val="0"/>
    <w:pPr>
      <w:widowControl/>
      <w:spacing w:before="100" w:beforeAutospacing="1" w:after="100" w:afterAutospacing="1"/>
      <w:jc w:val="left"/>
    </w:pPr>
    <w:rPr>
      <w:rFonts w:cs="Times New Roman"/>
      <w:kern w:val="0"/>
      <w:sz w:val="24"/>
    </w:rPr>
  </w:style>
  <w:style w:type="paragraph" w:styleId="13">
    <w:name w:val="Plain Text"/>
    <w:basedOn w:val="1"/>
    <w:autoRedefine/>
    <w:qFormat/>
    <w:uiPriority w:val="0"/>
    <w:rPr>
      <w:rFonts w:hAnsi="Courier New" w:cs="Courier New"/>
    </w:rPr>
  </w:style>
  <w:style w:type="paragraph" w:styleId="14">
    <w:name w:val="Balloon Text"/>
    <w:basedOn w:val="1"/>
    <w:link w:val="41"/>
    <w:autoRedefine/>
    <w:qFormat/>
    <w:uiPriority w:val="0"/>
    <w:rPr>
      <w:sz w:val="18"/>
      <w:szCs w:val="18"/>
    </w:rPr>
  </w:style>
  <w:style w:type="paragraph" w:styleId="15">
    <w:name w:val="footer"/>
    <w:basedOn w:val="1"/>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toc 1"/>
    <w:basedOn w:val="1"/>
    <w:next w:val="1"/>
    <w:autoRedefine/>
    <w:qFormat/>
    <w:uiPriority w:val="39"/>
    <w:rPr>
      <w:rFonts w:ascii="Times New Roman" w:hAnsi="Times New Roman" w:cs="Times New Roman"/>
    </w:rPr>
  </w:style>
  <w:style w:type="paragraph" w:styleId="18">
    <w:name w:val="footnote text"/>
    <w:basedOn w:val="1"/>
    <w:next w:val="6"/>
    <w:autoRedefine/>
    <w:qFormat/>
    <w:uiPriority w:val="0"/>
    <w:pPr>
      <w:adjustRightInd w:val="0"/>
      <w:spacing w:line="312" w:lineRule="atLeast"/>
      <w:jc w:val="left"/>
      <w:textAlignment w:val="baseline"/>
    </w:pPr>
    <w:rPr>
      <w:kern w:val="0"/>
      <w:sz w:val="18"/>
      <w:szCs w:val="20"/>
    </w:rPr>
  </w:style>
  <w:style w:type="paragraph" w:styleId="19">
    <w:name w:val="Normal (Web)"/>
    <w:basedOn w:val="1"/>
    <w:next w:val="1"/>
    <w:autoRedefine/>
    <w:qFormat/>
    <w:uiPriority w:val="0"/>
    <w:pPr>
      <w:widowControl/>
      <w:spacing w:before="100" w:beforeAutospacing="1" w:after="100" w:afterAutospacing="1" w:line="320" w:lineRule="atLeast"/>
      <w:jc w:val="left"/>
    </w:pPr>
    <w:rPr>
      <w:rFonts w:cs="Times New Roman"/>
      <w:kern w:val="0"/>
      <w:sz w:val="18"/>
      <w:szCs w:val="18"/>
    </w:rPr>
  </w:style>
  <w:style w:type="paragraph" w:styleId="20">
    <w:name w:val="Body Text First Indent"/>
    <w:basedOn w:val="7"/>
    <w:next w:val="21"/>
    <w:autoRedefine/>
    <w:qFormat/>
    <w:uiPriority w:val="0"/>
    <w:pPr>
      <w:ind w:firstLine="420" w:firstLineChars="100"/>
    </w:pPr>
  </w:style>
  <w:style w:type="paragraph" w:styleId="21">
    <w:name w:val="Body Text First Indent 2"/>
    <w:basedOn w:val="9"/>
    <w:next w:val="20"/>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autoRedefine/>
    <w:qFormat/>
    <w:uiPriority w:val="0"/>
    <w:rPr>
      <w:color w:val="800080"/>
      <w:u w:val="none"/>
    </w:rPr>
  </w:style>
  <w:style w:type="character" w:styleId="26">
    <w:name w:val="Emphasis"/>
    <w:basedOn w:val="24"/>
    <w:autoRedefine/>
    <w:qFormat/>
    <w:uiPriority w:val="0"/>
    <w:rPr>
      <w:i/>
    </w:rPr>
  </w:style>
  <w:style w:type="character" w:styleId="27">
    <w:name w:val="HTML Definition"/>
    <w:basedOn w:val="24"/>
    <w:autoRedefine/>
    <w:qFormat/>
    <w:uiPriority w:val="0"/>
  </w:style>
  <w:style w:type="character" w:styleId="28">
    <w:name w:val="HTML Typewriter"/>
    <w:basedOn w:val="24"/>
    <w:autoRedefine/>
    <w:qFormat/>
    <w:uiPriority w:val="0"/>
    <w:rPr>
      <w:rFonts w:hint="default" w:ascii="monospace" w:hAnsi="monospace" w:eastAsia="monospace" w:cs="monospace"/>
      <w:sz w:val="20"/>
    </w:rPr>
  </w:style>
  <w:style w:type="character" w:styleId="29">
    <w:name w:val="HTML Acronym"/>
    <w:basedOn w:val="24"/>
    <w:autoRedefine/>
    <w:qFormat/>
    <w:uiPriority w:val="0"/>
  </w:style>
  <w:style w:type="character" w:styleId="30">
    <w:name w:val="HTML Variable"/>
    <w:basedOn w:val="24"/>
    <w:autoRedefine/>
    <w:qFormat/>
    <w:uiPriority w:val="0"/>
  </w:style>
  <w:style w:type="character" w:styleId="31">
    <w:name w:val="Hyperlink"/>
    <w:basedOn w:val="24"/>
    <w:autoRedefine/>
    <w:qFormat/>
    <w:uiPriority w:val="99"/>
    <w:rPr>
      <w:color w:val="333333"/>
      <w:sz w:val="18"/>
      <w:szCs w:val="18"/>
      <w:u w:val="none"/>
    </w:rPr>
  </w:style>
  <w:style w:type="character" w:styleId="32">
    <w:name w:val="HTML Code"/>
    <w:basedOn w:val="24"/>
    <w:autoRedefine/>
    <w:qFormat/>
    <w:uiPriority w:val="0"/>
    <w:rPr>
      <w:rFonts w:hint="default" w:ascii="monospace" w:hAnsi="monospace" w:eastAsia="monospace" w:cs="monospace"/>
      <w:sz w:val="20"/>
    </w:rPr>
  </w:style>
  <w:style w:type="character" w:styleId="33">
    <w:name w:val="HTML Cite"/>
    <w:basedOn w:val="24"/>
    <w:autoRedefine/>
    <w:qFormat/>
    <w:uiPriority w:val="0"/>
  </w:style>
  <w:style w:type="character" w:styleId="34">
    <w:name w:val="HTML Keyboard"/>
    <w:basedOn w:val="24"/>
    <w:autoRedefine/>
    <w:qFormat/>
    <w:uiPriority w:val="0"/>
    <w:rPr>
      <w:rFonts w:ascii="monospace" w:hAnsi="monospace" w:eastAsia="monospace" w:cs="monospace"/>
      <w:sz w:val="20"/>
    </w:rPr>
  </w:style>
  <w:style w:type="character" w:styleId="35">
    <w:name w:val="HTML Sample"/>
    <w:basedOn w:val="24"/>
    <w:autoRedefine/>
    <w:qFormat/>
    <w:uiPriority w:val="0"/>
    <w:rPr>
      <w:rFonts w:hint="default" w:ascii="monospace" w:hAnsi="monospace" w:eastAsia="monospace" w:cs="monospace"/>
    </w:rPr>
  </w:style>
  <w:style w:type="paragraph" w:customStyle="1" w:styleId="36">
    <w:name w:val="Default"/>
    <w:next w:val="1"/>
    <w:autoRedefine/>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lockquote"/>
    <w:basedOn w:val="1"/>
    <w:next w:val="1"/>
    <w:autoRedefine/>
    <w:qFormat/>
    <w:uiPriority w:val="99"/>
    <w:pPr>
      <w:autoSpaceDE w:val="0"/>
      <w:autoSpaceDN w:val="0"/>
      <w:adjustRightInd w:val="0"/>
      <w:spacing w:before="100" w:after="100"/>
      <w:ind w:left="360" w:right="360"/>
    </w:pPr>
    <w:rPr>
      <w:sz w:val="24"/>
    </w:rPr>
  </w:style>
  <w:style w:type="paragraph" w:customStyle="1" w:styleId="38">
    <w:name w:val="首行缩进"/>
    <w:basedOn w:val="1"/>
    <w:autoRedefine/>
    <w:qFormat/>
    <w:uiPriority w:val="99"/>
    <w:pPr>
      <w:ind w:firstLine="480"/>
    </w:pPr>
    <w:rPr>
      <w:kern w:val="0"/>
      <w:szCs w:val="20"/>
      <w:lang w:val="zh-CN"/>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Table Paragraph"/>
    <w:basedOn w:val="1"/>
    <w:autoRedefine/>
    <w:qFormat/>
    <w:uiPriority w:val="1"/>
    <w:rPr>
      <w:lang w:val="zh-CN" w:bidi="zh-CN"/>
    </w:rPr>
  </w:style>
  <w:style w:type="character" w:customStyle="1" w:styleId="41">
    <w:name w:val="批注框文本 Char"/>
    <w:basedOn w:val="24"/>
    <w:link w:val="14"/>
    <w:autoRedefine/>
    <w:qFormat/>
    <w:uiPriority w:val="0"/>
    <w:rPr>
      <w:rFonts w:ascii="宋体" w:hAnsi="宋体" w:cs="宋体"/>
      <w:kern w:val="2"/>
      <w:sz w:val="18"/>
      <w:szCs w:val="18"/>
    </w:rPr>
  </w:style>
  <w:style w:type="paragraph" w:customStyle="1" w:styleId="42">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43">
    <w:name w:val="Body text|1"/>
    <w:basedOn w:val="1"/>
    <w:autoRedefine/>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4">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45">
    <w:name w:val="NormalCharacter"/>
    <w:autoRedefine/>
    <w:qFormat/>
    <w:uiPriority w:val="0"/>
    <w:rPr>
      <w:rFonts w:ascii="等线" w:hAnsi="等线" w:eastAsia="等线"/>
    </w:rPr>
  </w:style>
  <w:style w:type="paragraph" w:customStyle="1" w:styleId="46">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szCs w:val="20"/>
    </w:rPr>
  </w:style>
  <w:style w:type="table" w:customStyle="1" w:styleId="4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20.jpeg"/><Relationship Id="rId3" Type="http://schemas.openxmlformats.org/officeDocument/2006/relationships/footer" Target="footer1.xml"/><Relationship Id="rId29" Type="http://schemas.openxmlformats.org/officeDocument/2006/relationships/image" Target="media/image19.jpeg"/><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26020</Words>
  <Characters>27338</Characters>
  <Lines>212</Lines>
  <Paragraphs>59</Paragraphs>
  <TotalTime>0</TotalTime>
  <ScaleCrop>false</ScaleCrop>
  <LinksUpToDate>false</LinksUpToDate>
  <CharactersWithSpaces>28358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胡岩</cp:lastModifiedBy>
  <cp:lastPrinted>2024-05-14T13:44:00Z</cp:lastPrinted>
  <dcterms:modified xsi:type="dcterms:W3CDTF">2024-05-15T03:41:37Z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C6F652B471D84FE08E9BDB3803350EA9</vt:lpwstr>
  </property>
</Properties>
</file>