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仿宋" w:hAnsi="仿宋" w:cs="仿宋"/>
          <w:b/>
          <w:bCs/>
          <w:color w:val="auto"/>
          <w:spacing w:val="-6"/>
          <w:sz w:val="56"/>
          <w:szCs w:val="52"/>
          <w:lang w:val="en-US" w:eastAsia="zh-CN"/>
        </w:rPr>
      </w:pPr>
      <w:bookmarkStart w:id="0" w:name="_Toc14461"/>
      <w:bookmarkStart w:id="1" w:name="_Toc8792"/>
      <w:bookmarkStart w:id="2" w:name="_Toc2970"/>
      <w:bookmarkStart w:id="3" w:name="_Toc31147"/>
    </w:p>
    <w:p>
      <w:pPr>
        <w:bidi w:val="0"/>
        <w:jc w:val="center"/>
        <w:rPr>
          <w:rFonts w:hint="eastAsia" w:ascii="仿宋" w:hAnsi="仿宋" w:cs="仿宋"/>
          <w:b/>
          <w:bCs/>
          <w:color w:val="auto"/>
          <w:spacing w:val="-6"/>
          <w:sz w:val="56"/>
          <w:szCs w:val="52"/>
          <w:lang w:val="en-US" w:eastAsia="zh-CN"/>
        </w:rPr>
      </w:pPr>
      <w:r>
        <w:rPr>
          <w:rFonts w:hint="eastAsia" w:ascii="仿宋" w:hAnsi="仿宋" w:cs="仿宋"/>
          <w:b/>
          <w:bCs/>
          <w:color w:val="auto"/>
          <w:spacing w:val="-6"/>
          <w:sz w:val="56"/>
          <w:szCs w:val="52"/>
          <w:lang w:val="en-US" w:eastAsia="zh-CN"/>
        </w:rPr>
        <w:t>唐河县黑龙镇易地扶贫搬迁后续扶持标准化厂房建设项目</w:t>
      </w:r>
    </w:p>
    <w:p>
      <w:pPr>
        <w:bidi w:val="0"/>
        <w:jc w:val="center"/>
        <w:rPr>
          <w:b/>
          <w:bCs/>
          <w:color w:val="auto"/>
          <w:sz w:val="56"/>
          <w:szCs w:val="52"/>
        </w:rPr>
      </w:pPr>
      <w:r>
        <w:rPr>
          <w:b/>
          <w:bCs/>
          <w:color w:val="auto"/>
          <w:sz w:val="56"/>
          <w:szCs w:val="52"/>
        </w:rPr>
        <w:t>竞争性磋商文件</w:t>
      </w:r>
      <w:bookmarkEnd w:id="0"/>
      <w:bookmarkEnd w:id="1"/>
      <w:bookmarkEnd w:id="2"/>
      <w:bookmarkEnd w:id="3"/>
    </w:p>
    <w:p>
      <w:pPr>
        <w:pStyle w:val="14"/>
        <w:rPr>
          <w:b/>
          <w:bCs/>
          <w:color w:val="auto"/>
          <w:sz w:val="56"/>
          <w:szCs w:val="52"/>
        </w:rPr>
      </w:pPr>
    </w:p>
    <w:p>
      <w:pPr>
        <w:ind w:firstLine="1928" w:firstLineChars="600"/>
        <w:jc w:val="both"/>
        <w:rPr>
          <w:rFonts w:hint="default" w:eastAsia="仿宋"/>
          <w:color w:val="auto"/>
          <w:lang w:val="en-US" w:eastAsia="zh-CN"/>
        </w:rPr>
      </w:pPr>
      <w:r>
        <w:rPr>
          <w:b/>
          <w:bCs/>
          <w:color w:val="auto"/>
          <w:sz w:val="32"/>
          <w:szCs w:val="28"/>
        </w:rPr>
        <w:t>采购编号：</w:t>
      </w:r>
      <w:r>
        <w:rPr>
          <w:rFonts w:hint="eastAsia"/>
          <w:b/>
          <w:bCs/>
          <w:color w:val="auto"/>
          <w:sz w:val="32"/>
          <w:szCs w:val="28"/>
          <w:lang w:val="zh-CN"/>
        </w:rPr>
        <w:t>唐财采购竞争性磋商-202</w:t>
      </w:r>
      <w:r>
        <w:rPr>
          <w:rFonts w:hint="eastAsia"/>
          <w:b/>
          <w:bCs/>
          <w:color w:val="auto"/>
          <w:sz w:val="32"/>
          <w:szCs w:val="28"/>
          <w:lang w:val="en-US" w:eastAsia="zh-CN"/>
        </w:rPr>
        <w:t>4</w:t>
      </w:r>
      <w:r>
        <w:rPr>
          <w:rFonts w:hint="eastAsia"/>
          <w:b/>
          <w:bCs/>
          <w:color w:val="auto"/>
          <w:sz w:val="32"/>
          <w:szCs w:val="28"/>
          <w:lang w:val="zh-CN"/>
        </w:rPr>
        <w:t>-</w:t>
      </w:r>
      <w:r>
        <w:rPr>
          <w:rFonts w:hint="eastAsia"/>
          <w:b/>
          <w:bCs/>
          <w:color w:val="auto"/>
          <w:sz w:val="32"/>
          <w:szCs w:val="28"/>
          <w:lang w:val="en-US" w:eastAsia="zh-CN"/>
        </w:rPr>
        <w:t xml:space="preserve">58  </w:t>
      </w:r>
    </w:p>
    <w:p>
      <w:pPr>
        <w:rPr>
          <w:color w:val="auto"/>
        </w:rPr>
      </w:pPr>
    </w:p>
    <w:p>
      <w:pPr>
        <w:jc w:val="center"/>
        <w:rPr>
          <w:color w:val="auto"/>
        </w:rPr>
      </w:pPr>
    </w:p>
    <w:p>
      <w:pPr>
        <w:pStyle w:val="3"/>
        <w:rPr>
          <w:color w:val="auto"/>
        </w:rPr>
      </w:pPr>
    </w:p>
    <w:p>
      <w:pPr>
        <w:pStyle w:val="36"/>
        <w:rPr>
          <w:color w:val="auto"/>
        </w:rPr>
      </w:pPr>
    </w:p>
    <w:p>
      <w:pPr>
        <w:pStyle w:val="37"/>
        <w:rPr>
          <w:rFonts w:hint="eastAsia" w:eastAsia="宋体"/>
          <w:color w:val="auto"/>
          <w:lang w:val="en-US" w:eastAsia="zh-CN"/>
        </w:rPr>
      </w:pPr>
      <w:r>
        <w:rPr>
          <w:rFonts w:hint="eastAsia"/>
          <w:color w:val="auto"/>
          <w:lang w:val="en-US" w:eastAsia="zh-CN"/>
        </w:rPr>
        <w:t xml:space="preserve"> </w:t>
      </w:r>
    </w:p>
    <w:p>
      <w:pPr>
        <w:rPr>
          <w:color w:val="auto"/>
        </w:rPr>
      </w:pPr>
    </w:p>
    <w:p>
      <w:pPr>
        <w:pStyle w:val="3"/>
        <w:rPr>
          <w:color w:val="auto"/>
        </w:rPr>
      </w:pPr>
    </w:p>
    <w:p>
      <w:pPr>
        <w:rPr>
          <w:color w:val="auto"/>
        </w:rPr>
      </w:pPr>
    </w:p>
    <w:p>
      <w:pPr>
        <w:pStyle w:val="3"/>
        <w:rPr>
          <w:color w:val="auto"/>
        </w:rPr>
      </w:pPr>
    </w:p>
    <w:p>
      <w:pPr>
        <w:rPr>
          <w:color w:val="auto"/>
        </w:rPr>
      </w:pPr>
    </w:p>
    <w:p>
      <w:pPr>
        <w:rPr>
          <w:color w:val="auto"/>
        </w:rPr>
      </w:pPr>
    </w:p>
    <w:p>
      <w:pPr>
        <w:rPr>
          <w:color w:val="auto"/>
        </w:rPr>
      </w:pPr>
    </w:p>
    <w:p>
      <w:pPr>
        <w:pStyle w:val="2"/>
        <w:rPr>
          <w:color w:val="auto"/>
        </w:rPr>
      </w:pPr>
    </w:p>
    <w:p>
      <w:pPr>
        <w:pStyle w:val="4"/>
        <w:rPr>
          <w:color w:val="auto"/>
        </w:rPr>
      </w:pPr>
    </w:p>
    <w:p/>
    <w:p>
      <w:pPr>
        <w:rPr>
          <w:color w:val="auto"/>
        </w:rPr>
      </w:pPr>
    </w:p>
    <w:p>
      <w:pPr>
        <w:pStyle w:val="35"/>
        <w:rPr>
          <w:color w:val="auto"/>
        </w:rPr>
      </w:pPr>
    </w:p>
    <w:p>
      <w:pPr>
        <w:rPr>
          <w:color w:val="auto"/>
        </w:rPr>
      </w:pPr>
    </w:p>
    <w:p>
      <w:pPr>
        <w:pStyle w:val="3"/>
        <w:rPr>
          <w:color w:val="auto"/>
        </w:rPr>
      </w:pPr>
    </w:p>
    <w:p>
      <w:pPr>
        <w:rPr>
          <w:color w:val="auto"/>
        </w:rPr>
      </w:pPr>
    </w:p>
    <w:p>
      <w:pPr>
        <w:jc w:val="center"/>
        <w:rPr>
          <w:rFonts w:hint="eastAsia"/>
          <w:b/>
          <w:bCs/>
          <w:color w:val="auto"/>
          <w:spacing w:val="17"/>
          <w:sz w:val="40"/>
          <w:szCs w:val="40"/>
          <w:lang w:eastAsia="zh-CN"/>
        </w:rPr>
      </w:pPr>
      <w:r>
        <w:rPr>
          <w:b/>
          <w:bCs/>
          <w:color w:val="auto"/>
          <w:sz w:val="40"/>
          <w:szCs w:val="40"/>
        </w:rPr>
        <w:t>采</w:t>
      </w:r>
      <w:r>
        <w:rPr>
          <w:rFonts w:hint="eastAsia"/>
          <w:b/>
          <w:bCs/>
          <w:color w:val="auto"/>
          <w:sz w:val="40"/>
          <w:szCs w:val="40"/>
          <w:lang w:val="en-US" w:eastAsia="zh-CN"/>
        </w:rPr>
        <w:t xml:space="preserve">   </w:t>
      </w:r>
      <w:r>
        <w:rPr>
          <w:b/>
          <w:bCs/>
          <w:color w:val="auto"/>
          <w:sz w:val="40"/>
          <w:szCs w:val="40"/>
        </w:rPr>
        <w:t>购</w:t>
      </w:r>
      <w:r>
        <w:rPr>
          <w:rFonts w:hint="eastAsia"/>
          <w:b/>
          <w:bCs/>
          <w:color w:val="auto"/>
          <w:sz w:val="40"/>
          <w:szCs w:val="40"/>
          <w:lang w:val="en-US" w:eastAsia="zh-CN"/>
        </w:rPr>
        <w:t xml:space="preserve">   </w:t>
      </w:r>
      <w:r>
        <w:rPr>
          <w:b/>
          <w:bCs/>
          <w:color w:val="auto"/>
          <w:sz w:val="40"/>
          <w:szCs w:val="40"/>
        </w:rPr>
        <w:t>人：</w:t>
      </w:r>
      <w:r>
        <w:rPr>
          <w:rFonts w:hint="eastAsia"/>
          <w:b/>
          <w:bCs/>
          <w:color w:val="auto"/>
          <w:spacing w:val="17"/>
          <w:sz w:val="40"/>
          <w:szCs w:val="40"/>
          <w:lang w:eastAsia="zh-CN"/>
        </w:rPr>
        <w:t>唐河县黑龙镇人民政府</w:t>
      </w:r>
    </w:p>
    <w:p>
      <w:pPr>
        <w:jc w:val="center"/>
        <w:rPr>
          <w:b/>
          <w:bCs/>
          <w:color w:val="auto"/>
          <w:sz w:val="40"/>
          <w:szCs w:val="40"/>
        </w:rPr>
      </w:pPr>
      <w:r>
        <w:rPr>
          <w:rFonts w:hint="eastAsia"/>
          <w:b/>
          <w:bCs/>
          <w:color w:val="auto"/>
          <w:sz w:val="40"/>
          <w:szCs w:val="40"/>
          <w:lang w:val="en-US" w:eastAsia="zh-CN"/>
        </w:rPr>
        <w:t xml:space="preserve">  </w:t>
      </w:r>
      <w:r>
        <w:rPr>
          <w:b/>
          <w:bCs/>
          <w:color w:val="auto"/>
          <w:sz w:val="40"/>
          <w:szCs w:val="40"/>
        </w:rPr>
        <w:t>采购代理机构：</w:t>
      </w:r>
      <w:r>
        <w:rPr>
          <w:rFonts w:hint="eastAsia"/>
          <w:b/>
          <w:bCs/>
          <w:color w:val="auto"/>
          <w:sz w:val="40"/>
          <w:szCs w:val="40"/>
          <w:lang w:eastAsia="zh-CN"/>
        </w:rPr>
        <w:t>唐河县龙建工程管理有限公司</w:t>
      </w:r>
    </w:p>
    <w:p>
      <w:pPr>
        <w:jc w:val="center"/>
        <w:rPr>
          <w:color w:val="auto"/>
        </w:rPr>
        <w:sectPr>
          <w:type w:val="continuous"/>
          <w:pgSz w:w="11910" w:h="16840"/>
          <w:pgMar w:top="1417" w:right="1020" w:bottom="1417" w:left="964" w:header="720" w:footer="720" w:gutter="0"/>
          <w:pgNumType w:fmt="decimal"/>
          <w:cols w:space="720" w:num="1"/>
        </w:sectPr>
      </w:pPr>
      <w:r>
        <w:rPr>
          <w:rFonts w:hint="eastAsia"/>
          <w:b/>
          <w:bCs/>
          <w:color w:val="auto"/>
          <w:sz w:val="40"/>
          <w:szCs w:val="40"/>
          <w:lang w:eastAsia="zh-CN"/>
        </w:rPr>
        <w:t>202</w:t>
      </w:r>
      <w:r>
        <w:rPr>
          <w:rFonts w:hint="eastAsia"/>
          <w:b/>
          <w:bCs/>
          <w:color w:val="auto"/>
          <w:sz w:val="40"/>
          <w:szCs w:val="40"/>
          <w:lang w:val="en-US" w:eastAsia="zh-CN"/>
        </w:rPr>
        <w:t>4</w:t>
      </w:r>
      <w:r>
        <w:rPr>
          <w:rFonts w:hint="eastAsia"/>
          <w:b/>
          <w:bCs/>
          <w:color w:val="auto"/>
          <w:sz w:val="40"/>
          <w:szCs w:val="40"/>
          <w:lang w:eastAsia="zh-CN"/>
        </w:rPr>
        <w:t>年</w:t>
      </w:r>
      <w:r>
        <w:rPr>
          <w:rFonts w:hint="eastAsia"/>
          <w:b/>
          <w:bCs/>
          <w:color w:val="auto"/>
          <w:sz w:val="40"/>
          <w:szCs w:val="40"/>
          <w:lang w:val="en-US" w:eastAsia="zh-CN"/>
        </w:rPr>
        <w:t>05</w:t>
      </w:r>
      <w:r>
        <w:rPr>
          <w:rFonts w:hint="eastAsia"/>
          <w:b/>
          <w:bCs/>
          <w:color w:val="auto"/>
          <w:sz w:val="40"/>
          <w:szCs w:val="40"/>
          <w:lang w:eastAsia="zh-CN"/>
        </w:rPr>
        <w:t>月</w:t>
      </w:r>
    </w:p>
    <w:p>
      <w:pPr>
        <w:spacing w:before="0" w:after="0" w:line="240" w:lineRule="auto"/>
        <w:ind w:left="0" w:leftChars="0" w:right="0" w:firstLine="0" w:firstLineChars="0"/>
        <w:jc w:val="center"/>
        <w:rPr>
          <w:color w:val="auto"/>
        </w:rPr>
      </w:pPr>
      <w:r>
        <w:rPr>
          <w:rFonts w:ascii="宋体" w:hAnsi="宋体" w:eastAsia="宋体"/>
          <w:color w:val="auto"/>
          <w:sz w:val="21"/>
        </w:rPr>
        <w:t>目录</w:t>
      </w:r>
      <w:r>
        <w:rPr>
          <w:color w:val="auto"/>
        </w:rPr>
        <w:fldChar w:fldCharType="begin"/>
      </w:r>
      <w:r>
        <w:rPr>
          <w:color w:val="auto"/>
        </w:rPr>
        <w:instrText xml:space="preserve">TOC \o "1-2" \h \u </w:instrText>
      </w:r>
      <w:r>
        <w:rPr>
          <w:color w:val="auto"/>
        </w:rPr>
        <w:fldChar w:fldCharType="separate"/>
      </w:r>
    </w:p>
    <w:p>
      <w:pPr>
        <w:pStyle w:val="17"/>
        <w:tabs>
          <w:tab w:val="right" w:leader="dot" w:pos="10150"/>
        </w:tabs>
        <w:rPr>
          <w:color w:val="auto"/>
        </w:rPr>
      </w:pPr>
      <w:r>
        <w:rPr>
          <w:color w:val="auto"/>
        </w:rPr>
        <w:fldChar w:fldCharType="begin"/>
      </w:r>
      <w:r>
        <w:rPr>
          <w:color w:val="auto"/>
        </w:rPr>
        <w:instrText xml:space="preserve"> HYPERLINK \l _Toc5263 </w:instrText>
      </w:r>
      <w:r>
        <w:rPr>
          <w:color w:val="auto"/>
        </w:rPr>
        <w:fldChar w:fldCharType="separate"/>
      </w:r>
      <w:r>
        <w:rPr>
          <w:bCs/>
          <w:color w:val="auto"/>
        </w:rPr>
        <w:t>第一部分</w:t>
      </w:r>
      <w:r>
        <w:rPr>
          <w:rFonts w:hint="eastAsia"/>
          <w:bCs/>
          <w:color w:val="auto"/>
          <w:lang w:val="en-US" w:eastAsia="zh-CN"/>
        </w:rPr>
        <w:t xml:space="preserve"> </w:t>
      </w:r>
      <w:r>
        <w:rPr>
          <w:bCs/>
          <w:color w:val="auto"/>
        </w:rPr>
        <w:t>竞争性磋商公告</w:t>
      </w:r>
      <w:r>
        <w:rPr>
          <w:color w:val="auto"/>
        </w:rPr>
        <w:tab/>
      </w:r>
      <w:r>
        <w:rPr>
          <w:color w:val="auto"/>
        </w:rPr>
        <w:fldChar w:fldCharType="begin"/>
      </w:r>
      <w:r>
        <w:rPr>
          <w:color w:val="auto"/>
        </w:rPr>
        <w:instrText xml:space="preserve"> PAGEREF _Toc5263 \h </w:instrText>
      </w:r>
      <w:r>
        <w:rPr>
          <w:color w:val="auto"/>
        </w:rPr>
        <w:fldChar w:fldCharType="separate"/>
      </w:r>
      <w:r>
        <w:rPr>
          <w:color w:val="auto"/>
        </w:rPr>
        <w:t>1</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_Toc25278 </w:instrText>
      </w:r>
      <w:r>
        <w:rPr>
          <w:color w:val="auto"/>
        </w:rPr>
        <w:fldChar w:fldCharType="separate"/>
      </w:r>
      <w:r>
        <w:rPr>
          <w:rFonts w:hint="eastAsia"/>
          <w:color w:val="auto"/>
        </w:rPr>
        <w:t>第二部分</w:t>
      </w:r>
      <w:r>
        <w:rPr>
          <w:rFonts w:hint="eastAsia"/>
          <w:color w:val="auto"/>
        </w:rPr>
        <w:tab/>
      </w:r>
      <w:r>
        <w:rPr>
          <w:rFonts w:hint="eastAsia"/>
          <w:color w:val="auto"/>
        </w:rPr>
        <w:t>供应商须知</w:t>
      </w:r>
      <w:r>
        <w:rPr>
          <w:color w:val="auto"/>
        </w:rPr>
        <w:tab/>
      </w:r>
      <w:r>
        <w:rPr>
          <w:color w:val="auto"/>
        </w:rPr>
        <w:fldChar w:fldCharType="begin"/>
      </w:r>
      <w:r>
        <w:rPr>
          <w:color w:val="auto"/>
        </w:rPr>
        <w:instrText xml:space="preserve"> PAGEREF _Toc25278 \h </w:instrText>
      </w:r>
      <w:r>
        <w:rPr>
          <w:color w:val="auto"/>
        </w:rPr>
        <w:fldChar w:fldCharType="separate"/>
      </w:r>
      <w:r>
        <w:rPr>
          <w:color w:val="auto"/>
        </w:rPr>
        <w:t>1</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_Toc11661 </w:instrText>
      </w:r>
      <w:r>
        <w:rPr>
          <w:color w:val="auto"/>
        </w:rPr>
        <w:fldChar w:fldCharType="separate"/>
      </w:r>
      <w:r>
        <w:rPr>
          <w:rFonts w:hint="eastAsia"/>
          <w:color w:val="auto"/>
        </w:rPr>
        <w:t>第三部分</w:t>
      </w:r>
      <w:r>
        <w:rPr>
          <w:rFonts w:hint="eastAsia"/>
          <w:color w:val="auto"/>
        </w:rPr>
        <w:tab/>
      </w:r>
      <w:r>
        <w:rPr>
          <w:rFonts w:hint="eastAsia"/>
          <w:color w:val="auto"/>
        </w:rPr>
        <w:t>供应商须知正文部分</w:t>
      </w:r>
      <w:r>
        <w:rPr>
          <w:color w:val="auto"/>
        </w:rPr>
        <w:tab/>
      </w:r>
      <w:r>
        <w:rPr>
          <w:color w:val="auto"/>
        </w:rPr>
        <w:fldChar w:fldCharType="begin"/>
      </w:r>
      <w:r>
        <w:rPr>
          <w:color w:val="auto"/>
        </w:rPr>
        <w:instrText xml:space="preserve"> PAGEREF _Toc11661 \h </w:instrText>
      </w:r>
      <w:r>
        <w:rPr>
          <w:color w:val="auto"/>
        </w:rPr>
        <w:fldChar w:fldCharType="separate"/>
      </w:r>
      <w:r>
        <w:rPr>
          <w:color w:val="auto"/>
        </w:rPr>
        <w:t>13</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_Toc14137 </w:instrText>
      </w:r>
      <w:r>
        <w:rPr>
          <w:color w:val="auto"/>
        </w:rPr>
        <w:fldChar w:fldCharType="separate"/>
      </w:r>
      <w:r>
        <w:rPr>
          <w:rFonts w:hint="eastAsia"/>
          <w:color w:val="auto"/>
        </w:rPr>
        <w:t>第四部分</w:t>
      </w:r>
      <w:r>
        <w:rPr>
          <w:rFonts w:hint="eastAsia"/>
          <w:color w:val="auto"/>
        </w:rPr>
        <w:tab/>
      </w:r>
      <w:r>
        <w:rPr>
          <w:rFonts w:hint="eastAsia"/>
          <w:color w:val="auto"/>
        </w:rPr>
        <w:t>合同格式</w:t>
      </w:r>
      <w:r>
        <w:rPr>
          <w:color w:val="auto"/>
        </w:rPr>
        <w:tab/>
      </w:r>
      <w:r>
        <w:rPr>
          <w:color w:val="auto"/>
        </w:rPr>
        <w:fldChar w:fldCharType="begin"/>
      </w:r>
      <w:r>
        <w:rPr>
          <w:color w:val="auto"/>
        </w:rPr>
        <w:instrText xml:space="preserve"> PAGEREF _Toc14137 \h </w:instrText>
      </w:r>
      <w:r>
        <w:rPr>
          <w:color w:val="auto"/>
        </w:rPr>
        <w:fldChar w:fldCharType="separate"/>
      </w:r>
      <w:r>
        <w:rPr>
          <w:color w:val="auto"/>
        </w:rPr>
        <w:t>31</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_Toc32088 </w:instrText>
      </w:r>
      <w:r>
        <w:rPr>
          <w:color w:val="auto"/>
        </w:rPr>
        <w:fldChar w:fldCharType="separate"/>
      </w:r>
      <w:r>
        <w:rPr>
          <w:color w:val="auto"/>
          <w:spacing w:val="0"/>
          <w:w w:val="100"/>
          <w:position w:val="0"/>
        </w:rPr>
        <w:t>第一节通用合同条款</w:t>
      </w:r>
      <w:r>
        <w:rPr>
          <w:color w:val="auto"/>
        </w:rPr>
        <w:tab/>
      </w:r>
      <w:r>
        <w:rPr>
          <w:color w:val="auto"/>
        </w:rPr>
        <w:fldChar w:fldCharType="begin"/>
      </w:r>
      <w:r>
        <w:rPr>
          <w:color w:val="auto"/>
        </w:rPr>
        <w:instrText xml:space="preserve"> PAGEREF _Toc32088 \h </w:instrText>
      </w:r>
      <w:r>
        <w:rPr>
          <w:color w:val="auto"/>
        </w:rPr>
        <w:fldChar w:fldCharType="separate"/>
      </w:r>
      <w:r>
        <w:rPr>
          <w:color w:val="auto"/>
        </w:rPr>
        <w:t>31</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_Toc23875 </w:instrText>
      </w:r>
      <w:r>
        <w:rPr>
          <w:color w:val="auto"/>
        </w:rPr>
        <w:fldChar w:fldCharType="separate"/>
      </w:r>
      <w:r>
        <w:rPr>
          <w:color w:val="auto"/>
          <w:spacing w:val="0"/>
          <w:w w:val="100"/>
          <w:position w:val="0"/>
        </w:rPr>
        <w:t>第二节专用合同条款略</w:t>
      </w:r>
      <w:r>
        <w:rPr>
          <w:color w:val="auto"/>
        </w:rPr>
        <w:tab/>
      </w:r>
      <w:r>
        <w:rPr>
          <w:color w:val="auto"/>
        </w:rPr>
        <w:fldChar w:fldCharType="begin"/>
      </w:r>
      <w:r>
        <w:rPr>
          <w:color w:val="auto"/>
        </w:rPr>
        <w:instrText xml:space="preserve"> PAGEREF _Toc23875 \h </w:instrText>
      </w:r>
      <w:r>
        <w:rPr>
          <w:color w:val="auto"/>
        </w:rPr>
        <w:fldChar w:fldCharType="separate"/>
      </w:r>
      <w:r>
        <w:rPr>
          <w:color w:val="auto"/>
        </w:rPr>
        <w:t>31</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_Toc21407 </w:instrText>
      </w:r>
      <w:r>
        <w:rPr>
          <w:color w:val="auto"/>
        </w:rPr>
        <w:fldChar w:fldCharType="separate"/>
      </w:r>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r>
        <w:rPr>
          <w:color w:val="auto"/>
        </w:rPr>
        <w:tab/>
      </w:r>
      <w:r>
        <w:rPr>
          <w:color w:val="auto"/>
        </w:rPr>
        <w:fldChar w:fldCharType="begin"/>
      </w:r>
      <w:r>
        <w:rPr>
          <w:color w:val="auto"/>
        </w:rPr>
        <w:instrText xml:space="preserve"> PAGEREF _Toc21407 \h </w:instrText>
      </w:r>
      <w:r>
        <w:rPr>
          <w:color w:val="auto"/>
        </w:rPr>
        <w:fldChar w:fldCharType="separate"/>
      </w:r>
      <w:r>
        <w:rPr>
          <w:color w:val="auto"/>
        </w:rPr>
        <w:t>33</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_Toc26469 </w:instrText>
      </w:r>
      <w:r>
        <w:rPr>
          <w:color w:val="auto"/>
        </w:rPr>
        <w:fldChar w:fldCharType="separate"/>
      </w:r>
      <w:r>
        <w:rPr>
          <w:color w:val="auto"/>
        </w:rPr>
        <w:t>竞争性磋商响应文件</w:t>
      </w:r>
      <w:r>
        <w:rPr>
          <w:color w:val="auto"/>
        </w:rPr>
        <w:tab/>
      </w:r>
      <w:r>
        <w:rPr>
          <w:color w:val="auto"/>
        </w:rPr>
        <w:fldChar w:fldCharType="begin"/>
      </w:r>
      <w:r>
        <w:rPr>
          <w:color w:val="auto"/>
        </w:rPr>
        <w:instrText xml:space="preserve"> PAGEREF _Toc26469 \h </w:instrText>
      </w:r>
      <w:r>
        <w:rPr>
          <w:color w:val="auto"/>
        </w:rPr>
        <w:fldChar w:fldCharType="separate"/>
      </w:r>
      <w:r>
        <w:rPr>
          <w:color w:val="auto"/>
        </w:rPr>
        <w:t>33</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_Toc23538 </w:instrText>
      </w:r>
      <w:r>
        <w:rPr>
          <w:color w:val="auto"/>
        </w:rPr>
        <w:fldChar w:fldCharType="separate"/>
      </w:r>
      <w:r>
        <w:rPr>
          <w:color w:val="auto"/>
        </w:rPr>
        <w:t>一、报价函及附录</w:t>
      </w:r>
      <w:r>
        <w:rPr>
          <w:color w:val="auto"/>
        </w:rPr>
        <w:tab/>
      </w:r>
      <w:r>
        <w:rPr>
          <w:color w:val="auto"/>
        </w:rPr>
        <w:fldChar w:fldCharType="begin"/>
      </w:r>
      <w:r>
        <w:rPr>
          <w:color w:val="auto"/>
        </w:rPr>
        <w:instrText xml:space="preserve"> PAGEREF _Toc23538 \h </w:instrText>
      </w:r>
      <w:r>
        <w:rPr>
          <w:color w:val="auto"/>
        </w:rPr>
        <w:fldChar w:fldCharType="separate"/>
      </w:r>
      <w:r>
        <w:rPr>
          <w:color w:val="auto"/>
        </w:rPr>
        <w:t>34</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_Toc29018 </w:instrText>
      </w:r>
      <w:r>
        <w:rPr>
          <w:color w:val="auto"/>
        </w:rPr>
        <w:fldChar w:fldCharType="separate"/>
      </w:r>
      <w:r>
        <w:rPr>
          <w:color w:val="auto"/>
        </w:rPr>
        <w:t>（一）报价函</w:t>
      </w:r>
      <w:r>
        <w:rPr>
          <w:color w:val="auto"/>
        </w:rPr>
        <w:tab/>
      </w:r>
      <w:r>
        <w:rPr>
          <w:color w:val="auto"/>
        </w:rPr>
        <w:fldChar w:fldCharType="begin"/>
      </w:r>
      <w:r>
        <w:rPr>
          <w:color w:val="auto"/>
        </w:rPr>
        <w:instrText xml:space="preserve"> PAGEREF _Toc29018 \h </w:instrText>
      </w:r>
      <w:r>
        <w:rPr>
          <w:color w:val="auto"/>
        </w:rPr>
        <w:fldChar w:fldCharType="separate"/>
      </w:r>
      <w:r>
        <w:rPr>
          <w:color w:val="auto"/>
        </w:rPr>
        <w:t>34</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_Toc4075 </w:instrText>
      </w:r>
      <w:r>
        <w:rPr>
          <w:color w:val="auto"/>
        </w:rPr>
        <w:fldChar w:fldCharType="separate"/>
      </w:r>
      <w:r>
        <w:rPr>
          <w:color w:val="auto"/>
        </w:rPr>
        <w:t>（二）磋商报价表</w:t>
      </w:r>
      <w:r>
        <w:rPr>
          <w:color w:val="auto"/>
        </w:rPr>
        <w:tab/>
      </w:r>
      <w:r>
        <w:rPr>
          <w:color w:val="auto"/>
        </w:rPr>
        <w:fldChar w:fldCharType="begin"/>
      </w:r>
      <w:r>
        <w:rPr>
          <w:color w:val="auto"/>
        </w:rPr>
        <w:instrText xml:space="preserve"> PAGEREF _Toc4075 \h </w:instrText>
      </w:r>
      <w:r>
        <w:rPr>
          <w:color w:val="auto"/>
        </w:rPr>
        <w:fldChar w:fldCharType="separate"/>
      </w:r>
      <w:r>
        <w:rPr>
          <w:color w:val="auto"/>
        </w:rPr>
        <w:t>35</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_Toc12302 </w:instrText>
      </w:r>
      <w:r>
        <w:rPr>
          <w:color w:val="auto"/>
        </w:rPr>
        <w:fldChar w:fldCharType="separate"/>
      </w:r>
      <w:r>
        <w:rPr>
          <w:color w:val="auto"/>
        </w:rPr>
        <w:t>二、法定代表身份证明</w:t>
      </w:r>
      <w:r>
        <w:rPr>
          <w:color w:val="auto"/>
        </w:rPr>
        <w:tab/>
      </w:r>
      <w:r>
        <w:rPr>
          <w:color w:val="auto"/>
        </w:rPr>
        <w:fldChar w:fldCharType="begin"/>
      </w:r>
      <w:r>
        <w:rPr>
          <w:color w:val="auto"/>
        </w:rPr>
        <w:instrText xml:space="preserve"> PAGEREF _Toc12302 \h </w:instrText>
      </w:r>
      <w:r>
        <w:rPr>
          <w:color w:val="auto"/>
        </w:rPr>
        <w:fldChar w:fldCharType="separate"/>
      </w:r>
      <w:r>
        <w:rPr>
          <w:color w:val="auto"/>
        </w:rPr>
        <w:t>36</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_Toc21392 </w:instrText>
      </w:r>
      <w:r>
        <w:rPr>
          <w:color w:val="auto"/>
        </w:rPr>
        <w:fldChar w:fldCharType="separate"/>
      </w:r>
      <w:r>
        <w:rPr>
          <w:color w:val="auto"/>
        </w:rPr>
        <w:t>三、授权委托书</w:t>
      </w:r>
      <w:r>
        <w:rPr>
          <w:color w:val="auto"/>
        </w:rPr>
        <w:tab/>
      </w:r>
      <w:r>
        <w:rPr>
          <w:color w:val="auto"/>
        </w:rPr>
        <w:fldChar w:fldCharType="begin"/>
      </w:r>
      <w:r>
        <w:rPr>
          <w:color w:val="auto"/>
        </w:rPr>
        <w:instrText xml:space="preserve"> PAGEREF _Toc21392 \h </w:instrText>
      </w:r>
      <w:r>
        <w:rPr>
          <w:color w:val="auto"/>
        </w:rPr>
        <w:fldChar w:fldCharType="separate"/>
      </w:r>
      <w:r>
        <w:rPr>
          <w:color w:val="auto"/>
        </w:rPr>
        <w:t>37</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_Toc14073 </w:instrText>
      </w:r>
      <w:r>
        <w:rPr>
          <w:color w:val="auto"/>
        </w:rPr>
        <w:fldChar w:fldCharType="separate"/>
      </w:r>
      <w:r>
        <w:rPr>
          <w:color w:val="auto"/>
        </w:rPr>
        <w:t>四、供应商资格证明文件</w:t>
      </w:r>
      <w:r>
        <w:rPr>
          <w:color w:val="auto"/>
        </w:rPr>
        <w:tab/>
      </w:r>
      <w:r>
        <w:rPr>
          <w:color w:val="auto"/>
        </w:rPr>
        <w:fldChar w:fldCharType="begin"/>
      </w:r>
      <w:r>
        <w:rPr>
          <w:color w:val="auto"/>
        </w:rPr>
        <w:instrText xml:space="preserve"> PAGEREF _Toc14073 \h </w:instrText>
      </w:r>
      <w:r>
        <w:rPr>
          <w:color w:val="auto"/>
        </w:rPr>
        <w:fldChar w:fldCharType="separate"/>
      </w:r>
      <w:r>
        <w:rPr>
          <w:color w:val="auto"/>
        </w:rPr>
        <w:t>38</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_Toc21983 </w:instrText>
      </w:r>
      <w:r>
        <w:rPr>
          <w:color w:val="auto"/>
        </w:rPr>
        <w:fldChar w:fldCharType="separate"/>
      </w:r>
      <w:r>
        <w:rPr>
          <w:color w:val="auto"/>
        </w:rPr>
        <w:t>五、项目管理机构</w:t>
      </w:r>
      <w:r>
        <w:rPr>
          <w:color w:val="auto"/>
        </w:rPr>
        <w:tab/>
      </w:r>
      <w:r>
        <w:rPr>
          <w:color w:val="auto"/>
        </w:rPr>
        <w:fldChar w:fldCharType="begin"/>
      </w:r>
      <w:r>
        <w:rPr>
          <w:color w:val="auto"/>
        </w:rPr>
        <w:instrText xml:space="preserve"> PAGEREF _Toc21983 \h </w:instrText>
      </w:r>
      <w:r>
        <w:rPr>
          <w:color w:val="auto"/>
        </w:rPr>
        <w:fldChar w:fldCharType="separate"/>
      </w:r>
      <w:r>
        <w:rPr>
          <w:color w:val="auto"/>
        </w:rPr>
        <w:t>39</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_Toc17662 </w:instrText>
      </w:r>
      <w:r>
        <w:rPr>
          <w:color w:val="auto"/>
        </w:rPr>
        <w:fldChar w:fldCharType="separate"/>
      </w:r>
      <w:r>
        <w:rPr>
          <w:color w:val="auto"/>
        </w:rPr>
        <w:t>（一）项目人员组成表</w:t>
      </w:r>
      <w:r>
        <w:rPr>
          <w:color w:val="auto"/>
        </w:rPr>
        <w:tab/>
      </w:r>
      <w:r>
        <w:rPr>
          <w:color w:val="auto"/>
        </w:rPr>
        <w:fldChar w:fldCharType="begin"/>
      </w:r>
      <w:r>
        <w:rPr>
          <w:color w:val="auto"/>
        </w:rPr>
        <w:instrText xml:space="preserve"> PAGEREF _Toc17662 \h </w:instrText>
      </w:r>
      <w:r>
        <w:rPr>
          <w:color w:val="auto"/>
        </w:rPr>
        <w:fldChar w:fldCharType="separate"/>
      </w:r>
      <w:r>
        <w:rPr>
          <w:color w:val="auto"/>
        </w:rPr>
        <w:t>39</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_Toc24225 </w:instrText>
      </w:r>
      <w:r>
        <w:rPr>
          <w:color w:val="auto"/>
        </w:rPr>
        <w:fldChar w:fldCharType="separate"/>
      </w:r>
      <w:r>
        <w:rPr>
          <w:color w:val="auto"/>
        </w:rPr>
        <w:t>（二）项目负责人简历表</w:t>
      </w:r>
      <w:r>
        <w:rPr>
          <w:color w:val="auto"/>
        </w:rPr>
        <w:tab/>
      </w:r>
      <w:r>
        <w:rPr>
          <w:color w:val="auto"/>
        </w:rPr>
        <w:fldChar w:fldCharType="begin"/>
      </w:r>
      <w:r>
        <w:rPr>
          <w:color w:val="auto"/>
        </w:rPr>
        <w:instrText xml:space="preserve"> PAGEREF _Toc24225 \h </w:instrText>
      </w:r>
      <w:r>
        <w:rPr>
          <w:color w:val="auto"/>
        </w:rPr>
        <w:fldChar w:fldCharType="separate"/>
      </w:r>
      <w:r>
        <w:rPr>
          <w:color w:val="auto"/>
        </w:rPr>
        <w:t>40</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_Toc15718 </w:instrText>
      </w:r>
      <w:r>
        <w:rPr>
          <w:color w:val="auto"/>
        </w:rPr>
        <w:fldChar w:fldCharType="separate"/>
      </w:r>
      <w:r>
        <w:rPr>
          <w:color w:val="auto"/>
        </w:rPr>
        <w:t>六、类似项目业绩</w:t>
      </w:r>
      <w:r>
        <w:rPr>
          <w:color w:val="auto"/>
        </w:rPr>
        <w:tab/>
      </w:r>
      <w:r>
        <w:rPr>
          <w:color w:val="auto"/>
        </w:rPr>
        <w:fldChar w:fldCharType="begin"/>
      </w:r>
      <w:r>
        <w:rPr>
          <w:color w:val="auto"/>
        </w:rPr>
        <w:instrText xml:space="preserve"> PAGEREF _Toc15718 \h </w:instrText>
      </w:r>
      <w:r>
        <w:rPr>
          <w:color w:val="auto"/>
        </w:rPr>
        <w:fldChar w:fldCharType="separate"/>
      </w:r>
      <w:r>
        <w:rPr>
          <w:color w:val="auto"/>
        </w:rPr>
        <w:t>41</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_Toc15355 </w:instrText>
      </w:r>
      <w:r>
        <w:rPr>
          <w:color w:val="auto"/>
        </w:rPr>
        <w:fldChar w:fldCharType="separate"/>
      </w:r>
      <w:r>
        <w:rPr>
          <w:color w:val="auto"/>
        </w:rPr>
        <w:t>七、方案编制</w:t>
      </w:r>
      <w:r>
        <w:rPr>
          <w:color w:val="auto"/>
        </w:rPr>
        <w:tab/>
      </w:r>
      <w:r>
        <w:rPr>
          <w:color w:val="auto"/>
        </w:rPr>
        <w:fldChar w:fldCharType="begin"/>
      </w:r>
      <w:r>
        <w:rPr>
          <w:color w:val="auto"/>
        </w:rPr>
        <w:instrText xml:space="preserve"> PAGEREF _Toc15355 \h </w:instrText>
      </w:r>
      <w:r>
        <w:rPr>
          <w:color w:val="auto"/>
        </w:rPr>
        <w:fldChar w:fldCharType="separate"/>
      </w:r>
      <w:r>
        <w:rPr>
          <w:color w:val="auto"/>
        </w:rPr>
        <w:t>42</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_Toc21953 </w:instrText>
      </w:r>
      <w:r>
        <w:rPr>
          <w:color w:val="auto"/>
        </w:rPr>
        <w:fldChar w:fldCharType="separate"/>
      </w:r>
      <w:r>
        <w:rPr>
          <w:color w:val="auto"/>
        </w:rPr>
        <w:t>八、供应商认为需提交的其他材料</w:t>
      </w:r>
      <w:r>
        <w:rPr>
          <w:color w:val="auto"/>
        </w:rPr>
        <w:tab/>
      </w:r>
      <w:r>
        <w:rPr>
          <w:color w:val="auto"/>
        </w:rPr>
        <w:fldChar w:fldCharType="begin"/>
      </w:r>
      <w:r>
        <w:rPr>
          <w:color w:val="auto"/>
        </w:rPr>
        <w:instrText xml:space="preserve"> PAGEREF _Toc21953 \h </w:instrText>
      </w:r>
      <w:r>
        <w:rPr>
          <w:color w:val="auto"/>
        </w:rPr>
        <w:fldChar w:fldCharType="separate"/>
      </w:r>
      <w:r>
        <w:rPr>
          <w:color w:val="auto"/>
        </w:rPr>
        <w:t>42</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_Toc21842 </w:instrText>
      </w:r>
      <w:r>
        <w:rPr>
          <w:color w:val="auto"/>
        </w:rPr>
        <w:fldChar w:fldCharType="separate"/>
      </w:r>
      <w:r>
        <w:rPr>
          <w:color w:val="auto"/>
        </w:rPr>
        <w:t>第</w:t>
      </w:r>
      <w:r>
        <w:rPr>
          <w:rFonts w:hint="eastAsia"/>
          <w:color w:val="auto"/>
          <w:lang w:val="en-US" w:eastAsia="zh-CN"/>
        </w:rPr>
        <w:t>六部分</w:t>
      </w:r>
      <w:r>
        <w:rPr>
          <w:color w:val="auto"/>
        </w:rPr>
        <w:tab/>
      </w:r>
      <w:r>
        <w:rPr>
          <w:rFonts w:hint="eastAsia"/>
          <w:color w:val="auto"/>
          <w:lang w:val="en-US" w:eastAsia="zh-CN"/>
        </w:rPr>
        <w:t>参考</w:t>
      </w:r>
      <w:r>
        <w:rPr>
          <w:color w:val="auto"/>
        </w:rPr>
        <w:t>附件</w:t>
      </w:r>
      <w:r>
        <w:rPr>
          <w:color w:val="auto"/>
        </w:rPr>
        <w:tab/>
      </w:r>
      <w:r>
        <w:rPr>
          <w:color w:val="auto"/>
        </w:rPr>
        <w:fldChar w:fldCharType="begin"/>
      </w:r>
      <w:r>
        <w:rPr>
          <w:color w:val="auto"/>
        </w:rPr>
        <w:instrText xml:space="preserve"> PAGEREF _Toc21842 \h </w:instrText>
      </w:r>
      <w:r>
        <w:rPr>
          <w:color w:val="auto"/>
        </w:rPr>
        <w:fldChar w:fldCharType="separate"/>
      </w:r>
      <w:r>
        <w:rPr>
          <w:color w:val="auto"/>
        </w:rPr>
        <w:t>43</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_Toc1959 </w:instrText>
      </w:r>
      <w:r>
        <w:rPr>
          <w:color w:val="auto"/>
        </w:rPr>
        <w:fldChar w:fldCharType="separate"/>
      </w:r>
      <w:r>
        <w:rPr>
          <w:color w:val="auto"/>
        </w:rPr>
        <w:t>附件一</w:t>
      </w:r>
      <w:r>
        <w:rPr>
          <w:color w:val="auto"/>
        </w:rPr>
        <w:tab/>
      </w:r>
      <w:r>
        <w:rPr>
          <w:color w:val="auto"/>
        </w:rPr>
        <w:fldChar w:fldCharType="begin"/>
      </w:r>
      <w:r>
        <w:rPr>
          <w:color w:val="auto"/>
        </w:rPr>
        <w:instrText xml:space="preserve"> PAGEREF _Toc1959 \h </w:instrText>
      </w:r>
      <w:r>
        <w:rPr>
          <w:color w:val="auto"/>
        </w:rPr>
        <w:fldChar w:fldCharType="separate"/>
      </w:r>
      <w:r>
        <w:rPr>
          <w:color w:val="auto"/>
        </w:rPr>
        <w:t>48</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_Toc22139 </w:instrText>
      </w:r>
      <w:r>
        <w:rPr>
          <w:color w:val="auto"/>
        </w:rPr>
        <w:fldChar w:fldCharType="separate"/>
      </w:r>
      <w:r>
        <w:rPr>
          <w:color w:val="auto"/>
        </w:rPr>
        <w:t>附件二</w:t>
      </w:r>
      <w:r>
        <w:rPr>
          <w:color w:val="auto"/>
        </w:rPr>
        <w:tab/>
      </w:r>
      <w:r>
        <w:rPr>
          <w:color w:val="auto"/>
        </w:rPr>
        <w:fldChar w:fldCharType="begin"/>
      </w:r>
      <w:r>
        <w:rPr>
          <w:color w:val="auto"/>
        </w:rPr>
        <w:instrText xml:space="preserve"> PAGEREF _Toc22139 \h </w:instrText>
      </w:r>
      <w:r>
        <w:rPr>
          <w:color w:val="auto"/>
        </w:rPr>
        <w:fldChar w:fldCharType="separate"/>
      </w:r>
      <w:r>
        <w:rPr>
          <w:color w:val="auto"/>
        </w:rPr>
        <w:t>48</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_Toc3510 </w:instrText>
      </w:r>
      <w:r>
        <w:rPr>
          <w:color w:val="auto"/>
        </w:rPr>
        <w:fldChar w:fldCharType="separate"/>
      </w:r>
      <w:r>
        <w:rPr>
          <w:color w:val="auto"/>
        </w:rPr>
        <w:t>附件三</w:t>
      </w:r>
      <w:r>
        <w:rPr>
          <w:color w:val="auto"/>
        </w:rPr>
        <w:tab/>
      </w:r>
      <w:r>
        <w:rPr>
          <w:color w:val="auto"/>
        </w:rPr>
        <w:fldChar w:fldCharType="begin"/>
      </w:r>
      <w:r>
        <w:rPr>
          <w:color w:val="auto"/>
        </w:rPr>
        <w:instrText xml:space="preserve"> PAGEREF _Toc3510 \h </w:instrText>
      </w:r>
      <w:r>
        <w:rPr>
          <w:color w:val="auto"/>
        </w:rPr>
        <w:fldChar w:fldCharType="separate"/>
      </w:r>
      <w:r>
        <w:rPr>
          <w:color w:val="auto"/>
        </w:rPr>
        <w:t>50</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_Toc15700 </w:instrText>
      </w:r>
      <w:r>
        <w:rPr>
          <w:color w:val="auto"/>
        </w:rPr>
        <w:fldChar w:fldCharType="separate"/>
      </w:r>
      <w:r>
        <w:rPr>
          <w:color w:val="auto"/>
        </w:rPr>
        <w:t>附件四</w:t>
      </w:r>
      <w:r>
        <w:rPr>
          <w:color w:val="auto"/>
        </w:rPr>
        <w:tab/>
      </w:r>
      <w:r>
        <w:rPr>
          <w:color w:val="auto"/>
        </w:rPr>
        <w:fldChar w:fldCharType="begin"/>
      </w:r>
      <w:r>
        <w:rPr>
          <w:color w:val="auto"/>
        </w:rPr>
        <w:instrText xml:space="preserve"> PAGEREF _Toc15700 \h </w:instrText>
      </w:r>
      <w:r>
        <w:rPr>
          <w:color w:val="auto"/>
        </w:rPr>
        <w:fldChar w:fldCharType="separate"/>
      </w:r>
      <w:r>
        <w:rPr>
          <w:color w:val="auto"/>
        </w:rPr>
        <w:t>52</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_Toc11579 </w:instrText>
      </w:r>
      <w:r>
        <w:rPr>
          <w:color w:val="auto"/>
        </w:rPr>
        <w:fldChar w:fldCharType="separate"/>
      </w:r>
      <w:r>
        <w:rPr>
          <w:color w:val="auto"/>
        </w:rPr>
        <w:t>附件五</w:t>
      </w:r>
      <w:r>
        <w:rPr>
          <w:color w:val="auto"/>
        </w:rPr>
        <w:tab/>
      </w:r>
      <w:r>
        <w:rPr>
          <w:color w:val="auto"/>
        </w:rPr>
        <w:fldChar w:fldCharType="begin"/>
      </w:r>
      <w:r>
        <w:rPr>
          <w:color w:val="auto"/>
        </w:rPr>
        <w:instrText xml:space="preserve"> PAGEREF _Toc11579 \h </w:instrText>
      </w:r>
      <w:r>
        <w:rPr>
          <w:color w:val="auto"/>
        </w:rPr>
        <w:fldChar w:fldCharType="separate"/>
      </w:r>
      <w:r>
        <w:rPr>
          <w:color w:val="auto"/>
        </w:rPr>
        <w:t>55</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_Toc9526 </w:instrText>
      </w:r>
      <w:r>
        <w:rPr>
          <w:color w:val="auto"/>
        </w:rPr>
        <w:fldChar w:fldCharType="separate"/>
      </w:r>
      <w:r>
        <w:rPr>
          <w:color w:val="auto"/>
        </w:rPr>
        <w:t>附件六</w:t>
      </w:r>
      <w:r>
        <w:rPr>
          <w:color w:val="auto"/>
        </w:rPr>
        <w:tab/>
      </w:r>
      <w:r>
        <w:rPr>
          <w:color w:val="auto"/>
        </w:rPr>
        <w:fldChar w:fldCharType="begin"/>
      </w:r>
      <w:r>
        <w:rPr>
          <w:color w:val="auto"/>
        </w:rPr>
        <w:instrText xml:space="preserve"> PAGEREF _Toc9526 \h </w:instrText>
      </w:r>
      <w:r>
        <w:rPr>
          <w:color w:val="auto"/>
        </w:rPr>
        <w:fldChar w:fldCharType="separate"/>
      </w:r>
      <w:r>
        <w:rPr>
          <w:color w:val="auto"/>
        </w:rPr>
        <w:t>56</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_Toc23142 </w:instrText>
      </w:r>
      <w:r>
        <w:rPr>
          <w:color w:val="auto"/>
        </w:rPr>
        <w:fldChar w:fldCharType="separate"/>
      </w:r>
      <w:r>
        <w:rPr>
          <w:rFonts w:hint="eastAsia" w:ascii="宋体" w:hAnsi="宋体" w:cs="宋体"/>
          <w:bCs/>
          <w:color w:val="auto"/>
          <w:kern w:val="36"/>
          <w:szCs w:val="42"/>
        </w:rPr>
        <w:t>唐河县政府采购合同融资告知函</w:t>
      </w:r>
      <w:r>
        <w:rPr>
          <w:color w:val="auto"/>
        </w:rPr>
        <w:tab/>
      </w:r>
      <w:r>
        <w:rPr>
          <w:color w:val="auto"/>
        </w:rPr>
        <w:fldChar w:fldCharType="begin"/>
      </w:r>
      <w:r>
        <w:rPr>
          <w:color w:val="auto"/>
        </w:rPr>
        <w:instrText xml:space="preserve"> PAGEREF _Toc23142 \h </w:instrText>
      </w:r>
      <w:r>
        <w:rPr>
          <w:color w:val="auto"/>
        </w:rPr>
        <w:fldChar w:fldCharType="separate"/>
      </w:r>
      <w:r>
        <w:rPr>
          <w:color w:val="auto"/>
        </w:rPr>
        <w:t>59</w:t>
      </w:r>
      <w:r>
        <w:rPr>
          <w:color w:val="auto"/>
        </w:rPr>
        <w:fldChar w:fldCharType="end"/>
      </w:r>
      <w:r>
        <w:rPr>
          <w:color w:val="auto"/>
        </w:rPr>
        <w:fldChar w:fldCharType="end"/>
      </w:r>
    </w:p>
    <w:p>
      <w:pPr>
        <w:ind w:left="0" w:leftChars="0" w:right="0"/>
        <w:rPr>
          <w:color w:val="auto"/>
        </w:rPr>
      </w:pPr>
      <w:r>
        <w:rPr>
          <w:color w:val="auto"/>
        </w:rPr>
        <w:fldChar w:fldCharType="end"/>
      </w:r>
      <w:bookmarkStart w:id="4" w:name="_Toc29165"/>
      <w:bookmarkStart w:id="5" w:name="_Toc9471"/>
    </w:p>
    <w:p>
      <w:pPr>
        <w:pStyle w:val="7"/>
        <w:rPr>
          <w:b/>
          <w:bCs/>
          <w:color w:val="auto"/>
        </w:rPr>
        <w:sectPr>
          <w:headerReference r:id="rId5" w:type="default"/>
          <w:footerReference r:id="rId6" w:type="default"/>
          <w:pgSz w:w="11910" w:h="16840"/>
          <w:pgMar w:top="1380" w:right="880" w:bottom="1100" w:left="880" w:header="888" w:footer="910" w:gutter="0"/>
          <w:pgNumType w:fmt="decimal"/>
          <w:cols w:space="720" w:num="1"/>
        </w:sectPr>
      </w:pPr>
      <w:bookmarkStart w:id="6" w:name="_Toc5263"/>
    </w:p>
    <w:p>
      <w:pPr>
        <w:pStyle w:val="7"/>
        <w:keepNext w:val="0"/>
        <w:keepLines w:val="0"/>
        <w:pageBreakBefore w:val="0"/>
        <w:kinsoku/>
        <w:wordWrap/>
        <w:overflowPunct/>
        <w:topLinePunct w:val="0"/>
        <w:autoSpaceDE w:val="0"/>
        <w:autoSpaceDN w:val="0"/>
        <w:bidi w:val="0"/>
        <w:adjustRightInd/>
        <w:snapToGrid/>
        <w:spacing w:line="400" w:lineRule="exact"/>
        <w:textAlignment w:val="auto"/>
        <w:rPr>
          <w:color w:val="auto"/>
        </w:rPr>
      </w:pPr>
      <w:r>
        <w:rPr>
          <w:b/>
          <w:bCs/>
          <w:color w:val="auto"/>
        </w:rPr>
        <w:t>第一部分</w:t>
      </w:r>
      <w:r>
        <w:rPr>
          <w:rFonts w:hint="eastAsia"/>
          <w:b/>
          <w:bCs/>
          <w:color w:val="auto"/>
          <w:lang w:val="en-US" w:eastAsia="zh-CN"/>
        </w:rPr>
        <w:t xml:space="preserve"> </w:t>
      </w:r>
      <w:r>
        <w:rPr>
          <w:b/>
          <w:bCs/>
          <w:color w:val="auto"/>
        </w:rPr>
        <w:t>竞争性磋商公告</w:t>
      </w:r>
      <w:bookmarkEnd w:id="4"/>
      <w:bookmarkEnd w:id="5"/>
      <w:bookmarkEnd w:id="6"/>
    </w:p>
    <w:p>
      <w:pPr>
        <w:keepNext w:val="0"/>
        <w:keepLines w:val="0"/>
        <w:pageBreakBefore w:val="0"/>
        <w:kinsoku/>
        <w:wordWrap/>
        <w:overflowPunct/>
        <w:topLinePunct w:val="0"/>
        <w:autoSpaceDE w:val="0"/>
        <w:autoSpaceDN w:val="0"/>
        <w:bidi w:val="0"/>
        <w:adjustRightInd/>
        <w:snapToGrid/>
        <w:spacing w:line="400" w:lineRule="exact"/>
        <w:jc w:val="center"/>
        <w:textAlignment w:val="auto"/>
        <w:rPr>
          <w:rFonts w:hint="eastAsia"/>
          <w:b/>
          <w:bCs/>
          <w:color w:val="auto"/>
          <w:spacing w:val="6"/>
          <w:sz w:val="36"/>
          <w:szCs w:val="44"/>
          <w:lang w:val="en-US" w:eastAsia="zh-CN"/>
        </w:rPr>
      </w:pPr>
      <w:r>
        <w:rPr>
          <w:rFonts w:hint="eastAsia"/>
          <w:b/>
          <w:bCs/>
          <w:color w:val="auto"/>
          <w:spacing w:val="6"/>
          <w:sz w:val="36"/>
          <w:szCs w:val="44"/>
          <w:lang w:val="en-US" w:eastAsia="zh-CN"/>
        </w:rPr>
        <w:t>唐河县黑龙镇易地扶贫搬迁后续扶持标准化厂房</w:t>
      </w:r>
    </w:p>
    <w:p>
      <w:pPr>
        <w:keepNext w:val="0"/>
        <w:keepLines w:val="0"/>
        <w:pageBreakBefore w:val="0"/>
        <w:kinsoku/>
        <w:wordWrap/>
        <w:overflowPunct/>
        <w:topLinePunct w:val="0"/>
        <w:autoSpaceDE w:val="0"/>
        <w:autoSpaceDN w:val="0"/>
        <w:bidi w:val="0"/>
        <w:adjustRightInd/>
        <w:snapToGrid/>
        <w:spacing w:line="400" w:lineRule="exact"/>
        <w:jc w:val="center"/>
        <w:textAlignment w:val="auto"/>
        <w:rPr>
          <w:rFonts w:hint="eastAsia"/>
          <w:b/>
          <w:bCs/>
          <w:color w:val="auto"/>
          <w:sz w:val="28"/>
          <w:szCs w:val="36"/>
        </w:rPr>
      </w:pPr>
      <w:r>
        <w:rPr>
          <w:rFonts w:hint="eastAsia"/>
          <w:b/>
          <w:bCs/>
          <w:color w:val="auto"/>
          <w:spacing w:val="6"/>
          <w:sz w:val="36"/>
          <w:szCs w:val="44"/>
          <w:lang w:val="en-US" w:eastAsia="zh-CN"/>
        </w:rPr>
        <w:t>建设项目</w:t>
      </w:r>
      <w:r>
        <w:rPr>
          <w:rFonts w:hint="eastAsia"/>
          <w:b/>
          <w:bCs/>
          <w:color w:val="auto"/>
          <w:spacing w:val="6"/>
          <w:sz w:val="36"/>
          <w:szCs w:val="44"/>
        </w:rPr>
        <w:t>-竞争性磋商公告</w:t>
      </w:r>
    </w:p>
    <w:p>
      <w:pPr>
        <w:pStyle w:val="7"/>
        <w:jc w:val="both"/>
        <w:outlineLvl w:val="0"/>
        <w:rPr>
          <w:rFonts w:hint="eastAsia"/>
          <w:b/>
          <w:bCs/>
          <w:color w:val="auto"/>
          <w:sz w:val="28"/>
          <w:szCs w:val="36"/>
        </w:rPr>
      </w:pPr>
      <w:bookmarkStart w:id="7" w:name="_Toc23066"/>
      <w:bookmarkStart w:id="8" w:name="_Toc25278"/>
      <w:bookmarkStart w:id="9" w:name="_Toc32681"/>
    </w:p>
    <w:p>
      <w:pPr>
        <w:pStyle w:val="7"/>
        <w:jc w:val="left"/>
        <w:outlineLvl w:val="0"/>
        <w:rPr>
          <w:rFonts w:hint="eastAsia"/>
          <w:b/>
          <w:bCs/>
          <w:color w:val="auto"/>
          <w:sz w:val="28"/>
          <w:szCs w:val="36"/>
        </w:rPr>
      </w:pPr>
      <w:r>
        <w:rPr>
          <w:rFonts w:hint="eastAsia"/>
          <w:b/>
          <w:bCs/>
          <w:color w:val="auto"/>
          <w:sz w:val="28"/>
          <w:szCs w:val="36"/>
        </w:rPr>
        <w:t>项目概况</w:t>
      </w:r>
    </w:p>
    <w:p>
      <w:pPr>
        <w:pStyle w:val="7"/>
        <w:jc w:val="left"/>
        <w:outlineLvl w:val="0"/>
        <w:rPr>
          <w:rFonts w:hint="eastAsia"/>
          <w:color w:val="auto"/>
          <w:sz w:val="28"/>
          <w:szCs w:val="36"/>
          <w:lang w:eastAsia="zh-CN"/>
        </w:rPr>
      </w:pPr>
      <w:r>
        <w:rPr>
          <w:rFonts w:hint="eastAsia"/>
          <w:color w:val="auto"/>
          <w:sz w:val="28"/>
          <w:szCs w:val="36"/>
          <w:lang w:eastAsia="zh-CN"/>
        </w:rPr>
        <w:t>唐河县黑龙镇易地扶贫搬迁后续扶持标准化厂房建设项目招标项目的潜在投标人应在唐河县公共资源交易中心网站（http://www.thggzy.cn）获取招标文件，并于2024年</w:t>
      </w:r>
      <w:r>
        <w:rPr>
          <w:rFonts w:hint="eastAsia"/>
          <w:color w:val="auto"/>
          <w:sz w:val="28"/>
          <w:szCs w:val="36"/>
          <w:lang w:val="en-US" w:eastAsia="zh-CN"/>
        </w:rPr>
        <w:t>06</w:t>
      </w:r>
      <w:r>
        <w:rPr>
          <w:rFonts w:hint="eastAsia"/>
          <w:color w:val="auto"/>
          <w:sz w:val="28"/>
          <w:szCs w:val="36"/>
          <w:lang w:eastAsia="zh-CN"/>
        </w:rPr>
        <w:t>月</w:t>
      </w:r>
      <w:r>
        <w:rPr>
          <w:rFonts w:hint="eastAsia"/>
          <w:color w:val="auto"/>
          <w:sz w:val="28"/>
          <w:szCs w:val="36"/>
          <w:lang w:val="en-US" w:eastAsia="zh-CN"/>
        </w:rPr>
        <w:t>07</w:t>
      </w:r>
      <w:r>
        <w:rPr>
          <w:rFonts w:hint="eastAsia"/>
          <w:color w:val="auto"/>
          <w:sz w:val="28"/>
          <w:szCs w:val="36"/>
          <w:lang w:eastAsia="zh-CN"/>
        </w:rPr>
        <w:t>日09时30分（北京时间）前递交响应文件。</w:t>
      </w:r>
    </w:p>
    <w:p>
      <w:pPr>
        <w:pStyle w:val="7"/>
        <w:jc w:val="left"/>
        <w:outlineLvl w:val="0"/>
        <w:rPr>
          <w:rFonts w:hint="eastAsia"/>
          <w:color w:val="auto"/>
          <w:sz w:val="28"/>
          <w:szCs w:val="36"/>
        </w:rPr>
      </w:pPr>
      <w:r>
        <w:rPr>
          <w:rFonts w:hint="eastAsia"/>
          <w:b/>
          <w:bCs/>
          <w:color w:val="auto"/>
          <w:sz w:val="28"/>
          <w:szCs w:val="36"/>
        </w:rPr>
        <w:t>一、项目基本情况</w:t>
      </w:r>
      <w:r>
        <w:rPr>
          <w:rFonts w:hint="eastAsia"/>
          <w:color w:val="auto"/>
          <w:sz w:val="28"/>
          <w:szCs w:val="36"/>
        </w:rPr>
        <w:t xml:space="preserve"> </w:t>
      </w:r>
    </w:p>
    <w:p>
      <w:pPr>
        <w:pStyle w:val="7"/>
        <w:jc w:val="left"/>
        <w:outlineLvl w:val="0"/>
        <w:rPr>
          <w:rFonts w:hint="default" w:eastAsia="仿宋"/>
          <w:color w:val="auto"/>
          <w:sz w:val="28"/>
          <w:szCs w:val="36"/>
          <w:lang w:val="en-US" w:eastAsia="zh-CN"/>
        </w:rPr>
      </w:pPr>
      <w:r>
        <w:rPr>
          <w:rFonts w:hint="eastAsia"/>
          <w:color w:val="auto"/>
          <w:sz w:val="28"/>
          <w:szCs w:val="36"/>
        </w:rPr>
        <w:t>1、项目编号：</w:t>
      </w:r>
      <w:r>
        <w:rPr>
          <w:rFonts w:hint="eastAsia"/>
          <w:color w:val="auto"/>
          <w:sz w:val="28"/>
          <w:szCs w:val="36"/>
          <w:lang w:eastAsia="zh-CN"/>
        </w:rPr>
        <w:t>唐财采购竞争性磋商-202</w:t>
      </w:r>
      <w:r>
        <w:rPr>
          <w:rFonts w:hint="eastAsia"/>
          <w:color w:val="auto"/>
          <w:sz w:val="28"/>
          <w:szCs w:val="36"/>
          <w:lang w:val="en-US" w:eastAsia="zh-CN"/>
        </w:rPr>
        <w:t>4</w:t>
      </w:r>
      <w:r>
        <w:rPr>
          <w:rFonts w:hint="eastAsia"/>
          <w:color w:val="auto"/>
          <w:sz w:val="28"/>
          <w:szCs w:val="36"/>
          <w:lang w:eastAsia="zh-CN"/>
        </w:rPr>
        <w:t>-</w:t>
      </w:r>
      <w:r>
        <w:rPr>
          <w:rFonts w:hint="eastAsia"/>
          <w:color w:val="auto"/>
          <w:sz w:val="28"/>
          <w:szCs w:val="36"/>
          <w:lang w:val="en-US" w:eastAsia="zh-CN"/>
        </w:rPr>
        <w:t xml:space="preserve">58  </w:t>
      </w:r>
    </w:p>
    <w:p>
      <w:pPr>
        <w:pStyle w:val="7"/>
        <w:jc w:val="left"/>
        <w:outlineLvl w:val="0"/>
        <w:rPr>
          <w:rFonts w:hint="eastAsia"/>
          <w:color w:val="auto"/>
          <w:sz w:val="28"/>
          <w:szCs w:val="36"/>
          <w:lang w:eastAsia="zh-CN"/>
        </w:rPr>
      </w:pPr>
      <w:r>
        <w:rPr>
          <w:rFonts w:hint="eastAsia"/>
          <w:color w:val="auto"/>
          <w:sz w:val="28"/>
          <w:szCs w:val="36"/>
        </w:rPr>
        <w:t>2、项目名称：</w:t>
      </w:r>
      <w:r>
        <w:rPr>
          <w:rFonts w:hint="eastAsia"/>
          <w:color w:val="auto"/>
          <w:sz w:val="28"/>
          <w:szCs w:val="36"/>
          <w:lang w:eastAsia="zh-CN"/>
        </w:rPr>
        <w:t>唐河县黑龙镇易地扶贫搬迁后续扶持标准化厂房</w:t>
      </w:r>
    </w:p>
    <w:p>
      <w:pPr>
        <w:pStyle w:val="7"/>
        <w:jc w:val="left"/>
        <w:outlineLvl w:val="0"/>
        <w:rPr>
          <w:rFonts w:hint="eastAsia"/>
          <w:color w:val="auto"/>
          <w:sz w:val="28"/>
          <w:szCs w:val="36"/>
          <w:lang w:eastAsia="zh-CN"/>
        </w:rPr>
      </w:pPr>
      <w:r>
        <w:rPr>
          <w:rFonts w:hint="eastAsia"/>
          <w:color w:val="auto"/>
          <w:sz w:val="28"/>
          <w:szCs w:val="36"/>
          <w:lang w:eastAsia="zh-CN"/>
        </w:rPr>
        <w:t>建设项目</w:t>
      </w:r>
    </w:p>
    <w:p>
      <w:pPr>
        <w:pStyle w:val="7"/>
        <w:jc w:val="left"/>
        <w:outlineLvl w:val="0"/>
        <w:rPr>
          <w:rFonts w:hint="eastAsia"/>
          <w:color w:val="auto"/>
          <w:sz w:val="28"/>
          <w:szCs w:val="36"/>
        </w:rPr>
      </w:pPr>
      <w:r>
        <w:rPr>
          <w:rFonts w:hint="eastAsia"/>
          <w:color w:val="auto"/>
          <w:sz w:val="28"/>
          <w:szCs w:val="36"/>
        </w:rPr>
        <w:t xml:space="preserve">3、采购方式：竞争性磋商 </w:t>
      </w:r>
    </w:p>
    <w:p>
      <w:pPr>
        <w:pStyle w:val="7"/>
        <w:jc w:val="left"/>
        <w:outlineLvl w:val="0"/>
        <w:rPr>
          <w:rFonts w:hint="eastAsia"/>
          <w:color w:val="auto"/>
          <w:sz w:val="28"/>
          <w:szCs w:val="36"/>
        </w:rPr>
      </w:pPr>
      <w:r>
        <w:rPr>
          <w:rFonts w:hint="eastAsia"/>
          <w:color w:val="auto"/>
          <w:sz w:val="28"/>
          <w:szCs w:val="36"/>
        </w:rPr>
        <w:t>4、预算金额：</w:t>
      </w:r>
      <w:r>
        <w:rPr>
          <w:rFonts w:hint="eastAsia"/>
          <w:color w:val="auto"/>
          <w:sz w:val="28"/>
          <w:szCs w:val="36"/>
          <w:lang w:eastAsia="zh-CN"/>
        </w:rPr>
        <w:t>1494128.71</w:t>
      </w:r>
      <w:r>
        <w:rPr>
          <w:rFonts w:hint="eastAsia"/>
          <w:color w:val="auto"/>
          <w:sz w:val="28"/>
          <w:szCs w:val="36"/>
        </w:rPr>
        <w:t xml:space="preserve">元 </w:t>
      </w:r>
    </w:p>
    <w:p>
      <w:pPr>
        <w:pStyle w:val="7"/>
        <w:jc w:val="left"/>
        <w:outlineLvl w:val="0"/>
        <w:rPr>
          <w:rFonts w:hint="eastAsia"/>
          <w:color w:val="auto"/>
          <w:sz w:val="28"/>
          <w:szCs w:val="36"/>
        </w:rPr>
      </w:pPr>
      <w:r>
        <w:rPr>
          <w:rFonts w:hint="eastAsia"/>
          <w:color w:val="auto"/>
          <w:sz w:val="28"/>
          <w:szCs w:val="36"/>
        </w:rPr>
        <w:t>最高限价：</w:t>
      </w:r>
      <w:r>
        <w:rPr>
          <w:rFonts w:hint="eastAsia"/>
          <w:color w:val="auto"/>
          <w:sz w:val="28"/>
          <w:szCs w:val="36"/>
          <w:lang w:eastAsia="zh-CN"/>
        </w:rPr>
        <w:t>1494128.71</w:t>
      </w:r>
      <w:r>
        <w:rPr>
          <w:rFonts w:hint="eastAsia"/>
          <w:color w:val="auto"/>
          <w:sz w:val="28"/>
          <w:szCs w:val="36"/>
        </w:rPr>
        <w:t xml:space="preserve">元  </w:t>
      </w:r>
    </w:p>
    <w:tbl>
      <w:tblPr>
        <w:tblStyle w:val="20"/>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064"/>
        <w:gridCol w:w="1685"/>
        <w:gridCol w:w="1616"/>
        <w:gridCol w:w="1616"/>
        <w:gridCol w:w="1010"/>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序号</w:t>
            </w:r>
          </w:p>
        </w:tc>
        <w:tc>
          <w:tcPr>
            <w:tcW w:w="1064"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包号</w:t>
            </w:r>
          </w:p>
        </w:tc>
        <w:tc>
          <w:tcPr>
            <w:tcW w:w="1685"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包名称</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包预算（元）</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包最高限价（元）</w:t>
            </w:r>
          </w:p>
        </w:tc>
        <w:tc>
          <w:tcPr>
            <w:tcW w:w="1010"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是否专门面向中小企业</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ind w:firstLine="560" w:firstLineChars="200"/>
              <w:jc w:val="center"/>
              <w:textAlignment w:val="auto"/>
              <w:rPr>
                <w:rFonts w:hint="eastAsia"/>
                <w:color w:val="auto"/>
                <w:sz w:val="28"/>
                <w:szCs w:val="36"/>
                <w:lang w:eastAsia="zh-CN"/>
              </w:rPr>
            </w:pPr>
            <w:r>
              <w:rPr>
                <w:rFonts w:hint="eastAsia"/>
                <w:color w:val="auto"/>
                <w:sz w:val="28"/>
                <w:szCs w:val="36"/>
                <w:lang w:eastAsia="zh-CN"/>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1</w:t>
            </w:r>
          </w:p>
        </w:tc>
        <w:tc>
          <w:tcPr>
            <w:tcW w:w="1064"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default"/>
                <w:color w:val="auto"/>
                <w:lang w:val="en-US" w:eastAsia="zh-CN"/>
              </w:rPr>
            </w:pPr>
            <w:r>
              <w:rPr>
                <w:rFonts w:hint="eastAsia"/>
                <w:color w:val="auto"/>
                <w:lang w:eastAsia="zh-CN"/>
              </w:rPr>
              <w:t>唐财采购竞争性磋商-202</w:t>
            </w:r>
            <w:r>
              <w:rPr>
                <w:rFonts w:hint="eastAsia"/>
                <w:color w:val="auto"/>
                <w:lang w:val="en-US" w:eastAsia="zh-CN"/>
              </w:rPr>
              <w:t>4</w:t>
            </w:r>
            <w:r>
              <w:rPr>
                <w:rFonts w:hint="eastAsia"/>
                <w:color w:val="auto"/>
                <w:lang w:eastAsia="zh-CN"/>
              </w:rPr>
              <w:t>-</w:t>
            </w:r>
            <w:r>
              <w:rPr>
                <w:rFonts w:hint="eastAsia"/>
                <w:color w:val="auto"/>
                <w:lang w:val="en-US" w:eastAsia="zh-CN"/>
              </w:rPr>
              <w:t xml:space="preserve">58  </w:t>
            </w:r>
            <w:r>
              <w:rPr>
                <w:rFonts w:hint="eastAsia"/>
                <w:color w:val="auto"/>
                <w:sz w:val="28"/>
                <w:szCs w:val="36"/>
                <w:lang w:val="en-US" w:eastAsia="zh-CN"/>
              </w:rPr>
              <w:t>-1</w:t>
            </w:r>
          </w:p>
        </w:tc>
        <w:tc>
          <w:tcPr>
            <w:tcW w:w="1685"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color w:val="auto"/>
                <w:sz w:val="28"/>
                <w:szCs w:val="36"/>
                <w:lang w:eastAsia="zh-CN"/>
              </w:rPr>
              <w:t>唐河县黑龙镇易地扶贫搬迁后续扶持标准化厂房建设项目</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color w:val="auto"/>
                <w:sz w:val="28"/>
                <w:szCs w:val="36"/>
                <w:lang w:eastAsia="zh-CN"/>
              </w:rPr>
              <w:t>1494128.71</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color w:val="auto"/>
                <w:sz w:val="28"/>
                <w:szCs w:val="36"/>
                <w:lang w:eastAsia="zh-CN"/>
              </w:rPr>
              <w:t>1494128.71</w:t>
            </w:r>
          </w:p>
        </w:tc>
        <w:tc>
          <w:tcPr>
            <w:tcW w:w="1010"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是</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1494128.71</w:t>
            </w:r>
          </w:p>
        </w:tc>
      </w:tr>
    </w:tbl>
    <w:p>
      <w:pPr>
        <w:bidi w:val="0"/>
        <w:rPr>
          <w:rFonts w:hint="eastAsia"/>
        </w:rPr>
      </w:pPr>
    </w:p>
    <w:p>
      <w:pPr>
        <w:pStyle w:val="7"/>
        <w:jc w:val="left"/>
        <w:outlineLvl w:val="0"/>
        <w:rPr>
          <w:rFonts w:hint="eastAsia"/>
          <w:color w:val="auto"/>
          <w:sz w:val="28"/>
          <w:szCs w:val="36"/>
        </w:rPr>
      </w:pPr>
      <w:r>
        <w:rPr>
          <w:rFonts w:hint="eastAsia"/>
          <w:color w:val="auto"/>
          <w:sz w:val="28"/>
          <w:szCs w:val="36"/>
        </w:rPr>
        <w:t xml:space="preserve">5、采购需求（包括但不限于标的的名称、数量、简要技术需求或服务要求等） </w:t>
      </w:r>
    </w:p>
    <w:p>
      <w:pPr>
        <w:pStyle w:val="7"/>
        <w:jc w:val="left"/>
        <w:outlineLvl w:val="0"/>
        <w:rPr>
          <w:rFonts w:hint="eastAsia"/>
          <w:color w:val="auto"/>
          <w:sz w:val="28"/>
          <w:szCs w:val="36"/>
          <w:lang w:eastAsia="zh-CN"/>
        </w:rPr>
      </w:pPr>
      <w:r>
        <w:rPr>
          <w:rFonts w:hint="eastAsia"/>
          <w:color w:val="auto"/>
          <w:sz w:val="28"/>
          <w:szCs w:val="36"/>
        </w:rPr>
        <w:t>（1）项目名称：</w:t>
      </w:r>
      <w:r>
        <w:rPr>
          <w:rFonts w:hint="eastAsia"/>
          <w:color w:val="auto"/>
          <w:sz w:val="28"/>
          <w:szCs w:val="36"/>
          <w:lang w:eastAsia="zh-CN"/>
        </w:rPr>
        <w:t>唐河县黑龙镇易地扶贫搬迁后续扶持标准化厂房建设项目</w:t>
      </w:r>
    </w:p>
    <w:p>
      <w:pPr>
        <w:pStyle w:val="7"/>
        <w:jc w:val="left"/>
        <w:outlineLvl w:val="0"/>
        <w:rPr>
          <w:rFonts w:hint="eastAsia"/>
          <w:color w:val="auto"/>
          <w:sz w:val="28"/>
          <w:szCs w:val="36"/>
        </w:rPr>
      </w:pPr>
      <w:r>
        <w:rPr>
          <w:rFonts w:hint="eastAsia"/>
          <w:color w:val="auto"/>
          <w:sz w:val="28"/>
          <w:szCs w:val="36"/>
        </w:rPr>
        <w:t>（2）项目实施地点：</w:t>
      </w:r>
      <w:r>
        <w:rPr>
          <w:rFonts w:hint="eastAsia"/>
          <w:color w:val="auto"/>
          <w:sz w:val="28"/>
          <w:szCs w:val="36"/>
          <w:lang w:eastAsia="zh-CN"/>
        </w:rPr>
        <w:t>唐河县黑龙镇</w:t>
      </w:r>
      <w:r>
        <w:rPr>
          <w:rFonts w:hint="eastAsia"/>
          <w:color w:val="auto"/>
          <w:sz w:val="28"/>
          <w:szCs w:val="36"/>
        </w:rPr>
        <w:t>；</w:t>
      </w:r>
    </w:p>
    <w:p>
      <w:pPr>
        <w:pStyle w:val="7"/>
        <w:jc w:val="left"/>
        <w:outlineLvl w:val="0"/>
        <w:rPr>
          <w:rFonts w:hint="eastAsia"/>
          <w:color w:val="auto"/>
          <w:sz w:val="28"/>
          <w:szCs w:val="36"/>
        </w:rPr>
      </w:pPr>
      <w:r>
        <w:rPr>
          <w:rFonts w:hint="eastAsia"/>
          <w:color w:val="auto"/>
          <w:sz w:val="28"/>
          <w:szCs w:val="36"/>
        </w:rPr>
        <w:t>（3）资金来源：</w:t>
      </w:r>
      <w:r>
        <w:rPr>
          <w:rFonts w:hint="eastAsia"/>
          <w:color w:val="auto"/>
          <w:sz w:val="28"/>
          <w:szCs w:val="36"/>
          <w:lang w:eastAsia="zh-CN"/>
        </w:rPr>
        <w:t>财政资金</w:t>
      </w:r>
      <w:r>
        <w:rPr>
          <w:rFonts w:hint="eastAsia"/>
          <w:color w:val="auto"/>
          <w:sz w:val="28"/>
          <w:szCs w:val="36"/>
        </w:rPr>
        <w:t>，已落实；</w:t>
      </w:r>
    </w:p>
    <w:p>
      <w:pPr>
        <w:pStyle w:val="7"/>
        <w:jc w:val="left"/>
        <w:outlineLvl w:val="0"/>
        <w:rPr>
          <w:rFonts w:hint="eastAsia"/>
          <w:color w:val="auto"/>
          <w:sz w:val="28"/>
          <w:szCs w:val="36"/>
        </w:rPr>
      </w:pPr>
      <w:r>
        <w:rPr>
          <w:rFonts w:hint="eastAsia"/>
          <w:color w:val="auto"/>
          <w:sz w:val="28"/>
          <w:szCs w:val="36"/>
        </w:rPr>
        <w:t>（4）采购内容：</w:t>
      </w:r>
      <w:r>
        <w:rPr>
          <w:rFonts w:hint="eastAsia"/>
          <w:color w:val="auto"/>
          <w:sz w:val="28"/>
          <w:szCs w:val="36"/>
          <w:lang w:val="en-US" w:eastAsia="zh-CN"/>
        </w:rPr>
        <w:t>唐河县黑龙镇易地扶贫搬迁后续扶持标准化厂房建设项目。详见本项目采购文件、工程量清单及施工图纸范围内的所有工程施工（以清单为准）。</w:t>
      </w:r>
    </w:p>
    <w:p>
      <w:pPr>
        <w:pStyle w:val="7"/>
        <w:jc w:val="left"/>
        <w:outlineLvl w:val="0"/>
        <w:rPr>
          <w:rFonts w:hint="eastAsia"/>
          <w:color w:val="auto"/>
          <w:sz w:val="28"/>
          <w:szCs w:val="36"/>
        </w:rPr>
      </w:pPr>
      <w:r>
        <w:rPr>
          <w:rFonts w:hint="eastAsia"/>
          <w:color w:val="auto"/>
          <w:sz w:val="28"/>
          <w:szCs w:val="36"/>
        </w:rPr>
        <w:t>（5）标段划分：本项目划分</w:t>
      </w:r>
      <w:r>
        <w:rPr>
          <w:rFonts w:hint="eastAsia"/>
          <w:color w:val="auto"/>
          <w:sz w:val="28"/>
          <w:szCs w:val="36"/>
          <w:lang w:val="en-US" w:eastAsia="zh-CN"/>
        </w:rPr>
        <w:t>一</w:t>
      </w:r>
      <w:r>
        <w:rPr>
          <w:rFonts w:hint="eastAsia"/>
          <w:color w:val="auto"/>
          <w:sz w:val="28"/>
          <w:szCs w:val="36"/>
        </w:rPr>
        <w:t>个标段；</w:t>
      </w:r>
    </w:p>
    <w:p>
      <w:pPr>
        <w:pStyle w:val="7"/>
        <w:jc w:val="left"/>
        <w:outlineLvl w:val="0"/>
        <w:rPr>
          <w:rFonts w:hint="eastAsia"/>
          <w:color w:val="auto"/>
          <w:sz w:val="28"/>
          <w:szCs w:val="36"/>
        </w:rPr>
      </w:pPr>
      <w:r>
        <w:rPr>
          <w:rFonts w:hint="eastAsia"/>
          <w:color w:val="auto"/>
          <w:sz w:val="28"/>
          <w:szCs w:val="36"/>
        </w:rPr>
        <w:t xml:space="preserve">（6）质量要求：合格； </w:t>
      </w:r>
    </w:p>
    <w:p>
      <w:pPr>
        <w:pStyle w:val="7"/>
        <w:jc w:val="left"/>
        <w:outlineLvl w:val="0"/>
        <w:rPr>
          <w:rFonts w:hint="eastAsia"/>
          <w:color w:val="auto"/>
          <w:sz w:val="28"/>
          <w:szCs w:val="36"/>
        </w:rPr>
      </w:pPr>
      <w:r>
        <w:rPr>
          <w:rFonts w:hint="eastAsia"/>
          <w:color w:val="auto"/>
          <w:sz w:val="28"/>
          <w:szCs w:val="36"/>
        </w:rPr>
        <w:t>6、合同履行期限：合同签订后</w:t>
      </w:r>
      <w:r>
        <w:rPr>
          <w:rFonts w:hint="eastAsia"/>
          <w:color w:val="auto"/>
          <w:sz w:val="28"/>
          <w:szCs w:val="36"/>
          <w:lang w:val="en-US" w:eastAsia="zh-CN"/>
        </w:rPr>
        <w:t>180</w:t>
      </w:r>
      <w:r>
        <w:rPr>
          <w:rFonts w:hint="eastAsia"/>
          <w:color w:val="auto"/>
          <w:sz w:val="28"/>
          <w:szCs w:val="36"/>
        </w:rPr>
        <w:t xml:space="preserve">日历天内 </w:t>
      </w:r>
    </w:p>
    <w:p>
      <w:pPr>
        <w:pStyle w:val="7"/>
        <w:jc w:val="left"/>
        <w:outlineLvl w:val="0"/>
        <w:rPr>
          <w:rFonts w:hint="eastAsia"/>
          <w:color w:val="auto"/>
          <w:sz w:val="28"/>
          <w:szCs w:val="36"/>
        </w:rPr>
      </w:pPr>
      <w:r>
        <w:rPr>
          <w:rFonts w:hint="eastAsia"/>
          <w:color w:val="auto"/>
          <w:sz w:val="28"/>
          <w:szCs w:val="36"/>
        </w:rPr>
        <w:t xml:space="preserve">7、本项目是否接受联合体投标：否 </w:t>
      </w:r>
    </w:p>
    <w:p>
      <w:pPr>
        <w:pStyle w:val="7"/>
        <w:jc w:val="left"/>
        <w:outlineLvl w:val="0"/>
        <w:rPr>
          <w:rFonts w:hint="eastAsia"/>
          <w:color w:val="auto"/>
          <w:sz w:val="28"/>
          <w:szCs w:val="36"/>
        </w:rPr>
      </w:pPr>
      <w:r>
        <w:rPr>
          <w:rFonts w:hint="eastAsia"/>
          <w:color w:val="auto"/>
          <w:sz w:val="28"/>
          <w:szCs w:val="36"/>
        </w:rPr>
        <w:t xml:space="preserve">8、是否接受进口产品：否 </w:t>
      </w:r>
    </w:p>
    <w:p>
      <w:pPr>
        <w:pStyle w:val="7"/>
        <w:jc w:val="left"/>
        <w:outlineLvl w:val="0"/>
        <w:rPr>
          <w:rFonts w:hint="eastAsia"/>
          <w:color w:val="auto"/>
          <w:sz w:val="28"/>
          <w:szCs w:val="36"/>
        </w:rPr>
      </w:pPr>
      <w:r>
        <w:rPr>
          <w:rFonts w:hint="eastAsia"/>
          <w:color w:val="auto"/>
          <w:sz w:val="28"/>
          <w:szCs w:val="36"/>
        </w:rPr>
        <w:t xml:space="preserve">9、是否专门面向中小企业：是 </w:t>
      </w:r>
    </w:p>
    <w:p>
      <w:pPr>
        <w:pStyle w:val="7"/>
        <w:jc w:val="left"/>
        <w:outlineLvl w:val="0"/>
        <w:rPr>
          <w:rFonts w:hint="eastAsia"/>
          <w:b/>
          <w:bCs/>
          <w:color w:val="auto"/>
          <w:sz w:val="28"/>
          <w:szCs w:val="36"/>
        </w:rPr>
      </w:pPr>
      <w:r>
        <w:rPr>
          <w:rFonts w:hint="eastAsia"/>
          <w:b/>
          <w:bCs/>
          <w:color w:val="auto"/>
          <w:sz w:val="28"/>
          <w:szCs w:val="36"/>
        </w:rPr>
        <w:t xml:space="preserve">二、申请人资格要求： </w:t>
      </w:r>
    </w:p>
    <w:p>
      <w:pPr>
        <w:pStyle w:val="7"/>
        <w:jc w:val="left"/>
        <w:outlineLvl w:val="0"/>
        <w:rPr>
          <w:rFonts w:hint="eastAsia"/>
          <w:color w:val="auto"/>
          <w:sz w:val="28"/>
          <w:szCs w:val="36"/>
        </w:rPr>
      </w:pPr>
      <w:r>
        <w:rPr>
          <w:rFonts w:hint="eastAsia"/>
          <w:color w:val="auto"/>
          <w:sz w:val="28"/>
          <w:szCs w:val="36"/>
        </w:rPr>
        <w:t xml:space="preserve">1、满足《中华人民共和国政府采购法》第二十二条规定； </w:t>
      </w:r>
    </w:p>
    <w:p>
      <w:pPr>
        <w:pStyle w:val="7"/>
        <w:jc w:val="left"/>
        <w:outlineLvl w:val="0"/>
        <w:rPr>
          <w:rFonts w:hint="eastAsia"/>
          <w:color w:val="auto"/>
          <w:sz w:val="28"/>
          <w:szCs w:val="36"/>
        </w:rPr>
      </w:pPr>
      <w:r>
        <w:rPr>
          <w:rFonts w:hint="eastAsia"/>
          <w:color w:val="auto"/>
          <w:sz w:val="28"/>
          <w:szCs w:val="36"/>
        </w:rPr>
        <w:t xml:space="preserve">2、落实政府采购政策满足的资格要求： </w:t>
      </w:r>
    </w:p>
    <w:p>
      <w:pPr>
        <w:pStyle w:val="7"/>
        <w:jc w:val="left"/>
        <w:outlineLvl w:val="0"/>
        <w:rPr>
          <w:rFonts w:hint="eastAsia"/>
          <w:color w:val="auto"/>
          <w:sz w:val="28"/>
          <w:szCs w:val="36"/>
        </w:rPr>
      </w:pPr>
      <w:r>
        <w:rPr>
          <w:rFonts w:hint="eastAsia"/>
          <w:color w:val="auto"/>
          <w:sz w:val="28"/>
          <w:szCs w:val="36"/>
        </w:rPr>
        <w:t xml:space="preserve">本项目执行扶持中小企业、监狱企业和残疾人福利性单位发展的政策。 </w:t>
      </w:r>
    </w:p>
    <w:p>
      <w:pPr>
        <w:pStyle w:val="7"/>
        <w:numPr>
          <w:ilvl w:val="0"/>
          <w:numId w:val="1"/>
        </w:numPr>
        <w:jc w:val="left"/>
        <w:outlineLvl w:val="0"/>
        <w:rPr>
          <w:rFonts w:hint="eastAsia"/>
          <w:color w:val="auto"/>
          <w:sz w:val="28"/>
          <w:szCs w:val="36"/>
        </w:rPr>
      </w:pPr>
      <w:r>
        <w:rPr>
          <w:rFonts w:hint="eastAsia"/>
          <w:color w:val="auto"/>
          <w:sz w:val="28"/>
          <w:szCs w:val="36"/>
        </w:rPr>
        <w:t>本项目的特定资格要求</w:t>
      </w:r>
    </w:p>
    <w:p>
      <w:pPr>
        <w:pStyle w:val="7"/>
        <w:jc w:val="left"/>
        <w:outlineLvl w:val="0"/>
        <w:rPr>
          <w:rFonts w:hint="eastAsia"/>
          <w:color w:val="auto"/>
          <w:sz w:val="28"/>
          <w:szCs w:val="36"/>
        </w:rPr>
      </w:pPr>
      <w:r>
        <w:rPr>
          <w:rFonts w:hint="eastAsia"/>
          <w:color w:val="auto"/>
          <w:sz w:val="28"/>
          <w:szCs w:val="36"/>
        </w:rPr>
        <w:t>3.1供应商具有独立法人资格，具有有效的营业执照、税务登记证、组织机构代码证（或三证合一）；</w:t>
      </w:r>
      <w:r>
        <w:rPr>
          <w:rFonts w:hint="eastAsia"/>
          <w:color w:val="auto"/>
          <w:sz w:val="28"/>
          <w:szCs w:val="36"/>
        </w:rPr>
        <w:br w:type="textWrapping"/>
      </w:r>
      <w:r>
        <w:rPr>
          <w:rFonts w:hint="eastAsia"/>
          <w:color w:val="auto"/>
          <w:sz w:val="28"/>
          <w:szCs w:val="36"/>
        </w:rPr>
        <w:t>3.2供应商须具有建筑工程施工总承包叁级及以上资质等级，且具有有效的安全生产许可证，并在人员、设备、资金等方面具有相应的施工能力；</w:t>
      </w:r>
      <w:r>
        <w:rPr>
          <w:rFonts w:hint="eastAsia"/>
          <w:color w:val="auto"/>
          <w:sz w:val="28"/>
          <w:szCs w:val="36"/>
        </w:rPr>
        <w:br w:type="textWrapping"/>
      </w:r>
      <w:r>
        <w:rPr>
          <w:rFonts w:hint="eastAsia"/>
          <w:color w:val="auto"/>
          <w:sz w:val="28"/>
          <w:szCs w:val="36"/>
        </w:rPr>
        <w:t>3.3拟派项目经理须具备相关专业贰级及以上注册建造师资格证书及有效的安全生产考核合格证，且未担任其他在建工程的项目经理并作出承诺；技术负责人具有相关专业中级及以上工程技术职称；</w:t>
      </w:r>
      <w:r>
        <w:rPr>
          <w:rFonts w:hint="eastAsia"/>
          <w:color w:val="auto"/>
          <w:sz w:val="28"/>
          <w:szCs w:val="36"/>
        </w:rPr>
        <w:br w:type="textWrapping"/>
      </w:r>
      <w:r>
        <w:rPr>
          <w:rFonts w:hint="eastAsia"/>
          <w:color w:val="auto"/>
          <w:sz w:val="28"/>
          <w:szCs w:val="36"/>
        </w:rPr>
        <w:t>3.4参加本次政府采购活动前三年内，在经营活动中没有重大违法犯罪记录；</w:t>
      </w:r>
      <w:r>
        <w:rPr>
          <w:rFonts w:hint="eastAsia"/>
          <w:color w:val="auto"/>
          <w:sz w:val="28"/>
          <w:szCs w:val="36"/>
        </w:rPr>
        <w:br w:type="textWrapping"/>
      </w:r>
      <w:r>
        <w:rPr>
          <w:rFonts w:hint="eastAsia"/>
          <w:color w:val="auto"/>
          <w:sz w:val="28"/>
          <w:szCs w:val="36"/>
        </w:rPr>
        <w:t>3.5财务状况良好，没有处于被责令停业、破产状态，各投标人须提供具有近三年（2020年度、2021年度、2022年度）经审计的财务报告，信誉良好（成立不足三年的企业，从成立之日算起）。</w:t>
      </w:r>
      <w:r>
        <w:rPr>
          <w:rFonts w:hint="eastAsia"/>
          <w:color w:val="auto"/>
          <w:sz w:val="28"/>
          <w:szCs w:val="36"/>
        </w:rPr>
        <w:br w:type="textWrapping"/>
      </w:r>
      <w:r>
        <w:rPr>
          <w:rFonts w:hint="eastAsia"/>
          <w:color w:val="auto"/>
          <w:sz w:val="28"/>
          <w:szCs w:val="36"/>
        </w:rPr>
        <w:t>3.6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r>
        <w:rPr>
          <w:rFonts w:hint="eastAsia"/>
          <w:color w:val="auto"/>
          <w:sz w:val="28"/>
          <w:szCs w:val="36"/>
        </w:rPr>
        <w:br w:type="textWrapping"/>
      </w:r>
      <w:r>
        <w:rPr>
          <w:rFonts w:hint="eastAsia"/>
          <w:color w:val="auto"/>
          <w:sz w:val="28"/>
          <w:szCs w:val="36"/>
        </w:rPr>
        <w:t>3.7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r>
        <w:rPr>
          <w:rFonts w:hint="eastAsia"/>
          <w:color w:val="auto"/>
          <w:sz w:val="28"/>
          <w:szCs w:val="36"/>
        </w:rPr>
        <w:br w:type="textWrapping"/>
      </w:r>
      <w:r>
        <w:rPr>
          <w:rFonts w:hint="eastAsia"/>
          <w:color w:val="auto"/>
          <w:sz w:val="28"/>
          <w:szCs w:val="36"/>
        </w:rPr>
        <w:t>3.8本次招标不接受联合体投标，不允许分包和转包。</w:t>
      </w:r>
      <w:r>
        <w:rPr>
          <w:rFonts w:hint="eastAsia"/>
          <w:color w:val="auto"/>
          <w:sz w:val="28"/>
          <w:szCs w:val="36"/>
        </w:rPr>
        <w:br w:type="textWrapping"/>
      </w:r>
      <w:r>
        <w:rPr>
          <w:rFonts w:hint="eastAsia"/>
          <w:color w:val="auto"/>
          <w:sz w:val="28"/>
          <w:szCs w:val="36"/>
        </w:rPr>
        <w:t>3.9满足法律、行政法规及本项目磋商文件规定的其他条件。</w:t>
      </w:r>
      <w:r>
        <w:rPr>
          <w:rFonts w:hint="eastAsia"/>
          <w:color w:val="auto"/>
          <w:sz w:val="28"/>
          <w:szCs w:val="36"/>
        </w:rPr>
        <w:br w:type="textWrapping"/>
      </w:r>
      <w:r>
        <w:rPr>
          <w:rFonts w:hint="eastAsia"/>
          <w:color w:val="auto"/>
          <w:sz w:val="28"/>
          <w:szCs w:val="36"/>
        </w:rPr>
        <w:t>按照唐河县财政局《关于在政府采购活动中试行供应商资格信用承诺制的通知》唐财购[2021]18号的要求，供应商在投标(响应)时，按照规定提供“投标承诺函”(详见采购文件)的，无需再提交上述（3.5）（3.6）的证明材料。供应商在中标(成交)后，应将上述由投标承诺函替代的证明材料提交采购人、采购代理机构，证明材料将随公告一并公示。</w:t>
      </w:r>
      <w:r>
        <w:rPr>
          <w:rFonts w:hint="eastAsia"/>
          <w:color w:val="auto"/>
          <w:sz w:val="28"/>
          <w:szCs w:val="36"/>
        </w:rPr>
        <w:br w:type="textWrapping"/>
      </w:r>
      <w:r>
        <w:rPr>
          <w:rFonts w:hint="eastAsia"/>
          <w:color w:val="auto"/>
          <w:sz w:val="28"/>
          <w:szCs w:val="36"/>
        </w:rPr>
        <w:t xml:space="preserve">注：本项目实行资格后审，审查内容以投标截止时间前上传企业诚信库信息（南阳市诚信库网站https://ggzyjy.nanyang.gov.cn）为准，过期更改的诚信库（南阳市）信息不做为本项目评审依据。开标现场不接受诚信库（南阳市）信息原件。诚信库（南阳市）上传信息必须内容齐全，真实有效，原件扫描清晰可辨。否则，由此造成应得分而未得分或审查不合格情况的，由投标企业承担责任。 </w:t>
      </w:r>
    </w:p>
    <w:p>
      <w:pPr>
        <w:pStyle w:val="7"/>
        <w:jc w:val="left"/>
        <w:outlineLvl w:val="0"/>
        <w:rPr>
          <w:rFonts w:hint="eastAsia"/>
          <w:b/>
          <w:bCs/>
          <w:color w:val="auto"/>
          <w:sz w:val="28"/>
          <w:szCs w:val="36"/>
        </w:rPr>
      </w:pPr>
      <w:r>
        <w:rPr>
          <w:rFonts w:hint="eastAsia"/>
          <w:b/>
          <w:bCs/>
          <w:color w:val="auto"/>
          <w:sz w:val="28"/>
          <w:szCs w:val="36"/>
        </w:rPr>
        <w:t xml:space="preserve">三、获取采购文件 </w:t>
      </w:r>
    </w:p>
    <w:p>
      <w:pPr>
        <w:pStyle w:val="7"/>
        <w:jc w:val="left"/>
        <w:outlineLvl w:val="0"/>
        <w:rPr>
          <w:rFonts w:hint="eastAsia"/>
          <w:color w:val="auto"/>
          <w:sz w:val="28"/>
          <w:szCs w:val="36"/>
        </w:rPr>
      </w:pPr>
      <w:r>
        <w:rPr>
          <w:rFonts w:hint="eastAsia"/>
          <w:color w:val="auto"/>
          <w:sz w:val="28"/>
          <w:szCs w:val="36"/>
        </w:rPr>
        <w:t>1.时间：202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05</w:t>
      </w:r>
      <w:r>
        <w:rPr>
          <w:rFonts w:hint="eastAsia"/>
          <w:color w:val="auto"/>
          <w:sz w:val="28"/>
          <w:szCs w:val="36"/>
        </w:rPr>
        <w:t>月</w:t>
      </w:r>
      <w:r>
        <w:rPr>
          <w:rFonts w:hint="eastAsia"/>
          <w:color w:val="auto"/>
          <w:sz w:val="28"/>
          <w:szCs w:val="36"/>
          <w:lang w:val="en-US" w:eastAsia="zh-CN"/>
        </w:rPr>
        <w:t>20</w:t>
      </w:r>
      <w:r>
        <w:rPr>
          <w:rFonts w:hint="eastAsia"/>
          <w:color w:val="auto"/>
          <w:sz w:val="28"/>
          <w:szCs w:val="36"/>
        </w:rPr>
        <w:t>日至202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05</w:t>
      </w:r>
      <w:r>
        <w:rPr>
          <w:rFonts w:hint="eastAsia"/>
          <w:color w:val="auto"/>
          <w:sz w:val="28"/>
          <w:szCs w:val="36"/>
        </w:rPr>
        <w:t>月</w:t>
      </w:r>
      <w:r>
        <w:rPr>
          <w:rFonts w:hint="eastAsia"/>
          <w:color w:val="auto"/>
          <w:sz w:val="28"/>
          <w:szCs w:val="36"/>
          <w:lang w:val="en-US" w:eastAsia="zh-CN"/>
        </w:rPr>
        <w:t>27</w:t>
      </w:r>
      <w:r>
        <w:rPr>
          <w:rFonts w:hint="eastAsia"/>
          <w:color w:val="auto"/>
          <w:sz w:val="28"/>
          <w:szCs w:val="36"/>
        </w:rPr>
        <w:t>日，每天上午0</w:t>
      </w:r>
      <w:r>
        <w:rPr>
          <w:rFonts w:hint="eastAsia"/>
          <w:color w:val="auto"/>
          <w:sz w:val="28"/>
          <w:szCs w:val="36"/>
          <w:lang w:val="en-US" w:eastAsia="zh-CN"/>
        </w:rPr>
        <w:t>8</w:t>
      </w:r>
      <w:r>
        <w:rPr>
          <w:rFonts w:hint="eastAsia"/>
          <w:color w:val="auto"/>
          <w:sz w:val="28"/>
          <w:szCs w:val="36"/>
        </w:rPr>
        <w:t>:</w:t>
      </w:r>
      <w:r>
        <w:rPr>
          <w:rFonts w:hint="eastAsia"/>
          <w:color w:val="auto"/>
          <w:sz w:val="28"/>
          <w:szCs w:val="36"/>
          <w:lang w:val="en-US" w:eastAsia="zh-CN"/>
        </w:rPr>
        <w:t>0</w:t>
      </w:r>
      <w:bookmarkStart w:id="83" w:name="_GoBack"/>
      <w:bookmarkEnd w:id="83"/>
      <w:r>
        <w:rPr>
          <w:rFonts w:hint="eastAsia"/>
          <w:color w:val="auto"/>
          <w:sz w:val="28"/>
          <w:szCs w:val="36"/>
        </w:rPr>
        <w:t xml:space="preserve">0至12:00，下午12:00至18:00（北京时间，法定节假日除外。） </w:t>
      </w:r>
    </w:p>
    <w:p>
      <w:pPr>
        <w:pStyle w:val="7"/>
        <w:jc w:val="left"/>
        <w:outlineLvl w:val="0"/>
        <w:rPr>
          <w:rFonts w:hint="eastAsia"/>
          <w:color w:val="auto"/>
          <w:sz w:val="28"/>
          <w:szCs w:val="36"/>
        </w:rPr>
      </w:pPr>
      <w:r>
        <w:rPr>
          <w:rFonts w:hint="eastAsia"/>
          <w:color w:val="auto"/>
          <w:sz w:val="28"/>
          <w:szCs w:val="36"/>
        </w:rPr>
        <w:t xml:space="preserve">2.地点：唐河县公共资源交易中心网站（http://www.thggzy.cn） </w:t>
      </w:r>
    </w:p>
    <w:p>
      <w:pPr>
        <w:pStyle w:val="7"/>
        <w:jc w:val="left"/>
        <w:outlineLvl w:val="0"/>
        <w:rPr>
          <w:rFonts w:hint="eastAsia"/>
          <w:color w:val="auto"/>
          <w:sz w:val="28"/>
          <w:szCs w:val="36"/>
        </w:rPr>
      </w:pPr>
      <w:r>
        <w:rPr>
          <w:rFonts w:hint="eastAsia"/>
          <w:color w:val="auto"/>
          <w:sz w:val="28"/>
          <w:szCs w:val="36"/>
        </w:rPr>
        <w:t xml:space="preserve">3.方式：网上下载，潜在供应商在南阳市公共资源交易中心办理CA数字证书，在南阳市交易平台诚信库进行登记注册，验证通过后可直接运用CA证书登录唐河县公共资源交易中心网站（www.thggzy.cn）诚信库会员系统进行网上下载采购文件。唐河县公共资源交易平台与南阳市公共资源交易平台诚信库系统互认共享、CA数字证书互认共享。 </w:t>
      </w:r>
    </w:p>
    <w:p>
      <w:pPr>
        <w:pStyle w:val="7"/>
        <w:jc w:val="left"/>
        <w:outlineLvl w:val="0"/>
        <w:rPr>
          <w:rFonts w:hint="eastAsia"/>
          <w:color w:val="auto"/>
          <w:sz w:val="28"/>
          <w:szCs w:val="36"/>
        </w:rPr>
      </w:pPr>
      <w:r>
        <w:rPr>
          <w:rFonts w:hint="eastAsia"/>
          <w:color w:val="auto"/>
          <w:sz w:val="28"/>
          <w:szCs w:val="36"/>
        </w:rPr>
        <w:t xml:space="preserve">4.售价：0元 </w:t>
      </w:r>
    </w:p>
    <w:p>
      <w:pPr>
        <w:pStyle w:val="7"/>
        <w:jc w:val="left"/>
        <w:outlineLvl w:val="0"/>
        <w:rPr>
          <w:rFonts w:hint="eastAsia"/>
          <w:b/>
          <w:bCs/>
          <w:color w:val="auto"/>
          <w:sz w:val="28"/>
          <w:szCs w:val="36"/>
        </w:rPr>
      </w:pPr>
      <w:r>
        <w:rPr>
          <w:rFonts w:hint="eastAsia"/>
          <w:b/>
          <w:bCs/>
          <w:color w:val="auto"/>
          <w:sz w:val="28"/>
          <w:szCs w:val="36"/>
        </w:rPr>
        <w:t xml:space="preserve">四、响应文件提交 </w:t>
      </w:r>
    </w:p>
    <w:p>
      <w:pPr>
        <w:pStyle w:val="7"/>
        <w:jc w:val="left"/>
        <w:outlineLvl w:val="0"/>
        <w:rPr>
          <w:rFonts w:hint="eastAsia"/>
          <w:color w:val="auto"/>
          <w:sz w:val="28"/>
          <w:szCs w:val="36"/>
        </w:rPr>
      </w:pPr>
      <w:r>
        <w:rPr>
          <w:rFonts w:hint="eastAsia"/>
          <w:color w:val="auto"/>
          <w:sz w:val="28"/>
          <w:szCs w:val="36"/>
        </w:rPr>
        <w:t>1.截止时间：202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06</w:t>
      </w:r>
      <w:r>
        <w:rPr>
          <w:rFonts w:hint="eastAsia"/>
          <w:color w:val="auto"/>
          <w:sz w:val="28"/>
          <w:szCs w:val="36"/>
        </w:rPr>
        <w:t>月</w:t>
      </w:r>
      <w:r>
        <w:rPr>
          <w:rFonts w:hint="eastAsia"/>
          <w:color w:val="auto"/>
          <w:sz w:val="28"/>
          <w:szCs w:val="36"/>
          <w:lang w:val="en-US" w:eastAsia="zh-CN"/>
        </w:rPr>
        <w:t>07</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30</w:t>
      </w:r>
      <w:r>
        <w:rPr>
          <w:rFonts w:hint="eastAsia"/>
          <w:color w:val="auto"/>
          <w:sz w:val="28"/>
          <w:szCs w:val="36"/>
        </w:rPr>
        <w:t xml:space="preserve">分（北京时间） </w:t>
      </w:r>
    </w:p>
    <w:p>
      <w:pPr>
        <w:pStyle w:val="7"/>
        <w:jc w:val="left"/>
        <w:outlineLvl w:val="0"/>
        <w:rPr>
          <w:rFonts w:hint="eastAsia"/>
          <w:color w:val="auto"/>
          <w:sz w:val="28"/>
          <w:szCs w:val="36"/>
        </w:rPr>
      </w:pPr>
      <w:r>
        <w:rPr>
          <w:rFonts w:hint="eastAsia"/>
          <w:color w:val="auto"/>
          <w:sz w:val="28"/>
          <w:szCs w:val="36"/>
        </w:rPr>
        <w:t xml:space="preserve">2.地点：唐河县公共资源交易中心网站，加密版响应文件应在磋商文件规定的开标截止时间前上传至交易系统，逾期上传交易系统或未上传成功的电子投标文件视为放弃本次投标。 </w:t>
      </w:r>
    </w:p>
    <w:p>
      <w:pPr>
        <w:pStyle w:val="7"/>
        <w:jc w:val="left"/>
        <w:outlineLvl w:val="0"/>
        <w:rPr>
          <w:rFonts w:hint="eastAsia"/>
          <w:color w:val="auto"/>
          <w:sz w:val="28"/>
          <w:szCs w:val="36"/>
        </w:rPr>
      </w:pPr>
      <w:r>
        <w:rPr>
          <w:rFonts w:hint="eastAsia"/>
          <w:b/>
          <w:bCs/>
          <w:color w:val="auto"/>
          <w:sz w:val="28"/>
          <w:szCs w:val="36"/>
        </w:rPr>
        <w:t>五、响应文件开启</w:t>
      </w:r>
      <w:r>
        <w:rPr>
          <w:rFonts w:hint="eastAsia"/>
          <w:color w:val="auto"/>
          <w:sz w:val="28"/>
          <w:szCs w:val="36"/>
        </w:rPr>
        <w:t xml:space="preserve"> </w:t>
      </w:r>
    </w:p>
    <w:p>
      <w:pPr>
        <w:pStyle w:val="7"/>
        <w:jc w:val="left"/>
        <w:outlineLvl w:val="0"/>
        <w:rPr>
          <w:rFonts w:hint="eastAsia"/>
          <w:color w:val="auto"/>
          <w:sz w:val="28"/>
          <w:szCs w:val="36"/>
        </w:rPr>
      </w:pPr>
      <w:r>
        <w:rPr>
          <w:rFonts w:hint="eastAsia"/>
          <w:color w:val="auto"/>
          <w:sz w:val="28"/>
          <w:szCs w:val="36"/>
        </w:rPr>
        <w:t>1.时间：202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06</w:t>
      </w:r>
      <w:r>
        <w:rPr>
          <w:rFonts w:hint="eastAsia"/>
          <w:color w:val="auto"/>
          <w:sz w:val="28"/>
          <w:szCs w:val="36"/>
        </w:rPr>
        <w:t>月</w:t>
      </w:r>
      <w:r>
        <w:rPr>
          <w:rFonts w:hint="eastAsia"/>
          <w:color w:val="auto"/>
          <w:sz w:val="28"/>
          <w:szCs w:val="36"/>
          <w:lang w:val="en-US" w:eastAsia="zh-CN"/>
        </w:rPr>
        <w:t>07</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30</w:t>
      </w:r>
      <w:r>
        <w:rPr>
          <w:rFonts w:hint="eastAsia"/>
          <w:color w:val="auto"/>
          <w:sz w:val="28"/>
          <w:szCs w:val="36"/>
        </w:rPr>
        <w:t xml:space="preserve">分（北京时间） </w:t>
      </w:r>
    </w:p>
    <w:p>
      <w:pPr>
        <w:pStyle w:val="7"/>
        <w:jc w:val="left"/>
        <w:outlineLvl w:val="0"/>
        <w:rPr>
          <w:rFonts w:hint="eastAsia"/>
          <w:color w:val="auto"/>
          <w:sz w:val="28"/>
          <w:szCs w:val="36"/>
        </w:rPr>
      </w:pPr>
      <w:r>
        <w:rPr>
          <w:rFonts w:hint="eastAsia"/>
          <w:color w:val="auto"/>
          <w:sz w:val="28"/>
          <w:szCs w:val="36"/>
        </w:rPr>
        <w:t>2.地点：采用网上不见面方式开标，投标供应商无需到达开标现场参与投标。各供应商根据手册要求，自行提前做好所有相关准备工作，自行上传响应文件，无需寄送和递交非加密响应文件光盘等。需提前登录不见面开标系统，过程中如遇到紧急事项，可在不见面开标大厅中进行提出异议或文字交流。如供应商准备不到位，或因网络等问题造成无法及时解密、开标无法继续的，视为该供应商自动放弃投标（</w:t>
      </w:r>
      <w:r>
        <w:rPr>
          <w:rFonts w:hint="eastAsia"/>
          <w:color w:val="auto"/>
          <w:sz w:val="28"/>
          <w:szCs w:val="36"/>
          <w:lang w:val="en-US" w:eastAsia="zh-CN"/>
        </w:rPr>
        <w:t>30</w:t>
      </w:r>
      <w:r>
        <w:rPr>
          <w:rFonts w:hint="eastAsia"/>
          <w:color w:val="auto"/>
          <w:sz w:val="28"/>
          <w:szCs w:val="36"/>
        </w:rPr>
        <w:t>分钟内）将被退回响应文件；附件：操作手册在下载中心或办事指南中自行下载，不见面开标大厅地址：唐河县公共资源交易中心网站首页“不见面开标大厅”模块。</w:t>
      </w:r>
    </w:p>
    <w:p>
      <w:pPr>
        <w:pStyle w:val="7"/>
        <w:jc w:val="left"/>
        <w:outlineLvl w:val="0"/>
        <w:rPr>
          <w:rFonts w:hint="eastAsia"/>
          <w:color w:val="auto"/>
          <w:sz w:val="28"/>
          <w:szCs w:val="36"/>
        </w:rPr>
      </w:pPr>
      <w:r>
        <w:rPr>
          <w:rFonts w:hint="eastAsia"/>
          <w:color w:val="auto"/>
          <w:sz w:val="28"/>
          <w:szCs w:val="36"/>
        </w:rPr>
        <w:t xml:space="preserve"> </w:t>
      </w:r>
    </w:p>
    <w:p>
      <w:pPr>
        <w:pStyle w:val="7"/>
        <w:jc w:val="left"/>
        <w:outlineLvl w:val="0"/>
        <w:rPr>
          <w:rFonts w:hint="eastAsia"/>
          <w:color w:val="auto"/>
          <w:sz w:val="28"/>
          <w:szCs w:val="36"/>
        </w:rPr>
      </w:pPr>
      <w:r>
        <w:rPr>
          <w:rFonts w:hint="eastAsia"/>
          <w:b/>
          <w:bCs/>
          <w:color w:val="auto"/>
          <w:sz w:val="28"/>
          <w:szCs w:val="36"/>
        </w:rPr>
        <w:t>六、发布公告的媒介及招标公告期限</w:t>
      </w:r>
      <w:r>
        <w:rPr>
          <w:rFonts w:hint="eastAsia"/>
          <w:color w:val="auto"/>
          <w:sz w:val="28"/>
          <w:szCs w:val="36"/>
        </w:rPr>
        <w:t xml:space="preserve"> </w:t>
      </w:r>
    </w:p>
    <w:p>
      <w:pPr>
        <w:pStyle w:val="7"/>
        <w:jc w:val="left"/>
        <w:outlineLvl w:val="0"/>
        <w:rPr>
          <w:rFonts w:hint="eastAsia"/>
          <w:color w:val="auto"/>
          <w:sz w:val="28"/>
          <w:szCs w:val="36"/>
        </w:rPr>
      </w:pPr>
      <w:r>
        <w:rPr>
          <w:rFonts w:hint="eastAsia"/>
          <w:color w:val="auto"/>
          <w:sz w:val="28"/>
          <w:szCs w:val="36"/>
        </w:rPr>
        <w:t xml:space="preserve">本次招标公告在《河南省政府采购网》、《南阳市政府采购网》、《中国招标投标公共服务平台》、《唐河县公共资源交易中心》上发布，招标公告期限为三个工作日 。  </w:t>
      </w:r>
    </w:p>
    <w:p>
      <w:pPr>
        <w:pStyle w:val="7"/>
        <w:jc w:val="left"/>
        <w:outlineLvl w:val="0"/>
        <w:rPr>
          <w:rFonts w:hint="eastAsia"/>
          <w:color w:val="auto"/>
          <w:sz w:val="28"/>
          <w:szCs w:val="36"/>
        </w:rPr>
      </w:pPr>
      <w:r>
        <w:rPr>
          <w:rFonts w:hint="eastAsia"/>
          <w:b/>
          <w:bCs/>
          <w:color w:val="auto"/>
          <w:sz w:val="28"/>
          <w:szCs w:val="36"/>
        </w:rPr>
        <w:t>七、其他补充事宜</w:t>
      </w:r>
      <w:r>
        <w:rPr>
          <w:rFonts w:hint="eastAsia"/>
          <w:color w:val="auto"/>
          <w:sz w:val="28"/>
          <w:szCs w:val="36"/>
        </w:rPr>
        <w:t xml:space="preserve"> </w:t>
      </w:r>
    </w:p>
    <w:p>
      <w:pPr>
        <w:pStyle w:val="7"/>
        <w:jc w:val="left"/>
        <w:outlineLvl w:val="0"/>
        <w:rPr>
          <w:rFonts w:hint="eastAsia"/>
          <w:color w:val="auto"/>
          <w:sz w:val="28"/>
          <w:szCs w:val="36"/>
        </w:rPr>
      </w:pPr>
      <w:r>
        <w:rPr>
          <w:rFonts w:hint="eastAsia"/>
          <w:color w:val="auto"/>
          <w:sz w:val="28"/>
          <w:szCs w:val="36"/>
        </w:rPr>
        <w:t xml:space="preserve">无 </w:t>
      </w:r>
    </w:p>
    <w:p>
      <w:pPr>
        <w:pStyle w:val="7"/>
        <w:jc w:val="left"/>
        <w:outlineLvl w:val="0"/>
        <w:rPr>
          <w:rFonts w:hint="eastAsia"/>
          <w:color w:val="auto"/>
          <w:sz w:val="28"/>
          <w:szCs w:val="36"/>
        </w:rPr>
      </w:pPr>
      <w:r>
        <w:rPr>
          <w:rFonts w:hint="eastAsia"/>
          <w:b/>
          <w:bCs/>
          <w:color w:val="auto"/>
          <w:sz w:val="28"/>
          <w:szCs w:val="36"/>
        </w:rPr>
        <w:t>八、凡对本次招标提出询问，请按照以下方式联系</w:t>
      </w:r>
      <w:r>
        <w:rPr>
          <w:rFonts w:hint="eastAsia"/>
          <w:color w:val="auto"/>
          <w:sz w:val="28"/>
          <w:szCs w:val="36"/>
        </w:rPr>
        <w:t xml:space="preserve"> </w:t>
      </w:r>
    </w:p>
    <w:p>
      <w:pPr>
        <w:bidi w:val="0"/>
        <w:spacing w:line="360" w:lineRule="auto"/>
        <w:rPr>
          <w:rFonts w:hint="eastAsia"/>
          <w:color w:val="auto"/>
          <w:sz w:val="28"/>
          <w:szCs w:val="36"/>
        </w:rPr>
      </w:pPr>
      <w:r>
        <w:rPr>
          <w:rFonts w:hint="eastAsia"/>
          <w:color w:val="auto"/>
          <w:sz w:val="28"/>
          <w:szCs w:val="36"/>
        </w:rPr>
        <w:t xml:space="preserve">1. 采购人信息 </w:t>
      </w:r>
    </w:p>
    <w:p>
      <w:pPr>
        <w:bidi w:val="0"/>
        <w:spacing w:line="360" w:lineRule="auto"/>
        <w:rPr>
          <w:rFonts w:hint="eastAsia"/>
          <w:color w:val="auto"/>
          <w:sz w:val="28"/>
          <w:szCs w:val="36"/>
        </w:rPr>
      </w:pPr>
      <w:r>
        <w:rPr>
          <w:rFonts w:hint="eastAsia"/>
          <w:color w:val="auto"/>
          <w:sz w:val="28"/>
          <w:szCs w:val="36"/>
        </w:rPr>
        <w:t>名称：</w:t>
      </w:r>
      <w:r>
        <w:rPr>
          <w:rFonts w:hint="eastAsia"/>
          <w:color w:val="auto"/>
          <w:sz w:val="28"/>
          <w:szCs w:val="36"/>
          <w:lang w:eastAsia="zh-CN"/>
        </w:rPr>
        <w:t>唐河县黑龙镇人民政府</w:t>
      </w:r>
      <w:r>
        <w:rPr>
          <w:rFonts w:hint="eastAsia"/>
          <w:color w:val="auto"/>
          <w:sz w:val="28"/>
          <w:szCs w:val="36"/>
        </w:rPr>
        <w:t xml:space="preserve"> </w:t>
      </w:r>
    </w:p>
    <w:p>
      <w:pPr>
        <w:bidi w:val="0"/>
        <w:spacing w:line="360" w:lineRule="auto"/>
        <w:rPr>
          <w:rFonts w:hint="eastAsia"/>
          <w:color w:val="auto"/>
          <w:sz w:val="28"/>
          <w:szCs w:val="36"/>
        </w:rPr>
      </w:pPr>
      <w:r>
        <w:rPr>
          <w:rFonts w:hint="eastAsia"/>
          <w:color w:val="auto"/>
          <w:sz w:val="28"/>
          <w:szCs w:val="36"/>
        </w:rPr>
        <w:t>地址：</w:t>
      </w:r>
      <w:r>
        <w:rPr>
          <w:rFonts w:hint="eastAsia"/>
          <w:color w:val="auto"/>
          <w:sz w:val="28"/>
          <w:szCs w:val="36"/>
          <w:lang w:eastAsia="zh-CN"/>
        </w:rPr>
        <w:t>唐河县黑龙镇</w:t>
      </w:r>
      <w:r>
        <w:rPr>
          <w:rFonts w:hint="eastAsia"/>
          <w:color w:val="auto"/>
          <w:sz w:val="28"/>
          <w:szCs w:val="36"/>
        </w:rPr>
        <w:t xml:space="preserve"> </w:t>
      </w:r>
    </w:p>
    <w:p>
      <w:pPr>
        <w:bidi w:val="0"/>
        <w:spacing w:line="360" w:lineRule="auto"/>
        <w:rPr>
          <w:rFonts w:hint="eastAsia"/>
          <w:color w:val="auto"/>
          <w:sz w:val="28"/>
          <w:szCs w:val="36"/>
        </w:rPr>
      </w:pPr>
      <w:r>
        <w:rPr>
          <w:rFonts w:hint="eastAsia"/>
          <w:color w:val="auto"/>
          <w:sz w:val="28"/>
          <w:szCs w:val="36"/>
        </w:rPr>
        <w:t>联系人：</w:t>
      </w:r>
      <w:r>
        <w:rPr>
          <w:rFonts w:hint="eastAsia"/>
          <w:color w:val="auto"/>
          <w:sz w:val="28"/>
          <w:szCs w:val="36"/>
          <w:lang w:val="en-US" w:eastAsia="zh-CN"/>
        </w:rPr>
        <w:t>张</w:t>
      </w:r>
      <w:r>
        <w:rPr>
          <w:rFonts w:hint="eastAsia"/>
          <w:color w:val="auto"/>
          <w:sz w:val="28"/>
          <w:szCs w:val="36"/>
        </w:rPr>
        <w:t xml:space="preserve">先生 </w:t>
      </w:r>
    </w:p>
    <w:p>
      <w:pPr>
        <w:bidi w:val="0"/>
        <w:spacing w:line="360" w:lineRule="auto"/>
        <w:rPr>
          <w:rFonts w:hint="eastAsia"/>
          <w:color w:val="auto"/>
          <w:sz w:val="28"/>
          <w:szCs w:val="36"/>
        </w:rPr>
      </w:pPr>
      <w:r>
        <w:rPr>
          <w:rFonts w:hint="eastAsia"/>
          <w:color w:val="auto"/>
          <w:sz w:val="28"/>
          <w:szCs w:val="36"/>
        </w:rPr>
        <w:t>联系方式：15838779599</w:t>
      </w:r>
    </w:p>
    <w:p>
      <w:pPr>
        <w:bidi w:val="0"/>
        <w:spacing w:line="360" w:lineRule="auto"/>
        <w:rPr>
          <w:rFonts w:hint="eastAsia"/>
          <w:color w:val="auto"/>
          <w:sz w:val="28"/>
          <w:szCs w:val="36"/>
        </w:rPr>
      </w:pPr>
      <w:r>
        <w:rPr>
          <w:rFonts w:hint="eastAsia"/>
          <w:color w:val="auto"/>
          <w:sz w:val="28"/>
          <w:szCs w:val="36"/>
        </w:rPr>
        <w:t xml:space="preserve">2.采购代理机构信息（如有） </w:t>
      </w:r>
    </w:p>
    <w:p>
      <w:pPr>
        <w:bidi w:val="0"/>
        <w:spacing w:line="360" w:lineRule="auto"/>
        <w:rPr>
          <w:rFonts w:hint="eastAsia"/>
          <w:color w:val="auto"/>
          <w:sz w:val="28"/>
          <w:szCs w:val="36"/>
        </w:rPr>
      </w:pPr>
      <w:r>
        <w:rPr>
          <w:rFonts w:hint="eastAsia"/>
          <w:color w:val="auto"/>
          <w:sz w:val="28"/>
          <w:szCs w:val="36"/>
        </w:rPr>
        <w:t xml:space="preserve">名称：唐河县龙建工程管理有限公司 </w:t>
      </w:r>
    </w:p>
    <w:p>
      <w:pPr>
        <w:bidi w:val="0"/>
        <w:spacing w:line="360" w:lineRule="auto"/>
        <w:rPr>
          <w:rFonts w:hint="eastAsia"/>
          <w:color w:val="auto"/>
          <w:sz w:val="28"/>
          <w:szCs w:val="36"/>
        </w:rPr>
      </w:pPr>
      <w:r>
        <w:rPr>
          <w:rFonts w:hint="eastAsia"/>
          <w:color w:val="auto"/>
          <w:sz w:val="28"/>
          <w:szCs w:val="36"/>
        </w:rPr>
        <w:t xml:space="preserve">地址：唐河县文峰街道飞凤路飞凤游园管理楼二楼 </w:t>
      </w:r>
    </w:p>
    <w:p>
      <w:pPr>
        <w:bidi w:val="0"/>
        <w:spacing w:line="360" w:lineRule="auto"/>
        <w:rPr>
          <w:rFonts w:hint="eastAsia"/>
          <w:color w:val="auto"/>
          <w:sz w:val="28"/>
          <w:szCs w:val="36"/>
        </w:rPr>
      </w:pPr>
      <w:r>
        <w:rPr>
          <w:rFonts w:hint="eastAsia"/>
          <w:color w:val="auto"/>
          <w:sz w:val="28"/>
          <w:szCs w:val="36"/>
        </w:rPr>
        <w:t xml:space="preserve">联系人：白女士 </w:t>
      </w:r>
    </w:p>
    <w:p>
      <w:pPr>
        <w:bidi w:val="0"/>
        <w:spacing w:line="360" w:lineRule="auto"/>
        <w:rPr>
          <w:rFonts w:hint="eastAsia"/>
          <w:color w:val="auto"/>
          <w:sz w:val="28"/>
          <w:szCs w:val="36"/>
        </w:rPr>
      </w:pPr>
      <w:r>
        <w:rPr>
          <w:rFonts w:hint="eastAsia"/>
          <w:color w:val="auto"/>
          <w:sz w:val="28"/>
          <w:szCs w:val="36"/>
        </w:rPr>
        <w:t>联系方式：</w:t>
      </w:r>
      <w:r>
        <w:rPr>
          <w:rFonts w:hint="eastAsia"/>
          <w:color w:val="auto"/>
          <w:sz w:val="28"/>
          <w:szCs w:val="36"/>
          <w:lang w:eastAsia="zh-CN"/>
        </w:rPr>
        <w:t>15203806912</w:t>
      </w:r>
      <w:r>
        <w:rPr>
          <w:rFonts w:hint="eastAsia"/>
          <w:color w:val="auto"/>
          <w:sz w:val="28"/>
          <w:szCs w:val="36"/>
        </w:rPr>
        <w:t xml:space="preserve"> </w:t>
      </w:r>
    </w:p>
    <w:p>
      <w:pPr>
        <w:bidi w:val="0"/>
        <w:spacing w:line="360" w:lineRule="auto"/>
        <w:rPr>
          <w:rFonts w:hint="eastAsia"/>
          <w:color w:val="auto"/>
          <w:sz w:val="28"/>
          <w:szCs w:val="36"/>
        </w:rPr>
      </w:pPr>
      <w:r>
        <w:rPr>
          <w:rFonts w:hint="eastAsia"/>
          <w:color w:val="auto"/>
          <w:sz w:val="28"/>
          <w:szCs w:val="36"/>
        </w:rPr>
        <w:t xml:space="preserve">3.项目联系方式 </w:t>
      </w:r>
    </w:p>
    <w:p>
      <w:pPr>
        <w:bidi w:val="0"/>
        <w:spacing w:line="360" w:lineRule="auto"/>
        <w:rPr>
          <w:rFonts w:hint="eastAsia"/>
          <w:color w:val="auto"/>
          <w:sz w:val="28"/>
          <w:szCs w:val="36"/>
        </w:rPr>
      </w:pPr>
      <w:r>
        <w:rPr>
          <w:rFonts w:hint="eastAsia"/>
          <w:color w:val="auto"/>
          <w:sz w:val="28"/>
          <w:szCs w:val="36"/>
        </w:rPr>
        <w:t xml:space="preserve">项目联系人：白女士 </w:t>
      </w:r>
    </w:p>
    <w:p>
      <w:pPr>
        <w:bidi w:val="0"/>
        <w:spacing w:line="360" w:lineRule="auto"/>
        <w:rPr>
          <w:rFonts w:hint="eastAsia"/>
          <w:color w:val="auto"/>
          <w:sz w:val="28"/>
          <w:szCs w:val="36"/>
        </w:rPr>
      </w:pPr>
      <w:r>
        <w:rPr>
          <w:rFonts w:hint="eastAsia"/>
          <w:color w:val="auto"/>
          <w:sz w:val="28"/>
          <w:szCs w:val="36"/>
        </w:rPr>
        <w:t>联系方式：</w:t>
      </w:r>
      <w:r>
        <w:rPr>
          <w:rFonts w:hint="eastAsia"/>
          <w:color w:val="auto"/>
          <w:sz w:val="28"/>
          <w:szCs w:val="36"/>
          <w:lang w:eastAsia="zh-CN"/>
        </w:rPr>
        <w:t>15203806912</w:t>
      </w:r>
      <w:r>
        <w:rPr>
          <w:rFonts w:hint="eastAsia"/>
          <w:color w:val="auto"/>
          <w:sz w:val="28"/>
          <w:szCs w:val="36"/>
        </w:rPr>
        <w:t xml:space="preserve"> </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
        <w:rPr>
          <w:rFonts w:hint="eastAsia"/>
        </w:rPr>
      </w:pPr>
    </w:p>
    <w:p>
      <w:pPr>
        <w:pStyle w:val="4"/>
        <w:rPr>
          <w:rFonts w:hint="eastAsia"/>
        </w:rPr>
      </w:pPr>
    </w:p>
    <w:p>
      <w:pPr>
        <w:rPr>
          <w:rFonts w:hint="eastAsia"/>
        </w:rPr>
      </w:pPr>
    </w:p>
    <w:p>
      <w:pPr>
        <w:pStyle w:val="4"/>
        <w:rPr>
          <w:rFonts w:hint="eastAsia"/>
        </w:rPr>
      </w:pPr>
    </w:p>
    <w:p>
      <w:pPr>
        <w:rPr>
          <w:rFonts w:hint="eastAsia"/>
        </w:rPr>
      </w:pPr>
    </w:p>
    <w:p>
      <w:pPr>
        <w:pStyle w:val="2"/>
        <w:rPr>
          <w:rFonts w:hint="eastAsia"/>
        </w:rPr>
      </w:pPr>
    </w:p>
    <w:p>
      <w:pPr>
        <w:pStyle w:val="2"/>
        <w:ind w:left="0" w:leftChars="0" w:firstLine="0" w:firstLineChars="0"/>
        <w:rPr>
          <w:rFonts w:hint="eastAsia"/>
        </w:rPr>
      </w:pPr>
    </w:p>
    <w:p>
      <w:pPr>
        <w:rPr>
          <w:rFonts w:hint="eastAsia"/>
          <w:color w:val="auto"/>
        </w:rPr>
      </w:pPr>
    </w:p>
    <w:p>
      <w:pPr>
        <w:pStyle w:val="7"/>
        <w:jc w:val="center"/>
        <w:outlineLvl w:val="0"/>
        <w:rPr>
          <w:rFonts w:hint="eastAsia"/>
          <w:color w:val="auto"/>
        </w:rPr>
      </w:pPr>
      <w:r>
        <w:rPr>
          <w:rFonts w:hint="eastAsia"/>
          <w:color w:val="auto"/>
          <w:lang w:val="en-US" w:eastAsia="zh-CN"/>
        </w:rPr>
        <w:t xml:space="preserve">       </w:t>
      </w:r>
      <w:r>
        <w:rPr>
          <w:rFonts w:hint="eastAsia"/>
          <w:color w:val="auto"/>
        </w:rPr>
        <w:t>第二部分</w:t>
      </w:r>
      <w:r>
        <w:rPr>
          <w:rFonts w:hint="eastAsia"/>
          <w:color w:val="auto"/>
        </w:rPr>
        <w:tab/>
      </w:r>
      <w:r>
        <w:rPr>
          <w:rFonts w:hint="eastAsia"/>
          <w:color w:val="auto"/>
        </w:rPr>
        <w:t>供应商须知</w:t>
      </w:r>
      <w:bookmarkEnd w:id="7"/>
      <w:bookmarkEnd w:id="8"/>
      <w:bookmarkEnd w:id="9"/>
    </w:p>
    <w:p>
      <w:pPr>
        <w:spacing w:line="360" w:lineRule="auto"/>
        <w:jc w:val="center"/>
        <w:rPr>
          <w:rFonts w:hint="eastAsia" w:ascii="仿宋" w:hAnsi="仿宋" w:eastAsia="仿宋" w:cs="仿宋"/>
          <w:b/>
          <w:bCs/>
          <w:color w:val="auto"/>
          <w:sz w:val="28"/>
          <w:szCs w:val="28"/>
        </w:rPr>
      </w:pPr>
      <w:bookmarkStart w:id="10" w:name="供应商须知前附表"/>
      <w:bookmarkEnd w:id="10"/>
      <w:r>
        <w:rPr>
          <w:rFonts w:hint="eastAsia" w:ascii="仿宋" w:hAnsi="仿宋" w:eastAsia="仿宋" w:cs="仿宋"/>
          <w:b/>
          <w:bCs/>
          <w:color w:val="auto"/>
          <w:sz w:val="28"/>
          <w:szCs w:val="28"/>
        </w:rPr>
        <w:t>供应商须知前附表</w:t>
      </w:r>
    </w:p>
    <w:tbl>
      <w:tblPr>
        <w:tblStyle w:val="19"/>
        <w:tblW w:w="9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2"/>
        <w:gridCol w:w="2337"/>
        <w:gridCol w:w="6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22"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序号</w:t>
            </w:r>
          </w:p>
        </w:tc>
        <w:tc>
          <w:tcPr>
            <w:tcW w:w="2337"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条款名称</w:t>
            </w:r>
          </w:p>
        </w:tc>
        <w:tc>
          <w:tcPr>
            <w:tcW w:w="6599"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cs="仿宋"/>
                <w:color w:val="auto"/>
                <w:sz w:val="28"/>
                <w:szCs w:val="28"/>
                <w:lang w:eastAsia="zh-CN"/>
              </w:rPr>
              <w:t>唐河县黑龙镇易地扶贫搬迁后续扶持标准化厂房建设项目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w:t>
            </w:r>
            <w:r>
              <w:rPr>
                <w:rFonts w:hint="eastAsia" w:ascii="仿宋" w:hAnsi="仿宋" w:cs="仿宋"/>
                <w:color w:val="auto"/>
                <w:sz w:val="28"/>
                <w:szCs w:val="28"/>
                <w:lang w:eastAsia="zh-CN"/>
              </w:rPr>
              <w:t>人</w:t>
            </w:r>
            <w:r>
              <w:rPr>
                <w:rFonts w:hint="eastAsia" w:ascii="仿宋" w:hAnsi="仿宋" w:eastAsia="仿宋" w:cs="仿宋"/>
                <w:color w:val="auto"/>
                <w:sz w:val="28"/>
                <w:szCs w:val="28"/>
              </w:rPr>
              <w:t>）</w:t>
            </w:r>
          </w:p>
        </w:tc>
        <w:tc>
          <w:tcPr>
            <w:tcW w:w="6599" w:type="dxa"/>
            <w:vAlign w:val="center"/>
          </w:tcPr>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唐河县黑龙镇人民政府</w:t>
            </w:r>
          </w:p>
          <w:p>
            <w:pPr>
              <w:spacing w:line="360" w:lineRule="auto"/>
              <w:rPr>
                <w:rFonts w:hint="eastAsia" w:ascii="仿宋" w:hAnsi="仿宋" w:cs="仿宋"/>
                <w:color w:val="auto"/>
                <w:sz w:val="28"/>
                <w:szCs w:val="28"/>
                <w:lang w:val="en-US" w:eastAsia="zh-CN"/>
              </w:rPr>
            </w:pPr>
            <w:r>
              <w:rPr>
                <w:rFonts w:hint="eastAsia" w:ascii="仿宋" w:hAnsi="仿宋" w:eastAsia="仿宋" w:cs="仿宋"/>
                <w:color w:val="auto"/>
                <w:sz w:val="28"/>
                <w:szCs w:val="28"/>
              </w:rPr>
              <w:t>地址：</w:t>
            </w:r>
            <w:r>
              <w:rPr>
                <w:rFonts w:hint="eastAsia" w:ascii="仿宋" w:hAnsi="仿宋" w:cs="仿宋"/>
                <w:color w:val="auto"/>
                <w:sz w:val="28"/>
                <w:szCs w:val="28"/>
                <w:lang w:val="en-US" w:eastAsia="zh-CN"/>
              </w:rPr>
              <w:t>唐河县黑龙镇</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联系人：</w:t>
            </w:r>
            <w:r>
              <w:rPr>
                <w:rFonts w:hint="eastAsia"/>
                <w:color w:val="auto"/>
                <w:sz w:val="28"/>
                <w:szCs w:val="36"/>
                <w:lang w:eastAsia="zh-CN"/>
              </w:rPr>
              <w:t>张先生</w:t>
            </w:r>
            <w:r>
              <w:rPr>
                <w:rFonts w:hint="eastAsia" w:ascii="仿宋" w:hAnsi="仿宋" w:cs="仿宋"/>
                <w:color w:val="auto"/>
                <w:sz w:val="28"/>
                <w:szCs w:val="28"/>
                <w:lang w:val="en-US" w:eastAsia="zh-CN"/>
              </w:rPr>
              <w:t xml:space="preserve"> </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eastAsia="zh-CN"/>
              </w:rPr>
              <w:t>15838779599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招标代理机构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唐河县龙建工程管理有限公司</w:t>
            </w:r>
            <w:r>
              <w:rPr>
                <w:rFonts w:hint="eastAsia" w:ascii="仿宋" w:hAnsi="仿宋" w:eastAsia="仿宋" w:cs="仿宋"/>
                <w:color w:val="auto"/>
                <w:sz w:val="28"/>
                <w:szCs w:val="28"/>
              </w:rPr>
              <w:t xml:space="preserve"> </w:t>
            </w:r>
          </w:p>
          <w:p>
            <w:pPr>
              <w:spacing w:line="360" w:lineRule="auto"/>
              <w:jc w:val="both"/>
              <w:rPr>
                <w:rFonts w:hint="eastAsia" w:ascii="仿宋" w:hAnsi="仿宋" w:cs="仿宋"/>
                <w:color w:val="auto"/>
                <w:sz w:val="28"/>
                <w:szCs w:val="28"/>
                <w:lang w:eastAsia="zh-CN"/>
              </w:rPr>
            </w:pPr>
            <w:r>
              <w:rPr>
                <w:rFonts w:hint="eastAsia" w:ascii="仿宋" w:hAnsi="仿宋" w:eastAsia="仿宋" w:cs="仿宋"/>
                <w:color w:val="auto"/>
                <w:sz w:val="28"/>
                <w:szCs w:val="28"/>
              </w:rPr>
              <w:t>地址：</w:t>
            </w:r>
            <w:r>
              <w:rPr>
                <w:rFonts w:hint="eastAsia" w:ascii="仿宋" w:hAnsi="仿宋" w:cs="仿宋"/>
                <w:color w:val="auto"/>
                <w:sz w:val="28"/>
                <w:szCs w:val="28"/>
                <w:lang w:eastAsia="zh-CN"/>
              </w:rPr>
              <w:t>唐河县文峰街道飞凤路飞凤游园管理楼二楼</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val="en-US" w:eastAsia="zh-CN"/>
              </w:rPr>
              <w:t>0377-60888961</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项目联系方式  </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项目联系人：</w:t>
            </w:r>
            <w:r>
              <w:rPr>
                <w:rFonts w:hint="eastAsia" w:ascii="仿宋" w:hAnsi="仿宋" w:cs="仿宋"/>
                <w:color w:val="auto"/>
                <w:sz w:val="28"/>
                <w:szCs w:val="28"/>
                <w:lang w:val="en-US" w:eastAsia="zh-CN"/>
              </w:rPr>
              <w:t>白萨</w:t>
            </w:r>
          </w:p>
          <w:p>
            <w:pPr>
              <w:spacing w:line="360" w:lineRule="auto"/>
              <w:jc w:val="both"/>
              <w:rPr>
                <w:rFonts w:hint="default" w:ascii="仿宋" w:hAnsi="仿宋" w:eastAsia="仿宋" w:cs="仿宋"/>
                <w:color w:val="auto"/>
                <w:sz w:val="28"/>
                <w:szCs w:val="28"/>
                <w:lang w:val="en-US"/>
              </w:rPr>
            </w:pPr>
            <w:r>
              <w:rPr>
                <w:rFonts w:hint="eastAsia" w:ascii="仿宋" w:hAnsi="仿宋" w:eastAsia="仿宋" w:cs="仿宋"/>
                <w:color w:val="auto"/>
                <w:sz w:val="28"/>
                <w:szCs w:val="28"/>
              </w:rPr>
              <w:t>电 话：</w:t>
            </w:r>
            <w:r>
              <w:rPr>
                <w:rFonts w:hint="eastAsia" w:ascii="仿宋" w:hAnsi="仿宋" w:cs="仿宋"/>
                <w:color w:val="auto"/>
                <w:sz w:val="28"/>
                <w:szCs w:val="28"/>
                <w:lang w:val="en-US" w:eastAsia="zh-CN"/>
              </w:rPr>
              <w:t>15203806912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供应商的资格条件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详见磋商公告 二、申请人资格要求</w:t>
            </w:r>
            <w:r>
              <w:rPr>
                <w:b/>
                <w:bCs/>
                <w:color w:val="auto"/>
              </w:rPr>
              <w:t>（以南阳市公共资源交易中心网站企业诚信库</w:t>
            </w:r>
            <w:r>
              <w:rPr>
                <w:b/>
                <w:bCs/>
                <w:color w:val="auto"/>
                <w:lang w:val="zh-CN" w:eastAsia="zh-CN"/>
              </w:rPr>
              <w:t>“基本</w:t>
            </w:r>
            <w:r>
              <w:rPr>
                <w:b/>
                <w:bCs/>
                <w:color w:val="auto"/>
              </w:rPr>
              <w:t>信息”中证件的原件 扫描件为准，本项目实行资格后审，审</w:t>
            </w:r>
            <w:r>
              <w:rPr>
                <w:rFonts w:hint="eastAsia" w:eastAsia="宋体"/>
                <w:b/>
                <w:bCs/>
                <w:color w:val="auto"/>
                <w:highlight w:val="none"/>
                <w:lang w:eastAsia="zh-CN"/>
              </w:rPr>
              <w:t>查</w:t>
            </w:r>
            <w:r>
              <w:rPr>
                <w:b/>
                <w:bCs/>
                <w:color w:val="auto"/>
              </w:rPr>
              <w:t>内容以投标截止时间前填 报上传南阳市公共资源交易中心企业诚信库信息为准，过期更改的诚信库 信息不作为本项目评审依据。开评标现场不接受诚信库信息原件。诚信库 上传信息必须内容齐全，真实有效，原件扫描件清晰可辨。否则，由此造成资格审</w:t>
            </w:r>
            <w:r>
              <w:rPr>
                <w:rFonts w:hint="eastAsia" w:eastAsia="宋体"/>
                <w:b/>
                <w:bCs/>
                <w:color w:val="auto"/>
                <w:highlight w:val="none"/>
                <w:lang w:eastAsia="zh-CN"/>
              </w:rPr>
              <w:t>查</w:t>
            </w:r>
            <w:r>
              <w:rPr>
                <w:b/>
                <w:bCs/>
                <w:color w:val="auto"/>
              </w:rPr>
              <w:t>不合格等情况的，由供应商承担责任。）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采购内容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详见磋商文件中采购内容及要求。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合同履行期限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合同签订后</w:t>
            </w:r>
            <w:r>
              <w:rPr>
                <w:rFonts w:hint="eastAsia" w:ascii="仿宋" w:hAnsi="仿宋" w:cs="仿宋"/>
                <w:color w:val="auto"/>
                <w:sz w:val="28"/>
                <w:szCs w:val="28"/>
                <w:lang w:val="en-US" w:eastAsia="zh-CN"/>
              </w:rPr>
              <w:t>180</w:t>
            </w:r>
            <w:r>
              <w:rPr>
                <w:rFonts w:hint="eastAsia" w:ascii="仿宋" w:hAnsi="仿宋" w:eastAsia="仿宋" w:cs="仿宋"/>
                <w:color w:val="auto"/>
                <w:sz w:val="28"/>
                <w:szCs w:val="28"/>
              </w:rPr>
              <w:t xml:space="preserve">日历天内。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质量要求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合格。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22" w:type="dxa"/>
            <w:vAlign w:val="center"/>
          </w:tcPr>
          <w:p>
            <w:pPr>
              <w:spacing w:line="360" w:lineRule="auto"/>
              <w:jc w:val="center"/>
              <w:rPr>
                <w:rFonts w:hint="eastAsia" w:ascii="仿宋" w:hAnsi="仿宋" w:eastAsia="仿宋" w:cs="仿宋"/>
                <w:color w:val="auto"/>
                <w:sz w:val="28"/>
                <w:szCs w:val="28"/>
                <w:lang w:eastAsia="zh-CN"/>
              </w:rPr>
            </w:pPr>
            <w:r>
              <w:rPr>
                <w:rFonts w:hint="eastAsia" w:ascii="仿宋" w:hAnsi="仿宋" w:cs="仿宋"/>
                <w:color w:val="auto"/>
                <w:sz w:val="28"/>
                <w:szCs w:val="28"/>
                <w:lang w:val="en-US" w:eastAsia="zh-CN"/>
              </w:rPr>
              <w:t>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踏勘现场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不组织。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磋商预备会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不召开。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不允许偏离。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构成磋商文件的其他材料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除磋商文件内容外，采购人在磋商期间发出的有编号的补遗书</w:t>
            </w:r>
            <w:r>
              <w:rPr>
                <w:rFonts w:hint="eastAsia" w:ascii="仿宋" w:hAnsi="仿宋" w:eastAsia="仿宋" w:cs="仿宋"/>
                <w:color w:val="auto"/>
                <w:sz w:val="28"/>
                <w:szCs w:val="28"/>
                <w:highlight w:val="none"/>
              </w:rPr>
              <w:t>和其它</w:t>
            </w:r>
            <w:r>
              <w:rPr>
                <w:rFonts w:hint="eastAsia" w:ascii="仿宋" w:hAnsi="仿宋" w:eastAsia="仿宋" w:cs="仿宋"/>
                <w:color w:val="auto"/>
                <w:sz w:val="28"/>
                <w:szCs w:val="28"/>
              </w:rPr>
              <w:t>有效正式函件，均是磋商文件的组成部分，请各投标单位及时关注以下网站</w:t>
            </w:r>
            <w:r>
              <w:rPr>
                <w:rFonts w:hint="eastAsia" w:ascii="仿宋" w:hAnsi="仿宋" w:cs="仿宋"/>
                <w:color w:val="auto"/>
                <w:sz w:val="28"/>
                <w:szCs w:val="28"/>
                <w:lang w:eastAsia="zh-CN"/>
              </w:rPr>
              <w:t>《中国招标投标公共服务平台》、《南阳市政府采购网》、《河南省政府采购网》和《唐河县公共资源交易中心》</w:t>
            </w:r>
            <w:r>
              <w:rPr>
                <w:rFonts w:hint="eastAsia" w:ascii="仿宋" w:hAnsi="仿宋" w:eastAsia="仿宋" w:cs="仿宋"/>
                <w:color w:val="auto"/>
                <w:sz w:val="28"/>
                <w:szCs w:val="28"/>
              </w:rPr>
              <w:t xml:space="preserve">上发布的有关本项目的信息。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磋商控制价</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小写：</w:t>
            </w:r>
            <w:r>
              <w:rPr>
                <w:rFonts w:hint="eastAsia" w:ascii="仿宋" w:hAnsi="仿宋" w:cs="仿宋"/>
                <w:color w:val="auto"/>
                <w:sz w:val="28"/>
                <w:szCs w:val="28"/>
                <w:lang w:val="en-US" w:eastAsia="zh-CN"/>
              </w:rPr>
              <w:t xml:space="preserve">1494128.71元 </w:t>
            </w:r>
          </w:p>
          <w:p>
            <w:pPr>
              <w:spacing w:line="360" w:lineRule="auto"/>
              <w:jc w:val="both"/>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大写：</w:t>
            </w:r>
            <w:r>
              <w:rPr>
                <w:rFonts w:hint="eastAsia" w:ascii="仿宋" w:hAnsi="仿宋" w:cs="仿宋"/>
                <w:color w:val="auto"/>
                <w:sz w:val="28"/>
                <w:szCs w:val="28"/>
                <w:lang w:val="en-US" w:eastAsia="zh-CN"/>
              </w:rPr>
              <w:t>壹佰肆拾玖万肆仟壹佰贰拾捌元柒角壹分</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注：供应商的磋商报价不得超过磋商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控制价，否则按废标处理。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磋商文件的发售方式及领取时间、地点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文件递交截止时间（同磋商时间）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磋商文件递交地点（同磋商地点）</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磋商保证金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不</w:t>
            </w:r>
            <w:r>
              <w:rPr>
                <w:rFonts w:hint="eastAsia" w:ascii="仿宋" w:hAnsi="仿宋" w:eastAsia="仿宋" w:cs="仿宋"/>
                <w:color w:val="auto"/>
                <w:sz w:val="28"/>
                <w:szCs w:val="28"/>
              </w:rPr>
              <w:t>收投标保证金。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近三年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年1月1日至今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类似业绩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指 20</w:t>
            </w:r>
            <w:r>
              <w:rPr>
                <w:rFonts w:hint="eastAsia" w:ascii="仿宋" w:hAnsi="仿宋" w:cs="仿宋"/>
                <w:color w:val="auto"/>
                <w:sz w:val="28"/>
                <w:szCs w:val="28"/>
                <w:lang w:val="en-US" w:eastAsia="zh-CN"/>
              </w:rPr>
              <w:t>21</w:t>
            </w:r>
            <w:r>
              <w:rPr>
                <w:rFonts w:hint="eastAsia" w:ascii="仿宋" w:hAnsi="仿宋" w:eastAsia="仿宋" w:cs="仿宋"/>
                <w:color w:val="auto"/>
                <w:sz w:val="28"/>
                <w:szCs w:val="28"/>
              </w:rPr>
              <w:t xml:space="preserve">年1月1日至今类似项目业绩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磋商有效期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自磋商截止之日起 60 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是否允许递交备选响应文件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签字和盖章要求</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供应商需按磋商文件的格式，在规定的地方进行法定代表人电子签名、加盖供应商电子公章。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递交 </w:t>
            </w:r>
          </w:p>
        </w:tc>
        <w:tc>
          <w:tcPr>
            <w:tcW w:w="6599" w:type="dxa"/>
            <w:vAlign w:val="center"/>
          </w:tcPr>
          <w:p>
            <w:pPr>
              <w:numPr>
                <w:ilvl w:val="0"/>
                <w:numId w:val="2"/>
              </w:num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供应商应需要使用“新点响应文件制作软件（南阳版）”制作</w:t>
            </w:r>
            <w:r>
              <w:rPr>
                <w:rFonts w:hint="eastAsia" w:ascii="仿宋" w:hAnsi="仿宋" w:cs="仿宋"/>
                <w:color w:val="auto"/>
                <w:sz w:val="28"/>
                <w:szCs w:val="28"/>
                <w:lang w:eastAsia="zh-CN"/>
              </w:rPr>
              <w:t>（</w:t>
            </w:r>
            <w:r>
              <w:rPr>
                <w:rFonts w:hint="eastAsia" w:ascii="仿宋" w:hAnsi="仿宋" w:eastAsia="仿宋" w:cs="仿宋"/>
                <w:color w:val="auto"/>
                <w:sz w:val="28"/>
                <w:szCs w:val="28"/>
              </w:rPr>
              <w:t>加密电子响应文件格式后缀为.nytf)。供应商上传时必须得到系统“上传成功”的确认回复， 并认真检查电子响应文件是否完整、正确。</w:t>
            </w:r>
          </w:p>
          <w:p>
            <w:pPr>
              <w:numPr>
                <w:ilvl w:val="0"/>
                <w:numId w:val="0"/>
              </w:numPr>
              <w:spacing w:line="360" w:lineRule="auto"/>
              <w:ind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递交网址：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"http://www.thggzy.cn/"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http://www.th</w:t>
            </w:r>
            <w:r>
              <w:rPr>
                <w:rFonts w:hint="eastAsia" w:ascii="仿宋" w:hAnsi="仿宋" w:eastAsia="仿宋" w:cs="仿宋"/>
                <w:color w:val="auto"/>
                <w:sz w:val="28"/>
                <w:szCs w:val="28"/>
                <w:highlight w:val="none"/>
              </w:rPr>
              <w:t>gg</w:t>
            </w:r>
            <w:r>
              <w:rPr>
                <w:rFonts w:hint="eastAsia" w:ascii="仿宋" w:hAnsi="仿宋" w:eastAsia="仿宋" w:cs="仿宋"/>
                <w:color w:val="auto"/>
                <w:sz w:val="28"/>
                <w:szCs w:val="28"/>
              </w:rPr>
              <w:t>zy.cn/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 </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2、供应商的电子响应文件应在磋商文件规定的磋商截止时间前到达交易系统。逾期到达交易系统的电子响应文件视为放弃本次磋商。 </w:t>
            </w: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3、供应商所递交的电子响应文件在磋商截止时间之后不予退回。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23</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是否采用电子招投标</w:t>
            </w:r>
          </w:p>
        </w:tc>
        <w:tc>
          <w:tcPr>
            <w:tcW w:w="6599" w:type="dxa"/>
            <w:vAlign w:val="center"/>
          </w:tcPr>
          <w:p>
            <w:pPr>
              <w:numPr>
                <w:ilvl w:val="0"/>
                <w:numId w:val="0"/>
              </w:numPr>
              <w:spacing w:line="360" w:lineRule="auto"/>
              <w:ind w:left="0" w:leftChars="0" w:right="0" w:rightChars="0" w:firstLine="0" w:firstLineChars="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是，本项目实行电子招投标，供应商需编制电子响应文件，并按电子响应文件递交要求上传电子响应文件。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1"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24</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磋商小组的组建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磋商小组构成：由专家</w:t>
            </w:r>
            <w:r>
              <w:rPr>
                <w:rFonts w:hint="eastAsia" w:ascii="仿宋" w:hAnsi="仿宋" w:cs="仿宋"/>
                <w:color w:val="auto"/>
                <w:sz w:val="28"/>
                <w:szCs w:val="28"/>
                <w:lang w:val="en-US" w:eastAsia="zh-CN"/>
              </w:rPr>
              <w:t>3</w:t>
            </w:r>
            <w:r>
              <w:rPr>
                <w:rFonts w:hint="eastAsia" w:ascii="仿宋" w:hAnsi="仿宋" w:eastAsia="仿宋" w:cs="仿宋"/>
                <w:color w:val="auto"/>
                <w:sz w:val="28"/>
                <w:szCs w:val="28"/>
              </w:rPr>
              <w:t>人组成；采购人</w:t>
            </w:r>
            <w:r>
              <w:rPr>
                <w:rFonts w:hint="eastAsia" w:ascii="仿宋" w:hAnsi="仿宋" w:cs="仿宋"/>
                <w:color w:val="auto"/>
                <w:sz w:val="28"/>
                <w:szCs w:val="28"/>
                <w:lang w:val="en-US" w:eastAsia="zh-CN"/>
              </w:rPr>
              <w:t>1</w:t>
            </w:r>
            <w:r>
              <w:rPr>
                <w:rFonts w:hint="eastAsia" w:ascii="仿宋" w:hAnsi="仿宋" w:eastAsia="仿宋" w:cs="仿宋"/>
                <w:color w:val="auto"/>
                <w:sz w:val="28"/>
                <w:szCs w:val="28"/>
              </w:rPr>
              <w:t>人，专家</w:t>
            </w:r>
            <w:r>
              <w:rPr>
                <w:rFonts w:hint="eastAsia" w:ascii="仿宋" w:hAnsi="仿宋" w:cs="仿宋"/>
                <w:color w:val="auto"/>
                <w:sz w:val="28"/>
                <w:szCs w:val="28"/>
                <w:lang w:val="en-US" w:eastAsia="zh-CN"/>
              </w:rPr>
              <w:t>2</w:t>
            </w:r>
            <w:r>
              <w:rPr>
                <w:rFonts w:hint="eastAsia" w:ascii="仿宋" w:hAnsi="仿宋" w:eastAsia="仿宋" w:cs="仿宋"/>
                <w:color w:val="auto"/>
                <w:sz w:val="28"/>
                <w:szCs w:val="28"/>
              </w:rPr>
              <w:t>名；评审专家确定方式：开标前由采购人在监督单位监督下，按相关规定从政府采购专家库中随机抽取评标专家。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25</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评审方法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详见磋商文件的评审办法。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26</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成交公示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代理机构接到采购人通知后，将在成交公示信息在同一媒体上发布成交结果公示</w:t>
            </w: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公示期1日</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27</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免</w:t>
            </w:r>
            <w:r>
              <w:rPr>
                <w:rFonts w:hint="eastAsia" w:ascii="仿宋" w:hAnsi="仿宋" w:eastAsia="仿宋" w:cs="仿宋"/>
                <w:color w:val="auto"/>
                <w:sz w:val="28"/>
                <w:szCs w:val="28"/>
              </w:rPr>
              <w:t>收履约保证金。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28</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付款方式及要求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设备人员入场开工后</w:t>
            </w:r>
            <w:r>
              <w:rPr>
                <w:rFonts w:hint="eastAsia" w:ascii="仿宋" w:hAnsi="仿宋" w:eastAsia="仿宋" w:cs="仿宋"/>
                <w:color w:val="auto"/>
                <w:sz w:val="28"/>
                <w:szCs w:val="28"/>
                <w:lang w:val="en-US" w:eastAsia="zh-CN"/>
              </w:rPr>
              <w:t>预付</w:t>
            </w:r>
            <w:r>
              <w:rPr>
                <w:rFonts w:hint="eastAsia" w:ascii="仿宋" w:hAnsi="仿宋" w:eastAsia="仿宋" w:cs="仿宋"/>
                <w:color w:val="auto"/>
                <w:sz w:val="28"/>
                <w:szCs w:val="28"/>
              </w:rPr>
              <w:t>合同总价的 30 %，完成工程量清单 80 %工作量支付至合同总价的 70 %，竣工验收合格后支付至结算总价的</w:t>
            </w:r>
            <w:r>
              <w:rPr>
                <w:rFonts w:hint="eastAsia" w:ascii="仿宋" w:hAnsi="仿宋" w:cs="仿宋"/>
                <w:color w:val="auto"/>
                <w:sz w:val="28"/>
                <w:szCs w:val="28"/>
                <w:lang w:val="en-US" w:eastAsia="zh-CN"/>
              </w:rPr>
              <w:t>100</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29</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开标程序 </w:t>
            </w:r>
          </w:p>
        </w:tc>
        <w:tc>
          <w:tcPr>
            <w:tcW w:w="6599" w:type="dxa"/>
            <w:vAlign w:val="center"/>
          </w:tcPr>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1、供应商代表持本单位CA数字证书需提前登录不见面开标系统。</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2、投标时间截止，在线公布供应商、采购人代表、监标人等有关名单。主持人（代理公司）根据响应文件递交实际情况来确定有效供应商，并退回不符合要求的响应文件。</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②采购人解密。采购人或其委托的代理机构持有本单位CA数字证书进行二次解密。</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cs="仿宋"/>
                <w:color w:val="auto"/>
                <w:sz w:val="28"/>
                <w:szCs w:val="28"/>
                <w:lang w:val="en-US" w:eastAsia="zh-CN"/>
              </w:rPr>
              <w:t>④采购人、监督人等相关人员在开标记录表上（可进入原评标系统直接打印）签字确认</w:t>
            </w:r>
            <w:r>
              <w:rPr>
                <w:rFonts w:hint="eastAsia" w:ascii="仿宋" w:hAnsi="仿宋" w:cs="仿宋"/>
                <w:color w:val="auto"/>
                <w:sz w:val="28"/>
                <w:szCs w:val="28"/>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30</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供应商代表出席开标会要求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代表持本单位CA数字证书需提前登录不见面</w:t>
            </w:r>
            <w:r>
              <w:rPr>
                <w:rFonts w:hint="eastAsia" w:ascii="仿宋" w:hAnsi="仿宋" w:eastAsia="仿宋" w:cs="仿宋"/>
                <w:color w:val="auto"/>
                <w:sz w:val="28"/>
                <w:szCs w:val="28"/>
                <w:lang w:val="en-US" w:eastAsia="zh-CN"/>
              </w:rPr>
              <w:t>开标系统</w:t>
            </w:r>
            <w:r>
              <w:rPr>
                <w:rFonts w:hint="eastAsia" w:ascii="仿宋" w:hAnsi="仿宋" w:eastAsia="仿宋" w:cs="仿宋"/>
                <w:color w:val="auto"/>
                <w:sz w:val="28"/>
                <w:szCs w:val="28"/>
                <w:lang w:val="en-US"/>
              </w:rPr>
              <w:t>。投标时间截止，在线公布</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w:t>
            </w:r>
            <w:r>
              <w:rPr>
                <w:rFonts w:hint="eastAsia" w:ascii="仿宋" w:hAnsi="仿宋" w:eastAsia="仿宋" w:cs="仿宋"/>
                <w:color w:val="auto"/>
                <w:sz w:val="28"/>
                <w:szCs w:val="28"/>
                <w:lang w:val="en-US" w:eastAsia="zh-CN"/>
              </w:rPr>
              <w:t>采购人</w:t>
            </w:r>
            <w:r>
              <w:rPr>
                <w:rFonts w:hint="eastAsia" w:ascii="仿宋" w:hAnsi="仿宋" w:eastAsia="仿宋" w:cs="仿宋"/>
                <w:color w:val="auto"/>
                <w:sz w:val="28"/>
                <w:szCs w:val="28"/>
                <w:lang w:val="en-US"/>
              </w:rPr>
              <w:t>代表、监标人等有关名单。主持人（代理公司）根据</w:t>
            </w:r>
            <w:r>
              <w:rPr>
                <w:rFonts w:hint="eastAsia" w:ascii="仿宋" w:hAnsi="仿宋" w:eastAsia="仿宋" w:cs="仿宋"/>
                <w:color w:val="auto"/>
                <w:sz w:val="28"/>
                <w:szCs w:val="28"/>
                <w:lang w:val="en-US" w:eastAsia="zh-CN"/>
              </w:rPr>
              <w:t>响应文件递交实际情况</w:t>
            </w:r>
            <w:r>
              <w:rPr>
                <w:rFonts w:hint="eastAsia" w:ascii="仿宋" w:hAnsi="仿宋" w:eastAsia="仿宋" w:cs="仿宋"/>
                <w:color w:val="auto"/>
                <w:sz w:val="28"/>
                <w:szCs w:val="28"/>
                <w:lang w:val="en-US"/>
              </w:rPr>
              <w:t>来确定有效</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，并退回不符合要求的</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lang w:val="en-US"/>
              </w:rPr>
              <w:t>。</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31</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监督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本项目的招标投标活动及其相关当事人应当接受有管辖权的招标投标行政监督部门依法实施的监督。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解释权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构成本磋商文件的各个组成文件应互为解释，互为说明；如有不明确或不一致，构成合同文件组成内容的，以合同文件约定内容为准， 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负责解释。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33</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供应商提出问题的截止时间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供应商认为采购文件、采购过程和中标、成交结果使自己的权益受到损害的，可以在知道或者应知其权益受到损害之日起七个工作日内，以书面形式向采购人提出质疑。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34</w:t>
            </w:r>
          </w:p>
        </w:tc>
        <w:tc>
          <w:tcPr>
            <w:tcW w:w="2337" w:type="dxa"/>
            <w:vAlign w:val="center"/>
          </w:tcPr>
          <w:p>
            <w:pPr>
              <w:spacing w:line="360" w:lineRule="auto"/>
              <w:jc w:val="both"/>
              <w:rPr>
                <w:rFonts w:hint="eastAsia" w:ascii="仿宋" w:hAnsi="仿宋" w:eastAsia="仿宋" w:cs="仿宋"/>
                <w:color w:val="auto"/>
                <w:sz w:val="28"/>
                <w:szCs w:val="28"/>
              </w:rPr>
            </w:pP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其他说明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投标人</w:t>
            </w:r>
            <w:r>
              <w:rPr>
                <w:rFonts w:hint="eastAsia" w:ascii="仿宋" w:hAnsi="仿宋" w:eastAsia="仿宋" w:cs="仿宋"/>
                <w:color w:val="auto"/>
                <w:sz w:val="28"/>
                <w:szCs w:val="28"/>
              </w:rPr>
              <w:t xml:space="preserve">”按照同一意思理解。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22" w:type="dxa"/>
            <w:vAlign w:val="center"/>
          </w:tcPr>
          <w:p>
            <w:pPr>
              <w:spacing w:line="360" w:lineRule="auto"/>
              <w:ind w:left="0" w:leftChars="0" w:right="0" w:rightChars="0"/>
              <w:jc w:val="center"/>
              <w:rPr>
                <w:rFonts w:hint="default" w:ascii="仿宋" w:hAnsi="仿宋" w:cs="仿宋"/>
                <w:color w:val="auto"/>
                <w:sz w:val="28"/>
                <w:szCs w:val="28"/>
                <w:lang w:val="en-US" w:eastAsia="zh-CN"/>
              </w:rPr>
            </w:pPr>
            <w:bookmarkStart w:id="11" w:name="_Toc4198"/>
            <w:bookmarkStart w:id="12" w:name="_Toc14930"/>
            <w:r>
              <w:rPr>
                <w:rFonts w:hint="eastAsia" w:ascii="仿宋" w:hAnsi="仿宋" w:cs="仿宋"/>
                <w:color w:val="auto"/>
                <w:sz w:val="28"/>
                <w:szCs w:val="28"/>
                <w:lang w:val="en-US" w:eastAsia="zh-CN"/>
              </w:rPr>
              <w:t>35</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招标代理费</w:t>
            </w:r>
          </w:p>
        </w:tc>
        <w:tc>
          <w:tcPr>
            <w:tcW w:w="6599"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与采购人商定，参照豫招协【2023】002号文规定之招标代理服务收费计算标准，中标、成交供应商在领取中标通知书时一次性向釆购代理机构缴纳。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9758" w:type="dxa"/>
            <w:gridSpan w:val="3"/>
            <w:vAlign w:val="center"/>
          </w:tcPr>
          <w:p>
            <w:pPr>
              <w:spacing w:line="360" w:lineRule="auto"/>
              <w:rPr>
                <w:rFonts w:ascii="仿宋" w:hAnsi="仿宋" w:cs="仿宋"/>
                <w:b/>
                <w:bCs/>
                <w:color w:val="auto"/>
                <w:sz w:val="22"/>
                <w:highlight w:val="none"/>
              </w:rPr>
            </w:pPr>
            <w:r>
              <w:rPr>
                <w:rFonts w:hint="eastAsia"/>
                <w:color w:val="auto"/>
                <w:highlight w:val="none"/>
              </w:rPr>
              <w:t xml:space="preserve"> </w:t>
            </w:r>
            <w:r>
              <w:rPr>
                <w:rFonts w:hint="eastAsia" w:ascii="仿宋" w:hAnsi="仿宋" w:cs="仿宋"/>
                <w:b/>
                <w:bCs/>
                <w:color w:val="auto"/>
                <w:sz w:val="22"/>
                <w:highlight w:val="none"/>
                <w:lang w:val="en-US"/>
              </w:rPr>
              <w:t>1.</w:t>
            </w:r>
            <w:r>
              <w:rPr>
                <w:rFonts w:hint="eastAsia" w:ascii="仿宋" w:hAnsi="仿宋" w:cs="仿宋"/>
                <w:b/>
                <w:bCs/>
                <w:color w:val="auto"/>
                <w:sz w:val="22"/>
                <w:highlight w:val="none"/>
              </w:rPr>
              <w:t>接受和拒绝任何或所有投标的权力：釆购人通过法定或规定的程序，有权在授标之前任何时候接受或拒绝任何投标，以及宣布招标无效，对受影响的供应商不承担任何责任，也无义务向受影响的供应商解释</w:t>
            </w:r>
            <w:r>
              <w:rPr>
                <w:rFonts w:hint="eastAsia" w:ascii="仿宋" w:hAnsi="仿宋" w:cs="仿宋"/>
                <w:b/>
                <w:bCs/>
                <w:color w:val="auto"/>
                <w:sz w:val="22"/>
                <w:highlight w:val="none"/>
                <w:lang w:eastAsia="zh-CN"/>
              </w:rPr>
              <w:t>采取</w:t>
            </w:r>
            <w:r>
              <w:rPr>
                <w:rFonts w:hint="eastAsia" w:ascii="仿宋" w:hAnsi="仿宋" w:cs="仿宋"/>
                <w:b/>
                <w:bCs/>
                <w:color w:val="auto"/>
                <w:sz w:val="22"/>
                <w:highlight w:val="none"/>
              </w:rPr>
              <w:t>这一行动的理由；</w:t>
            </w:r>
          </w:p>
          <w:p>
            <w:pPr>
              <w:spacing w:line="360" w:lineRule="auto"/>
              <w:rPr>
                <w:rFonts w:ascii="仿宋" w:hAnsi="仿宋" w:cs="仿宋"/>
                <w:b/>
                <w:bCs/>
                <w:color w:val="auto"/>
                <w:sz w:val="22"/>
                <w:highlight w:val="none"/>
              </w:rPr>
            </w:pPr>
            <w:r>
              <w:rPr>
                <w:rFonts w:hint="eastAsia" w:ascii="仿宋" w:hAnsi="仿宋" w:cs="仿宋"/>
                <w:b/>
                <w:bCs/>
                <w:color w:val="auto"/>
                <w:sz w:val="22"/>
                <w:highlight w:val="none"/>
                <w:lang w:val="en-US"/>
              </w:rPr>
              <w:t>2.</w:t>
            </w:r>
            <w:r>
              <w:rPr>
                <w:rFonts w:hint="eastAsia" w:ascii="仿宋" w:hAnsi="仿宋" w:cs="仿宋"/>
                <w:b/>
                <w:bCs/>
                <w:color w:val="auto"/>
                <w:sz w:val="22"/>
                <w:highlight w:val="none"/>
              </w:rPr>
              <w:t>采购人声明：供应商因参与投标活动而涉及的人身伤害、财产损害、侵犯他人权益、 仲裁或诉讼等，应当责任自负、费用自担，并应保证釆购人和招标代理机构免于承担上述责任或者其他不良影响；釆购人声明</w:t>
            </w:r>
            <w:r>
              <w:rPr>
                <w:rFonts w:hint="eastAsia" w:ascii="仿宋" w:hAnsi="仿宋" w:cs="仿宋"/>
                <w:b/>
                <w:bCs/>
                <w:color w:val="auto"/>
                <w:sz w:val="22"/>
                <w:highlight w:val="none"/>
                <w:lang w:val="en-US"/>
              </w:rPr>
              <w:t>磋商</w:t>
            </w:r>
            <w:r>
              <w:rPr>
                <w:rFonts w:hint="eastAsia" w:ascii="仿宋" w:hAnsi="仿宋" w:cs="仿宋"/>
                <w:b/>
                <w:bCs/>
                <w:color w:val="auto"/>
                <w:sz w:val="22"/>
                <w:highlight w:val="none"/>
              </w:rPr>
              <w:t xml:space="preserve">文件中附带的参考资料是以诚信的态度提供的，是釆购人现有的和客观的信息。采购人不对供应商由此做出的任何理解、推论、判 断、结论和决策进行负责； </w:t>
            </w:r>
          </w:p>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cs="仿宋"/>
                <w:b/>
                <w:bCs/>
                <w:color w:val="auto"/>
                <w:sz w:val="22"/>
                <w:highlight w:val="none"/>
              </w:rPr>
              <w:t>备注：投标须知前附表是投标须知的说明和补充，如投标须知前附表和投标须知前后内容有不一致之处，以前附表内容为准。以上内容为必须满足的条件。如不满足，将导致无效投标。</w:t>
            </w:r>
          </w:p>
        </w:tc>
      </w:tr>
    </w:tbl>
    <w:p>
      <w:pPr>
        <w:ind w:firstLine="480"/>
        <w:rPr>
          <w:rFonts w:hint="eastAsia" w:ascii="宋体" w:hAnsi="宋体" w:eastAsia="宋体" w:cs="宋体"/>
          <w:color w:val="auto"/>
          <w:sz w:val="24"/>
          <w:szCs w:val="24"/>
        </w:rPr>
      </w:pPr>
      <w:r>
        <w:rPr>
          <w:rFonts w:hint="eastAsia"/>
          <w:color w:val="auto"/>
        </w:rPr>
        <w:br w:type="page"/>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lang w:val="en-US" w:eastAsia="zh-CN"/>
        </w:rPr>
      </w:pPr>
    </w:p>
    <w:p>
      <w:pPr>
        <w:numPr>
          <w:ilvl w:val="0"/>
          <w:numId w:val="0"/>
        </w:numPr>
        <w:jc w:val="center"/>
        <w:rPr>
          <w:rFonts w:hint="eastAsia" w:ascii="黑体" w:hAnsi="黑体" w:eastAsia="黑体" w:cs="黑体"/>
          <w:color w:val="auto"/>
          <w:sz w:val="36"/>
          <w:szCs w:val="36"/>
          <w:lang w:val="en-US" w:eastAsia="zh-CN" w:bidi="zh-CN"/>
        </w:rPr>
      </w:pPr>
      <w:r>
        <w:rPr>
          <w:rFonts w:hint="eastAsia" w:ascii="黑体" w:hAnsi="黑体" w:eastAsia="黑体" w:cs="黑体"/>
          <w:color w:val="auto"/>
          <w:sz w:val="36"/>
          <w:szCs w:val="36"/>
          <w:lang w:val="en-US" w:eastAsia="zh-CN" w:bidi="zh-CN"/>
        </w:rPr>
        <w:t>唐河县黑龙镇易地扶贫搬迁后续扶持标准化厂房建设项目</w:t>
      </w:r>
    </w:p>
    <w:p>
      <w:pPr>
        <w:numPr>
          <w:ilvl w:val="0"/>
          <w:numId w:val="0"/>
        </w:numPr>
        <w:jc w:val="center"/>
        <w:rPr>
          <w:rFonts w:hint="eastAsia" w:ascii="黑体" w:hAnsi="黑体" w:eastAsia="黑体" w:cs="黑体"/>
          <w:color w:val="auto"/>
          <w:sz w:val="36"/>
          <w:szCs w:val="36"/>
          <w:lang w:val="en-US" w:eastAsia="zh-CN" w:bidi="zh-CN"/>
        </w:rPr>
      </w:pPr>
      <w:r>
        <w:rPr>
          <w:rFonts w:hint="eastAsia" w:ascii="黑体" w:hAnsi="黑体" w:eastAsia="黑体" w:cs="黑体"/>
          <w:color w:val="auto"/>
          <w:sz w:val="36"/>
          <w:szCs w:val="36"/>
          <w:lang w:val="en-US" w:eastAsia="zh-CN" w:bidi="zh-CN"/>
        </w:rPr>
        <w:t>情况说明及采购人商务要求</w:t>
      </w:r>
    </w:p>
    <w:p>
      <w:pPr>
        <w:keepNext w:val="0"/>
        <w:keepLines w:val="0"/>
        <w:widowControl/>
        <w:suppressLineNumbers w:val="0"/>
        <w:ind w:firstLine="640" w:firstLineChars="200"/>
        <w:jc w:val="left"/>
        <w:rPr>
          <w:rFonts w:hint="eastAsia" w:ascii="宋体" w:hAnsi="宋体" w:eastAsia="宋体" w:cs="宋体"/>
          <w:color w:val="FF0000"/>
          <w:kern w:val="0"/>
          <w:sz w:val="32"/>
          <w:szCs w:val="32"/>
          <w:lang w:val="en-US" w:eastAsia="zh-CN" w:bidi="ar"/>
        </w:rPr>
      </w:pPr>
      <w:r>
        <w:rPr>
          <w:rFonts w:hint="eastAsia" w:ascii="宋体" w:hAnsi="宋体" w:eastAsia="宋体" w:cs="宋体"/>
          <w:color w:val="000000"/>
          <w:kern w:val="0"/>
          <w:sz w:val="32"/>
          <w:szCs w:val="32"/>
          <w:lang w:val="en-US" w:eastAsia="zh-CN" w:bidi="ar"/>
        </w:rPr>
        <w:t>我单位就</w:t>
      </w:r>
      <w:r>
        <w:rPr>
          <w:rFonts w:hint="eastAsia" w:ascii="宋体" w:hAnsi="宋体" w:cs="宋体"/>
          <w:color w:val="000000"/>
          <w:kern w:val="0"/>
          <w:sz w:val="32"/>
          <w:szCs w:val="32"/>
          <w:u w:val="single"/>
          <w:lang w:val="en-US" w:eastAsia="zh-CN" w:bidi="ar"/>
        </w:rPr>
        <w:t>唐河县黑龙镇易地扶贫搬迁后续扶持标准化厂房建设项目</w:t>
      </w:r>
      <w:r>
        <w:rPr>
          <w:rFonts w:hint="eastAsia" w:ascii="宋体" w:hAnsi="宋体" w:eastAsia="宋体" w:cs="宋体"/>
          <w:color w:val="000000"/>
          <w:kern w:val="0"/>
          <w:sz w:val="32"/>
          <w:szCs w:val="32"/>
          <w:lang w:val="en-US" w:eastAsia="zh-CN" w:bidi="ar"/>
        </w:rPr>
        <w:t>进行</w:t>
      </w:r>
      <w:r>
        <w:rPr>
          <w:rFonts w:hint="eastAsia" w:ascii="宋体" w:hAnsi="宋体" w:eastAsia="宋体" w:cs="宋体"/>
          <w:color w:val="000000"/>
          <w:kern w:val="0"/>
          <w:sz w:val="32"/>
          <w:szCs w:val="32"/>
          <w:u w:val="single"/>
          <w:lang w:val="en-US" w:eastAsia="zh-CN" w:bidi="ar"/>
        </w:rPr>
        <w:t>竞争性磋商采购</w:t>
      </w:r>
      <w:r>
        <w:rPr>
          <w:rFonts w:hint="eastAsia" w:ascii="宋体" w:hAnsi="宋体" w:eastAsia="宋体" w:cs="宋体"/>
          <w:color w:val="000000"/>
          <w:kern w:val="0"/>
          <w:sz w:val="32"/>
          <w:szCs w:val="32"/>
          <w:lang w:val="en-US" w:eastAsia="zh-CN" w:bidi="ar"/>
        </w:rPr>
        <w:t>，该项目共分为一个标段，总预算金额：</w:t>
      </w:r>
      <w:r>
        <w:rPr>
          <w:rFonts w:hint="eastAsia" w:ascii="宋体" w:hAnsi="宋体" w:cs="宋体"/>
          <w:color w:val="000000"/>
          <w:kern w:val="0"/>
          <w:sz w:val="32"/>
          <w:szCs w:val="32"/>
          <w:lang w:val="en-US" w:eastAsia="zh-CN" w:bidi="ar"/>
        </w:rPr>
        <w:t>1494128.71</w:t>
      </w:r>
      <w:r>
        <w:rPr>
          <w:rFonts w:hint="eastAsia" w:ascii="宋体" w:hAnsi="宋体" w:eastAsia="宋体" w:cs="宋体"/>
          <w:color w:val="000000"/>
          <w:kern w:val="0"/>
          <w:sz w:val="32"/>
          <w:szCs w:val="32"/>
          <w:lang w:val="en-US" w:eastAsia="zh-CN" w:bidi="ar"/>
        </w:rPr>
        <w:t>元。</w:t>
      </w:r>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具体采购参数及需求如下：</w:t>
      </w:r>
      <w:r>
        <w:rPr>
          <w:rFonts w:hint="eastAsia" w:ascii="宋体" w:hAnsi="宋体" w:cs="宋体"/>
          <w:color w:val="000000"/>
          <w:kern w:val="0"/>
          <w:sz w:val="32"/>
          <w:szCs w:val="32"/>
          <w:lang w:val="en-US" w:eastAsia="zh-CN" w:bidi="ar"/>
        </w:rPr>
        <w:t>唐河县黑龙镇易地扶贫搬迁后续扶持标准化厂房建设项目</w:t>
      </w:r>
      <w:r>
        <w:rPr>
          <w:rFonts w:hint="eastAsia" w:ascii="宋体" w:hAnsi="宋体" w:eastAsia="宋体" w:cs="宋体"/>
          <w:color w:val="000000"/>
          <w:kern w:val="0"/>
          <w:sz w:val="32"/>
          <w:szCs w:val="32"/>
          <w:lang w:val="en-US" w:eastAsia="zh-CN" w:bidi="ar"/>
        </w:rPr>
        <w:t>。详见本项目采购文件、工程量清单及施工图纸范围内的所有工程施工（以清单为准）。</w:t>
      </w:r>
    </w:p>
    <w:p>
      <w:pPr>
        <w:keepNext w:val="0"/>
        <w:keepLines w:val="0"/>
        <w:pageBreakBefore w:val="0"/>
        <w:widowControl w:val="0"/>
        <w:kinsoku/>
        <w:wordWrap/>
        <w:overflowPunct/>
        <w:topLinePunct w:val="0"/>
        <w:autoSpaceDE/>
        <w:autoSpaceDN/>
        <w:bidi w:val="0"/>
        <w:adjustRightInd/>
        <w:snapToGrid/>
        <w:spacing w:line="36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1、供应商具有独立法人资格，具有有效的营业执照、税务登记证、组织机构代码证（或三证合一）；</w:t>
      </w:r>
    </w:p>
    <w:p>
      <w:pPr>
        <w:keepNext w:val="0"/>
        <w:keepLines w:val="0"/>
        <w:pageBreakBefore w:val="0"/>
        <w:widowControl w:val="0"/>
        <w:kinsoku/>
        <w:wordWrap/>
        <w:overflowPunct/>
        <w:topLinePunct w:val="0"/>
        <w:autoSpaceDE/>
        <w:autoSpaceDN/>
        <w:bidi w:val="0"/>
        <w:adjustRightInd/>
        <w:snapToGrid/>
        <w:spacing w:line="36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2、</w:t>
      </w:r>
      <w:r>
        <w:rPr>
          <w:rFonts w:hint="eastAsia" w:ascii="宋体" w:hAnsi="宋体" w:eastAsia="宋体" w:cs="宋体"/>
          <w:color w:val="auto"/>
          <w:kern w:val="0"/>
          <w:sz w:val="32"/>
          <w:szCs w:val="32"/>
          <w:lang w:val="en-US" w:eastAsia="zh-CN" w:bidi="ar"/>
        </w:rPr>
        <w:t>供应商须具有建筑工程施工总承包叁级及以上资质等级，且具有有效的安全生产许可证，并在人员、设备、资金等方面具有相应的施工能力；</w:t>
      </w:r>
    </w:p>
    <w:p>
      <w:pPr>
        <w:keepNext w:val="0"/>
        <w:keepLines w:val="0"/>
        <w:pageBreakBefore w:val="0"/>
        <w:widowControl w:val="0"/>
        <w:kinsoku/>
        <w:wordWrap/>
        <w:overflowPunct/>
        <w:topLinePunct w:val="0"/>
        <w:autoSpaceDE/>
        <w:autoSpaceDN/>
        <w:bidi w:val="0"/>
        <w:adjustRightInd/>
        <w:snapToGrid/>
        <w:spacing w:line="36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3、拟派项目经理须具备相关专业贰级及以上注册建造师资格证书及有效的安全生产考核合格证，且未担任其他在建工程的项目经理并作出承诺；技术负责人具有相关专业中级及以上工程技术职称；</w:t>
      </w:r>
    </w:p>
    <w:p>
      <w:pPr>
        <w:keepNext w:val="0"/>
        <w:keepLines w:val="0"/>
        <w:pageBreakBefore w:val="0"/>
        <w:widowControl w:val="0"/>
        <w:kinsoku/>
        <w:wordWrap/>
        <w:overflowPunct/>
        <w:topLinePunct w:val="0"/>
        <w:autoSpaceDE/>
        <w:autoSpaceDN/>
        <w:bidi w:val="0"/>
        <w:adjustRightInd/>
        <w:snapToGrid/>
        <w:spacing w:line="36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4、参加本次政府采购活动前三年内，在经营活动中没有重大违法犯罪记录；</w:t>
      </w:r>
    </w:p>
    <w:p>
      <w:pPr>
        <w:keepNext w:val="0"/>
        <w:keepLines w:val="0"/>
        <w:pageBreakBefore w:val="0"/>
        <w:widowControl w:val="0"/>
        <w:kinsoku/>
        <w:wordWrap/>
        <w:overflowPunct/>
        <w:topLinePunct w:val="0"/>
        <w:autoSpaceDE/>
        <w:autoSpaceDN/>
        <w:bidi w:val="0"/>
        <w:adjustRightInd/>
        <w:snapToGrid/>
        <w:spacing w:line="36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5、财务状况良好，没有处于被责令停业、破产状态，各投标人须提供具有近三年（2020年度、2021年度、2022年度）经审计的财务报告，信誉良好（成立不足三年的企业，从成立之日算起）。</w:t>
      </w:r>
    </w:p>
    <w:p>
      <w:pPr>
        <w:keepNext w:val="0"/>
        <w:keepLines w:val="0"/>
        <w:pageBreakBefore w:val="0"/>
        <w:widowControl w:val="0"/>
        <w:kinsoku/>
        <w:wordWrap/>
        <w:overflowPunct/>
        <w:topLinePunct w:val="0"/>
        <w:autoSpaceDE/>
        <w:autoSpaceDN/>
        <w:bidi w:val="0"/>
        <w:adjustRightInd/>
        <w:snapToGrid/>
        <w:spacing w:line="36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p>
    <w:p>
      <w:pPr>
        <w:keepNext w:val="0"/>
        <w:keepLines w:val="0"/>
        <w:pageBreakBefore w:val="0"/>
        <w:widowControl w:val="0"/>
        <w:kinsoku/>
        <w:wordWrap/>
        <w:overflowPunct/>
        <w:topLinePunct w:val="0"/>
        <w:autoSpaceDE/>
        <w:autoSpaceDN/>
        <w:bidi w:val="0"/>
        <w:adjustRightInd/>
        <w:snapToGrid/>
        <w:spacing w:line="36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p>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textAlignment w:val="auto"/>
        <w:rPr>
          <w:rFonts w:hint="eastAsia" w:ascii="宋体" w:hAnsi="宋体" w:eastAsia="宋体" w:cs="宋体"/>
          <w:color w:val="000000"/>
          <w:kern w:val="0"/>
          <w:sz w:val="32"/>
          <w:szCs w:val="32"/>
          <w:lang w:val="en-US" w:eastAsia="zh-CN" w:bidi="ar"/>
        </w:rPr>
      </w:pPr>
    </w:p>
    <w:p>
      <w:pPr>
        <w:keepNext w:val="0"/>
        <w:keepLines w:val="0"/>
        <w:pageBreakBefore w:val="0"/>
        <w:kinsoku/>
        <w:wordWrap/>
        <w:overflowPunct/>
        <w:topLinePunct w:val="0"/>
        <w:bidi w:val="0"/>
        <w:snapToGrid/>
        <w:spacing w:line="360" w:lineRule="auto"/>
        <w:jc w:val="left"/>
        <w:textAlignment w:val="auto"/>
        <w:rPr>
          <w:rFonts w:hint="eastAsia" w:ascii="仿宋" w:hAnsi="仿宋" w:cs="仿宋"/>
          <w:b w:val="0"/>
          <w:bCs w:val="0"/>
          <w:color w:val="auto"/>
          <w:sz w:val="28"/>
          <w:szCs w:val="28"/>
          <w:lang w:val="en-US" w:eastAsia="zh-CN"/>
        </w:rPr>
      </w:pPr>
    </w:p>
    <w:p>
      <w:pPr>
        <w:keepNext w:val="0"/>
        <w:keepLines w:val="0"/>
        <w:pageBreakBefore w:val="0"/>
        <w:kinsoku/>
        <w:wordWrap/>
        <w:overflowPunct/>
        <w:topLinePunct w:val="0"/>
        <w:bidi w:val="0"/>
        <w:snapToGrid/>
        <w:spacing w:line="360" w:lineRule="auto"/>
        <w:jc w:val="left"/>
        <w:textAlignment w:val="auto"/>
        <w:rPr>
          <w:rFonts w:hint="eastAsia" w:ascii="仿宋" w:hAnsi="仿宋" w:cs="仿宋"/>
          <w:b w:val="0"/>
          <w:bCs w:val="0"/>
          <w:color w:val="auto"/>
          <w:sz w:val="28"/>
          <w:szCs w:val="28"/>
          <w:lang w:val="en-US" w:eastAsia="zh-CN"/>
        </w:rPr>
      </w:pPr>
    </w:p>
    <w:p>
      <w:pPr>
        <w:keepNext w:val="0"/>
        <w:keepLines w:val="0"/>
        <w:pageBreakBefore w:val="0"/>
        <w:kinsoku/>
        <w:wordWrap/>
        <w:overflowPunct/>
        <w:topLinePunct w:val="0"/>
        <w:bidi w:val="0"/>
        <w:snapToGrid/>
        <w:spacing w:line="360" w:lineRule="auto"/>
        <w:jc w:val="left"/>
        <w:textAlignment w:val="auto"/>
        <w:rPr>
          <w:rFonts w:hint="eastAsia" w:ascii="仿宋" w:hAnsi="仿宋" w:cs="仿宋"/>
          <w:b w:val="0"/>
          <w:bCs w:val="0"/>
          <w:color w:val="auto"/>
          <w:sz w:val="28"/>
          <w:szCs w:val="28"/>
          <w:lang w:val="en-US" w:eastAsia="zh-CN"/>
        </w:rPr>
      </w:pPr>
      <w:r>
        <w:rPr>
          <w:rFonts w:hint="eastAsia" w:ascii="仿宋" w:hAnsi="仿宋" w:cs="仿宋"/>
          <w:b w:val="0"/>
          <w:bCs w:val="0"/>
          <w:color w:val="auto"/>
          <w:sz w:val="28"/>
          <w:szCs w:val="28"/>
          <w:lang w:val="en-US" w:eastAsia="zh-CN"/>
        </w:rPr>
        <w:t>工程量清单</w:t>
      </w:r>
      <w:bookmarkStart w:id="13" w:name="_Toc11661"/>
      <w:r>
        <w:rPr>
          <w:rFonts w:hint="eastAsia" w:ascii="仿宋" w:hAnsi="仿宋" w:cs="仿宋"/>
          <w:b w:val="0"/>
          <w:bCs w:val="0"/>
          <w:color w:val="auto"/>
          <w:sz w:val="28"/>
          <w:szCs w:val="28"/>
          <w:lang w:val="en-US" w:eastAsia="zh-CN"/>
        </w:rPr>
        <w:t>：详见系统附件，自行下载。</w:t>
      </w:r>
    </w:p>
    <w:p>
      <w:pPr>
        <w:pStyle w:val="4"/>
        <w:keepNext w:val="0"/>
        <w:keepLines w:val="0"/>
        <w:pageBreakBefore w:val="0"/>
        <w:kinsoku/>
        <w:wordWrap/>
        <w:overflowPunct/>
        <w:topLinePunct w:val="0"/>
        <w:bidi w:val="0"/>
        <w:snapToGrid/>
        <w:spacing w:line="480" w:lineRule="auto"/>
        <w:ind w:left="0" w:leftChars="0" w:firstLine="0" w:firstLineChars="0"/>
        <w:textAlignment w:val="auto"/>
        <w:rPr>
          <w:rFonts w:hint="default"/>
          <w:lang w:val="en-US" w:eastAsia="zh-CN"/>
        </w:rPr>
      </w:pPr>
      <w:r>
        <w:rPr>
          <w:rFonts w:hint="eastAsia"/>
          <w:lang w:val="en-US" w:eastAsia="zh-CN"/>
        </w:rPr>
        <w:t xml:space="preserve">         </w:t>
      </w: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2"/>
        <w:rPr>
          <w:rFonts w:hint="eastAsia"/>
          <w:lang w:val="en-US" w:eastAsia="zh-CN"/>
        </w:rPr>
      </w:pPr>
    </w:p>
    <w:p>
      <w:pPr>
        <w:pStyle w:val="4"/>
        <w:rPr>
          <w:rFonts w:hint="eastAsia"/>
          <w:lang w:val="en-US" w:eastAsia="zh-CN"/>
        </w:rPr>
      </w:pPr>
    </w:p>
    <w:p>
      <w:pPr>
        <w:rPr>
          <w:rFonts w:hint="eastAsia"/>
          <w:lang w:val="en-US" w:eastAsia="zh-CN"/>
        </w:rPr>
      </w:pPr>
    </w:p>
    <w:p>
      <w:pPr>
        <w:pStyle w:val="2"/>
        <w:rPr>
          <w:rFonts w:hint="eastAsia"/>
          <w:lang w:val="en-US" w:eastAsia="zh-CN"/>
        </w:rPr>
      </w:pPr>
    </w:p>
    <w:p>
      <w:pPr>
        <w:pStyle w:val="4"/>
        <w:rPr>
          <w:rFonts w:hint="eastAsia"/>
          <w:lang w:val="en-US" w:eastAsia="zh-CN"/>
        </w:rPr>
      </w:pPr>
    </w:p>
    <w:p>
      <w:pPr>
        <w:pStyle w:val="4"/>
        <w:rPr>
          <w:rFonts w:hint="eastAsia"/>
          <w:lang w:val="en-US" w:eastAsia="zh-CN"/>
        </w:rPr>
      </w:pPr>
    </w:p>
    <w:p>
      <w:pPr>
        <w:rPr>
          <w:rFonts w:hint="eastAsia"/>
          <w:lang w:val="en-US" w:eastAsia="zh-CN"/>
        </w:rPr>
      </w:pPr>
    </w:p>
    <w:p>
      <w:pPr>
        <w:pStyle w:val="2"/>
        <w:rPr>
          <w:rFonts w:hint="eastAsia"/>
          <w:lang w:val="en-US" w:eastAsia="zh-CN"/>
        </w:rPr>
      </w:pPr>
    </w:p>
    <w:p>
      <w:pPr>
        <w:pStyle w:val="2"/>
        <w:ind w:left="0" w:leftChars="0" w:firstLine="0" w:firstLineChars="0"/>
        <w:rPr>
          <w:rFonts w:hint="eastAsia"/>
          <w:lang w:val="en-US" w:eastAsia="zh-CN"/>
        </w:rPr>
      </w:pPr>
    </w:p>
    <w:p>
      <w:pPr>
        <w:pStyle w:val="2"/>
        <w:rPr>
          <w:rFonts w:hint="eastAsia"/>
          <w:lang w:val="en-US" w:eastAsia="zh-CN"/>
        </w:rPr>
      </w:pPr>
    </w:p>
    <w:p>
      <w:pPr>
        <w:jc w:val="center"/>
        <w:rPr>
          <w:rFonts w:hint="eastAsia"/>
          <w:color w:val="auto"/>
        </w:rPr>
      </w:pPr>
      <w:r>
        <w:rPr>
          <w:rFonts w:hint="eastAsia"/>
          <w:color w:val="auto"/>
        </w:rPr>
        <w:t>第三部分</w:t>
      </w:r>
      <w:r>
        <w:rPr>
          <w:rFonts w:hint="eastAsia"/>
          <w:color w:val="auto"/>
        </w:rPr>
        <w:tab/>
      </w:r>
      <w:r>
        <w:rPr>
          <w:rFonts w:hint="eastAsia"/>
          <w:color w:val="auto"/>
        </w:rPr>
        <w:t>供应商须知正文部分</w:t>
      </w:r>
      <w:bookmarkEnd w:id="11"/>
      <w:bookmarkEnd w:id="12"/>
      <w:bookmarkEnd w:id="13"/>
    </w:p>
    <w:p>
      <w:pPr>
        <w:pStyle w:val="8"/>
        <w:rPr>
          <w:rFonts w:hint="eastAsia"/>
          <w:color w:val="auto"/>
        </w:rPr>
      </w:pPr>
      <w:bookmarkStart w:id="14" w:name="一、总则"/>
      <w:bookmarkEnd w:id="14"/>
      <w:bookmarkStart w:id="15" w:name="_Toc21660"/>
      <w:bookmarkStart w:id="16" w:name="_Toc13555"/>
      <w:r>
        <w:rPr>
          <w:rFonts w:hint="eastAsia"/>
          <w:color w:val="auto"/>
        </w:rPr>
        <w:t>一、总则</w:t>
      </w:r>
      <w:bookmarkEnd w:id="15"/>
      <w:bookmarkEnd w:id="16"/>
      <w:r>
        <w:rPr>
          <w:rFonts w:hint="eastAsia"/>
          <w:color w:val="auto"/>
        </w:rPr>
        <w:t xml:space="preserve">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1.1</w:t>
      </w:r>
      <w:r>
        <w:rPr>
          <w:rFonts w:hint="eastAsia" w:ascii="仿宋" w:hAnsi="仿宋" w:eastAsia="仿宋" w:cs="仿宋"/>
          <w:b/>
          <w:bCs/>
          <w:color w:val="auto"/>
          <w:sz w:val="28"/>
          <w:szCs w:val="28"/>
        </w:rPr>
        <w:t>适用法律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本次招标采购适用的主要法律法规为《中华人民共和国政府采购法》、《中华人民共和国合同法》、《中华人民共和国政府采购法实施条例》。</w:t>
      </w:r>
    </w:p>
    <w:p>
      <w:pPr>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1.2 定义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1.2.1</w:t>
      </w: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eastAsia="仿宋" w:cs="仿宋"/>
          <w:color w:val="auto"/>
          <w:sz w:val="28"/>
          <w:szCs w:val="28"/>
          <w:highlight w:val="none"/>
        </w:rPr>
        <w:t>指本</w:t>
      </w:r>
      <w:r>
        <w:rPr>
          <w:rFonts w:hint="eastAsia" w:ascii="仿宋" w:hAnsi="仿宋" w:eastAsia="仿宋" w:cs="仿宋"/>
          <w:color w:val="auto"/>
          <w:sz w:val="28"/>
          <w:szCs w:val="28"/>
        </w:rPr>
        <w:t xml:space="preserve">项目采购单位；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1.2.2</w:t>
      </w:r>
      <w:r>
        <w:rPr>
          <w:rFonts w:hint="eastAsia" w:ascii="仿宋" w:hAnsi="仿宋" w:eastAsia="仿宋" w:cs="仿宋"/>
          <w:color w:val="auto"/>
          <w:sz w:val="28"/>
          <w:szCs w:val="28"/>
        </w:rPr>
        <w:t xml:space="preserve">“代理机构”：指受采购人委托的有代理资质的第三方机构；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1.2.3</w:t>
      </w:r>
      <w:r>
        <w:rPr>
          <w:rFonts w:hint="eastAsia" w:ascii="仿宋" w:hAnsi="仿宋" w:eastAsia="仿宋" w:cs="仿宋"/>
          <w:color w:val="auto"/>
          <w:sz w:val="28"/>
          <w:szCs w:val="28"/>
        </w:rPr>
        <w:t>“供应商（</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）”系指向招标采购单位提交</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的供应商；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1.2.4</w:t>
      </w:r>
      <w:r>
        <w:rPr>
          <w:rFonts w:hint="eastAsia" w:ascii="仿宋" w:hAnsi="仿宋" w:eastAsia="仿宋" w:cs="仿宋"/>
          <w:color w:val="auto"/>
          <w:sz w:val="28"/>
          <w:szCs w:val="28"/>
        </w:rPr>
        <w:t>“中标人（成交人）”系指被确定为承接本项目并负责其实施的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1.2.5</w:t>
      </w:r>
      <w:r>
        <w:rPr>
          <w:rFonts w:hint="eastAsia" w:ascii="仿宋" w:hAnsi="仿宋" w:eastAsia="仿宋" w:cs="仿宋"/>
          <w:color w:val="auto"/>
          <w:sz w:val="28"/>
          <w:szCs w:val="28"/>
        </w:rPr>
        <w:t>“货物”系指供应商按</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要求，须向采购人提供的货物及相应资料；包括手册</w:t>
      </w:r>
      <w:r>
        <w:rPr>
          <w:rFonts w:hint="eastAsia" w:ascii="仿宋" w:hAnsi="仿宋" w:eastAsia="仿宋" w:cs="仿宋"/>
          <w:color w:val="auto"/>
          <w:sz w:val="28"/>
          <w:szCs w:val="28"/>
          <w:highlight w:val="none"/>
        </w:rPr>
        <w:t>及其它</w:t>
      </w:r>
      <w:r>
        <w:rPr>
          <w:rFonts w:hint="eastAsia" w:ascii="仿宋" w:hAnsi="仿宋" w:eastAsia="仿宋" w:cs="仿宋"/>
          <w:color w:val="auto"/>
          <w:sz w:val="28"/>
          <w:szCs w:val="28"/>
        </w:rPr>
        <w:t xml:space="preserve">有关技术资料；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1.2.6</w:t>
      </w:r>
      <w:r>
        <w:rPr>
          <w:rFonts w:hint="eastAsia" w:ascii="仿宋" w:hAnsi="仿宋" w:eastAsia="仿宋" w:cs="仿宋"/>
          <w:color w:val="auto"/>
          <w:sz w:val="28"/>
          <w:szCs w:val="28"/>
        </w:rPr>
        <w:t>“服务”指</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中规定的供应商须承担的服务内容。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1.3</w:t>
      </w:r>
      <w:r>
        <w:rPr>
          <w:rFonts w:hint="eastAsia" w:ascii="仿宋" w:hAnsi="仿宋" w:eastAsia="仿宋" w:cs="仿宋"/>
          <w:b/>
          <w:bCs/>
          <w:color w:val="auto"/>
          <w:sz w:val="28"/>
          <w:szCs w:val="28"/>
        </w:rPr>
        <w:t xml:space="preserve">合格的货物和服务：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供应商须提供符合国家质量标准，相关行业强制执行标准的技术服务。</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w:t>
      </w:r>
      <w:r>
        <w:rPr>
          <w:rFonts w:hint="eastAsia" w:ascii="仿宋" w:hAnsi="仿宋" w:cs="仿宋"/>
          <w:b/>
          <w:bCs/>
          <w:color w:val="auto"/>
          <w:sz w:val="28"/>
          <w:szCs w:val="28"/>
          <w:lang w:eastAsia="zh-CN"/>
        </w:rPr>
        <w:t>供应商</w:t>
      </w:r>
      <w:r>
        <w:rPr>
          <w:rFonts w:hint="eastAsia" w:ascii="仿宋" w:hAnsi="仿宋" w:eastAsia="仿宋" w:cs="仿宋"/>
          <w:b/>
          <w:bCs/>
          <w:color w:val="auto"/>
          <w:sz w:val="28"/>
          <w:szCs w:val="28"/>
        </w:rPr>
        <w:t>应具备的条件：</w:t>
      </w:r>
      <w:r>
        <w:rPr>
          <w:rFonts w:hint="eastAsia" w:ascii="仿宋" w:hAnsi="仿宋" w:eastAsia="仿宋" w:cs="仿宋"/>
          <w:color w:val="auto"/>
          <w:sz w:val="28"/>
          <w:szCs w:val="28"/>
        </w:rPr>
        <w:t>见</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不得存在下列情形之一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1.5.1</w:t>
      </w:r>
      <w:r>
        <w:rPr>
          <w:rFonts w:hint="eastAsia" w:ascii="仿宋" w:hAnsi="仿宋" w:eastAsia="仿宋" w:cs="仿宋"/>
          <w:color w:val="auto"/>
          <w:sz w:val="28"/>
          <w:szCs w:val="28"/>
        </w:rPr>
        <w:t>为</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不具有独立法人资格的附属机构（单位）；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1.5.2</w:t>
      </w:r>
      <w:r>
        <w:rPr>
          <w:rFonts w:hint="eastAsia" w:ascii="仿宋" w:hAnsi="仿宋" w:eastAsia="仿宋" w:cs="仿宋"/>
          <w:color w:val="auto"/>
          <w:sz w:val="28"/>
          <w:szCs w:val="28"/>
        </w:rPr>
        <w:t xml:space="preserve">为本项目前期准备提供咨询服务的；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1.5.3</w:t>
      </w:r>
      <w:r>
        <w:rPr>
          <w:rFonts w:hint="eastAsia" w:ascii="仿宋" w:hAnsi="仿宋" w:eastAsia="仿宋" w:cs="仿宋"/>
          <w:color w:val="auto"/>
          <w:sz w:val="28"/>
          <w:szCs w:val="28"/>
        </w:rPr>
        <w:t xml:space="preserve">为本项目提供招标代理服务的；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1.5.4</w:t>
      </w:r>
      <w:r>
        <w:rPr>
          <w:rFonts w:hint="eastAsia" w:ascii="仿宋" w:hAnsi="仿宋" w:eastAsia="仿宋" w:cs="仿宋"/>
          <w:color w:val="auto"/>
          <w:sz w:val="28"/>
          <w:szCs w:val="28"/>
        </w:rPr>
        <w:t xml:space="preserve">被责令停业的；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1.5.5</w:t>
      </w:r>
      <w:r>
        <w:rPr>
          <w:rFonts w:hint="eastAsia" w:ascii="仿宋" w:hAnsi="仿宋" w:eastAsia="仿宋" w:cs="仿宋"/>
          <w:color w:val="auto"/>
          <w:sz w:val="28"/>
          <w:szCs w:val="28"/>
        </w:rPr>
        <w:t xml:space="preserve">被暂停或取消投标资格的；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1.5.6</w:t>
      </w:r>
      <w:r>
        <w:rPr>
          <w:rFonts w:hint="eastAsia" w:ascii="仿宋" w:hAnsi="仿宋" w:eastAsia="仿宋" w:cs="仿宋"/>
          <w:color w:val="auto"/>
          <w:sz w:val="28"/>
          <w:szCs w:val="28"/>
        </w:rPr>
        <w:t xml:space="preserve">财产被接管或冻结的；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1.5.7</w:t>
      </w:r>
      <w:r>
        <w:rPr>
          <w:rFonts w:hint="eastAsia" w:ascii="仿宋" w:hAnsi="仿宋" w:eastAsia="仿宋" w:cs="仿宋"/>
          <w:color w:val="auto"/>
          <w:sz w:val="28"/>
          <w:szCs w:val="28"/>
        </w:rPr>
        <w:t xml:space="preserve">在最近三年内有骗取中标或严重违约或重大质量问题的。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1.6</w:t>
      </w:r>
      <w:r>
        <w:rPr>
          <w:rFonts w:hint="eastAsia" w:ascii="仿宋" w:hAnsi="仿宋" w:eastAsia="仿宋" w:cs="仿宋"/>
          <w:b/>
          <w:bCs/>
          <w:color w:val="auto"/>
          <w:sz w:val="28"/>
          <w:szCs w:val="28"/>
        </w:rPr>
        <w:t xml:space="preserve">费用承担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1.6.1</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准备和参加投标活动发生的一切费用自理，不论投标结果如何，</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概不负责。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1.6.2</w:t>
      </w:r>
      <w:r>
        <w:rPr>
          <w:rFonts w:hint="eastAsia" w:ascii="仿宋" w:hAnsi="仿宋" w:eastAsia="仿宋" w:cs="仿宋"/>
          <w:color w:val="auto"/>
          <w:sz w:val="28"/>
          <w:szCs w:val="28"/>
        </w:rPr>
        <w:t xml:space="preserve">与采购人商定，参照豫招协【2023】002号文规定之招标代理服务收费计算标准，中标、成交供应商在领取中标通知书时一次性向釆购代理机构缴纳。对于小型项目，如按本指导意见计算出的代理服务费，明显低于代理机构代理成本时，招标人与招标代理机构约定招标代理服务费不足1万元的按1万元收取。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1.7</w:t>
      </w:r>
      <w:r>
        <w:rPr>
          <w:rFonts w:hint="eastAsia" w:ascii="仿宋" w:hAnsi="仿宋" w:eastAsia="仿宋" w:cs="仿宋"/>
          <w:b/>
          <w:bCs/>
          <w:color w:val="auto"/>
          <w:sz w:val="28"/>
          <w:szCs w:val="28"/>
        </w:rPr>
        <w:t xml:space="preserve">保密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参与招标投标活动的各方应对</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中的商业和技术等秘密保密，违者应对由此造成的后果承担法律责任。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1.8</w:t>
      </w:r>
      <w:r>
        <w:rPr>
          <w:rFonts w:hint="eastAsia" w:ascii="仿宋" w:hAnsi="仿宋" w:eastAsia="仿宋" w:cs="仿宋"/>
          <w:b/>
          <w:bCs/>
          <w:color w:val="auto"/>
          <w:sz w:val="28"/>
          <w:szCs w:val="28"/>
        </w:rPr>
        <w:t xml:space="preserve">语言文字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除专用术语外，与招标投标有关的语言均使用中文。必要时专用术语应附有中文注释。</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9</w:t>
      </w:r>
      <w:r>
        <w:rPr>
          <w:rFonts w:hint="eastAsia" w:ascii="仿宋" w:hAnsi="仿宋" w:eastAsia="仿宋" w:cs="仿宋"/>
          <w:b/>
          <w:bCs/>
          <w:color w:val="auto"/>
          <w:sz w:val="28"/>
          <w:szCs w:val="28"/>
        </w:rPr>
        <w:t xml:space="preserve"> 计量单位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所有计量均采用中华人民共和国法定计量单位。</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10</w:t>
      </w:r>
      <w:r>
        <w:rPr>
          <w:rFonts w:hint="eastAsia" w:ascii="仿宋" w:hAnsi="仿宋" w:eastAsia="仿宋" w:cs="仿宋"/>
          <w:b/>
          <w:bCs/>
          <w:color w:val="auto"/>
          <w:sz w:val="28"/>
          <w:szCs w:val="28"/>
        </w:rPr>
        <w:t xml:space="preserve"> 踏勘现场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本项目不组织现场踏勘。</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1</w:t>
      </w:r>
      <w:r>
        <w:rPr>
          <w:rFonts w:hint="eastAsia" w:ascii="仿宋" w:hAnsi="仿宋" w:eastAsia="仿宋" w:cs="仿宋"/>
          <w:b/>
          <w:bCs/>
          <w:color w:val="auto"/>
          <w:sz w:val="28"/>
          <w:szCs w:val="28"/>
        </w:rPr>
        <w:t xml:space="preserve"> 投标预备会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本项目不召开预备会。</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2</w:t>
      </w:r>
      <w:r>
        <w:rPr>
          <w:rFonts w:hint="eastAsia" w:ascii="仿宋" w:hAnsi="仿宋" w:eastAsia="仿宋" w:cs="仿宋"/>
          <w:b/>
          <w:bCs/>
          <w:color w:val="auto"/>
          <w:sz w:val="28"/>
          <w:szCs w:val="28"/>
        </w:rPr>
        <w:t xml:space="preserve"> 分包</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本项目不接受任何分包。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3</w:t>
      </w:r>
      <w:r>
        <w:rPr>
          <w:rFonts w:hint="eastAsia" w:ascii="仿宋" w:hAnsi="仿宋" w:eastAsia="仿宋" w:cs="仿宋"/>
          <w:b/>
          <w:bCs/>
          <w:color w:val="auto"/>
          <w:sz w:val="28"/>
          <w:szCs w:val="28"/>
        </w:rPr>
        <w:t xml:space="preserve">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须知前附表规定。</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付款方式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按照</w:t>
      </w:r>
      <w:r>
        <w:rPr>
          <w:rFonts w:hint="eastAsia" w:ascii="仿宋" w:hAnsi="仿宋" w:cs="仿宋"/>
          <w:color w:val="auto"/>
          <w:sz w:val="28"/>
          <w:szCs w:val="28"/>
          <w:lang w:eastAsia="zh-CN"/>
        </w:rPr>
        <w:t>采购文件供应商</w:t>
      </w:r>
      <w:r>
        <w:rPr>
          <w:rFonts w:hint="eastAsia" w:ascii="仿宋" w:hAnsi="仿宋" w:eastAsia="仿宋" w:cs="仿宋"/>
          <w:color w:val="auto"/>
          <w:sz w:val="28"/>
          <w:szCs w:val="28"/>
        </w:rPr>
        <w:t>须知前附表中约定执行。</w:t>
      </w:r>
      <w:bookmarkStart w:id="17" w:name="二、磋商文件"/>
      <w:bookmarkEnd w:id="17"/>
    </w:p>
    <w:p>
      <w:pPr>
        <w:pStyle w:val="8"/>
        <w:rPr>
          <w:rFonts w:hint="eastAsia"/>
          <w:color w:val="auto"/>
        </w:rPr>
      </w:pPr>
      <w:r>
        <w:rPr>
          <w:rFonts w:hint="eastAsia"/>
          <w:color w:val="auto"/>
        </w:rPr>
        <w:t xml:space="preserve">二、磋商文件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2.1</w:t>
      </w:r>
      <w:r>
        <w:rPr>
          <w:rFonts w:hint="eastAsia" w:ascii="仿宋" w:hAnsi="仿宋" w:eastAsia="仿宋" w:cs="仿宋"/>
          <w:b/>
          <w:bCs/>
          <w:color w:val="auto"/>
          <w:sz w:val="28"/>
          <w:szCs w:val="28"/>
        </w:rPr>
        <w:t>磋商文件构成</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2.1.1</w:t>
      </w:r>
      <w:r>
        <w:rPr>
          <w:rFonts w:hint="eastAsia" w:ascii="仿宋" w:hAnsi="仿宋" w:eastAsia="仿宋" w:cs="仿宋"/>
          <w:color w:val="auto"/>
          <w:sz w:val="28"/>
          <w:szCs w:val="28"/>
        </w:rPr>
        <w:t>要求提供的服务、招标过程、合同条件和技术要求在</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中均有说明。 </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的内容如下：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第一部分 磋商公告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第二部分   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第三部分  供应商须知正文部分</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第四部分 合同主要条款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第五部分 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文件格式</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2.2 磋商文件的澄清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2.2.1供应商应仔细阅读和检查采购文件的全部内容。如发现缺页或附件不全，应及时向采购人提出，以便补齐。如有疑问，应按供应商须知前附表规定的时间和形式将提出的问题送达采购人，要求采购人对采购文件予以澄清。采购文件的澄清以供应商须知前附表规定的形式发给所有下载采购文件的供应商，但不指明澄清问题的来源。澄清发出的时间距本章规定的投标截止时间不足15日的，并且澄清内容可能影响响应文件编制的，将相应延长投标截止时间。供应商应及时关注交易中心系统，自行下载澄清文件，采购人澄清文件已经交易中心系统发布，即视为潜在供应商收到澄清通知，供应商应知道但因关注不及时而未能知道，后果自负。除非采购人认为确有必要答复，否则，采购人有权拒绝回复供应商在本章规定的时间后的任何澄清要求。</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2.3</w:t>
      </w:r>
      <w:r>
        <w:rPr>
          <w:rFonts w:hint="eastAsia" w:ascii="仿宋" w:hAnsi="仿宋" w:eastAsia="仿宋" w:cs="仿宋"/>
          <w:b/>
          <w:bCs/>
          <w:color w:val="auto"/>
          <w:sz w:val="28"/>
          <w:szCs w:val="28"/>
        </w:rPr>
        <w:t xml:space="preserve">磋商文件的修改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2.3.1</w:t>
      </w:r>
      <w:r>
        <w:rPr>
          <w:rFonts w:hint="eastAsia" w:ascii="仿宋" w:hAnsi="仿宋" w:eastAsia="仿宋" w:cs="仿宋"/>
          <w:color w:val="auto"/>
          <w:sz w:val="28"/>
          <w:szCs w:val="28"/>
        </w:rPr>
        <w:t>在磋商截止时间5天前，采购人可以书面形式修改采购文件，并以公告形式通知供应商。</w:t>
      </w:r>
      <w:bookmarkStart w:id="18" w:name="三、响应性文件"/>
      <w:bookmarkEnd w:id="18"/>
      <w:r>
        <w:rPr>
          <w:rFonts w:hint="eastAsia" w:ascii="仿宋" w:hAnsi="仿宋" w:eastAsia="仿宋" w:cs="仿宋"/>
          <w:color w:val="auto"/>
          <w:sz w:val="28"/>
          <w:szCs w:val="28"/>
        </w:rPr>
        <w:t xml:space="preserve"> </w:t>
      </w:r>
    </w:p>
    <w:p>
      <w:pPr>
        <w:pStyle w:val="8"/>
        <w:rPr>
          <w:rFonts w:hint="eastAsia"/>
          <w:color w:val="auto"/>
        </w:rPr>
      </w:pPr>
      <w:r>
        <w:rPr>
          <w:rFonts w:hint="eastAsia"/>
          <w:color w:val="auto"/>
        </w:rPr>
        <w:t>三、</w:t>
      </w:r>
      <w:r>
        <w:rPr>
          <w:rFonts w:hint="eastAsia"/>
          <w:color w:val="auto"/>
          <w:lang w:eastAsia="zh-CN"/>
        </w:rPr>
        <w:t>符合性</w:t>
      </w:r>
      <w:r>
        <w:rPr>
          <w:rFonts w:hint="eastAsia"/>
          <w:color w:val="auto"/>
        </w:rPr>
        <w:t xml:space="preserve">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3.1</w:t>
      </w:r>
      <w:r>
        <w:rPr>
          <w:rFonts w:hint="eastAsia" w:ascii="仿宋" w:hAnsi="仿宋" w:eastAsia="仿宋" w:cs="仿宋"/>
          <w:b/>
          <w:bCs/>
          <w:color w:val="auto"/>
          <w:sz w:val="28"/>
          <w:szCs w:val="28"/>
        </w:rPr>
        <w:t>投标的语言</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3.1.1</w:t>
      </w:r>
      <w:r>
        <w:rPr>
          <w:rFonts w:hint="eastAsia" w:ascii="仿宋" w:hAnsi="仿宋" w:eastAsia="仿宋" w:cs="仿宋"/>
          <w:color w:val="auto"/>
          <w:sz w:val="28"/>
          <w:szCs w:val="28"/>
        </w:rPr>
        <w:t>供应商提交的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文件以及供应商与采购人就有关投标的所有来往函电均应使用中文书写。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3.2</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文件构成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3.2.1</w:t>
      </w:r>
      <w:r>
        <w:rPr>
          <w:rFonts w:hint="eastAsia" w:ascii="仿宋" w:hAnsi="仿宋" w:eastAsia="仿宋" w:cs="仿宋"/>
          <w:color w:val="auto"/>
          <w:sz w:val="28"/>
          <w:szCs w:val="28"/>
        </w:rPr>
        <w:t>供应商编写的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文件应包括下列内容（</w:t>
      </w:r>
      <w:r>
        <w:rPr>
          <w:rFonts w:hint="eastAsia" w:ascii="仿宋" w:hAnsi="仿宋" w:cs="仿宋"/>
          <w:color w:val="auto"/>
          <w:sz w:val="28"/>
          <w:szCs w:val="28"/>
          <w:lang w:eastAsia="zh-CN"/>
        </w:rPr>
        <w:t>但</w:t>
      </w:r>
      <w:r>
        <w:rPr>
          <w:rFonts w:hint="eastAsia" w:ascii="仿宋" w:hAnsi="仿宋" w:eastAsia="仿宋" w:cs="仿宋"/>
          <w:color w:val="auto"/>
          <w:sz w:val="28"/>
          <w:szCs w:val="28"/>
        </w:rPr>
        <w:t xml:space="preserve">不限于）：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磋商函及磋商一览表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法定代表人身份证明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授权委托书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技术标部分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供应商类似业绩（加盖电子签章） </w:t>
      </w:r>
    </w:p>
    <w:p>
      <w:pPr>
        <w:numPr>
          <w:ilvl w:val="0"/>
          <w:numId w:val="3"/>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基本情况表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其他需提供的资料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3.3</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文件的编制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3.3.1</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文件应按磋商文件提供的“电子标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文件格式”进行编写，如有必要，可以增加附页，作为响应文件的组成部分。其中，响应文件中的磋商一览表在满足磋商文件实质性要求的基础上，可以提出比磋商文件要求更有利于采购人的承诺。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3.3.2</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文件应当对磋商文件有关工期、磋商有效期、质量要求、采购范围等实质性内容作出响应。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3.3.3</w:t>
      </w:r>
      <w:r>
        <w:rPr>
          <w:rFonts w:hint="eastAsia" w:ascii="仿宋" w:hAnsi="仿宋" w:eastAsia="仿宋" w:cs="仿宋"/>
          <w:color w:val="auto"/>
          <w:sz w:val="28"/>
          <w:szCs w:val="28"/>
        </w:rPr>
        <w:t>响应文件电子签章的具体要求见供应商须知前附表。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3.3.4 响应文件份数详见供应商须知前附表。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3.3.5 不允许递交备选磋商方案。</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3.4. 磋商报价</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3.4.1</w:t>
      </w:r>
      <w:r>
        <w:rPr>
          <w:rFonts w:hint="eastAsia" w:ascii="仿宋" w:hAnsi="仿宋" w:eastAsia="仿宋" w:cs="仿宋"/>
          <w:color w:val="auto"/>
          <w:sz w:val="28"/>
          <w:szCs w:val="28"/>
        </w:rPr>
        <w:t>供应商需按照磋商函一览表中的要求填写相应的表格。</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3.4.2</w:t>
      </w:r>
      <w:r>
        <w:rPr>
          <w:rFonts w:hint="eastAsia" w:ascii="仿宋" w:hAnsi="仿宋" w:eastAsia="仿宋" w:cs="仿宋"/>
          <w:color w:val="auto"/>
          <w:sz w:val="28"/>
          <w:szCs w:val="28"/>
        </w:rPr>
        <w:t xml:space="preserve">本次采购为竞争性磋商采购，允许符合要求的供应商在规定的时间提交二次报价。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3.5</w:t>
      </w:r>
      <w:r>
        <w:rPr>
          <w:rFonts w:hint="eastAsia" w:ascii="仿宋" w:hAnsi="仿宋" w:eastAsia="仿宋" w:cs="仿宋"/>
          <w:b/>
          <w:bCs/>
          <w:color w:val="auto"/>
          <w:sz w:val="28"/>
          <w:szCs w:val="28"/>
        </w:rPr>
        <w:t xml:space="preserve">磋商保证金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3.5.1</w:t>
      </w:r>
      <w:r>
        <w:rPr>
          <w:rFonts w:hint="eastAsia" w:ascii="仿宋" w:hAnsi="仿宋" w:eastAsia="仿宋" w:cs="仿宋"/>
          <w:color w:val="auto"/>
          <w:sz w:val="28"/>
          <w:szCs w:val="28"/>
        </w:rPr>
        <w:t xml:space="preserve">本项目不收磋商保证金。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3.6</w:t>
      </w:r>
      <w:r>
        <w:rPr>
          <w:rFonts w:hint="eastAsia" w:ascii="仿宋" w:hAnsi="仿宋" w:eastAsia="仿宋" w:cs="仿宋"/>
          <w:b/>
          <w:bCs/>
          <w:color w:val="auto"/>
          <w:sz w:val="28"/>
          <w:szCs w:val="28"/>
        </w:rPr>
        <w:t xml:space="preserve">磋商有效期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3.6.1</w:t>
      </w:r>
      <w:r>
        <w:rPr>
          <w:rFonts w:hint="eastAsia" w:ascii="仿宋" w:hAnsi="仿宋" w:eastAsia="仿宋" w:cs="仿宋"/>
          <w:color w:val="auto"/>
          <w:sz w:val="28"/>
          <w:szCs w:val="28"/>
        </w:rPr>
        <w:t>磋商有效期为磋商</w:t>
      </w:r>
      <w:r>
        <w:rPr>
          <w:rFonts w:hint="eastAsia" w:ascii="仿宋" w:hAnsi="仿宋" w:eastAsia="仿宋" w:cs="仿宋"/>
          <w:color w:val="auto"/>
          <w:sz w:val="28"/>
          <w:szCs w:val="28"/>
          <w:highlight w:val="none"/>
        </w:rPr>
        <w:t>截止</w:t>
      </w:r>
      <w:r>
        <w:rPr>
          <w:rFonts w:hint="eastAsia" w:ascii="仿宋" w:hAnsi="仿宋" w:eastAsia="仿宋" w:cs="仿宋"/>
          <w:color w:val="auto"/>
          <w:sz w:val="28"/>
          <w:szCs w:val="28"/>
        </w:rPr>
        <w:t xml:space="preserve">之日起60天。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3.6.2</w:t>
      </w:r>
      <w:r>
        <w:rPr>
          <w:rFonts w:hint="eastAsia" w:ascii="仿宋" w:hAnsi="仿宋" w:eastAsia="仿宋" w:cs="仿宋"/>
          <w:color w:val="auto"/>
          <w:sz w:val="28"/>
          <w:szCs w:val="28"/>
        </w:rPr>
        <w:t xml:space="preserve">如遇特殊情况，采购人可在磋商有效期期满前，要求供应商延长其磋商有效期。供应商可以拒绝或同意上述要求，延长有效期的要求与答复均为书面形式。不同意上述要求的供应商将视为自动放弃投标。 </w:t>
      </w:r>
    </w:p>
    <w:p>
      <w:pPr>
        <w:pStyle w:val="8"/>
        <w:rPr>
          <w:rFonts w:hint="eastAsia"/>
          <w:color w:val="auto"/>
        </w:rPr>
      </w:pPr>
      <w:bookmarkStart w:id="19" w:name="四、投标"/>
      <w:bookmarkEnd w:id="19"/>
      <w:bookmarkStart w:id="20" w:name="_Toc22577"/>
      <w:bookmarkStart w:id="21" w:name="_Toc1371"/>
      <w:r>
        <w:rPr>
          <w:rFonts w:hint="eastAsia"/>
          <w:color w:val="auto"/>
        </w:rPr>
        <w:t>四、投标</w:t>
      </w:r>
      <w:bookmarkEnd w:id="20"/>
      <w:bookmarkEnd w:id="21"/>
      <w:r>
        <w:rPr>
          <w:rFonts w:hint="eastAsia"/>
          <w:color w:val="auto"/>
        </w:rPr>
        <w:t xml:space="preserve"> </w:t>
      </w:r>
    </w:p>
    <w:p>
      <w:pPr>
        <w:spacing w:line="360" w:lineRule="auto"/>
        <w:rPr>
          <w:rFonts w:hint="eastAsia" w:ascii="仿宋" w:hAnsi="仿宋" w:eastAsia="仿宋" w:cs="仿宋"/>
          <w:color w:val="auto"/>
          <w:sz w:val="28"/>
          <w:szCs w:val="28"/>
        </w:rPr>
      </w:pPr>
      <w:bookmarkStart w:id="22" w:name="4.1 响应性文件的递交"/>
      <w:bookmarkEnd w:id="22"/>
      <w:r>
        <w:rPr>
          <w:rFonts w:hint="eastAsia" w:ascii="仿宋" w:hAnsi="仿宋" w:cs="仿宋"/>
          <w:b/>
          <w:bCs/>
          <w:color w:val="auto"/>
          <w:sz w:val="28"/>
          <w:szCs w:val="28"/>
          <w:lang w:val="en-US" w:eastAsia="zh-CN"/>
        </w:rPr>
        <w:t>4.1</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文件的递交</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4.1.1</w:t>
      </w:r>
      <w:r>
        <w:rPr>
          <w:rFonts w:hint="eastAsia" w:ascii="仿宋" w:hAnsi="仿宋" w:eastAsia="仿宋" w:cs="仿宋"/>
          <w:color w:val="auto"/>
          <w:sz w:val="28"/>
          <w:szCs w:val="28"/>
        </w:rPr>
        <w:t xml:space="preserve">电子响应文件的递交：见供应商须知前附表。 </w:t>
      </w:r>
    </w:p>
    <w:p>
      <w:pPr>
        <w:spacing w:line="360" w:lineRule="auto"/>
        <w:rPr>
          <w:rFonts w:hint="eastAsia" w:ascii="仿宋" w:hAnsi="仿宋" w:eastAsia="仿宋" w:cs="仿宋"/>
          <w:b/>
          <w:bCs/>
          <w:color w:val="auto"/>
          <w:sz w:val="28"/>
          <w:szCs w:val="28"/>
        </w:rPr>
      </w:pPr>
      <w:bookmarkStart w:id="23" w:name="4.2 电子响应文件的修改与撤回"/>
      <w:bookmarkEnd w:id="23"/>
      <w:r>
        <w:rPr>
          <w:rFonts w:hint="eastAsia" w:ascii="仿宋" w:hAnsi="仿宋" w:cs="仿宋"/>
          <w:b/>
          <w:bCs/>
          <w:color w:val="auto"/>
          <w:sz w:val="28"/>
          <w:szCs w:val="28"/>
          <w:lang w:val="en-US" w:eastAsia="zh-CN"/>
        </w:rPr>
        <w:t>4.2</w:t>
      </w:r>
      <w:r>
        <w:rPr>
          <w:rFonts w:hint="eastAsia" w:ascii="仿宋" w:hAnsi="仿宋" w:eastAsia="仿宋" w:cs="仿宋"/>
          <w:b/>
          <w:bCs/>
          <w:color w:val="auto"/>
          <w:sz w:val="28"/>
          <w:szCs w:val="28"/>
        </w:rPr>
        <w:t xml:space="preserve">电子响应文件的修改与撤回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4.2.1</w:t>
      </w:r>
      <w:r>
        <w:rPr>
          <w:rFonts w:hint="eastAsia" w:ascii="仿宋" w:hAnsi="仿宋" w:eastAsia="仿宋" w:cs="仿宋"/>
          <w:color w:val="auto"/>
          <w:sz w:val="28"/>
          <w:szCs w:val="28"/>
        </w:rPr>
        <w:t xml:space="preserve">供应商可以在磋商截止期之前修改电子响应文件。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4.2.2</w:t>
      </w:r>
      <w:r>
        <w:rPr>
          <w:rFonts w:hint="eastAsia" w:ascii="仿宋" w:hAnsi="仿宋" w:eastAsia="仿宋" w:cs="仿宋"/>
          <w:color w:val="auto"/>
          <w:sz w:val="28"/>
          <w:szCs w:val="28"/>
        </w:rPr>
        <w:t>在磋商截止期后不能修改及撤回其电子响应文件。</w:t>
      </w:r>
      <w:bookmarkStart w:id="24" w:name="五、开标与磋商"/>
      <w:bookmarkEnd w:id="24"/>
      <w:r>
        <w:rPr>
          <w:rFonts w:hint="eastAsia" w:ascii="仿宋" w:hAnsi="仿宋" w:eastAsia="仿宋" w:cs="仿宋"/>
          <w:color w:val="auto"/>
          <w:sz w:val="28"/>
          <w:szCs w:val="28"/>
        </w:rPr>
        <w:t xml:space="preserve"> </w:t>
      </w:r>
    </w:p>
    <w:p>
      <w:pPr>
        <w:pStyle w:val="8"/>
        <w:rPr>
          <w:rFonts w:hint="default" w:eastAsia="宋体"/>
          <w:color w:val="auto"/>
          <w:lang w:val="en-US" w:eastAsia="zh-CN"/>
        </w:rPr>
      </w:pPr>
      <w:r>
        <w:rPr>
          <w:rFonts w:hint="eastAsia"/>
          <w:color w:val="auto"/>
        </w:rPr>
        <w:t>五、开标与磋商</w:t>
      </w:r>
      <w:r>
        <w:rPr>
          <w:rFonts w:hint="eastAsia"/>
          <w:color w:val="auto"/>
          <w:lang w:eastAsia="zh-CN"/>
        </w:rPr>
        <w:t>、</w:t>
      </w:r>
      <w:r>
        <w:rPr>
          <w:rFonts w:hint="eastAsia"/>
          <w:color w:val="auto"/>
          <w:lang w:val="en-US" w:eastAsia="zh-CN"/>
        </w:rPr>
        <w:t>合同</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w:t>
      </w:r>
      <w:r>
        <w:rPr>
          <w:rFonts w:hint="eastAsia" w:ascii="仿宋" w:hAnsi="仿宋" w:eastAsia="仿宋" w:cs="仿宋"/>
          <w:color w:val="auto"/>
          <w:sz w:val="28"/>
          <w:szCs w:val="28"/>
        </w:rPr>
        <w:t xml:space="preserve">开标时间及地点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5.1.1</w:t>
      </w:r>
      <w:r>
        <w:rPr>
          <w:rFonts w:hint="eastAsia" w:ascii="仿宋" w:hAnsi="仿宋" w:eastAsia="仿宋" w:cs="仿宋"/>
          <w:color w:val="auto"/>
          <w:sz w:val="28"/>
          <w:szCs w:val="28"/>
        </w:rPr>
        <w:t>开标时间：详见供应商须知前附表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5.1.2</w:t>
      </w:r>
      <w:r>
        <w:rPr>
          <w:rFonts w:hint="eastAsia" w:ascii="仿宋" w:hAnsi="仿宋" w:eastAsia="仿宋" w:cs="仿宋"/>
          <w:color w:val="auto"/>
          <w:sz w:val="28"/>
          <w:szCs w:val="28"/>
        </w:rPr>
        <w:t>开标地点：详见供应商须知前附表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5.1.3</w:t>
      </w:r>
      <w:r>
        <w:rPr>
          <w:rFonts w:hint="eastAsia" w:ascii="仿宋" w:hAnsi="仿宋" w:eastAsia="仿宋" w:cs="仿宋"/>
          <w:color w:val="auto"/>
          <w:sz w:val="28"/>
          <w:szCs w:val="28"/>
          <w:lang w:val="en-US" w:eastAsia="zh-CN"/>
        </w:rPr>
        <w:t>供应商代表持本单位CA数字证书需提前登录不见面开标系统。投标时间截止，在线公布供应商、采购人代表、监标人等有关名单。主持人（代理公司）根据响应文件递交实际情况来确定有效供应商，并退回不符合要求的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bookmarkStart w:id="25" w:name="5.2 开标程序"/>
      <w:bookmarkEnd w:id="25"/>
      <w:r>
        <w:rPr>
          <w:rFonts w:hint="eastAsia" w:ascii="仿宋" w:hAnsi="仿宋" w:cs="仿宋"/>
          <w:b/>
          <w:bCs/>
          <w:color w:val="auto"/>
          <w:sz w:val="28"/>
          <w:szCs w:val="28"/>
          <w:lang w:val="en-US" w:eastAsia="zh-CN"/>
        </w:rPr>
        <w:t>5.2</w:t>
      </w:r>
      <w:r>
        <w:rPr>
          <w:rFonts w:hint="eastAsia" w:ascii="仿宋" w:hAnsi="仿宋" w:eastAsia="仿宋" w:cs="仿宋"/>
          <w:b/>
          <w:bCs/>
          <w:color w:val="auto"/>
          <w:sz w:val="28"/>
          <w:szCs w:val="28"/>
        </w:rPr>
        <w:t xml:space="preserve">开标程序 </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采购人将按供应商须知前附表的时间和地点举行开标会议，参加开标的供应商应使用本企业CA数字证书，在投标截止时间前登录不见面开标系统。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5.2.1主持人按下列程序进行开标：</w:t>
      </w:r>
    </w:p>
    <w:p>
      <w:pPr>
        <w:spacing w:line="360" w:lineRule="auto"/>
        <w:rPr>
          <w:rFonts w:hint="eastAsia" w:ascii="仿宋" w:hAnsi="仿宋" w:cs="仿宋"/>
          <w:color w:val="auto"/>
          <w:sz w:val="28"/>
          <w:szCs w:val="28"/>
          <w:lang w:val="en-US" w:eastAsia="zh-CN"/>
        </w:rPr>
      </w:pPr>
      <w:bookmarkStart w:id="26" w:name="5.3_开标异议"/>
      <w:bookmarkEnd w:id="26"/>
      <w:bookmarkStart w:id="27" w:name="_bookmark35"/>
      <w:bookmarkEnd w:id="27"/>
      <w:r>
        <w:rPr>
          <w:rFonts w:hint="eastAsia" w:ascii="仿宋" w:hAnsi="仿宋" w:cs="仿宋"/>
          <w:color w:val="auto"/>
          <w:sz w:val="28"/>
          <w:szCs w:val="28"/>
          <w:lang w:val="en-US" w:eastAsia="zh-CN"/>
        </w:rPr>
        <w:t>1、供应商代表持本单位CA数字证书需提前登录不见面开标系统。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2、开标时间到，在线公布供应商、采购人代表、监标人等有关名单。主持人（代理公司）根据响应文件递交实际情况来确定有效供应商，并退回不符合要求的响应文件。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②采购人解密。采购人持有本单位CA数字证书进行二次解密。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rPr>
          <w:rFonts w:hint="eastAsia" w:ascii="仿宋" w:hAnsi="仿宋" w:cs="仿宋"/>
          <w:color w:val="auto"/>
          <w:sz w:val="28"/>
          <w:szCs w:val="28"/>
          <w:lang w:val="en-US" w:eastAsia="zh-CN"/>
        </w:rPr>
      </w:pPr>
      <w:r>
        <w:rPr>
          <w:rFonts w:hint="eastAsia" w:ascii="仿宋" w:hAnsi="仿宋" w:eastAsia="仿宋" w:cs="仿宋"/>
          <w:color w:val="auto"/>
          <w:sz w:val="28"/>
          <w:szCs w:val="28"/>
          <w:lang w:val="en-US" w:eastAsia="zh-CN"/>
        </w:rPr>
        <w:t>④</w:t>
      </w:r>
      <w:r>
        <w:rPr>
          <w:rFonts w:hint="eastAsia" w:ascii="仿宋" w:hAnsi="仿宋" w:cs="仿宋"/>
          <w:color w:val="auto"/>
          <w:sz w:val="28"/>
          <w:szCs w:val="28"/>
          <w:lang w:val="en-US" w:eastAsia="zh-CN"/>
        </w:rPr>
        <w:t>采购人、监督人等相关人员在开标记录表上（可进入原评标系统直接打印）签字确认。</w:t>
      </w:r>
    </w:p>
    <w:p>
      <w:pPr>
        <w:spacing w:line="360" w:lineRule="auto"/>
        <w:rPr>
          <w:rFonts w:hint="eastAsia" w:ascii="仿宋" w:hAnsi="仿宋" w:cs="仿宋"/>
          <w:color w:val="auto"/>
          <w:sz w:val="28"/>
          <w:szCs w:val="28"/>
          <w:lang w:val="en-US" w:eastAsia="zh-CN"/>
        </w:rPr>
      </w:pPr>
      <w:r>
        <w:rPr>
          <w:rFonts w:hint="eastAsia" w:ascii="仿宋" w:hAnsi="仿宋" w:eastAsia="仿宋" w:cs="仿宋"/>
          <w:color w:val="auto"/>
          <w:sz w:val="28"/>
          <w:szCs w:val="28"/>
          <w:lang w:val="en-US" w:eastAsia="zh-CN"/>
        </w:rPr>
        <w:t>⑤</w:t>
      </w:r>
      <w:r>
        <w:rPr>
          <w:rFonts w:hint="eastAsia" w:ascii="仿宋" w:hAnsi="仿宋" w:cs="仿宋"/>
          <w:color w:val="auto"/>
          <w:sz w:val="28"/>
          <w:szCs w:val="28"/>
          <w:lang w:val="en-US" w:eastAsia="zh-CN"/>
        </w:rPr>
        <w:t>采购代理机构宣布开标结束，在评标系统中点击“开标结束”，并进行“采购文件导入”或“控制价文件导入”。</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5.2.2 响应文件有下列情况之一者将视为无效标书。</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（1）投标截止时间以后送达的响应文件；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（3）未按要求盖供应商单位电子签章、法定代表人或委托代理人签字（盖章）的；</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（4）未按规定填写及响应文件字迹模糊、辨认不清或内容不全者；</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5.2.3电子响应文件的解密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5.2.3.1本项目为全流程电子化交易项目，电子响应文件采用双重加密。在投标截止时间到达后，分标段进行解密。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5.2.3.2电子响应文件解密异常情况处理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（1）开标过程中如遇到紧急事项，可在不见面开标大厅中进行提出异议或文字交流，严重问题可拨打技术支持电话400-998-0000。</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（2）不见面开标过程中，如供应商准备不到位，造成无法及时解密、网络问题等情况造成开标无法继续的，视为该供应商自动放弃投标（30分钟内），将被退回响应文件。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5.2.4</w:t>
      </w:r>
      <w:r>
        <w:rPr>
          <w:rFonts w:hint="eastAsia" w:ascii="仿宋" w:hAnsi="仿宋" w:eastAsia="仿宋" w:cs="仿宋"/>
          <w:color w:val="auto"/>
          <w:sz w:val="28"/>
          <w:szCs w:val="28"/>
        </w:rPr>
        <w:t>代理机构在开标结束后将</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和有效电子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导入评标系统。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5.2.5</w:t>
      </w:r>
      <w:r>
        <w:rPr>
          <w:rFonts w:hint="eastAsia" w:ascii="仿宋" w:hAnsi="仿宋" w:eastAsia="仿宋" w:cs="仿宋"/>
          <w:color w:val="auto"/>
          <w:sz w:val="28"/>
          <w:szCs w:val="28"/>
        </w:rPr>
        <w:t xml:space="preserve">磋商小组将审查每一份响应文件是否对磋商文件提出的所有实质性要求和条件作出响应。未能在实质上响应的投标，将作为无效标处理。实质上未响应是指：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未按磋商文件规定签章的：</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未按磋商文件规定的格式填写，内容不完整或无法辨认的；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供应商资格条件不符合国家规定和磋商文件要求的；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违反国家强制性标准的；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响应文件附有采购人不能接受的条件的；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对同一标段递交内容不同的响应文件（一标多投），或在一份响应文件中对同一标段报有两个（ 含两个）以上报价的；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以他人名义投标、串通投标、弄虚作假的； </w:t>
      </w:r>
    </w:p>
    <w:p>
      <w:pPr>
        <w:numPr>
          <w:ilvl w:val="0"/>
          <w:numId w:val="4"/>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名称、组织机构等重要人员与报名时不一致的；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超出磋商文件规定及违反国家有关规定的；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磋商报价高出本标段最高磋商限价的；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磋商文件规定的其它情况。</w:t>
      </w:r>
    </w:p>
    <w:p>
      <w:pPr>
        <w:numPr>
          <w:ilvl w:val="0"/>
          <w:numId w:val="0"/>
        </w:numPr>
        <w:spacing w:line="360" w:lineRule="auto"/>
        <w:ind w:right="0"/>
        <w:rPr>
          <w:rFonts w:hint="eastAsia" w:ascii="仿宋" w:hAnsi="仿宋" w:eastAsia="仿宋" w:cs="仿宋"/>
          <w:color w:val="auto"/>
          <w:sz w:val="28"/>
          <w:szCs w:val="28"/>
        </w:rPr>
      </w:pPr>
      <w:r>
        <w:rPr>
          <w:rFonts w:hint="eastAsia" w:ascii="仿宋" w:hAnsi="仿宋" w:eastAsia="仿宋" w:cs="仿宋"/>
          <w:color w:val="auto"/>
          <w:sz w:val="28"/>
          <w:szCs w:val="28"/>
        </w:rPr>
        <w:t>5.2.</w:t>
      </w:r>
      <w:r>
        <w:rPr>
          <w:rFonts w:hint="eastAsia" w:ascii="仿宋" w:hAnsi="仿宋" w:cs="仿宋"/>
          <w:color w:val="auto"/>
          <w:sz w:val="28"/>
          <w:szCs w:val="28"/>
          <w:lang w:val="en-US" w:eastAsia="zh-CN"/>
        </w:rPr>
        <w:t>6</w:t>
      </w:r>
      <w:r>
        <w:rPr>
          <w:rFonts w:hint="eastAsia" w:ascii="仿宋" w:hAnsi="仿宋" w:eastAsia="仿宋" w:cs="仿宋"/>
          <w:color w:val="auto"/>
          <w:sz w:val="28"/>
          <w:szCs w:val="28"/>
        </w:rPr>
        <w:t xml:space="preserve">评标和决标过程的保密 </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后至采购人公布成交结果之前，有关响应文件的检查、澄清、评比和定标等信息对与本过程无关的供应商及其他人员保密。供应商不应对采购人或有关人员施加影响和试图获取评标信息，违者导致被取消中标资格。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5.2.7</w:t>
      </w:r>
      <w:r>
        <w:rPr>
          <w:rFonts w:hint="eastAsia" w:ascii="仿宋" w:hAnsi="仿宋" w:eastAsia="仿宋" w:cs="仿宋"/>
          <w:color w:val="auto"/>
          <w:sz w:val="28"/>
          <w:szCs w:val="28"/>
        </w:rPr>
        <w:t xml:space="preserve">响应文件的澄清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为了有助于响应文件的检查和评审，采购人可以单独要求供应商澄清其响应文件。磋商小组的澄清要求和响应的答复均应采用书面形式</w:t>
      </w:r>
      <w:r>
        <w:rPr>
          <w:rFonts w:hint="eastAsia" w:ascii="仿宋" w:hAnsi="仿宋" w:eastAsia="仿宋" w:cs="仿宋"/>
          <w:color w:val="auto"/>
          <w:sz w:val="28"/>
          <w:szCs w:val="28"/>
          <w:lang w:val="en-US" w:eastAsia="zh-CN"/>
        </w:rPr>
        <w:t>并在线提交</w:t>
      </w:r>
      <w:r>
        <w:rPr>
          <w:rFonts w:hint="eastAsia" w:ascii="仿宋" w:hAnsi="仿宋" w:eastAsia="仿宋" w:cs="仿宋"/>
          <w:color w:val="auto"/>
          <w:sz w:val="28"/>
          <w:szCs w:val="28"/>
        </w:rPr>
        <w:t>。除了规定改正算术错误外，供应商不得修改磋商报价和响应文件中的其它实质性内容。</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供应商以书面形式澄清的问题，需由供应商法定代表人或其委托代理人签字确认后作为磋商文件的组成部分，</w:t>
      </w:r>
      <w:r>
        <w:rPr>
          <w:rFonts w:hint="eastAsia" w:ascii="仿宋" w:hAnsi="仿宋" w:eastAsia="仿宋" w:cs="仿宋"/>
          <w:color w:val="auto"/>
          <w:sz w:val="28"/>
          <w:szCs w:val="28"/>
          <w:lang w:val="en-US" w:eastAsia="zh-CN"/>
        </w:rPr>
        <w:t>在线</w:t>
      </w:r>
      <w:r>
        <w:rPr>
          <w:rFonts w:hint="eastAsia" w:ascii="仿宋" w:hAnsi="仿宋" w:eastAsia="仿宋" w:cs="仿宋"/>
          <w:color w:val="auto"/>
          <w:sz w:val="28"/>
          <w:szCs w:val="28"/>
        </w:rPr>
        <w:t xml:space="preserve">提交。供应商未按磋商小组的澄清要求进行澄清的，磋商小组可以不对其响应文件继续评审。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5.2.8</w:t>
      </w:r>
      <w:r>
        <w:rPr>
          <w:rFonts w:hint="eastAsia" w:ascii="仿宋" w:hAnsi="仿宋" w:eastAsia="仿宋" w:cs="仿宋"/>
          <w:color w:val="auto"/>
          <w:sz w:val="28"/>
          <w:szCs w:val="28"/>
        </w:rPr>
        <w:t>响应文件的检查和</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评定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1</w:t>
      </w:r>
      <w:r>
        <w:rPr>
          <w:rFonts w:hint="eastAsia" w:ascii="仿宋" w:hAnsi="仿宋" w:cs="仿宋"/>
          <w:color w:val="auto"/>
          <w:sz w:val="28"/>
          <w:szCs w:val="28"/>
          <w:lang w:eastAsia="zh-CN"/>
        </w:rPr>
        <w:t>）</w:t>
      </w:r>
      <w:r>
        <w:rPr>
          <w:rFonts w:hint="eastAsia" w:ascii="仿宋" w:hAnsi="仿宋" w:eastAsia="仿宋" w:cs="仿宋"/>
          <w:color w:val="auto"/>
          <w:sz w:val="28"/>
          <w:szCs w:val="28"/>
        </w:rPr>
        <w:t>在评审时，采购人将首先审定响应文件是否在实质上响应了磋商文件的要求。采购人对磋商</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的鉴定将基于响应文件的本身内容。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2</w:t>
      </w:r>
      <w:r>
        <w:rPr>
          <w:rFonts w:hint="eastAsia" w:ascii="仿宋" w:hAnsi="仿宋" w:cs="仿宋"/>
          <w:color w:val="auto"/>
          <w:sz w:val="28"/>
          <w:szCs w:val="28"/>
          <w:lang w:eastAsia="zh-CN"/>
        </w:rPr>
        <w:t>）</w:t>
      </w:r>
      <w:r>
        <w:rPr>
          <w:rFonts w:hint="eastAsia" w:ascii="仿宋" w:hAnsi="仿宋" w:eastAsia="仿宋" w:cs="仿宋"/>
          <w:color w:val="auto"/>
          <w:sz w:val="28"/>
          <w:szCs w:val="28"/>
        </w:rPr>
        <w:t xml:space="preserve">实质上响应磋商文件要求的响应文件应该与磋商文件所有条款、条件和规范相符，无重大偏关或保留。所谓重大偏差和保留是指：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rPr>
        <w:t xml:space="preserve">对投标范围和内容有实质性的偏离；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rPr>
        <w:t xml:space="preserve">对服务质量或使用性能产生不利影响；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③、对合同中规定的双方的权利和义务作实质性的修改；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④、纠正这种偏差或保留，将会对其他响应要求的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竞争产生不公正的影响。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5.2.9</w:t>
      </w:r>
      <w:r>
        <w:rPr>
          <w:rFonts w:hint="eastAsia" w:ascii="仿宋" w:hAnsi="仿宋" w:eastAsia="仿宋" w:cs="仿宋"/>
          <w:color w:val="auto"/>
          <w:sz w:val="28"/>
          <w:szCs w:val="28"/>
        </w:rPr>
        <w:t>如果响应文件实质上没有响应</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的要求，</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将予以拒绝。也不再允许</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改正或撤回这些不符合要求的偏差与保留。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5.2.10</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以他人的名义投标、串通投标、以行贿手段谋取中标或者以其他弄虚作假方式投标的，该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作无效标处理。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5.2.11</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的报价明显低于其他投标报价或者明显高于最高限价，使得其投标报价可能低于其个别成本的，将要求该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作出书面说明并提供相关证明资料。</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不能合理说明或者不能提供相关证明材料的，由评标委员会认定</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以低于成本报价竞标，其</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按无效处理。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5.2.12</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资格条件不符合国家有关规定和</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要求的，或者拒不按照要求对</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进行澄清、说明或者补正的，评标委员会将否决其投标。 </w:t>
      </w:r>
    </w:p>
    <w:p>
      <w:pPr>
        <w:spacing w:line="360" w:lineRule="auto"/>
        <w:rPr>
          <w:rFonts w:hint="eastAsia" w:ascii="仿宋" w:hAnsi="仿宋" w:eastAsia="仿宋" w:cs="仿宋"/>
          <w:b/>
          <w:bCs/>
          <w:color w:val="auto"/>
          <w:sz w:val="28"/>
          <w:szCs w:val="28"/>
        </w:rPr>
      </w:pPr>
      <w:bookmarkStart w:id="28" w:name="5.3磋商小组的组成及工作要求"/>
      <w:bookmarkEnd w:id="28"/>
      <w:r>
        <w:rPr>
          <w:rFonts w:hint="eastAsia" w:ascii="仿宋" w:hAnsi="仿宋" w:cs="仿宋"/>
          <w:b/>
          <w:bCs/>
          <w:color w:val="auto"/>
          <w:sz w:val="28"/>
          <w:szCs w:val="28"/>
          <w:lang w:val="en-US" w:eastAsia="zh-CN"/>
        </w:rPr>
        <w:t>5.3</w:t>
      </w:r>
      <w:r>
        <w:rPr>
          <w:rFonts w:hint="eastAsia" w:ascii="仿宋" w:hAnsi="仿宋" w:eastAsia="仿宋" w:cs="仿宋"/>
          <w:b/>
          <w:bCs/>
          <w:color w:val="auto"/>
          <w:sz w:val="28"/>
          <w:szCs w:val="28"/>
        </w:rPr>
        <w:t xml:space="preserve">磋商小组的组成及工作要求 </w:t>
      </w:r>
    </w:p>
    <w:p>
      <w:pPr>
        <w:spacing w:line="360" w:lineRule="auto"/>
        <w:rPr>
          <w:rFonts w:hint="eastAsia" w:ascii="仿宋" w:hAnsi="仿宋" w:eastAsia="仿宋" w:cs="仿宋"/>
          <w:color w:val="auto"/>
          <w:sz w:val="28"/>
          <w:szCs w:val="28"/>
        </w:rPr>
      </w:pPr>
      <w:r>
        <w:rPr>
          <w:rFonts w:hint="eastAsia" w:ascii="仿宋" w:hAnsi="仿宋" w:cs="仿宋"/>
          <w:b w:val="0"/>
          <w:bCs w:val="0"/>
          <w:color w:val="auto"/>
          <w:sz w:val="28"/>
          <w:szCs w:val="28"/>
          <w:lang w:val="en-US" w:eastAsia="zh-CN"/>
        </w:rPr>
        <w:t>5.3.1</w:t>
      </w:r>
      <w:r>
        <w:rPr>
          <w:rFonts w:hint="eastAsia" w:ascii="仿宋" w:hAnsi="仿宋" w:eastAsia="仿宋" w:cs="仿宋"/>
          <w:color w:val="auto"/>
          <w:sz w:val="28"/>
          <w:szCs w:val="28"/>
        </w:rPr>
        <w:t>按照《中华人民共和国</w:t>
      </w:r>
      <w:r>
        <w:rPr>
          <w:rFonts w:hint="eastAsia" w:ascii="仿宋" w:hAnsi="仿宋" w:cs="仿宋"/>
          <w:color w:val="auto"/>
          <w:sz w:val="28"/>
          <w:szCs w:val="28"/>
          <w:lang w:val="en-US" w:eastAsia="zh-CN"/>
        </w:rPr>
        <w:t>政府采购</w:t>
      </w:r>
      <w:r>
        <w:rPr>
          <w:rFonts w:hint="eastAsia" w:ascii="仿宋" w:hAnsi="仿宋" w:eastAsia="仿宋" w:cs="仿宋"/>
          <w:color w:val="auto"/>
          <w:sz w:val="28"/>
          <w:szCs w:val="28"/>
        </w:rPr>
        <w:t>法》和《评标委员会评标办法暂行规定》的规定，磋商由依法组建的磋商小组负责。磋商小组由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或其委托的招标代理机构熟悉相关业务的代表，以及有关技术、经济等方面的专家组成。磋商小组成员人数以及技术、经济等方面专家的确定方式见供应商须知前附表。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5.3.2</w:t>
      </w:r>
      <w:r>
        <w:rPr>
          <w:rFonts w:hint="eastAsia" w:ascii="仿宋" w:hAnsi="仿宋" w:eastAsia="仿宋" w:cs="仿宋"/>
          <w:color w:val="auto"/>
          <w:sz w:val="28"/>
          <w:szCs w:val="28"/>
        </w:rPr>
        <w:t xml:space="preserve">磋商小组成员有下列情形之一的，应当回避： </w:t>
      </w:r>
    </w:p>
    <w:p>
      <w:pPr>
        <w:numPr>
          <w:ilvl w:val="0"/>
          <w:numId w:val="6"/>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采购人</w:t>
      </w:r>
      <w:r>
        <w:rPr>
          <w:rFonts w:hint="eastAsia" w:ascii="仿宋" w:hAnsi="仿宋" w:eastAsia="仿宋" w:cs="仿宋"/>
          <w:color w:val="auto"/>
          <w:sz w:val="28"/>
          <w:szCs w:val="28"/>
        </w:rPr>
        <w:t>或</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的主要负责人的近亲属；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项目主管部门或者行政监督部门的人员；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与</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有经济利益关系，可能影响对投标公正评审的；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曾因在招标、评标以及其他与招标投标有关活动中从事违法行为而受过行政处罚或刑事处罚的。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5.3.3</w:t>
      </w:r>
      <w:r>
        <w:rPr>
          <w:rFonts w:hint="eastAsia" w:ascii="仿宋" w:hAnsi="仿宋" w:eastAsia="仿宋" w:cs="仿宋"/>
          <w:color w:val="auto"/>
          <w:sz w:val="28"/>
          <w:szCs w:val="28"/>
        </w:rPr>
        <w:t>本次磋商严格按照招标管理的有关规定，坚持公开、公平、公正和择优的原则，依据各投标单位对所投</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文件的承诺，以保证</w:t>
      </w:r>
      <w:r>
        <w:rPr>
          <w:rFonts w:hint="eastAsia" w:ascii="仿宋" w:hAnsi="仿宋" w:cs="仿宋"/>
          <w:color w:val="auto"/>
          <w:sz w:val="28"/>
          <w:szCs w:val="28"/>
          <w:lang w:val="en-US" w:eastAsia="zh-CN"/>
        </w:rPr>
        <w:t>评价编制方案</w:t>
      </w:r>
      <w:r>
        <w:rPr>
          <w:rFonts w:hint="eastAsia" w:ascii="仿宋" w:hAnsi="仿宋" w:eastAsia="仿宋" w:cs="仿宋"/>
          <w:color w:val="auto"/>
          <w:sz w:val="28"/>
          <w:szCs w:val="28"/>
        </w:rPr>
        <w:t>质量等技术方案的论证为主要内容，分两步进行评定：一是初评，对照磋商文件各条款，对</w:t>
      </w:r>
      <w:r>
        <w:rPr>
          <w:rFonts w:hint="eastAsia" w:ascii="仿宋" w:hAnsi="仿宋" w:cs="仿宋"/>
          <w:color w:val="auto"/>
          <w:sz w:val="28"/>
          <w:szCs w:val="28"/>
          <w:lang w:eastAsia="zh-CN"/>
        </w:rPr>
        <w:t>综合标</w:t>
      </w:r>
      <w:r>
        <w:rPr>
          <w:rFonts w:hint="eastAsia" w:ascii="仿宋" w:hAnsi="仿宋" w:eastAsia="仿宋" w:cs="仿宋"/>
          <w:color w:val="auto"/>
          <w:sz w:val="28"/>
          <w:szCs w:val="28"/>
        </w:rPr>
        <w:t>和技术标进行符合性鉴定，鉴定</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文件是否实质上响应磋商文件的要求。二</w:t>
      </w:r>
      <w:r>
        <w:rPr>
          <w:rFonts w:hint="eastAsia" w:ascii="仿宋" w:hAnsi="仿宋" w:eastAsia="仿宋" w:cs="仿宋"/>
          <w:color w:val="auto"/>
          <w:sz w:val="28"/>
          <w:szCs w:val="28"/>
          <w:highlight w:val="none"/>
        </w:rPr>
        <w:t>是详</w:t>
      </w:r>
      <w:r>
        <w:rPr>
          <w:rFonts w:hint="eastAsia" w:ascii="仿宋" w:hAnsi="仿宋" w:eastAsia="仿宋" w:cs="仿宋"/>
          <w:color w:val="auto"/>
          <w:sz w:val="28"/>
          <w:szCs w:val="28"/>
        </w:rPr>
        <w:t>评，对照磋商细则进行综合评定。磋商小组写出磋商报告，按所得分值，由高到低的次序，由磋商小组推荐</w:t>
      </w:r>
      <w:r>
        <w:rPr>
          <w:rFonts w:hint="eastAsia" w:ascii="仿宋" w:hAnsi="仿宋" w:cs="仿宋"/>
          <w:color w:val="auto"/>
          <w:sz w:val="28"/>
          <w:szCs w:val="28"/>
          <w:lang w:val="en-US" w:eastAsia="zh-CN"/>
        </w:rPr>
        <w:t>3</w:t>
      </w:r>
      <w:r>
        <w:rPr>
          <w:rFonts w:hint="eastAsia" w:ascii="仿宋" w:hAnsi="仿宋" w:eastAsia="仿宋" w:cs="仿宋"/>
          <w:color w:val="auto"/>
          <w:sz w:val="28"/>
          <w:szCs w:val="28"/>
        </w:rPr>
        <w:t xml:space="preserve">名为成交候选人，原则上第一名成交，如第一名确实存在有问题或不履行承诺，报招标监督管理机构核准后再按顺序顺延确定成交单位。并在发布在公告媒体，接受社会各界实名举报。 </w:t>
      </w:r>
    </w:p>
    <w:p>
      <w:pPr>
        <w:spacing w:line="360" w:lineRule="auto"/>
        <w:rPr>
          <w:rFonts w:hint="eastAsia" w:ascii="仿宋" w:hAnsi="仿宋" w:eastAsia="仿宋" w:cs="仿宋"/>
          <w:color w:val="auto"/>
          <w:sz w:val="28"/>
          <w:szCs w:val="28"/>
        </w:rPr>
      </w:pPr>
      <w:bookmarkStart w:id="29" w:name="5.4磋商程序"/>
      <w:bookmarkEnd w:id="29"/>
      <w:r>
        <w:rPr>
          <w:rFonts w:hint="eastAsia" w:ascii="仿宋" w:hAnsi="仿宋" w:cs="仿宋"/>
          <w:b/>
          <w:bCs/>
          <w:color w:val="auto"/>
          <w:sz w:val="28"/>
          <w:szCs w:val="28"/>
          <w:lang w:val="en-US" w:eastAsia="zh-CN"/>
        </w:rPr>
        <w:t>5.4</w:t>
      </w:r>
      <w:r>
        <w:rPr>
          <w:rFonts w:hint="eastAsia" w:ascii="仿宋" w:hAnsi="仿宋" w:eastAsia="仿宋" w:cs="仿宋"/>
          <w:b/>
          <w:bCs/>
          <w:color w:val="auto"/>
          <w:sz w:val="28"/>
          <w:szCs w:val="28"/>
        </w:rPr>
        <w:t>磋商程序</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5.4.1</w:t>
      </w:r>
      <w:r>
        <w:rPr>
          <w:rFonts w:hint="eastAsia" w:ascii="仿宋" w:hAnsi="仿宋" w:eastAsia="仿宋" w:cs="仿宋"/>
          <w:color w:val="auto"/>
          <w:sz w:val="28"/>
          <w:szCs w:val="28"/>
        </w:rPr>
        <w:t xml:space="preserve">准备会：招标代理人、采购人和磋商小组参加，由采购人介绍项目情况；磋商小组成员推选小组组长；招标方宣布磋商纪律，磋商方法，定标原则。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5.4.2</w:t>
      </w:r>
      <w:r>
        <w:rPr>
          <w:rFonts w:hint="eastAsia" w:ascii="仿宋" w:hAnsi="仿宋" w:eastAsia="仿宋" w:cs="仿宋"/>
          <w:color w:val="auto"/>
          <w:sz w:val="28"/>
          <w:szCs w:val="28"/>
        </w:rPr>
        <w:t xml:space="preserve">资格审查。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5.4.3</w:t>
      </w:r>
      <w:r>
        <w:rPr>
          <w:rFonts w:hint="eastAsia" w:ascii="仿宋" w:hAnsi="仿宋" w:eastAsia="仿宋" w:cs="仿宋"/>
          <w:color w:val="auto"/>
          <w:sz w:val="28"/>
          <w:szCs w:val="28"/>
        </w:rPr>
        <w:t>审阅</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文件（符合性审查）。确认每一份</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做出实质性响应。实质性响应的投标是指投标符合磋商文件的所有条款、条件和要求，而无重大偏离和保留。重大偏离和保留是指影响到磋商文件规定的范围、质量和性能，或限制了招标方、采购人的权利和供应商的义务的规定，而纠正这些偏差将影响到</w:t>
      </w:r>
      <w:r>
        <w:rPr>
          <w:rFonts w:hint="eastAsia" w:ascii="仿宋" w:hAnsi="仿宋" w:eastAsia="仿宋" w:cs="仿宋"/>
          <w:color w:val="auto"/>
          <w:sz w:val="28"/>
          <w:szCs w:val="28"/>
          <w:highlight w:val="none"/>
        </w:rPr>
        <w:t>其它</w:t>
      </w:r>
      <w:r>
        <w:rPr>
          <w:rFonts w:hint="eastAsia" w:ascii="仿宋" w:hAnsi="仿宋" w:eastAsia="仿宋" w:cs="仿宋"/>
          <w:color w:val="auto"/>
          <w:sz w:val="28"/>
          <w:szCs w:val="28"/>
        </w:rPr>
        <w:t>提交实质性</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文件的供应商的公平竞争地位。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5.4.4</w:t>
      </w:r>
      <w:r>
        <w:rPr>
          <w:rFonts w:hint="eastAsia" w:ascii="仿宋" w:hAnsi="仿宋" w:eastAsia="仿宋" w:cs="仿宋"/>
          <w:color w:val="auto"/>
          <w:sz w:val="28"/>
          <w:szCs w:val="28"/>
        </w:rPr>
        <w:t xml:space="preserve">技术和商务评审。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5.4.5</w:t>
      </w:r>
      <w:r>
        <w:rPr>
          <w:rFonts w:hint="eastAsia" w:ascii="仿宋" w:hAnsi="仿宋" w:eastAsia="仿宋" w:cs="仿宋"/>
          <w:color w:val="auto"/>
          <w:sz w:val="28"/>
          <w:szCs w:val="28"/>
        </w:rPr>
        <w:t xml:space="preserve">推荐成交供应商。 </w:t>
      </w:r>
    </w:p>
    <w:p>
      <w:pPr>
        <w:spacing w:line="360" w:lineRule="auto"/>
        <w:rPr>
          <w:rFonts w:hint="eastAsia" w:ascii="仿宋" w:hAnsi="仿宋" w:eastAsia="仿宋" w:cs="仿宋"/>
          <w:color w:val="auto"/>
          <w:sz w:val="28"/>
          <w:szCs w:val="28"/>
        </w:rPr>
      </w:pPr>
      <w:bookmarkStart w:id="30" w:name="5.5磋商小组澄清和修改的要求"/>
      <w:bookmarkEnd w:id="30"/>
      <w:r>
        <w:rPr>
          <w:rFonts w:hint="eastAsia" w:ascii="仿宋" w:hAnsi="仿宋" w:cs="仿宋"/>
          <w:b/>
          <w:bCs/>
          <w:color w:val="auto"/>
          <w:sz w:val="28"/>
          <w:szCs w:val="28"/>
          <w:lang w:val="en-US" w:eastAsia="zh-CN"/>
        </w:rPr>
        <w:t>5.5</w:t>
      </w:r>
      <w:r>
        <w:rPr>
          <w:rFonts w:hint="eastAsia" w:ascii="仿宋" w:hAnsi="仿宋" w:eastAsia="仿宋" w:cs="仿宋"/>
          <w:b/>
          <w:bCs/>
          <w:color w:val="auto"/>
          <w:sz w:val="28"/>
          <w:szCs w:val="28"/>
        </w:rPr>
        <w:t xml:space="preserve">磋商小组澄清和修改的要求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5.5.1磋商小组在磋商时将会视实际情况要求供应商对其符合性文件内容进行澄清或说明。供应商所做的重要承诺均应为书面形式，并由其法定代表人或授权代理人签字在线提交，作为符合性文件的一部分，具有同等的法律效力。</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5.5.2</w:t>
      </w:r>
      <w:r>
        <w:rPr>
          <w:rFonts w:hint="eastAsia" w:ascii="仿宋" w:hAnsi="仿宋" w:eastAsia="仿宋" w:cs="仿宋"/>
          <w:color w:val="auto"/>
          <w:sz w:val="28"/>
          <w:szCs w:val="28"/>
        </w:rPr>
        <w:t xml:space="preserve">除非磋商小组主动要求，招标以外的任何时候，供应商均不得就磋商及报价事宜与磋商小组成员联系。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5.5.3</w:t>
      </w:r>
      <w:r>
        <w:rPr>
          <w:rFonts w:hint="eastAsia" w:ascii="仿宋" w:hAnsi="仿宋" w:eastAsia="仿宋" w:cs="仿宋"/>
          <w:color w:val="auto"/>
          <w:sz w:val="28"/>
          <w:szCs w:val="28"/>
        </w:rPr>
        <w:t xml:space="preserve">供应商必须对磋商小组的澄清和说明要求做出明确响应，否则由此产生的任何不利于供应商的后果由其自行承担。 </w:t>
      </w:r>
    </w:p>
    <w:p>
      <w:pPr>
        <w:spacing w:line="360" w:lineRule="auto"/>
        <w:rPr>
          <w:rFonts w:hint="eastAsia" w:ascii="仿宋" w:hAnsi="仿宋" w:eastAsia="仿宋" w:cs="仿宋"/>
          <w:color w:val="auto"/>
          <w:sz w:val="28"/>
          <w:szCs w:val="28"/>
        </w:rPr>
      </w:pPr>
      <w:bookmarkStart w:id="31" w:name="5.6、磋商纪律"/>
      <w:bookmarkEnd w:id="31"/>
      <w:r>
        <w:rPr>
          <w:rFonts w:hint="eastAsia" w:ascii="仿宋" w:hAnsi="仿宋" w:cs="仿宋"/>
          <w:b/>
          <w:bCs/>
          <w:color w:val="auto"/>
          <w:sz w:val="28"/>
          <w:szCs w:val="28"/>
          <w:lang w:val="en-US" w:eastAsia="zh-CN"/>
        </w:rPr>
        <w:t>5.6</w:t>
      </w:r>
      <w:r>
        <w:rPr>
          <w:rFonts w:hint="eastAsia" w:ascii="仿宋" w:hAnsi="仿宋" w:eastAsia="仿宋" w:cs="仿宋"/>
          <w:b/>
          <w:bCs/>
          <w:color w:val="auto"/>
          <w:sz w:val="28"/>
          <w:szCs w:val="28"/>
        </w:rPr>
        <w:t>磋商纪律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5.6.1</w:t>
      </w:r>
      <w:r>
        <w:rPr>
          <w:rFonts w:hint="eastAsia" w:ascii="仿宋" w:hAnsi="仿宋" w:eastAsia="仿宋" w:cs="仿宋"/>
          <w:color w:val="auto"/>
          <w:sz w:val="28"/>
          <w:szCs w:val="28"/>
        </w:rPr>
        <w:t>开标后，直到宣布授予中标人合同为止，凡涉及</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文件的评审和比较、成交候选人的推荐情况以及与磋商有关的其它情况均应严格保密。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5.6.2</w:t>
      </w:r>
      <w:r>
        <w:rPr>
          <w:rFonts w:hint="eastAsia" w:ascii="仿宋" w:hAnsi="仿宋" w:eastAsia="仿宋" w:cs="仿宋"/>
          <w:color w:val="auto"/>
          <w:sz w:val="28"/>
          <w:szCs w:val="28"/>
        </w:rPr>
        <w:t>磋商小组成员和参与磋商工作的有关成员不得透露对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文件的评审和比较、成交候选人的推荐情况以及磋商有关的其它情况。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5.6.3</w:t>
      </w:r>
      <w:r>
        <w:rPr>
          <w:rFonts w:hint="eastAsia" w:ascii="仿宋" w:hAnsi="仿宋" w:eastAsia="仿宋" w:cs="仿宋"/>
          <w:color w:val="auto"/>
          <w:sz w:val="28"/>
          <w:szCs w:val="28"/>
        </w:rPr>
        <w:t xml:space="preserve">除供应商须知规定以外开标以后自授予成交通知书前，任何供应商均不得与其供应商有关的问题主动与采购人发生联系。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5.6.4</w:t>
      </w:r>
      <w:r>
        <w:rPr>
          <w:rFonts w:hint="eastAsia" w:ascii="仿宋" w:hAnsi="仿宋" w:eastAsia="仿宋" w:cs="仿宋"/>
          <w:color w:val="auto"/>
          <w:sz w:val="28"/>
          <w:szCs w:val="28"/>
        </w:rPr>
        <w:t>如果供应商试图对磋商小组的磋商施加影响，将导致该供应商的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文件被拒绝。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5.6.5</w:t>
      </w:r>
      <w:r>
        <w:rPr>
          <w:rFonts w:hint="eastAsia" w:ascii="仿宋" w:hAnsi="仿宋" w:eastAsia="仿宋" w:cs="仿宋"/>
          <w:color w:val="auto"/>
          <w:sz w:val="28"/>
          <w:szCs w:val="28"/>
        </w:rPr>
        <w:t xml:space="preserve">其他单位及其工作人员对磋商小组的磋商施加影响，采购人将依据有关法律、法规对其提起诉讼。 </w:t>
      </w:r>
    </w:p>
    <w:p>
      <w:pPr>
        <w:spacing w:line="360" w:lineRule="auto"/>
        <w:rPr>
          <w:rFonts w:hint="eastAsia" w:ascii="仿宋" w:hAnsi="仿宋" w:eastAsia="仿宋" w:cs="仿宋"/>
          <w:color w:val="auto"/>
          <w:sz w:val="28"/>
          <w:szCs w:val="28"/>
        </w:rPr>
      </w:pPr>
      <w:bookmarkStart w:id="32" w:name="5.7磋商"/>
      <w:bookmarkEnd w:id="32"/>
      <w:r>
        <w:rPr>
          <w:rFonts w:hint="eastAsia" w:ascii="仿宋" w:hAnsi="仿宋" w:cs="仿宋"/>
          <w:b/>
          <w:bCs/>
          <w:color w:val="auto"/>
          <w:sz w:val="28"/>
          <w:szCs w:val="28"/>
          <w:lang w:val="en-US" w:eastAsia="zh-CN"/>
        </w:rPr>
        <w:t>5.7</w:t>
      </w:r>
      <w:r>
        <w:rPr>
          <w:rFonts w:hint="eastAsia" w:ascii="仿宋" w:hAnsi="仿宋" w:eastAsia="仿宋" w:cs="仿宋"/>
          <w:b/>
          <w:bCs/>
          <w:color w:val="auto"/>
          <w:sz w:val="28"/>
          <w:szCs w:val="28"/>
        </w:rPr>
        <w:t xml:space="preserve">磋商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5.7.1 磋商小组按照 “磋商办法（综合评分法）”规定的方法、磋商因素、标准和程序对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文件进行评审。“磋商办法（综合评分法）”没有规定的方法、评审因素和标准，不作为磋商依据。</w:t>
      </w:r>
      <w:bookmarkStart w:id="33" w:name="六、磋商办法（综合评分法）"/>
      <w:bookmarkEnd w:id="33"/>
    </w:p>
    <w:p>
      <w:pPr>
        <w:pStyle w:val="36"/>
        <w:rPr>
          <w:rFonts w:hint="eastAsia" w:ascii="仿宋" w:hAnsi="仿宋" w:eastAsia="仿宋" w:cs="仿宋"/>
          <w:b/>
          <w:bCs/>
          <w:color w:val="auto"/>
          <w:kern w:val="0"/>
          <w:sz w:val="28"/>
          <w:szCs w:val="28"/>
          <w:lang w:val="zh-CN" w:eastAsia="zh-CN" w:bidi="zh-CN"/>
        </w:rPr>
      </w:pPr>
      <w:r>
        <w:rPr>
          <w:rFonts w:hint="eastAsia" w:ascii="仿宋" w:hAnsi="仿宋" w:cs="仿宋"/>
          <w:b/>
          <w:bCs/>
          <w:color w:val="auto"/>
          <w:kern w:val="0"/>
          <w:sz w:val="28"/>
          <w:szCs w:val="28"/>
          <w:lang w:val="en-US" w:eastAsia="zh-CN" w:bidi="zh-CN"/>
        </w:rPr>
        <w:t>5.8</w:t>
      </w:r>
      <w:r>
        <w:rPr>
          <w:rFonts w:hint="eastAsia" w:ascii="仿宋" w:hAnsi="仿宋" w:eastAsia="仿宋" w:cs="仿宋"/>
          <w:b/>
          <w:bCs/>
          <w:color w:val="auto"/>
          <w:kern w:val="0"/>
          <w:sz w:val="28"/>
          <w:szCs w:val="28"/>
          <w:lang w:val="zh-CN" w:eastAsia="zh-CN" w:bidi="zh-CN"/>
        </w:rPr>
        <w:t>合同签订</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.1中标(成交)通知书发出之日起1个工作日内供应商应与采购人签订政府采购合同。</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2供应商与采购人签订的政府采购合同，应当符合采购项目特点的技术要求，包括采购人与供应商权利义务、验收程序和要求、合同内容、交付时间、付款程序和条件、签订日期、采购人、供应商账户信息、违约赔偿和处罚程序、争议处理等内容。</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 xml:space="preserve">合同备案 </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.1政府采购合同签订之日起1个工作日内，供应商应当配合采购人办理合同备案并公示，登录河南省电子化政府采购系统“合同管理”模块，填写合同基本信息，并上传政府采购合同、中标(成交)通知书。</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.2政府采购合同公告备案是法定要求，供应商应当配合采购人及时履行备案手续。</w:t>
      </w:r>
    </w:p>
    <w:p>
      <w:pPr>
        <w:pStyle w:val="37"/>
        <w:rPr>
          <w:rFonts w:hint="eastAsia" w:ascii="仿宋" w:hAnsi="仿宋" w:eastAsia="仿宋" w:cs="仿宋"/>
          <w:color w:val="auto"/>
          <w:kern w:val="0"/>
          <w:sz w:val="28"/>
          <w:szCs w:val="28"/>
          <w:lang w:val="zh-CN" w:eastAsia="zh-CN" w:bidi="zh-CN"/>
        </w:rPr>
      </w:pPr>
    </w:p>
    <w:p>
      <w:pPr>
        <w:rPr>
          <w:rFonts w:hint="eastAsia" w:ascii="仿宋" w:hAnsi="仿宋" w:eastAsia="仿宋" w:cs="仿宋"/>
          <w:color w:val="auto"/>
          <w:kern w:val="0"/>
          <w:sz w:val="28"/>
          <w:szCs w:val="28"/>
          <w:lang w:val="zh-CN" w:eastAsia="zh-CN" w:bidi="zh-CN"/>
        </w:rPr>
      </w:pPr>
    </w:p>
    <w:p>
      <w:pPr>
        <w:pStyle w:val="2"/>
        <w:rPr>
          <w:rFonts w:hint="eastAsia" w:ascii="仿宋" w:hAnsi="仿宋" w:eastAsia="仿宋" w:cs="仿宋"/>
          <w:color w:val="auto"/>
          <w:kern w:val="0"/>
          <w:sz w:val="28"/>
          <w:szCs w:val="28"/>
          <w:lang w:val="zh-CN" w:eastAsia="zh-CN" w:bidi="zh-CN"/>
        </w:rPr>
      </w:pPr>
    </w:p>
    <w:p>
      <w:pPr>
        <w:pStyle w:val="4"/>
        <w:rPr>
          <w:rFonts w:hint="eastAsia" w:ascii="仿宋" w:hAnsi="仿宋" w:eastAsia="仿宋" w:cs="仿宋"/>
          <w:color w:val="auto"/>
          <w:kern w:val="0"/>
          <w:sz w:val="28"/>
          <w:szCs w:val="28"/>
          <w:lang w:val="zh-CN" w:eastAsia="zh-CN" w:bidi="zh-CN"/>
        </w:rPr>
      </w:pPr>
    </w:p>
    <w:p>
      <w:pPr>
        <w:rPr>
          <w:rFonts w:hint="eastAsia"/>
          <w:lang w:val="zh-CN" w:eastAsia="zh-CN"/>
        </w:rPr>
      </w:pPr>
    </w:p>
    <w:p>
      <w:pPr>
        <w:rPr>
          <w:rFonts w:hint="eastAsia"/>
        </w:rPr>
      </w:pPr>
    </w:p>
    <w:p>
      <w:pPr>
        <w:pStyle w:val="8"/>
        <w:rPr>
          <w:rFonts w:hint="eastAsia"/>
          <w:color w:val="auto"/>
        </w:rPr>
      </w:pPr>
      <w:r>
        <w:rPr>
          <w:rFonts w:hint="eastAsia"/>
          <w:color w:val="auto"/>
          <w:lang w:val="en-US" w:eastAsia="zh-CN"/>
        </w:rPr>
        <w:t>六</w:t>
      </w:r>
      <w:r>
        <w:rPr>
          <w:rFonts w:hint="eastAsia"/>
          <w:color w:val="auto"/>
        </w:rPr>
        <w:t xml:space="preserve">、磋商办法（综合评分法） </w:t>
      </w:r>
    </w:p>
    <w:p>
      <w:pPr>
        <w:spacing w:line="360" w:lineRule="auto"/>
        <w:jc w:val="center"/>
        <w:rPr>
          <w:rFonts w:hint="eastAsia" w:ascii="仿宋" w:hAnsi="仿宋" w:eastAsia="仿宋" w:cs="仿宋"/>
          <w:b/>
          <w:bCs/>
          <w:color w:val="auto"/>
          <w:sz w:val="28"/>
          <w:szCs w:val="28"/>
        </w:rPr>
      </w:pPr>
      <w:bookmarkStart w:id="34" w:name="磋商办法前附表"/>
      <w:bookmarkEnd w:id="34"/>
      <w:r>
        <w:rPr>
          <w:rFonts w:hint="eastAsia" w:ascii="仿宋" w:hAnsi="仿宋" w:eastAsia="仿宋" w:cs="仿宋"/>
          <w:b/>
          <w:bCs/>
          <w:color w:val="auto"/>
          <w:sz w:val="28"/>
          <w:szCs w:val="28"/>
        </w:rPr>
        <w:t>磋商办法前附表</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211"/>
        <w:gridCol w:w="1001"/>
        <w:gridCol w:w="2165"/>
        <w:gridCol w:w="5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4" w:type="pct"/>
            <w:gridSpan w:val="3"/>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条款号</w:t>
            </w:r>
          </w:p>
        </w:tc>
        <w:tc>
          <w:tcPr>
            <w:tcW w:w="1099" w:type="pct"/>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评审因素</w:t>
            </w:r>
          </w:p>
        </w:tc>
        <w:tc>
          <w:tcPr>
            <w:tcW w:w="2846" w:type="pct"/>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6"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2.1.1</w:t>
            </w:r>
          </w:p>
        </w:tc>
        <w:tc>
          <w:tcPr>
            <w:tcW w:w="507" w:type="pct"/>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形式</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w:t>
            </w:r>
            <w:r>
              <w:rPr>
                <w:rFonts w:hint="eastAsia" w:cs="宋体"/>
                <w:color w:val="auto"/>
                <w:kern w:val="0"/>
                <w:szCs w:val="21"/>
                <w:highlight w:val="none"/>
                <w:lang w:eastAsia="zh-CN"/>
              </w:rPr>
              <w:t>（</w:t>
            </w:r>
            <w:r>
              <w:rPr>
                <w:rFonts w:hint="eastAsia" w:cs="宋体"/>
                <w:color w:val="auto"/>
                <w:kern w:val="0"/>
                <w:szCs w:val="21"/>
                <w:highlight w:val="none"/>
                <w:lang w:val="en-US" w:eastAsia="zh-CN"/>
              </w:rPr>
              <w:t>符合性</w:t>
            </w:r>
            <w:r>
              <w:rPr>
                <w:rFonts w:hint="eastAsia" w:cs="宋体"/>
                <w:color w:val="auto"/>
                <w:kern w:val="0"/>
                <w:szCs w:val="21"/>
                <w:highlight w:val="none"/>
                <w:lang w:eastAsia="zh-CN"/>
              </w:rPr>
              <w:t>）</w:t>
            </w:r>
            <w:r>
              <w:rPr>
                <w:rFonts w:hint="eastAsia" w:ascii="宋体" w:hAnsi="宋体" w:cs="宋体"/>
                <w:color w:val="auto"/>
                <w:kern w:val="0"/>
                <w:szCs w:val="21"/>
                <w:highlight w:val="none"/>
              </w:rPr>
              <w:t>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投标人名称</w:t>
            </w:r>
          </w:p>
        </w:tc>
        <w:tc>
          <w:tcPr>
            <w:tcW w:w="2846"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投标函签字盖章</w:t>
            </w:r>
          </w:p>
        </w:tc>
        <w:tc>
          <w:tcPr>
            <w:tcW w:w="2846"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olor w:val="auto"/>
                <w:szCs w:val="21"/>
                <w:highlight w:val="none"/>
              </w:rPr>
              <w:t>有法定代表人电子签名并加盖单位电子签章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eastAsia="zh-CN"/>
              </w:rPr>
            </w:pPr>
            <w:r>
              <w:rPr>
                <w:rFonts w:hint="eastAsia" w:cs="宋体"/>
                <w:color w:val="auto"/>
                <w:kern w:val="0"/>
                <w:szCs w:val="21"/>
                <w:highlight w:val="none"/>
                <w:lang w:eastAsia="zh-CN"/>
              </w:rPr>
              <w:t>磋商响应文件格式</w:t>
            </w:r>
          </w:p>
        </w:tc>
        <w:tc>
          <w:tcPr>
            <w:tcW w:w="2846"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符合第</w:t>
            </w:r>
            <w:r>
              <w:rPr>
                <w:rFonts w:hint="eastAsia" w:cs="宋体"/>
                <w:color w:val="auto"/>
                <w:kern w:val="0"/>
                <w:szCs w:val="21"/>
                <w:highlight w:val="none"/>
                <w:lang w:eastAsia="zh-CN"/>
              </w:rPr>
              <w:t>五部分</w:t>
            </w:r>
            <w:r>
              <w:rPr>
                <w:rFonts w:hint="eastAsia" w:ascii="宋体" w:hAnsi="宋体" w:cs="宋体"/>
                <w:color w:val="auto"/>
                <w:kern w:val="0"/>
                <w:szCs w:val="21"/>
                <w:highlight w:val="none"/>
              </w:rPr>
              <w:t>“</w:t>
            </w:r>
            <w:r>
              <w:rPr>
                <w:rFonts w:hint="eastAsia" w:cs="宋体"/>
                <w:color w:val="auto"/>
                <w:kern w:val="0"/>
                <w:szCs w:val="21"/>
                <w:highlight w:val="none"/>
                <w:lang w:eastAsia="zh-CN"/>
              </w:rPr>
              <w:t>磋商响应文件格式</w:t>
            </w:r>
            <w:r>
              <w:rPr>
                <w:rFonts w:hint="eastAsia" w:ascii="宋体" w:hAnsi="宋体" w:cs="宋体"/>
                <w:color w:val="auto"/>
                <w:kern w:val="0"/>
                <w:szCs w:val="21"/>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报价唯一</w:t>
            </w:r>
          </w:p>
        </w:tc>
        <w:tc>
          <w:tcPr>
            <w:tcW w:w="2846"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46"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2.1.2</w:t>
            </w:r>
          </w:p>
        </w:tc>
        <w:tc>
          <w:tcPr>
            <w:tcW w:w="507" w:type="pct"/>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资格</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营业执照</w:t>
            </w:r>
          </w:p>
        </w:tc>
        <w:tc>
          <w:tcPr>
            <w:tcW w:w="2846" w:type="pct"/>
            <w:vAlign w:val="center"/>
          </w:tcPr>
          <w:p>
            <w:pPr>
              <w:spacing w:line="440" w:lineRule="exact"/>
              <w:rPr>
                <w:rFonts w:ascii="宋体" w:hAnsi="宋体" w:cs="宋体"/>
                <w:color w:val="auto"/>
                <w:kern w:val="0"/>
                <w:szCs w:val="21"/>
                <w:highlight w:val="none"/>
              </w:rPr>
            </w:pPr>
            <w:r>
              <w:rPr>
                <w:rFonts w:hint="eastAsia" w:ascii="宋体" w:hAnsi="宋体" w:cs="宋体"/>
                <w:color w:val="auto"/>
                <w:kern w:val="0"/>
                <w:szCs w:val="21"/>
                <w:highlight w:val="none"/>
              </w:rPr>
              <w:t xml:space="preserve">具备有效的营业执照（原件扫描上传至诚信库中）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资质等级</w:t>
            </w:r>
          </w:p>
        </w:tc>
        <w:tc>
          <w:tcPr>
            <w:tcW w:w="2846"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color w:val="auto"/>
                <w:szCs w:val="21"/>
                <w:highlight w:val="none"/>
              </w:rPr>
              <w:t>符合第</w:t>
            </w:r>
            <w:r>
              <w:rPr>
                <w:rFonts w:hint="eastAsia"/>
                <w:color w:val="auto"/>
                <w:szCs w:val="21"/>
                <w:highlight w:val="none"/>
                <w:lang w:val="en-US" w:eastAsia="zh-CN"/>
              </w:rPr>
              <w:t>二部分</w:t>
            </w:r>
            <w:r>
              <w:rPr>
                <w:rFonts w:hint="eastAsia"/>
                <w:color w:val="auto"/>
                <w:szCs w:val="21"/>
                <w:highlight w:val="none"/>
              </w:rPr>
              <w:t>“</w:t>
            </w:r>
            <w:r>
              <w:rPr>
                <w:rFonts w:hint="eastAsia"/>
                <w:color w:val="auto"/>
                <w:szCs w:val="21"/>
                <w:highlight w:val="none"/>
                <w:lang w:eastAsia="zh-CN"/>
              </w:rPr>
              <w:t>供应商须知</w:t>
            </w:r>
            <w:r>
              <w:rPr>
                <w:rFonts w:hint="eastAsia"/>
                <w:color w:val="auto"/>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项目负责人</w:t>
            </w:r>
          </w:p>
        </w:tc>
        <w:tc>
          <w:tcPr>
            <w:tcW w:w="2846" w:type="pct"/>
            <w:vAlign w:val="center"/>
          </w:tcPr>
          <w:p>
            <w:pPr>
              <w:autoSpaceDE w:val="0"/>
              <w:autoSpaceDN w:val="0"/>
              <w:adjustRightInd w:val="0"/>
              <w:spacing w:line="320" w:lineRule="exact"/>
              <w:rPr>
                <w:color w:val="auto"/>
                <w:szCs w:val="21"/>
                <w:highlight w:val="none"/>
              </w:rPr>
            </w:pPr>
            <w:r>
              <w:rPr>
                <w:rFonts w:hint="eastAsia" w:ascii="宋体" w:hAnsi="宋体" w:cs="宋体"/>
                <w:color w:val="auto"/>
                <w:kern w:val="0"/>
                <w:szCs w:val="21"/>
                <w:highlight w:val="none"/>
              </w:rPr>
              <w:t>符合第</w:t>
            </w:r>
            <w:r>
              <w:rPr>
                <w:rFonts w:hint="eastAsia" w:ascii="宋体" w:hAnsi="宋体" w:cs="宋体"/>
                <w:color w:val="auto"/>
                <w:kern w:val="0"/>
                <w:szCs w:val="21"/>
                <w:highlight w:val="none"/>
                <w:lang w:val="en-US" w:eastAsia="zh-CN"/>
              </w:rPr>
              <w:t>二部分</w:t>
            </w:r>
            <w:r>
              <w:rPr>
                <w:rFonts w:hint="eastAsia" w:ascii="宋体" w:hAnsi="宋体" w:cs="宋体"/>
                <w:color w:val="auto"/>
                <w:kern w:val="0"/>
                <w:szCs w:val="21"/>
                <w:highlight w:val="none"/>
              </w:rPr>
              <w:t>“</w:t>
            </w:r>
            <w:r>
              <w:rPr>
                <w:rFonts w:hint="eastAsia" w:cs="宋体"/>
                <w:color w:val="auto"/>
                <w:kern w:val="0"/>
                <w:szCs w:val="21"/>
                <w:highlight w:val="none"/>
                <w:lang w:eastAsia="zh-CN"/>
              </w:rPr>
              <w:t>供应商须知</w:t>
            </w:r>
            <w:r>
              <w:rPr>
                <w:rFonts w:hint="eastAsia" w:ascii="宋体" w:hAnsi="宋体" w:cs="宋体"/>
                <w:color w:val="auto"/>
                <w:kern w:val="0"/>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信誉要求</w:t>
            </w:r>
          </w:p>
        </w:tc>
        <w:tc>
          <w:tcPr>
            <w:tcW w:w="2846"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其他要求</w:t>
            </w:r>
          </w:p>
        </w:tc>
        <w:tc>
          <w:tcPr>
            <w:tcW w:w="2846" w:type="pct"/>
            <w:vAlign w:val="center"/>
          </w:tcPr>
          <w:p>
            <w:pPr>
              <w:autoSpaceDE w:val="0"/>
              <w:autoSpaceDN w:val="0"/>
              <w:adjustRightInd w:val="0"/>
              <w:spacing w:line="320" w:lineRule="exact"/>
              <w:rPr>
                <w:rFonts w:hint="eastAsia"/>
                <w:color w:val="auto"/>
                <w:highlight w:val="none"/>
              </w:rPr>
            </w:pPr>
            <w:r>
              <w:rPr>
                <w:rFonts w:hint="eastAsia"/>
                <w:color w:val="auto"/>
                <w:highlight w:val="none"/>
              </w:rPr>
              <w:t>符合第</w:t>
            </w:r>
            <w:r>
              <w:rPr>
                <w:rFonts w:hint="eastAsia"/>
                <w:color w:val="auto"/>
                <w:highlight w:val="none"/>
                <w:lang w:val="en-US" w:eastAsia="zh-CN"/>
              </w:rPr>
              <w:t>二部分</w:t>
            </w:r>
            <w:r>
              <w:rPr>
                <w:rFonts w:hint="eastAsia"/>
                <w:color w:val="auto"/>
                <w:highlight w:val="none"/>
              </w:rPr>
              <w:t>“</w:t>
            </w:r>
            <w:r>
              <w:rPr>
                <w:rFonts w:hint="eastAsia"/>
                <w:color w:val="auto"/>
                <w:highlight w:val="none"/>
                <w:lang w:eastAsia="zh-CN"/>
              </w:rPr>
              <w:t>供应商须知</w:t>
            </w:r>
            <w:r>
              <w:rPr>
                <w:rFonts w:hint="eastAsia"/>
                <w:color w:val="auto"/>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bookmarkStart w:id="35" w:name="_Toc374097580"/>
            <w:r>
              <w:rPr>
                <w:rFonts w:hint="eastAsia" w:cs="宋体"/>
                <w:color w:val="auto"/>
                <w:kern w:val="0"/>
                <w:szCs w:val="21"/>
                <w:highlight w:val="none"/>
                <w:lang w:val="en-US" w:eastAsia="zh-CN"/>
              </w:rPr>
              <w:t>2.1.3</w:t>
            </w:r>
          </w:p>
        </w:tc>
        <w:tc>
          <w:tcPr>
            <w:tcW w:w="507" w:type="pct"/>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响应性（技术）评审</w:t>
            </w: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磋商内容</w:t>
            </w:r>
          </w:p>
        </w:tc>
        <w:tc>
          <w:tcPr>
            <w:tcW w:w="2846"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7"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工期（合同履行期限）</w:t>
            </w:r>
          </w:p>
        </w:tc>
        <w:tc>
          <w:tcPr>
            <w:tcW w:w="2846"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7"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质量要求</w:t>
            </w:r>
          </w:p>
        </w:tc>
        <w:tc>
          <w:tcPr>
            <w:tcW w:w="2846"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7"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磋商有效期</w:t>
            </w:r>
          </w:p>
        </w:tc>
        <w:tc>
          <w:tcPr>
            <w:tcW w:w="2846"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7"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cs="宋体"/>
                <w:color w:val="auto"/>
                <w:kern w:val="0"/>
                <w:szCs w:val="21"/>
                <w:highlight w:val="none"/>
                <w:lang w:val="en-US" w:eastAsia="zh-CN"/>
              </w:rPr>
            </w:pPr>
            <w:r>
              <w:rPr>
                <w:rFonts w:hint="eastAsia" w:cs="宋体"/>
                <w:color w:val="auto"/>
                <w:kern w:val="0"/>
                <w:szCs w:val="21"/>
                <w:highlight w:val="none"/>
                <w:lang w:val="en-US" w:eastAsia="zh-CN"/>
              </w:rPr>
              <w:t>实质性响应</w:t>
            </w:r>
          </w:p>
        </w:tc>
        <w:tc>
          <w:tcPr>
            <w:tcW w:w="2846" w:type="pct"/>
            <w:vAlign w:val="center"/>
          </w:tcPr>
          <w:p>
            <w:pPr>
              <w:autoSpaceDE w:val="0"/>
              <w:autoSpaceDN w:val="0"/>
              <w:adjustRightInd w:val="0"/>
              <w:spacing w:line="320" w:lineRule="exact"/>
              <w:rPr>
                <w:rFonts w:hint="default" w:eastAsia="仿宋"/>
                <w:color w:val="auto"/>
                <w:highlight w:val="none"/>
                <w:lang w:val="en-US" w:eastAsia="zh-CN"/>
              </w:rPr>
            </w:pPr>
            <w:r>
              <w:rPr>
                <w:rFonts w:hint="eastAsia"/>
                <w:color w:val="auto"/>
                <w:highlight w:val="none"/>
                <w:lang w:val="en-US" w:eastAsia="zh-CN"/>
              </w:rPr>
              <w:t>响应磋商文件实质性要求</w:t>
            </w:r>
          </w:p>
        </w:tc>
      </w:tr>
      <w:bookmarkEnd w:id="3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54" w:type="pct"/>
            <w:gridSpan w:val="3"/>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条款号</w:t>
            </w:r>
          </w:p>
        </w:tc>
        <w:tc>
          <w:tcPr>
            <w:tcW w:w="1099" w:type="pct"/>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条款内容</w:t>
            </w:r>
          </w:p>
        </w:tc>
        <w:tc>
          <w:tcPr>
            <w:tcW w:w="2846" w:type="pct"/>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54" w:type="pct"/>
            <w:gridSpan w:val="3"/>
            <w:noWrap w:val="0"/>
            <w:vAlign w:val="center"/>
          </w:tcPr>
          <w:p>
            <w:pPr>
              <w:pStyle w:val="34"/>
              <w:spacing w:line="240" w:lineRule="atLeast"/>
              <w:jc w:val="center"/>
              <w:rPr>
                <w:rFonts w:hint="eastAsia" w:hAnsi="宋体" w:cs="宋体"/>
                <w:color w:val="auto"/>
                <w:sz w:val="21"/>
                <w:szCs w:val="21"/>
              </w:rPr>
            </w:pPr>
            <w:r>
              <w:rPr>
                <w:rFonts w:hint="eastAsia" w:hAnsi="宋体" w:cs="宋体"/>
                <w:color w:val="auto"/>
                <w:sz w:val="21"/>
                <w:szCs w:val="21"/>
              </w:rPr>
              <w:t>2.2.1</w:t>
            </w:r>
          </w:p>
        </w:tc>
        <w:tc>
          <w:tcPr>
            <w:tcW w:w="1099" w:type="pct"/>
            <w:noWrap w:val="0"/>
            <w:vAlign w:val="center"/>
          </w:tcPr>
          <w:p>
            <w:pPr>
              <w:pStyle w:val="34"/>
              <w:spacing w:line="240" w:lineRule="atLeast"/>
              <w:jc w:val="center"/>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分值构成</w:t>
            </w:r>
          </w:p>
          <w:p>
            <w:pPr>
              <w:pStyle w:val="34"/>
              <w:spacing w:line="240" w:lineRule="atLeast"/>
              <w:jc w:val="center"/>
              <w:rPr>
                <w:rFonts w:hint="eastAsia" w:hAnsi="宋体" w:cs="宋体"/>
                <w:color w:val="auto"/>
                <w:sz w:val="21"/>
                <w:szCs w:val="21"/>
              </w:rPr>
            </w:pPr>
            <w:r>
              <w:rPr>
                <w:rFonts w:hint="eastAsia" w:hAnsi="宋体" w:eastAsia="仿宋" w:cs="宋体"/>
                <w:color w:val="auto"/>
                <w:kern w:val="0"/>
                <w:sz w:val="24"/>
                <w:szCs w:val="21"/>
                <w:highlight w:val="none"/>
                <w:lang w:val="en-US" w:eastAsia="zh-CN" w:bidi="zh-CN"/>
              </w:rPr>
              <w:t>（总分100分）</w:t>
            </w:r>
          </w:p>
        </w:tc>
        <w:tc>
          <w:tcPr>
            <w:tcW w:w="2846" w:type="pct"/>
            <w:noWrap w:val="0"/>
            <w:vAlign w:val="center"/>
          </w:tcPr>
          <w:p>
            <w:pPr>
              <w:rPr>
                <w:rFonts w:hint="eastAsia" w:ascii="宋体" w:hAnsi="宋体" w:cs="宋体"/>
                <w:color w:val="auto"/>
                <w:szCs w:val="21"/>
              </w:rPr>
            </w:pPr>
            <w:r>
              <w:rPr>
                <w:rFonts w:hint="eastAsia" w:cs="宋体"/>
                <w:color w:val="auto"/>
                <w:szCs w:val="21"/>
                <w:lang w:val="en-US" w:eastAsia="zh-CN"/>
              </w:rPr>
              <w:t>磋商报价</w:t>
            </w:r>
            <w:r>
              <w:rPr>
                <w:rFonts w:hint="eastAsia" w:ascii="宋体" w:hAnsi="宋体" w:cs="宋体"/>
                <w:color w:val="auto"/>
                <w:szCs w:val="21"/>
              </w:rPr>
              <w:t>：30分</w:t>
            </w:r>
          </w:p>
          <w:p>
            <w:pPr>
              <w:rPr>
                <w:rFonts w:hint="eastAsia" w:ascii="宋体" w:hAnsi="宋体" w:cs="宋体"/>
                <w:color w:val="auto"/>
                <w:szCs w:val="21"/>
              </w:rPr>
            </w:pPr>
            <w:r>
              <w:rPr>
                <w:rFonts w:hint="eastAsia" w:cs="宋体"/>
                <w:color w:val="auto"/>
                <w:szCs w:val="21"/>
                <w:lang w:val="en-US" w:eastAsia="zh-CN"/>
              </w:rPr>
              <w:t>技术标</w:t>
            </w:r>
            <w:r>
              <w:rPr>
                <w:rFonts w:hint="eastAsia" w:ascii="宋体" w:hAnsi="宋体" w:cs="宋体"/>
                <w:color w:val="auto"/>
                <w:szCs w:val="21"/>
              </w:rPr>
              <w:t>：</w:t>
            </w:r>
            <w:r>
              <w:rPr>
                <w:rFonts w:hint="eastAsia" w:cs="宋体"/>
                <w:color w:val="auto"/>
                <w:szCs w:val="21"/>
                <w:lang w:val="en-US" w:eastAsia="zh-CN"/>
              </w:rPr>
              <w:t>45</w:t>
            </w:r>
            <w:r>
              <w:rPr>
                <w:rFonts w:hint="eastAsia" w:ascii="宋体" w:hAnsi="宋体" w:cs="宋体"/>
                <w:color w:val="auto"/>
                <w:szCs w:val="21"/>
              </w:rPr>
              <w:t>分</w:t>
            </w:r>
          </w:p>
          <w:p>
            <w:pPr>
              <w:rPr>
                <w:rFonts w:hint="eastAsia" w:ascii="宋体" w:hAnsi="宋体" w:cs="宋体"/>
                <w:color w:val="auto"/>
                <w:szCs w:val="21"/>
              </w:rPr>
            </w:pPr>
            <w:r>
              <w:rPr>
                <w:rFonts w:hint="eastAsia" w:cs="宋体"/>
                <w:color w:val="auto"/>
                <w:szCs w:val="21"/>
                <w:lang w:val="en-US" w:eastAsia="zh-CN"/>
              </w:rPr>
              <w:t>综合标</w:t>
            </w:r>
            <w:r>
              <w:rPr>
                <w:rFonts w:hint="eastAsia" w:ascii="宋体" w:hAnsi="宋体" w:cs="宋体"/>
                <w:color w:val="auto"/>
                <w:szCs w:val="21"/>
              </w:rPr>
              <w:t>：</w:t>
            </w:r>
            <w:r>
              <w:rPr>
                <w:rFonts w:hint="eastAsia" w:cs="宋体"/>
                <w:color w:val="auto"/>
                <w:szCs w:val="21"/>
                <w:lang w:val="en-US" w:eastAsia="zh-CN"/>
              </w:rPr>
              <w:t>25</w:t>
            </w:r>
            <w:r>
              <w:rPr>
                <w:rFonts w:hint="eastAsia" w:ascii="宋体" w:hAnsi="宋体" w:cs="宋体"/>
                <w:color w:val="auto"/>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54" w:type="pct"/>
            <w:gridSpan w:val="3"/>
            <w:noWrap w:val="0"/>
            <w:vAlign w:val="center"/>
          </w:tcPr>
          <w:p>
            <w:pPr>
              <w:pStyle w:val="34"/>
              <w:spacing w:line="240" w:lineRule="atLeast"/>
              <w:jc w:val="center"/>
              <w:rPr>
                <w:rFonts w:hint="eastAsia" w:hAnsi="宋体" w:eastAsia="宋体" w:cs="宋体"/>
                <w:color w:val="auto"/>
                <w:sz w:val="21"/>
                <w:szCs w:val="21"/>
                <w:lang w:eastAsia="zh-CN"/>
              </w:rPr>
            </w:pPr>
            <w:r>
              <w:rPr>
                <w:rFonts w:hint="eastAsia" w:hAnsi="宋体" w:cs="宋体"/>
                <w:color w:val="auto"/>
                <w:sz w:val="21"/>
                <w:szCs w:val="21"/>
              </w:rPr>
              <w:t>2.2.2</w:t>
            </w:r>
          </w:p>
        </w:tc>
        <w:tc>
          <w:tcPr>
            <w:tcW w:w="1099" w:type="pct"/>
            <w:noWrap w:val="0"/>
            <w:vAlign w:val="center"/>
          </w:tcPr>
          <w:p>
            <w:pPr>
              <w:pStyle w:val="34"/>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磋商基准价</w:t>
            </w:r>
          </w:p>
        </w:tc>
        <w:tc>
          <w:tcPr>
            <w:tcW w:w="2846"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采用低价优先法计算，即满足竞争性磋商文件要求且最终磋商报价最低的供应商的价格为磋商基准价</w:t>
            </w:r>
            <w:r>
              <w:rPr>
                <w:rFonts w:hint="eastAsia" w:cs="宋体"/>
                <w:color w:val="auto"/>
                <w:kern w:val="0"/>
                <w:sz w:val="24"/>
                <w:szCs w:val="21"/>
                <w:highlight w:val="none"/>
                <w:lang w:val="en-US"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54" w:type="pct"/>
            <w:gridSpan w:val="3"/>
            <w:noWrap w:val="0"/>
            <w:vAlign w:val="center"/>
          </w:tcPr>
          <w:p>
            <w:pPr>
              <w:pStyle w:val="34"/>
              <w:spacing w:line="240" w:lineRule="atLeast"/>
              <w:jc w:val="center"/>
              <w:rPr>
                <w:rFonts w:hint="eastAsia" w:hAnsi="宋体" w:cs="宋体"/>
                <w:color w:val="auto"/>
                <w:sz w:val="21"/>
                <w:szCs w:val="21"/>
              </w:rPr>
            </w:pPr>
            <w:r>
              <w:rPr>
                <w:rFonts w:hint="eastAsia" w:hAnsi="宋体" w:cs="宋体"/>
                <w:color w:val="auto"/>
                <w:sz w:val="21"/>
                <w:szCs w:val="21"/>
              </w:rPr>
              <w:t>2.2.3</w:t>
            </w:r>
          </w:p>
        </w:tc>
        <w:tc>
          <w:tcPr>
            <w:tcW w:w="1099" w:type="pct"/>
            <w:noWrap w:val="0"/>
            <w:vAlign w:val="center"/>
          </w:tcPr>
          <w:p>
            <w:pPr>
              <w:pStyle w:val="34"/>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磋商报价（30分）</w:t>
            </w:r>
          </w:p>
        </w:tc>
        <w:tc>
          <w:tcPr>
            <w:tcW w:w="2846"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满足竞争性磋商文件要求且磋商报价最低的供应商的价格为磋商基准价，其价格为满分 30 分。 </w:t>
            </w:r>
          </w:p>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磋商报价得分=（磋商基准价/磋商报价）×30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价格优惠说明：</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1、为贯彻落实</w:t>
            </w:r>
            <w:r>
              <w:rPr>
                <w:rFonts w:hint="eastAsia" w:cs="宋体"/>
                <w:color w:val="auto"/>
                <w:kern w:val="0"/>
                <w:sz w:val="24"/>
                <w:szCs w:val="21"/>
                <w:highlight w:val="none"/>
                <w:lang w:val="en-US" w:eastAsia="zh-CN" w:bidi="zh-CN"/>
              </w:rPr>
              <w:t>《关于进一步加大政府采购支持中小企业力度的通知》（财库【2022】19号）</w:t>
            </w:r>
            <w:r>
              <w:rPr>
                <w:rFonts w:hint="eastAsia" w:ascii="宋体" w:hAnsi="宋体" w:eastAsia="仿宋" w:cs="宋体"/>
                <w:color w:val="auto"/>
                <w:kern w:val="0"/>
                <w:sz w:val="24"/>
                <w:szCs w:val="21"/>
                <w:highlight w:val="none"/>
                <w:lang w:val="en-US" w:eastAsia="zh-CN" w:bidi="zh-CN"/>
              </w:rPr>
              <w:t>，本项目鼓励中小企业参与，中小企业须提交《中小企业声明函》原件及相应的中小企业证明材料。</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w:t>
            </w:r>
            <w:r>
              <w:rPr>
                <w:rFonts w:hint="default" w:ascii="宋体" w:hAnsi="宋体" w:eastAsia="仿宋" w:cs="宋体"/>
                <w:color w:val="auto"/>
                <w:kern w:val="0"/>
                <w:sz w:val="24"/>
                <w:szCs w:val="21"/>
                <w:highlight w:val="none"/>
                <w:lang w:val="en-US" w:eastAsia="zh-CN" w:bidi="zh-CN"/>
              </w:rPr>
              <w:t>中小企业划型标准以工信部联企业〔2011）300 号《工业和信息化部国家统计局国家发展和改革委财政部关于印发中小企业划型标准规定的通知》及</w:t>
            </w:r>
            <w:r>
              <w:rPr>
                <w:rFonts w:hint="eastAsia" w:cs="宋体"/>
                <w:color w:val="auto"/>
                <w:kern w:val="0"/>
                <w:sz w:val="24"/>
                <w:szCs w:val="21"/>
                <w:highlight w:val="none"/>
                <w:lang w:val="en-US" w:eastAsia="zh-CN" w:bidi="zh-CN"/>
              </w:rPr>
              <w:t>《关于进一步加大政府采购支持中小企业力度的通知》（财库【2022】19号）</w:t>
            </w:r>
            <w:r>
              <w:rPr>
                <w:rFonts w:hint="default" w:ascii="宋体" w:hAnsi="宋体" w:eastAsia="仿宋" w:cs="宋体"/>
                <w:color w:val="auto"/>
                <w:kern w:val="0"/>
                <w:sz w:val="24"/>
                <w:szCs w:val="21"/>
                <w:highlight w:val="none"/>
                <w:lang w:val="en-US" w:eastAsia="zh-CN" w:bidi="zh-CN"/>
              </w:rPr>
              <w:t xml:space="preserve">为依据。 </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3、评审时给予小型和微型企业</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%的价格扣除，用扣除后的价格参与评审。即小微型企业优惠后报价=投标报价*（1-</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 xml:space="preserve">%）。 </w:t>
            </w:r>
          </w:p>
          <w:p>
            <w:pPr>
              <w:pStyle w:val="34"/>
              <w:spacing w:line="240" w:lineRule="atLeast"/>
              <w:jc w:val="both"/>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4、监狱企业及残疾人福利性单位视同小微企业。</w:t>
            </w:r>
          </w:p>
          <w:p>
            <w:pPr>
              <w:rPr>
                <w:rFonts w:hint="default"/>
                <w:lang w:val="en-US" w:eastAsia="zh-CN"/>
              </w:rPr>
            </w:pPr>
            <w:r>
              <w:rPr>
                <w:rFonts w:hint="eastAsia"/>
                <w:color w:val="auto"/>
                <w:lang w:val="en-US" w:eastAsia="zh-CN"/>
              </w:rPr>
              <w:t>采购标的所属行业为: 工程类。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54" w:type="pct"/>
            <w:gridSpan w:val="3"/>
            <w:noWrap w:val="0"/>
            <w:vAlign w:val="center"/>
          </w:tcPr>
          <w:p>
            <w:pPr>
              <w:pStyle w:val="34"/>
              <w:spacing w:line="240" w:lineRule="atLeast"/>
              <w:jc w:val="center"/>
              <w:rPr>
                <w:rFonts w:hint="eastAsia" w:ascii="宋体" w:hAnsi="宋体" w:eastAsia="仿宋" w:cs="宋体"/>
                <w:b/>
                <w:bCs/>
                <w:color w:val="auto"/>
                <w:kern w:val="0"/>
                <w:sz w:val="24"/>
                <w:szCs w:val="21"/>
                <w:highlight w:val="none"/>
                <w:lang w:val="en-US" w:eastAsia="zh-CN" w:bidi="zh-CN"/>
              </w:rPr>
            </w:pPr>
            <w:r>
              <w:rPr>
                <w:rFonts w:hint="eastAsia" w:ascii="宋体" w:hAnsi="宋体" w:eastAsia="仿宋" w:cs="宋体"/>
                <w:b/>
                <w:bCs/>
                <w:color w:val="auto"/>
                <w:kern w:val="0"/>
                <w:sz w:val="24"/>
                <w:szCs w:val="21"/>
                <w:highlight w:val="none"/>
                <w:lang w:val="en-US" w:eastAsia="zh-CN" w:bidi="zh-CN"/>
              </w:rPr>
              <w:t>条款号</w:t>
            </w:r>
          </w:p>
        </w:tc>
        <w:tc>
          <w:tcPr>
            <w:tcW w:w="1099" w:type="pct"/>
            <w:noWrap w:val="0"/>
            <w:vAlign w:val="center"/>
          </w:tcPr>
          <w:p>
            <w:pPr>
              <w:pStyle w:val="34"/>
              <w:spacing w:line="240" w:lineRule="atLeast"/>
              <w:jc w:val="center"/>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技术部分评分因素</w:t>
            </w:r>
          </w:p>
        </w:tc>
        <w:tc>
          <w:tcPr>
            <w:tcW w:w="2846" w:type="pct"/>
            <w:noWrap w:val="0"/>
            <w:vAlign w:val="center"/>
          </w:tcPr>
          <w:p>
            <w:pPr>
              <w:pStyle w:val="34"/>
              <w:spacing w:line="240" w:lineRule="atLeast"/>
              <w:jc w:val="both"/>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restart"/>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2.2.4（1）</w:t>
            </w:r>
          </w:p>
        </w:tc>
        <w:tc>
          <w:tcPr>
            <w:tcW w:w="615" w:type="pct"/>
            <w:gridSpan w:val="2"/>
            <w:vMerge w:val="restart"/>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技术标</w:t>
            </w:r>
            <w:r>
              <w:rPr>
                <w:rFonts w:hint="eastAsia" w:ascii="宋体" w:hAnsi="宋体" w:eastAsia="仿宋" w:cs="宋体"/>
                <w:color w:val="auto"/>
                <w:kern w:val="0"/>
                <w:sz w:val="24"/>
                <w:szCs w:val="21"/>
                <w:highlight w:val="none"/>
                <w:lang w:val="en-US" w:eastAsia="zh-CN" w:bidi="zh-CN"/>
              </w:rPr>
              <w:t>评分标准</w:t>
            </w:r>
          </w:p>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w:t>
            </w:r>
            <w:r>
              <w:rPr>
                <w:rFonts w:hint="eastAsia" w:hAnsi="宋体" w:eastAsia="仿宋" w:cs="宋体"/>
                <w:color w:val="auto"/>
                <w:kern w:val="0"/>
                <w:sz w:val="24"/>
                <w:szCs w:val="21"/>
                <w:highlight w:val="none"/>
                <w:lang w:val="en-US" w:eastAsia="zh-CN" w:bidi="zh-CN"/>
              </w:rPr>
              <w:t>45</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施工方案和技术措施</w:t>
            </w:r>
          </w:p>
        </w:tc>
        <w:tc>
          <w:tcPr>
            <w:tcW w:w="2846"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一档：施工方案和技术措施内容合理、针对性强，得8分；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二档：施工方案和技术措施内容较合理、但针对性不强，较完整得5分；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三档：施工方案和技术措施内容欠合理、针对性不强，不完整得3分。</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未提供或提供的内容完全与本项目无关的，得0分。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安全管理体系与措施</w:t>
            </w:r>
          </w:p>
        </w:tc>
        <w:tc>
          <w:tcPr>
            <w:tcW w:w="2846"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一档：安全体系与措施合理、针对性强，完整得8 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二档：安全体系与措施较合理、但针对性不强，较完整得5分；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三档：安全体系与措施欠合理、针对性不强，不完整得3分。 </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未提供或提供的内容完全与本项目无关的，得0分。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质量管理体系与措施</w:t>
            </w:r>
          </w:p>
        </w:tc>
        <w:tc>
          <w:tcPr>
            <w:tcW w:w="2846"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一档：质量体系与措施合理、针对性强，完整得8 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二档：质量体系与措施较合理、但针对性不强，较完整得5分；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三档：质量体系与措施欠合理、针对性不强，不完整得3分。  </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未提供或提供的内容完全与本项目无关的，得0分。</w:t>
            </w:r>
            <w:r>
              <w:rPr>
                <w:rFonts w:hint="eastAsia" w:ascii="宋体" w:hAnsi="宋体" w:eastAsia="仿宋" w:cs="宋体"/>
                <w:color w:val="auto"/>
                <w:kern w:val="0"/>
                <w:sz w:val="24"/>
                <w:szCs w:val="21"/>
                <w:highlight w:val="none"/>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工程进度计划与措施</w:t>
            </w:r>
          </w:p>
        </w:tc>
        <w:tc>
          <w:tcPr>
            <w:tcW w:w="2846"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一档：进度计划与措施合理、针对性强，完整得8 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二档：进度计划与措施较合理、但针对性不强，较完整得5分；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三档：进度计划与措施欠合理、针对性不强，不完整得3分。 </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未提供或提供的内容完全与本项目无关的，得0分。</w:t>
            </w:r>
            <w:r>
              <w:rPr>
                <w:rFonts w:hint="eastAsia" w:ascii="宋体" w:hAnsi="宋体" w:eastAsia="仿宋" w:cs="宋体"/>
                <w:color w:val="auto"/>
                <w:kern w:val="0"/>
                <w:sz w:val="24"/>
                <w:szCs w:val="21"/>
                <w:highlight w:val="none"/>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拟投入资源配备计划（含项目组成员）</w:t>
            </w:r>
          </w:p>
        </w:tc>
        <w:tc>
          <w:tcPr>
            <w:tcW w:w="2846"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一档：资源计划和成员配备合理、符合项目实际，完整8分；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二档：资源计划和成员配备较合理，较符合项目实际，较完整5分；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三档：资源计划和成员配备欠合理，基本符合项目实际，不完整3分。 </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未提供或提供的内容完全与本项目无关的，得0分。</w:t>
            </w:r>
            <w:r>
              <w:rPr>
                <w:rFonts w:hint="eastAsia" w:ascii="宋体" w:hAnsi="宋体" w:eastAsia="仿宋" w:cs="宋体"/>
                <w:color w:val="auto"/>
                <w:kern w:val="0"/>
                <w:sz w:val="24"/>
                <w:szCs w:val="21"/>
                <w:highlight w:val="none"/>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内容完整性和编制水平（评委根据技术方案内容进行评分）</w:t>
            </w:r>
          </w:p>
        </w:tc>
        <w:tc>
          <w:tcPr>
            <w:tcW w:w="2846"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一档：内容合理、针对性强，得5分；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二档：内容较合理、但针对性不强，较完整得4分；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三档：内容欠合理、针对性不强，不完整得1分。 </w:t>
            </w:r>
          </w:p>
          <w:p>
            <w:pPr>
              <w:pStyle w:val="34"/>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未提供或提供的内容完全与本项目无关的，得0分。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4" w:hRule="atLeast"/>
          <w:jc w:val="center"/>
        </w:trPr>
        <w:tc>
          <w:tcPr>
            <w:tcW w:w="439" w:type="pct"/>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w:t>
            </w:r>
            <w:r>
              <w:rPr>
                <w:rFonts w:hint="eastAsia" w:cs="宋体"/>
                <w:color w:val="auto"/>
                <w:kern w:val="0"/>
                <w:sz w:val="24"/>
                <w:szCs w:val="21"/>
                <w:highlight w:val="none"/>
                <w:lang w:val="en-US" w:eastAsia="zh-CN" w:bidi="zh-CN"/>
              </w:rPr>
              <w:t>2</w:t>
            </w:r>
            <w:r>
              <w:rPr>
                <w:rFonts w:hint="eastAsia" w:ascii="宋体" w:hAnsi="宋体" w:eastAsia="仿宋" w:cs="宋体"/>
                <w:color w:val="auto"/>
                <w:kern w:val="0"/>
                <w:sz w:val="24"/>
                <w:szCs w:val="21"/>
                <w:highlight w:val="none"/>
                <w:lang w:val="en-US" w:eastAsia="zh-CN" w:bidi="zh-CN"/>
              </w:rPr>
              <w:t>）</w:t>
            </w:r>
          </w:p>
        </w:tc>
        <w:tc>
          <w:tcPr>
            <w:tcW w:w="615" w:type="pct"/>
            <w:gridSpan w:val="2"/>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cs="宋体"/>
                <w:color w:val="auto"/>
                <w:kern w:val="0"/>
                <w:sz w:val="24"/>
                <w:szCs w:val="21"/>
                <w:highlight w:val="none"/>
                <w:lang w:val="en-US" w:eastAsia="zh-CN" w:bidi="zh-CN"/>
              </w:rPr>
              <w:t>综合</w:t>
            </w:r>
            <w:r>
              <w:rPr>
                <w:rFonts w:hint="eastAsia" w:ascii="宋体" w:hAnsi="宋体" w:eastAsia="仿宋" w:cs="宋体"/>
                <w:color w:val="auto"/>
                <w:kern w:val="0"/>
                <w:sz w:val="24"/>
                <w:szCs w:val="21"/>
                <w:highlight w:val="none"/>
                <w:lang w:val="en-US" w:eastAsia="zh-CN" w:bidi="zh-CN"/>
              </w:rPr>
              <w:t xml:space="preserve">标部分 </w:t>
            </w:r>
            <w:r>
              <w:rPr>
                <w:rFonts w:hint="eastAsia" w:cs="宋体"/>
                <w:color w:val="auto"/>
                <w:kern w:val="0"/>
                <w:sz w:val="24"/>
                <w:szCs w:val="21"/>
                <w:highlight w:val="none"/>
                <w:lang w:val="en-US" w:eastAsia="zh-CN" w:bidi="zh-CN"/>
              </w:rPr>
              <w:t>（25分）</w:t>
            </w:r>
            <w:r>
              <w:rPr>
                <w:rFonts w:hint="eastAsia" w:ascii="宋体" w:hAnsi="宋体" w:eastAsia="仿宋" w:cs="宋体"/>
                <w:color w:val="auto"/>
                <w:kern w:val="0"/>
                <w:sz w:val="24"/>
                <w:szCs w:val="21"/>
                <w:highlight w:val="none"/>
                <w:lang w:val="en-US" w:eastAsia="zh-CN" w:bidi="zh-CN"/>
              </w:rPr>
              <w:t xml:space="preserve"> </w:t>
            </w:r>
          </w:p>
        </w:tc>
        <w:tc>
          <w:tcPr>
            <w:tcW w:w="1099" w:type="pct"/>
            <w:shd w:val="clear" w:color="auto" w:fill="auto"/>
            <w:noWrap w:val="0"/>
            <w:vAlign w:val="center"/>
          </w:tcPr>
          <w:p>
            <w:pPr>
              <w:pStyle w:val="7"/>
              <w:bidi w:val="0"/>
              <w:ind w:left="0" w:leftChars="0" w:right="854" w:rightChars="0"/>
              <w:jc w:val="left"/>
              <w:rPr>
                <w:rFonts w:hint="eastAsia" w:ascii="宋体" w:hAnsi="宋体" w:eastAsia="仿宋" w:cs="宋体"/>
                <w:b w:val="0"/>
                <w:bCs w:val="0"/>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投标人的业绩、类似工程经历0-2分</w:t>
            </w:r>
          </w:p>
        </w:tc>
        <w:tc>
          <w:tcPr>
            <w:tcW w:w="2846" w:type="pct"/>
            <w:shd w:val="clear" w:color="auto" w:fill="auto"/>
            <w:noWrap w:val="0"/>
            <w:vAlign w:val="center"/>
          </w:tcPr>
          <w:p>
            <w:pPr>
              <w:pStyle w:val="7"/>
              <w:bidi w:val="0"/>
              <w:ind w:left="0" w:leftChars="0" w:right="854" w:rightChars="0"/>
              <w:jc w:val="lef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20</w:t>
            </w:r>
            <w:r>
              <w:rPr>
                <w:rFonts w:hint="eastAsia" w:cs="宋体"/>
                <w:color w:val="auto"/>
                <w:kern w:val="0"/>
                <w:sz w:val="24"/>
                <w:szCs w:val="21"/>
                <w:highlight w:val="none"/>
                <w:lang w:val="en-US" w:eastAsia="zh-CN" w:bidi="zh-CN"/>
              </w:rPr>
              <w:t>21</w:t>
            </w:r>
            <w:r>
              <w:rPr>
                <w:rFonts w:hint="eastAsia" w:ascii="宋体" w:hAnsi="宋体" w:eastAsia="仿宋" w:cs="宋体"/>
                <w:color w:val="auto"/>
                <w:kern w:val="0"/>
                <w:sz w:val="24"/>
                <w:szCs w:val="21"/>
                <w:highlight w:val="none"/>
                <w:lang w:val="en-US" w:eastAsia="zh-CN" w:bidi="zh-CN"/>
              </w:rPr>
              <w:t>年1月1日（合同签订时间）以来，承担过类似工程施工，每有1项得0.5分，最多得2分。否则不计分。投标文件中提供中标通知书、合同复印件，否则不得分；</w:t>
            </w:r>
          </w:p>
          <w:p>
            <w:pPr>
              <w:pStyle w:val="7"/>
              <w:bidi w:val="0"/>
              <w:ind w:left="0" w:leftChars="0" w:right="854" w:rightChars="0"/>
              <w:jc w:val="left"/>
              <w:rPr>
                <w:rFonts w:hint="eastAsia" w:ascii="宋体" w:hAnsi="宋体" w:eastAsia="仿宋" w:cs="宋体"/>
                <w:b w:val="0"/>
                <w:bCs w:val="0"/>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注：需提供合同（响应文件中附扫描件）。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4" w:hRule="atLeast"/>
          <w:jc w:val="center"/>
        </w:trPr>
        <w:tc>
          <w:tcPr>
            <w:tcW w:w="439"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099" w:type="pct"/>
            <w:shd w:val="clear" w:color="auto" w:fill="auto"/>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服务承诺（0-15分）</w:t>
            </w:r>
          </w:p>
        </w:tc>
        <w:tc>
          <w:tcPr>
            <w:tcW w:w="2846" w:type="pct"/>
            <w:shd w:val="clear" w:color="auto" w:fill="auto"/>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1、有关于不拖欠农民工资的实质性承诺得5分，没有得0分；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2、有保证连续施工的实质性承诺情况得5分，没有得0分；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3、有其他实质性承诺情况得5分，没有得0分；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439"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tabs>
                <w:tab w:val="left" w:pos="223"/>
                <w:tab w:val="center" w:pos="1247"/>
              </w:tabs>
              <w:autoSpaceDE w:val="0"/>
              <w:autoSpaceDN w:val="0"/>
              <w:adjustRightInd w:val="0"/>
              <w:spacing w:line="320" w:lineRule="exact"/>
              <w:jc w:val="both"/>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响应文件总体评价</w:t>
            </w:r>
          </w:p>
          <w:p>
            <w:pPr>
              <w:autoSpaceDE w:val="0"/>
              <w:autoSpaceDN w:val="0"/>
              <w:adjustRightInd w:val="0"/>
              <w:spacing w:line="320" w:lineRule="exact"/>
              <w:jc w:val="both"/>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（0-</w:t>
            </w:r>
            <w:r>
              <w:rPr>
                <w:rFonts w:hint="eastAsia" w:cs="宋体"/>
                <w:color w:val="auto"/>
                <w:kern w:val="0"/>
                <w:sz w:val="24"/>
                <w:szCs w:val="21"/>
                <w:highlight w:val="none"/>
                <w:lang w:val="en-US" w:eastAsia="zh-CN" w:bidi="zh-CN"/>
              </w:rPr>
              <w:t>8</w:t>
            </w:r>
            <w:r>
              <w:rPr>
                <w:rFonts w:hint="eastAsia" w:ascii="宋体" w:hAnsi="宋体" w:eastAsia="仿宋" w:cs="宋体"/>
                <w:color w:val="auto"/>
                <w:kern w:val="0"/>
                <w:sz w:val="24"/>
                <w:szCs w:val="21"/>
                <w:highlight w:val="none"/>
                <w:lang w:val="en-US" w:eastAsia="zh-CN" w:bidi="zh-CN"/>
              </w:rPr>
              <w:t>分）</w:t>
            </w:r>
          </w:p>
        </w:tc>
        <w:tc>
          <w:tcPr>
            <w:tcW w:w="2846" w:type="pct"/>
            <w:noWrap w:val="0"/>
            <w:vAlign w:val="center"/>
          </w:tcPr>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评委会根据投标人的投标文件完整性，商务响应及技术应答是否具体、详实进行打分：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1.投标文件完整，商务响应及技术应答具体、详实得</w:t>
            </w:r>
            <w:r>
              <w:rPr>
                <w:rFonts w:hint="eastAsia" w:cs="宋体"/>
                <w:color w:val="auto"/>
                <w:kern w:val="0"/>
                <w:sz w:val="24"/>
                <w:szCs w:val="24"/>
                <w:highlight w:val="none"/>
                <w:lang w:val="en-US" w:eastAsia="zh-CN" w:bidi="zh-CN"/>
              </w:rPr>
              <w:t>5-8</w:t>
            </w:r>
            <w:r>
              <w:rPr>
                <w:rFonts w:hint="eastAsia" w:ascii="宋体" w:hAnsi="宋体" w:eastAsia="仿宋" w:cs="宋体"/>
                <w:color w:val="auto"/>
                <w:kern w:val="0"/>
                <w:sz w:val="24"/>
                <w:szCs w:val="24"/>
                <w:highlight w:val="none"/>
                <w:lang w:val="en-US" w:eastAsia="zh-CN" w:bidi="zh-CN"/>
              </w:rPr>
              <w:t>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2.投标文件较完整，商务响应及技术应答较具体、详实得</w:t>
            </w:r>
            <w:r>
              <w:rPr>
                <w:rFonts w:hint="eastAsia" w:cs="宋体"/>
                <w:color w:val="auto"/>
                <w:kern w:val="0"/>
                <w:sz w:val="24"/>
                <w:szCs w:val="24"/>
                <w:highlight w:val="none"/>
                <w:lang w:val="en-US" w:eastAsia="zh-CN" w:bidi="zh-CN"/>
              </w:rPr>
              <w:t>2-4</w:t>
            </w:r>
            <w:r>
              <w:rPr>
                <w:rFonts w:hint="eastAsia" w:ascii="宋体" w:hAnsi="宋体" w:eastAsia="仿宋" w:cs="宋体"/>
                <w:color w:val="auto"/>
                <w:kern w:val="0"/>
                <w:sz w:val="24"/>
                <w:szCs w:val="24"/>
                <w:highlight w:val="none"/>
                <w:lang w:val="en-US" w:eastAsia="zh-CN" w:bidi="zh-CN"/>
              </w:rPr>
              <w:t>分；</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4"/>
                <w:highlight w:val="none"/>
                <w:lang w:val="en-US" w:eastAsia="zh-CN" w:bidi="zh-CN"/>
              </w:rPr>
              <w:t>3.投标文件不完整，商务响应及技术应答不具体、详实得</w:t>
            </w:r>
            <w:r>
              <w:rPr>
                <w:rFonts w:hint="eastAsia" w:cs="宋体"/>
                <w:color w:val="auto"/>
                <w:kern w:val="0"/>
                <w:sz w:val="24"/>
                <w:szCs w:val="24"/>
                <w:highlight w:val="none"/>
                <w:lang w:val="en-US" w:eastAsia="zh-CN" w:bidi="zh-CN"/>
              </w:rPr>
              <w:t>0-1</w:t>
            </w:r>
            <w:r>
              <w:rPr>
                <w:rFonts w:hint="eastAsia" w:ascii="宋体" w:hAnsi="宋体" w:eastAsia="仿宋" w:cs="宋体"/>
                <w:color w:val="auto"/>
                <w:kern w:val="0"/>
                <w:sz w:val="24"/>
                <w:szCs w:val="24"/>
                <w:highlight w:val="none"/>
                <w:lang w:val="en-US" w:eastAsia="zh-CN" w:bidi="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5000" w:type="pct"/>
            <w:gridSpan w:val="5"/>
            <w:noWrap w:val="0"/>
            <w:vAlign w:val="center"/>
          </w:tcPr>
          <w:p>
            <w:pPr>
              <w:rPr>
                <w:rFonts w:hint="eastAsia" w:ascii="宋体" w:hAnsi="宋体" w:cs="宋体"/>
                <w:b/>
                <w:color w:val="auto"/>
                <w:szCs w:val="21"/>
              </w:rPr>
            </w:pPr>
            <w:r>
              <w:rPr>
                <w:rFonts w:hint="eastAsia" w:ascii="宋体" w:hAnsi="宋体" w:cs="宋体"/>
                <w:b/>
                <w:color w:val="auto"/>
                <w:szCs w:val="21"/>
              </w:rPr>
              <w:t>注：评分办法前附表中涉及的证件和材料</w:t>
            </w:r>
            <w:r>
              <w:rPr>
                <w:rFonts w:hint="eastAsia" w:ascii="宋体" w:hAnsi="宋体" w:cs="宋体"/>
                <w:b/>
                <w:bCs/>
                <w:color w:val="auto"/>
                <w:szCs w:val="21"/>
              </w:rPr>
              <w:t>以</w:t>
            </w:r>
            <w:r>
              <w:rPr>
                <w:rFonts w:hint="eastAsia" w:ascii="宋体" w:hAnsi="宋体" w:cs="宋体"/>
                <w:b/>
                <w:bCs/>
                <w:color w:val="auto"/>
                <w:szCs w:val="21"/>
                <w:lang w:val="en-US" w:eastAsia="zh-CN"/>
              </w:rPr>
              <w:t>南阳</w:t>
            </w:r>
            <w:r>
              <w:rPr>
                <w:rFonts w:hint="eastAsia" w:ascii="宋体" w:hAnsi="宋体"/>
                <w:b/>
                <w:bCs/>
                <w:color w:val="auto"/>
              </w:rPr>
              <w:t>企业诚信库中证件原件的扫描件为准</w:t>
            </w:r>
            <w:r>
              <w:rPr>
                <w:rFonts w:hint="eastAsia" w:ascii="宋体" w:hAnsi="宋体" w:cs="宋体"/>
                <w:b/>
                <w:color w:val="auto"/>
                <w:szCs w:val="21"/>
              </w:rPr>
              <w:t>，在投标文件中附复印件，</w:t>
            </w:r>
            <w:r>
              <w:rPr>
                <w:rFonts w:hint="eastAsia" w:ascii="宋体" w:hAnsi="宋体" w:cs="宋体"/>
                <w:b/>
                <w:color w:val="auto"/>
                <w:szCs w:val="21"/>
                <w:lang w:val="en-US" w:eastAsia="zh-CN"/>
              </w:rPr>
              <w:t>南阳</w:t>
            </w:r>
            <w:r>
              <w:rPr>
                <w:rFonts w:hint="eastAsia" w:ascii="宋体" w:hAnsi="宋体"/>
                <w:b/>
                <w:bCs/>
                <w:color w:val="auto"/>
              </w:rPr>
              <w:t>企业诚信库中证件原件的扫描件</w:t>
            </w:r>
            <w:r>
              <w:rPr>
                <w:rFonts w:hint="eastAsia" w:ascii="宋体" w:hAnsi="宋体" w:cs="宋体"/>
                <w:b/>
                <w:color w:val="auto"/>
                <w:szCs w:val="21"/>
              </w:rPr>
              <w:t>与投标文件中的复印件不一致者，均不得分；</w:t>
            </w:r>
          </w:p>
        </w:tc>
      </w:tr>
    </w:tbl>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1、投标人提供的证明文件，应当保证其所证明事项的充分性、完整性，否则，将不予计分；且要求</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中附加盖公章的复印件，</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中的复印件应与诚信库中提交的原件扫描件一致，否则不得分。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2、团队人员资格业绩情况：提供技术职称证书、注册证书（如有）等。团队人员的专业类型，以技术职称证书或注册证书为准；技术职称证书或注册证书未标明的，以毕业证书为准。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3、以上所获得的荣誉证书均以行政主管部门或其委托的行业协会颁发的原件为准。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4、项目负责人与投标人业绩合同可以重复使用。</w:t>
      </w:r>
    </w:p>
    <w:p>
      <w:pPr>
        <w:pStyle w:val="34"/>
        <w:rPr>
          <w:rFonts w:hint="eastAsia"/>
          <w:color w:val="auto"/>
        </w:rPr>
      </w:pPr>
      <w:r>
        <w:rPr>
          <w:rFonts w:hint="eastAsia" w:ascii="宋体" w:hAnsi="宋体" w:cs="宋体"/>
          <w:b/>
          <w:bCs/>
          <w:color w:val="auto"/>
          <w:szCs w:val="21"/>
          <w:highlight w:val="none"/>
        </w:rPr>
        <w:t>注：以上所提供的原件扫描件必须按要求上传至诚信库所对应的栏目中，否则该项不得分。</w:t>
      </w:r>
    </w:p>
    <w:p>
      <w:pPr>
        <w:pStyle w:val="43"/>
        <w:rPr>
          <w:rFonts w:hint="eastAsia"/>
          <w:color w:val="auto"/>
        </w:rPr>
      </w:pPr>
    </w:p>
    <w:p>
      <w:pPr>
        <w:pStyle w:val="45"/>
        <w:numPr>
          <w:ilvl w:val="0"/>
          <w:numId w:val="7"/>
        </w:numPr>
        <w:tabs>
          <w:tab w:val="left" w:pos="1470"/>
        </w:tabs>
        <w:spacing w:before="99" w:after="0" w:line="240" w:lineRule="auto"/>
        <w:ind w:left="1470" w:right="0" w:hanging="360"/>
        <w:jc w:val="left"/>
        <w:rPr>
          <w:rFonts w:hint="eastAsia" w:ascii="仿宋" w:hAnsi="仿宋" w:eastAsia="仿宋" w:cs="仿宋"/>
          <w:color w:val="auto"/>
          <w:sz w:val="28"/>
          <w:szCs w:val="28"/>
        </w:rPr>
      </w:pPr>
      <w:bookmarkStart w:id="36" w:name="1.磋商方法"/>
      <w:bookmarkEnd w:id="36"/>
      <w:r>
        <w:rPr>
          <w:rFonts w:hint="eastAsia" w:ascii="仿宋" w:hAnsi="仿宋" w:eastAsia="仿宋" w:cs="仿宋"/>
          <w:color w:val="auto"/>
          <w:sz w:val="28"/>
          <w:szCs w:val="28"/>
        </w:rPr>
        <w:t>评审方法</w:t>
      </w:r>
    </w:p>
    <w:p>
      <w:pPr>
        <w:pStyle w:val="3"/>
        <w:spacing w:before="91" w:line="312" w:lineRule="auto"/>
        <w:ind w:right="535" w:firstLine="571"/>
        <w:jc w:val="left"/>
        <w:rPr>
          <w:rFonts w:hint="eastAsia" w:ascii="仿宋" w:hAnsi="仿宋" w:eastAsia="仿宋" w:cs="仿宋"/>
          <w:color w:val="auto"/>
          <w:sz w:val="28"/>
          <w:szCs w:val="28"/>
        </w:rPr>
      </w:pPr>
      <w:r>
        <w:rPr>
          <w:rFonts w:hint="eastAsia" w:ascii="仿宋" w:hAnsi="仿宋" w:eastAsia="仿宋" w:cs="仿宋"/>
          <w:color w:val="auto"/>
          <w:sz w:val="28"/>
          <w:szCs w:val="28"/>
        </w:rPr>
        <w:t>本次评审采用综合评分法。磋商小组对满足磋商文件要求的响应文件，按照本章规定的评审标准进行评审，按评审办法的量化指标评审得分由高到低顺序推荐</w:t>
      </w:r>
      <w:r>
        <w:rPr>
          <w:rFonts w:hint="eastAsia" w:ascii="仿宋" w:hAnsi="仿宋" w:eastAsia="仿宋" w:cs="仿宋"/>
          <w:color w:val="auto"/>
          <w:spacing w:val="-6"/>
          <w:sz w:val="28"/>
          <w:szCs w:val="28"/>
        </w:rPr>
        <w:t>候选供应商排名。评审得分相同的，按照最后磋商报价由低到高的顺序推荐。评审得分</w:t>
      </w:r>
      <w:r>
        <w:rPr>
          <w:rFonts w:hint="eastAsia" w:ascii="仿宋" w:hAnsi="仿宋" w:eastAsia="仿宋" w:cs="仿宋"/>
          <w:color w:val="auto"/>
          <w:sz w:val="28"/>
          <w:szCs w:val="28"/>
        </w:rPr>
        <w:t>且最后报价相同的，按照供应商拟定的实施方案优劣顺序推荐。</w:t>
      </w:r>
    </w:p>
    <w:p>
      <w:pPr>
        <w:pStyle w:val="45"/>
        <w:numPr>
          <w:ilvl w:val="0"/>
          <w:numId w:val="7"/>
        </w:numPr>
        <w:tabs>
          <w:tab w:val="left" w:pos="1470"/>
        </w:tabs>
        <w:spacing w:before="2" w:after="0" w:line="240" w:lineRule="auto"/>
        <w:ind w:left="1470" w:right="0" w:hanging="360"/>
        <w:jc w:val="left"/>
        <w:rPr>
          <w:rFonts w:hint="eastAsia" w:ascii="仿宋" w:hAnsi="仿宋" w:eastAsia="仿宋" w:cs="仿宋"/>
          <w:color w:val="auto"/>
          <w:sz w:val="28"/>
          <w:szCs w:val="28"/>
        </w:rPr>
      </w:pPr>
      <w:r>
        <w:rPr>
          <w:rFonts w:hint="eastAsia" w:ascii="仿宋" w:hAnsi="仿宋" w:eastAsia="仿宋" w:cs="仿宋"/>
          <w:color w:val="auto"/>
          <w:sz w:val="28"/>
          <w:szCs w:val="28"/>
        </w:rPr>
        <w:t>评审标准</w:t>
      </w:r>
    </w:p>
    <w:p>
      <w:pPr>
        <w:pStyle w:val="45"/>
        <w:numPr>
          <w:ilvl w:val="1"/>
          <w:numId w:val="7"/>
        </w:numPr>
        <w:tabs>
          <w:tab w:val="left" w:pos="1590"/>
        </w:tabs>
        <w:spacing w:before="93"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磋商响应文件初审</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形式评审</w:t>
      </w:r>
      <w:r>
        <w:rPr>
          <w:rFonts w:hint="eastAsia" w:ascii="仿宋" w:hAnsi="仿宋" w:eastAsia="仿宋" w:cs="仿宋"/>
          <w:color w:val="auto"/>
          <w:sz w:val="28"/>
          <w:szCs w:val="28"/>
        </w:rPr>
        <w:t>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7"/>
        </w:numPr>
        <w:tabs>
          <w:tab w:val="left" w:pos="1830"/>
        </w:tabs>
        <w:spacing w:before="91"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资格性检查标准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lang w:eastAsia="zh-CN"/>
        </w:rPr>
        <w:t>性</w:t>
      </w:r>
      <w:r>
        <w:rPr>
          <w:rFonts w:hint="eastAsia" w:ascii="仿宋" w:hAnsi="仿宋" w:eastAsia="仿宋" w:cs="仿宋"/>
          <w:color w:val="auto"/>
          <w:sz w:val="28"/>
          <w:szCs w:val="28"/>
        </w:rPr>
        <w:t>检查评审标准：</w:t>
      </w:r>
      <w:r>
        <w:rPr>
          <w:rFonts w:hint="eastAsia" w:ascii="仿宋" w:hAnsi="仿宋" w:eastAsia="仿宋" w:cs="仿宋"/>
          <w:color w:val="auto"/>
          <w:sz w:val="28"/>
          <w:szCs w:val="28"/>
          <w:lang w:val="en-US" w:eastAsia="zh-CN"/>
        </w:rPr>
        <w:t>见磋商办法前附表。</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符合下列条件的响应文件，其投标将被否决，不再进入详细的评审阶段；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●响应文件未按规定编写，未按要求加盖单位电子签章或法定代表人或被授权委托人签字或盖章的；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●响应文件无报价，报价出现负数或投标报价高于采购控制价的；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●响应文件附有采购人不能接受的条件的；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●有关法律法规规章规定的其他情况。 </w:t>
      </w:r>
    </w:p>
    <w:p>
      <w:pPr>
        <w:pStyle w:val="45"/>
        <w:numPr>
          <w:ilvl w:val="0"/>
          <w:numId w:val="7"/>
        </w:numPr>
        <w:tabs>
          <w:tab w:val="left" w:pos="1470"/>
        </w:tabs>
        <w:spacing w:before="2" w:after="0" w:line="240" w:lineRule="auto"/>
        <w:ind w:left="1470" w:right="0" w:hanging="36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分值构成与评分标准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（1）分值构成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（2）磋商基准价计算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磋商基准价计算方法：见磋商办法前附表；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磋商报价评审方法：见磋商办法前附表。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（3）评分标准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技术标评分标准：见磋商办法前附表。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（4）最终得分的确定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供应商最终得分=磋商报价部分得分+商务标部分得分+技术标部分得分；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磋商小组完成对磋商报价、商务标和技术标的汇总后，取平均值作为该供应商的最终得分；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最终得分计算分值保留两位小数。 </w:t>
      </w:r>
    </w:p>
    <w:p>
      <w:pPr>
        <w:pStyle w:val="45"/>
        <w:numPr>
          <w:ilvl w:val="1"/>
          <w:numId w:val="7"/>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澄清有关问题</w:t>
      </w:r>
    </w:p>
    <w:p>
      <w:pPr>
        <w:pStyle w:val="45"/>
        <w:numPr>
          <w:ilvl w:val="2"/>
          <w:numId w:val="7"/>
        </w:numPr>
        <w:tabs>
          <w:tab w:val="left" w:pos="1833"/>
        </w:tabs>
        <w:spacing w:before="93" w:after="0" w:line="312" w:lineRule="auto"/>
        <w:ind w:left="538" w:right="533"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对响应文件中含义不明确、同类问题表述不一致或者有明显文字和计算错</w:t>
      </w:r>
      <w:r>
        <w:rPr>
          <w:rFonts w:hint="eastAsia" w:ascii="仿宋" w:hAnsi="仿宋" w:eastAsia="仿宋" w:cs="仿宋"/>
          <w:color w:val="auto"/>
          <w:spacing w:val="-5"/>
          <w:sz w:val="28"/>
          <w:szCs w:val="28"/>
        </w:rPr>
        <w:t>误的内容，磋商小组可以书面形式</w:t>
      </w:r>
      <w:r>
        <w:rPr>
          <w:rFonts w:hint="eastAsia" w:ascii="仿宋" w:hAnsi="仿宋" w:eastAsia="仿宋" w:cs="仿宋"/>
          <w:color w:val="auto"/>
          <w:sz w:val="28"/>
          <w:szCs w:val="28"/>
        </w:rPr>
        <w:t>（应当由磋商小组专家签字</w:t>
      </w:r>
      <w:r>
        <w:rPr>
          <w:rFonts w:hint="eastAsia" w:ascii="仿宋" w:hAnsi="仿宋" w:eastAsia="仿宋" w:cs="仿宋"/>
          <w:color w:val="auto"/>
          <w:spacing w:val="-17"/>
          <w:sz w:val="28"/>
          <w:szCs w:val="28"/>
        </w:rPr>
        <w:t>）</w:t>
      </w:r>
      <w:r>
        <w:rPr>
          <w:rFonts w:hint="eastAsia" w:ascii="仿宋" w:hAnsi="仿宋" w:eastAsia="仿宋" w:cs="仿宋"/>
          <w:color w:val="auto"/>
          <w:spacing w:val="-2"/>
          <w:sz w:val="28"/>
          <w:szCs w:val="28"/>
        </w:rPr>
        <w:t>要求供应商作出必要的</w:t>
      </w:r>
      <w:r>
        <w:rPr>
          <w:rFonts w:hint="eastAsia" w:ascii="仿宋" w:hAnsi="仿宋" w:eastAsia="仿宋" w:cs="仿宋"/>
          <w:color w:val="auto"/>
          <w:spacing w:val="-7"/>
          <w:sz w:val="28"/>
          <w:szCs w:val="28"/>
        </w:rPr>
        <w:t>澄清、说明或者纠正。供应商的澄清、说明或者补正应当采用书面形式，由其授权代表</w:t>
      </w:r>
      <w:r>
        <w:rPr>
          <w:rFonts w:hint="eastAsia" w:ascii="仿宋" w:hAnsi="仿宋" w:eastAsia="仿宋" w:cs="仿宋"/>
          <w:color w:val="auto"/>
          <w:sz w:val="28"/>
          <w:szCs w:val="28"/>
        </w:rPr>
        <w:t>人签字，并不得超出响应文件的范围或者改变响应文件的实质性内容。</w:t>
      </w:r>
    </w:p>
    <w:p>
      <w:pPr>
        <w:pStyle w:val="45"/>
        <w:numPr>
          <w:ilvl w:val="2"/>
          <w:numId w:val="7"/>
        </w:numPr>
        <w:tabs>
          <w:tab w:val="left" w:pos="1833"/>
        </w:tabs>
        <w:spacing w:before="2"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磋商小组要求供应商澄清、说明或者更正响应文件应当以书面形式作出。供应商的澄清、说明或者更正应当由法定代表人或授权代表人签字或者加盖公章。</w:t>
      </w:r>
    </w:p>
    <w:p>
      <w:pPr>
        <w:pStyle w:val="45"/>
        <w:numPr>
          <w:ilvl w:val="1"/>
          <w:numId w:val="7"/>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45"/>
        <w:numPr>
          <w:ilvl w:val="2"/>
          <w:numId w:val="7"/>
        </w:numPr>
        <w:tabs>
          <w:tab w:val="left" w:pos="1833"/>
        </w:tabs>
        <w:spacing w:before="94"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按磋商文件中规定的评审方法和标准，对资格性检查和符合性检查合格的响应文件进行详细评审，详细</w:t>
      </w:r>
      <w:r>
        <w:rPr>
          <w:rFonts w:hint="eastAsia" w:ascii="仿宋" w:hAnsi="仿宋" w:eastAsia="仿宋" w:cs="仿宋"/>
          <w:color w:val="auto"/>
          <w:sz w:val="28"/>
          <w:szCs w:val="28"/>
          <w:lang w:eastAsia="zh-CN"/>
        </w:rPr>
        <w:t>评审</w:t>
      </w:r>
      <w:r>
        <w:rPr>
          <w:rFonts w:hint="eastAsia" w:ascii="仿宋" w:hAnsi="仿宋" w:eastAsia="仿宋" w:cs="仿宋"/>
          <w:color w:val="auto"/>
          <w:sz w:val="28"/>
          <w:szCs w:val="28"/>
        </w:rPr>
        <w:t>标准：见评审方法前附表。</w:t>
      </w:r>
    </w:p>
    <w:p>
      <w:pPr>
        <w:pStyle w:val="45"/>
        <w:numPr>
          <w:ilvl w:val="2"/>
          <w:numId w:val="7"/>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磋商小组按规定的量化指标和分值进行打分，并计算出综合评审得分。</w:t>
      </w:r>
    </w:p>
    <w:p>
      <w:pPr>
        <w:pStyle w:val="45"/>
        <w:numPr>
          <w:ilvl w:val="2"/>
          <w:numId w:val="7"/>
        </w:numPr>
        <w:tabs>
          <w:tab w:val="left" w:pos="1833"/>
        </w:tabs>
        <w:spacing w:before="93"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汇总全体磋商小组对各供应商的打分并计算算术平均值，即供应商的最终评审得分；</w:t>
      </w:r>
    </w:p>
    <w:p>
      <w:pPr>
        <w:pStyle w:val="45"/>
        <w:numPr>
          <w:ilvl w:val="2"/>
          <w:numId w:val="7"/>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评分分值计算保留小数点后两位，小数点后第三位“四舍五入”。</w:t>
      </w:r>
    </w:p>
    <w:p>
      <w:pPr>
        <w:pStyle w:val="45"/>
        <w:numPr>
          <w:ilvl w:val="0"/>
          <w:numId w:val="7"/>
        </w:numPr>
        <w:tabs>
          <w:tab w:val="left" w:pos="1470"/>
        </w:tabs>
        <w:spacing w:before="94" w:after="0" w:line="240" w:lineRule="auto"/>
        <w:ind w:left="1470" w:right="0" w:hanging="360"/>
        <w:jc w:val="both"/>
        <w:rPr>
          <w:rFonts w:hint="eastAsia" w:ascii="仿宋" w:hAnsi="仿宋" w:eastAsia="仿宋" w:cs="仿宋"/>
          <w:color w:val="auto"/>
          <w:sz w:val="28"/>
          <w:szCs w:val="28"/>
        </w:rPr>
      </w:pPr>
      <w:r>
        <w:rPr>
          <w:rFonts w:hint="eastAsia" w:ascii="仿宋" w:hAnsi="仿宋" w:eastAsia="仿宋" w:cs="仿宋"/>
          <w:color w:val="auto"/>
          <w:sz w:val="28"/>
          <w:szCs w:val="28"/>
        </w:rPr>
        <w:t>评审程序</w:t>
      </w:r>
    </w:p>
    <w:p>
      <w:pPr>
        <w:pStyle w:val="45"/>
        <w:numPr>
          <w:ilvl w:val="1"/>
          <w:numId w:val="7"/>
        </w:numPr>
        <w:tabs>
          <w:tab w:val="left" w:pos="1590"/>
        </w:tabs>
        <w:spacing w:before="90" w:after="0" w:line="240" w:lineRule="auto"/>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响应文件初审</w:t>
      </w:r>
    </w:p>
    <w:p>
      <w:pPr>
        <w:pStyle w:val="3"/>
        <w:spacing w:before="94" w:line="312" w:lineRule="auto"/>
        <w:ind w:right="534"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磋商小组依据本章</w:t>
      </w:r>
      <w:r>
        <w:rPr>
          <w:rFonts w:hint="eastAsia" w:ascii="仿宋" w:hAnsi="仿宋" w:eastAsia="仿宋" w:cs="仿宋"/>
          <w:color w:val="auto"/>
          <w:spacing w:val="-3"/>
          <w:sz w:val="28"/>
          <w:szCs w:val="28"/>
        </w:rPr>
        <w:t>规定的检查标准，对响应文件进行初审。有一项不符</w:t>
      </w:r>
      <w:r>
        <w:rPr>
          <w:rFonts w:hint="eastAsia" w:ascii="仿宋" w:hAnsi="仿宋" w:eastAsia="仿宋" w:cs="仿宋"/>
          <w:color w:val="auto"/>
          <w:sz w:val="28"/>
          <w:szCs w:val="28"/>
        </w:rPr>
        <w:t>合检查标准的，其磋商将被拒绝，不能进入后续评审或磋商程序。</w:t>
      </w:r>
    </w:p>
    <w:p>
      <w:pPr>
        <w:pStyle w:val="45"/>
        <w:numPr>
          <w:ilvl w:val="1"/>
          <w:numId w:val="7"/>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p>
    <w:p>
      <w:pPr>
        <w:pStyle w:val="3"/>
        <w:spacing w:before="99"/>
        <w:ind w:left="1110"/>
        <w:rPr>
          <w:rFonts w:hint="eastAsia" w:ascii="仿宋" w:hAnsi="仿宋" w:eastAsia="仿宋" w:cs="仿宋"/>
          <w:color w:val="auto"/>
          <w:sz w:val="28"/>
          <w:szCs w:val="28"/>
        </w:rPr>
      </w:pPr>
      <w:r>
        <w:rPr>
          <w:rFonts w:hint="eastAsia" w:ascii="仿宋" w:hAnsi="仿宋" w:eastAsia="仿宋" w:cs="仿宋"/>
          <w:color w:val="auto"/>
          <w:sz w:val="28"/>
          <w:szCs w:val="28"/>
        </w:rPr>
        <w:t>磋商程序详见供应商须知。</w:t>
      </w:r>
    </w:p>
    <w:p>
      <w:pPr>
        <w:pStyle w:val="45"/>
        <w:numPr>
          <w:ilvl w:val="1"/>
          <w:numId w:val="7"/>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澄清及算术修正</w:t>
      </w:r>
    </w:p>
    <w:p>
      <w:pPr>
        <w:pStyle w:val="3"/>
        <w:spacing w:before="93" w:line="312" w:lineRule="auto"/>
        <w:ind w:right="546" w:firstLine="571"/>
        <w:rPr>
          <w:rFonts w:hint="eastAsia" w:ascii="仿宋" w:hAnsi="仿宋" w:eastAsia="仿宋" w:cs="仿宋"/>
          <w:color w:val="auto"/>
          <w:sz w:val="28"/>
          <w:szCs w:val="28"/>
        </w:rPr>
      </w:pPr>
      <w:r>
        <w:rPr>
          <w:rFonts w:hint="eastAsia" w:ascii="仿宋" w:hAnsi="仿宋" w:eastAsia="仿宋" w:cs="仿宋"/>
          <w:color w:val="auto"/>
          <w:sz w:val="28"/>
          <w:szCs w:val="28"/>
        </w:rPr>
        <w:t>供应商按照磋商小组和磋商文件的要求进行问题澄清。算术修正的要求和原则详见供应商须知。</w:t>
      </w:r>
    </w:p>
    <w:p>
      <w:pPr>
        <w:pStyle w:val="45"/>
        <w:numPr>
          <w:ilvl w:val="1"/>
          <w:numId w:val="7"/>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3"/>
        <w:spacing w:before="93" w:line="312" w:lineRule="auto"/>
        <w:ind w:right="367" w:firstLine="571"/>
        <w:rPr>
          <w:rFonts w:hint="eastAsia" w:ascii="仿宋" w:hAnsi="仿宋" w:eastAsia="仿宋" w:cs="仿宋"/>
          <w:color w:val="auto"/>
          <w:sz w:val="28"/>
          <w:szCs w:val="28"/>
        </w:rPr>
      </w:pPr>
      <w:r>
        <w:rPr>
          <w:rFonts w:hint="eastAsia" w:ascii="仿宋" w:hAnsi="仿宋" w:eastAsia="仿宋" w:cs="仿宋"/>
          <w:color w:val="auto"/>
          <w:sz w:val="28"/>
          <w:szCs w:val="28"/>
        </w:rPr>
        <w:t>磋商小组按照评审方法前附表进行比较和评价，评分分值计算保留小数点后两位， 小数点后第三位“四舍五入”。</w:t>
      </w:r>
    </w:p>
    <w:p>
      <w:pPr>
        <w:pStyle w:val="45"/>
        <w:numPr>
          <w:ilvl w:val="1"/>
          <w:numId w:val="7"/>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推荐成交候选供应商名单</w:t>
      </w:r>
    </w:p>
    <w:p>
      <w:pPr>
        <w:pStyle w:val="45"/>
        <w:numPr>
          <w:ilvl w:val="2"/>
          <w:numId w:val="7"/>
        </w:numPr>
        <w:tabs>
          <w:tab w:val="left" w:pos="1830"/>
        </w:tabs>
        <w:spacing w:before="94"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磋商小组按照综合评审得分由高到低的顺序推荐候选供应商。</w:t>
      </w:r>
    </w:p>
    <w:p>
      <w:pPr>
        <w:pStyle w:val="45"/>
        <w:numPr>
          <w:ilvl w:val="2"/>
          <w:numId w:val="7"/>
        </w:numPr>
        <w:tabs>
          <w:tab w:val="left" w:pos="1830"/>
        </w:tabs>
        <w:spacing w:before="94" w:after="0" w:line="240" w:lineRule="auto"/>
        <w:ind w:left="1830" w:right="0" w:hanging="720"/>
        <w:jc w:val="left"/>
        <w:rPr>
          <w:color w:val="auto"/>
          <w:sz w:val="24"/>
        </w:rPr>
      </w:pPr>
      <w:r>
        <w:rPr>
          <w:rFonts w:hint="eastAsia" w:ascii="仿宋" w:hAnsi="仿宋" w:eastAsia="仿宋" w:cs="仿宋"/>
          <w:color w:val="auto"/>
          <w:sz w:val="28"/>
          <w:szCs w:val="28"/>
        </w:rPr>
        <w:t>磋商小组完成评审后，应当向采购人提交书面评审报告。</w:t>
      </w:r>
    </w:p>
    <w:p>
      <w:pPr>
        <w:rPr>
          <w:rFonts w:hint="eastAsia"/>
          <w:color w:val="auto"/>
        </w:rPr>
      </w:pPr>
      <w:bookmarkStart w:id="37" w:name="_Toc27915"/>
      <w:bookmarkStart w:id="38" w:name="_Toc17172"/>
      <w:r>
        <w:rPr>
          <w:rFonts w:hint="eastAsia"/>
          <w:color w:val="auto"/>
        </w:rPr>
        <w:br w:type="page"/>
      </w:r>
    </w:p>
    <w:p>
      <w:pPr>
        <w:pStyle w:val="7"/>
        <w:outlineLvl w:val="0"/>
        <w:rPr>
          <w:rFonts w:hint="eastAsia"/>
          <w:color w:val="auto"/>
        </w:rPr>
      </w:pPr>
      <w:bookmarkStart w:id="39" w:name="_Toc14137"/>
      <w:r>
        <w:rPr>
          <w:rFonts w:hint="eastAsia"/>
          <w:color w:val="auto"/>
        </w:rPr>
        <w:t>第四部分</w:t>
      </w:r>
      <w:r>
        <w:rPr>
          <w:rFonts w:hint="eastAsia"/>
          <w:color w:val="auto"/>
        </w:rPr>
        <w:tab/>
      </w:r>
      <w:r>
        <w:rPr>
          <w:rFonts w:hint="eastAsia"/>
          <w:color w:val="auto"/>
        </w:rPr>
        <w:t>合同格式</w:t>
      </w:r>
      <w:bookmarkEnd w:id="37"/>
      <w:bookmarkEnd w:id="38"/>
      <w:bookmarkEnd w:id="39"/>
      <w:r>
        <w:rPr>
          <w:rFonts w:hint="eastAsia"/>
          <w:color w:val="auto"/>
        </w:rPr>
        <w:t xml:space="preserve"> </w:t>
      </w:r>
    </w:p>
    <w:p>
      <w:pPr>
        <w:jc w:val="center"/>
        <w:rPr>
          <w:rFonts w:hint="eastAsia"/>
          <w:color w:val="auto"/>
        </w:rPr>
      </w:pPr>
      <w:r>
        <w:rPr>
          <w:rFonts w:hint="eastAsia"/>
          <w:color w:val="auto"/>
        </w:rPr>
        <w:t>（以签订正式合同时为准）</w:t>
      </w:r>
    </w:p>
    <w:p>
      <w:pPr>
        <w:pStyle w:val="51"/>
        <w:keepNext w:val="0"/>
        <w:keepLines w:val="0"/>
        <w:widowControl w:val="0"/>
        <w:shd w:val="clear" w:color="auto" w:fill="auto"/>
        <w:bidi w:val="0"/>
        <w:spacing w:before="0" w:after="200" w:line="240" w:lineRule="auto"/>
        <w:ind w:left="0" w:right="0" w:firstLine="0"/>
        <w:jc w:val="center"/>
        <w:outlineLvl w:val="1"/>
        <w:rPr>
          <w:color w:val="auto"/>
        </w:rPr>
      </w:pPr>
      <w:bookmarkStart w:id="40" w:name="_Toc32088"/>
      <w:r>
        <w:rPr>
          <w:color w:val="auto"/>
          <w:spacing w:val="0"/>
          <w:w w:val="100"/>
          <w:position w:val="0"/>
        </w:rPr>
        <w:t>第一节通用合同条款</w:t>
      </w:r>
      <w:bookmarkEnd w:id="40"/>
    </w:p>
    <w:p>
      <w:pPr>
        <w:pStyle w:val="51"/>
        <w:keepNext w:val="0"/>
        <w:keepLines w:val="0"/>
        <w:widowControl w:val="0"/>
        <w:shd w:val="clear" w:color="auto" w:fill="auto"/>
        <w:bidi w:val="0"/>
        <w:spacing w:before="0" w:after="200" w:line="240" w:lineRule="auto"/>
        <w:ind w:left="0" w:right="0" w:firstLine="0"/>
        <w:jc w:val="center"/>
        <w:rPr>
          <w:color w:val="auto"/>
        </w:rPr>
      </w:pPr>
      <w:r>
        <w:rPr>
          <w:color w:val="auto"/>
          <w:spacing w:val="0"/>
          <w:w w:val="100"/>
          <w:position w:val="0"/>
        </w:rPr>
        <w:t>略</w:t>
      </w:r>
    </w:p>
    <w:p>
      <w:pPr>
        <w:pStyle w:val="51"/>
        <w:keepNext w:val="0"/>
        <w:keepLines w:val="0"/>
        <w:widowControl w:val="0"/>
        <w:shd w:val="clear" w:color="auto" w:fill="auto"/>
        <w:bidi w:val="0"/>
        <w:spacing w:before="0" w:after="560" w:line="240" w:lineRule="auto"/>
        <w:ind w:left="0" w:right="0" w:firstLine="0"/>
        <w:jc w:val="center"/>
        <w:outlineLvl w:val="1"/>
        <w:rPr>
          <w:color w:val="auto"/>
        </w:rPr>
      </w:pPr>
      <w:bookmarkStart w:id="41" w:name="_Toc23875"/>
      <w:r>
        <w:rPr>
          <w:color w:val="auto"/>
          <w:spacing w:val="0"/>
          <w:w w:val="100"/>
          <w:position w:val="0"/>
        </w:rPr>
        <w:t>第二节专用合同条款略</w:t>
      </w:r>
      <w:bookmarkEnd w:id="41"/>
    </w:p>
    <w:p>
      <w:pPr>
        <w:spacing w:line="360" w:lineRule="auto"/>
        <w:jc w:val="center"/>
        <w:rPr>
          <w:color w:val="auto"/>
          <w:spacing w:val="0"/>
          <w:w w:val="100"/>
          <w:position w:val="0"/>
        </w:rPr>
      </w:pPr>
      <w:r>
        <w:rPr>
          <w:color w:val="auto"/>
          <w:spacing w:val="0"/>
          <w:w w:val="100"/>
          <w:position w:val="0"/>
        </w:rPr>
        <w:t>（仅为招标阶段参照文本格式，以最终签订合同为准）</w:t>
      </w:r>
    </w:p>
    <w:p>
      <w:pPr>
        <w:bidi w:val="0"/>
        <w:jc w:val="center"/>
        <w:rPr>
          <w:b/>
          <w:bCs/>
          <w:color w:val="auto"/>
        </w:rPr>
      </w:pPr>
      <w:bookmarkStart w:id="42" w:name="bookmark164"/>
      <w:bookmarkStart w:id="43" w:name="_Toc13065"/>
      <w:bookmarkStart w:id="44" w:name="bookmark163"/>
      <w:bookmarkStart w:id="45" w:name="bookmark162"/>
      <w:r>
        <w:rPr>
          <w:b/>
          <w:bCs/>
          <w:color w:val="auto"/>
        </w:rPr>
        <w:t>合同协议书</w:t>
      </w:r>
      <w:bookmarkEnd w:id="42"/>
      <w:bookmarkEnd w:id="43"/>
      <w:bookmarkEnd w:id="44"/>
      <w:bookmarkEnd w:id="45"/>
    </w:p>
    <w:p>
      <w:pPr>
        <w:jc w:val="center"/>
        <w:rPr>
          <w:rFonts w:hint="eastAsia"/>
          <w:color w:val="auto"/>
        </w:rPr>
      </w:pPr>
      <w:r>
        <w:rPr>
          <w:rFonts w:hint="eastAsia"/>
          <w:color w:val="auto"/>
          <w:lang w:val="en-US" w:eastAsia="zh-CN"/>
        </w:rPr>
        <w:t>第一部分　协议书</w:t>
      </w:r>
    </w:p>
    <w:p>
      <w:pPr>
        <w:rPr>
          <w:rFonts w:hint="eastAsia"/>
          <w:color w:val="auto"/>
          <w:lang w:val="en-US" w:eastAsia="zh-CN"/>
        </w:rPr>
      </w:pPr>
      <w:r>
        <w:rPr>
          <w:rFonts w:hint="eastAsia"/>
          <w:color w:val="auto"/>
          <w:lang w:val="en-US" w:eastAsia="zh-CN"/>
        </w:rPr>
        <w:t>发包人（全称）：______________________　　</w:t>
      </w:r>
    </w:p>
    <w:p>
      <w:pPr>
        <w:rPr>
          <w:rFonts w:hint="eastAsia"/>
          <w:color w:val="auto"/>
        </w:rPr>
      </w:pPr>
      <w:r>
        <w:rPr>
          <w:rFonts w:hint="eastAsia"/>
          <w:color w:val="auto"/>
          <w:lang w:val="en-US" w:eastAsia="zh-CN"/>
        </w:rPr>
        <w:t>承包人（全称）：______________________</w:t>
      </w:r>
    </w:p>
    <w:p>
      <w:pPr>
        <w:rPr>
          <w:rFonts w:hint="eastAsia"/>
          <w:color w:val="auto"/>
        </w:rPr>
      </w:pPr>
      <w:r>
        <w:rPr>
          <w:rFonts w:hint="eastAsia"/>
          <w:color w:val="auto"/>
          <w:lang w:val="en-US" w:eastAsia="zh-CN"/>
        </w:rPr>
        <w:t>依照《中华人民共和国合同法》、《中华人民共和国建筑法》及其他有关法律、行政法规，遵循平等、自愿、公平和诚实信用的原则，双方就本建设工程施工事项协商一致，订立本合同。</w:t>
      </w:r>
    </w:p>
    <w:p>
      <w:pPr>
        <w:rPr>
          <w:rFonts w:hint="eastAsia"/>
          <w:color w:val="auto"/>
          <w:lang w:val="en-US" w:eastAsia="zh-CN"/>
        </w:rPr>
      </w:pPr>
      <w:r>
        <w:rPr>
          <w:rFonts w:hint="eastAsia"/>
          <w:b/>
          <w:bCs/>
          <w:color w:val="auto"/>
          <w:lang w:val="en-US" w:eastAsia="zh-CN"/>
        </w:rPr>
        <w:t>一、工程概况</w:t>
      </w:r>
      <w:r>
        <w:rPr>
          <w:rFonts w:hint="eastAsia"/>
          <w:color w:val="auto"/>
          <w:lang w:val="en-US" w:eastAsia="zh-CN"/>
        </w:rPr>
        <w:t>　　</w:t>
      </w:r>
    </w:p>
    <w:p>
      <w:pPr>
        <w:rPr>
          <w:rFonts w:hint="eastAsia"/>
          <w:color w:val="auto"/>
          <w:lang w:val="en-US" w:eastAsia="zh-CN"/>
        </w:rPr>
      </w:pPr>
      <w:r>
        <w:rPr>
          <w:rFonts w:hint="eastAsia"/>
          <w:color w:val="auto"/>
          <w:lang w:val="en-US" w:eastAsia="zh-CN"/>
        </w:rPr>
        <w:t>工程名称：______________________________　　</w:t>
      </w:r>
    </w:p>
    <w:p>
      <w:pPr>
        <w:rPr>
          <w:rFonts w:hint="eastAsia"/>
          <w:color w:val="auto"/>
          <w:lang w:val="en-US" w:eastAsia="zh-CN"/>
        </w:rPr>
      </w:pPr>
      <w:r>
        <w:rPr>
          <w:rFonts w:hint="eastAsia"/>
          <w:color w:val="auto"/>
          <w:lang w:val="en-US" w:eastAsia="zh-CN"/>
        </w:rPr>
        <w:t>工程地点：______________________________　　</w:t>
      </w:r>
    </w:p>
    <w:p>
      <w:pPr>
        <w:rPr>
          <w:rFonts w:hint="eastAsia"/>
          <w:color w:val="auto"/>
          <w:lang w:val="en-US" w:eastAsia="zh-CN"/>
        </w:rPr>
      </w:pPr>
      <w:r>
        <w:rPr>
          <w:rFonts w:hint="eastAsia"/>
          <w:color w:val="auto"/>
          <w:lang w:val="en-US" w:eastAsia="zh-CN"/>
        </w:rPr>
        <w:t>工程内容：______________________________　　</w:t>
      </w:r>
    </w:p>
    <w:p>
      <w:pPr>
        <w:rPr>
          <w:rFonts w:hint="eastAsia"/>
          <w:color w:val="auto"/>
          <w:lang w:val="en-US" w:eastAsia="zh-CN"/>
        </w:rPr>
      </w:pPr>
      <w:r>
        <w:rPr>
          <w:rFonts w:hint="eastAsia"/>
          <w:color w:val="auto"/>
          <w:lang w:val="en-US" w:eastAsia="zh-CN"/>
        </w:rPr>
        <w:t>群体工程应附承包人承揽工程项目一览表（附件1）　　</w:t>
      </w:r>
    </w:p>
    <w:p>
      <w:pPr>
        <w:rPr>
          <w:rFonts w:hint="eastAsia"/>
          <w:color w:val="auto"/>
          <w:lang w:val="en-US" w:eastAsia="zh-CN"/>
        </w:rPr>
      </w:pPr>
      <w:r>
        <w:rPr>
          <w:rFonts w:hint="eastAsia"/>
          <w:color w:val="auto"/>
          <w:lang w:val="en-US" w:eastAsia="zh-CN"/>
        </w:rPr>
        <w:t>工程立项批准文号：_____________________　　</w:t>
      </w:r>
    </w:p>
    <w:p>
      <w:pPr>
        <w:rPr>
          <w:rFonts w:hint="eastAsia"/>
          <w:color w:val="auto"/>
        </w:rPr>
      </w:pPr>
      <w:r>
        <w:rPr>
          <w:rFonts w:hint="eastAsia"/>
          <w:color w:val="auto"/>
          <w:lang w:val="en-US" w:eastAsia="zh-CN"/>
        </w:rPr>
        <w:t>资金来源：_____________________________</w:t>
      </w:r>
    </w:p>
    <w:p>
      <w:pPr>
        <w:rPr>
          <w:rFonts w:hint="eastAsia"/>
          <w:color w:val="auto"/>
          <w:lang w:val="en-US" w:eastAsia="zh-CN"/>
        </w:rPr>
      </w:pPr>
      <w:r>
        <w:rPr>
          <w:rFonts w:hint="eastAsia"/>
          <w:b/>
          <w:bCs/>
          <w:color w:val="auto"/>
          <w:lang w:val="en-US" w:eastAsia="zh-CN"/>
        </w:rPr>
        <w:t>二、工程承包范围</w:t>
      </w:r>
      <w:r>
        <w:rPr>
          <w:rFonts w:hint="eastAsia"/>
          <w:color w:val="auto"/>
          <w:lang w:val="en-US" w:eastAsia="zh-CN"/>
        </w:rPr>
        <w:t>　　</w:t>
      </w:r>
    </w:p>
    <w:p>
      <w:pPr>
        <w:rPr>
          <w:rFonts w:hint="eastAsia"/>
          <w:color w:val="auto"/>
        </w:rPr>
      </w:pPr>
      <w:r>
        <w:rPr>
          <w:rFonts w:hint="eastAsia"/>
          <w:color w:val="auto"/>
          <w:lang w:val="en-US" w:eastAsia="zh-CN"/>
        </w:rPr>
        <w:t>承包范围：___________________________</w:t>
      </w:r>
    </w:p>
    <w:p>
      <w:pPr>
        <w:rPr>
          <w:rFonts w:hint="eastAsia"/>
          <w:color w:val="auto"/>
          <w:lang w:val="en-US" w:eastAsia="zh-CN"/>
        </w:rPr>
      </w:pPr>
      <w:r>
        <w:rPr>
          <w:rFonts w:hint="eastAsia"/>
          <w:b/>
          <w:bCs/>
          <w:color w:val="auto"/>
          <w:lang w:val="en-US" w:eastAsia="zh-CN"/>
        </w:rPr>
        <w:t>三、合同工期</w:t>
      </w:r>
      <w:r>
        <w:rPr>
          <w:rFonts w:hint="eastAsia"/>
          <w:color w:val="auto"/>
          <w:lang w:val="en-US" w:eastAsia="zh-CN"/>
        </w:rPr>
        <w:t>　　</w:t>
      </w:r>
    </w:p>
    <w:p>
      <w:pPr>
        <w:rPr>
          <w:rFonts w:hint="eastAsia"/>
          <w:color w:val="auto"/>
          <w:lang w:val="en-US" w:eastAsia="zh-CN"/>
        </w:rPr>
      </w:pPr>
      <w:r>
        <w:rPr>
          <w:rFonts w:hint="eastAsia"/>
          <w:color w:val="auto"/>
          <w:lang w:val="en-US" w:eastAsia="zh-CN"/>
        </w:rPr>
        <w:t>开工日期：____________________________　　</w:t>
      </w:r>
    </w:p>
    <w:p>
      <w:pPr>
        <w:rPr>
          <w:rFonts w:hint="eastAsia"/>
          <w:color w:val="auto"/>
          <w:lang w:val="en-US" w:eastAsia="zh-CN"/>
        </w:rPr>
      </w:pPr>
      <w:r>
        <w:rPr>
          <w:rFonts w:hint="eastAsia"/>
          <w:color w:val="auto"/>
          <w:lang w:val="en-US" w:eastAsia="zh-CN"/>
        </w:rPr>
        <w:t>竣工日期：____________________________　　</w:t>
      </w:r>
    </w:p>
    <w:p>
      <w:pPr>
        <w:rPr>
          <w:rFonts w:hint="eastAsia"/>
          <w:color w:val="auto"/>
        </w:rPr>
      </w:pPr>
      <w:r>
        <w:rPr>
          <w:rFonts w:hint="eastAsia"/>
          <w:color w:val="auto"/>
          <w:lang w:val="en-US" w:eastAsia="zh-CN"/>
        </w:rPr>
        <w:t>合同工期总日历天数______________________天。</w:t>
      </w:r>
    </w:p>
    <w:p>
      <w:pPr>
        <w:numPr>
          <w:ilvl w:val="0"/>
          <w:numId w:val="8"/>
        </w:numPr>
        <w:rPr>
          <w:rFonts w:hint="eastAsia"/>
          <w:color w:val="auto"/>
          <w:lang w:val="en-US" w:eastAsia="zh-CN"/>
        </w:rPr>
      </w:pPr>
      <w:r>
        <w:rPr>
          <w:rFonts w:hint="eastAsia"/>
          <w:b/>
          <w:bCs/>
          <w:color w:val="auto"/>
          <w:lang w:val="en-US" w:eastAsia="zh-CN"/>
        </w:rPr>
        <w:t>质量标准</w:t>
      </w:r>
      <w:r>
        <w:rPr>
          <w:rFonts w:hint="eastAsia"/>
          <w:color w:val="auto"/>
          <w:lang w:val="en-US" w:eastAsia="zh-CN"/>
        </w:rPr>
        <w:t>　　</w:t>
      </w:r>
    </w:p>
    <w:p>
      <w:pPr>
        <w:numPr>
          <w:ilvl w:val="0"/>
          <w:numId w:val="0"/>
        </w:numPr>
        <w:ind w:right="0" w:rightChars="0"/>
        <w:rPr>
          <w:rFonts w:hint="eastAsia"/>
          <w:color w:val="auto"/>
        </w:rPr>
      </w:pPr>
      <w:r>
        <w:rPr>
          <w:rFonts w:hint="eastAsia"/>
          <w:color w:val="auto"/>
          <w:lang w:val="en-US" w:eastAsia="zh-CN"/>
        </w:rPr>
        <w:t>工程质量标准：________________________</w:t>
      </w:r>
    </w:p>
    <w:p>
      <w:pPr>
        <w:rPr>
          <w:rFonts w:hint="eastAsia"/>
          <w:color w:val="auto"/>
          <w:lang w:val="en-US" w:eastAsia="zh-CN"/>
        </w:rPr>
      </w:pPr>
      <w:r>
        <w:rPr>
          <w:rFonts w:hint="eastAsia"/>
          <w:b/>
          <w:bCs/>
          <w:color w:val="auto"/>
          <w:lang w:val="en-US" w:eastAsia="zh-CN"/>
        </w:rPr>
        <w:t>五、合同价款及支付</w:t>
      </w:r>
      <w:r>
        <w:rPr>
          <w:rFonts w:hint="eastAsia"/>
          <w:color w:val="auto"/>
          <w:lang w:val="en-US" w:eastAsia="zh-CN"/>
        </w:rPr>
        <w:t>　　</w:t>
      </w:r>
    </w:p>
    <w:p>
      <w:pPr>
        <w:rPr>
          <w:rFonts w:hint="eastAsia"/>
          <w:color w:val="auto"/>
          <w:lang w:val="en-US" w:eastAsia="zh-CN"/>
        </w:rPr>
      </w:pPr>
      <w:r>
        <w:rPr>
          <w:rFonts w:hint="eastAsia"/>
          <w:color w:val="auto"/>
          <w:lang w:val="en-US" w:eastAsia="zh-CN"/>
        </w:rPr>
        <w:t>合同金额（大写）：_______元（人民币）　　￥：_________元</w:t>
      </w:r>
    </w:p>
    <w:p>
      <w:pPr>
        <w:rPr>
          <w:rFonts w:hint="default"/>
          <w:color w:val="auto"/>
          <w:lang w:val="en-US" w:eastAsia="zh-CN"/>
        </w:rPr>
      </w:pPr>
      <w:r>
        <w:rPr>
          <w:rFonts w:hint="eastAsia"/>
          <w:color w:val="auto"/>
          <w:lang w:val="en-US" w:eastAsia="zh-CN"/>
        </w:rPr>
        <w:t>付款周期：设备人员入场开工后预付合同总价的 30 %，完成工程量清单 80 %工作量支付至合同总价的 70 %，竣工验收合格后支付至结算总价的 100%。</w:t>
      </w:r>
    </w:p>
    <w:p>
      <w:pPr>
        <w:rPr>
          <w:rFonts w:hint="eastAsia"/>
          <w:color w:val="auto"/>
          <w:lang w:val="en-US" w:eastAsia="zh-CN"/>
        </w:rPr>
      </w:pPr>
      <w:r>
        <w:rPr>
          <w:rFonts w:hint="eastAsia"/>
          <w:b/>
          <w:bCs/>
          <w:color w:val="auto"/>
          <w:lang w:val="en-US" w:eastAsia="zh-CN"/>
        </w:rPr>
        <w:t>六、组成合同的文件</w:t>
      </w:r>
      <w:r>
        <w:rPr>
          <w:rFonts w:hint="eastAsia"/>
          <w:color w:val="auto"/>
          <w:lang w:val="en-US" w:eastAsia="zh-CN"/>
        </w:rPr>
        <w:t>　　</w:t>
      </w:r>
    </w:p>
    <w:p>
      <w:pPr>
        <w:rPr>
          <w:rFonts w:hint="eastAsia"/>
          <w:color w:val="auto"/>
          <w:lang w:val="en-US" w:eastAsia="zh-CN"/>
        </w:rPr>
      </w:pPr>
      <w:r>
        <w:rPr>
          <w:rFonts w:hint="eastAsia"/>
          <w:color w:val="auto"/>
          <w:lang w:val="en-US" w:eastAsia="zh-CN"/>
        </w:rPr>
        <w:t>组成本合同的文件包括：　　</w:t>
      </w:r>
    </w:p>
    <w:p>
      <w:pPr>
        <w:rPr>
          <w:rFonts w:hint="eastAsia"/>
          <w:color w:val="auto"/>
        </w:rPr>
      </w:pPr>
      <w:r>
        <w:rPr>
          <w:rFonts w:hint="eastAsia"/>
          <w:color w:val="auto"/>
          <w:lang w:val="en-US" w:eastAsia="zh-CN"/>
        </w:rPr>
        <w:t>1.合同协议书　　2．中标通知书　　3．投标书及其附件　　4．本合同专用条款　　5．本合同通用条款　　6．标准、规范及有关技术文件　　7．图纸　　8．工程量清单　　9．工程报价单或预算书、双方有关工程的洽商、变更等书面协议或文件视为本合同的组成部分。</w:t>
      </w:r>
    </w:p>
    <w:p>
      <w:pPr>
        <w:rPr>
          <w:rFonts w:hint="eastAsia"/>
          <w:color w:val="auto"/>
        </w:rPr>
      </w:pPr>
      <w:r>
        <w:rPr>
          <w:rFonts w:hint="eastAsia"/>
          <w:b/>
          <w:bCs/>
          <w:color w:val="auto"/>
          <w:lang w:val="en-US" w:eastAsia="zh-CN"/>
        </w:rPr>
        <w:t>七、</w:t>
      </w:r>
      <w:r>
        <w:rPr>
          <w:rFonts w:hint="eastAsia"/>
          <w:color w:val="auto"/>
          <w:lang w:val="en-US" w:eastAsia="zh-CN"/>
        </w:rPr>
        <w:t>本议书中有关词语含义与本合同第二部分《通用条款》中分别赋予它们的定义相同。</w:t>
      </w:r>
    </w:p>
    <w:p>
      <w:pPr>
        <w:rPr>
          <w:rFonts w:hint="eastAsia"/>
          <w:color w:val="auto"/>
        </w:rPr>
      </w:pPr>
      <w:r>
        <w:rPr>
          <w:rFonts w:hint="eastAsia"/>
          <w:b/>
          <w:bCs/>
          <w:color w:val="auto"/>
          <w:lang w:val="en-US" w:eastAsia="zh-CN"/>
        </w:rPr>
        <w:t>八、</w:t>
      </w:r>
      <w:r>
        <w:rPr>
          <w:rFonts w:hint="eastAsia"/>
          <w:color w:val="auto"/>
          <w:lang w:val="en-US" w:eastAsia="zh-CN"/>
        </w:rPr>
        <w:t>承包人向发包人承诺按照合同约定进行施工、竣工并在质量保修期内承担工程质量保修责任。</w:t>
      </w:r>
    </w:p>
    <w:p>
      <w:pPr>
        <w:rPr>
          <w:rFonts w:hint="eastAsia"/>
          <w:color w:val="auto"/>
        </w:rPr>
      </w:pPr>
      <w:r>
        <w:rPr>
          <w:rFonts w:hint="eastAsia"/>
          <w:b/>
          <w:bCs/>
          <w:color w:val="auto"/>
          <w:lang w:val="en-US" w:eastAsia="zh-CN"/>
        </w:rPr>
        <w:t>九、</w:t>
      </w:r>
      <w:r>
        <w:rPr>
          <w:rFonts w:hint="eastAsia"/>
          <w:color w:val="auto"/>
          <w:lang w:val="en-US" w:eastAsia="zh-CN"/>
        </w:rPr>
        <w:t>发包人向承包人承诺按照合同约定的期限和方式支付合同价款及其他应当支付的款项。</w:t>
      </w:r>
    </w:p>
    <w:p>
      <w:pPr>
        <w:rPr>
          <w:rFonts w:hint="eastAsia"/>
          <w:color w:val="auto"/>
          <w:lang w:val="en-US" w:eastAsia="zh-CN"/>
        </w:rPr>
      </w:pPr>
      <w:r>
        <w:rPr>
          <w:rFonts w:hint="eastAsia"/>
          <w:b w:val="0"/>
          <w:bCs w:val="0"/>
          <w:color w:val="auto"/>
          <w:lang w:val="en-US" w:eastAsia="zh-CN"/>
        </w:rPr>
        <w:t>十、合同生效</w:t>
      </w:r>
      <w:r>
        <w:rPr>
          <w:rFonts w:hint="eastAsia"/>
          <w:color w:val="auto"/>
          <w:lang w:val="en-US" w:eastAsia="zh-CN"/>
        </w:rPr>
        <w:t>　　</w:t>
      </w:r>
    </w:p>
    <w:p>
      <w:pPr>
        <w:rPr>
          <w:rFonts w:hint="eastAsia"/>
          <w:color w:val="auto"/>
          <w:lang w:val="en-US" w:eastAsia="zh-CN"/>
        </w:rPr>
      </w:pPr>
      <w:r>
        <w:rPr>
          <w:rFonts w:hint="eastAsia"/>
          <w:color w:val="auto"/>
          <w:lang w:val="en-US" w:eastAsia="zh-CN"/>
        </w:rPr>
        <w:t>合同订立时间：____________年________月________日　　</w:t>
      </w:r>
    </w:p>
    <w:p>
      <w:pPr>
        <w:rPr>
          <w:rFonts w:hint="eastAsia"/>
          <w:color w:val="auto"/>
          <w:lang w:val="en-US" w:eastAsia="zh-CN"/>
        </w:rPr>
      </w:pPr>
      <w:r>
        <w:rPr>
          <w:rFonts w:hint="eastAsia"/>
          <w:color w:val="auto"/>
          <w:lang w:val="en-US" w:eastAsia="zh-CN"/>
        </w:rPr>
        <w:t>合同订立地点：_____________________________　　</w:t>
      </w:r>
    </w:p>
    <w:p>
      <w:pPr>
        <w:rPr>
          <w:rFonts w:hint="eastAsia"/>
          <w:color w:val="auto"/>
        </w:rPr>
      </w:pPr>
      <w:r>
        <w:rPr>
          <w:rFonts w:hint="eastAsia"/>
          <w:color w:val="auto"/>
          <w:lang w:val="en-US" w:eastAsia="zh-CN"/>
        </w:rPr>
        <w:t>本合同双方约定______________________后生效。</w:t>
      </w:r>
    </w:p>
    <w:p>
      <w:pPr>
        <w:rPr>
          <w:rFonts w:hint="eastAsia"/>
          <w:color w:val="auto"/>
          <w:lang w:val="en-US" w:eastAsia="zh-CN"/>
        </w:rPr>
      </w:pPr>
      <w:r>
        <w:rPr>
          <w:rFonts w:hint="eastAsia"/>
          <w:color w:val="auto"/>
          <w:lang w:val="en-US" w:eastAsia="zh-CN"/>
        </w:rPr>
        <w:t>发包人：（公章）_________　　承包人：（公章）：__________</w:t>
      </w:r>
    </w:p>
    <w:p>
      <w:pPr>
        <w:rPr>
          <w:rFonts w:hint="eastAsia"/>
          <w:color w:val="auto"/>
          <w:lang w:val="en-US" w:eastAsia="zh-CN"/>
        </w:rPr>
      </w:pPr>
      <w:r>
        <w:rPr>
          <w:rFonts w:hint="eastAsia"/>
          <w:color w:val="auto"/>
          <w:lang w:val="en-US" w:eastAsia="zh-CN"/>
        </w:rPr>
        <w:t>住所：___________________　　住所：______________________</w:t>
      </w:r>
    </w:p>
    <w:p>
      <w:pPr>
        <w:rPr>
          <w:rFonts w:hint="eastAsia"/>
          <w:color w:val="auto"/>
          <w:lang w:val="en-US" w:eastAsia="zh-CN"/>
        </w:rPr>
      </w:pPr>
      <w:r>
        <w:rPr>
          <w:rFonts w:hint="eastAsia"/>
          <w:color w:val="auto"/>
          <w:lang w:val="en-US" w:eastAsia="zh-CN"/>
        </w:rPr>
        <w:t>法定代表人：_____________　　法定代表人：________________</w:t>
      </w:r>
    </w:p>
    <w:p>
      <w:pPr>
        <w:rPr>
          <w:rFonts w:hint="eastAsia"/>
          <w:color w:val="auto"/>
          <w:lang w:val="en-US" w:eastAsia="zh-CN"/>
        </w:rPr>
      </w:pPr>
      <w:r>
        <w:rPr>
          <w:rFonts w:hint="eastAsia"/>
          <w:color w:val="auto"/>
          <w:lang w:val="en-US" w:eastAsia="zh-CN"/>
        </w:rPr>
        <w:t>委托代理人：_____________　　委托代理人：________________</w:t>
      </w:r>
    </w:p>
    <w:p>
      <w:pPr>
        <w:rPr>
          <w:rFonts w:hint="eastAsia"/>
          <w:color w:val="auto"/>
          <w:lang w:val="en-US" w:eastAsia="zh-CN"/>
        </w:rPr>
      </w:pPr>
      <w:r>
        <w:rPr>
          <w:rFonts w:hint="eastAsia"/>
          <w:color w:val="auto"/>
          <w:lang w:val="en-US" w:eastAsia="zh-CN"/>
        </w:rPr>
        <w:t>电话：___________________　　电话：______________________</w:t>
      </w:r>
    </w:p>
    <w:p>
      <w:pPr>
        <w:rPr>
          <w:rFonts w:hint="eastAsia"/>
          <w:color w:val="auto"/>
          <w:lang w:val="en-US" w:eastAsia="zh-CN"/>
        </w:rPr>
      </w:pPr>
      <w:r>
        <w:rPr>
          <w:rFonts w:hint="eastAsia"/>
          <w:color w:val="auto"/>
          <w:lang w:val="en-US" w:eastAsia="zh-CN"/>
        </w:rPr>
        <w:t>传真：___________________　　传真：______________________</w:t>
      </w:r>
    </w:p>
    <w:p>
      <w:pPr>
        <w:rPr>
          <w:rFonts w:hint="eastAsia"/>
          <w:color w:val="auto"/>
          <w:lang w:val="en-US" w:eastAsia="zh-CN"/>
        </w:rPr>
      </w:pPr>
      <w:r>
        <w:rPr>
          <w:rFonts w:hint="eastAsia"/>
          <w:color w:val="auto"/>
          <w:lang w:val="en-US" w:eastAsia="zh-CN"/>
        </w:rPr>
        <w:t>开户银行：_______________　　开户银行：__________________</w:t>
      </w:r>
    </w:p>
    <w:p>
      <w:pPr>
        <w:rPr>
          <w:rFonts w:hint="eastAsia"/>
          <w:color w:val="auto"/>
          <w:lang w:val="en-US" w:eastAsia="zh-CN"/>
        </w:rPr>
      </w:pPr>
      <w:r>
        <w:rPr>
          <w:rFonts w:hint="eastAsia"/>
          <w:color w:val="auto"/>
          <w:lang w:val="en-US" w:eastAsia="zh-CN"/>
        </w:rPr>
        <w:t>帐号：___________________　　帐号：______________________</w:t>
      </w:r>
    </w:p>
    <w:p>
      <w:pPr>
        <w:rPr>
          <w:rFonts w:hint="eastAsia"/>
          <w:color w:val="auto"/>
        </w:rPr>
      </w:pPr>
      <w:r>
        <w:rPr>
          <w:rFonts w:hint="eastAsia"/>
          <w:color w:val="auto"/>
          <w:lang w:val="en-US" w:eastAsia="zh-CN"/>
        </w:rPr>
        <w:t>邮政编码：_______________　　邮政编码：__________________</w:t>
      </w:r>
    </w:p>
    <w:p>
      <w:pPr>
        <w:bidi w:val="0"/>
        <w:rPr>
          <w:rFonts w:hint="eastAsia"/>
          <w:color w:val="auto"/>
        </w:rPr>
      </w:pP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zh-CN" w:eastAsia="zh-CN" w:bidi="zh-CN"/>
        </w:rPr>
        <mc:AlternateContent>
          <mc:Choice Requires="wpg">
            <w:drawing>
              <wp:inline distT="0" distB="0" distL="114300" distR="114300">
                <wp:extent cx="6226810" cy="36830"/>
                <wp:effectExtent l="0" t="8890" r="2540" b="11430"/>
                <wp:docPr id="6" name="组合 1036"/>
                <wp:cNvGraphicFramePr/>
                <a:graphic xmlns:a="http://schemas.openxmlformats.org/drawingml/2006/main">
                  <a:graphicData uri="http://schemas.microsoft.com/office/word/2010/wordprocessingGroup">
                    <wpg:wgp>
                      <wpg:cNvGrpSpPr/>
                      <wpg:grpSpPr>
                        <a:xfrm>
                          <a:off x="0" y="0"/>
                          <a:ext cx="6226810" cy="36830"/>
                          <a:chOff x="0" y="14"/>
                          <a:chExt cx="9806" cy="36"/>
                        </a:xfrm>
                      </wpg:grpSpPr>
                      <wps:wsp>
                        <wps:cNvPr id="4" name="直线 1037"/>
                        <wps:cNvCnPr/>
                        <wps:spPr>
                          <a:xfrm>
                            <a:off x="0" y="50"/>
                            <a:ext cx="9806" cy="0"/>
                          </a:xfrm>
                          <a:prstGeom prst="line">
                            <a:avLst/>
                          </a:prstGeom>
                          <a:ln w="9144" cap="flat" cmpd="sng">
                            <a:solidFill>
                              <a:srgbClr val="000000">
                                <a:alpha val="100000"/>
                              </a:srgbClr>
                            </a:solidFill>
                            <a:prstDash val="solid"/>
                            <a:headEnd type="none" w="med" len="med"/>
                            <a:tailEnd type="none" w="med" len="med"/>
                          </a:ln>
                        </wps:spPr>
                        <wps:bodyPr upright="1"/>
                      </wps:wsp>
                      <wps:wsp>
                        <wps:cNvPr id="5" name="直线 1038"/>
                        <wps:cNvCnPr/>
                        <wps:spPr>
                          <a:xfrm>
                            <a:off x="0" y="14"/>
                            <a:ext cx="9806" cy="0"/>
                          </a:xfrm>
                          <a:prstGeom prst="line">
                            <a:avLst/>
                          </a:prstGeom>
                          <a:ln w="18288" cap="flat" cmpd="sng">
                            <a:solidFill>
                              <a:srgbClr val="000000">
                                <a:alpha val="100000"/>
                              </a:srgbClr>
                            </a:solidFill>
                            <a:prstDash val="solid"/>
                            <a:headEnd type="none" w="med" len="med"/>
                            <a:tailEnd type="none" w="med" len="med"/>
                          </a:ln>
                        </wps:spPr>
                        <wps:bodyPr upright="1"/>
                      </wps:wsp>
                    </wpg:wgp>
                  </a:graphicData>
                </a:graphic>
              </wp:inline>
            </w:drawing>
          </mc:Choice>
          <mc:Fallback>
            <w:pict>
              <v:group id="组合 1036" o:spid="_x0000_s1026" o:spt="203" style="height:2.9pt;width:490.3pt;" coordorigin="0,14" coordsize="9806,36" o:gfxdata="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vsyO9UAAAADAQAADwAAAAAAAAABACAA&#10;AAAiAAAAZHJzL2Rvd25yZXYueG1sUEsBAhQAFAAAAAgAh07iQEv8FkaCAgAASgcAAA4AAAAAAAAA&#10;AQAgAAAAJAEAAGRycy9lMm9Eb2MueG1sUEsFBgAAAAAGAAYAWQEAABgGAAAAAA==&#10;">
                <o:lock v:ext="edit" aspectratio="f"/>
                <v:line id="直线 1037" o:spid="_x0000_s1026" o:spt="20" style="position:absolute;left:0;top:50;height:0;width:9806;" filled="f" stroked="t" coordsize="21600,21600" o:gfxdata="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6de8AAAA&#10;2g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line id="直线 1038" o:spid="_x0000_s1026" o:spt="20" style="position:absolute;left:0;top:14;height:0;width:9806;" filled="f" stroked="t" coordsize="21600,21600" o:gfxdata="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Tkqj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pPr>
        <w:pStyle w:val="7"/>
        <w:outlineLvl w:val="0"/>
        <w:rPr>
          <w:rFonts w:hint="eastAsia" w:ascii="仿宋" w:hAnsi="仿宋" w:eastAsia="仿宋" w:cs="仿宋"/>
          <w:color w:val="auto"/>
          <w:szCs w:val="28"/>
        </w:rPr>
      </w:pPr>
      <w:bookmarkStart w:id="46" w:name="第五部分  电子标响应文件格式"/>
      <w:bookmarkEnd w:id="46"/>
      <w:bookmarkStart w:id="47" w:name="_Toc11"/>
      <w:bookmarkStart w:id="48" w:name="_Toc21407"/>
      <w:bookmarkStart w:id="49" w:name="_Toc29534"/>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bookmarkEnd w:id="47"/>
      <w:bookmarkEnd w:id="48"/>
      <w:bookmarkEnd w:id="49"/>
    </w:p>
    <w:p>
      <w:pPr>
        <w:spacing w:line="360" w:lineRule="auto"/>
        <w:rPr>
          <w:rFonts w:hint="eastAsia" w:ascii="仿宋" w:hAnsi="仿宋" w:eastAsia="仿宋" w:cs="仿宋"/>
          <w:color w:val="auto"/>
          <w:sz w:val="28"/>
          <w:szCs w:val="28"/>
        </w:rPr>
      </w:pPr>
    </w:p>
    <w:p>
      <w:pPr>
        <w:spacing w:line="360" w:lineRule="auto"/>
        <w:rPr>
          <w:rFonts w:hint="eastAsia" w:ascii="仿宋" w:hAnsi="仿宋" w:eastAsia="仿宋" w:cs="仿宋"/>
          <w:color w:val="auto"/>
          <w:sz w:val="28"/>
          <w:szCs w:val="28"/>
        </w:rPr>
      </w:pPr>
    </w:p>
    <w:p>
      <w:pPr>
        <w:jc w:val="center"/>
        <w:rPr>
          <w:b/>
          <w:bCs/>
          <w:color w:val="auto"/>
          <w:sz w:val="40"/>
          <w:szCs w:val="36"/>
        </w:rPr>
      </w:pPr>
      <w:bookmarkStart w:id="50" w:name="响应文件封面格式"/>
      <w:bookmarkEnd w:id="50"/>
      <w:r>
        <w:rPr>
          <w:rFonts w:hint="eastAsia"/>
          <w:b/>
          <w:bCs/>
          <w:color w:val="auto"/>
          <w:sz w:val="40"/>
          <w:szCs w:val="36"/>
          <w:u w:val="single"/>
          <w:lang w:val="en-US" w:eastAsia="zh-CN"/>
        </w:rPr>
        <w:t xml:space="preserve">             </w:t>
      </w:r>
      <w:r>
        <w:rPr>
          <w:b/>
          <w:bCs/>
          <w:color w:val="auto"/>
          <w:sz w:val="40"/>
          <w:szCs w:val="36"/>
        </w:rPr>
        <w:t>（项目名称）</w:t>
      </w:r>
    </w:p>
    <w:p>
      <w:pPr>
        <w:pStyle w:val="3"/>
        <w:ind w:left="0"/>
        <w:rPr>
          <w:b/>
          <w:color w:val="auto"/>
          <w:sz w:val="48"/>
        </w:rPr>
      </w:pPr>
    </w:p>
    <w:p>
      <w:pPr>
        <w:pStyle w:val="3"/>
        <w:ind w:left="0"/>
        <w:rPr>
          <w:b/>
          <w:color w:val="auto"/>
          <w:sz w:val="48"/>
        </w:rPr>
      </w:pPr>
    </w:p>
    <w:p>
      <w:pPr>
        <w:pStyle w:val="3"/>
        <w:ind w:left="0"/>
        <w:rPr>
          <w:b/>
          <w:color w:val="auto"/>
          <w:sz w:val="48"/>
        </w:rPr>
      </w:pPr>
    </w:p>
    <w:p>
      <w:pPr>
        <w:pStyle w:val="3"/>
        <w:spacing w:before="11"/>
        <w:ind w:left="0"/>
        <w:rPr>
          <w:b/>
          <w:color w:val="auto"/>
          <w:sz w:val="54"/>
        </w:rPr>
      </w:pPr>
    </w:p>
    <w:p>
      <w:pPr>
        <w:spacing w:before="0"/>
        <w:ind w:left="531" w:right="542" w:firstLine="0"/>
        <w:jc w:val="center"/>
        <w:outlineLvl w:val="0"/>
        <w:rPr>
          <w:b/>
          <w:color w:val="auto"/>
          <w:sz w:val="72"/>
        </w:rPr>
      </w:pPr>
      <w:bookmarkStart w:id="51" w:name="_Toc1586"/>
      <w:bookmarkStart w:id="52" w:name="_Toc26469"/>
      <w:r>
        <w:rPr>
          <w:b/>
          <w:color w:val="auto"/>
          <w:sz w:val="72"/>
        </w:rPr>
        <w:t>竞争性磋商响应文件</w:t>
      </w:r>
      <w:bookmarkEnd w:id="51"/>
      <w:bookmarkEnd w:id="52"/>
    </w:p>
    <w:p>
      <w:pPr>
        <w:pStyle w:val="3"/>
        <w:ind w:left="0"/>
        <w:rPr>
          <w:b/>
          <w:color w:val="auto"/>
          <w:sz w:val="72"/>
        </w:rPr>
      </w:pPr>
    </w:p>
    <w:p>
      <w:pPr>
        <w:pStyle w:val="3"/>
        <w:ind w:left="0"/>
        <w:rPr>
          <w:b/>
          <w:color w:val="auto"/>
          <w:sz w:val="72"/>
        </w:rPr>
      </w:pPr>
    </w:p>
    <w:p>
      <w:pPr>
        <w:pStyle w:val="3"/>
        <w:ind w:left="0"/>
        <w:rPr>
          <w:b/>
          <w:color w:val="auto"/>
          <w:sz w:val="72"/>
        </w:rPr>
      </w:pPr>
    </w:p>
    <w:p>
      <w:pPr>
        <w:pStyle w:val="3"/>
        <w:spacing w:before="8"/>
        <w:ind w:left="0"/>
        <w:rPr>
          <w:b/>
          <w:color w:val="auto"/>
          <w:sz w:val="104"/>
        </w:rPr>
      </w:pPr>
    </w:p>
    <w:p>
      <w:pPr>
        <w:ind w:firstLine="1606" w:firstLineChars="500"/>
        <w:rPr>
          <w:b/>
          <w:bCs/>
          <w:color w:val="auto"/>
          <w:sz w:val="32"/>
          <w:szCs w:val="28"/>
        </w:rPr>
      </w:pPr>
      <w:r>
        <w:rPr>
          <w:b/>
          <w:bCs/>
          <w:color w:val="auto"/>
          <w:sz w:val="32"/>
          <w:szCs w:val="28"/>
        </w:rPr>
        <w:t>供</w:t>
      </w:r>
      <w:r>
        <w:rPr>
          <w:b/>
          <w:bCs/>
          <w:color w:val="auto"/>
          <w:sz w:val="32"/>
          <w:szCs w:val="28"/>
        </w:rPr>
        <w:tab/>
      </w:r>
      <w:r>
        <w:rPr>
          <w:b/>
          <w:bCs/>
          <w:color w:val="auto"/>
          <w:sz w:val="32"/>
          <w:szCs w:val="28"/>
        </w:rPr>
        <w:t>应</w:t>
      </w:r>
      <w:r>
        <w:rPr>
          <w:b/>
          <w:bCs/>
          <w:color w:val="auto"/>
          <w:sz w:val="32"/>
          <w:szCs w:val="28"/>
        </w:rPr>
        <w:tab/>
      </w:r>
      <w:r>
        <w:rPr>
          <w:b/>
          <w:bCs/>
          <w:color w:val="auto"/>
          <w:sz w:val="32"/>
          <w:szCs w:val="28"/>
        </w:rPr>
        <w:t>商：</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u w:val="single"/>
        </w:rPr>
        <w:tab/>
      </w:r>
      <w:r>
        <w:rPr>
          <w:b/>
          <w:bCs/>
          <w:color w:val="auto"/>
          <w:sz w:val="32"/>
          <w:szCs w:val="28"/>
        </w:rPr>
        <w:t>（</w:t>
      </w:r>
      <w:r>
        <w:rPr>
          <w:rFonts w:hint="eastAsia"/>
          <w:b/>
          <w:bCs/>
          <w:color w:val="auto"/>
          <w:sz w:val="32"/>
          <w:szCs w:val="28"/>
          <w:lang w:val="en-US" w:eastAsia="zh-CN"/>
        </w:rPr>
        <w:t>电子签章</w:t>
      </w:r>
      <w:r>
        <w:rPr>
          <w:b/>
          <w:bCs/>
          <w:color w:val="auto"/>
          <w:sz w:val="32"/>
          <w:szCs w:val="28"/>
        </w:rPr>
        <w:t xml:space="preserve">） </w:t>
      </w:r>
    </w:p>
    <w:p>
      <w:pPr>
        <w:ind w:firstLine="1606" w:firstLineChars="500"/>
        <w:rPr>
          <w:b/>
          <w:bCs/>
          <w:color w:val="auto"/>
          <w:sz w:val="32"/>
          <w:szCs w:val="28"/>
        </w:rPr>
      </w:pPr>
      <w:r>
        <w:rPr>
          <w:b/>
          <w:bCs/>
          <w:color w:val="auto"/>
          <w:sz w:val="32"/>
          <w:szCs w:val="28"/>
        </w:rPr>
        <w:t>法定代表人或其授权委托人：</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rPr>
        <w:t>（</w:t>
      </w:r>
      <w:r>
        <w:rPr>
          <w:rFonts w:hint="eastAsia"/>
          <w:b/>
          <w:bCs/>
          <w:color w:val="auto"/>
          <w:sz w:val="32"/>
          <w:szCs w:val="28"/>
          <w:lang w:val="en-US" w:eastAsia="zh-CN"/>
        </w:rPr>
        <w:t>电子签名或</w:t>
      </w:r>
      <w:r>
        <w:rPr>
          <w:b/>
          <w:bCs/>
          <w:color w:val="auto"/>
          <w:sz w:val="32"/>
          <w:szCs w:val="28"/>
        </w:rPr>
        <w:t xml:space="preserve">签字） </w:t>
      </w:r>
    </w:p>
    <w:p>
      <w:pPr>
        <w:ind w:firstLine="1606" w:firstLineChars="500"/>
        <w:rPr>
          <w:b/>
          <w:color w:val="auto"/>
        </w:rPr>
      </w:pPr>
      <w:r>
        <w:rPr>
          <w:b/>
          <w:bCs/>
          <w:color w:val="auto"/>
          <w:sz w:val="32"/>
          <w:szCs w:val="28"/>
        </w:rPr>
        <w:t>日</w:t>
      </w:r>
      <w:r>
        <w:rPr>
          <w:b/>
          <w:bCs/>
          <w:color w:val="auto"/>
          <w:sz w:val="32"/>
          <w:szCs w:val="28"/>
        </w:rPr>
        <w:tab/>
      </w:r>
      <w:r>
        <w:rPr>
          <w:b/>
          <w:bCs/>
          <w:color w:val="auto"/>
          <w:sz w:val="32"/>
          <w:szCs w:val="28"/>
        </w:rPr>
        <w:t xml:space="preserve">期： </w:t>
      </w:r>
      <w:r>
        <w:rPr>
          <w:rFonts w:hint="eastAsia"/>
          <w:b/>
          <w:bCs/>
          <w:color w:val="auto"/>
          <w:sz w:val="32"/>
          <w:szCs w:val="28"/>
          <w:lang w:val="en-US" w:eastAsia="zh-CN"/>
        </w:rPr>
        <w:t xml:space="preserve">       </w:t>
      </w:r>
      <w:r>
        <w:rPr>
          <w:b/>
          <w:bCs/>
          <w:color w:val="auto"/>
          <w:sz w:val="32"/>
          <w:szCs w:val="28"/>
        </w:rPr>
        <w:t xml:space="preserve">年 </w:t>
      </w:r>
      <w:r>
        <w:rPr>
          <w:rFonts w:hint="eastAsia"/>
          <w:b/>
          <w:bCs/>
          <w:color w:val="auto"/>
          <w:sz w:val="32"/>
          <w:szCs w:val="28"/>
          <w:lang w:val="en-US" w:eastAsia="zh-CN"/>
        </w:rPr>
        <w:t xml:space="preserve">    </w:t>
      </w:r>
      <w:r>
        <w:rPr>
          <w:b/>
          <w:bCs/>
          <w:color w:val="auto"/>
          <w:sz w:val="32"/>
          <w:szCs w:val="28"/>
        </w:rPr>
        <w:t xml:space="preserve">月 </w:t>
      </w:r>
      <w:r>
        <w:rPr>
          <w:rFonts w:hint="eastAsia"/>
          <w:b/>
          <w:bCs/>
          <w:color w:val="auto"/>
          <w:sz w:val="32"/>
          <w:szCs w:val="28"/>
          <w:lang w:val="en-US" w:eastAsia="zh-CN"/>
        </w:rPr>
        <w:t xml:space="preserve">    </w:t>
      </w:r>
      <w:r>
        <w:rPr>
          <w:b/>
          <w:bCs/>
          <w:color w:val="auto"/>
          <w:sz w:val="32"/>
          <w:szCs w:val="28"/>
        </w:rPr>
        <w:t>日</w:t>
      </w:r>
    </w:p>
    <w:p>
      <w:pPr>
        <w:spacing w:after="0" w:line="364" w:lineRule="auto"/>
        <w:jc w:val="left"/>
        <w:rPr>
          <w:color w:val="auto"/>
        </w:rPr>
        <w:sectPr>
          <w:footerReference r:id="rId7" w:type="default"/>
          <w:pgSz w:w="11910" w:h="16840"/>
          <w:pgMar w:top="1417" w:right="1134" w:bottom="1417" w:left="1134" w:header="888" w:footer="910" w:gutter="0"/>
          <w:pgNumType w:fmt="decimal" w:start="1"/>
          <w:cols w:space="720" w:num="1"/>
        </w:sectPr>
      </w:pPr>
    </w:p>
    <w:p>
      <w:pPr>
        <w:spacing w:before="125"/>
        <w:ind w:left="538" w:right="538" w:firstLine="0"/>
        <w:jc w:val="center"/>
        <w:outlineLvl w:val="0"/>
        <w:rPr>
          <w:b/>
          <w:color w:val="auto"/>
          <w:sz w:val="32"/>
        </w:rPr>
      </w:pPr>
      <w:bookmarkStart w:id="53" w:name="_Toc23538"/>
      <w:r>
        <w:rPr>
          <w:b/>
          <w:color w:val="auto"/>
          <w:sz w:val="32"/>
        </w:rPr>
        <w:t>一、报价函及附录</w:t>
      </w:r>
      <w:bookmarkEnd w:id="53"/>
    </w:p>
    <w:p>
      <w:pPr>
        <w:pStyle w:val="10"/>
        <w:spacing w:before="242"/>
        <w:ind w:left="1105"/>
        <w:outlineLvl w:val="1"/>
        <w:rPr>
          <w:color w:val="auto"/>
        </w:rPr>
      </w:pPr>
      <w:bookmarkStart w:id="54" w:name="_Toc29018"/>
      <w:r>
        <w:rPr>
          <w:color w:val="auto"/>
        </w:rPr>
        <w:t>（一）报价函</w:t>
      </w:r>
      <w:bookmarkEnd w:id="54"/>
    </w:p>
    <w:p>
      <w:pPr>
        <w:pStyle w:val="3"/>
        <w:spacing w:before="3"/>
        <w:ind w:left="0"/>
        <w:rPr>
          <w:b/>
          <w:color w:val="auto"/>
          <w:sz w:val="20"/>
        </w:rPr>
      </w:pPr>
    </w:p>
    <w:p>
      <w:pPr>
        <w:pStyle w:val="53"/>
        <w:keepNext w:val="0"/>
        <w:keepLines w:val="0"/>
        <w:widowControl w:val="0"/>
        <w:shd w:val="clear" w:color="auto" w:fill="auto"/>
        <w:tabs>
          <w:tab w:val="left" w:pos="4404"/>
        </w:tabs>
        <w:bidi w:val="0"/>
        <w:spacing w:before="0" w:after="420" w:line="448" w:lineRule="exact"/>
        <w:ind w:left="0" w:right="0" w:firstLine="660"/>
        <w:jc w:val="both"/>
        <w:rPr>
          <w:color w:val="auto"/>
        </w:rPr>
      </w:pPr>
      <w:r>
        <w:rPr>
          <w:color w:val="auto"/>
          <w:u w:val="single"/>
        </w:rPr>
        <w:t xml:space="preserve"> </w:t>
      </w:r>
      <w:r>
        <w:rPr>
          <w:color w:val="auto"/>
          <w:u w:val="single"/>
        </w:rPr>
        <w:tab/>
      </w:r>
      <w:r>
        <w:rPr>
          <w:color w:val="auto"/>
          <w:spacing w:val="0"/>
          <w:w w:val="100"/>
          <w:position w:val="0"/>
        </w:rPr>
        <w:t>（采购人名称）：</w:t>
      </w:r>
    </w:p>
    <w:p>
      <w:pPr>
        <w:pStyle w:val="53"/>
        <w:keepNext w:val="0"/>
        <w:keepLines w:val="0"/>
        <w:widowControl w:val="0"/>
        <w:numPr>
          <w:ilvl w:val="0"/>
          <w:numId w:val="9"/>
        </w:numPr>
        <w:shd w:val="clear" w:color="auto" w:fill="auto"/>
        <w:tabs>
          <w:tab w:val="left" w:pos="1499"/>
          <w:tab w:val="left" w:pos="4826"/>
        </w:tabs>
        <w:bidi w:val="0"/>
        <w:spacing w:before="0" w:after="0" w:line="448" w:lineRule="exact"/>
        <w:ind w:left="1140" w:right="0" w:firstLine="0"/>
        <w:jc w:val="left"/>
        <w:rPr>
          <w:color w:val="auto"/>
          <w:sz w:val="24"/>
          <w:szCs w:val="24"/>
        </w:rPr>
      </w:pPr>
      <w:bookmarkStart w:id="55" w:name="bookmark191"/>
      <w:bookmarkEnd w:id="55"/>
      <w:r>
        <w:rPr>
          <w:color w:val="auto"/>
          <w:spacing w:val="0"/>
          <w:w w:val="100"/>
          <w:position w:val="0"/>
        </w:rPr>
        <w:t>我方已仔细研究了</w:t>
      </w:r>
      <w:r>
        <w:rPr>
          <w:color w:val="auto"/>
          <w:u w:val="single"/>
        </w:rPr>
        <w:t xml:space="preserve"> </w:t>
      </w:r>
      <w:r>
        <w:rPr>
          <w:color w:val="auto"/>
          <w:u w:val="single"/>
        </w:rPr>
        <w:tab/>
      </w:r>
      <w:r>
        <w:rPr>
          <w:color w:val="auto"/>
          <w:spacing w:val="0"/>
          <w:w w:val="100"/>
          <w:position w:val="0"/>
        </w:rPr>
        <w:t xml:space="preserve"> （项目名称）竞争性</w:t>
      </w:r>
      <w:r>
        <w:rPr>
          <w:rFonts w:hint="eastAsia"/>
          <w:color w:val="auto"/>
          <w:spacing w:val="0"/>
          <w:w w:val="100"/>
          <w:position w:val="0"/>
          <w:lang w:val="en-US" w:eastAsia="zh-CN"/>
        </w:rPr>
        <w:t>磋商</w:t>
      </w:r>
      <w:r>
        <w:rPr>
          <w:color w:val="auto"/>
          <w:spacing w:val="0"/>
          <w:w w:val="100"/>
          <w:position w:val="0"/>
        </w:rPr>
        <w:t>文件的全部内</w:t>
      </w:r>
      <w:r>
        <w:rPr>
          <w:color w:val="auto"/>
          <w:spacing w:val="0"/>
          <w:w w:val="100"/>
          <w:position w:val="0"/>
          <w:sz w:val="22"/>
          <w:szCs w:val="22"/>
        </w:rPr>
        <w:t>容，愿意以人民币（大写）</w:t>
      </w:r>
      <w:r>
        <w:rPr>
          <w:color w:val="auto"/>
          <w:sz w:val="22"/>
          <w:szCs w:val="22"/>
          <w:u w:val="single"/>
        </w:rPr>
        <w:t xml:space="preserve"> </w:t>
      </w:r>
      <w:r>
        <w:rPr>
          <w:color w:val="auto"/>
          <w:sz w:val="22"/>
          <w:szCs w:val="22"/>
          <w:u w:val="single"/>
        </w:rPr>
        <w:tab/>
      </w:r>
      <w:r>
        <w:rPr>
          <w:color w:val="auto"/>
          <w:spacing w:val="0"/>
          <w:w w:val="100"/>
          <w:position w:val="0"/>
          <w:sz w:val="22"/>
          <w:szCs w:val="22"/>
        </w:rPr>
        <w:t>元（¥</w:t>
      </w:r>
      <w:r>
        <w:rPr>
          <w:rFonts w:hint="eastAsia"/>
          <w:color w:val="auto"/>
          <w:spacing w:val="0"/>
          <w:w w:val="100"/>
          <w:position w:val="0"/>
          <w:sz w:val="22"/>
          <w:szCs w:val="22"/>
          <w:lang w:val="en-US" w:eastAsia="zh-CN"/>
        </w:rPr>
        <w:t xml:space="preserve"> </w:t>
      </w:r>
      <w:r>
        <w:rPr>
          <w:rFonts w:hint="eastAsia"/>
          <w:color w:val="auto"/>
          <w:spacing w:val="0"/>
          <w:w w:val="100"/>
          <w:position w:val="0"/>
          <w:sz w:val="22"/>
          <w:szCs w:val="22"/>
          <w:lang w:val="en-US" w:eastAsia="zh-CN" w:bidi="zh-CN"/>
        </w:rPr>
        <w:t>元</w:t>
      </w:r>
      <w:r>
        <w:rPr>
          <w:color w:val="auto"/>
          <w:spacing w:val="0"/>
          <w:w w:val="100"/>
          <w:position w:val="0"/>
          <w:sz w:val="22"/>
          <w:szCs w:val="22"/>
        </w:rPr>
        <w:t>）的竞争性</w:t>
      </w:r>
      <w:r>
        <w:rPr>
          <w:rFonts w:hint="eastAsia"/>
          <w:color w:val="auto"/>
          <w:spacing w:val="0"/>
          <w:w w:val="100"/>
          <w:position w:val="0"/>
          <w:sz w:val="22"/>
          <w:szCs w:val="22"/>
          <w:lang w:val="en-US" w:eastAsia="zh-CN"/>
        </w:rPr>
        <w:t>磋商</w:t>
      </w:r>
      <w:r>
        <w:rPr>
          <w:color w:val="auto"/>
          <w:spacing w:val="0"/>
          <w:w w:val="100"/>
          <w:position w:val="0"/>
          <w:sz w:val="22"/>
          <w:szCs w:val="22"/>
        </w:rPr>
        <w:t>报价，工期</w:t>
      </w:r>
      <w:r>
        <w:rPr>
          <w:color w:val="auto"/>
          <w:sz w:val="22"/>
          <w:szCs w:val="22"/>
          <w:u w:val="single"/>
        </w:rPr>
        <w:t xml:space="preserve"> </w:t>
      </w:r>
      <w:r>
        <w:rPr>
          <w:color w:val="auto"/>
          <w:sz w:val="22"/>
          <w:szCs w:val="22"/>
          <w:u w:val="single"/>
        </w:rPr>
        <w:tab/>
      </w:r>
      <w:r>
        <w:rPr>
          <w:color w:val="auto"/>
          <w:spacing w:val="0"/>
          <w:w w:val="100"/>
          <w:position w:val="0"/>
          <w:sz w:val="22"/>
          <w:szCs w:val="22"/>
        </w:rPr>
        <w:t>日历天，按合同约定实施和完成承包工程，修补工程中的任何缺陷，工程质量达到</w:t>
      </w:r>
      <w:r>
        <w:rPr>
          <w:rFonts w:hint="eastAsia"/>
          <w:color w:val="auto"/>
          <w:spacing w:val="0"/>
          <w:w w:val="100"/>
          <w:position w:val="0"/>
          <w:sz w:val="22"/>
          <w:szCs w:val="22"/>
          <w:u w:val="single"/>
          <w:lang w:val="en-US" w:eastAsia="zh-CN"/>
        </w:rPr>
        <w:t xml:space="preserve">    </w:t>
      </w:r>
      <w:r>
        <w:rPr>
          <w:color w:val="auto"/>
          <w:sz w:val="22"/>
          <w:szCs w:val="22"/>
          <w:u w:val="single"/>
        </w:rPr>
        <w:tab/>
      </w:r>
      <w:r>
        <w:rPr>
          <w:rFonts w:hint="eastAsia"/>
          <w:color w:val="auto"/>
          <w:sz w:val="22"/>
          <w:szCs w:val="22"/>
          <w:u w:val="none"/>
          <w:lang w:eastAsia="zh-CN"/>
        </w:rPr>
        <w:t>。</w:t>
      </w:r>
    </w:p>
    <w:p>
      <w:pPr>
        <w:pStyle w:val="53"/>
        <w:keepNext w:val="0"/>
        <w:keepLines w:val="0"/>
        <w:widowControl w:val="0"/>
        <w:numPr>
          <w:ilvl w:val="0"/>
          <w:numId w:val="9"/>
        </w:numPr>
        <w:shd w:val="clear" w:color="auto" w:fill="auto"/>
        <w:tabs>
          <w:tab w:val="left" w:pos="1499"/>
        </w:tabs>
        <w:bidi w:val="0"/>
        <w:spacing w:before="0" w:after="0" w:line="448" w:lineRule="exact"/>
        <w:ind w:left="1140" w:right="0" w:firstLine="0"/>
        <w:jc w:val="left"/>
        <w:rPr>
          <w:color w:val="auto"/>
        </w:rPr>
      </w:pPr>
      <w:bookmarkStart w:id="56" w:name="bookmark192"/>
      <w:bookmarkEnd w:id="56"/>
      <w:r>
        <w:rPr>
          <w:color w:val="auto"/>
          <w:spacing w:val="0"/>
          <w:w w:val="100"/>
          <w:position w:val="0"/>
        </w:rPr>
        <w:t>我方承诺在</w:t>
      </w:r>
      <w:r>
        <w:rPr>
          <w:rFonts w:hint="eastAsia"/>
          <w:color w:val="auto"/>
          <w:spacing w:val="0"/>
          <w:w w:val="100"/>
          <w:position w:val="0"/>
          <w:lang w:val="en-US" w:eastAsia="zh-CN"/>
        </w:rPr>
        <w:t>磋商</w:t>
      </w:r>
      <w:r>
        <w:rPr>
          <w:color w:val="auto"/>
          <w:spacing w:val="0"/>
          <w:w w:val="100"/>
          <w:position w:val="0"/>
        </w:rPr>
        <w:t>有效期内不修改、撤销</w:t>
      </w:r>
      <w:r>
        <w:rPr>
          <w:rFonts w:hint="eastAsia"/>
          <w:color w:val="auto"/>
          <w:spacing w:val="0"/>
          <w:w w:val="100"/>
          <w:position w:val="0"/>
          <w:lang w:val="en-US" w:eastAsia="zh-CN"/>
        </w:rPr>
        <w:t>磋商</w:t>
      </w:r>
      <w:r>
        <w:rPr>
          <w:color w:val="auto"/>
          <w:spacing w:val="0"/>
          <w:w w:val="100"/>
          <w:position w:val="0"/>
        </w:rPr>
        <w:t>响应文件。</w:t>
      </w:r>
    </w:p>
    <w:p>
      <w:pPr>
        <w:pStyle w:val="53"/>
        <w:keepNext w:val="0"/>
        <w:keepLines w:val="0"/>
        <w:widowControl w:val="0"/>
        <w:numPr>
          <w:ilvl w:val="0"/>
          <w:numId w:val="9"/>
        </w:numPr>
        <w:shd w:val="clear" w:color="auto" w:fill="auto"/>
        <w:tabs>
          <w:tab w:val="left" w:pos="1499"/>
        </w:tabs>
        <w:bidi w:val="0"/>
        <w:spacing w:before="0" w:after="0" w:line="448" w:lineRule="exact"/>
        <w:ind w:left="1140" w:right="0" w:firstLine="0"/>
        <w:jc w:val="both"/>
        <w:rPr>
          <w:color w:val="auto"/>
        </w:rPr>
      </w:pPr>
      <w:bookmarkStart w:id="57" w:name="bookmark193"/>
      <w:bookmarkEnd w:id="57"/>
      <w:r>
        <w:rPr>
          <w:color w:val="auto"/>
          <w:spacing w:val="0"/>
          <w:w w:val="100"/>
          <w:position w:val="0"/>
        </w:rPr>
        <w:t>如我方中标：</w:t>
      </w:r>
    </w:p>
    <w:p>
      <w:pPr>
        <w:pStyle w:val="53"/>
        <w:keepNext w:val="0"/>
        <w:keepLines w:val="0"/>
        <w:widowControl w:val="0"/>
        <w:shd w:val="clear" w:color="auto" w:fill="auto"/>
        <w:tabs>
          <w:tab w:val="left" w:pos="2085"/>
        </w:tabs>
        <w:bidi w:val="0"/>
        <w:spacing w:before="0" w:after="0" w:line="448" w:lineRule="exact"/>
        <w:ind w:left="660" w:right="0" w:firstLine="940"/>
        <w:jc w:val="both"/>
        <w:rPr>
          <w:color w:val="auto"/>
        </w:rPr>
      </w:pPr>
      <w:bookmarkStart w:id="58" w:name="bookmark194"/>
      <w:r>
        <w:rPr>
          <w:color w:val="auto"/>
          <w:spacing w:val="0"/>
          <w:w w:val="100"/>
          <w:position w:val="0"/>
          <w:sz w:val="24"/>
          <w:szCs w:val="24"/>
        </w:rPr>
        <w:t>（</w:t>
      </w:r>
      <w:bookmarkEnd w:id="58"/>
      <w:r>
        <w:rPr>
          <w:color w:val="auto"/>
          <w:spacing w:val="0"/>
          <w:w w:val="100"/>
          <w:position w:val="0"/>
          <w:sz w:val="24"/>
          <w:szCs w:val="24"/>
        </w:rPr>
        <w:t>1）</w:t>
      </w:r>
      <w:r>
        <w:rPr>
          <w:color w:val="auto"/>
          <w:spacing w:val="0"/>
          <w:w w:val="100"/>
          <w:position w:val="0"/>
        </w:rPr>
        <w:t>我方承诺在收到</w:t>
      </w:r>
      <w:r>
        <w:rPr>
          <w:rFonts w:hint="eastAsia"/>
          <w:color w:val="auto"/>
          <w:spacing w:val="0"/>
          <w:w w:val="100"/>
          <w:position w:val="0"/>
          <w:lang w:val="en-US" w:eastAsia="zh-CN"/>
        </w:rPr>
        <w:t>磋商</w:t>
      </w:r>
      <w:r>
        <w:rPr>
          <w:color w:val="auto"/>
          <w:spacing w:val="0"/>
          <w:w w:val="100"/>
          <w:position w:val="0"/>
        </w:rPr>
        <w:t>成交通知书后，</w:t>
      </w:r>
      <w:r>
        <w:rPr>
          <w:color w:val="auto"/>
          <w:spacing w:val="0"/>
          <w:w w:val="100"/>
          <w:position w:val="0"/>
          <w:highlight w:val="none"/>
        </w:rPr>
        <w:t>在</w:t>
      </w:r>
      <w:r>
        <w:rPr>
          <w:rFonts w:hint="eastAsia"/>
          <w:color w:val="auto"/>
          <w:spacing w:val="0"/>
          <w:w w:val="100"/>
          <w:position w:val="0"/>
          <w:highlight w:val="none"/>
          <w:lang w:val="en-US" w:eastAsia="zh-CN"/>
        </w:rPr>
        <w:t>磋商</w:t>
      </w:r>
      <w:r>
        <w:rPr>
          <w:color w:val="auto"/>
          <w:spacing w:val="0"/>
          <w:w w:val="100"/>
          <w:position w:val="0"/>
        </w:rPr>
        <w:t>成交通知书规定的期限内与你方签订合同。</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59" w:name="bookmark195"/>
      <w:r>
        <w:rPr>
          <w:color w:val="auto"/>
          <w:spacing w:val="0"/>
          <w:w w:val="100"/>
          <w:position w:val="0"/>
          <w:sz w:val="24"/>
          <w:szCs w:val="24"/>
        </w:rPr>
        <w:t>（</w:t>
      </w:r>
      <w:bookmarkEnd w:id="59"/>
      <w:r>
        <w:rPr>
          <w:color w:val="auto"/>
          <w:spacing w:val="0"/>
          <w:w w:val="100"/>
          <w:position w:val="0"/>
          <w:sz w:val="24"/>
          <w:szCs w:val="24"/>
        </w:rPr>
        <w:t>2）</w:t>
      </w:r>
      <w:r>
        <w:rPr>
          <w:color w:val="auto"/>
          <w:spacing w:val="0"/>
          <w:w w:val="100"/>
          <w:position w:val="0"/>
        </w:rPr>
        <w:t>随同本</w:t>
      </w:r>
      <w:r>
        <w:rPr>
          <w:rFonts w:hint="eastAsia"/>
          <w:color w:val="auto"/>
          <w:spacing w:val="0"/>
          <w:w w:val="100"/>
          <w:position w:val="0"/>
          <w:lang w:val="en-US" w:eastAsia="zh-CN"/>
        </w:rPr>
        <w:t>磋商</w:t>
      </w:r>
      <w:r>
        <w:rPr>
          <w:color w:val="auto"/>
          <w:spacing w:val="0"/>
          <w:w w:val="100"/>
          <w:position w:val="0"/>
        </w:rPr>
        <w:t>响应函递交的开标一览表属于合同文件的组成部分。</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0" w:name="bookmark196"/>
      <w:r>
        <w:rPr>
          <w:color w:val="auto"/>
          <w:spacing w:val="0"/>
          <w:w w:val="100"/>
          <w:position w:val="0"/>
          <w:sz w:val="24"/>
          <w:szCs w:val="24"/>
        </w:rPr>
        <w:t>（</w:t>
      </w:r>
      <w:bookmarkEnd w:id="60"/>
      <w:r>
        <w:rPr>
          <w:color w:val="auto"/>
          <w:spacing w:val="0"/>
          <w:w w:val="100"/>
          <w:position w:val="0"/>
          <w:sz w:val="24"/>
          <w:szCs w:val="24"/>
        </w:rPr>
        <w:t>3）</w:t>
      </w:r>
      <w:r>
        <w:rPr>
          <w:color w:val="auto"/>
          <w:spacing w:val="0"/>
          <w:w w:val="100"/>
          <w:position w:val="0"/>
        </w:rPr>
        <w:t>我方承诺按照竞争性</w:t>
      </w:r>
      <w:r>
        <w:rPr>
          <w:rFonts w:hint="eastAsia"/>
          <w:color w:val="auto"/>
          <w:spacing w:val="0"/>
          <w:w w:val="100"/>
          <w:position w:val="0"/>
          <w:lang w:val="en-US" w:eastAsia="zh-CN"/>
        </w:rPr>
        <w:t>磋商</w:t>
      </w:r>
      <w:r>
        <w:rPr>
          <w:color w:val="auto"/>
          <w:spacing w:val="0"/>
          <w:w w:val="100"/>
          <w:position w:val="0"/>
        </w:rPr>
        <w:t>文件规定向你方递交履约担保。</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1" w:name="bookmark197"/>
      <w:r>
        <w:rPr>
          <w:color w:val="auto"/>
          <w:spacing w:val="0"/>
          <w:w w:val="100"/>
          <w:position w:val="0"/>
          <w:sz w:val="24"/>
          <w:szCs w:val="24"/>
        </w:rPr>
        <w:t>（</w:t>
      </w:r>
      <w:bookmarkEnd w:id="61"/>
      <w:r>
        <w:rPr>
          <w:color w:val="auto"/>
          <w:spacing w:val="0"/>
          <w:w w:val="100"/>
          <w:position w:val="0"/>
          <w:sz w:val="24"/>
          <w:szCs w:val="24"/>
        </w:rPr>
        <w:t>4）</w:t>
      </w:r>
      <w:r>
        <w:rPr>
          <w:color w:val="auto"/>
          <w:spacing w:val="0"/>
          <w:w w:val="100"/>
          <w:position w:val="0"/>
        </w:rPr>
        <w:t>我方承诺在合同约定的期限内完成并移交全部合同工程。</w:t>
      </w:r>
    </w:p>
    <w:p>
      <w:pPr>
        <w:pStyle w:val="53"/>
        <w:keepNext w:val="0"/>
        <w:keepLines w:val="0"/>
        <w:widowControl w:val="0"/>
        <w:numPr>
          <w:ilvl w:val="0"/>
          <w:numId w:val="9"/>
        </w:numPr>
        <w:shd w:val="clear" w:color="auto" w:fill="auto"/>
        <w:tabs>
          <w:tab w:val="left" w:pos="1499"/>
        </w:tabs>
        <w:bidi w:val="0"/>
        <w:spacing w:before="0" w:after="0" w:line="448" w:lineRule="exact"/>
        <w:ind w:left="660" w:right="0" w:firstLine="500"/>
        <w:jc w:val="both"/>
        <w:rPr>
          <w:color w:val="auto"/>
        </w:rPr>
      </w:pPr>
      <w:bookmarkStart w:id="62" w:name="bookmark198"/>
      <w:bookmarkEnd w:id="62"/>
      <w:r>
        <w:rPr>
          <w:color w:val="auto"/>
          <w:spacing w:val="0"/>
          <w:w w:val="100"/>
          <w:position w:val="0"/>
        </w:rPr>
        <w:t>我方在此声明，所递交的</w:t>
      </w:r>
      <w:r>
        <w:rPr>
          <w:rFonts w:hint="eastAsia"/>
          <w:color w:val="auto"/>
          <w:spacing w:val="0"/>
          <w:w w:val="100"/>
          <w:position w:val="0"/>
          <w:lang w:val="en-US" w:eastAsia="zh-CN"/>
        </w:rPr>
        <w:t>磋商</w:t>
      </w:r>
      <w:r>
        <w:rPr>
          <w:color w:val="auto"/>
          <w:spacing w:val="0"/>
          <w:w w:val="100"/>
          <w:position w:val="0"/>
        </w:rPr>
        <w:t>响应文件及有关资料内容完整、真实和准确，且不存在第二章</w:t>
      </w:r>
      <w:r>
        <w:rPr>
          <w:color w:val="auto"/>
          <w:spacing w:val="0"/>
          <w:w w:val="100"/>
          <w:position w:val="0"/>
          <w:lang w:val="zh-CN" w:eastAsia="zh-CN" w:bidi="zh-CN"/>
        </w:rPr>
        <w:t>“供</w:t>
      </w:r>
      <w:r>
        <w:rPr>
          <w:color w:val="auto"/>
          <w:spacing w:val="0"/>
          <w:w w:val="100"/>
          <w:position w:val="0"/>
        </w:rPr>
        <w:t>应商须知”规定的任何一种情形。</w:t>
      </w:r>
    </w:p>
    <w:p>
      <w:pPr>
        <w:pStyle w:val="53"/>
        <w:keepNext w:val="0"/>
        <w:keepLines w:val="0"/>
        <w:widowControl w:val="0"/>
        <w:numPr>
          <w:ilvl w:val="0"/>
          <w:numId w:val="9"/>
        </w:numPr>
        <w:shd w:val="clear" w:color="auto" w:fill="auto"/>
        <w:tabs>
          <w:tab w:val="left" w:pos="1513"/>
          <w:tab w:val="left" w:pos="2933"/>
        </w:tabs>
        <w:bidi w:val="0"/>
        <w:spacing w:before="0" w:after="0" w:line="448" w:lineRule="exact"/>
        <w:ind w:left="1140" w:right="0" w:firstLine="0"/>
        <w:jc w:val="left"/>
        <w:rPr>
          <w:color w:val="auto"/>
        </w:rPr>
      </w:pPr>
      <w:bookmarkStart w:id="63" w:name="bookmark199"/>
      <w:bookmarkEnd w:id="63"/>
      <w:r>
        <w:rPr>
          <w:color w:val="auto"/>
          <w:u w:val="single"/>
        </w:rPr>
        <w:t xml:space="preserve"> </w:t>
      </w:r>
      <w:r>
        <w:rPr>
          <w:color w:val="auto"/>
          <w:u w:val="single"/>
        </w:rPr>
        <w:tab/>
      </w:r>
      <w:r>
        <w:rPr>
          <w:color w:val="auto"/>
          <w:spacing w:val="0"/>
          <w:w w:val="100"/>
          <w:position w:val="0"/>
        </w:rPr>
        <w:t xml:space="preserve"> （其他补充说明）</w:t>
      </w:r>
      <w:r>
        <w:rPr>
          <w:i/>
          <w:iCs/>
          <w:color w:val="auto"/>
          <w:spacing w:val="0"/>
          <w:w w:val="100"/>
          <w:position w:val="0"/>
        </w:rPr>
        <w:t>。</w:t>
      </w:r>
    </w:p>
    <w:p>
      <w:pPr>
        <w:pStyle w:val="53"/>
        <w:keepNext w:val="0"/>
        <w:keepLines w:val="0"/>
        <w:widowControl w:val="0"/>
        <w:shd w:val="clear" w:color="auto" w:fill="auto"/>
        <w:tabs>
          <w:tab w:val="left" w:pos="8703"/>
          <w:tab w:val="left" w:pos="8811"/>
        </w:tabs>
        <w:bidi w:val="0"/>
        <w:spacing w:before="0" w:after="120" w:line="448" w:lineRule="exact"/>
        <w:ind w:left="2720" w:right="0" w:firstLine="940"/>
        <w:jc w:val="left"/>
        <w:rPr>
          <w:color w:val="auto"/>
          <w:spacing w:val="0"/>
          <w:w w:val="100"/>
          <w:position w:val="0"/>
        </w:rPr>
      </w:pPr>
      <w:r>
        <w:rPr>
          <w:color w:val="auto"/>
          <w:spacing w:val="0"/>
          <w:w w:val="100"/>
          <w:position w:val="0"/>
        </w:rPr>
        <w:t>供应商（电子签章）:</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703"/>
          <w:tab w:val="left" w:pos="8811"/>
        </w:tabs>
        <w:bidi w:val="0"/>
        <w:spacing w:before="0" w:after="120" w:line="448" w:lineRule="exact"/>
        <w:ind w:right="0"/>
        <w:jc w:val="left"/>
        <w:rPr>
          <w:color w:val="auto"/>
        </w:rPr>
      </w:pPr>
      <w:r>
        <w:rPr>
          <w:color w:val="auto"/>
          <w:spacing w:val="0"/>
          <w:w w:val="100"/>
          <w:position w:val="0"/>
        </w:rPr>
        <w:t>法定代表人或其委托代理人（电子签名或签字）：</w:t>
      </w:r>
      <w:r>
        <w:rPr>
          <w:color w:val="auto"/>
          <w:u w:val="single"/>
        </w:rPr>
        <w:t xml:space="preserve"> </w:t>
      </w:r>
      <w:r>
        <w:rPr>
          <w:color w:val="auto"/>
          <w:u w:val="single"/>
        </w:rPr>
        <w:tab/>
      </w:r>
    </w:p>
    <w:p>
      <w:pPr>
        <w:pStyle w:val="53"/>
        <w:keepNext w:val="0"/>
        <w:keepLines w:val="0"/>
        <w:widowControl w:val="0"/>
        <w:shd w:val="clear" w:color="auto" w:fill="auto"/>
        <w:tabs>
          <w:tab w:val="left" w:pos="8370"/>
        </w:tabs>
        <w:bidi w:val="0"/>
        <w:spacing w:before="0" w:after="0" w:line="449" w:lineRule="exact"/>
        <w:ind w:right="0" w:firstLine="4017" w:firstLineChars="1826"/>
        <w:jc w:val="left"/>
        <w:rPr>
          <w:color w:val="auto"/>
        </w:rPr>
      </w:pPr>
      <w:r>
        <w:rPr>
          <w:color w:val="auto"/>
          <w:spacing w:val="0"/>
          <w:w w:val="100"/>
          <w:position w:val="0"/>
        </w:rPr>
        <w:t>地址：</w:t>
      </w:r>
      <w:r>
        <w:rPr>
          <w:color w:val="auto"/>
          <w:u w:val="single"/>
        </w:rPr>
        <w:t xml:space="preserve"> </w:t>
      </w:r>
      <w:r>
        <w:rPr>
          <w:color w:val="auto"/>
          <w:u w:val="single"/>
        </w:rPr>
        <w:tab/>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网址：</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电话：</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传真：</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rPr>
      </w:pPr>
      <w:r>
        <w:rPr>
          <w:rFonts w:hint="eastAsia"/>
          <w:color w:val="auto"/>
          <w:spacing w:val="0"/>
          <w:w w:val="100"/>
          <w:position w:val="0"/>
          <w:lang w:val="en-US" w:eastAsia="zh-CN"/>
        </w:rPr>
        <w:t>邮</w:t>
      </w:r>
      <w:r>
        <w:rPr>
          <w:color w:val="auto"/>
          <w:spacing w:val="0"/>
          <w:w w:val="100"/>
          <w:position w:val="0"/>
        </w:rPr>
        <w:t>政编码：</w:t>
      </w:r>
      <w:r>
        <w:rPr>
          <w:color w:val="auto"/>
          <w:u w:val="single"/>
        </w:rPr>
        <w:t xml:space="preserve"> </w:t>
      </w:r>
      <w:r>
        <w:rPr>
          <w:color w:val="auto"/>
          <w:u w:val="single"/>
        </w:rPr>
        <w:tab/>
      </w:r>
    </w:p>
    <w:p>
      <w:pPr>
        <w:jc w:val="right"/>
        <w:rPr>
          <w:color w:val="auto"/>
        </w:rPr>
      </w:pPr>
      <w:r>
        <w:rPr>
          <w:color w:val="auto"/>
          <w:spacing w:val="0"/>
          <w:w w:val="100"/>
          <w:position w:val="0"/>
          <w:lang w:val="zh-CN" w:eastAsia="zh-CN" w:bidi="zh-CN"/>
        </w:rPr>
        <w:t>—</w:t>
      </w:r>
      <w:r>
        <w:rPr>
          <w:color w:val="auto"/>
          <w:spacing w:val="0"/>
          <w:w w:val="100"/>
          <w:position w:val="0"/>
        </w:rPr>
        <w:t>年_月_日</w:t>
      </w:r>
    </w:p>
    <w:p>
      <w:pPr>
        <w:rPr>
          <w:color w:val="auto"/>
        </w:rPr>
      </w:pPr>
      <w:r>
        <w:rPr>
          <w:color w:val="auto"/>
        </w:rPr>
        <w:br w:type="page"/>
      </w:r>
    </w:p>
    <w:p>
      <w:pPr>
        <w:pStyle w:val="10"/>
        <w:ind w:left="1105"/>
        <w:outlineLvl w:val="1"/>
        <w:rPr>
          <w:color w:val="auto"/>
        </w:rPr>
      </w:pPr>
      <w:bookmarkStart w:id="64" w:name="_Toc4075"/>
      <w:r>
        <w:rPr>
          <w:color w:val="auto"/>
        </w:rPr>
        <w:t>（二）磋商报价表</w:t>
      </w:r>
      <w:bookmarkEnd w:id="64"/>
    </w:p>
    <w:p>
      <w:pPr>
        <w:pStyle w:val="3"/>
        <w:spacing w:before="4"/>
        <w:ind w:left="0"/>
        <w:rPr>
          <w:b/>
          <w:color w:val="auto"/>
          <w:sz w:val="10"/>
        </w:rPr>
      </w:pPr>
    </w:p>
    <w:tbl>
      <w:tblPr>
        <w:tblStyle w:val="19"/>
        <w:tblW w:w="0" w:type="auto"/>
        <w:jc w:val="center"/>
        <w:tblLayout w:type="fixed"/>
        <w:tblCellMar>
          <w:top w:w="0" w:type="dxa"/>
          <w:left w:w="10" w:type="dxa"/>
          <w:bottom w:w="0" w:type="dxa"/>
          <w:right w:w="10" w:type="dxa"/>
        </w:tblCellMar>
      </w:tblPr>
      <w:tblGrid>
        <w:gridCol w:w="1447"/>
        <w:gridCol w:w="2290"/>
        <w:gridCol w:w="6026"/>
      </w:tblGrid>
      <w:tr>
        <w:tblPrEx>
          <w:tblCellMar>
            <w:top w:w="0" w:type="dxa"/>
            <w:left w:w="10" w:type="dxa"/>
            <w:bottom w:w="0" w:type="dxa"/>
            <w:right w:w="10" w:type="dxa"/>
          </w:tblCellMar>
        </w:tblPrEx>
        <w:trPr>
          <w:trHeight w:val="655"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项目名称</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662"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400"/>
              <w:jc w:val="left"/>
              <w:rPr>
                <w:color w:val="auto"/>
              </w:rPr>
            </w:pPr>
            <w:r>
              <w:rPr>
                <w:color w:val="auto"/>
                <w:spacing w:val="0"/>
                <w:w w:val="100"/>
                <w:position w:val="0"/>
              </w:rPr>
              <w:t>供应商</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590"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项目经理</w:t>
            </w:r>
          </w:p>
        </w:tc>
        <w:tc>
          <w:tcPr>
            <w:tcBorders>
              <w:top w:val="single" w:color="auto" w:sz="4" w:space="0"/>
              <w:left w:val="single" w:color="auto" w:sz="4" w:space="0"/>
            </w:tcBorders>
            <w:shd w:val="clear" w:color="auto" w:fill="FFFFFF"/>
            <w:vAlign w:val="top"/>
          </w:tcPr>
          <w:p>
            <w:pPr>
              <w:widowControl w:val="0"/>
              <w:rPr>
                <w:color w:val="auto"/>
                <w:sz w:val="10"/>
                <w:szCs w:val="10"/>
              </w:rPr>
            </w:pP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tabs>
                <w:tab w:val="left" w:pos="2317"/>
              </w:tabs>
              <w:bidi w:val="0"/>
              <w:spacing w:before="0" w:after="0" w:line="240" w:lineRule="auto"/>
              <w:ind w:left="0" w:right="0" w:firstLine="200"/>
              <w:jc w:val="left"/>
              <w:rPr>
                <w:color w:val="auto"/>
              </w:rPr>
            </w:pPr>
            <w:r>
              <w:rPr>
                <w:color w:val="auto"/>
                <w:spacing w:val="0"/>
                <w:w w:val="100"/>
                <w:position w:val="0"/>
              </w:rPr>
              <w:t>级别</w:t>
            </w:r>
            <w:r>
              <w:rPr>
                <w:color w:val="auto"/>
                <w:spacing w:val="0"/>
                <w:w w:val="100"/>
                <w:position w:val="0"/>
              </w:rPr>
              <w:tab/>
            </w:r>
            <w:r>
              <w:rPr>
                <w:color w:val="auto"/>
                <w:spacing w:val="0"/>
                <w:w w:val="100"/>
                <w:position w:val="0"/>
              </w:rPr>
              <w:t>注册编号</w:t>
            </w:r>
          </w:p>
        </w:tc>
      </w:tr>
      <w:tr>
        <w:tblPrEx>
          <w:tblCellMar>
            <w:top w:w="0" w:type="dxa"/>
            <w:left w:w="10" w:type="dxa"/>
            <w:bottom w:w="0" w:type="dxa"/>
            <w:right w:w="10" w:type="dxa"/>
          </w:tblCellMar>
        </w:tblPrEx>
        <w:trPr>
          <w:trHeight w:val="108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6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报价（元）</w:t>
            </w:r>
          </w:p>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（第一轮报价）</w:t>
            </w: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bidi w:val="0"/>
              <w:spacing w:before="0" w:after="240" w:line="240" w:lineRule="auto"/>
              <w:ind w:left="0" w:right="0" w:firstLine="200"/>
              <w:jc w:val="left"/>
              <w:rPr>
                <w:color w:val="auto"/>
              </w:rPr>
            </w:pPr>
            <w:r>
              <w:rPr>
                <w:color w:val="auto"/>
                <w:spacing w:val="0"/>
                <w:w w:val="100"/>
                <w:position w:val="0"/>
              </w:rPr>
              <w:t>（大写）</w:t>
            </w:r>
          </w:p>
          <w:p>
            <w:pPr>
              <w:pStyle w:val="55"/>
              <w:keepNext w:val="0"/>
              <w:keepLines w:val="0"/>
              <w:widowControl w:val="0"/>
              <w:shd w:val="clear" w:color="auto" w:fill="auto"/>
              <w:bidi w:val="0"/>
              <w:spacing w:before="0" w:after="0" w:line="240" w:lineRule="auto"/>
              <w:ind w:left="0" w:right="0" w:firstLine="200"/>
              <w:jc w:val="left"/>
              <w:rPr>
                <w:color w:val="auto"/>
              </w:rPr>
            </w:pPr>
            <w:r>
              <w:rPr>
                <w:color w:val="auto"/>
                <w:spacing w:val="0"/>
                <w:w w:val="100"/>
                <w:position w:val="0"/>
              </w:rPr>
              <w:t>（小写）</w:t>
            </w:r>
          </w:p>
        </w:tc>
      </w:tr>
      <w:tr>
        <w:tblPrEx>
          <w:tblCellMar>
            <w:top w:w="0" w:type="dxa"/>
            <w:left w:w="10" w:type="dxa"/>
            <w:bottom w:w="0" w:type="dxa"/>
            <w:right w:w="10" w:type="dxa"/>
          </w:tblCellMar>
        </w:tblPrEx>
        <w:trPr>
          <w:trHeight w:val="734"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质量</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工期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7"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有效期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864" w:hRule="exact"/>
          <w:jc w:val="center"/>
        </w:trPr>
        <w:tc>
          <w:tcPr>
            <w:gridSpan w:val="2"/>
            <w:tcBorders>
              <w:top w:val="single" w:color="auto" w:sz="4" w:space="0"/>
              <w:left w:val="single" w:color="auto" w:sz="4" w:space="0"/>
              <w:bottom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需要说明的问题</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color w:val="auto"/>
                <w:sz w:val="10"/>
                <w:szCs w:val="10"/>
              </w:rPr>
            </w:pPr>
          </w:p>
        </w:tc>
      </w:tr>
    </w:tbl>
    <w:p>
      <w:pPr>
        <w:widowControl w:val="0"/>
        <w:spacing w:after="319" w:line="1" w:lineRule="exact"/>
        <w:rPr>
          <w:color w:val="auto"/>
        </w:rPr>
      </w:pPr>
    </w:p>
    <w:p>
      <w:pPr>
        <w:bidi w:val="0"/>
        <w:rPr>
          <w:color w:val="auto"/>
        </w:rPr>
      </w:pPr>
      <w:r>
        <w:rPr>
          <w:color w:val="auto"/>
        </w:rPr>
        <w:t>说明：</w:t>
      </w:r>
    </w:p>
    <w:p>
      <w:pPr>
        <w:bidi w:val="0"/>
        <w:rPr>
          <w:color w:val="auto"/>
        </w:rPr>
      </w:pPr>
      <w:r>
        <w:rPr>
          <w:color w:val="auto"/>
        </w:rPr>
        <w:t>本表投标总报价应与响应文件中报价表的总报价一致，否则供应商承担被拒绝的风险。</w:t>
      </w:r>
    </w:p>
    <w:p>
      <w:pPr>
        <w:pStyle w:val="2"/>
        <w:rPr>
          <w:color w:val="auto"/>
        </w:rPr>
      </w:pPr>
    </w:p>
    <w:p>
      <w:pPr>
        <w:pStyle w:val="2"/>
        <w:rPr>
          <w:color w:val="auto"/>
        </w:rPr>
      </w:pPr>
    </w:p>
    <w:p>
      <w:pPr>
        <w:bidi w:val="0"/>
        <w:ind w:firstLine="4320" w:firstLineChars="1800"/>
        <w:rPr>
          <w:color w:val="auto"/>
        </w:rPr>
      </w:pPr>
      <w:r>
        <w:rPr>
          <w:color w:val="auto"/>
        </w:rPr>
        <w:t xml:space="preserve">供应商（电子签章）： </w:t>
      </w:r>
      <w:r>
        <w:rPr>
          <w:color w:val="auto"/>
        </w:rPr>
        <w:tab/>
      </w:r>
      <w:r>
        <w:rPr>
          <w:color w:val="auto"/>
        </w:rPr>
        <w:t xml:space="preserve"> </w:t>
      </w:r>
    </w:p>
    <w:p>
      <w:pPr>
        <w:bidi w:val="0"/>
        <w:ind w:firstLine="1440" w:firstLineChars="600"/>
        <w:rPr>
          <w:color w:val="auto"/>
        </w:rPr>
      </w:pPr>
      <w:r>
        <w:rPr>
          <w:color w:val="auto"/>
        </w:rPr>
        <w:t xml:space="preserve">法定代表人或其委托代理人（电子签名或签字）： </w:t>
      </w:r>
      <w:r>
        <w:rPr>
          <w:color w:val="auto"/>
        </w:rPr>
        <w:tab/>
      </w:r>
    </w:p>
    <w:p>
      <w:pPr>
        <w:bidi w:val="0"/>
        <w:jc w:val="right"/>
        <w:rPr>
          <w:color w:val="auto"/>
        </w:rPr>
        <w:sectPr>
          <w:footnotePr>
            <w:numFmt w:val="decimal"/>
          </w:footnotePr>
          <w:pgSz w:w="11900" w:h="16840"/>
          <w:pgMar w:top="1699" w:right="969" w:bottom="1843" w:left="959" w:header="0" w:footer="3" w:gutter="0"/>
          <w:pgNumType w:fmt="decimal"/>
          <w:cols w:space="720" w:num="1"/>
          <w:rtlGutter w:val="0"/>
          <w:docGrid w:linePitch="360" w:charSpace="0"/>
        </w:sectPr>
      </w:pPr>
      <w:r>
        <w:rPr>
          <w:color w:val="auto"/>
        </w:rPr>
        <w:t xml:space="preserve"> </w:t>
      </w:r>
      <w:r>
        <w:rPr>
          <w:color w:val="auto"/>
        </w:rPr>
        <w:tab/>
      </w:r>
      <w:r>
        <w:rPr>
          <w:color w:val="auto"/>
        </w:rPr>
        <w:t>年</w:t>
      </w:r>
      <w:r>
        <w:rPr>
          <w:rFonts w:hint="eastAsia"/>
          <w:color w:val="auto"/>
          <w:lang w:val="en-US" w:eastAsia="zh-CN"/>
        </w:rPr>
        <w:t xml:space="preserve">  </w:t>
      </w:r>
      <w:r>
        <w:rPr>
          <w:color w:val="auto"/>
        </w:rPr>
        <w:t>月</w:t>
      </w:r>
      <w:r>
        <w:rPr>
          <w:rFonts w:hint="eastAsia"/>
          <w:color w:val="auto"/>
          <w:lang w:val="en-US" w:eastAsia="zh-CN"/>
        </w:rPr>
        <w:t xml:space="preserve">   </w:t>
      </w:r>
      <w:r>
        <w:rPr>
          <w:color w:val="auto"/>
        </w:rPr>
        <w:t>日</w:t>
      </w:r>
    </w:p>
    <w:p>
      <w:pPr>
        <w:pStyle w:val="3"/>
        <w:ind w:left="0"/>
        <w:rPr>
          <w:b/>
          <w:color w:val="auto"/>
          <w:sz w:val="28"/>
        </w:rPr>
      </w:pPr>
    </w:p>
    <w:p>
      <w:pPr>
        <w:spacing w:before="125"/>
        <w:ind w:left="538" w:right="539" w:firstLine="0"/>
        <w:jc w:val="center"/>
        <w:outlineLvl w:val="0"/>
        <w:rPr>
          <w:b/>
          <w:color w:val="auto"/>
          <w:sz w:val="32"/>
        </w:rPr>
      </w:pPr>
      <w:bookmarkStart w:id="65" w:name="_Toc12302"/>
      <w:r>
        <w:rPr>
          <w:b/>
          <w:color w:val="auto"/>
          <w:sz w:val="32"/>
        </w:rPr>
        <w:t>二、法定代表身份证明</w:t>
      </w:r>
      <w:bookmarkEnd w:id="65"/>
    </w:p>
    <w:p>
      <w:pPr>
        <w:pStyle w:val="3"/>
        <w:ind w:left="0"/>
        <w:rPr>
          <w:b/>
          <w:color w:val="auto"/>
          <w:sz w:val="32"/>
        </w:rPr>
      </w:pPr>
    </w:p>
    <w:p>
      <w:pPr>
        <w:pStyle w:val="3"/>
        <w:tabs>
          <w:tab w:val="left" w:pos="2874"/>
          <w:tab w:val="left" w:pos="4074"/>
          <w:tab w:val="left" w:pos="5274"/>
          <w:tab w:val="left" w:pos="5394"/>
          <w:tab w:val="left" w:pos="5514"/>
        </w:tabs>
        <w:spacing w:before="251" w:line="343" w:lineRule="auto"/>
        <w:ind w:right="4564"/>
        <w:rPr>
          <w:rFonts w:hint="eastAsia" w:ascii="仿宋" w:hAnsi="仿宋" w:eastAsia="仿宋" w:cs="仿宋"/>
          <w:color w:val="auto"/>
          <w:sz w:val="28"/>
          <w:szCs w:val="28"/>
        </w:rPr>
      </w:pPr>
      <w:r>
        <w:rPr>
          <w:rFonts w:hint="eastAsia" w:ascii="仿宋" w:hAnsi="仿宋" w:eastAsia="仿宋" w:cs="仿宋"/>
          <w:color w:val="auto"/>
          <w:spacing w:val="-1"/>
          <w:sz w:val="28"/>
          <w:szCs w:val="28"/>
        </w:rPr>
        <w:t>供</w:t>
      </w:r>
      <w:r>
        <w:rPr>
          <w:rFonts w:hint="eastAsia" w:ascii="仿宋" w:hAnsi="仿宋" w:eastAsia="仿宋" w:cs="仿宋"/>
          <w:color w:val="auto"/>
          <w:sz w:val="28"/>
          <w:szCs w:val="28"/>
        </w:rPr>
        <w:t>应商名称：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6"/>
          <w:sz w:val="28"/>
          <w:szCs w:val="28"/>
          <w:u w:val="single"/>
        </w:rPr>
        <w:t xml:space="preserve"> </w:t>
      </w:r>
      <w:r>
        <w:rPr>
          <w:rFonts w:hint="eastAsia" w:ascii="仿宋" w:hAnsi="仿宋" w:eastAsia="仿宋" w:cs="仿宋"/>
          <w:color w:val="auto"/>
          <w:spacing w:val="-1"/>
          <w:sz w:val="28"/>
          <w:szCs w:val="28"/>
        </w:rPr>
        <w:t>单</w:t>
      </w:r>
      <w:r>
        <w:rPr>
          <w:rFonts w:hint="eastAsia" w:ascii="仿宋" w:hAnsi="仿宋" w:eastAsia="仿宋" w:cs="仿宋"/>
          <w:color w:val="auto"/>
          <w:sz w:val="28"/>
          <w:szCs w:val="28"/>
        </w:rPr>
        <w:t>位性质：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9"/>
          <w:sz w:val="28"/>
          <w:szCs w:val="28"/>
          <w:u w:val="single"/>
        </w:rPr>
        <w:t xml:space="preserve"> </w:t>
      </w:r>
      <w:r>
        <w:rPr>
          <w:rFonts w:hint="eastAsia" w:ascii="仿宋" w:hAnsi="仿宋" w:eastAsia="仿宋" w:cs="仿宋"/>
          <w:color w:val="auto"/>
          <w:spacing w:val="-1"/>
          <w:sz w:val="28"/>
          <w:szCs w:val="28"/>
        </w:rPr>
        <w:t>地</w:t>
      </w:r>
      <w:r>
        <w:rPr>
          <w:rFonts w:hint="eastAsia" w:ascii="仿宋" w:hAnsi="仿宋" w:eastAsia="仿宋" w:cs="仿宋"/>
          <w:color w:val="auto"/>
          <w:sz w:val="28"/>
          <w:szCs w:val="28"/>
        </w:rPr>
        <w:t>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成立时间：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pacing w:val="-16"/>
          <w:sz w:val="28"/>
          <w:szCs w:val="28"/>
        </w:rPr>
        <w:t>日</w:t>
      </w:r>
      <w:r>
        <w:rPr>
          <w:rFonts w:hint="eastAsia" w:ascii="仿宋" w:hAnsi="仿宋" w:eastAsia="仿宋" w:cs="仿宋"/>
          <w:color w:val="auto"/>
          <w:spacing w:val="-1"/>
          <w:sz w:val="28"/>
          <w:szCs w:val="28"/>
        </w:rPr>
        <w:t>经</w:t>
      </w:r>
      <w:r>
        <w:rPr>
          <w:rFonts w:hint="eastAsia" w:ascii="仿宋" w:hAnsi="仿宋" w:eastAsia="仿宋" w:cs="仿宋"/>
          <w:color w:val="auto"/>
          <w:sz w:val="28"/>
          <w:szCs w:val="28"/>
        </w:rPr>
        <w:t>营期限：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p>
    <w:p>
      <w:pPr>
        <w:pStyle w:val="3"/>
        <w:tabs>
          <w:tab w:val="left" w:pos="2273"/>
          <w:tab w:val="left" w:pos="4194"/>
          <w:tab w:val="left" w:pos="4314"/>
          <w:tab w:val="left" w:pos="5939"/>
          <w:tab w:val="left" w:pos="7675"/>
        </w:tabs>
        <w:spacing w:before="3" w:line="343" w:lineRule="auto"/>
        <w:ind w:right="2406"/>
        <w:rPr>
          <w:rFonts w:hint="eastAsia" w:ascii="仿宋" w:hAnsi="仿宋" w:eastAsia="仿宋" w:cs="仿宋"/>
          <w:color w:val="auto"/>
          <w:sz w:val="28"/>
          <w:szCs w:val="28"/>
        </w:rPr>
      </w:pPr>
      <w:r>
        <w:rPr>
          <w:rFonts w:hint="eastAsia" w:ascii="仿宋" w:hAnsi="仿宋" w:eastAsia="仿宋" w:cs="仿宋"/>
          <w:color w:val="auto"/>
          <w:sz w:val="28"/>
          <w:szCs w:val="28"/>
        </w:rPr>
        <w:t>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（供应商名称）的法定代表人</w:t>
      </w:r>
      <w:r>
        <w:rPr>
          <w:rFonts w:hint="eastAsia" w:ascii="仿宋" w:hAnsi="仿宋" w:eastAsia="仿宋" w:cs="仿宋"/>
          <w:color w:val="auto"/>
          <w:spacing w:val="-19"/>
          <w:sz w:val="28"/>
          <w:szCs w:val="28"/>
        </w:rPr>
        <w:t>。</w:t>
      </w:r>
    </w:p>
    <w:p>
      <w:pPr>
        <w:pStyle w:val="3"/>
        <w:spacing w:line="306" w:lineRule="exact"/>
        <w:ind w:left="1018"/>
        <w:rPr>
          <w:rFonts w:hint="eastAsia" w:ascii="仿宋" w:hAnsi="仿宋" w:eastAsia="仿宋" w:cs="仿宋"/>
          <w:color w:val="auto"/>
          <w:sz w:val="28"/>
          <w:szCs w:val="28"/>
        </w:rPr>
      </w:pPr>
      <w:r>
        <w:rPr>
          <w:rFonts w:hint="eastAsia" w:ascii="仿宋" w:hAnsi="仿宋" w:eastAsia="仿宋" w:cs="仿宋"/>
          <w:color w:val="auto"/>
          <w:sz w:val="28"/>
          <w:szCs w:val="28"/>
        </w:rPr>
        <w:t>特此证明。</w:t>
      </w:r>
    </w:p>
    <w:p>
      <w:pPr>
        <w:pStyle w:val="3"/>
        <w:ind w:left="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附法人身份证</w:t>
      </w:r>
    </w:p>
    <w:p>
      <w:pPr>
        <w:pStyle w:val="3"/>
        <w:ind w:left="0"/>
        <w:rPr>
          <w:rFonts w:hint="eastAsia" w:ascii="仿宋" w:hAnsi="仿宋" w:eastAsia="仿宋" w:cs="仿宋"/>
          <w:color w:val="auto"/>
          <w:sz w:val="28"/>
          <w:szCs w:val="28"/>
        </w:rPr>
      </w:pPr>
    </w:p>
    <w:p>
      <w:pPr>
        <w:pStyle w:val="3"/>
        <w:ind w:left="0"/>
        <w:rPr>
          <w:rFonts w:hint="eastAsia" w:ascii="仿宋" w:hAnsi="仿宋" w:eastAsia="仿宋" w:cs="仿宋"/>
          <w:color w:val="auto"/>
          <w:sz w:val="28"/>
          <w:szCs w:val="28"/>
        </w:rPr>
      </w:pPr>
    </w:p>
    <w:p>
      <w:pPr>
        <w:pStyle w:val="3"/>
        <w:tabs>
          <w:tab w:val="left" w:pos="7929"/>
        </w:tabs>
        <w:ind w:left="4929"/>
        <w:rPr>
          <w:rFonts w:hint="eastAsia" w:ascii="仿宋" w:hAnsi="仿宋" w:eastAsia="仿宋" w:cs="仿宋"/>
          <w:color w:val="auto"/>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z w:val="28"/>
          <w:szCs w:val="28"/>
        </w:rPr>
        <w:t>）</w:t>
      </w:r>
    </w:p>
    <w:p>
      <w:pPr>
        <w:pStyle w:val="3"/>
        <w:tabs>
          <w:tab w:val="left" w:pos="7209"/>
          <w:tab w:val="left" w:pos="8289"/>
          <w:tab w:val="left" w:pos="9369"/>
        </w:tabs>
        <w:spacing w:before="134"/>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3"/>
        <w:ind w:left="0"/>
        <w:rPr>
          <w:color w:val="auto"/>
          <w:sz w:val="20"/>
        </w:rPr>
      </w:pPr>
    </w:p>
    <w:p>
      <w:pPr>
        <w:pStyle w:val="3"/>
        <w:ind w:left="0"/>
        <w:rPr>
          <w:color w:val="auto"/>
          <w:sz w:val="20"/>
        </w:rPr>
      </w:pPr>
    </w:p>
    <w:p>
      <w:pPr>
        <w:pStyle w:val="3"/>
        <w:spacing w:before="2"/>
        <w:ind w:left="0"/>
        <w:rPr>
          <w:color w:val="auto"/>
          <w:sz w:val="27"/>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66" w:name="_Toc21392"/>
      <w:r>
        <w:rPr>
          <w:b/>
          <w:color w:val="auto"/>
          <w:sz w:val="32"/>
        </w:rPr>
        <w:t>三、授权委托书</w:t>
      </w:r>
      <w:bookmarkEnd w:id="66"/>
    </w:p>
    <w:p>
      <w:pPr>
        <w:pStyle w:val="3"/>
        <w:tabs>
          <w:tab w:val="left" w:pos="2271"/>
          <w:tab w:val="left" w:pos="2843"/>
          <w:tab w:val="left" w:pos="4295"/>
          <w:tab w:val="left" w:pos="9132"/>
        </w:tabs>
        <w:spacing w:before="222" w:line="343" w:lineRule="auto"/>
        <w:ind w:right="532" w:firstLine="480"/>
        <w:jc w:val="both"/>
        <w:rPr>
          <w:rFonts w:hint="eastAsia" w:ascii="仿宋" w:hAnsi="仿宋" w:eastAsia="仿宋" w:cs="仿宋"/>
          <w:color w:val="auto"/>
          <w:sz w:val="28"/>
          <w:szCs w:val="28"/>
        </w:rPr>
      </w:pPr>
      <w:r>
        <w:rPr>
          <w:rFonts w:hint="eastAsia" w:ascii="仿宋" w:hAnsi="仿宋" w:eastAsia="仿宋" w:cs="仿宋"/>
          <w:color w:val="auto"/>
          <w:sz w:val="28"/>
          <w:szCs w:val="28"/>
        </w:rPr>
        <w:t>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姓名</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供应商名称</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的法定代表人</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现</w:t>
      </w:r>
      <w:r>
        <w:rPr>
          <w:rFonts w:hint="eastAsia" w:ascii="仿宋" w:hAnsi="仿宋" w:eastAsia="仿宋" w:cs="仿宋"/>
          <w:color w:val="auto"/>
          <w:spacing w:val="-3"/>
          <w:sz w:val="28"/>
          <w:szCs w:val="28"/>
        </w:rPr>
        <w:t>委</w:t>
      </w:r>
      <w:r>
        <w:rPr>
          <w:rFonts w:hint="eastAsia" w:ascii="仿宋" w:hAnsi="仿宋" w:eastAsia="仿宋" w:cs="仿宋"/>
          <w:color w:val="auto"/>
          <w:sz w:val="28"/>
          <w:szCs w:val="28"/>
        </w:rPr>
        <w:t>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pacing w:val="-18"/>
          <w:sz w:val="28"/>
          <w:szCs w:val="28"/>
        </w:rPr>
        <w:t>姓</w:t>
      </w:r>
      <w:r>
        <w:rPr>
          <w:rFonts w:hint="eastAsia" w:ascii="仿宋" w:hAnsi="仿宋" w:eastAsia="仿宋" w:cs="仿宋"/>
          <w:color w:val="auto"/>
          <w:sz w:val="28"/>
          <w:szCs w:val="28"/>
        </w:rPr>
        <w:t>名</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为我方代理人</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代理人根据授权</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以我方名义签署</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澄清</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说明</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补正</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递交</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撤回、修改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rPr>
        <w:t>（项目名称</w:t>
      </w:r>
      <w:r>
        <w:rPr>
          <w:rFonts w:hint="eastAsia" w:ascii="仿宋" w:hAnsi="仿宋" w:eastAsia="仿宋" w:cs="仿宋"/>
          <w:color w:val="auto"/>
          <w:spacing w:val="3"/>
          <w:sz w:val="28"/>
          <w:szCs w:val="28"/>
        </w:rPr>
        <w:t>）</w:t>
      </w:r>
      <w:r>
        <w:rPr>
          <w:rFonts w:hint="eastAsia" w:ascii="仿宋" w:hAnsi="仿宋" w:eastAsia="仿宋" w:cs="仿宋"/>
          <w:color w:val="auto"/>
          <w:sz w:val="28"/>
          <w:szCs w:val="28"/>
        </w:rPr>
        <w:t>响应文件、签订合同和处理有关事宜，</w:t>
      </w:r>
      <w:r>
        <w:rPr>
          <w:rFonts w:hint="eastAsia" w:ascii="仿宋" w:hAnsi="仿宋" w:eastAsia="仿宋" w:cs="仿宋"/>
          <w:color w:val="auto"/>
          <w:spacing w:val="-12"/>
          <w:sz w:val="28"/>
          <w:szCs w:val="28"/>
        </w:rPr>
        <w:t>其</w:t>
      </w:r>
      <w:r>
        <w:rPr>
          <w:rFonts w:hint="eastAsia" w:ascii="仿宋" w:hAnsi="仿宋" w:eastAsia="仿宋" w:cs="仿宋"/>
          <w:color w:val="auto"/>
          <w:sz w:val="28"/>
          <w:szCs w:val="28"/>
        </w:rPr>
        <w:t>法律后果由我方承担。</w:t>
      </w:r>
    </w:p>
    <w:p>
      <w:pPr>
        <w:pStyle w:val="3"/>
        <w:tabs>
          <w:tab w:val="left" w:pos="3779"/>
        </w:tabs>
        <w:spacing w:line="343" w:lineRule="auto"/>
        <w:ind w:left="1018" w:right="6125"/>
        <w:rPr>
          <w:rFonts w:hint="eastAsia" w:ascii="仿宋" w:hAnsi="仿宋" w:eastAsia="仿宋" w:cs="仿宋"/>
          <w:color w:val="auto"/>
          <w:sz w:val="28"/>
          <w:szCs w:val="28"/>
        </w:rPr>
      </w:pPr>
      <w:r>
        <w:rPr>
          <w:rFonts w:hint="eastAsia" w:ascii="仿宋" w:hAnsi="仿宋" w:eastAsia="仿宋" w:cs="仿宋"/>
          <w:color w:val="auto"/>
          <w:sz w:val="28"/>
          <w:szCs w:val="28"/>
        </w:rPr>
        <w:t>委托期限：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pacing w:val="-18"/>
          <w:sz w:val="28"/>
          <w:szCs w:val="28"/>
          <w:highlight w:val="none"/>
        </w:rPr>
        <w:t>。</w:t>
      </w:r>
      <w:r>
        <w:rPr>
          <w:rFonts w:hint="eastAsia" w:ascii="仿宋" w:hAnsi="仿宋" w:eastAsia="仿宋" w:cs="仿宋"/>
          <w:color w:val="auto"/>
          <w:sz w:val="28"/>
          <w:szCs w:val="28"/>
        </w:rPr>
        <w:t>代理人无转委托权。</w:t>
      </w:r>
    </w:p>
    <w:p>
      <w:pPr>
        <w:pStyle w:val="3"/>
        <w:tabs>
          <w:tab w:val="left" w:pos="3779"/>
        </w:tabs>
        <w:spacing w:line="343" w:lineRule="auto"/>
        <w:ind w:left="1018" w:right="55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附法人和代理人身份证。</w:t>
      </w:r>
    </w:p>
    <w:p>
      <w:pPr>
        <w:pStyle w:val="3"/>
        <w:ind w:left="0"/>
        <w:rPr>
          <w:rFonts w:hint="eastAsia" w:ascii="仿宋" w:hAnsi="仿宋" w:eastAsia="仿宋" w:cs="仿宋"/>
          <w:color w:val="auto"/>
          <w:sz w:val="28"/>
          <w:szCs w:val="28"/>
        </w:rPr>
      </w:pPr>
    </w:p>
    <w:p>
      <w:pPr>
        <w:pStyle w:val="3"/>
        <w:spacing w:before="9"/>
        <w:ind w:left="0"/>
        <w:rPr>
          <w:rFonts w:hint="eastAsia" w:ascii="仿宋" w:hAnsi="仿宋" w:eastAsia="仿宋" w:cs="仿宋"/>
          <w:color w:val="auto"/>
          <w:sz w:val="28"/>
          <w:szCs w:val="28"/>
        </w:rPr>
      </w:pPr>
    </w:p>
    <w:p>
      <w:pPr>
        <w:pStyle w:val="3"/>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pacing w:val="-17"/>
          <w:sz w:val="28"/>
          <w:szCs w:val="28"/>
        </w:rPr>
        <w:t>）</w:t>
      </w:r>
    </w:p>
    <w:p>
      <w:pPr>
        <w:pStyle w:val="3"/>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pacing w:val="-17"/>
          <w:sz w:val="28"/>
          <w:szCs w:val="28"/>
        </w:rPr>
        <w:t xml:space="preserve"> </w:t>
      </w:r>
      <w:r>
        <w:rPr>
          <w:rFonts w:hint="eastAsia" w:ascii="仿宋" w:hAnsi="仿宋" w:eastAsia="仿宋" w:cs="仿宋"/>
          <w:color w:val="auto"/>
          <w:sz w:val="28"/>
          <w:szCs w:val="28"/>
        </w:rPr>
        <w:t>法定代表人：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电子签名或签字</w:t>
      </w:r>
      <w:r>
        <w:rPr>
          <w:rFonts w:hint="eastAsia" w:ascii="仿宋" w:hAnsi="仿宋" w:eastAsia="仿宋" w:cs="仿宋"/>
          <w:color w:val="auto"/>
          <w:spacing w:val="-17"/>
          <w:sz w:val="28"/>
          <w:szCs w:val="28"/>
        </w:rPr>
        <w:t xml:space="preserve">） </w:t>
      </w:r>
    </w:p>
    <w:p>
      <w:pPr>
        <w:pStyle w:val="3"/>
        <w:tabs>
          <w:tab w:val="left" w:pos="7929"/>
          <w:tab w:val="left" w:pos="8649"/>
        </w:tabs>
        <w:spacing w:line="487" w:lineRule="auto"/>
        <w:ind w:left="3609" w:right="534"/>
        <w:jc w:val="both"/>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（签字</w:t>
      </w:r>
      <w:r>
        <w:rPr>
          <w:rFonts w:hint="eastAsia" w:ascii="仿宋" w:hAnsi="仿宋" w:eastAsia="仿宋" w:cs="仿宋"/>
          <w:color w:val="auto"/>
          <w:spacing w:val="-17"/>
          <w:sz w:val="28"/>
          <w:szCs w:val="28"/>
        </w:rPr>
        <w:t>）</w:t>
      </w:r>
    </w:p>
    <w:p>
      <w:pPr>
        <w:pStyle w:val="3"/>
        <w:tabs>
          <w:tab w:val="left" w:pos="7209"/>
          <w:tab w:val="left" w:pos="8289"/>
          <w:tab w:val="left" w:pos="9369"/>
        </w:tabs>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3"/>
        <w:ind w:left="0"/>
        <w:rPr>
          <w:color w:val="auto"/>
          <w:sz w:val="20"/>
        </w:rPr>
      </w:pPr>
    </w:p>
    <w:p>
      <w:pPr>
        <w:pStyle w:val="3"/>
        <w:spacing w:before="7"/>
        <w:ind w:left="0"/>
        <w:rPr>
          <w:color w:val="auto"/>
          <w:sz w:val="23"/>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67" w:name="_Toc14073"/>
      <w:r>
        <w:rPr>
          <w:b/>
          <w:color w:val="auto"/>
          <w:sz w:val="32"/>
        </w:rPr>
        <w:t>四、供应商资格证明文件</w:t>
      </w:r>
      <w:bookmarkEnd w:id="67"/>
    </w:p>
    <w:p>
      <w:pPr>
        <w:pStyle w:val="3"/>
        <w:ind w:left="0"/>
        <w:rPr>
          <w:b/>
          <w:color w:val="auto"/>
          <w:sz w:val="32"/>
        </w:rPr>
      </w:pPr>
    </w:p>
    <w:p>
      <w:pPr>
        <w:rPr>
          <w:b/>
          <w:color w:val="auto"/>
          <w:sz w:val="32"/>
        </w:rPr>
      </w:pPr>
      <w:r>
        <w:rPr>
          <w:b/>
          <w:color w:val="auto"/>
          <w:sz w:val="32"/>
        </w:rPr>
        <w:br w:type="page"/>
      </w:r>
    </w:p>
    <w:p>
      <w:pPr>
        <w:spacing w:before="125"/>
        <w:ind w:left="538" w:right="539" w:firstLine="0"/>
        <w:jc w:val="center"/>
        <w:outlineLvl w:val="0"/>
        <w:rPr>
          <w:b/>
          <w:color w:val="auto"/>
          <w:sz w:val="32"/>
        </w:rPr>
      </w:pPr>
      <w:bookmarkStart w:id="68" w:name="_Toc21983"/>
      <w:r>
        <w:rPr>
          <w:b/>
          <w:color w:val="auto"/>
          <w:sz w:val="32"/>
        </w:rPr>
        <w:t>五、项目管理机构</w:t>
      </w:r>
      <w:bookmarkEnd w:id="68"/>
    </w:p>
    <w:p>
      <w:pPr>
        <w:pStyle w:val="10"/>
        <w:spacing w:before="242"/>
        <w:ind w:right="536"/>
        <w:outlineLvl w:val="1"/>
        <w:rPr>
          <w:color w:val="auto"/>
        </w:rPr>
      </w:pPr>
      <w:bookmarkStart w:id="69" w:name="_Toc17662"/>
      <w:r>
        <w:rPr>
          <w:color w:val="auto"/>
        </w:rPr>
        <w:t>（一）项目人员组成表</w:t>
      </w:r>
      <w:bookmarkEnd w:id="69"/>
    </w:p>
    <w:p>
      <w:pPr>
        <w:pStyle w:val="3"/>
        <w:spacing w:before="4"/>
        <w:ind w:left="0"/>
        <w:rPr>
          <w:b/>
          <w:color w:val="auto"/>
          <w:sz w:val="10"/>
        </w:rPr>
      </w:pPr>
    </w:p>
    <w:tbl>
      <w:tblPr>
        <w:tblStyle w:val="19"/>
        <w:tblW w:w="9292"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8"/>
        <w:gridCol w:w="898"/>
        <w:gridCol w:w="903"/>
        <w:gridCol w:w="1498"/>
        <w:gridCol w:w="1302"/>
        <w:gridCol w:w="1417"/>
        <w:gridCol w:w="1475"/>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职务</w:t>
            </w:r>
          </w:p>
        </w:tc>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姓名</w:t>
            </w:r>
          </w:p>
        </w:tc>
        <w:tc>
          <w:tcPr>
            <w:tcW w:w="903"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职称</w:t>
            </w:r>
          </w:p>
        </w:tc>
        <w:tc>
          <w:tcPr>
            <w:tcW w:w="5692" w:type="dxa"/>
            <w:gridSpan w:val="4"/>
            <w:vAlign w:val="top"/>
          </w:tcPr>
          <w:p>
            <w:pPr>
              <w:pStyle w:val="46"/>
              <w:spacing w:before="192"/>
              <w:ind w:left="1851"/>
              <w:rPr>
                <w:color w:val="auto"/>
                <w:sz w:val="22"/>
              </w:rPr>
            </w:pPr>
            <w:r>
              <w:rPr>
                <w:color w:val="auto"/>
                <w:sz w:val="22"/>
              </w:rPr>
              <w:t>执业或职业资格证明</w:t>
            </w:r>
          </w:p>
        </w:tc>
        <w:tc>
          <w:tcPr>
            <w:tcW w:w="901"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continue"/>
            <w:tcBorders>
              <w:top w:val="nil"/>
            </w:tcBorders>
            <w:vAlign w:val="top"/>
          </w:tcPr>
          <w:p>
            <w:pPr>
              <w:rPr>
                <w:color w:val="auto"/>
                <w:sz w:val="2"/>
                <w:szCs w:val="2"/>
              </w:rPr>
            </w:pPr>
          </w:p>
        </w:tc>
        <w:tc>
          <w:tcPr>
            <w:tcW w:w="898" w:type="dxa"/>
            <w:vMerge w:val="continue"/>
            <w:tcBorders>
              <w:top w:val="nil"/>
            </w:tcBorders>
            <w:vAlign w:val="top"/>
          </w:tcPr>
          <w:p>
            <w:pPr>
              <w:rPr>
                <w:color w:val="auto"/>
                <w:sz w:val="2"/>
                <w:szCs w:val="2"/>
              </w:rPr>
            </w:pPr>
          </w:p>
        </w:tc>
        <w:tc>
          <w:tcPr>
            <w:tcW w:w="903" w:type="dxa"/>
            <w:vMerge w:val="continue"/>
            <w:tcBorders>
              <w:top w:val="nil"/>
            </w:tcBorders>
            <w:vAlign w:val="top"/>
          </w:tcPr>
          <w:p>
            <w:pPr>
              <w:rPr>
                <w:color w:val="auto"/>
                <w:sz w:val="2"/>
                <w:szCs w:val="2"/>
              </w:rPr>
            </w:pPr>
          </w:p>
        </w:tc>
        <w:tc>
          <w:tcPr>
            <w:tcW w:w="1498" w:type="dxa"/>
            <w:vAlign w:val="top"/>
          </w:tcPr>
          <w:p>
            <w:pPr>
              <w:pStyle w:val="46"/>
              <w:spacing w:before="192"/>
              <w:ind w:left="303"/>
              <w:rPr>
                <w:color w:val="auto"/>
                <w:sz w:val="22"/>
              </w:rPr>
            </w:pPr>
            <w:r>
              <w:rPr>
                <w:color w:val="auto"/>
                <w:sz w:val="22"/>
              </w:rPr>
              <w:t>证书名称</w:t>
            </w:r>
          </w:p>
        </w:tc>
        <w:tc>
          <w:tcPr>
            <w:tcW w:w="1302" w:type="dxa"/>
            <w:vAlign w:val="top"/>
          </w:tcPr>
          <w:p>
            <w:pPr>
              <w:pStyle w:val="46"/>
              <w:spacing w:before="192"/>
              <w:ind w:left="428"/>
              <w:rPr>
                <w:color w:val="auto"/>
                <w:sz w:val="22"/>
              </w:rPr>
            </w:pPr>
            <w:r>
              <w:rPr>
                <w:color w:val="auto"/>
                <w:sz w:val="22"/>
              </w:rPr>
              <w:t>级别</w:t>
            </w:r>
          </w:p>
        </w:tc>
        <w:tc>
          <w:tcPr>
            <w:tcW w:w="1417" w:type="dxa"/>
            <w:vAlign w:val="top"/>
          </w:tcPr>
          <w:p>
            <w:pPr>
              <w:pStyle w:val="46"/>
              <w:spacing w:before="192"/>
              <w:ind w:left="463" w:right="463"/>
              <w:jc w:val="center"/>
              <w:rPr>
                <w:color w:val="auto"/>
                <w:sz w:val="22"/>
              </w:rPr>
            </w:pPr>
            <w:r>
              <w:rPr>
                <w:color w:val="auto"/>
                <w:sz w:val="22"/>
              </w:rPr>
              <w:t>证号</w:t>
            </w:r>
          </w:p>
        </w:tc>
        <w:tc>
          <w:tcPr>
            <w:tcW w:w="1475" w:type="dxa"/>
            <w:vAlign w:val="top"/>
          </w:tcPr>
          <w:p>
            <w:pPr>
              <w:pStyle w:val="46"/>
              <w:spacing w:before="192"/>
              <w:ind w:left="496" w:right="488"/>
              <w:jc w:val="center"/>
              <w:rPr>
                <w:color w:val="auto"/>
                <w:sz w:val="22"/>
              </w:rPr>
            </w:pPr>
            <w:r>
              <w:rPr>
                <w:color w:val="auto"/>
                <w:sz w:val="22"/>
              </w:rPr>
              <w:t>专业</w:t>
            </w:r>
          </w:p>
        </w:tc>
        <w:tc>
          <w:tcPr>
            <w:tcW w:w="901" w:type="dxa"/>
            <w:vMerge w:val="continue"/>
            <w:tcBorders>
              <w:top w:val="nil"/>
            </w:tcBorders>
            <w:vAlign w:val="top"/>
          </w:tcPr>
          <w:p>
            <w:pPr>
              <w:rPr>
                <w:color w:val="auto"/>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10"/>
        <w:ind w:left="1103"/>
        <w:outlineLvl w:val="1"/>
        <w:rPr>
          <w:color w:val="auto"/>
        </w:rPr>
      </w:pPr>
      <w:bookmarkStart w:id="70" w:name="_Toc24225"/>
      <w:r>
        <w:rPr>
          <w:color w:val="auto"/>
        </w:rPr>
        <w:t>（二）项目负责人简历表</w:t>
      </w:r>
      <w:bookmarkEnd w:id="70"/>
    </w:p>
    <w:p>
      <w:pPr>
        <w:pStyle w:val="3"/>
        <w:spacing w:before="4"/>
        <w:ind w:left="0"/>
        <w:rPr>
          <w:b/>
          <w:color w:val="auto"/>
          <w:sz w:val="10"/>
        </w:rPr>
      </w:pPr>
    </w:p>
    <w:tbl>
      <w:tblPr>
        <w:tblStyle w:val="19"/>
        <w:tblW w:w="9349"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780"/>
        <w:gridCol w:w="778"/>
        <w:gridCol w:w="1560"/>
        <w:gridCol w:w="1558"/>
        <w:gridCol w:w="780"/>
        <w:gridCol w:w="1071"/>
        <w:gridCol w:w="12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555" w:type="dxa"/>
            <w:vAlign w:val="top"/>
          </w:tcPr>
          <w:p>
            <w:pPr>
              <w:pStyle w:val="46"/>
              <w:spacing w:before="4"/>
              <w:rPr>
                <w:b/>
                <w:color w:val="auto"/>
                <w:sz w:val="19"/>
              </w:rPr>
            </w:pPr>
          </w:p>
          <w:p>
            <w:pPr>
              <w:pStyle w:val="46"/>
              <w:ind w:left="317" w:right="308"/>
              <w:jc w:val="center"/>
              <w:rPr>
                <w:color w:val="auto"/>
                <w:sz w:val="22"/>
              </w:rPr>
            </w:pPr>
            <w:r>
              <w:rPr>
                <w:color w:val="auto"/>
                <w:sz w:val="22"/>
              </w:rPr>
              <w:t>姓 名</w:t>
            </w:r>
          </w:p>
        </w:tc>
        <w:tc>
          <w:tcPr>
            <w:tcW w:w="1558" w:type="dxa"/>
            <w:gridSpan w:val="2"/>
            <w:vAlign w:val="top"/>
          </w:tcPr>
          <w:p>
            <w:pPr>
              <w:pStyle w:val="46"/>
              <w:rPr>
                <w:rFonts w:ascii="Times New Roman"/>
                <w:color w:val="auto"/>
                <w:sz w:val="22"/>
              </w:rPr>
            </w:pPr>
          </w:p>
        </w:tc>
        <w:tc>
          <w:tcPr>
            <w:tcW w:w="1560" w:type="dxa"/>
            <w:vAlign w:val="top"/>
          </w:tcPr>
          <w:p>
            <w:pPr>
              <w:pStyle w:val="46"/>
              <w:spacing w:before="4"/>
              <w:rPr>
                <w:b/>
                <w:color w:val="auto"/>
                <w:sz w:val="19"/>
              </w:rPr>
            </w:pPr>
          </w:p>
          <w:p>
            <w:pPr>
              <w:pStyle w:val="46"/>
              <w:ind w:left="485" w:right="475"/>
              <w:jc w:val="center"/>
              <w:rPr>
                <w:color w:val="auto"/>
                <w:sz w:val="22"/>
              </w:rPr>
            </w:pPr>
            <w:r>
              <w:rPr>
                <w:color w:val="auto"/>
                <w:sz w:val="22"/>
              </w:rPr>
              <w:t>年 龄</w:t>
            </w:r>
          </w:p>
        </w:tc>
        <w:tc>
          <w:tcPr>
            <w:tcW w:w="1558" w:type="dxa"/>
            <w:vAlign w:val="top"/>
          </w:tcPr>
          <w:p>
            <w:pPr>
              <w:pStyle w:val="46"/>
              <w:rPr>
                <w:rFonts w:ascii="Times New Roman"/>
                <w:color w:val="auto"/>
                <w:sz w:val="22"/>
              </w:rPr>
            </w:pPr>
          </w:p>
        </w:tc>
        <w:tc>
          <w:tcPr>
            <w:tcW w:w="1851" w:type="dxa"/>
            <w:gridSpan w:val="2"/>
            <w:vAlign w:val="top"/>
          </w:tcPr>
          <w:p>
            <w:pPr>
              <w:pStyle w:val="46"/>
              <w:spacing w:before="4"/>
              <w:rPr>
                <w:b/>
                <w:color w:val="auto"/>
                <w:sz w:val="19"/>
              </w:rPr>
            </w:pPr>
          </w:p>
          <w:p>
            <w:pPr>
              <w:pStyle w:val="46"/>
              <w:ind w:left="631" w:right="619"/>
              <w:jc w:val="center"/>
              <w:rPr>
                <w:color w:val="auto"/>
                <w:sz w:val="22"/>
              </w:rPr>
            </w:pPr>
            <w:r>
              <w:rPr>
                <w:color w:val="auto"/>
                <w:sz w:val="22"/>
              </w:rPr>
              <w:t>学 历</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1555" w:type="dxa"/>
            <w:vAlign w:val="top"/>
          </w:tcPr>
          <w:p>
            <w:pPr>
              <w:pStyle w:val="46"/>
              <w:rPr>
                <w:b/>
                <w:color w:val="auto"/>
                <w:sz w:val="18"/>
              </w:rPr>
            </w:pPr>
          </w:p>
          <w:p>
            <w:pPr>
              <w:pStyle w:val="46"/>
              <w:ind w:left="317" w:right="308"/>
              <w:jc w:val="center"/>
              <w:rPr>
                <w:color w:val="auto"/>
                <w:sz w:val="22"/>
              </w:rPr>
            </w:pPr>
            <w:r>
              <w:rPr>
                <w:color w:val="auto"/>
                <w:sz w:val="22"/>
              </w:rPr>
              <w:t>职 称</w:t>
            </w:r>
          </w:p>
        </w:tc>
        <w:tc>
          <w:tcPr>
            <w:tcW w:w="1558" w:type="dxa"/>
            <w:gridSpan w:val="2"/>
            <w:vAlign w:val="top"/>
          </w:tcPr>
          <w:p>
            <w:pPr>
              <w:pStyle w:val="46"/>
              <w:rPr>
                <w:rFonts w:ascii="Times New Roman"/>
                <w:color w:val="auto"/>
                <w:sz w:val="22"/>
              </w:rPr>
            </w:pPr>
          </w:p>
        </w:tc>
        <w:tc>
          <w:tcPr>
            <w:tcW w:w="1560" w:type="dxa"/>
            <w:vAlign w:val="top"/>
          </w:tcPr>
          <w:p>
            <w:pPr>
              <w:pStyle w:val="46"/>
              <w:rPr>
                <w:b/>
                <w:color w:val="auto"/>
                <w:sz w:val="18"/>
              </w:rPr>
            </w:pPr>
          </w:p>
          <w:p>
            <w:pPr>
              <w:pStyle w:val="46"/>
              <w:ind w:left="485" w:right="475"/>
              <w:jc w:val="center"/>
              <w:rPr>
                <w:color w:val="auto"/>
                <w:sz w:val="22"/>
              </w:rPr>
            </w:pPr>
            <w:r>
              <w:rPr>
                <w:color w:val="auto"/>
                <w:sz w:val="22"/>
              </w:rPr>
              <w:t>职 务</w:t>
            </w:r>
          </w:p>
        </w:tc>
        <w:tc>
          <w:tcPr>
            <w:tcW w:w="1558" w:type="dxa"/>
            <w:vAlign w:val="top"/>
          </w:tcPr>
          <w:p>
            <w:pPr>
              <w:pStyle w:val="46"/>
              <w:rPr>
                <w:rFonts w:ascii="Times New Roman"/>
                <w:color w:val="auto"/>
                <w:sz w:val="22"/>
              </w:rPr>
            </w:pPr>
          </w:p>
        </w:tc>
        <w:tc>
          <w:tcPr>
            <w:tcW w:w="1851" w:type="dxa"/>
            <w:gridSpan w:val="2"/>
            <w:vAlign w:val="top"/>
          </w:tcPr>
          <w:p>
            <w:pPr>
              <w:pStyle w:val="46"/>
              <w:rPr>
                <w:b/>
                <w:color w:val="auto"/>
                <w:sz w:val="18"/>
              </w:rPr>
            </w:pPr>
          </w:p>
          <w:p>
            <w:pPr>
              <w:pStyle w:val="46"/>
              <w:ind w:left="153"/>
              <w:rPr>
                <w:color w:val="auto"/>
                <w:sz w:val="22"/>
              </w:rPr>
            </w:pPr>
            <w:r>
              <w:rPr>
                <w:color w:val="auto"/>
                <w:sz w:val="22"/>
              </w:rPr>
              <w:t>拟在本合同任职</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555" w:type="dxa"/>
            <w:vAlign w:val="top"/>
          </w:tcPr>
          <w:p>
            <w:pPr>
              <w:pStyle w:val="46"/>
              <w:spacing w:before="2"/>
              <w:rPr>
                <w:b/>
                <w:color w:val="auto"/>
                <w:sz w:val="21"/>
              </w:rPr>
            </w:pPr>
          </w:p>
          <w:p>
            <w:pPr>
              <w:pStyle w:val="46"/>
              <w:ind w:left="317" w:right="308"/>
              <w:jc w:val="center"/>
              <w:rPr>
                <w:color w:val="auto"/>
                <w:sz w:val="22"/>
              </w:rPr>
            </w:pPr>
            <w:r>
              <w:rPr>
                <w:color w:val="auto"/>
                <w:sz w:val="22"/>
              </w:rPr>
              <w:t>毕业学校</w:t>
            </w:r>
          </w:p>
        </w:tc>
        <w:tc>
          <w:tcPr>
            <w:tcW w:w="7794" w:type="dxa"/>
            <w:gridSpan w:val="7"/>
            <w:vAlign w:val="top"/>
          </w:tcPr>
          <w:p>
            <w:pPr>
              <w:pStyle w:val="46"/>
              <w:spacing w:before="2"/>
              <w:rPr>
                <w:b/>
                <w:color w:val="auto"/>
                <w:sz w:val="21"/>
              </w:rPr>
            </w:pPr>
          </w:p>
          <w:p>
            <w:pPr>
              <w:pStyle w:val="46"/>
              <w:tabs>
                <w:tab w:val="left" w:pos="1548"/>
                <w:tab w:val="left" w:pos="2758"/>
              </w:tabs>
              <w:ind w:left="7"/>
              <w:jc w:val="center"/>
              <w:rPr>
                <w:color w:val="auto"/>
                <w:sz w:val="22"/>
              </w:rPr>
            </w:pPr>
            <w:r>
              <w:rPr>
                <w:color w:val="auto"/>
                <w:sz w:val="22"/>
              </w:rPr>
              <w:t>年毕业于</w:t>
            </w:r>
            <w:r>
              <w:rPr>
                <w:color w:val="auto"/>
                <w:sz w:val="22"/>
              </w:rPr>
              <w:tab/>
            </w:r>
            <w:r>
              <w:rPr>
                <w:color w:val="auto"/>
                <w:sz w:val="22"/>
              </w:rPr>
              <w:t>学校</w:t>
            </w:r>
            <w:r>
              <w:rPr>
                <w:color w:val="auto"/>
                <w:sz w:val="22"/>
              </w:rPr>
              <w:tab/>
            </w:r>
            <w:r>
              <w:rPr>
                <w:color w:val="auto"/>
                <w:sz w:val="22"/>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9349" w:type="dxa"/>
            <w:gridSpan w:val="8"/>
            <w:vAlign w:val="top"/>
          </w:tcPr>
          <w:p>
            <w:pPr>
              <w:pStyle w:val="46"/>
              <w:spacing w:before="11"/>
              <w:rPr>
                <w:b/>
                <w:color w:val="auto"/>
                <w:sz w:val="16"/>
              </w:rPr>
            </w:pPr>
          </w:p>
          <w:p>
            <w:pPr>
              <w:pStyle w:val="46"/>
              <w:ind w:left="3994" w:right="3985"/>
              <w:jc w:val="center"/>
              <w:rPr>
                <w:color w:val="auto"/>
                <w:sz w:val="22"/>
              </w:rPr>
            </w:pPr>
            <w:r>
              <w:rPr>
                <w:color w:val="auto"/>
                <w:sz w:val="22"/>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335" w:type="dxa"/>
            <w:gridSpan w:val="2"/>
            <w:tcBorders>
              <w:right w:val="single" w:color="000000" w:sz="6" w:space="0"/>
            </w:tcBorders>
            <w:vAlign w:val="top"/>
          </w:tcPr>
          <w:p>
            <w:pPr>
              <w:pStyle w:val="46"/>
              <w:spacing w:before="11"/>
              <w:rPr>
                <w:b/>
                <w:color w:val="auto"/>
                <w:sz w:val="19"/>
              </w:rPr>
            </w:pPr>
          </w:p>
          <w:p>
            <w:pPr>
              <w:pStyle w:val="46"/>
              <w:ind w:left="873" w:right="859"/>
              <w:jc w:val="center"/>
              <w:rPr>
                <w:color w:val="auto"/>
                <w:sz w:val="22"/>
              </w:rPr>
            </w:pPr>
            <w:r>
              <w:rPr>
                <w:color w:val="auto"/>
                <w:sz w:val="22"/>
              </w:rPr>
              <w:t>时 间</w:t>
            </w:r>
          </w:p>
        </w:tc>
        <w:tc>
          <w:tcPr>
            <w:tcW w:w="2338" w:type="dxa"/>
            <w:gridSpan w:val="2"/>
            <w:tcBorders>
              <w:left w:val="single" w:color="000000" w:sz="6" w:space="0"/>
            </w:tcBorders>
            <w:vAlign w:val="top"/>
          </w:tcPr>
          <w:p>
            <w:pPr>
              <w:pStyle w:val="46"/>
              <w:spacing w:before="11"/>
              <w:rPr>
                <w:b/>
                <w:color w:val="auto"/>
                <w:sz w:val="19"/>
              </w:rPr>
            </w:pPr>
          </w:p>
          <w:p>
            <w:pPr>
              <w:pStyle w:val="46"/>
              <w:ind w:left="286"/>
              <w:rPr>
                <w:color w:val="auto"/>
                <w:sz w:val="22"/>
              </w:rPr>
            </w:pPr>
            <w:r>
              <w:rPr>
                <w:color w:val="auto"/>
                <w:sz w:val="22"/>
              </w:rPr>
              <w:t>参加过的类似项目</w:t>
            </w:r>
          </w:p>
        </w:tc>
        <w:tc>
          <w:tcPr>
            <w:tcW w:w="2338" w:type="dxa"/>
            <w:gridSpan w:val="2"/>
            <w:vAlign w:val="top"/>
          </w:tcPr>
          <w:p>
            <w:pPr>
              <w:pStyle w:val="46"/>
              <w:spacing w:before="11"/>
              <w:rPr>
                <w:b/>
                <w:color w:val="auto"/>
                <w:sz w:val="19"/>
              </w:rPr>
            </w:pPr>
          </w:p>
          <w:p>
            <w:pPr>
              <w:pStyle w:val="46"/>
              <w:ind w:left="727"/>
              <w:rPr>
                <w:color w:val="auto"/>
                <w:sz w:val="22"/>
              </w:rPr>
            </w:pPr>
            <w:r>
              <w:rPr>
                <w:color w:val="auto"/>
                <w:sz w:val="22"/>
              </w:rPr>
              <w:t>担任职务</w:t>
            </w:r>
          </w:p>
        </w:tc>
        <w:tc>
          <w:tcPr>
            <w:tcW w:w="2338" w:type="dxa"/>
            <w:gridSpan w:val="2"/>
            <w:vAlign w:val="top"/>
          </w:tcPr>
          <w:p>
            <w:pPr>
              <w:pStyle w:val="46"/>
              <w:spacing w:before="11"/>
              <w:rPr>
                <w:b/>
                <w:color w:val="auto"/>
                <w:sz w:val="19"/>
              </w:rPr>
            </w:pPr>
          </w:p>
          <w:p>
            <w:pPr>
              <w:pStyle w:val="46"/>
              <w:ind w:left="286"/>
              <w:rPr>
                <w:color w:val="auto"/>
                <w:sz w:val="22"/>
              </w:rPr>
            </w:pPr>
            <w:r>
              <w:rPr>
                <w:color w:val="auto"/>
                <w:sz w:val="22"/>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71" w:name="_Toc15718"/>
      <w:r>
        <w:rPr>
          <w:b/>
          <w:color w:val="auto"/>
          <w:sz w:val="32"/>
        </w:rPr>
        <w:t>六、类似项目业绩</w:t>
      </w:r>
      <w:bookmarkEnd w:id="71"/>
    </w:p>
    <w:p>
      <w:pPr>
        <w:pStyle w:val="3"/>
        <w:spacing w:before="6"/>
        <w:ind w:left="0"/>
        <w:rPr>
          <w:b/>
          <w:color w:val="auto"/>
          <w:sz w:val="8"/>
        </w:rPr>
      </w:pPr>
    </w:p>
    <w:tbl>
      <w:tblPr>
        <w:tblStyle w:val="19"/>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511" w:type="dxa"/>
            <w:vAlign w:val="top"/>
          </w:tcPr>
          <w:p>
            <w:pPr>
              <w:pStyle w:val="46"/>
              <w:spacing w:before="180"/>
              <w:ind w:left="154" w:right="146"/>
              <w:jc w:val="center"/>
              <w:rPr>
                <w:color w:val="auto"/>
                <w:sz w:val="24"/>
              </w:rPr>
            </w:pPr>
            <w:r>
              <w:rPr>
                <w:color w:val="auto"/>
                <w:sz w:val="24"/>
              </w:rPr>
              <w:t>项目名称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项目所在地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2511" w:type="dxa"/>
            <w:vAlign w:val="top"/>
          </w:tcPr>
          <w:p>
            <w:pPr>
              <w:pStyle w:val="46"/>
              <w:spacing w:before="151"/>
              <w:ind w:left="155" w:right="146"/>
              <w:jc w:val="center"/>
              <w:rPr>
                <w:color w:val="auto"/>
                <w:sz w:val="24"/>
              </w:rPr>
            </w:pPr>
            <w:r>
              <w:rPr>
                <w:color w:val="auto"/>
                <w:sz w:val="24"/>
              </w:rPr>
              <w:t>发包人名称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发包人地址</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4"/>
              <w:ind w:left="155" w:right="146"/>
              <w:jc w:val="center"/>
              <w:rPr>
                <w:color w:val="auto"/>
                <w:sz w:val="24"/>
              </w:rPr>
            </w:pPr>
            <w:r>
              <w:rPr>
                <w:color w:val="auto"/>
                <w:sz w:val="24"/>
              </w:rPr>
              <w:t>发包人联系人及电话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4" w:right="146"/>
              <w:jc w:val="center"/>
              <w:rPr>
                <w:color w:val="auto"/>
                <w:sz w:val="24"/>
              </w:rPr>
            </w:pPr>
            <w:r>
              <w:rPr>
                <w:color w:val="auto"/>
                <w:sz w:val="24"/>
              </w:rPr>
              <w:t>合同价格</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46"/>
              <w:ind w:left="155" w:right="146"/>
              <w:jc w:val="center"/>
              <w:rPr>
                <w:color w:val="auto"/>
                <w:sz w:val="24"/>
              </w:rPr>
            </w:pPr>
            <w:r>
              <w:rPr>
                <w:color w:val="auto"/>
                <w:sz w:val="24"/>
              </w:rPr>
              <w:t>服务开始日期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vAlign w:val="top"/>
          </w:tcPr>
          <w:p>
            <w:pPr>
              <w:pStyle w:val="46"/>
              <w:spacing w:before="158"/>
              <w:ind w:left="155" w:right="146"/>
              <w:jc w:val="center"/>
              <w:rPr>
                <w:color w:val="auto"/>
                <w:sz w:val="24"/>
              </w:rPr>
            </w:pPr>
            <w:r>
              <w:rPr>
                <w:color w:val="auto"/>
                <w:sz w:val="24"/>
              </w:rPr>
              <w:t>服务结束日期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6"/>
              <w:ind w:left="155" w:right="146"/>
              <w:jc w:val="center"/>
              <w:rPr>
                <w:color w:val="auto"/>
                <w:sz w:val="24"/>
              </w:rPr>
            </w:pPr>
            <w:r>
              <w:rPr>
                <w:color w:val="auto"/>
                <w:sz w:val="24"/>
              </w:rPr>
              <w:t>承担的工作</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vAlign w:val="top"/>
          </w:tcPr>
          <w:p>
            <w:pPr>
              <w:pStyle w:val="46"/>
              <w:spacing w:before="151"/>
              <w:ind w:left="154" w:right="146"/>
              <w:jc w:val="center"/>
              <w:rPr>
                <w:color w:val="auto"/>
                <w:sz w:val="24"/>
              </w:rPr>
            </w:pPr>
            <w:r>
              <w:rPr>
                <w:color w:val="auto"/>
                <w:sz w:val="24"/>
              </w:rPr>
              <w:t>质量要求</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5" w:right="146"/>
              <w:jc w:val="center"/>
              <w:rPr>
                <w:color w:val="auto"/>
                <w:sz w:val="24"/>
              </w:rPr>
            </w:pPr>
            <w:r>
              <w:rPr>
                <w:color w:val="auto"/>
                <w:sz w:val="24"/>
              </w:rPr>
              <w:t>项目负责人</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3"/>
              <w:ind w:left="155" w:right="146"/>
              <w:jc w:val="center"/>
              <w:rPr>
                <w:color w:val="auto"/>
                <w:sz w:val="24"/>
              </w:rPr>
            </w:pPr>
            <w:r>
              <w:rPr>
                <w:color w:val="auto"/>
                <w:sz w:val="24"/>
              </w:rPr>
              <w:t>其他项目人员</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vAlign w:val="top"/>
          </w:tcPr>
          <w:p>
            <w:pPr>
              <w:pStyle w:val="46"/>
              <w:spacing w:before="151"/>
              <w:ind w:left="155" w:right="146"/>
              <w:jc w:val="center"/>
              <w:rPr>
                <w:color w:val="auto"/>
                <w:sz w:val="24"/>
              </w:rPr>
            </w:pPr>
            <w:r>
              <w:rPr>
                <w:color w:val="auto"/>
                <w:sz w:val="24"/>
              </w:rPr>
              <w:t>业主代表及电话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vAlign w:val="top"/>
          </w:tcPr>
          <w:p>
            <w:pPr>
              <w:pStyle w:val="46"/>
              <w:rPr>
                <w:b/>
                <w:color w:val="auto"/>
                <w:sz w:val="24"/>
              </w:rPr>
            </w:pPr>
          </w:p>
          <w:p>
            <w:pPr>
              <w:pStyle w:val="46"/>
              <w:rPr>
                <w:b/>
                <w:color w:val="auto"/>
                <w:sz w:val="24"/>
              </w:rPr>
            </w:pPr>
          </w:p>
          <w:p>
            <w:pPr>
              <w:pStyle w:val="46"/>
              <w:rPr>
                <w:b/>
                <w:color w:val="auto"/>
                <w:sz w:val="24"/>
              </w:rPr>
            </w:pPr>
          </w:p>
          <w:p>
            <w:pPr>
              <w:pStyle w:val="46"/>
              <w:spacing w:before="6"/>
              <w:rPr>
                <w:b/>
                <w:color w:val="auto"/>
                <w:sz w:val="21"/>
              </w:rPr>
            </w:pPr>
          </w:p>
          <w:p>
            <w:pPr>
              <w:pStyle w:val="46"/>
              <w:ind w:left="154" w:right="146"/>
              <w:jc w:val="center"/>
              <w:rPr>
                <w:color w:val="auto"/>
                <w:sz w:val="24"/>
              </w:rPr>
            </w:pPr>
            <w:r>
              <w:rPr>
                <w:color w:val="auto"/>
                <w:sz w:val="24"/>
              </w:rPr>
              <w:t>项目描述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94"/>
              <w:ind w:left="154" w:right="146"/>
              <w:jc w:val="center"/>
              <w:rPr>
                <w:color w:val="auto"/>
                <w:sz w:val="24"/>
              </w:rPr>
            </w:pPr>
            <w:r>
              <w:rPr>
                <w:color w:val="auto"/>
                <w:sz w:val="24"/>
              </w:rPr>
              <w:t>备注</w:t>
            </w:r>
          </w:p>
        </w:tc>
        <w:tc>
          <w:tcPr>
            <w:tcW w:w="6529"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72" w:name="_Toc15355"/>
      <w:r>
        <w:rPr>
          <w:b/>
          <w:color w:val="auto"/>
          <w:sz w:val="32"/>
        </w:rPr>
        <w:t>七、</w:t>
      </w:r>
      <w:r>
        <w:rPr>
          <w:rFonts w:hint="eastAsia"/>
          <w:b/>
          <w:color w:val="auto"/>
          <w:sz w:val="32"/>
          <w:lang w:val="en-US" w:eastAsia="zh-CN"/>
        </w:rPr>
        <w:t>施工</w:t>
      </w:r>
      <w:r>
        <w:rPr>
          <w:b/>
          <w:color w:val="auto"/>
          <w:sz w:val="32"/>
        </w:rPr>
        <w:t>方案编制</w:t>
      </w:r>
      <w:bookmarkEnd w:id="72"/>
    </w:p>
    <w:p>
      <w:pPr>
        <w:pStyle w:val="3"/>
        <w:spacing w:before="188" w:line="364" w:lineRule="auto"/>
        <w:ind w:right="472"/>
        <w:rPr>
          <w:rFonts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供应商</w:t>
      </w:r>
      <w:r>
        <w:rPr>
          <w:rFonts w:ascii="宋体" w:hAnsi="宋体" w:eastAsia="宋体" w:cs="宋体"/>
          <w:color w:val="auto"/>
          <w:sz w:val="24"/>
          <w:szCs w:val="22"/>
          <w:lang w:val="zh-CN" w:eastAsia="zh-CN" w:bidi="zh-CN"/>
        </w:rPr>
        <w:t>应根据</w:t>
      </w:r>
      <w:r>
        <w:rPr>
          <w:rFonts w:hint="eastAsia" w:ascii="宋体" w:hAnsi="宋体" w:eastAsia="宋体" w:cs="宋体"/>
          <w:color w:val="auto"/>
          <w:sz w:val="24"/>
          <w:szCs w:val="22"/>
          <w:lang w:val="zh-CN" w:eastAsia="zh-CN" w:bidi="zh-CN"/>
        </w:rPr>
        <w:t>采购文件</w:t>
      </w:r>
      <w:r>
        <w:rPr>
          <w:rFonts w:ascii="宋体" w:hAnsi="宋体" w:eastAsia="宋体" w:cs="宋体"/>
          <w:color w:val="auto"/>
          <w:sz w:val="24"/>
          <w:szCs w:val="22"/>
          <w:lang w:val="zh-CN" w:eastAsia="zh-CN" w:bidi="zh-CN"/>
        </w:rPr>
        <w:t>和对现场的勘察情况，</w:t>
      </w:r>
      <w:r>
        <w:rPr>
          <w:rFonts w:hint="eastAsia" w:ascii="宋体" w:hAnsi="宋体" w:eastAsia="宋体" w:cs="宋体"/>
          <w:color w:val="auto"/>
          <w:sz w:val="24"/>
          <w:szCs w:val="22"/>
          <w:lang w:val="en-US" w:eastAsia="zh-CN" w:bidi="zh-CN"/>
        </w:rPr>
        <w:t>可</w:t>
      </w:r>
      <w:r>
        <w:rPr>
          <w:rFonts w:ascii="宋体" w:hAnsi="宋体" w:eastAsia="宋体" w:cs="宋体"/>
          <w:color w:val="auto"/>
          <w:sz w:val="24"/>
          <w:szCs w:val="22"/>
          <w:lang w:val="zh-CN" w:eastAsia="zh-CN" w:bidi="zh-CN"/>
        </w:rPr>
        <w:t>采用文字并结合图表形式，针对本项目特点编写</w:t>
      </w:r>
      <w:r>
        <w:rPr>
          <w:rFonts w:hint="eastAsia" w:cs="宋体"/>
          <w:color w:val="auto"/>
          <w:sz w:val="24"/>
          <w:szCs w:val="22"/>
          <w:lang w:val="en-US" w:eastAsia="zh-CN" w:bidi="zh-CN"/>
        </w:rPr>
        <w:t>施工</w:t>
      </w:r>
      <w:r>
        <w:rPr>
          <w:rFonts w:ascii="宋体" w:hAnsi="宋体" w:eastAsia="宋体" w:cs="宋体"/>
          <w:color w:val="auto"/>
          <w:sz w:val="24"/>
          <w:szCs w:val="22"/>
          <w:lang w:val="zh-CN" w:eastAsia="zh-CN" w:bidi="zh-CN"/>
        </w:rPr>
        <w:t>方案。</w:t>
      </w: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spacing w:before="1"/>
        <w:ind w:left="0"/>
        <w:rPr>
          <w:color w:val="auto"/>
          <w:sz w:val="34"/>
        </w:rPr>
      </w:pPr>
    </w:p>
    <w:p>
      <w:pPr>
        <w:rPr>
          <w:b/>
          <w:color w:val="auto"/>
          <w:sz w:val="32"/>
        </w:rPr>
      </w:pPr>
      <w:bookmarkStart w:id="73" w:name="_Toc21953"/>
      <w:r>
        <w:rPr>
          <w:b/>
          <w:color w:val="auto"/>
          <w:sz w:val="32"/>
        </w:rPr>
        <w:br w:type="page"/>
      </w:r>
    </w:p>
    <w:bookmarkEnd w:id="73"/>
    <w:p>
      <w:pPr>
        <w:spacing w:before="0"/>
        <w:ind w:left="538" w:right="541" w:firstLine="0"/>
        <w:jc w:val="center"/>
        <w:outlineLvl w:val="0"/>
        <w:rPr>
          <w:b/>
          <w:color w:val="auto"/>
          <w:sz w:val="32"/>
        </w:rPr>
      </w:pPr>
      <w:bookmarkStart w:id="74" w:name="_Toc21842"/>
      <w:r>
        <w:rPr>
          <w:b/>
          <w:color w:val="auto"/>
          <w:sz w:val="32"/>
        </w:rPr>
        <w:t>八、</w:t>
      </w:r>
      <w:r>
        <w:rPr>
          <w:rFonts w:hint="eastAsia"/>
          <w:b/>
          <w:color w:val="auto"/>
          <w:sz w:val="32"/>
          <w:lang w:val="en-US" w:eastAsia="zh-CN"/>
        </w:rPr>
        <w:t>已标价工程量清单</w:t>
      </w:r>
    </w:p>
    <w:p>
      <w:pPr>
        <w:rPr>
          <w:color w:val="auto"/>
        </w:rPr>
      </w:pPr>
      <w:r>
        <w:rPr>
          <w:color w:val="auto"/>
        </w:rPr>
        <w:br w:type="page"/>
      </w:r>
    </w:p>
    <w:p>
      <w:pPr>
        <w:pStyle w:val="7"/>
        <w:bidi w:val="0"/>
        <w:rPr>
          <w:rFonts w:hint="eastAsia" w:ascii="宋体" w:hAnsi="宋体" w:eastAsia="仿宋" w:cs="宋体"/>
          <w:b/>
          <w:color w:val="auto"/>
          <w:kern w:val="0"/>
          <w:sz w:val="32"/>
          <w:szCs w:val="22"/>
          <w:lang w:val="en-US" w:eastAsia="zh-CN" w:bidi="zh-CN"/>
        </w:rPr>
      </w:pPr>
      <w:r>
        <w:rPr>
          <w:rFonts w:hint="eastAsia" w:ascii="宋体" w:hAnsi="宋体" w:eastAsia="仿宋" w:cs="宋体"/>
          <w:b/>
          <w:color w:val="auto"/>
          <w:kern w:val="0"/>
          <w:sz w:val="32"/>
          <w:szCs w:val="22"/>
          <w:lang w:val="en-US" w:eastAsia="zh-CN" w:bidi="zh-CN"/>
        </w:rPr>
        <w:t>九、信用承诺书（投标人范本）</w:t>
      </w:r>
    </w:p>
    <w:p>
      <w:pPr>
        <w:pStyle w:val="56"/>
        <w:keepNext w:val="0"/>
        <w:keepLines w:val="0"/>
        <w:pageBreakBefore w:val="0"/>
        <w:widowControl w:val="0"/>
        <w:shd w:val="clear" w:color="auto" w:fill="auto"/>
        <w:kinsoku/>
        <w:wordWrap/>
        <w:overflowPunct/>
        <w:topLinePunct w:val="0"/>
        <w:autoSpaceDE/>
        <w:autoSpaceDN/>
        <w:bidi w:val="0"/>
        <w:adjustRightInd/>
        <w:snapToGrid/>
        <w:spacing w:before="0" w:after="0" w:line="380" w:lineRule="exact"/>
        <w:ind w:left="0" w:right="0" w:firstLine="0"/>
        <w:jc w:val="center"/>
        <w:textAlignment w:val="auto"/>
        <w:rPr>
          <w:rFonts w:hint="eastAsia" w:ascii="宋体" w:hAnsi="宋体" w:eastAsia="宋体" w:cs="宋体"/>
          <w:b/>
          <w:bCs/>
          <w:color w:val="auto"/>
          <w:spacing w:val="0"/>
          <w:w w:val="100"/>
          <w:kern w:val="0"/>
          <w:position w:val="0"/>
          <w:sz w:val="36"/>
          <w:szCs w:val="36"/>
          <w:lang w:eastAsia="zh-CN"/>
        </w:rPr>
      </w:pPr>
      <w:r>
        <w:rPr>
          <w:rFonts w:hint="eastAsia" w:ascii="宋体" w:hAnsi="宋体" w:eastAsia="宋体" w:cs="宋体"/>
          <w:b/>
          <w:bCs/>
          <w:color w:val="auto"/>
          <w:spacing w:val="0"/>
          <w:w w:val="100"/>
          <w:kern w:val="0"/>
          <w:position w:val="0"/>
          <w:sz w:val="36"/>
          <w:szCs w:val="36"/>
          <w:lang w:eastAsia="zh-CN"/>
        </w:rPr>
        <w:t>信用承诺书</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依据宛发改公管〔2022〕125号文件要求：为营造公开、公平、公正、诚实守信的公共资源交易环境，树立诚信守法的投标人形象，本人代表本单位作出以下承诺;</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（二）严格依照国家和河南省关于招标投标的法律、法规、规章、规范性文件，参加公共资源招标投标活动，不挂靠、借用、出租、出借、转让资质，积极履行社会责任，促进廉政建设。</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（三）自我约束、自我管理，守合同、重信用，不参与围标串标、弄虚作假、骗取中标、干扰评标、胁迫他人投标（放弃中标）、恶意投诉、违约毁约等行为，自觉维护公共资源招标投标的良好秩序。</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（四）本单位及项目经办人员信用状况良好，未被列为失信惩戒对象或"老赖""，符合参与公共资源交易活动的相关要求。</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（六）若中标，本单位将在规定的时间内与招标人签订合同并自觉履行合同义务，不转包或违法分包中标项目。</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（七）自觉接受政府、行业组织、社会公众、新闻舆论的监督。</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（八）本单位自愿接受招标投标综合监督管理机构和</w:t>
      </w:r>
      <w:r>
        <w:rPr>
          <w:rFonts w:hint="eastAsia" w:ascii="宋体" w:hAnsi="宋体" w:eastAsia="宋体" w:cs="宋体"/>
          <w:color w:val="auto"/>
          <w:spacing w:val="0"/>
          <w:w w:val="100"/>
          <w:kern w:val="0"/>
          <w:position w:val="0"/>
          <w:sz w:val="32"/>
          <w:szCs w:val="32"/>
          <w:u w:val="none"/>
          <w:shd w:val="clear" w:color="auto" w:fill="auto"/>
          <w:lang w:val="en-US" w:eastAsia="zh-CN" w:bidi="zh-TW"/>
        </w:rPr>
        <w:t>有关行政监督部门依法开展的监督检查，积极配合行政监督部门的投诉处理;本单位及项目经办人员如发生违法违规或不良行为，自愿接受招</w:t>
      </w:r>
      <w:r>
        <w:rPr>
          <w:rFonts w:hint="eastAsia" w:ascii="宋体" w:hAnsi="宋体" w:eastAsia="宋体" w:cs="宋体"/>
          <w:color w:val="auto"/>
          <w:kern w:val="0"/>
          <w:sz w:val="32"/>
          <w:szCs w:val="32"/>
          <w:u w:val="none"/>
          <w:shd w:val="clear" w:color="auto" w:fill="auto"/>
          <w:lang w:val="en-US" w:eastAsia="zh-CN" w:bidi="zh-TW"/>
        </w:rPr>
        <w:t>标投标综合监督管理机构和有关行政监督部门依法给予的行政处罚（处理），依法承担赔偿责任和刑事责任，并同意按照相关规定记入本单位及项目经办人员诚信档案或不良行为（信用）记录。</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（九）本人已认真阅读了上述承诺，并向本单位员工作了宣传教育。</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1280" w:firstLineChars="4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法定代表人或（委托代理人）签字∶</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3520" w:firstLineChars="11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 xml:space="preserve">企业名称（盖章）∶ </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3200" w:firstLineChars="10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项目负责人（签字）∶</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jc w:val="right"/>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 xml:space="preserve"> 年   月   日</w:t>
      </w:r>
    </w:p>
    <w:p>
      <w:pPr>
        <w:autoSpaceDE/>
        <w:autoSpaceDN/>
        <w:spacing w:before="0" w:after="0" w:line="240" w:lineRule="auto"/>
        <w:ind w:left="0" w:right="0"/>
        <w:rPr>
          <w:rFonts w:hint="eastAsia" w:ascii="宋体" w:hAnsi="宋体" w:eastAsia="宋体" w:cs="宋体"/>
          <w:color w:val="auto"/>
          <w:kern w:val="0"/>
          <w:sz w:val="36"/>
          <w:szCs w:val="36"/>
          <w:u w:val="none"/>
          <w:shd w:val="clear" w:color="auto" w:fill="auto"/>
          <w:lang w:val="en-US" w:eastAsia="zh-CN" w:bidi="zh-TW"/>
        </w:rPr>
      </w:pPr>
    </w:p>
    <w:p>
      <w:pPr>
        <w:keepNext w:val="0"/>
        <w:keepLines w:val="0"/>
        <w:widowControl/>
        <w:suppressLineNumbers w:val="0"/>
        <w:jc w:val="center"/>
      </w:pPr>
      <w:bookmarkStart w:id="75" w:name="_TOC_250000"/>
      <w:bookmarkEnd w:id="75"/>
      <w:r>
        <w:rPr>
          <w:rFonts w:hint="eastAsia" w:ascii="仿宋" w:hAnsi="仿宋" w:eastAsia="仿宋" w:cs="仿宋"/>
          <w:b/>
          <w:bCs/>
          <w:color w:val="000000"/>
          <w:kern w:val="0"/>
          <w:sz w:val="32"/>
          <w:szCs w:val="32"/>
          <w:lang w:val="en-US" w:eastAsia="zh-CN" w:bidi="ar"/>
        </w:rPr>
        <w:t>十、投标承诺函</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投标承诺函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致（采购人及采购代理机构）：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我公司作为本次采购项目的供应商，严格遵守政府采购相关法律法规的规定，根据竞争性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磋商文件要求，现郑重承诺如下：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一、具备《中华人民共和国政府采购法》第二十二条第一款和本项目规定的条件：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（一）具有独立承担民事责任的能力；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（二）具有良好的商业信誉和健全的财务会计制度；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（三）具有履行合同所必需的设备和专业技术能力；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（四）有依法缴纳税收和社会保障资金的良好记录；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（五）参加政府采购活动前三年内，在经营活动中没有重大违法记录；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（六）法律、行政法规规定的其他条件；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（七）根据采购项目提出的特殊条件。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二、完全接受和满足本项目竞争性磋商文件中规定的实质性要求，如对竞争性磋商文件有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异议，已经在投标截止时间届满前依法进行维权救济，不存在对竞争性磋商文件有异议的同时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又参加投标以求侥幸中标或者为实现其他非法目的的行为。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三、参加本次招标采购活动，不存在与单位负责人为同一人或者存在直接控股、管理关系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的其他供应商参与同一合同项下的政府采购活动的行为。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四、参加本次招标采购活动，不存在为采购项目提供整体设计、规范编制或者项目管理、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监理、检测等服务的行为。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五、参加本次招标采购活动，不存在和其他供应商在同一合同项下的采购项目中，同时委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托同一个自然人、同一家庭的人员、同一单位的人员作为代理人的行为。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六、参加本次政府采购活动要求在近三年内供应商和其法定代表人没有行贿犯罪行为。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七、参加本次招标采购活动，不存在联合体投标。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八、投标文件中提供的能够给予我公司带来优惠、好处的任何材料资料和技术、服务、商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务等响应承诺情况都是真实的、有效的、合法的。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九、如本项目评标过程中需要提供样品，则我公司提供的样品即为中标后将要提供的中标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产品，我公司对提供样品的性能和质量负责，因样品存在缺陷或者不符合竞争性磋商文件要求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导致未能中标的，我公司愿意承担相应不利后果。（如提供样品）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十、存在以下行为之一的愿意接受相关部门的处理：</w:t>
      </w:r>
      <w:r>
        <w:rPr>
          <w:rFonts w:hint="eastAsia" w:ascii="宋体" w:hAnsi="宋体" w:eastAsia="宋体" w:cs="宋体"/>
          <w:b/>
          <w:bCs/>
          <w:color w:val="000000"/>
          <w:kern w:val="0"/>
          <w:sz w:val="24"/>
          <w:szCs w:val="24"/>
          <w:lang w:val="en-US" w:eastAsia="zh-CN" w:bidi="ar"/>
        </w:rPr>
        <w:t xml:space="preserve">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（一）投标有效期内撤销投标文件的；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（二）在采购人确定中标人以前放弃中标候选资格的；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（三）由于中标人的原因未能按照竞争性磋商文件的规定与采购人签订合同；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（四）在响应文件中提供虚假材料谋取中标；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（五）采取不正当手段诋毁、排挤其他供应商；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（六）与采购人、其他供应商或者采购代理机构恶意串通的；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（七）投标有效期内，供应商在政府采购活动中有违法、违规、违纪行为。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由此产生的一切法律后果和责任由我公司承担。我公司声明放弃对此提出任何异议和追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索的权利。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本公司对上述承诺的内容事项真实性负责。如经查实上述承诺的内容事项存在虚假，我公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司愿意接受以提供虚假材料谋取中标追究法律责任。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供应商名称：（电子签章）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法定代表人或授权代表：（电子签章） </w:t>
      </w:r>
    </w:p>
    <w:p>
      <w:pPr>
        <w:keepNext w:val="0"/>
        <w:keepLines w:val="0"/>
        <w:widowControl/>
        <w:suppressLineNumbers w:val="0"/>
        <w:jc w:val="left"/>
        <w:rPr>
          <w:rFonts w:hint="eastAsia" w:ascii="新宋体" w:hAnsi="新宋体" w:eastAsia="新宋体" w:cs="新宋体"/>
        </w:rPr>
      </w:pPr>
      <w:r>
        <w:rPr>
          <w:rFonts w:hint="eastAsia" w:ascii="宋体" w:hAnsi="宋体" w:eastAsia="宋体" w:cs="宋体"/>
          <w:color w:val="000000"/>
          <w:kern w:val="0"/>
          <w:sz w:val="24"/>
          <w:szCs w:val="24"/>
          <w:lang w:val="en-US" w:eastAsia="zh-CN" w:bidi="ar"/>
        </w:rPr>
        <w:t>日期：</w:t>
      </w:r>
      <w:r>
        <w:rPr>
          <w:rFonts w:hint="eastAsia" w:ascii="新宋体" w:hAnsi="新宋体" w:eastAsia="新宋体" w:cs="新宋体"/>
          <w:color w:val="000000"/>
          <w:kern w:val="0"/>
          <w:sz w:val="24"/>
          <w:szCs w:val="24"/>
          <w:lang w:val="en-US" w:eastAsia="zh-CN" w:bidi="ar"/>
        </w:rPr>
        <w:t xml:space="preserve"> </w:t>
      </w: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十一、供应商认为需附的其他资</w:t>
      </w:r>
      <w:r>
        <w:rPr>
          <w:rFonts w:hint="eastAsia" w:eastAsia="宋体" w:cs="宋体"/>
          <w:b/>
          <w:bCs/>
          <w:color w:val="000000"/>
          <w:kern w:val="0"/>
          <w:sz w:val="28"/>
          <w:szCs w:val="28"/>
          <w:lang w:val="en-US" w:eastAsia="zh-CN" w:bidi="ar"/>
        </w:rPr>
        <w:t>料</w:t>
      </w: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pStyle w:val="7"/>
        <w:tabs>
          <w:tab w:val="left" w:pos="1291"/>
        </w:tabs>
        <w:jc w:val="center"/>
        <w:outlineLvl w:val="0"/>
        <w:rPr>
          <w:color w:val="auto"/>
        </w:rPr>
      </w:pPr>
    </w:p>
    <w:p>
      <w:pPr>
        <w:rPr>
          <w:color w:val="auto"/>
        </w:rPr>
      </w:pPr>
    </w:p>
    <w:p>
      <w:pPr>
        <w:pStyle w:val="2"/>
        <w:rPr>
          <w:color w:val="auto"/>
        </w:rPr>
      </w:pPr>
    </w:p>
    <w:p>
      <w:pPr>
        <w:pStyle w:val="4"/>
        <w:ind w:firstLine="2811" w:firstLineChars="1000"/>
        <w:jc w:val="both"/>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十二、中小企业声明函</w:t>
      </w: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pStyle w:val="7"/>
        <w:tabs>
          <w:tab w:val="left" w:pos="1291"/>
        </w:tabs>
        <w:jc w:val="center"/>
        <w:outlineLvl w:val="0"/>
        <w:rPr>
          <w:color w:val="auto"/>
        </w:rPr>
      </w:pPr>
    </w:p>
    <w:p>
      <w:pPr>
        <w:pStyle w:val="7"/>
        <w:tabs>
          <w:tab w:val="left" w:pos="1291"/>
        </w:tabs>
        <w:jc w:val="center"/>
        <w:outlineLvl w:val="0"/>
        <w:rPr>
          <w:color w:val="auto"/>
        </w:rPr>
      </w:pPr>
    </w:p>
    <w:p>
      <w:pPr>
        <w:pStyle w:val="7"/>
        <w:tabs>
          <w:tab w:val="left" w:pos="1291"/>
        </w:tabs>
        <w:jc w:val="center"/>
        <w:outlineLvl w:val="0"/>
        <w:rPr>
          <w:color w:val="auto"/>
        </w:rPr>
      </w:pPr>
    </w:p>
    <w:p>
      <w:pPr>
        <w:pStyle w:val="7"/>
        <w:tabs>
          <w:tab w:val="left" w:pos="1291"/>
        </w:tabs>
        <w:jc w:val="center"/>
        <w:outlineLvl w:val="0"/>
        <w:rPr>
          <w:rFonts w:hint="eastAsia"/>
          <w:color w:val="auto"/>
        </w:rPr>
      </w:pPr>
      <w:r>
        <w:rPr>
          <w:color w:val="auto"/>
        </w:rPr>
        <w:t>第</w:t>
      </w:r>
      <w:r>
        <w:rPr>
          <w:rFonts w:hint="eastAsia"/>
          <w:color w:val="auto"/>
          <w:lang w:val="en-US" w:eastAsia="zh-CN"/>
        </w:rPr>
        <w:t>六部分</w:t>
      </w:r>
      <w:r>
        <w:rPr>
          <w:color w:val="auto"/>
        </w:rPr>
        <w:tab/>
      </w:r>
      <w:r>
        <w:rPr>
          <w:rFonts w:hint="eastAsia"/>
          <w:color w:val="auto"/>
          <w:lang w:val="en-US" w:eastAsia="zh-CN"/>
        </w:rPr>
        <w:t>参考</w:t>
      </w:r>
      <w:r>
        <w:rPr>
          <w:color w:val="auto"/>
        </w:rPr>
        <w:t>附件</w:t>
      </w:r>
      <w:bookmarkEnd w:id="74"/>
      <w:r>
        <w:rPr>
          <w:rFonts w:hint="eastAsia"/>
          <w:color w:val="auto"/>
        </w:rPr>
        <w:t>（本章非响应文件格式，符合则提供，否则不提供）</w:t>
      </w:r>
    </w:p>
    <w:p>
      <w:pPr>
        <w:pStyle w:val="7"/>
        <w:tabs>
          <w:tab w:val="left" w:pos="1291"/>
        </w:tabs>
        <w:jc w:val="center"/>
        <w:outlineLvl w:val="0"/>
        <w:rPr>
          <w:color w:val="auto"/>
        </w:rPr>
      </w:pPr>
    </w:p>
    <w:p>
      <w:pPr>
        <w:pStyle w:val="3"/>
        <w:spacing w:before="1"/>
        <w:ind w:left="0"/>
        <w:rPr>
          <w:b/>
          <w:color w:val="auto"/>
          <w:sz w:val="14"/>
        </w:rPr>
      </w:pPr>
    </w:p>
    <w:p>
      <w:pPr>
        <w:pStyle w:val="11"/>
        <w:spacing w:before="61"/>
        <w:outlineLvl w:val="0"/>
        <w:rPr>
          <w:color w:val="auto"/>
        </w:rPr>
      </w:pPr>
      <w:bookmarkStart w:id="76" w:name="_Toc1959"/>
      <w:r>
        <w:rPr>
          <w:color w:val="auto"/>
        </w:rPr>
        <w:t>附件一</w:t>
      </w:r>
      <w:bookmarkEnd w:id="76"/>
    </w:p>
    <w:p>
      <w:pPr>
        <w:pStyle w:val="3"/>
        <w:spacing w:before="8"/>
        <w:ind w:left="0"/>
        <w:rPr>
          <w:color w:val="auto"/>
          <w:sz w:val="17"/>
        </w:rPr>
      </w:pPr>
    </w:p>
    <w:p>
      <w:pPr>
        <w:spacing w:before="55"/>
        <w:ind w:left="538" w:right="537" w:firstLine="0"/>
        <w:jc w:val="center"/>
        <w:rPr>
          <w:b/>
          <w:color w:val="auto"/>
          <w:sz w:val="32"/>
        </w:rPr>
      </w:pPr>
      <w:bookmarkStart w:id="77" w:name="_Toc22139"/>
      <w:r>
        <w:rPr>
          <w:b/>
          <w:color w:val="auto"/>
          <w:sz w:val="32"/>
        </w:rPr>
        <w:t>中小企业声明函</w:t>
      </w:r>
    </w:p>
    <w:p>
      <w:pPr>
        <w:pStyle w:val="3"/>
        <w:ind w:left="0"/>
        <w:rPr>
          <w:b/>
          <w:color w:val="auto"/>
          <w:sz w:val="32"/>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本公司（联合体）郑重声明，根据《关于进一步加大政府采购支持中小企业力度的通知》（财库【2022】19号）的规定，本公司（联合体）参加</w:t>
      </w:r>
      <w:r>
        <w:rPr>
          <w:rFonts w:hint="eastAsia" w:ascii="宋体" w:hAnsi="宋体" w:cs="宋体"/>
          <w:color w:val="auto"/>
          <w:sz w:val="24"/>
          <w:szCs w:val="28"/>
          <w:u w:val="single"/>
        </w:rPr>
        <w:t>    （单位名称）</w:t>
      </w:r>
      <w:r>
        <w:rPr>
          <w:rFonts w:hint="eastAsia" w:ascii="宋体" w:hAnsi="宋体" w:cs="宋体"/>
          <w:color w:val="auto"/>
          <w:sz w:val="24"/>
          <w:szCs w:val="28"/>
        </w:rPr>
        <w:t>的</w:t>
      </w:r>
      <w:r>
        <w:rPr>
          <w:rFonts w:hint="eastAsia" w:ascii="宋体" w:hAnsi="宋体" w:cs="宋体"/>
          <w:color w:val="auto"/>
          <w:sz w:val="24"/>
          <w:szCs w:val="28"/>
          <w:u w:val="single"/>
        </w:rPr>
        <w:t>（项目名称）</w:t>
      </w:r>
      <w:r>
        <w:rPr>
          <w:rFonts w:hint="eastAsia" w:ascii="宋体" w:hAnsi="宋体" w:cs="宋体"/>
          <w:color w:val="auto"/>
          <w:sz w:val="24"/>
          <w:szCs w:val="28"/>
        </w:rPr>
        <w:t>采购活动，工程的施工单位全部为符合政策要求的中小企业（或者：服务全部由符合政策要求的中小企业承接）。相关企业（含联合体中的中小企业、签订分包意向协议的中小企业）的具体情况如下：</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u w:val="single"/>
        </w:rPr>
        <w:t>   （标的名称）</w:t>
      </w:r>
      <w:r>
        <w:rPr>
          <w:rFonts w:hint="eastAsia" w:ascii="宋体" w:hAnsi="宋体" w:cs="宋体"/>
          <w:color w:val="auto"/>
          <w:sz w:val="24"/>
          <w:szCs w:val="28"/>
        </w:rPr>
        <w:t>，属于</w:t>
      </w:r>
      <w:r>
        <w:rPr>
          <w:rFonts w:hint="eastAsia" w:ascii="宋体" w:hAnsi="宋体" w:cs="宋体"/>
          <w:color w:val="auto"/>
          <w:sz w:val="24"/>
          <w:szCs w:val="28"/>
          <w:u w:val="single"/>
        </w:rPr>
        <w:t>    （采购文件中明确的所属行业）</w:t>
      </w:r>
      <w:r>
        <w:rPr>
          <w:rFonts w:hint="eastAsia" w:ascii="宋体" w:hAnsi="宋体" w:cs="宋体"/>
          <w:color w:val="auto"/>
          <w:sz w:val="24"/>
          <w:szCs w:val="28"/>
        </w:rPr>
        <w:t>；承建（承接）企业为</w:t>
      </w:r>
      <w:r>
        <w:rPr>
          <w:rFonts w:hint="eastAsia" w:ascii="宋体" w:hAnsi="宋体" w:cs="宋体"/>
          <w:color w:val="auto"/>
          <w:sz w:val="24"/>
          <w:szCs w:val="28"/>
          <w:u w:val="single"/>
        </w:rPr>
        <w:t>    （企业名称）</w:t>
      </w:r>
      <w:r>
        <w:rPr>
          <w:rFonts w:hint="eastAsia" w:ascii="宋体" w:hAnsi="宋体" w:cs="宋体"/>
          <w:color w:val="auto"/>
          <w:sz w:val="24"/>
          <w:szCs w:val="28"/>
        </w:rPr>
        <w:t>，从业人员</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人，营业收入为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万元，资产总额为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万元，属于</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u w:val="single"/>
        </w:rPr>
        <w:t>（中型企业、小型企业、微型企业）</w:t>
      </w: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lang w:val="en-US" w:eastAsia="zh-CN"/>
        </w:rPr>
      </w:pPr>
      <w:r>
        <w:rPr>
          <w:rFonts w:hint="eastAsia" w:ascii="宋体" w:hAnsi="宋体" w:cs="宋体"/>
          <w:color w:val="auto"/>
          <w:sz w:val="24"/>
          <w:szCs w:val="28"/>
        </w:rPr>
        <w:t>2.</w:t>
      </w:r>
      <w:r>
        <w:rPr>
          <w:rFonts w:hint="eastAsia" w:ascii="宋体" w:hAnsi="宋体" w:cs="宋体"/>
          <w:color w:val="auto"/>
          <w:sz w:val="24"/>
          <w:szCs w:val="28"/>
          <w:u w:val="single"/>
        </w:rPr>
        <w:t>   （标的名称）</w:t>
      </w:r>
      <w:r>
        <w:rPr>
          <w:rFonts w:hint="eastAsia" w:ascii="宋体" w:hAnsi="宋体" w:cs="宋体"/>
          <w:color w:val="auto"/>
          <w:sz w:val="24"/>
          <w:szCs w:val="28"/>
        </w:rPr>
        <w:t>，属于</w:t>
      </w:r>
      <w:r>
        <w:rPr>
          <w:rFonts w:hint="eastAsia" w:ascii="宋体" w:hAnsi="宋体" w:cs="宋体"/>
          <w:color w:val="auto"/>
          <w:sz w:val="24"/>
          <w:szCs w:val="28"/>
          <w:u w:val="single"/>
        </w:rPr>
        <w:t>     （采购文件中明确的所属行业）</w:t>
      </w:r>
      <w:r>
        <w:rPr>
          <w:rFonts w:hint="eastAsia" w:ascii="宋体" w:hAnsi="宋体" w:cs="宋体"/>
          <w:color w:val="auto"/>
          <w:sz w:val="24"/>
          <w:szCs w:val="28"/>
        </w:rPr>
        <w:t>行业；制造商为</w:t>
      </w:r>
      <w:r>
        <w:rPr>
          <w:rFonts w:hint="eastAsia" w:ascii="宋体" w:hAnsi="宋体" w:cs="宋体"/>
          <w:color w:val="auto"/>
          <w:sz w:val="24"/>
          <w:szCs w:val="28"/>
          <w:u w:val="single"/>
        </w:rPr>
        <w:t>  （企业名称）</w:t>
      </w:r>
      <w:r>
        <w:rPr>
          <w:rFonts w:hint="eastAsia" w:ascii="宋体" w:hAnsi="宋体" w:cs="宋体"/>
          <w:color w:val="auto"/>
          <w:sz w:val="24"/>
          <w:szCs w:val="28"/>
        </w:rPr>
        <w:t>，从业人员</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人，营业收入为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万元，资产总额为</w:t>
      </w:r>
      <w:r>
        <w:rPr>
          <w:rFonts w:hint="eastAsia" w:ascii="宋体" w:hAnsi="宋体" w:cs="宋体"/>
          <w:color w:val="auto"/>
          <w:sz w:val="24"/>
          <w:szCs w:val="28"/>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cs="宋体"/>
          <w:color w:val="auto"/>
          <w:sz w:val="24"/>
          <w:szCs w:val="28"/>
        </w:rPr>
      </w:pP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万元，属于</w:t>
      </w:r>
      <w:r>
        <w:rPr>
          <w:rFonts w:hint="eastAsia" w:ascii="宋体" w:hAnsi="宋体" w:cs="宋体"/>
          <w:color w:val="auto"/>
          <w:sz w:val="24"/>
          <w:szCs w:val="28"/>
          <w:u w:val="single"/>
        </w:rPr>
        <w:t>     （中型企业、小型企业、微型企业）</w:t>
      </w: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本企业对上述声明内容的真实性负责。如有虚假，将依法承担相应责任。</w:t>
      </w:r>
    </w:p>
    <w:p>
      <w:pPr>
        <w:spacing w:line="360" w:lineRule="auto"/>
        <w:ind w:firstLine="4800" w:firstLineChars="2000"/>
        <w:jc w:val="left"/>
        <w:rPr>
          <w:rFonts w:hint="eastAsia" w:ascii="宋体" w:hAnsi="宋体" w:cs="宋体"/>
          <w:color w:val="auto"/>
          <w:sz w:val="24"/>
          <w:szCs w:val="28"/>
        </w:rPr>
      </w:pPr>
    </w:p>
    <w:p>
      <w:pPr>
        <w:spacing w:line="360" w:lineRule="auto"/>
        <w:ind w:firstLine="4800" w:firstLineChars="2000"/>
        <w:jc w:val="left"/>
        <w:rPr>
          <w:rFonts w:hint="eastAsia" w:ascii="宋体" w:hAnsi="宋体" w:cs="宋体"/>
          <w:color w:val="auto"/>
          <w:sz w:val="24"/>
          <w:szCs w:val="28"/>
        </w:rPr>
      </w:pPr>
      <w:r>
        <w:rPr>
          <w:rFonts w:hint="eastAsia" w:ascii="宋体" w:hAnsi="宋体" w:cs="宋体"/>
          <w:color w:val="auto"/>
          <w:sz w:val="24"/>
          <w:szCs w:val="28"/>
        </w:rPr>
        <w:t>企业名称（盖章）：</w:t>
      </w:r>
    </w:p>
    <w:p>
      <w:pPr>
        <w:spacing w:line="360" w:lineRule="auto"/>
        <w:ind w:firstLine="5280" w:firstLineChars="2200"/>
        <w:jc w:val="left"/>
        <w:rPr>
          <w:rFonts w:hint="eastAsia" w:ascii="宋体" w:hAnsi="宋体" w:cs="宋体"/>
          <w:color w:val="auto"/>
          <w:sz w:val="24"/>
          <w:szCs w:val="28"/>
        </w:rPr>
      </w:pPr>
      <w:r>
        <w:rPr>
          <w:rFonts w:hint="eastAsia" w:ascii="宋体" w:hAnsi="宋体" w:cs="宋体"/>
          <w:color w:val="auto"/>
          <w:sz w:val="24"/>
          <w:szCs w:val="28"/>
        </w:rPr>
        <w:t>日 期：</w:t>
      </w: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r>
        <w:rPr>
          <w:color w:val="auto"/>
        </w:rPr>
        <w:t>附件二</w:t>
      </w:r>
      <w:bookmarkEnd w:id="77"/>
    </w:p>
    <w:p>
      <w:pPr>
        <w:jc w:val="center"/>
        <w:rPr>
          <w:b/>
          <w:bCs/>
          <w:color w:val="auto"/>
        </w:rPr>
      </w:pPr>
      <w:r>
        <w:rPr>
          <w:b/>
          <w:bCs/>
          <w:color w:val="auto"/>
        </w:rPr>
        <w:t>工业和信息化部、国家统计局、国家发展和改革委员会、财政部</w:t>
      </w:r>
    </w:p>
    <w:p>
      <w:pPr>
        <w:jc w:val="center"/>
        <w:rPr>
          <w:b/>
          <w:bCs/>
          <w:color w:val="auto"/>
        </w:rPr>
      </w:pPr>
      <w:r>
        <w:rPr>
          <w:b/>
          <w:bCs/>
          <w:color w:val="auto"/>
        </w:rPr>
        <w:t>《关于印发 中小企业 划型标准规定的通知》</w:t>
      </w:r>
    </w:p>
    <w:p>
      <w:pPr>
        <w:jc w:val="center"/>
        <w:rPr>
          <w:color w:val="auto"/>
        </w:rPr>
      </w:pPr>
      <w:r>
        <w:rPr>
          <w:color w:val="auto"/>
          <w:highlight w:val="none"/>
        </w:rPr>
        <w:t>工信部</w:t>
      </w:r>
      <w:r>
        <w:rPr>
          <w:color w:val="auto"/>
        </w:rPr>
        <w:t>联企业〔 2011 〕300 号</w:t>
      </w:r>
    </w:p>
    <w:p>
      <w:pPr>
        <w:pStyle w:val="3"/>
        <w:spacing w:before="1"/>
        <w:ind w:left="356" w:right="542"/>
        <w:jc w:val="center"/>
        <w:rPr>
          <w:color w:val="auto"/>
        </w:rPr>
      </w:pPr>
      <w:r>
        <w:rPr>
          <w:color w:val="auto"/>
        </w:rPr>
        <w:t>各省、自治区、直辖市人民政府，国务院各部委、各直属机构及有关单位：</w:t>
      </w:r>
    </w:p>
    <w:p>
      <w:pPr>
        <w:pStyle w:val="3"/>
        <w:spacing w:before="160" w:line="364" w:lineRule="auto"/>
        <w:ind w:right="485" w:firstLine="480"/>
        <w:jc w:val="both"/>
        <w:rPr>
          <w:color w:val="auto"/>
        </w:rPr>
      </w:pPr>
      <w:r>
        <w:rPr>
          <w:color w:val="auto"/>
        </w:rPr>
        <w:t>为贯彻落实《中华人民共和国中小企业促进法》和《国务院关于进一步促进中小企业发展的若干意见》（国发〔2009〕36 号），工业和信息化部、国家统计局、发展改革委、财政部研究制定了《中小企业划型标准规定》。经国务院同意，现印发给你们， 请遵照执行。</w:t>
      </w:r>
    </w:p>
    <w:p>
      <w:pPr>
        <w:pStyle w:val="3"/>
        <w:spacing w:before="3"/>
        <w:ind w:left="0" w:right="534"/>
        <w:jc w:val="right"/>
        <w:rPr>
          <w:color w:val="auto"/>
        </w:rPr>
      </w:pPr>
      <w:r>
        <w:rPr>
          <w:color w:val="auto"/>
        </w:rPr>
        <w:t>工业和信息化部 国家统计局 国家发展和改革委员会 财政部</w:t>
      </w:r>
    </w:p>
    <w:p>
      <w:pPr>
        <w:pStyle w:val="3"/>
        <w:spacing w:before="161"/>
        <w:ind w:left="0" w:right="535"/>
        <w:jc w:val="right"/>
        <w:rPr>
          <w:color w:val="auto"/>
        </w:rPr>
      </w:pPr>
      <w:r>
        <w:rPr>
          <w:color w:val="auto"/>
        </w:rPr>
        <w:t>二○一一年六月十八日</w:t>
      </w:r>
    </w:p>
    <w:p>
      <w:pPr>
        <w:pStyle w:val="3"/>
        <w:spacing w:before="160"/>
        <w:ind w:left="4113"/>
        <w:rPr>
          <w:color w:val="auto"/>
        </w:rPr>
      </w:pPr>
      <w:r>
        <w:rPr>
          <w:color w:val="auto"/>
        </w:rPr>
        <w:t>中小企业划型标准规定</w:t>
      </w:r>
    </w:p>
    <w:p>
      <w:pPr>
        <w:pStyle w:val="3"/>
        <w:spacing w:before="161" w:line="364" w:lineRule="auto"/>
        <w:ind w:right="533" w:firstLine="480"/>
        <w:rPr>
          <w:color w:val="auto"/>
        </w:rPr>
      </w:pPr>
      <w:r>
        <w:rPr>
          <w:color w:val="auto"/>
          <w:spacing w:val="-8"/>
        </w:rPr>
        <w:t>一、根据《中华人民共和国中小企业促进法》和《国务院关于进一步促进中小企业</w:t>
      </w:r>
      <w:r>
        <w:rPr>
          <w:color w:val="auto"/>
        </w:rPr>
        <w:t>发展的若干意见》</w:t>
      </w:r>
      <w:r>
        <w:rPr>
          <w:rFonts w:hint="eastAsia"/>
          <w:color w:val="auto"/>
          <w:lang w:eastAsia="zh-CN"/>
        </w:rPr>
        <w:t>（</w:t>
      </w:r>
      <w:r>
        <w:rPr>
          <w:color w:val="auto"/>
        </w:rPr>
        <w:t>国发〔2009〕36</w:t>
      </w:r>
      <w:r>
        <w:rPr>
          <w:color w:val="auto"/>
          <w:spacing w:val="-1"/>
        </w:rPr>
        <w:t xml:space="preserve"> 号</w:t>
      </w:r>
      <w:r>
        <w:rPr>
          <w:rFonts w:hint="eastAsia"/>
          <w:color w:val="auto"/>
          <w:spacing w:val="-1"/>
          <w:lang w:eastAsia="zh-CN"/>
        </w:rPr>
        <w:t>）</w:t>
      </w:r>
      <w:r>
        <w:rPr>
          <w:color w:val="auto"/>
          <w:spacing w:val="-1"/>
        </w:rPr>
        <w:t>，制定本规定。</w:t>
      </w:r>
    </w:p>
    <w:p>
      <w:pPr>
        <w:pStyle w:val="3"/>
        <w:spacing w:before="2" w:line="364" w:lineRule="auto"/>
        <w:ind w:right="533" w:firstLine="480"/>
        <w:rPr>
          <w:color w:val="auto"/>
        </w:rPr>
      </w:pPr>
      <w:r>
        <w:rPr>
          <w:color w:val="auto"/>
          <w:spacing w:val="-8"/>
        </w:rPr>
        <w:t>二、中小企业划分为中型、小型、微型三种类型，具体标准根据企业从业人员、营</w:t>
      </w:r>
      <w:r>
        <w:rPr>
          <w:color w:val="auto"/>
        </w:rPr>
        <w:t>业收入、资产总额等指标，结合行业特点制定。</w:t>
      </w:r>
    </w:p>
    <w:p>
      <w:pPr>
        <w:pStyle w:val="3"/>
        <w:spacing w:before="1" w:line="364" w:lineRule="auto"/>
        <w:ind w:right="485" w:firstLine="480"/>
        <w:jc w:val="both"/>
        <w:rPr>
          <w:color w:val="auto"/>
        </w:rPr>
      </w:pPr>
      <w:r>
        <w:rPr>
          <w:color w:val="auto"/>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 其他未列明行业（包括科学研究和技术服务业，水利、环境和公共设施管理业，居民服务、修理和其他服务业，社会工作，文化、体育和娱乐业等）。</w:t>
      </w:r>
    </w:p>
    <w:p>
      <w:pPr>
        <w:pStyle w:val="3"/>
        <w:spacing w:before="4"/>
        <w:ind w:firstLine="420" w:firstLineChars="200"/>
        <w:rPr>
          <w:color w:val="auto"/>
        </w:rPr>
      </w:pPr>
      <w:r>
        <w:rPr>
          <w:color w:val="auto"/>
        </w:rPr>
        <w:t>四、各</w:t>
      </w:r>
      <w:r>
        <w:rPr>
          <w:color w:val="auto"/>
          <w:highlight w:val="none"/>
        </w:rPr>
        <w:t>行业划</w:t>
      </w:r>
      <w:r>
        <w:rPr>
          <w:color w:val="auto"/>
        </w:rPr>
        <w:t>型标准为：详见下表</w:t>
      </w:r>
    </w:p>
    <w:p>
      <w:pPr>
        <w:pStyle w:val="3"/>
        <w:spacing w:before="160"/>
        <w:ind w:firstLine="420" w:firstLineChars="200"/>
        <w:rPr>
          <w:color w:val="auto"/>
        </w:rPr>
      </w:pPr>
      <w:r>
        <w:rPr>
          <w:color w:val="auto"/>
        </w:rPr>
        <w:t>五、企业类型的划分以统计部门的统计数据为依据。</w:t>
      </w:r>
    </w:p>
    <w:p>
      <w:pPr>
        <w:pStyle w:val="3"/>
        <w:spacing w:before="161" w:line="364" w:lineRule="auto"/>
        <w:ind w:right="535" w:firstLine="480"/>
        <w:rPr>
          <w:color w:val="auto"/>
        </w:rPr>
      </w:pPr>
      <w:r>
        <w:rPr>
          <w:color w:val="auto"/>
          <w:spacing w:val="-9"/>
        </w:rPr>
        <w:t>六、本规定适用于在中华人民共和国境内依法设立的各类所有制和各种组织形式的</w:t>
      </w:r>
      <w:r>
        <w:rPr>
          <w:color w:val="auto"/>
        </w:rPr>
        <w:t>企业。个体工商户和本规定以外的行业，参照本规定进行划型。</w:t>
      </w:r>
    </w:p>
    <w:p>
      <w:pPr>
        <w:pStyle w:val="3"/>
        <w:spacing w:before="1" w:line="364" w:lineRule="auto"/>
        <w:ind w:right="533" w:firstLine="480"/>
        <w:jc w:val="both"/>
        <w:rPr>
          <w:color w:val="auto"/>
        </w:rPr>
      </w:pPr>
      <w:r>
        <w:rPr>
          <w:color w:val="auto"/>
          <w:spacing w:val="-7"/>
        </w:rPr>
        <w:t>七、本规定的中型企业标准上限即为大型企业标准的下限，国家统计部门据此制定</w:t>
      </w:r>
      <w:r>
        <w:rPr>
          <w:color w:val="auto"/>
          <w:spacing w:val="-4"/>
        </w:rPr>
        <w:t>大中小微型企业的统计分类。国务院有关部门据此进行相关数据分析，不得制定与本规</w:t>
      </w:r>
      <w:r>
        <w:rPr>
          <w:color w:val="auto"/>
        </w:rPr>
        <w:t>定不一致的企业划型标准。</w:t>
      </w:r>
    </w:p>
    <w:p>
      <w:pPr>
        <w:pStyle w:val="3"/>
        <w:spacing w:before="99" w:line="364" w:lineRule="auto"/>
        <w:ind w:right="418" w:firstLine="480"/>
        <w:rPr>
          <w:color w:val="auto"/>
        </w:rPr>
      </w:pPr>
      <w:r>
        <w:rPr>
          <w:color w:val="auto"/>
          <w:spacing w:val="-15"/>
        </w:rPr>
        <w:t>八、本规定由工业和信息化部、国家统计局会同有关部门根据《国民经济行业分类》</w:t>
      </w:r>
      <w:r>
        <w:rPr>
          <w:color w:val="auto"/>
        </w:rPr>
        <w:t>修订情况和企业发展变化情况适时修订。</w:t>
      </w:r>
    </w:p>
    <w:p>
      <w:pPr>
        <w:pStyle w:val="3"/>
        <w:spacing w:before="1"/>
        <w:ind w:firstLine="420" w:firstLineChars="200"/>
        <w:rPr>
          <w:color w:val="auto"/>
        </w:rPr>
      </w:pPr>
      <w:r>
        <w:rPr>
          <w:color w:val="auto"/>
        </w:rPr>
        <w:t>九、本规定由工业和信息化部、国家统计局会同有关部门负责解释。</w:t>
      </w:r>
    </w:p>
    <w:p>
      <w:pPr>
        <w:pStyle w:val="3"/>
        <w:spacing w:before="161" w:line="364" w:lineRule="auto"/>
        <w:ind w:right="472" w:firstLine="480"/>
        <w:rPr>
          <w:color w:val="auto"/>
        </w:rPr>
      </w:pPr>
      <w:r>
        <w:rPr>
          <w:color w:val="auto"/>
        </w:rPr>
        <w:t>十、本规定自发布之日起执行，原国家经贸委、原国家计委、财政部和国家统计局2003 年颁布的《中小企业标准暂行规定》同时废止。</w:t>
      </w:r>
    </w:p>
    <w:p>
      <w:pPr>
        <w:spacing w:after="0" w:line="364" w:lineRule="auto"/>
        <w:rPr>
          <w:color w:val="auto"/>
        </w:rPr>
        <w:sectPr>
          <w:pgSz w:w="11910" w:h="16840"/>
          <w:pgMar w:top="1380" w:right="880" w:bottom="1100" w:left="880" w:header="888" w:footer="910" w:gutter="0"/>
          <w:pgNumType w:fmt="decimal"/>
          <w:cols w:space="720" w:num="1"/>
        </w:sectPr>
      </w:pPr>
    </w:p>
    <w:p>
      <w:pPr>
        <w:pStyle w:val="11"/>
        <w:outlineLvl w:val="0"/>
        <w:rPr>
          <w:color w:val="auto"/>
        </w:rPr>
      </w:pPr>
      <w:bookmarkStart w:id="78" w:name="_Toc3510"/>
      <w:r>
        <w:rPr>
          <w:color w:val="auto"/>
        </w:rPr>
        <w:t>附件三</w:t>
      </w:r>
      <w:bookmarkEnd w:id="78"/>
    </w:p>
    <w:p>
      <w:pPr>
        <w:jc w:val="center"/>
        <w:rPr>
          <w:b/>
          <w:bCs/>
          <w:color w:val="auto"/>
        </w:rPr>
      </w:pPr>
      <w:r>
        <w:rPr>
          <w:b/>
          <w:bCs/>
          <w:color w:val="auto"/>
        </w:rPr>
        <w:t>河南省人民政府</w:t>
      </w:r>
    </w:p>
    <w:p>
      <w:pPr>
        <w:jc w:val="center"/>
        <w:rPr>
          <w:b/>
          <w:bCs/>
          <w:color w:val="auto"/>
        </w:rPr>
      </w:pPr>
      <w:r>
        <w:rPr>
          <w:b/>
          <w:bCs/>
          <w:color w:val="auto"/>
        </w:rPr>
        <w:t>关于进一步促进小型微型企业健康发展的若干意见</w:t>
      </w:r>
    </w:p>
    <w:p>
      <w:pPr>
        <w:jc w:val="center"/>
        <w:rPr>
          <w:b/>
          <w:bCs/>
          <w:color w:val="auto"/>
        </w:rPr>
      </w:pPr>
      <w:r>
        <w:rPr>
          <w:b/>
          <w:bCs/>
          <w:color w:val="auto"/>
        </w:rPr>
        <w:t>豫政〔2012〕81 号</w:t>
      </w:r>
    </w:p>
    <w:p>
      <w:pPr>
        <w:jc w:val="both"/>
        <w:rPr>
          <w:b w:val="0"/>
          <w:bCs w:val="0"/>
          <w:color w:val="auto"/>
        </w:rPr>
      </w:pPr>
      <w:r>
        <w:rPr>
          <w:b w:val="0"/>
          <w:bCs w:val="0"/>
          <w:color w:val="auto"/>
        </w:rPr>
        <w:t>各省辖市、省直管试点县</w:t>
      </w:r>
      <w:r>
        <w:rPr>
          <w:rFonts w:hint="eastAsia"/>
          <w:b w:val="0"/>
          <w:bCs w:val="0"/>
          <w:color w:val="auto"/>
          <w:lang w:eastAsia="zh-CN"/>
        </w:rPr>
        <w:t>（</w:t>
      </w:r>
      <w:r>
        <w:rPr>
          <w:b w:val="0"/>
          <w:bCs w:val="0"/>
          <w:color w:val="auto"/>
        </w:rPr>
        <w:t>市</w:t>
      </w:r>
      <w:r>
        <w:rPr>
          <w:rFonts w:hint="eastAsia"/>
          <w:b w:val="0"/>
          <w:bCs w:val="0"/>
          <w:color w:val="auto"/>
          <w:lang w:eastAsia="zh-CN"/>
        </w:rPr>
        <w:t>）</w:t>
      </w:r>
      <w:r>
        <w:rPr>
          <w:b w:val="0"/>
          <w:bCs w:val="0"/>
          <w:color w:val="auto"/>
        </w:rPr>
        <w:t>人民政府,省人民政府各部门:</w:t>
      </w:r>
    </w:p>
    <w:p>
      <w:pPr>
        <w:ind w:firstLine="480" w:firstLineChars="200"/>
        <w:jc w:val="both"/>
        <w:rPr>
          <w:b w:val="0"/>
          <w:bCs w:val="0"/>
          <w:color w:val="auto"/>
        </w:rPr>
      </w:pPr>
      <w:r>
        <w:rPr>
          <w:b w:val="0"/>
          <w:bCs w:val="0"/>
          <w:color w:val="auto"/>
        </w:rPr>
        <w:t>为贯彻落实《国务院关于进一步支持小型微型企业健康发展的意见》</w:t>
      </w:r>
      <w:r>
        <w:rPr>
          <w:rFonts w:hint="eastAsia"/>
          <w:b w:val="0"/>
          <w:bCs w:val="0"/>
          <w:color w:val="auto"/>
          <w:lang w:eastAsia="zh-CN"/>
        </w:rPr>
        <w:t>（</w:t>
      </w:r>
      <w:r>
        <w:rPr>
          <w:b w:val="0"/>
          <w:bCs w:val="0"/>
          <w:color w:val="auto"/>
        </w:rPr>
        <w:t>国发〔2012〕14 号</w:t>
      </w:r>
      <w:r>
        <w:rPr>
          <w:rFonts w:hint="eastAsia"/>
          <w:b w:val="0"/>
          <w:bCs w:val="0"/>
          <w:color w:val="auto"/>
          <w:lang w:eastAsia="zh-CN"/>
        </w:rPr>
        <w:t>）</w:t>
      </w:r>
      <w:r>
        <w:rPr>
          <w:b w:val="0"/>
          <w:bCs w:val="0"/>
          <w:color w:val="auto"/>
        </w:rPr>
        <w:t>精神,破解小型微型企业发展难题,促进全省经济社会又好又快发展,结合我省实际,现就进一步促进小型微型企业健康发展提出如下意见,请认真贯彻落实。</w:t>
      </w:r>
    </w:p>
    <w:p>
      <w:pPr>
        <w:jc w:val="center"/>
        <w:rPr>
          <w:b/>
          <w:bCs/>
          <w:color w:val="auto"/>
        </w:rPr>
      </w:pPr>
      <w:r>
        <w:rPr>
          <w:b/>
          <w:bCs/>
          <w:color w:val="auto"/>
        </w:rPr>
        <w:t>河南省财政厅 河南省工业和信息化厅</w:t>
      </w:r>
    </w:p>
    <w:p>
      <w:pPr>
        <w:jc w:val="center"/>
        <w:rPr>
          <w:b/>
          <w:bCs/>
          <w:color w:val="auto"/>
        </w:rPr>
      </w:pPr>
      <w:r>
        <w:rPr>
          <w:rFonts w:ascii="宋体" w:hAnsi="宋体" w:eastAsia="仿宋" w:cs="宋体"/>
          <w:b/>
          <w:bCs/>
          <w:color w:val="auto"/>
          <w:sz w:val="24"/>
          <w:szCs w:val="22"/>
          <w:lang w:val="zh-CN" w:eastAsia="zh-CN" w:bidi="zh-CN"/>
        </w:rPr>
        <mc:AlternateContent>
          <mc:Choice Requires="wps">
            <w:drawing>
              <wp:anchor distT="0" distB="0" distL="114300" distR="114300" simplePos="0" relativeHeight="251661312" behindDoc="0" locked="0" layoutInCell="1" allowOverlap="1">
                <wp:simplePos x="0" y="0"/>
                <wp:positionH relativeFrom="page">
                  <wp:posOffset>631825</wp:posOffset>
                </wp:positionH>
                <wp:positionV relativeFrom="paragraph">
                  <wp:posOffset>645160</wp:posOffset>
                </wp:positionV>
                <wp:extent cx="6300470" cy="5434330"/>
                <wp:effectExtent l="0" t="0" r="0" b="0"/>
                <wp:wrapNone/>
                <wp:docPr id="7" name="文本框 50"/>
                <wp:cNvGraphicFramePr/>
                <a:graphic xmlns:a="http://schemas.openxmlformats.org/drawingml/2006/main">
                  <a:graphicData uri="http://schemas.microsoft.com/office/word/2010/wordprocessingShape">
                    <wps:wsp>
                      <wps:cNvSpPr/>
                      <wps:spPr>
                        <a:xfrm>
                          <a:off x="0" y="0"/>
                          <a:ext cx="6300470" cy="5434330"/>
                        </a:xfrm>
                        <a:prstGeom prst="rect">
                          <a:avLst/>
                        </a:prstGeom>
                        <a:noFill/>
                        <a:ln>
                          <a:noFill/>
                        </a:ln>
                      </wps:spPr>
                      <wps:txbx>
                        <w:txbxContent>
                          <w:p>
                            <w:pPr>
                              <w:pStyle w:val="3"/>
                              <w:ind w:left="0"/>
                            </w:pPr>
                          </w:p>
                        </w:txbxContent>
                      </wps:txbx>
                      <wps:bodyPr lIns="0" tIns="0" rIns="0" bIns="0" upright="1"/>
                    </wps:wsp>
                  </a:graphicData>
                </a:graphic>
              </wp:anchor>
            </w:drawing>
          </mc:Choice>
          <mc:Fallback>
            <w:pict>
              <v:rect id="文本框 50" o:spid="_x0000_s1026" o:spt="1" style="position:absolute;left:0pt;margin-left:49.75pt;margin-top:50.8pt;height:427.9pt;width:496.1pt;mso-position-horizontal-relative:page;z-index:251661312;mso-width-relative:page;mso-height-relative:page;" filled="f" stroked="f" coordsize="21600,21600" o:gfxdata="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RNJ7B2gAAAAsBAAAPAAAAAAAAAAEAIAAAACIAAABkcnMvZG93bnJldi54bWxQSwECFAAU&#10;AAAACACHTuJA9tkFU7YBAABqAwAADgAAAAAAAAABACAAAAApAQAAZHJzL2Uyb0RvYy54bWxQSwUG&#10;AAAAAAYABgBZAQAAUQUAAAAA&#10;">
                <v:fill on="f" focussize="0,0"/>
                <v:stroke on="f"/>
                <v:imagedata o:title=""/>
                <o:lock v:ext="edit" aspectratio="f"/>
                <v:textbox inset="0mm,0mm,0mm,0mm">
                  <w:txbxContent>
                    <w:p>
                      <w:pPr>
                        <w:pStyle w:val="3"/>
                        <w:ind w:left="0"/>
                      </w:pPr>
                    </w:p>
                  </w:txbxContent>
                </v:textbox>
              </v:rect>
            </w:pict>
          </mc:Fallback>
        </mc:AlternateContent>
      </w:r>
      <w:r>
        <w:rPr>
          <w:b/>
          <w:bCs/>
          <w:color w:val="auto"/>
        </w:rPr>
        <w:t xml:space="preserve">《关于政府采购促进小型微型企业发展的实施意见》（豫财购[2013]14 号） </w:t>
      </w:r>
    </w:p>
    <w:tbl>
      <w:tblPr>
        <w:tblStyle w:val="19"/>
        <w:tblpPr w:leftFromText="180" w:rightFromText="180" w:vertAnchor="text" w:horzAnchor="page" w:tblpX="981" w:tblpY="696"/>
        <w:tblOverlap w:val="never"/>
        <w:tblW w:w="48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7"/>
        <w:gridCol w:w="1457"/>
        <w:gridCol w:w="846"/>
        <w:gridCol w:w="846"/>
        <w:gridCol w:w="850"/>
        <w:gridCol w:w="846"/>
        <w:gridCol w:w="846"/>
        <w:gridCol w:w="750"/>
        <w:gridCol w:w="846"/>
        <w:gridCol w:w="848"/>
        <w:gridCol w:w="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81" w:type="pct"/>
            <w:vMerge w:val="restart"/>
            <w:vAlign w:val="top"/>
          </w:tcPr>
          <w:p>
            <w:pPr>
              <w:pStyle w:val="46"/>
              <w:spacing w:before="79"/>
              <w:ind w:left="96" w:right="88"/>
              <w:jc w:val="center"/>
              <w:rPr>
                <w:b/>
                <w:color w:val="auto"/>
                <w:sz w:val="24"/>
              </w:rPr>
            </w:pPr>
            <w:r>
              <w:rPr>
                <w:b/>
                <w:color w:val="auto"/>
                <w:sz w:val="24"/>
              </w:rPr>
              <w:t>行业类</w:t>
            </w:r>
          </w:p>
          <w:p>
            <w:pPr>
              <w:pStyle w:val="46"/>
              <w:spacing w:before="160"/>
              <w:ind w:left="12"/>
              <w:jc w:val="center"/>
              <w:rPr>
                <w:b/>
                <w:color w:val="auto"/>
                <w:sz w:val="24"/>
              </w:rPr>
            </w:pPr>
            <w:r>
              <w:rPr>
                <w:b/>
                <w:color w:val="auto"/>
                <w:w w:val="99"/>
                <w:sz w:val="24"/>
              </w:rPr>
              <w:t>型</w:t>
            </w:r>
          </w:p>
        </w:tc>
        <w:tc>
          <w:tcPr>
            <w:tcW w:w="732" w:type="pct"/>
            <w:vMerge w:val="restart"/>
            <w:vAlign w:val="top"/>
          </w:tcPr>
          <w:p>
            <w:pPr>
              <w:pStyle w:val="46"/>
              <w:spacing w:before="79"/>
              <w:ind w:left="101" w:right="95"/>
              <w:jc w:val="center"/>
              <w:rPr>
                <w:b/>
                <w:color w:val="auto"/>
                <w:sz w:val="24"/>
              </w:rPr>
            </w:pPr>
            <w:r>
              <w:rPr>
                <w:b/>
                <w:color w:val="auto"/>
                <w:sz w:val="24"/>
              </w:rPr>
              <w:t>中小微型企</w:t>
            </w:r>
          </w:p>
          <w:p>
            <w:pPr>
              <w:pStyle w:val="46"/>
              <w:spacing w:before="160"/>
              <w:ind w:left="7"/>
              <w:jc w:val="center"/>
              <w:rPr>
                <w:b/>
                <w:color w:val="auto"/>
                <w:sz w:val="24"/>
              </w:rPr>
            </w:pPr>
            <w:r>
              <w:rPr>
                <w:b/>
                <w:color w:val="auto"/>
                <w:w w:val="99"/>
                <w:sz w:val="24"/>
              </w:rPr>
              <w:t>业</w:t>
            </w:r>
          </w:p>
        </w:tc>
        <w:tc>
          <w:tcPr>
            <w:tcW w:w="1277" w:type="pct"/>
            <w:gridSpan w:val="3"/>
            <w:vAlign w:val="top"/>
          </w:tcPr>
          <w:p>
            <w:pPr>
              <w:pStyle w:val="46"/>
              <w:spacing w:before="79"/>
              <w:ind w:left="782"/>
              <w:rPr>
                <w:b/>
                <w:color w:val="auto"/>
                <w:sz w:val="24"/>
              </w:rPr>
            </w:pPr>
            <w:r>
              <w:rPr>
                <w:b/>
                <w:color w:val="auto"/>
                <w:sz w:val="24"/>
              </w:rPr>
              <w:t>营业收入</w:t>
            </w:r>
          </w:p>
        </w:tc>
        <w:tc>
          <w:tcPr>
            <w:tcW w:w="1227" w:type="pct"/>
            <w:gridSpan w:val="3"/>
            <w:vAlign w:val="top"/>
          </w:tcPr>
          <w:p>
            <w:pPr>
              <w:pStyle w:val="46"/>
              <w:spacing w:before="79"/>
              <w:ind w:left="733"/>
              <w:rPr>
                <w:b/>
                <w:color w:val="auto"/>
                <w:sz w:val="24"/>
              </w:rPr>
            </w:pPr>
            <w:r>
              <w:rPr>
                <w:b/>
                <w:color w:val="auto"/>
                <w:sz w:val="24"/>
              </w:rPr>
              <w:t>从业人员</w:t>
            </w:r>
          </w:p>
        </w:tc>
        <w:tc>
          <w:tcPr>
            <w:tcW w:w="1280" w:type="pct"/>
            <w:gridSpan w:val="3"/>
            <w:vAlign w:val="top"/>
          </w:tcPr>
          <w:p>
            <w:pPr>
              <w:pStyle w:val="46"/>
              <w:spacing w:before="79"/>
              <w:ind w:left="783"/>
              <w:rPr>
                <w:b/>
                <w:color w:val="auto"/>
                <w:sz w:val="24"/>
              </w:rPr>
            </w:pPr>
            <w:r>
              <w:rPr>
                <w:b/>
                <w:color w:val="auto"/>
                <w:sz w:val="24"/>
              </w:rPr>
              <w:t>资产总额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481" w:type="pct"/>
            <w:vMerge w:val="continue"/>
            <w:tcBorders>
              <w:top w:val="nil"/>
            </w:tcBorders>
            <w:vAlign w:val="top"/>
          </w:tcPr>
          <w:p>
            <w:pPr>
              <w:rPr>
                <w:color w:val="auto"/>
                <w:sz w:val="2"/>
                <w:szCs w:val="2"/>
              </w:rPr>
            </w:pPr>
          </w:p>
        </w:tc>
        <w:tc>
          <w:tcPr>
            <w:tcW w:w="732" w:type="pct"/>
            <w:vMerge w:val="continue"/>
            <w:tcBorders>
              <w:top w:val="nil"/>
            </w:tcBorders>
            <w:vAlign w:val="top"/>
          </w:tcPr>
          <w:p>
            <w:pPr>
              <w:rPr>
                <w:color w:val="auto"/>
                <w:sz w:val="2"/>
                <w:szCs w:val="2"/>
              </w:rPr>
            </w:pPr>
          </w:p>
        </w:tc>
        <w:tc>
          <w:tcPr>
            <w:tcW w:w="425" w:type="pct"/>
            <w:vAlign w:val="top"/>
          </w:tcPr>
          <w:p>
            <w:pPr>
              <w:pStyle w:val="46"/>
              <w:spacing w:before="79"/>
              <w:ind w:left="10"/>
              <w:jc w:val="center"/>
              <w:rPr>
                <w:b/>
                <w:color w:val="auto"/>
                <w:sz w:val="24"/>
              </w:rPr>
            </w:pPr>
            <w:r>
              <w:rPr>
                <w:b/>
                <w:color w:val="auto"/>
                <w:w w:val="99"/>
                <w:sz w:val="24"/>
              </w:rPr>
              <w:t>中</w:t>
            </w:r>
          </w:p>
        </w:tc>
        <w:tc>
          <w:tcPr>
            <w:tcW w:w="425" w:type="pct"/>
            <w:vAlign w:val="top"/>
          </w:tcPr>
          <w:p>
            <w:pPr>
              <w:pStyle w:val="46"/>
              <w:spacing w:before="79"/>
              <w:ind w:left="11"/>
              <w:jc w:val="center"/>
              <w:rPr>
                <w:b/>
                <w:color w:val="auto"/>
                <w:sz w:val="24"/>
              </w:rPr>
            </w:pPr>
            <w:r>
              <w:rPr>
                <w:b/>
                <w:color w:val="auto"/>
                <w:w w:val="99"/>
                <w:sz w:val="24"/>
              </w:rPr>
              <w:t>小</w:t>
            </w:r>
          </w:p>
        </w:tc>
        <w:tc>
          <w:tcPr>
            <w:tcW w:w="427" w:type="pct"/>
            <w:vAlign w:val="top"/>
          </w:tcPr>
          <w:p>
            <w:pPr>
              <w:pStyle w:val="46"/>
              <w:spacing w:before="79"/>
              <w:ind w:left="14"/>
              <w:jc w:val="center"/>
              <w:rPr>
                <w:b/>
                <w:color w:val="auto"/>
                <w:sz w:val="24"/>
              </w:rPr>
            </w:pPr>
            <w:r>
              <w:rPr>
                <w:b/>
                <w:color w:val="auto"/>
                <w:w w:val="99"/>
                <w:sz w:val="24"/>
              </w:rPr>
              <w:t>微</w:t>
            </w:r>
          </w:p>
        </w:tc>
        <w:tc>
          <w:tcPr>
            <w:tcW w:w="425" w:type="pct"/>
            <w:vAlign w:val="top"/>
          </w:tcPr>
          <w:p>
            <w:pPr>
              <w:pStyle w:val="46"/>
              <w:spacing w:before="79"/>
              <w:ind w:left="13"/>
              <w:jc w:val="center"/>
              <w:rPr>
                <w:b/>
                <w:color w:val="auto"/>
                <w:sz w:val="24"/>
              </w:rPr>
            </w:pPr>
            <w:r>
              <w:rPr>
                <w:b/>
                <w:color w:val="auto"/>
                <w:w w:val="99"/>
                <w:sz w:val="24"/>
              </w:rPr>
              <w:t>中</w:t>
            </w:r>
          </w:p>
        </w:tc>
        <w:tc>
          <w:tcPr>
            <w:tcW w:w="425" w:type="pct"/>
            <w:vAlign w:val="top"/>
          </w:tcPr>
          <w:p>
            <w:pPr>
              <w:pStyle w:val="46"/>
              <w:spacing w:before="79"/>
              <w:ind w:left="13"/>
              <w:jc w:val="center"/>
              <w:rPr>
                <w:b/>
                <w:color w:val="auto"/>
                <w:sz w:val="24"/>
              </w:rPr>
            </w:pPr>
            <w:r>
              <w:rPr>
                <w:b/>
                <w:color w:val="auto"/>
                <w:w w:val="99"/>
                <w:sz w:val="24"/>
              </w:rPr>
              <w:t>小</w:t>
            </w:r>
          </w:p>
        </w:tc>
        <w:tc>
          <w:tcPr>
            <w:tcW w:w="377" w:type="pct"/>
            <w:vAlign w:val="top"/>
          </w:tcPr>
          <w:p>
            <w:pPr>
              <w:pStyle w:val="46"/>
              <w:spacing w:before="79"/>
              <w:ind w:left="250"/>
              <w:rPr>
                <w:b/>
                <w:color w:val="auto"/>
                <w:sz w:val="24"/>
              </w:rPr>
            </w:pPr>
            <w:r>
              <w:rPr>
                <w:b/>
                <w:color w:val="auto"/>
                <w:w w:val="99"/>
                <w:sz w:val="24"/>
              </w:rPr>
              <w:t>微</w:t>
            </w:r>
          </w:p>
        </w:tc>
        <w:tc>
          <w:tcPr>
            <w:tcW w:w="425" w:type="pct"/>
            <w:vAlign w:val="top"/>
          </w:tcPr>
          <w:p>
            <w:pPr>
              <w:pStyle w:val="46"/>
              <w:spacing w:before="79"/>
              <w:ind w:left="10"/>
              <w:jc w:val="center"/>
              <w:rPr>
                <w:b/>
                <w:color w:val="auto"/>
                <w:sz w:val="24"/>
              </w:rPr>
            </w:pPr>
            <w:r>
              <w:rPr>
                <w:b/>
                <w:color w:val="auto"/>
                <w:w w:val="99"/>
                <w:sz w:val="24"/>
              </w:rPr>
              <w:t>中</w:t>
            </w:r>
          </w:p>
        </w:tc>
        <w:tc>
          <w:tcPr>
            <w:tcW w:w="426" w:type="pct"/>
            <w:vAlign w:val="top"/>
          </w:tcPr>
          <w:p>
            <w:pPr>
              <w:pStyle w:val="46"/>
              <w:spacing w:before="79"/>
              <w:ind w:left="11"/>
              <w:jc w:val="center"/>
              <w:rPr>
                <w:b/>
                <w:color w:val="auto"/>
                <w:sz w:val="24"/>
              </w:rPr>
            </w:pPr>
            <w:r>
              <w:rPr>
                <w:b/>
                <w:color w:val="auto"/>
                <w:w w:val="99"/>
                <w:sz w:val="24"/>
              </w:rPr>
              <w:t>小</w:t>
            </w:r>
          </w:p>
        </w:tc>
        <w:tc>
          <w:tcPr>
            <w:tcW w:w="429" w:type="pct"/>
            <w:vAlign w:val="top"/>
          </w:tcPr>
          <w:p>
            <w:pPr>
              <w:pStyle w:val="46"/>
              <w:spacing w:before="79"/>
              <w:ind w:left="11"/>
              <w:jc w:val="center"/>
              <w:rPr>
                <w:b/>
                <w:color w:val="auto"/>
                <w:sz w:val="24"/>
              </w:rPr>
            </w:pPr>
            <w:r>
              <w:rPr>
                <w:b/>
                <w:color w:val="auto"/>
                <w:w w:val="99"/>
                <w:sz w:val="24"/>
              </w:rPr>
              <w:t>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spacing w:before="156" w:line="242" w:lineRule="auto"/>
              <w:ind w:left="107" w:right="-29"/>
              <w:jc w:val="center"/>
              <w:rPr>
                <w:color w:val="auto"/>
                <w:sz w:val="24"/>
              </w:rPr>
            </w:pPr>
            <w:r>
              <w:rPr>
                <w:color w:val="auto"/>
                <w:spacing w:val="-28"/>
                <w:sz w:val="24"/>
              </w:rPr>
              <w:t>农、林、</w:t>
            </w:r>
            <w:r>
              <w:rPr>
                <w:color w:val="auto"/>
                <w:sz w:val="24"/>
              </w:rPr>
              <w:t>牧、渔业</w:t>
            </w:r>
          </w:p>
        </w:tc>
        <w:tc>
          <w:tcPr>
            <w:tcW w:w="732" w:type="pct"/>
            <w:vAlign w:val="top"/>
          </w:tcPr>
          <w:p>
            <w:pPr>
              <w:pStyle w:val="46"/>
              <w:spacing w:line="242" w:lineRule="auto"/>
              <w:ind w:left="101" w:right="92"/>
              <w:jc w:val="center"/>
              <w:rPr>
                <w:color w:val="auto"/>
                <w:sz w:val="24"/>
              </w:rPr>
            </w:pPr>
            <w:r>
              <w:rPr>
                <w:color w:val="auto"/>
                <w:sz w:val="24"/>
              </w:rPr>
              <w:t>营业收入20000 万元</w:t>
            </w:r>
          </w:p>
          <w:p>
            <w:pPr>
              <w:pStyle w:val="46"/>
              <w:spacing w:before="3"/>
              <w:ind w:left="101" w:right="94"/>
              <w:jc w:val="center"/>
              <w:rPr>
                <w:color w:val="auto"/>
                <w:sz w:val="24"/>
              </w:rPr>
            </w:pPr>
            <w:r>
              <w:rPr>
                <w:color w:val="auto"/>
                <w:sz w:val="24"/>
              </w:rPr>
              <w:t>以下</w:t>
            </w:r>
          </w:p>
        </w:tc>
        <w:tc>
          <w:tcPr>
            <w:tcW w:w="425" w:type="pct"/>
            <w:vAlign w:val="top"/>
          </w:tcPr>
          <w:p>
            <w:pPr>
              <w:pStyle w:val="46"/>
              <w:ind w:left="107"/>
              <w:rPr>
                <w:color w:val="auto"/>
                <w:sz w:val="24"/>
              </w:rPr>
            </w:pPr>
            <w:r>
              <w:rPr>
                <w:color w:val="auto"/>
                <w:sz w:val="24"/>
              </w:rPr>
              <w:t>500</w:t>
            </w:r>
          </w:p>
          <w:p>
            <w:pPr>
              <w:pStyle w:val="46"/>
              <w:spacing w:before="4"/>
              <w:ind w:left="107"/>
              <w:rPr>
                <w:color w:val="auto"/>
                <w:sz w:val="24"/>
              </w:rPr>
            </w:pPr>
            <w:r>
              <w:rPr>
                <w:color w:val="auto"/>
                <w:sz w:val="24"/>
              </w:rPr>
              <w:t>万 元</w:t>
            </w:r>
          </w:p>
          <w:p>
            <w:pPr>
              <w:pStyle w:val="46"/>
              <w:spacing w:before="2" w:line="310" w:lineRule="atLeast"/>
              <w:ind w:left="107" w:right="96"/>
              <w:rPr>
                <w:color w:val="auto"/>
                <w:sz w:val="24"/>
              </w:rPr>
            </w:pPr>
            <w:r>
              <w:rPr>
                <w:color w:val="auto"/>
                <w:sz w:val="24"/>
              </w:rPr>
              <w:t>及 以上</w:t>
            </w:r>
          </w:p>
        </w:tc>
        <w:tc>
          <w:tcPr>
            <w:tcW w:w="425" w:type="pct"/>
            <w:vAlign w:val="top"/>
          </w:tcPr>
          <w:p>
            <w:pPr>
              <w:pStyle w:val="46"/>
              <w:spacing w:line="242" w:lineRule="auto"/>
              <w:ind w:left="182" w:right="109" w:hanging="60"/>
              <w:jc w:val="both"/>
              <w:rPr>
                <w:color w:val="auto"/>
                <w:sz w:val="24"/>
              </w:rPr>
            </w:pPr>
            <w:r>
              <w:rPr>
                <w:color w:val="auto"/>
                <w:sz w:val="24"/>
              </w:rPr>
              <w:t>50 万元及以上</w:t>
            </w:r>
          </w:p>
        </w:tc>
        <w:tc>
          <w:tcPr>
            <w:tcW w:w="427" w:type="pct"/>
            <w:vAlign w:val="top"/>
          </w:tcPr>
          <w:p>
            <w:pPr>
              <w:pStyle w:val="46"/>
              <w:spacing w:line="242" w:lineRule="auto"/>
              <w:ind w:left="183" w:right="106" w:hanging="60"/>
              <w:jc w:val="both"/>
              <w:rPr>
                <w:color w:val="auto"/>
                <w:sz w:val="24"/>
              </w:rPr>
            </w:pPr>
            <w:r>
              <w:rPr>
                <w:color w:val="auto"/>
                <w:sz w:val="24"/>
              </w:rPr>
              <w:t>50 万元以下</w:t>
            </w:r>
          </w:p>
        </w:tc>
        <w:tc>
          <w:tcPr>
            <w:tcW w:w="425"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377"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rPr>
                <w:b/>
                <w:color w:val="auto"/>
                <w:sz w:val="24"/>
              </w:rPr>
            </w:pPr>
          </w:p>
          <w:p>
            <w:pPr>
              <w:pStyle w:val="46"/>
              <w:spacing w:before="160"/>
              <w:ind w:left="96" w:right="84"/>
              <w:jc w:val="center"/>
              <w:rPr>
                <w:color w:val="auto"/>
                <w:sz w:val="24"/>
              </w:rPr>
            </w:pPr>
            <w:r>
              <w:rPr>
                <w:color w:val="auto"/>
                <w:sz w:val="24"/>
              </w:rPr>
              <w:t>工业</w:t>
            </w:r>
          </w:p>
        </w:tc>
        <w:tc>
          <w:tcPr>
            <w:tcW w:w="732" w:type="pct"/>
            <w:vAlign w:val="top"/>
          </w:tcPr>
          <w:p>
            <w:pPr>
              <w:pStyle w:val="46"/>
              <w:spacing w:line="242" w:lineRule="auto"/>
              <w:ind w:left="124" w:right="115" w:firstLine="60"/>
              <w:jc w:val="both"/>
              <w:rPr>
                <w:color w:val="auto"/>
                <w:sz w:val="24"/>
              </w:rPr>
            </w:pPr>
            <w:r>
              <w:rPr>
                <w:color w:val="auto"/>
                <w:sz w:val="24"/>
              </w:rPr>
              <w:t>1000 人以</w:t>
            </w:r>
            <w:r>
              <w:rPr>
                <w:color w:val="auto"/>
                <w:spacing w:val="-4"/>
                <w:sz w:val="24"/>
              </w:rPr>
              <w:t>下或营业收</w:t>
            </w:r>
            <w:r>
              <w:rPr>
                <w:color w:val="auto"/>
                <w:sz w:val="24"/>
              </w:rPr>
              <w:t>入 40000</w:t>
            </w:r>
          </w:p>
          <w:p>
            <w:pPr>
              <w:pStyle w:val="46"/>
              <w:spacing w:before="4" w:line="292" w:lineRule="exact"/>
              <w:ind w:left="244"/>
              <w:rPr>
                <w:color w:val="auto"/>
                <w:sz w:val="24"/>
              </w:rPr>
            </w:pPr>
            <w:r>
              <w:rPr>
                <w:color w:val="auto"/>
                <w:sz w:val="24"/>
              </w:rPr>
              <w:t>万元以下</w:t>
            </w:r>
          </w:p>
        </w:tc>
        <w:tc>
          <w:tcPr>
            <w:tcW w:w="425" w:type="pct"/>
            <w:vAlign w:val="top"/>
          </w:tcPr>
          <w:p>
            <w:pPr>
              <w:pStyle w:val="46"/>
              <w:spacing w:line="307" w:lineRule="exact"/>
              <w:ind w:left="182"/>
              <w:rPr>
                <w:color w:val="auto"/>
                <w:sz w:val="24"/>
              </w:rPr>
            </w:pPr>
            <w:r>
              <w:rPr>
                <w:color w:val="auto"/>
                <w:sz w:val="24"/>
              </w:rPr>
              <w:t>2000</w:t>
            </w:r>
          </w:p>
          <w:p>
            <w:pPr>
              <w:pStyle w:val="46"/>
              <w:spacing w:before="2" w:line="310" w:lineRule="atLeast"/>
              <w:ind w:left="182" w:right="170"/>
              <w:jc w:val="both"/>
              <w:rPr>
                <w:color w:val="auto"/>
                <w:sz w:val="24"/>
              </w:rPr>
            </w:pPr>
            <w:r>
              <w:rPr>
                <w:color w:val="auto"/>
                <w:sz w:val="24"/>
              </w:rPr>
              <w:t>万元及以上</w:t>
            </w:r>
          </w:p>
        </w:tc>
        <w:tc>
          <w:tcPr>
            <w:tcW w:w="425" w:type="pct"/>
            <w:vAlign w:val="top"/>
          </w:tcPr>
          <w:p>
            <w:pPr>
              <w:pStyle w:val="46"/>
              <w:spacing w:line="307" w:lineRule="exact"/>
              <w:ind w:left="242"/>
              <w:rPr>
                <w:color w:val="auto"/>
                <w:sz w:val="24"/>
              </w:rPr>
            </w:pPr>
            <w:r>
              <w:rPr>
                <w:color w:val="auto"/>
                <w:sz w:val="24"/>
              </w:rPr>
              <w:t>300</w:t>
            </w:r>
          </w:p>
          <w:p>
            <w:pPr>
              <w:pStyle w:val="46"/>
              <w:spacing w:before="2" w:line="310" w:lineRule="atLeast"/>
              <w:ind w:left="182" w:right="169"/>
              <w:jc w:val="both"/>
              <w:rPr>
                <w:color w:val="auto"/>
                <w:sz w:val="24"/>
              </w:rPr>
            </w:pPr>
            <w:r>
              <w:rPr>
                <w:color w:val="auto"/>
                <w:sz w:val="24"/>
              </w:rPr>
              <w:t>万元及以上</w:t>
            </w:r>
          </w:p>
        </w:tc>
        <w:tc>
          <w:tcPr>
            <w:tcW w:w="427" w:type="pct"/>
            <w:vAlign w:val="top"/>
          </w:tcPr>
          <w:p>
            <w:pPr>
              <w:pStyle w:val="46"/>
              <w:spacing w:line="307" w:lineRule="exact"/>
              <w:ind w:left="243"/>
              <w:rPr>
                <w:color w:val="auto"/>
                <w:sz w:val="24"/>
              </w:rPr>
            </w:pPr>
            <w:r>
              <w:rPr>
                <w:color w:val="auto"/>
                <w:sz w:val="24"/>
              </w:rPr>
              <w:t>300</w:t>
            </w:r>
          </w:p>
          <w:p>
            <w:pPr>
              <w:pStyle w:val="46"/>
              <w:spacing w:before="2" w:line="310" w:lineRule="atLeast"/>
              <w:ind w:left="183" w:right="166"/>
              <w:jc w:val="both"/>
              <w:rPr>
                <w:color w:val="auto"/>
                <w:sz w:val="24"/>
              </w:rPr>
            </w:pPr>
            <w:r>
              <w:rPr>
                <w:color w:val="auto"/>
                <w:sz w:val="24"/>
              </w:rPr>
              <w:t>万元及以上</w:t>
            </w:r>
          </w:p>
        </w:tc>
        <w:tc>
          <w:tcPr>
            <w:tcW w:w="425" w:type="pct"/>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425" w:type="pct"/>
            <w:vAlign w:val="top"/>
          </w:tcPr>
          <w:p>
            <w:pPr>
              <w:pStyle w:val="46"/>
              <w:spacing w:line="242" w:lineRule="auto"/>
              <w:ind w:left="183" w:right="110" w:hanging="60"/>
              <w:jc w:val="both"/>
              <w:rPr>
                <w:color w:val="auto"/>
                <w:sz w:val="24"/>
              </w:rPr>
            </w:pPr>
            <w:r>
              <w:rPr>
                <w:color w:val="auto"/>
                <w:sz w:val="24"/>
              </w:rPr>
              <w:t>20 人及以上</w:t>
            </w:r>
          </w:p>
        </w:tc>
        <w:tc>
          <w:tcPr>
            <w:tcW w:w="377" w:type="pct"/>
            <w:vAlign w:val="top"/>
          </w:tcPr>
          <w:p>
            <w:pPr>
              <w:pStyle w:val="46"/>
              <w:spacing w:line="307" w:lineRule="exact"/>
              <w:ind w:left="130" w:right="120"/>
              <w:jc w:val="center"/>
              <w:rPr>
                <w:color w:val="auto"/>
                <w:sz w:val="24"/>
              </w:rPr>
            </w:pPr>
            <w:r>
              <w:rPr>
                <w:color w:val="auto"/>
                <w:sz w:val="24"/>
              </w:rPr>
              <w:t>20</w:t>
            </w:r>
          </w:p>
          <w:p>
            <w:pPr>
              <w:pStyle w:val="46"/>
              <w:spacing w:before="4" w:line="242" w:lineRule="auto"/>
              <w:ind w:left="130" w:right="120"/>
              <w:jc w:val="center"/>
              <w:rPr>
                <w:color w:val="auto"/>
                <w:sz w:val="24"/>
              </w:rPr>
            </w:pPr>
            <w:r>
              <w:rPr>
                <w:color w:val="auto"/>
                <w:spacing w:val="-9"/>
                <w:sz w:val="24"/>
              </w:rPr>
              <w:t>人以</w:t>
            </w:r>
            <w:r>
              <w:rPr>
                <w:color w:val="auto"/>
                <w:sz w:val="24"/>
              </w:rPr>
              <w:t>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481" w:type="pct"/>
            <w:vAlign w:val="top"/>
          </w:tcPr>
          <w:p>
            <w:pPr>
              <w:pStyle w:val="46"/>
              <w:rPr>
                <w:b/>
                <w:color w:val="auto"/>
                <w:sz w:val="24"/>
              </w:rPr>
            </w:pPr>
          </w:p>
          <w:p>
            <w:pPr>
              <w:pStyle w:val="46"/>
              <w:spacing w:before="160"/>
              <w:ind w:left="96" w:right="85"/>
              <w:jc w:val="center"/>
              <w:rPr>
                <w:color w:val="auto"/>
                <w:sz w:val="24"/>
              </w:rPr>
            </w:pPr>
            <w:r>
              <w:rPr>
                <w:color w:val="auto"/>
                <w:sz w:val="24"/>
              </w:rPr>
              <w:t>建筑业</w:t>
            </w:r>
          </w:p>
        </w:tc>
        <w:tc>
          <w:tcPr>
            <w:tcW w:w="732" w:type="pct"/>
            <w:vAlign w:val="top"/>
          </w:tcPr>
          <w:p>
            <w:pPr>
              <w:pStyle w:val="46"/>
              <w:spacing w:line="307" w:lineRule="exact"/>
              <w:ind w:left="124"/>
              <w:rPr>
                <w:color w:val="auto"/>
                <w:sz w:val="24"/>
              </w:rPr>
            </w:pPr>
            <w:r>
              <w:rPr>
                <w:color w:val="auto"/>
                <w:sz w:val="24"/>
              </w:rPr>
              <w:t>收入 80000</w:t>
            </w:r>
          </w:p>
          <w:p>
            <w:pPr>
              <w:pStyle w:val="46"/>
              <w:spacing w:before="4" w:line="242" w:lineRule="auto"/>
              <w:ind w:left="244" w:right="115" w:hanging="120"/>
              <w:rPr>
                <w:color w:val="auto"/>
                <w:sz w:val="24"/>
              </w:rPr>
            </w:pPr>
            <w:r>
              <w:rPr>
                <w:color w:val="auto"/>
                <w:spacing w:val="-4"/>
                <w:sz w:val="24"/>
              </w:rPr>
              <w:t>万元以下或</w:t>
            </w:r>
            <w:r>
              <w:rPr>
                <w:color w:val="auto"/>
                <w:sz w:val="24"/>
              </w:rPr>
              <w:t>资产总额</w:t>
            </w:r>
          </w:p>
          <w:p>
            <w:pPr>
              <w:pStyle w:val="46"/>
              <w:spacing w:before="4" w:line="292" w:lineRule="exact"/>
              <w:ind w:left="124"/>
              <w:rPr>
                <w:color w:val="auto"/>
                <w:sz w:val="24"/>
              </w:rPr>
            </w:pPr>
            <w:r>
              <w:rPr>
                <w:color w:val="auto"/>
                <w:sz w:val="24"/>
              </w:rPr>
              <w:t>80000 万元</w:t>
            </w:r>
          </w:p>
        </w:tc>
        <w:tc>
          <w:tcPr>
            <w:tcW w:w="425" w:type="pct"/>
            <w:vAlign w:val="top"/>
          </w:tcPr>
          <w:p>
            <w:pPr>
              <w:pStyle w:val="46"/>
              <w:spacing w:line="307" w:lineRule="exact"/>
              <w:ind w:left="162" w:right="153"/>
              <w:jc w:val="center"/>
              <w:rPr>
                <w:color w:val="auto"/>
                <w:sz w:val="24"/>
              </w:rPr>
            </w:pPr>
            <w:r>
              <w:rPr>
                <w:color w:val="auto"/>
                <w:sz w:val="24"/>
              </w:rPr>
              <w:t>6000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425" w:type="pct"/>
            <w:vAlign w:val="top"/>
          </w:tcPr>
          <w:p>
            <w:pPr>
              <w:pStyle w:val="46"/>
              <w:spacing w:line="307" w:lineRule="exact"/>
              <w:ind w:left="180" w:right="169"/>
              <w:jc w:val="center"/>
              <w:rPr>
                <w:color w:val="auto"/>
                <w:sz w:val="24"/>
              </w:rPr>
            </w:pPr>
            <w:r>
              <w:rPr>
                <w:color w:val="auto"/>
                <w:sz w:val="24"/>
              </w:rPr>
              <w:t>300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427" w:type="pct"/>
            <w:vAlign w:val="top"/>
          </w:tcPr>
          <w:p>
            <w:pPr>
              <w:pStyle w:val="46"/>
              <w:spacing w:line="307" w:lineRule="exact"/>
              <w:ind w:left="180" w:right="166"/>
              <w:jc w:val="center"/>
              <w:rPr>
                <w:color w:val="auto"/>
                <w:sz w:val="24"/>
              </w:rPr>
            </w:pPr>
            <w:r>
              <w:rPr>
                <w:color w:val="auto"/>
                <w:sz w:val="24"/>
              </w:rPr>
              <w:t>300</w:t>
            </w:r>
          </w:p>
          <w:p>
            <w:pPr>
              <w:pStyle w:val="46"/>
              <w:spacing w:before="4" w:line="242" w:lineRule="auto"/>
              <w:ind w:left="183" w:right="166"/>
              <w:jc w:val="center"/>
              <w:rPr>
                <w:color w:val="auto"/>
                <w:sz w:val="24"/>
              </w:rPr>
            </w:pPr>
            <w:r>
              <w:rPr>
                <w:color w:val="auto"/>
                <w:spacing w:val="-9"/>
                <w:sz w:val="24"/>
              </w:rPr>
              <w:t>万元及以</w:t>
            </w:r>
          </w:p>
          <w:p>
            <w:pPr>
              <w:pStyle w:val="46"/>
              <w:spacing w:before="4" w:line="292" w:lineRule="exact"/>
              <w:ind w:left="14"/>
              <w:jc w:val="center"/>
              <w:rPr>
                <w:color w:val="auto"/>
                <w:sz w:val="24"/>
              </w:rPr>
            </w:pPr>
            <w:r>
              <w:rPr>
                <w:color w:val="auto"/>
                <w:sz w:val="24"/>
              </w:rPr>
              <w:t>下</w:t>
            </w:r>
          </w:p>
        </w:tc>
        <w:tc>
          <w:tcPr>
            <w:tcW w:w="425"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377" w:type="pct"/>
            <w:vAlign w:val="top"/>
          </w:tcPr>
          <w:p>
            <w:pPr>
              <w:pStyle w:val="46"/>
              <w:rPr>
                <w:rFonts w:ascii="Times New Roman"/>
                <w:color w:val="auto"/>
                <w:sz w:val="24"/>
              </w:rPr>
            </w:pPr>
          </w:p>
        </w:tc>
        <w:tc>
          <w:tcPr>
            <w:tcW w:w="425" w:type="pct"/>
            <w:vAlign w:val="top"/>
          </w:tcPr>
          <w:p>
            <w:pPr>
              <w:pStyle w:val="46"/>
              <w:spacing w:line="307" w:lineRule="exact"/>
              <w:ind w:left="161" w:right="151"/>
              <w:jc w:val="center"/>
              <w:rPr>
                <w:color w:val="auto"/>
                <w:sz w:val="24"/>
              </w:rPr>
            </w:pPr>
            <w:r>
              <w:rPr>
                <w:color w:val="auto"/>
                <w:sz w:val="24"/>
              </w:rPr>
              <w:t>5000</w:t>
            </w:r>
          </w:p>
          <w:p>
            <w:pPr>
              <w:pStyle w:val="46"/>
              <w:spacing w:before="4" w:line="242" w:lineRule="auto"/>
              <w:ind w:left="181" w:right="169"/>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426" w:type="pct"/>
            <w:vAlign w:val="top"/>
          </w:tcPr>
          <w:p>
            <w:pPr>
              <w:pStyle w:val="46"/>
              <w:spacing w:line="307" w:lineRule="exact"/>
              <w:ind w:left="162" w:right="151"/>
              <w:jc w:val="center"/>
              <w:rPr>
                <w:color w:val="auto"/>
                <w:sz w:val="24"/>
              </w:rPr>
            </w:pPr>
            <w:r>
              <w:rPr>
                <w:color w:val="auto"/>
                <w:sz w:val="24"/>
              </w:rPr>
              <w:t>300</w:t>
            </w:r>
          </w:p>
          <w:p>
            <w:pPr>
              <w:pStyle w:val="46"/>
              <w:spacing w:before="4" w:line="242" w:lineRule="auto"/>
              <w:ind w:left="183"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429" w:type="pct"/>
            <w:vAlign w:val="top"/>
          </w:tcPr>
          <w:p>
            <w:pPr>
              <w:pStyle w:val="46"/>
              <w:spacing w:line="307" w:lineRule="exact"/>
              <w:ind w:left="162" w:right="151"/>
              <w:jc w:val="center"/>
              <w:rPr>
                <w:color w:val="auto"/>
                <w:sz w:val="24"/>
              </w:rPr>
            </w:pPr>
            <w:r>
              <w:rPr>
                <w:color w:val="auto"/>
                <w:sz w:val="24"/>
              </w:rPr>
              <w:t>300</w:t>
            </w:r>
          </w:p>
          <w:p>
            <w:pPr>
              <w:pStyle w:val="46"/>
              <w:spacing w:before="4" w:line="242" w:lineRule="auto"/>
              <w:ind w:left="183"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481" w:type="pct"/>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批发业</w:t>
            </w:r>
          </w:p>
        </w:tc>
        <w:tc>
          <w:tcPr>
            <w:tcW w:w="732" w:type="pct"/>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业收入40000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425" w:type="pct"/>
            <w:vAlign w:val="top"/>
          </w:tcPr>
          <w:p>
            <w:pPr>
              <w:pStyle w:val="46"/>
              <w:spacing w:line="307" w:lineRule="exact"/>
              <w:ind w:left="182"/>
              <w:rPr>
                <w:color w:val="auto"/>
                <w:sz w:val="24"/>
              </w:rPr>
            </w:pPr>
            <w:r>
              <w:rPr>
                <w:color w:val="auto"/>
                <w:sz w:val="24"/>
              </w:rPr>
              <w:t>5000</w:t>
            </w:r>
          </w:p>
          <w:p>
            <w:pPr>
              <w:pStyle w:val="46"/>
              <w:spacing w:before="4" w:line="242" w:lineRule="auto"/>
              <w:ind w:left="182" w:right="170"/>
              <w:jc w:val="both"/>
              <w:rPr>
                <w:color w:val="auto"/>
                <w:sz w:val="24"/>
              </w:rPr>
            </w:pPr>
            <w:r>
              <w:rPr>
                <w:color w:val="auto"/>
                <w:sz w:val="24"/>
              </w:rPr>
              <w:t>万元及以上</w:t>
            </w:r>
          </w:p>
        </w:tc>
        <w:tc>
          <w:tcPr>
            <w:tcW w:w="425" w:type="pct"/>
            <w:vAlign w:val="top"/>
          </w:tcPr>
          <w:p>
            <w:pPr>
              <w:pStyle w:val="46"/>
              <w:spacing w:line="307" w:lineRule="exact"/>
              <w:ind w:left="182"/>
              <w:rPr>
                <w:color w:val="auto"/>
                <w:sz w:val="24"/>
              </w:rPr>
            </w:pPr>
            <w:r>
              <w:rPr>
                <w:color w:val="auto"/>
                <w:sz w:val="24"/>
              </w:rPr>
              <w:t>1000</w:t>
            </w:r>
          </w:p>
          <w:p>
            <w:pPr>
              <w:pStyle w:val="46"/>
              <w:spacing w:before="4" w:line="242" w:lineRule="auto"/>
              <w:ind w:left="182" w:right="169"/>
              <w:jc w:val="both"/>
              <w:rPr>
                <w:color w:val="auto"/>
                <w:sz w:val="24"/>
              </w:rPr>
            </w:pPr>
            <w:r>
              <w:rPr>
                <w:color w:val="auto"/>
                <w:sz w:val="24"/>
              </w:rPr>
              <w:t>万元及以上</w:t>
            </w:r>
          </w:p>
        </w:tc>
        <w:tc>
          <w:tcPr>
            <w:tcW w:w="427" w:type="pct"/>
            <w:vAlign w:val="top"/>
          </w:tcPr>
          <w:p>
            <w:pPr>
              <w:pStyle w:val="46"/>
              <w:spacing w:line="307" w:lineRule="exact"/>
              <w:ind w:left="183"/>
              <w:rPr>
                <w:color w:val="auto"/>
                <w:sz w:val="24"/>
              </w:rPr>
            </w:pPr>
            <w:r>
              <w:rPr>
                <w:color w:val="auto"/>
                <w:sz w:val="24"/>
              </w:rPr>
              <w:t>1000</w:t>
            </w:r>
          </w:p>
          <w:p>
            <w:pPr>
              <w:pStyle w:val="46"/>
              <w:spacing w:before="4" w:line="242" w:lineRule="auto"/>
              <w:ind w:left="183" w:right="166"/>
              <w:jc w:val="both"/>
              <w:rPr>
                <w:color w:val="auto"/>
                <w:sz w:val="24"/>
              </w:rPr>
            </w:pPr>
            <w:r>
              <w:rPr>
                <w:color w:val="auto"/>
                <w:sz w:val="24"/>
              </w:rPr>
              <w:t>万元及以下</w:t>
            </w:r>
          </w:p>
        </w:tc>
        <w:tc>
          <w:tcPr>
            <w:tcW w:w="425" w:type="pct"/>
            <w:vAlign w:val="top"/>
          </w:tcPr>
          <w:p>
            <w:pPr>
              <w:pStyle w:val="46"/>
              <w:spacing w:line="242" w:lineRule="auto"/>
              <w:ind w:left="184" w:right="108" w:hanging="60"/>
              <w:jc w:val="both"/>
              <w:rPr>
                <w:color w:val="auto"/>
                <w:sz w:val="24"/>
              </w:rPr>
            </w:pPr>
            <w:r>
              <w:rPr>
                <w:color w:val="auto"/>
                <w:sz w:val="24"/>
              </w:rPr>
              <w:t>20 人及以上</w:t>
            </w:r>
          </w:p>
        </w:tc>
        <w:tc>
          <w:tcPr>
            <w:tcW w:w="425" w:type="pct"/>
            <w:vAlign w:val="top"/>
          </w:tcPr>
          <w:p>
            <w:pPr>
              <w:pStyle w:val="46"/>
              <w:spacing w:line="242" w:lineRule="auto"/>
              <w:ind w:left="183" w:right="170" w:firstLine="28"/>
              <w:jc w:val="both"/>
              <w:rPr>
                <w:color w:val="auto"/>
                <w:sz w:val="24"/>
              </w:rPr>
            </w:pPr>
            <w:r>
              <w:rPr>
                <w:color w:val="auto"/>
                <w:sz w:val="24"/>
              </w:rPr>
              <w:t>5</w:t>
            </w:r>
            <w:r>
              <w:rPr>
                <w:color w:val="auto"/>
                <w:spacing w:val="-30"/>
                <w:sz w:val="24"/>
              </w:rPr>
              <w:t xml:space="preserve"> 人</w:t>
            </w:r>
            <w:r>
              <w:rPr>
                <w:color w:val="auto"/>
                <w:spacing w:val="-24"/>
                <w:sz w:val="24"/>
              </w:rPr>
              <w:t>及以</w:t>
            </w:r>
            <w:r>
              <w:rPr>
                <w:color w:val="auto"/>
                <w:sz w:val="24"/>
              </w:rPr>
              <w:t>上</w:t>
            </w:r>
          </w:p>
        </w:tc>
        <w:tc>
          <w:tcPr>
            <w:tcW w:w="377" w:type="pct"/>
            <w:vAlign w:val="top"/>
          </w:tcPr>
          <w:p>
            <w:pPr>
              <w:pStyle w:val="46"/>
              <w:spacing w:line="242" w:lineRule="auto"/>
              <w:ind w:left="130" w:right="120"/>
              <w:rPr>
                <w:color w:val="auto"/>
                <w:sz w:val="24"/>
              </w:rPr>
            </w:pPr>
            <w:r>
              <w:rPr>
                <w:color w:val="auto"/>
                <w:sz w:val="24"/>
              </w:rPr>
              <w:t>5 人以下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481" w:type="pct"/>
            <w:vAlign w:val="top"/>
          </w:tcPr>
          <w:p>
            <w:pPr>
              <w:pStyle w:val="46"/>
              <w:rPr>
                <w:b/>
                <w:color w:val="auto"/>
                <w:sz w:val="24"/>
              </w:rPr>
            </w:pPr>
          </w:p>
          <w:p>
            <w:pPr>
              <w:pStyle w:val="46"/>
              <w:spacing w:before="8"/>
              <w:rPr>
                <w:b/>
                <w:color w:val="auto"/>
                <w:sz w:val="24"/>
              </w:rPr>
            </w:pPr>
          </w:p>
          <w:p>
            <w:pPr>
              <w:pStyle w:val="46"/>
              <w:spacing w:before="1"/>
              <w:ind w:left="96" w:right="85"/>
              <w:jc w:val="center"/>
              <w:rPr>
                <w:color w:val="auto"/>
                <w:sz w:val="24"/>
              </w:rPr>
            </w:pPr>
            <w:r>
              <w:rPr>
                <w:color w:val="auto"/>
                <w:sz w:val="24"/>
              </w:rPr>
              <w:t>零售业</w:t>
            </w:r>
          </w:p>
        </w:tc>
        <w:tc>
          <w:tcPr>
            <w:tcW w:w="732" w:type="pct"/>
            <w:vAlign w:val="top"/>
          </w:tcPr>
          <w:p>
            <w:pPr>
              <w:pStyle w:val="46"/>
              <w:spacing w:line="242" w:lineRule="auto"/>
              <w:ind w:left="124" w:right="115"/>
              <w:jc w:val="center"/>
              <w:rPr>
                <w:color w:val="auto"/>
                <w:sz w:val="24"/>
              </w:rPr>
            </w:pPr>
            <w:r>
              <w:rPr>
                <w:color w:val="auto"/>
                <w:sz w:val="24"/>
              </w:rPr>
              <w:t xml:space="preserve">人员 300 </w:t>
            </w:r>
            <w:r>
              <w:rPr>
                <w:color w:val="auto"/>
                <w:spacing w:val="-4"/>
                <w:sz w:val="24"/>
              </w:rPr>
              <w:t>人以下或营</w:t>
            </w:r>
            <w:r>
              <w:rPr>
                <w:color w:val="auto"/>
                <w:sz w:val="24"/>
              </w:rPr>
              <w:t>业收入20000</w:t>
            </w:r>
            <w:r>
              <w:rPr>
                <w:color w:val="auto"/>
                <w:spacing w:val="-20"/>
                <w:sz w:val="24"/>
              </w:rPr>
              <w:t xml:space="preserve"> 万元</w:t>
            </w:r>
          </w:p>
          <w:p>
            <w:pPr>
              <w:pStyle w:val="46"/>
              <w:spacing w:before="6" w:line="292" w:lineRule="exact"/>
              <w:ind w:left="101" w:right="94"/>
              <w:jc w:val="center"/>
              <w:rPr>
                <w:color w:val="auto"/>
                <w:sz w:val="24"/>
              </w:rPr>
            </w:pPr>
            <w:r>
              <w:rPr>
                <w:color w:val="auto"/>
                <w:sz w:val="24"/>
              </w:rPr>
              <w:t>以下</w:t>
            </w:r>
          </w:p>
        </w:tc>
        <w:tc>
          <w:tcPr>
            <w:tcW w:w="425" w:type="pct"/>
            <w:vAlign w:val="top"/>
          </w:tcPr>
          <w:p>
            <w:pPr>
              <w:pStyle w:val="46"/>
              <w:ind w:left="242"/>
              <w:rPr>
                <w:color w:val="auto"/>
                <w:sz w:val="24"/>
              </w:rPr>
            </w:pPr>
            <w:r>
              <w:rPr>
                <w:color w:val="auto"/>
                <w:sz w:val="24"/>
              </w:rPr>
              <w:t>500</w:t>
            </w:r>
          </w:p>
          <w:p>
            <w:pPr>
              <w:pStyle w:val="46"/>
              <w:spacing w:before="4" w:line="242" w:lineRule="auto"/>
              <w:ind w:left="182" w:right="170"/>
              <w:jc w:val="both"/>
              <w:rPr>
                <w:color w:val="auto"/>
                <w:sz w:val="24"/>
              </w:rPr>
            </w:pPr>
            <w:r>
              <w:rPr>
                <w:color w:val="auto"/>
                <w:sz w:val="24"/>
              </w:rPr>
              <w:t>万元及以上</w:t>
            </w:r>
          </w:p>
        </w:tc>
        <w:tc>
          <w:tcPr>
            <w:tcW w:w="425" w:type="pct"/>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427" w:type="pct"/>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425" w:type="pct"/>
            <w:vAlign w:val="top"/>
          </w:tcPr>
          <w:p>
            <w:pPr>
              <w:pStyle w:val="46"/>
              <w:spacing w:line="242" w:lineRule="auto"/>
              <w:ind w:left="184" w:right="108" w:hanging="60"/>
              <w:jc w:val="both"/>
              <w:rPr>
                <w:color w:val="auto"/>
                <w:sz w:val="24"/>
              </w:rPr>
            </w:pPr>
            <w:r>
              <w:rPr>
                <w:color w:val="auto"/>
                <w:sz w:val="24"/>
              </w:rPr>
              <w:t>50 人及以上</w:t>
            </w:r>
          </w:p>
        </w:tc>
        <w:tc>
          <w:tcPr>
            <w:tcW w:w="425" w:type="pct"/>
            <w:vAlign w:val="top"/>
          </w:tcPr>
          <w:p>
            <w:pPr>
              <w:pStyle w:val="46"/>
              <w:spacing w:line="242" w:lineRule="auto"/>
              <w:ind w:left="183" w:right="110" w:hanging="60"/>
              <w:jc w:val="both"/>
              <w:rPr>
                <w:color w:val="auto"/>
                <w:sz w:val="24"/>
              </w:rPr>
            </w:pPr>
            <w:r>
              <w:rPr>
                <w:color w:val="auto"/>
                <w:sz w:val="24"/>
              </w:rPr>
              <w:t>10 人及以上</w:t>
            </w:r>
          </w:p>
        </w:tc>
        <w:tc>
          <w:tcPr>
            <w:tcW w:w="377" w:type="pct"/>
            <w:vAlign w:val="top"/>
          </w:tcPr>
          <w:p>
            <w:pPr>
              <w:pStyle w:val="46"/>
              <w:ind w:left="130" w:right="120"/>
              <w:jc w:val="center"/>
              <w:rPr>
                <w:color w:val="auto"/>
                <w:sz w:val="24"/>
              </w:rPr>
            </w:pPr>
            <w:r>
              <w:rPr>
                <w:color w:val="auto"/>
                <w:sz w:val="24"/>
              </w:rPr>
              <w:t>10</w:t>
            </w:r>
          </w:p>
          <w:p>
            <w:pPr>
              <w:pStyle w:val="46"/>
              <w:spacing w:before="4" w:line="242" w:lineRule="auto"/>
              <w:ind w:left="130" w:right="120"/>
              <w:jc w:val="center"/>
              <w:rPr>
                <w:color w:val="auto"/>
                <w:sz w:val="24"/>
              </w:rPr>
            </w:pPr>
            <w:r>
              <w:rPr>
                <w:color w:val="auto"/>
                <w:spacing w:val="-9"/>
                <w:sz w:val="24"/>
              </w:rPr>
              <w:t>人以</w:t>
            </w:r>
            <w:r>
              <w:rPr>
                <w:color w:val="auto"/>
                <w:sz w:val="24"/>
              </w:rPr>
              <w:t>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ind w:left="-240" w:leftChars="-100" w:right="118" w:rightChars="49" w:firstLine="240" w:firstLineChars="100"/>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481" w:type="pct"/>
            <w:vAlign w:val="top"/>
          </w:tcPr>
          <w:p>
            <w:pPr>
              <w:pStyle w:val="46"/>
              <w:spacing w:before="2"/>
              <w:ind w:left="96" w:right="85"/>
              <w:jc w:val="center"/>
              <w:rPr>
                <w:color w:val="auto"/>
                <w:sz w:val="24"/>
              </w:rPr>
            </w:pPr>
            <w:r>
              <w:rPr>
                <w:color w:val="auto"/>
                <w:sz w:val="24"/>
              </w:rPr>
              <w:t>交通运</w:t>
            </w:r>
          </w:p>
          <w:p>
            <w:pPr>
              <w:pStyle w:val="46"/>
              <w:spacing w:before="4" w:line="292" w:lineRule="exact"/>
              <w:ind w:left="96" w:right="84"/>
              <w:jc w:val="center"/>
              <w:rPr>
                <w:color w:val="auto"/>
                <w:sz w:val="24"/>
              </w:rPr>
            </w:pPr>
            <w:r>
              <w:rPr>
                <w:color w:val="auto"/>
                <w:sz w:val="24"/>
              </w:rPr>
              <w:t>输业</w:t>
            </w:r>
          </w:p>
        </w:tc>
        <w:tc>
          <w:tcPr>
            <w:tcW w:w="732" w:type="pct"/>
            <w:vAlign w:val="top"/>
          </w:tcPr>
          <w:p>
            <w:pPr>
              <w:pStyle w:val="46"/>
              <w:spacing w:before="2"/>
              <w:ind w:left="184"/>
              <w:rPr>
                <w:color w:val="auto"/>
                <w:sz w:val="24"/>
              </w:rPr>
            </w:pPr>
            <w:r>
              <w:rPr>
                <w:color w:val="auto"/>
                <w:sz w:val="24"/>
              </w:rPr>
              <w:t>人员 1000</w:t>
            </w:r>
          </w:p>
          <w:p>
            <w:pPr>
              <w:pStyle w:val="46"/>
              <w:spacing w:before="4" w:line="292" w:lineRule="exact"/>
              <w:ind w:left="124"/>
              <w:rPr>
                <w:color w:val="auto"/>
                <w:sz w:val="24"/>
              </w:rPr>
            </w:pPr>
            <w:r>
              <w:rPr>
                <w:color w:val="auto"/>
                <w:sz w:val="24"/>
              </w:rPr>
              <w:t>人以下或营</w:t>
            </w:r>
          </w:p>
        </w:tc>
        <w:tc>
          <w:tcPr>
            <w:tcW w:w="425" w:type="pct"/>
            <w:vAlign w:val="top"/>
          </w:tcPr>
          <w:p>
            <w:pPr>
              <w:pStyle w:val="46"/>
              <w:spacing w:before="2"/>
              <w:ind w:left="182"/>
              <w:rPr>
                <w:color w:val="auto"/>
                <w:sz w:val="24"/>
              </w:rPr>
            </w:pPr>
            <w:r>
              <w:rPr>
                <w:color w:val="auto"/>
                <w:sz w:val="24"/>
              </w:rPr>
              <w:t>3000</w:t>
            </w:r>
          </w:p>
          <w:p>
            <w:pPr>
              <w:pStyle w:val="46"/>
              <w:spacing w:before="4" w:line="292" w:lineRule="exact"/>
              <w:ind w:left="182"/>
              <w:rPr>
                <w:color w:val="auto"/>
                <w:sz w:val="24"/>
              </w:rPr>
            </w:pPr>
            <w:r>
              <w:rPr>
                <w:color w:val="auto"/>
                <w:sz w:val="24"/>
              </w:rPr>
              <w:t>万元</w:t>
            </w:r>
          </w:p>
        </w:tc>
        <w:tc>
          <w:tcPr>
            <w:tcW w:w="425" w:type="pct"/>
            <w:vAlign w:val="top"/>
          </w:tcPr>
          <w:p>
            <w:pPr>
              <w:pStyle w:val="46"/>
              <w:spacing w:before="2"/>
              <w:ind w:left="242"/>
              <w:rPr>
                <w:color w:val="auto"/>
                <w:sz w:val="24"/>
              </w:rPr>
            </w:pPr>
            <w:r>
              <w:rPr>
                <w:color w:val="auto"/>
                <w:sz w:val="24"/>
              </w:rPr>
              <w:t>200</w:t>
            </w:r>
          </w:p>
          <w:p>
            <w:pPr>
              <w:pStyle w:val="46"/>
              <w:spacing w:before="4" w:line="292" w:lineRule="exact"/>
              <w:ind w:left="182"/>
              <w:rPr>
                <w:color w:val="auto"/>
                <w:sz w:val="24"/>
              </w:rPr>
            </w:pPr>
            <w:r>
              <w:rPr>
                <w:color w:val="auto"/>
                <w:sz w:val="24"/>
              </w:rPr>
              <w:t>万元</w:t>
            </w:r>
          </w:p>
        </w:tc>
        <w:tc>
          <w:tcPr>
            <w:tcW w:w="427" w:type="pct"/>
            <w:vAlign w:val="top"/>
          </w:tcPr>
          <w:p>
            <w:pPr>
              <w:pStyle w:val="46"/>
              <w:spacing w:before="2"/>
              <w:ind w:left="243"/>
              <w:rPr>
                <w:color w:val="auto"/>
                <w:sz w:val="24"/>
              </w:rPr>
            </w:pPr>
            <w:r>
              <w:rPr>
                <w:color w:val="auto"/>
                <w:sz w:val="24"/>
              </w:rPr>
              <w:t>200</w:t>
            </w:r>
          </w:p>
          <w:p>
            <w:pPr>
              <w:pStyle w:val="46"/>
              <w:spacing w:before="4" w:line="292" w:lineRule="exact"/>
              <w:ind w:left="183"/>
              <w:rPr>
                <w:color w:val="auto"/>
                <w:sz w:val="24"/>
              </w:rPr>
            </w:pPr>
            <w:r>
              <w:rPr>
                <w:color w:val="auto"/>
                <w:sz w:val="24"/>
              </w:rPr>
              <w:t>万元</w:t>
            </w:r>
          </w:p>
        </w:tc>
        <w:tc>
          <w:tcPr>
            <w:tcW w:w="425" w:type="pct"/>
            <w:vAlign w:val="top"/>
          </w:tcPr>
          <w:p>
            <w:pPr>
              <w:pStyle w:val="46"/>
              <w:spacing w:before="2"/>
              <w:ind w:left="244"/>
              <w:rPr>
                <w:color w:val="auto"/>
                <w:sz w:val="24"/>
              </w:rPr>
            </w:pPr>
            <w:r>
              <w:rPr>
                <w:color w:val="auto"/>
                <w:sz w:val="24"/>
              </w:rPr>
              <w:t>300</w:t>
            </w:r>
          </w:p>
          <w:p>
            <w:pPr>
              <w:pStyle w:val="46"/>
              <w:spacing w:before="4" w:line="292" w:lineRule="exact"/>
              <w:ind w:left="184"/>
              <w:rPr>
                <w:color w:val="auto"/>
                <w:sz w:val="24"/>
              </w:rPr>
            </w:pPr>
            <w:r>
              <w:rPr>
                <w:color w:val="auto"/>
                <w:sz w:val="24"/>
              </w:rPr>
              <w:t>人及</w:t>
            </w:r>
          </w:p>
        </w:tc>
        <w:tc>
          <w:tcPr>
            <w:tcW w:w="425" w:type="pct"/>
            <w:vAlign w:val="top"/>
          </w:tcPr>
          <w:p>
            <w:pPr>
              <w:pStyle w:val="46"/>
              <w:spacing w:before="2"/>
              <w:ind w:left="152"/>
              <w:rPr>
                <w:color w:val="auto"/>
                <w:sz w:val="24"/>
              </w:rPr>
            </w:pPr>
            <w:r>
              <w:rPr>
                <w:color w:val="auto"/>
                <w:sz w:val="24"/>
              </w:rPr>
              <w:t>20</w:t>
            </w:r>
            <w:r>
              <w:rPr>
                <w:color w:val="auto"/>
                <w:spacing w:val="-30"/>
                <w:sz w:val="24"/>
              </w:rPr>
              <w:t xml:space="preserve"> 人</w:t>
            </w:r>
          </w:p>
          <w:p>
            <w:pPr>
              <w:pStyle w:val="46"/>
              <w:spacing w:before="4" w:line="292" w:lineRule="exact"/>
              <w:ind w:left="183"/>
              <w:rPr>
                <w:color w:val="auto"/>
                <w:sz w:val="24"/>
              </w:rPr>
            </w:pPr>
            <w:r>
              <w:rPr>
                <w:color w:val="auto"/>
                <w:sz w:val="24"/>
              </w:rPr>
              <w:t>及以</w:t>
            </w:r>
          </w:p>
        </w:tc>
        <w:tc>
          <w:tcPr>
            <w:tcW w:w="377" w:type="pct"/>
            <w:vAlign w:val="top"/>
          </w:tcPr>
          <w:p>
            <w:pPr>
              <w:pStyle w:val="46"/>
              <w:spacing w:before="2"/>
              <w:ind w:left="109"/>
              <w:rPr>
                <w:color w:val="auto"/>
                <w:sz w:val="24"/>
              </w:rPr>
            </w:pPr>
            <w:r>
              <w:rPr>
                <w:color w:val="auto"/>
                <w:sz w:val="24"/>
              </w:rPr>
              <w:t>20</w:t>
            </w:r>
            <w:r>
              <w:rPr>
                <w:color w:val="auto"/>
                <w:spacing w:val="-38"/>
                <w:sz w:val="24"/>
              </w:rPr>
              <w:t xml:space="preserve"> 人</w:t>
            </w:r>
          </w:p>
          <w:p>
            <w:pPr>
              <w:pStyle w:val="46"/>
              <w:spacing w:before="4" w:line="292" w:lineRule="exact"/>
              <w:ind w:left="130"/>
              <w:rPr>
                <w:color w:val="auto"/>
                <w:sz w:val="24"/>
              </w:rPr>
            </w:pPr>
            <w:r>
              <w:rPr>
                <w:color w:val="auto"/>
                <w:sz w:val="24"/>
              </w:rPr>
              <w:t>以下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bl>
    <w:p>
      <w:pPr>
        <w:jc w:val="center"/>
        <w:rPr>
          <w:b/>
          <w:bCs/>
          <w:color w:val="auto"/>
        </w:rPr>
      </w:pPr>
      <w:r>
        <w:rPr>
          <w:b/>
          <w:bCs/>
          <w:color w:val="auto"/>
        </w:rPr>
        <w:t>中小微企业划分标准表</w:t>
      </w:r>
      <w:r>
        <w:rPr>
          <w:b/>
          <w:bCs/>
          <w:color w:val="auto"/>
          <w:highlight w:val="none"/>
        </w:rPr>
        <w:t>（工信</w:t>
      </w:r>
      <w:r>
        <w:rPr>
          <w:b/>
          <w:bCs/>
          <w:color w:val="auto"/>
        </w:rPr>
        <w:t>部联企业〔2011〕300 号）</w:t>
      </w:r>
    </w:p>
    <w:p>
      <w:pPr>
        <w:jc w:val="center"/>
        <w:rPr>
          <w:color w:val="auto"/>
        </w:rPr>
        <w:sectPr>
          <w:pgSz w:w="11910" w:h="16840"/>
          <w:pgMar w:top="1380" w:right="880" w:bottom="1100" w:left="880" w:header="888" w:footer="910" w:gutter="0"/>
          <w:pgNumType w:fmt="decimal"/>
          <w:cols w:space="720" w:num="1"/>
        </w:sectPr>
      </w:pPr>
    </w:p>
    <w:tbl>
      <w:tblPr>
        <w:tblStyle w:val="19"/>
        <w:tblW w:w="9906"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1452"/>
        <w:gridCol w:w="845"/>
        <w:gridCol w:w="844"/>
        <w:gridCol w:w="842"/>
        <w:gridCol w:w="845"/>
        <w:gridCol w:w="845"/>
        <w:gridCol w:w="742"/>
        <w:gridCol w:w="843"/>
        <w:gridCol w:w="845"/>
        <w:gridCol w:w="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58" w:type="dxa"/>
            <w:vAlign w:val="top"/>
          </w:tcPr>
          <w:p>
            <w:pPr>
              <w:pStyle w:val="46"/>
              <w:rPr>
                <w:rFonts w:ascii="Times New Roman"/>
                <w:color w:val="auto"/>
                <w:sz w:val="24"/>
              </w:rPr>
            </w:pPr>
          </w:p>
        </w:tc>
        <w:tc>
          <w:tcPr>
            <w:tcW w:w="1452" w:type="dxa"/>
            <w:vAlign w:val="top"/>
          </w:tcPr>
          <w:p>
            <w:pPr>
              <w:pStyle w:val="46"/>
              <w:spacing w:line="242" w:lineRule="auto"/>
              <w:ind w:left="101" w:right="92"/>
              <w:jc w:val="center"/>
              <w:rPr>
                <w:color w:val="auto"/>
                <w:sz w:val="24"/>
              </w:rPr>
            </w:pPr>
            <w:r>
              <w:rPr>
                <w:color w:val="auto"/>
                <w:sz w:val="24"/>
              </w:rPr>
              <w:t>业收入30000 万元</w:t>
            </w:r>
          </w:p>
          <w:p>
            <w:pPr>
              <w:pStyle w:val="46"/>
              <w:spacing w:before="3" w:line="292" w:lineRule="exact"/>
              <w:ind w:left="101" w:right="94"/>
              <w:jc w:val="center"/>
              <w:rPr>
                <w:color w:val="auto"/>
                <w:sz w:val="24"/>
              </w:rPr>
            </w:pPr>
            <w:r>
              <w:rPr>
                <w:color w:val="auto"/>
                <w:sz w:val="24"/>
              </w:rPr>
              <w:t>以下</w:t>
            </w:r>
          </w:p>
        </w:tc>
        <w:tc>
          <w:tcPr>
            <w:tcW w:w="845" w:type="dxa"/>
            <w:vAlign w:val="top"/>
          </w:tcPr>
          <w:p>
            <w:pPr>
              <w:pStyle w:val="46"/>
              <w:spacing w:line="242" w:lineRule="auto"/>
              <w:ind w:left="302" w:right="170" w:hanging="121"/>
              <w:rPr>
                <w:color w:val="auto"/>
                <w:sz w:val="24"/>
              </w:rPr>
            </w:pPr>
            <w:r>
              <w:rPr>
                <w:color w:val="auto"/>
                <w:sz w:val="24"/>
              </w:rPr>
              <w:t>及以上</w:t>
            </w:r>
          </w:p>
        </w:tc>
        <w:tc>
          <w:tcPr>
            <w:tcW w:w="844" w:type="dxa"/>
            <w:vAlign w:val="top"/>
          </w:tcPr>
          <w:p>
            <w:pPr>
              <w:pStyle w:val="46"/>
              <w:spacing w:line="242" w:lineRule="auto"/>
              <w:ind w:left="302" w:right="169" w:hanging="120"/>
              <w:rPr>
                <w:color w:val="auto"/>
                <w:sz w:val="24"/>
              </w:rPr>
            </w:pPr>
            <w:r>
              <w:rPr>
                <w:color w:val="auto"/>
                <w:sz w:val="24"/>
              </w:rPr>
              <w:t>及以上</w:t>
            </w:r>
          </w:p>
        </w:tc>
        <w:tc>
          <w:tcPr>
            <w:tcW w:w="842" w:type="dxa"/>
            <w:vAlign w:val="top"/>
          </w:tcPr>
          <w:p>
            <w:pPr>
              <w:pStyle w:val="46"/>
              <w:ind w:left="183"/>
              <w:rPr>
                <w:color w:val="auto"/>
                <w:sz w:val="24"/>
              </w:rPr>
            </w:pPr>
            <w:r>
              <w:rPr>
                <w:color w:val="auto"/>
                <w:sz w:val="24"/>
              </w:rPr>
              <w:t>以下</w:t>
            </w:r>
          </w:p>
        </w:tc>
        <w:tc>
          <w:tcPr>
            <w:tcW w:w="845" w:type="dxa"/>
            <w:vAlign w:val="top"/>
          </w:tcPr>
          <w:p>
            <w:pPr>
              <w:pStyle w:val="46"/>
              <w:ind w:left="184"/>
              <w:rPr>
                <w:color w:val="auto"/>
                <w:sz w:val="24"/>
              </w:rPr>
            </w:pPr>
            <w:r>
              <w:rPr>
                <w:color w:val="auto"/>
                <w:sz w:val="24"/>
              </w:rPr>
              <w:t>以上</w:t>
            </w:r>
          </w:p>
        </w:tc>
        <w:tc>
          <w:tcPr>
            <w:tcW w:w="845" w:type="dxa"/>
            <w:vAlign w:val="top"/>
          </w:tcPr>
          <w:p>
            <w:pPr>
              <w:pStyle w:val="46"/>
              <w:ind w:left="13"/>
              <w:jc w:val="center"/>
              <w:rPr>
                <w:color w:val="auto"/>
                <w:sz w:val="24"/>
              </w:rPr>
            </w:pPr>
            <w:r>
              <w:rPr>
                <w:color w:val="auto"/>
                <w:sz w:val="24"/>
              </w:rPr>
              <w:t>上</w:t>
            </w: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仓储业</w:t>
            </w:r>
          </w:p>
        </w:tc>
        <w:tc>
          <w:tcPr>
            <w:tcW w:w="1452" w:type="dxa"/>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业收入30000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rPr>
                <w:b/>
                <w:color w:val="auto"/>
                <w:sz w:val="24"/>
              </w:rPr>
            </w:pPr>
          </w:p>
          <w:p>
            <w:pPr>
              <w:pStyle w:val="46"/>
              <w:spacing w:before="9"/>
              <w:rPr>
                <w:b/>
                <w:color w:val="auto"/>
                <w:sz w:val="24"/>
              </w:rPr>
            </w:pPr>
          </w:p>
          <w:p>
            <w:pPr>
              <w:pStyle w:val="46"/>
              <w:ind w:left="96" w:right="85"/>
              <w:jc w:val="center"/>
              <w:rPr>
                <w:color w:val="auto"/>
                <w:sz w:val="24"/>
              </w:rPr>
            </w:pPr>
            <w:r>
              <w:rPr>
                <w:color w:val="auto"/>
                <w:sz w:val="24"/>
              </w:rPr>
              <w:t>邮政业</w:t>
            </w:r>
          </w:p>
        </w:tc>
        <w:tc>
          <w:tcPr>
            <w:tcW w:w="1452" w:type="dxa"/>
            <w:vAlign w:val="top"/>
          </w:tcPr>
          <w:p>
            <w:pPr>
              <w:pStyle w:val="46"/>
              <w:spacing w:line="244" w:lineRule="auto"/>
              <w:ind w:left="124" w:right="115"/>
              <w:jc w:val="center"/>
              <w:rPr>
                <w:color w:val="auto"/>
                <w:sz w:val="24"/>
              </w:rPr>
            </w:pPr>
            <w:r>
              <w:rPr>
                <w:color w:val="auto"/>
                <w:sz w:val="24"/>
              </w:rPr>
              <w:t>人员 1000 人以下或营业收入30000 万元</w:t>
            </w:r>
          </w:p>
          <w:p>
            <w:pPr>
              <w:pStyle w:val="46"/>
              <w:spacing w:line="286"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2000</w:t>
            </w:r>
          </w:p>
          <w:p>
            <w:pPr>
              <w:pStyle w:val="46"/>
              <w:spacing w:before="4" w:line="244"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4"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4"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300</w:t>
            </w:r>
          </w:p>
          <w:p>
            <w:pPr>
              <w:pStyle w:val="46"/>
              <w:spacing w:before="4" w:line="244"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rPr>
                <w:b/>
                <w:color w:val="auto"/>
                <w:sz w:val="24"/>
              </w:rPr>
            </w:pPr>
          </w:p>
          <w:p>
            <w:pPr>
              <w:pStyle w:val="46"/>
              <w:spacing w:before="160"/>
              <w:ind w:left="96" w:right="85"/>
              <w:jc w:val="center"/>
              <w:rPr>
                <w:color w:val="auto"/>
                <w:sz w:val="24"/>
              </w:rPr>
            </w:pPr>
            <w:r>
              <w:rPr>
                <w:color w:val="auto"/>
                <w:sz w:val="24"/>
              </w:rPr>
              <w:t>住宿业</w:t>
            </w:r>
          </w:p>
        </w:tc>
        <w:tc>
          <w:tcPr>
            <w:tcW w:w="1452" w:type="dxa"/>
            <w:vAlign w:val="top"/>
          </w:tcPr>
          <w:p>
            <w:pPr>
              <w:pStyle w:val="46"/>
              <w:spacing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4" w:line="292" w:lineRule="exact"/>
              <w:ind w:left="244"/>
              <w:rPr>
                <w:color w:val="auto"/>
                <w:sz w:val="24"/>
              </w:rPr>
            </w:pPr>
            <w:r>
              <w:rPr>
                <w:color w:val="auto"/>
                <w:sz w:val="24"/>
              </w:rPr>
              <w:t>万元以下</w:t>
            </w:r>
          </w:p>
        </w:tc>
        <w:tc>
          <w:tcPr>
            <w:tcW w:w="845" w:type="dxa"/>
            <w:vAlign w:val="top"/>
          </w:tcPr>
          <w:p>
            <w:pPr>
              <w:pStyle w:val="46"/>
              <w:ind w:left="182"/>
              <w:rPr>
                <w:color w:val="auto"/>
                <w:sz w:val="24"/>
              </w:rPr>
            </w:pPr>
            <w:r>
              <w:rPr>
                <w:color w:val="auto"/>
                <w:sz w:val="24"/>
              </w:rPr>
              <w:t>2000</w:t>
            </w:r>
          </w:p>
          <w:p>
            <w:pPr>
              <w:pStyle w:val="46"/>
              <w:spacing w:before="1" w:line="310" w:lineRule="atLeast"/>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1" w:line="310" w:lineRule="atLeast"/>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rPr>
                <w:b/>
                <w:color w:val="auto"/>
                <w:sz w:val="24"/>
              </w:rPr>
            </w:pPr>
          </w:p>
          <w:p>
            <w:pPr>
              <w:pStyle w:val="46"/>
              <w:spacing w:before="162"/>
              <w:ind w:left="96" w:right="85"/>
              <w:jc w:val="center"/>
              <w:rPr>
                <w:color w:val="auto"/>
                <w:sz w:val="24"/>
              </w:rPr>
            </w:pPr>
            <w:r>
              <w:rPr>
                <w:color w:val="auto"/>
                <w:sz w:val="24"/>
              </w:rPr>
              <w:t>餐饮业</w:t>
            </w:r>
          </w:p>
        </w:tc>
        <w:tc>
          <w:tcPr>
            <w:tcW w:w="1452" w:type="dxa"/>
            <w:vAlign w:val="top"/>
          </w:tcPr>
          <w:p>
            <w:pPr>
              <w:pStyle w:val="46"/>
              <w:spacing w:before="2"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5" w:line="292" w:lineRule="exact"/>
              <w:ind w:left="244"/>
              <w:rPr>
                <w:color w:val="auto"/>
                <w:sz w:val="24"/>
              </w:rPr>
            </w:pPr>
            <w:r>
              <w:rPr>
                <w:color w:val="auto"/>
                <w:sz w:val="24"/>
              </w:rPr>
              <w:t>万元以下</w:t>
            </w:r>
          </w:p>
        </w:tc>
        <w:tc>
          <w:tcPr>
            <w:tcW w:w="845" w:type="dxa"/>
            <w:vAlign w:val="top"/>
          </w:tcPr>
          <w:p>
            <w:pPr>
              <w:pStyle w:val="46"/>
              <w:spacing w:before="2"/>
              <w:ind w:left="162" w:right="153"/>
              <w:jc w:val="center"/>
              <w:rPr>
                <w:color w:val="auto"/>
                <w:sz w:val="24"/>
              </w:rPr>
            </w:pPr>
            <w:r>
              <w:rPr>
                <w:color w:val="auto"/>
                <w:sz w:val="24"/>
              </w:rPr>
              <w:t>2000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844" w:type="dxa"/>
            <w:vAlign w:val="top"/>
          </w:tcPr>
          <w:p>
            <w:pPr>
              <w:pStyle w:val="46"/>
              <w:spacing w:before="2"/>
              <w:ind w:left="180" w:right="169"/>
              <w:jc w:val="center"/>
              <w:rPr>
                <w:color w:val="auto"/>
                <w:sz w:val="24"/>
              </w:rPr>
            </w:pPr>
            <w:r>
              <w:rPr>
                <w:color w:val="auto"/>
                <w:sz w:val="24"/>
              </w:rPr>
              <w:t>100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842" w:type="dxa"/>
            <w:vAlign w:val="top"/>
          </w:tcPr>
          <w:p>
            <w:pPr>
              <w:pStyle w:val="46"/>
              <w:spacing w:before="2"/>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before="2"/>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240" w:right="106" w:hanging="121"/>
              <w:rPr>
                <w:color w:val="auto"/>
                <w:sz w:val="24"/>
              </w:rPr>
            </w:pPr>
            <w:r>
              <w:rPr>
                <w:color w:val="auto"/>
                <w:sz w:val="24"/>
              </w:rPr>
              <w:t>信息传输业</w:t>
            </w:r>
          </w:p>
        </w:tc>
        <w:tc>
          <w:tcPr>
            <w:tcW w:w="1452" w:type="dxa"/>
            <w:vAlign w:val="top"/>
          </w:tcPr>
          <w:p>
            <w:pPr>
              <w:pStyle w:val="46"/>
              <w:spacing w:line="242" w:lineRule="auto"/>
              <w:ind w:left="107" w:right="96"/>
              <w:jc w:val="center"/>
              <w:rPr>
                <w:color w:val="auto"/>
                <w:sz w:val="24"/>
              </w:rPr>
            </w:pPr>
            <w:r>
              <w:rPr>
                <w:color w:val="auto"/>
                <w:spacing w:val="-20"/>
                <w:sz w:val="24"/>
              </w:rPr>
              <w:t xml:space="preserve">人员 </w:t>
            </w:r>
            <w:r>
              <w:rPr>
                <w:color w:val="auto"/>
                <w:sz w:val="24"/>
              </w:rPr>
              <w:t>2000 人以下或营业收入100000</w:t>
            </w:r>
            <w:r>
              <w:rPr>
                <w:color w:val="auto"/>
                <w:spacing w:val="-34"/>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spacing w:before="4"/>
              <w:rPr>
                <w:b/>
                <w:color w:val="auto"/>
                <w:sz w:val="24"/>
              </w:rPr>
            </w:pPr>
          </w:p>
          <w:p>
            <w:pPr>
              <w:pStyle w:val="46"/>
              <w:spacing w:line="242" w:lineRule="auto"/>
              <w:ind w:left="119" w:right="106"/>
              <w:jc w:val="center"/>
              <w:rPr>
                <w:color w:val="auto"/>
                <w:sz w:val="24"/>
              </w:rPr>
            </w:pPr>
            <w:r>
              <w:rPr>
                <w:color w:val="auto"/>
                <w:sz w:val="24"/>
              </w:rPr>
              <w:t>房地产开发经营</w:t>
            </w:r>
          </w:p>
        </w:tc>
        <w:tc>
          <w:tcPr>
            <w:tcW w:w="1452" w:type="dxa"/>
            <w:vAlign w:val="top"/>
          </w:tcPr>
          <w:p>
            <w:pPr>
              <w:pStyle w:val="46"/>
              <w:spacing w:line="307" w:lineRule="exact"/>
              <w:ind w:left="101" w:right="92"/>
              <w:jc w:val="center"/>
              <w:rPr>
                <w:color w:val="auto"/>
                <w:sz w:val="24"/>
              </w:rPr>
            </w:pPr>
            <w:r>
              <w:rPr>
                <w:color w:val="auto"/>
                <w:sz w:val="24"/>
              </w:rPr>
              <w:t>收入200000</w:t>
            </w:r>
          </w:p>
          <w:p>
            <w:pPr>
              <w:pStyle w:val="46"/>
              <w:spacing w:before="4" w:line="242" w:lineRule="auto"/>
              <w:ind w:left="124" w:right="115"/>
              <w:jc w:val="center"/>
              <w:rPr>
                <w:color w:val="auto"/>
                <w:sz w:val="24"/>
              </w:rPr>
            </w:pPr>
            <w:r>
              <w:rPr>
                <w:color w:val="auto"/>
                <w:sz w:val="24"/>
              </w:rPr>
              <w:t>万元以下或资产总额10000 万元</w:t>
            </w:r>
          </w:p>
          <w:p>
            <w:pPr>
              <w:pStyle w:val="46"/>
              <w:spacing w:before="4" w:line="292" w:lineRule="exact"/>
              <w:ind w:left="101" w:right="94"/>
              <w:jc w:val="center"/>
              <w:rPr>
                <w:color w:val="auto"/>
                <w:sz w:val="24"/>
              </w:rPr>
            </w:pPr>
            <w:r>
              <w:rPr>
                <w:color w:val="auto"/>
                <w:sz w:val="24"/>
              </w:rPr>
              <w:t>以下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spacing w:line="307" w:lineRule="exact"/>
              <w:ind w:left="181"/>
              <w:rPr>
                <w:color w:val="auto"/>
                <w:sz w:val="24"/>
              </w:rPr>
            </w:pPr>
            <w:r>
              <w:rPr>
                <w:color w:val="auto"/>
                <w:sz w:val="24"/>
              </w:rPr>
              <w:t>5000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360" w:right="106" w:hanging="241"/>
              <w:rPr>
                <w:color w:val="auto"/>
                <w:sz w:val="24"/>
              </w:rPr>
            </w:pPr>
            <w:r>
              <w:rPr>
                <w:color w:val="auto"/>
                <w:sz w:val="24"/>
              </w:rPr>
              <w:t>物业管理</w:t>
            </w:r>
          </w:p>
        </w:tc>
        <w:tc>
          <w:tcPr>
            <w:tcW w:w="1452" w:type="dxa"/>
            <w:vAlign w:val="top"/>
          </w:tcPr>
          <w:p>
            <w:pPr>
              <w:pStyle w:val="46"/>
              <w:spacing w:line="242" w:lineRule="auto"/>
              <w:ind w:left="107" w:right="96" w:hanging="3"/>
              <w:jc w:val="center"/>
              <w:rPr>
                <w:color w:val="auto"/>
                <w:sz w:val="24"/>
              </w:rPr>
            </w:pPr>
            <w:r>
              <w:rPr>
                <w:color w:val="auto"/>
                <w:sz w:val="24"/>
              </w:rPr>
              <w:t>从业人员1000</w:t>
            </w:r>
            <w:r>
              <w:rPr>
                <w:color w:val="auto"/>
                <w:spacing w:val="-26"/>
                <w:sz w:val="24"/>
              </w:rPr>
              <w:t xml:space="preserve"> 人以下</w:t>
            </w:r>
            <w:r>
              <w:rPr>
                <w:color w:val="auto"/>
                <w:sz w:val="24"/>
              </w:rPr>
              <w:t>或营业收入5000</w:t>
            </w:r>
            <w:r>
              <w:rPr>
                <w:color w:val="auto"/>
                <w:spacing w:val="-26"/>
                <w:sz w:val="24"/>
              </w:rPr>
              <w:t xml:space="preserve"> 万元以</w:t>
            </w:r>
          </w:p>
          <w:p>
            <w:pPr>
              <w:pStyle w:val="46"/>
              <w:spacing w:before="5" w:line="292" w:lineRule="exact"/>
              <w:ind w:left="7"/>
              <w:jc w:val="center"/>
              <w:rPr>
                <w:color w:val="auto"/>
                <w:sz w:val="24"/>
              </w:rPr>
            </w:pPr>
            <w:r>
              <w:rPr>
                <w:color w:val="auto"/>
                <w:sz w:val="24"/>
              </w:rPr>
              <w:t>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500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70"/>
              <w:rPr>
                <w:color w:val="auto"/>
                <w:sz w:val="24"/>
              </w:rPr>
            </w:pPr>
            <w:r>
              <w:rPr>
                <w:color w:val="auto"/>
                <w:spacing w:val="-9"/>
                <w:sz w:val="24"/>
              </w:rPr>
              <w:t>人及以上</w:t>
            </w:r>
          </w:p>
        </w:tc>
        <w:tc>
          <w:tcPr>
            <w:tcW w:w="742" w:type="dxa"/>
            <w:vAlign w:val="top"/>
          </w:tcPr>
          <w:p>
            <w:pPr>
              <w:pStyle w:val="46"/>
              <w:spacing w:line="307" w:lineRule="exact"/>
              <w:ind w:left="190"/>
              <w:rPr>
                <w:color w:val="auto"/>
                <w:sz w:val="24"/>
              </w:rPr>
            </w:pPr>
            <w:r>
              <w:rPr>
                <w:color w:val="auto"/>
                <w:sz w:val="24"/>
              </w:rPr>
              <w:t>100</w:t>
            </w:r>
          </w:p>
          <w:p>
            <w:pPr>
              <w:pStyle w:val="46"/>
              <w:spacing w:before="4" w:line="242" w:lineRule="auto"/>
              <w:ind w:left="250" w:right="120" w:hanging="120"/>
              <w:rPr>
                <w:color w:val="auto"/>
                <w:sz w:val="24"/>
              </w:rPr>
            </w:pPr>
            <w:r>
              <w:rPr>
                <w:color w:val="auto"/>
                <w:spacing w:val="-9"/>
                <w:sz w:val="24"/>
              </w:rPr>
              <w:t>人以</w:t>
            </w:r>
            <w:r>
              <w:rPr>
                <w:color w:val="auto"/>
                <w:sz w:val="24"/>
              </w:rPr>
              <w:t>下</w:t>
            </w:r>
          </w:p>
        </w:tc>
        <w:tc>
          <w:tcPr>
            <w:tcW w:w="843" w:type="dxa"/>
            <w:vAlign w:val="top"/>
          </w:tcPr>
          <w:p>
            <w:pPr>
              <w:pStyle w:val="46"/>
              <w:spacing w:line="307" w:lineRule="exact"/>
              <w:ind w:left="181"/>
              <w:rPr>
                <w:color w:val="auto"/>
                <w:sz w:val="24"/>
              </w:rPr>
            </w:pPr>
            <w:r>
              <w:rPr>
                <w:color w:val="auto"/>
                <w:sz w:val="24"/>
              </w:rPr>
              <w:t>1000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spacing w:before="156" w:line="242" w:lineRule="auto"/>
              <w:ind w:left="119" w:right="106"/>
              <w:jc w:val="both"/>
              <w:rPr>
                <w:color w:val="auto"/>
                <w:sz w:val="24"/>
              </w:rPr>
            </w:pPr>
            <w:r>
              <w:rPr>
                <w:color w:val="auto"/>
                <w:sz w:val="24"/>
              </w:rPr>
              <w:t>租赁和商业服务业</w:t>
            </w:r>
          </w:p>
        </w:tc>
        <w:tc>
          <w:tcPr>
            <w:tcW w:w="1452" w:type="dxa"/>
            <w:vAlign w:val="top"/>
          </w:tcPr>
          <w:p>
            <w:pPr>
              <w:pStyle w:val="46"/>
              <w:spacing w:line="242" w:lineRule="auto"/>
              <w:ind w:left="107" w:right="96" w:firstLine="16"/>
              <w:jc w:val="both"/>
              <w:rPr>
                <w:color w:val="auto"/>
                <w:sz w:val="24"/>
              </w:rPr>
            </w:pPr>
            <w:r>
              <w:rPr>
                <w:color w:val="auto"/>
                <w:spacing w:val="-20"/>
                <w:sz w:val="24"/>
              </w:rPr>
              <w:t xml:space="preserve">人员 </w:t>
            </w:r>
            <w:r>
              <w:rPr>
                <w:color w:val="auto"/>
                <w:sz w:val="24"/>
              </w:rPr>
              <w:t>300</w:t>
            </w:r>
            <w:r>
              <w:rPr>
                <w:color w:val="auto"/>
                <w:spacing w:val="-30"/>
                <w:sz w:val="24"/>
              </w:rPr>
              <w:t xml:space="preserve"> 人以下或营业</w:t>
            </w:r>
            <w:r>
              <w:rPr>
                <w:color w:val="auto"/>
                <w:spacing w:val="3"/>
                <w:sz w:val="24"/>
              </w:rPr>
              <w:t>收入</w:t>
            </w:r>
            <w:r>
              <w:rPr>
                <w:color w:val="auto"/>
                <w:spacing w:val="-3"/>
                <w:sz w:val="24"/>
              </w:rPr>
              <w:t>120000</w:t>
            </w:r>
          </w:p>
          <w:p>
            <w:pPr>
              <w:pStyle w:val="46"/>
              <w:spacing w:before="4" w:line="292" w:lineRule="exact"/>
              <w:ind w:left="244"/>
              <w:rPr>
                <w:color w:val="auto"/>
                <w:sz w:val="24"/>
              </w:rPr>
            </w:pPr>
            <w:r>
              <w:rPr>
                <w:color w:val="auto"/>
                <w:sz w:val="24"/>
              </w:rPr>
              <w:t>万元以下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ind w:left="181"/>
              <w:rPr>
                <w:color w:val="auto"/>
                <w:sz w:val="24"/>
              </w:rPr>
            </w:pPr>
            <w:r>
              <w:rPr>
                <w:color w:val="auto"/>
                <w:sz w:val="24"/>
              </w:rPr>
              <w:t>8000</w:t>
            </w:r>
          </w:p>
          <w:p>
            <w:pPr>
              <w:pStyle w:val="46"/>
              <w:spacing w:before="2" w:line="310" w:lineRule="atLeast"/>
              <w:ind w:left="181"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spacing w:before="156" w:line="242" w:lineRule="auto"/>
              <w:ind w:left="119" w:right="106"/>
              <w:jc w:val="center"/>
              <w:rPr>
                <w:color w:val="auto"/>
                <w:sz w:val="24"/>
              </w:rPr>
            </w:pPr>
            <w:r>
              <w:rPr>
                <w:color w:val="auto"/>
                <w:sz w:val="24"/>
              </w:rPr>
              <w:t>其他未列明行业</w:t>
            </w:r>
          </w:p>
        </w:tc>
        <w:tc>
          <w:tcPr>
            <w:tcW w:w="1452" w:type="dxa"/>
            <w:vAlign w:val="top"/>
          </w:tcPr>
          <w:p>
            <w:pPr>
              <w:pStyle w:val="46"/>
              <w:ind w:left="244"/>
              <w:rPr>
                <w:color w:val="auto"/>
                <w:sz w:val="24"/>
              </w:rPr>
            </w:pPr>
            <w:r>
              <w:rPr>
                <w:color w:val="auto"/>
                <w:sz w:val="24"/>
              </w:rPr>
              <w:t>从业人员</w:t>
            </w:r>
          </w:p>
          <w:p>
            <w:pPr>
              <w:pStyle w:val="46"/>
              <w:spacing w:before="4"/>
              <w:ind w:left="124"/>
              <w:rPr>
                <w:color w:val="auto"/>
                <w:sz w:val="24"/>
              </w:rPr>
            </w:pPr>
            <w:r>
              <w:rPr>
                <w:color w:val="auto"/>
                <w:sz w:val="24"/>
              </w:rPr>
              <w:t>300 人以下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4"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11"/>
        <w:outlineLvl w:val="0"/>
        <w:rPr>
          <w:color w:val="auto"/>
        </w:rPr>
      </w:pPr>
      <w:bookmarkStart w:id="79" w:name="_Toc15700"/>
      <w:r>
        <w:rPr>
          <w:color w:val="auto"/>
        </w:rPr>
        <w:t>附件四</w:t>
      </w:r>
      <w:bookmarkEnd w:id="79"/>
    </w:p>
    <w:p>
      <w:pPr>
        <w:jc w:val="center"/>
        <w:rPr>
          <w:b/>
          <w:bCs/>
          <w:color w:val="auto"/>
        </w:rPr>
      </w:pPr>
      <w:r>
        <w:rPr>
          <w:b/>
          <w:bCs/>
          <w:color w:val="auto"/>
        </w:rPr>
        <w:t>关于促进残疾人就业政府采购政策的通知</w:t>
      </w:r>
    </w:p>
    <w:p>
      <w:pPr>
        <w:jc w:val="center"/>
        <w:rPr>
          <w:b/>
          <w:bCs/>
          <w:color w:val="auto"/>
        </w:rPr>
      </w:pPr>
      <w:r>
        <w:rPr>
          <w:b/>
          <w:bCs/>
          <w:color w:val="auto"/>
        </w:rPr>
        <w:t>财库〔2017〕141 号</w:t>
      </w:r>
    </w:p>
    <w:p>
      <w:pPr>
        <w:pStyle w:val="3"/>
        <w:spacing w:before="1" w:line="364" w:lineRule="auto"/>
        <w:ind w:right="484" w:firstLine="480"/>
        <w:jc w:val="both"/>
        <w:rPr>
          <w:color w:val="auto"/>
        </w:rPr>
      </w:pPr>
      <w:r>
        <w:rPr>
          <w:color w:val="auto"/>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pStyle w:val="3"/>
        <w:spacing w:before="3" w:line="364" w:lineRule="auto"/>
        <w:ind w:right="533" w:firstLine="480"/>
        <w:jc w:val="both"/>
        <w:rPr>
          <w:color w:val="auto"/>
        </w:rPr>
      </w:pPr>
      <w:r>
        <w:rPr>
          <w:color w:val="auto"/>
          <w:spacing w:val="-4"/>
        </w:rPr>
        <w:t>为了发挥政府采购促进残疾人就业的作用，进一步保障残疾人权益，依照《政府采</w:t>
      </w:r>
      <w:r>
        <w:rPr>
          <w:color w:val="auto"/>
          <w:spacing w:val="-9"/>
        </w:rPr>
        <w:t>购法》、《残疾人保障法》等法律法规及相关规定，现就促进残疾人就业政府采购政策</w:t>
      </w:r>
      <w:r>
        <w:rPr>
          <w:color w:val="auto"/>
        </w:rPr>
        <w:t>通知如下：</w:t>
      </w:r>
    </w:p>
    <w:p>
      <w:pPr>
        <w:pStyle w:val="3"/>
        <w:spacing w:before="2"/>
        <w:ind w:firstLine="630" w:firstLineChars="300"/>
        <w:rPr>
          <w:color w:val="auto"/>
        </w:rPr>
      </w:pPr>
      <w:r>
        <w:rPr>
          <w:color w:val="auto"/>
        </w:rPr>
        <w:t>一、享受政府采购支持政策的残疾人福利性单位应当同时满足以下条件：</w:t>
      </w:r>
    </w:p>
    <w:p>
      <w:pPr>
        <w:pStyle w:val="3"/>
        <w:spacing w:before="161" w:line="364" w:lineRule="auto"/>
        <w:ind w:right="473" w:firstLine="480"/>
        <w:rPr>
          <w:color w:val="auto"/>
        </w:rPr>
      </w:pPr>
      <w:r>
        <w:rPr>
          <w:color w:val="auto"/>
        </w:rPr>
        <w:t>（一）安置的残疾人占本单位在职职工人数的比例不低于 25%（含 25%），并且安置的残疾人人数不少于 10 人（含 10 人）；</w:t>
      </w:r>
    </w:p>
    <w:p>
      <w:pPr>
        <w:pStyle w:val="3"/>
        <w:spacing w:before="1"/>
        <w:ind w:firstLine="420" w:firstLineChars="200"/>
        <w:rPr>
          <w:color w:val="auto"/>
        </w:rPr>
      </w:pPr>
      <w:r>
        <w:rPr>
          <w:color w:val="auto"/>
        </w:rPr>
        <w:t>（二</w:t>
      </w:r>
      <w:r>
        <w:rPr>
          <w:color w:val="auto"/>
          <w:spacing w:val="-58"/>
        </w:rPr>
        <w:t>）</w:t>
      </w:r>
      <w:r>
        <w:rPr>
          <w:color w:val="auto"/>
          <w:spacing w:val="-4"/>
        </w:rPr>
        <w:t>依法与安置的每位残疾人签订了一年以上</w:t>
      </w:r>
      <w:r>
        <w:rPr>
          <w:color w:val="auto"/>
        </w:rPr>
        <w:t>（含一年</w:t>
      </w:r>
      <w:r>
        <w:rPr>
          <w:color w:val="auto"/>
          <w:spacing w:val="-58"/>
        </w:rPr>
        <w:t>）</w:t>
      </w:r>
      <w:r>
        <w:rPr>
          <w:color w:val="auto"/>
        </w:rPr>
        <w:t>的劳动合同或服务协议；</w:t>
      </w:r>
    </w:p>
    <w:p>
      <w:pPr>
        <w:pStyle w:val="3"/>
        <w:spacing w:before="161" w:line="364" w:lineRule="auto"/>
        <w:ind w:right="473" w:firstLine="480"/>
        <w:rPr>
          <w:color w:val="auto"/>
        </w:rPr>
      </w:pPr>
      <w:r>
        <w:rPr>
          <w:color w:val="auto"/>
        </w:rPr>
        <w:t>（三）</w:t>
      </w:r>
      <w:r>
        <w:rPr>
          <w:color w:val="auto"/>
        </w:rPr>
        <w:fldChar w:fldCharType="begin"/>
      </w:r>
      <w:r>
        <w:rPr>
          <w:color w:val="auto"/>
        </w:rPr>
        <w:instrText xml:space="preserve"> HYPERLINK "https://www.boztax.com/article/index/topic?topic=%E4%BF%9D%E9%99%A9" \h </w:instrText>
      </w:r>
      <w:r>
        <w:rPr>
          <w:color w:val="auto"/>
        </w:rPr>
        <w:fldChar w:fldCharType="separate"/>
      </w:r>
      <w:r>
        <w:rPr>
          <w:color w:val="auto"/>
        </w:rPr>
        <w:t>为安置的每位残疾人按月足额缴纳了基本养老保险</w:t>
      </w:r>
      <w:r>
        <w:rPr>
          <w:color w:val="auto"/>
        </w:rPr>
        <w:fldChar w:fldCharType="end"/>
      </w:r>
      <w:r>
        <w:rPr>
          <w:color w:val="auto"/>
        </w:rPr>
        <w:t>、基本医疗保险、失业保险、工伤保险和生育保险等</w:t>
      </w:r>
      <w:r>
        <w:rPr>
          <w:color w:val="auto"/>
        </w:rPr>
        <w:fldChar w:fldCharType="begin"/>
      </w:r>
      <w:r>
        <w:rPr>
          <w:color w:val="auto"/>
        </w:rPr>
        <w:instrText xml:space="preserve"> HYPERLINK "https://www.boztax.com/article/index/topic?topic=%E7%A4%BE%E4%BC%9A%E4%BF%9D%E9%99%A9%E8%B4%B9" \h </w:instrText>
      </w:r>
      <w:r>
        <w:rPr>
          <w:color w:val="auto"/>
        </w:rPr>
        <w:fldChar w:fldCharType="separate"/>
      </w:r>
      <w:r>
        <w:rPr>
          <w:color w:val="auto"/>
        </w:rPr>
        <w:t>社会保险费</w:t>
      </w:r>
      <w:r>
        <w:rPr>
          <w:color w:val="auto"/>
        </w:rPr>
        <w:fldChar w:fldCharType="end"/>
      </w:r>
      <w:r>
        <w:rPr>
          <w:color w:val="auto"/>
        </w:rPr>
        <w:t>；</w:t>
      </w:r>
    </w:p>
    <w:p>
      <w:pPr>
        <w:pStyle w:val="3"/>
        <w:spacing w:before="1" w:line="364" w:lineRule="auto"/>
        <w:ind w:right="472" w:firstLine="480"/>
        <w:rPr>
          <w:color w:val="auto"/>
        </w:rPr>
      </w:pPr>
      <w:r>
        <w:rPr>
          <w:color w:val="auto"/>
        </w:rPr>
        <w:t>（四）通过银行等金融机构向安置的每位残疾人，按月支付了不低于单位所在区县适用的经省级人民政府批准的月最低工资标准的工资；</w:t>
      </w:r>
    </w:p>
    <w:p>
      <w:pPr>
        <w:pStyle w:val="3"/>
        <w:spacing w:before="1" w:line="364" w:lineRule="auto"/>
        <w:ind w:right="413" w:firstLine="480"/>
        <w:rPr>
          <w:color w:val="auto"/>
        </w:rPr>
      </w:pPr>
      <w:r>
        <w:rPr>
          <w:color w:val="auto"/>
        </w:rPr>
        <w:t>（五</w:t>
      </w:r>
      <w:r>
        <w:rPr>
          <w:color w:val="auto"/>
          <w:spacing w:val="-10"/>
        </w:rPr>
        <w:t>）</w:t>
      </w:r>
      <w:r>
        <w:rPr>
          <w:color w:val="auto"/>
          <w:spacing w:val="-2"/>
        </w:rPr>
        <w:t>提供本单位制造的货物、承担的工程或者服务</w:t>
      </w:r>
      <w:r>
        <w:rPr>
          <w:color w:val="auto"/>
        </w:rPr>
        <w:t>（以下简称产品</w:t>
      </w:r>
      <w:r>
        <w:rPr>
          <w:color w:val="auto"/>
          <w:spacing w:val="-10"/>
        </w:rPr>
        <w:t>），</w:t>
      </w:r>
      <w:r>
        <w:rPr>
          <w:color w:val="auto"/>
        </w:rPr>
        <w:t>或者提供</w:t>
      </w:r>
      <w:r>
        <w:rPr>
          <w:color w:val="auto"/>
          <w:spacing w:val="-6"/>
        </w:rPr>
        <w:t>其他残疾人福利性单位制造的货物</w:t>
      </w:r>
      <w:r>
        <w:rPr>
          <w:color w:val="auto"/>
        </w:rPr>
        <w:t>（不包括使用非残疾人福利性单位注册商标的货物</w:t>
      </w:r>
      <w:r>
        <w:rPr>
          <w:color w:val="auto"/>
          <w:spacing w:val="-84"/>
        </w:rPr>
        <w:t>）</w:t>
      </w:r>
      <w:r>
        <w:rPr>
          <w:color w:val="auto"/>
          <w:spacing w:val="-17"/>
        </w:rPr>
        <w:t>。</w:t>
      </w:r>
    </w:p>
    <w:p>
      <w:pPr>
        <w:pStyle w:val="3"/>
        <w:spacing w:before="2" w:line="364" w:lineRule="auto"/>
        <w:ind w:right="533" w:firstLine="480"/>
        <w:jc w:val="both"/>
        <w:rPr>
          <w:color w:val="auto"/>
        </w:rPr>
      </w:pPr>
      <w:r>
        <w:rPr>
          <w:color w:val="auto"/>
          <w:spacing w:val="-5"/>
        </w:rPr>
        <w:t>前款所称残疾人是指法定劳动年龄内，持有《中华人民共和国残疾人证》或者《中</w:t>
      </w:r>
      <w:r>
        <w:rPr>
          <w:color w:val="auto"/>
        </w:rPr>
        <w:t>华人民共和国残疾军人证（1</w:t>
      </w:r>
      <w:r>
        <w:rPr>
          <w:color w:val="auto"/>
          <w:spacing w:val="-39"/>
        </w:rPr>
        <w:t xml:space="preserve"> 至 </w:t>
      </w:r>
      <w:r>
        <w:rPr>
          <w:color w:val="auto"/>
        </w:rPr>
        <w:t>8</w:t>
      </w:r>
      <w:r>
        <w:rPr>
          <w:color w:val="auto"/>
          <w:spacing w:val="-29"/>
        </w:rPr>
        <w:t xml:space="preserve"> 级</w:t>
      </w:r>
      <w:r>
        <w:rPr>
          <w:color w:val="auto"/>
        </w:rPr>
        <w:t>）</w:t>
      </w:r>
      <w:r>
        <w:rPr>
          <w:color w:val="auto"/>
          <w:spacing w:val="-1"/>
        </w:rPr>
        <w:t>》的自然人，包括具有劳动条件和劳动意愿的精</w:t>
      </w:r>
      <w:r>
        <w:rPr>
          <w:color w:val="auto"/>
          <w:spacing w:val="-9"/>
        </w:rPr>
        <w:t>神残疾人。在职职工人数是指与残疾人福利性单位建立劳动关系并依法签订劳动合同或</w:t>
      </w:r>
      <w:r>
        <w:rPr>
          <w:color w:val="auto"/>
        </w:rPr>
        <w:t>者服务协议的雇员人数。</w:t>
      </w:r>
    </w:p>
    <w:p>
      <w:pPr>
        <w:pStyle w:val="3"/>
        <w:spacing w:before="2"/>
        <w:ind w:firstLine="420" w:firstLineChars="200"/>
        <w:rPr>
          <w:color w:val="auto"/>
        </w:rPr>
      </w:pPr>
      <w:r>
        <w:rPr>
          <w:color w:val="auto"/>
        </w:rPr>
        <w:t>二、符合条件的残疾人福利性单位在参加政府采购活动时，应当提供本通知规定的</w:t>
      </w:r>
    </w:p>
    <w:p>
      <w:pPr>
        <w:pStyle w:val="3"/>
        <w:spacing w:before="161" w:line="364" w:lineRule="auto"/>
        <w:ind w:right="473"/>
        <w:rPr>
          <w:color w:val="auto"/>
        </w:rPr>
      </w:pPr>
      <w:r>
        <w:rPr>
          <w:color w:val="auto"/>
        </w:rPr>
        <w:t>《残疾人福利性单位声明函》（见附件），并对声明的真实性负责。任何单位或者个人在政府采购活动中均不得要求残疾人福利性单位提供其他证明声明函内容的材料。</w:t>
      </w:r>
    </w:p>
    <w:p>
      <w:pPr>
        <w:pStyle w:val="3"/>
        <w:spacing w:before="2" w:line="364" w:lineRule="auto"/>
        <w:ind w:right="533" w:firstLine="480"/>
        <w:rPr>
          <w:color w:val="auto"/>
        </w:rPr>
      </w:pPr>
      <w:r>
        <w:rPr>
          <w:color w:val="auto"/>
          <w:spacing w:val="-7"/>
        </w:rPr>
        <w:t>中标、成交供应商为残疾人福利性单位的，采购人或者其委托的采购代理机构应当</w:t>
      </w:r>
      <w:r>
        <w:rPr>
          <w:color w:val="auto"/>
        </w:rPr>
        <w:t>随中标、成交结果同时公告其《残疾人福利性单位声明函》，接受社会监督。</w:t>
      </w:r>
    </w:p>
    <w:p>
      <w:pPr>
        <w:pStyle w:val="3"/>
        <w:spacing w:before="99" w:line="364" w:lineRule="auto"/>
        <w:ind w:right="533" w:firstLine="480"/>
        <w:rPr>
          <w:color w:val="auto"/>
        </w:rPr>
      </w:pPr>
      <w:r>
        <w:rPr>
          <w:color w:val="auto"/>
          <w:spacing w:val="-7"/>
        </w:rPr>
        <w:t>供应商提供的《残疾人福利性单位声明函》与事实不符的，依照《政府采购法》第</w:t>
      </w:r>
      <w:r>
        <w:rPr>
          <w:color w:val="auto"/>
        </w:rPr>
        <w:t>七十七条第一款的规定追究法律责任。</w:t>
      </w:r>
    </w:p>
    <w:p>
      <w:pPr>
        <w:pStyle w:val="3"/>
        <w:spacing w:before="1" w:line="364" w:lineRule="auto"/>
        <w:ind w:right="485" w:firstLine="480"/>
        <w:jc w:val="both"/>
        <w:rPr>
          <w:color w:val="auto"/>
        </w:rPr>
      </w:pPr>
      <w:r>
        <w:rPr>
          <w:color w:val="auto"/>
          <w:spacing w:val="-1"/>
        </w:rPr>
        <w:t>三、在政府采购活动中，残疾人福利性单位视同小型、微型企业，享受预留份额、</w:t>
      </w:r>
      <w:r>
        <w:rPr>
          <w:color w:val="auto"/>
          <w:spacing w:val="3"/>
        </w:rPr>
        <w:t>评审中价格扣除等促进中小企业发展的政府采购政策。向残疾人福利性单位采购的金</w:t>
      </w:r>
      <w:r>
        <w:rPr>
          <w:color w:val="auto"/>
          <w:spacing w:val="-6"/>
        </w:rPr>
        <w:t>额，计入面向中小企业采购的统计数据。残疾人福利性单位属于小型、微型企业的，不重复享受政策。</w:t>
      </w:r>
    </w:p>
    <w:p>
      <w:pPr>
        <w:pStyle w:val="3"/>
        <w:spacing w:before="3" w:line="364" w:lineRule="auto"/>
        <w:ind w:right="533" w:firstLine="480"/>
        <w:rPr>
          <w:color w:val="auto"/>
        </w:rPr>
      </w:pPr>
      <w:r>
        <w:rPr>
          <w:color w:val="auto"/>
          <w:spacing w:val="-7"/>
        </w:rPr>
        <w:t>四、采购人采购公开招标数额标准以上的货物或者服务，因落实促进残疾人就业政</w:t>
      </w:r>
      <w:r>
        <w:rPr>
          <w:color w:val="auto"/>
        </w:rPr>
        <w:t>策的需要，依法履行有关报批程序后，可采用公开招标以外的采购方式。</w:t>
      </w:r>
    </w:p>
    <w:p>
      <w:pPr>
        <w:pStyle w:val="3"/>
        <w:spacing w:before="1" w:line="364" w:lineRule="auto"/>
        <w:ind w:right="533" w:firstLine="480"/>
        <w:jc w:val="both"/>
        <w:rPr>
          <w:color w:val="auto"/>
        </w:rPr>
      </w:pPr>
      <w:r>
        <w:rPr>
          <w:color w:val="auto"/>
          <w:spacing w:val="-7"/>
        </w:rPr>
        <w:t>五、对于满足要求的残疾人福利性单位产品，集中采购机构可直接纳入协议供货或</w:t>
      </w:r>
      <w:r>
        <w:rPr>
          <w:color w:val="auto"/>
          <w:spacing w:val="-6"/>
        </w:rPr>
        <w:t>者定点采购范围。各地区建设的政府采购电子卖场、电子商城、网上超市等应当设立残</w:t>
      </w:r>
      <w:r>
        <w:rPr>
          <w:color w:val="auto"/>
        </w:rPr>
        <w:t>疾人福利性单位产品专栏。鼓励采购人优先选择残疾人福利性单位的产品。</w:t>
      </w:r>
    </w:p>
    <w:p>
      <w:pPr>
        <w:pStyle w:val="3"/>
        <w:spacing w:before="2" w:line="364" w:lineRule="auto"/>
        <w:ind w:right="533" w:firstLine="480"/>
        <w:jc w:val="both"/>
        <w:rPr>
          <w:color w:val="auto"/>
        </w:rPr>
      </w:pPr>
      <w:r>
        <w:rPr>
          <w:color w:val="auto"/>
          <w:spacing w:val="-7"/>
        </w:rPr>
        <w:t>六、省级财政部门可以结合本地区残疾人生产、经营的实际情况，细化政府采购支持措施。对符合国家有关部门规定条件的残疾人辅助性就业机构，可通过上述措施予以</w:t>
      </w:r>
      <w:r>
        <w:rPr>
          <w:color w:val="auto"/>
        </w:rPr>
        <w:t>支持。各地制定的有关文件应当报财政部备案。</w:t>
      </w:r>
    </w:p>
    <w:p>
      <w:pPr>
        <w:pStyle w:val="3"/>
        <w:spacing w:before="2"/>
        <w:ind w:left="1018"/>
        <w:jc w:val="both"/>
        <w:rPr>
          <w:color w:val="auto"/>
        </w:rPr>
      </w:pPr>
      <w:r>
        <w:rPr>
          <w:color w:val="auto"/>
        </w:rPr>
        <w:t>七、本通知自 2017 年 10 月 1 日起执行。</w:t>
      </w:r>
    </w:p>
    <w:p>
      <w:pPr>
        <w:pStyle w:val="3"/>
        <w:spacing w:before="161" w:line="364" w:lineRule="auto"/>
        <w:ind w:left="8890" w:right="534"/>
        <w:jc w:val="right"/>
        <w:rPr>
          <w:color w:val="auto"/>
        </w:rPr>
      </w:pPr>
      <w:r>
        <w:rPr>
          <w:color w:val="auto"/>
          <w:spacing w:val="-7"/>
        </w:rPr>
        <w:t>财政部民政部</w:t>
      </w:r>
    </w:p>
    <w:p>
      <w:pPr>
        <w:pStyle w:val="3"/>
        <w:spacing w:before="1" w:line="364" w:lineRule="auto"/>
        <w:ind w:left="7750" w:right="534" w:hanging="60"/>
        <w:jc w:val="right"/>
        <w:rPr>
          <w:color w:val="auto"/>
        </w:rPr>
      </w:pPr>
      <w:r>
        <w:rPr>
          <w:color w:val="auto"/>
          <w:spacing w:val="-3"/>
        </w:rPr>
        <w:t>中国残疾人联合会</w:t>
      </w:r>
      <w:r>
        <w:rPr>
          <w:color w:val="auto"/>
        </w:rPr>
        <w:t xml:space="preserve"> 2017</w:t>
      </w:r>
      <w:r>
        <w:rPr>
          <w:color w:val="auto"/>
          <w:spacing w:val="-40"/>
        </w:rPr>
        <w:t xml:space="preserve"> 年 </w:t>
      </w:r>
      <w:r>
        <w:rPr>
          <w:color w:val="auto"/>
        </w:rPr>
        <w:t>8</w:t>
      </w:r>
      <w:r>
        <w:rPr>
          <w:color w:val="auto"/>
          <w:spacing w:val="-40"/>
        </w:rPr>
        <w:t xml:space="preserve"> 月 </w:t>
      </w:r>
      <w:r>
        <w:rPr>
          <w:color w:val="auto"/>
        </w:rPr>
        <w:t>22</w:t>
      </w:r>
      <w:r>
        <w:rPr>
          <w:color w:val="auto"/>
          <w:spacing w:val="-39"/>
        </w:rPr>
        <w:t xml:space="preserve"> 日</w:t>
      </w:r>
    </w:p>
    <w:p>
      <w:pPr>
        <w:spacing w:after="0" w:line="364" w:lineRule="auto"/>
        <w:jc w:val="right"/>
        <w:rPr>
          <w:color w:val="auto"/>
        </w:rPr>
        <w:sectPr>
          <w:pgSz w:w="11910" w:h="16840"/>
          <w:pgMar w:top="1380" w:right="880" w:bottom="1100" w:left="880" w:header="888" w:footer="910" w:gutter="0"/>
          <w:pgNumType w:fmt="decimal"/>
          <w:cols w:space="720" w:num="1"/>
        </w:sectPr>
      </w:pPr>
    </w:p>
    <w:p>
      <w:pPr>
        <w:pStyle w:val="3"/>
        <w:spacing w:before="11"/>
        <w:ind w:left="0"/>
        <w:rPr>
          <w:color w:val="auto"/>
          <w:sz w:val="8"/>
        </w:rPr>
      </w:pPr>
    </w:p>
    <w:p>
      <w:pPr>
        <w:spacing w:before="54"/>
        <w:ind w:left="538" w:right="538" w:firstLine="0"/>
        <w:jc w:val="center"/>
        <w:rPr>
          <w:b/>
          <w:color w:val="auto"/>
          <w:sz w:val="32"/>
        </w:rPr>
      </w:pPr>
      <w:r>
        <w:rPr>
          <w:b/>
          <w:color w:val="auto"/>
          <w:sz w:val="32"/>
        </w:rPr>
        <w:t>残疾人福利性单位声明函（样表）</w:t>
      </w:r>
    </w:p>
    <w:p>
      <w:pPr>
        <w:pStyle w:val="3"/>
        <w:ind w:left="0"/>
        <w:rPr>
          <w:b/>
          <w:color w:val="auto"/>
          <w:sz w:val="32"/>
        </w:rPr>
      </w:pPr>
    </w:p>
    <w:p>
      <w:pPr>
        <w:pStyle w:val="3"/>
        <w:spacing w:before="5"/>
        <w:ind w:left="0"/>
        <w:rPr>
          <w:b/>
          <w:color w:val="auto"/>
          <w:sz w:val="29"/>
        </w:rPr>
      </w:pP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本单位郑重声明，根据《财政部 民政部 中国残疾人联合会关于促进残疾人就业政府采购政策的通知》（财库〔2017〕 141 号） 的规定，本单位为符合条件的残疾人福利性单位，且本单位参加_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（采购单位名称）_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单位的_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（采购项目名称）_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本单位对上述声明的真实性负责。如有虚假，将依法承担相应责任。</w:t>
      </w: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单位名称（盖章）： </w:t>
      </w:r>
    </w:p>
    <w:p>
      <w:pPr>
        <w:rPr>
          <w:color w:val="auto"/>
        </w:rPr>
      </w:pPr>
      <w:r>
        <w:rPr>
          <w:rFonts w:hint="eastAsia" w:ascii="仿宋" w:hAnsi="仿宋" w:eastAsia="仿宋" w:cs="仿宋"/>
          <w:color w:val="auto"/>
          <w:sz w:val="28"/>
          <w:szCs w:val="28"/>
        </w:rPr>
        <w:t>日</w:t>
      </w:r>
      <w:r>
        <w:rPr>
          <w:rFonts w:hint="eastAsia" w:ascii="仿宋" w:hAnsi="仿宋" w:eastAsia="仿宋" w:cs="仿宋"/>
          <w:color w:val="auto"/>
          <w:sz w:val="28"/>
          <w:szCs w:val="28"/>
        </w:rPr>
        <w:tab/>
      </w:r>
      <w:r>
        <w:rPr>
          <w:rFonts w:hint="eastAsia" w:ascii="仿宋" w:hAnsi="仿宋" w:eastAsia="仿宋" w:cs="仿宋"/>
          <w:color w:val="auto"/>
          <w:sz w:val="28"/>
          <w:szCs w:val="28"/>
        </w:rPr>
        <w:t>期：</w:t>
      </w:r>
    </w:p>
    <w:p>
      <w:pPr>
        <w:spacing w:after="0" w:line="367" w:lineRule="auto"/>
        <w:rPr>
          <w:color w:val="auto"/>
        </w:rPr>
        <w:sectPr>
          <w:pgSz w:w="11910" w:h="16840"/>
          <w:pgMar w:top="1380" w:right="880" w:bottom="1100" w:left="880" w:header="888" w:footer="910" w:gutter="0"/>
          <w:pgNumType w:fmt="decimal"/>
          <w:cols w:space="720" w:num="1"/>
        </w:sectPr>
      </w:pPr>
    </w:p>
    <w:p>
      <w:pPr>
        <w:pStyle w:val="11"/>
        <w:outlineLvl w:val="0"/>
        <w:rPr>
          <w:color w:val="auto"/>
        </w:rPr>
      </w:pPr>
      <w:bookmarkStart w:id="80" w:name="_Toc11579"/>
      <w:r>
        <w:rPr>
          <w:color w:val="auto"/>
        </w:rPr>
        <w:t>附件五</w:t>
      </w:r>
      <w:bookmarkEnd w:id="80"/>
    </w:p>
    <w:p>
      <w:pPr>
        <w:jc w:val="center"/>
        <w:rPr>
          <w:b/>
          <w:bCs/>
          <w:color w:val="auto"/>
        </w:rPr>
      </w:pPr>
      <w:r>
        <w:rPr>
          <w:b/>
          <w:bCs/>
          <w:color w:val="auto"/>
        </w:rPr>
        <w:t>财政部 司法部</w:t>
      </w:r>
    </w:p>
    <w:p>
      <w:pPr>
        <w:jc w:val="center"/>
        <w:rPr>
          <w:b/>
          <w:bCs/>
          <w:color w:val="auto"/>
        </w:rPr>
      </w:pPr>
      <w:r>
        <w:rPr>
          <w:b/>
          <w:bCs/>
          <w:color w:val="auto"/>
        </w:rPr>
        <w:t>关于政府采购支持监狱企业发展有关问题的通知</w:t>
      </w:r>
    </w:p>
    <w:p>
      <w:pPr>
        <w:jc w:val="center"/>
        <w:rPr>
          <w:b/>
          <w:bCs/>
          <w:color w:val="auto"/>
        </w:rPr>
      </w:pPr>
      <w:r>
        <w:rPr>
          <w:b/>
          <w:bCs/>
          <w:color w:val="auto"/>
        </w:rPr>
        <w:t>财库〔2014〕68 号</w:t>
      </w:r>
    </w:p>
    <w:p>
      <w:pPr>
        <w:pStyle w:val="3"/>
        <w:spacing w:before="84" w:line="364" w:lineRule="auto"/>
        <w:ind w:right="416" w:firstLine="480"/>
        <w:rPr>
          <w:color w:val="auto"/>
        </w:rPr>
      </w:pPr>
      <w:r>
        <w:rPr>
          <w:color w:val="auto"/>
          <w:spacing w:val="-5"/>
        </w:rPr>
        <w:t>党中央有关部门，国务院各部委、各直属机构，全国人大常委会办公厅，全国政协</w:t>
      </w:r>
      <w:r>
        <w:rPr>
          <w:color w:val="auto"/>
          <w:spacing w:val="-9"/>
        </w:rPr>
        <w:t>办公厅，高法院，高检院，有关人民团体，中央国家机关政府采购中心，中共中央直属</w:t>
      </w:r>
      <w:r>
        <w:rPr>
          <w:color w:val="auto"/>
          <w:spacing w:val="-29"/>
        </w:rPr>
        <w:t>机关采购中心，全国人大机关采购中心，各省、自治区、直辖市、计划单列市财政厅</w:t>
      </w:r>
      <w:r>
        <w:rPr>
          <w:color w:val="auto"/>
        </w:rPr>
        <w:t>（局</w:t>
      </w:r>
      <w:r>
        <w:rPr>
          <w:color w:val="auto"/>
          <w:spacing w:val="-94"/>
        </w:rPr>
        <w:t>）</w:t>
      </w:r>
      <w:r>
        <w:rPr>
          <w:color w:val="auto"/>
          <w:spacing w:val="-14"/>
        </w:rPr>
        <w:t>、</w:t>
      </w:r>
      <w:r>
        <w:rPr>
          <w:color w:val="auto"/>
        </w:rPr>
        <w:t>司法厅（局），新疆生产建设兵团财务局、司法局、监狱管理局：</w:t>
      </w:r>
    </w:p>
    <w:p>
      <w:pPr>
        <w:pStyle w:val="3"/>
        <w:spacing w:before="3" w:line="364" w:lineRule="auto"/>
        <w:ind w:right="534" w:firstLine="480"/>
        <w:jc w:val="both"/>
        <w:rPr>
          <w:color w:val="auto"/>
        </w:rPr>
      </w:pPr>
      <w:r>
        <w:rPr>
          <w:color w:val="auto"/>
          <w:spacing w:val="-2"/>
        </w:rPr>
        <w:t>政府采购支持监狱和戒毒企业</w:t>
      </w:r>
      <w:r>
        <w:rPr>
          <w:color w:val="auto"/>
        </w:rPr>
        <w:t>（以下简称监狱企业</w:t>
      </w:r>
      <w:r>
        <w:rPr>
          <w:color w:val="auto"/>
          <w:spacing w:val="-17"/>
        </w:rPr>
        <w:t>）</w:t>
      </w:r>
      <w:r>
        <w:rPr>
          <w:color w:val="auto"/>
          <w:spacing w:val="-3"/>
        </w:rPr>
        <w:t>发展对稳定监狱企业生产，提</w:t>
      </w:r>
      <w:r>
        <w:rPr>
          <w:color w:val="auto"/>
          <w:spacing w:val="-5"/>
        </w:rPr>
        <w:t>高</w:t>
      </w:r>
      <w:r>
        <w:rPr>
          <w:rFonts w:hint="eastAsia"/>
          <w:color w:val="auto"/>
          <w:spacing w:val="-5"/>
          <w:lang w:eastAsia="zh-CN"/>
        </w:rPr>
        <w:t>单位自筹</w:t>
      </w:r>
      <w:r>
        <w:rPr>
          <w:color w:val="auto"/>
          <w:spacing w:val="-5"/>
        </w:rPr>
        <w:t>使用效益，为罪犯和戒毒人员提供长期可靠的劳动岗位，提高罪犯和戒毒人</w:t>
      </w:r>
      <w:r>
        <w:rPr>
          <w:color w:val="auto"/>
          <w:spacing w:val="-6"/>
        </w:rPr>
        <w:t>员的教育改造质量，减少重新违法犯罪，确保监狱、戒毒场所安全稳定，促进社会和谐</w:t>
      </w:r>
      <w:r>
        <w:rPr>
          <w:color w:val="auto"/>
          <w:spacing w:val="-4"/>
        </w:rPr>
        <w:t>稳定具有十分重要的意义。为进一步贯彻落实国务院《关于解决监狱企业困难的实施方</w:t>
      </w:r>
      <w:r>
        <w:rPr>
          <w:color w:val="auto"/>
        </w:rPr>
        <w:t>案的通知》（国发[2003]7</w:t>
      </w:r>
      <w:r>
        <w:rPr>
          <w:color w:val="auto"/>
          <w:spacing w:val="-26"/>
        </w:rPr>
        <w:t xml:space="preserve"> 号</w:t>
      </w:r>
      <w:r>
        <w:rPr>
          <w:color w:val="auto"/>
        </w:rPr>
        <w:t>）</w:t>
      </w:r>
      <w:r>
        <w:rPr>
          <w:color w:val="auto"/>
          <w:spacing w:val="-1"/>
        </w:rPr>
        <w:t>文件精神，发挥政府采购支持监狱企业发展的作用，现</w:t>
      </w:r>
      <w:r>
        <w:rPr>
          <w:color w:val="auto"/>
        </w:rPr>
        <w:t>就有关事项通知如下：</w:t>
      </w:r>
    </w:p>
    <w:p>
      <w:pPr>
        <w:pStyle w:val="3"/>
        <w:spacing w:before="4" w:line="364" w:lineRule="auto"/>
        <w:ind w:right="413" w:firstLine="480"/>
        <w:rPr>
          <w:color w:val="auto"/>
        </w:rPr>
      </w:pPr>
      <w:r>
        <w:rPr>
          <w:color w:val="auto"/>
          <w:spacing w:val="-6"/>
        </w:rPr>
        <w:t>一、监狱企业是指由司法部认定的为罪犯、戒毒人员提供生产项目和劳动对象，且</w:t>
      </w:r>
      <w:r>
        <w:rPr>
          <w:color w:val="auto"/>
          <w:spacing w:val="-10"/>
        </w:rPr>
        <w:t xml:space="preserve">全部产权属于司法部监狱管理局、戒毒管理局、直属煤矿管理局，各省、自治区、直辖市监狱管理局、戒毒管理局，各地（设区的市）监狱、强制隔离戒毒所、戒毒康复所， </w:t>
      </w:r>
      <w:r>
        <w:rPr>
          <w:color w:val="auto"/>
          <w:spacing w:val="-18"/>
        </w:rPr>
        <w:t xml:space="preserve">以及新疆生产建设兵团监狱管理局、戒毒管理局的企业。监狱企业参加政府采购活动时， </w:t>
      </w:r>
      <w:r>
        <w:rPr>
          <w:color w:val="auto"/>
          <w:spacing w:val="-3"/>
        </w:rPr>
        <w:t>应当提供由省级以上监狱管理局、戒毒管理局</w:t>
      </w:r>
      <w:r>
        <w:rPr>
          <w:color w:val="auto"/>
        </w:rPr>
        <w:t>（含新疆生产建设兵团</w:t>
      </w:r>
      <w:r>
        <w:rPr>
          <w:color w:val="auto"/>
          <w:spacing w:val="-17"/>
        </w:rPr>
        <w:t>）</w:t>
      </w:r>
      <w:r>
        <w:rPr>
          <w:color w:val="auto"/>
        </w:rPr>
        <w:t>出具的属于监狱企业的证明文件。</w:t>
      </w:r>
    </w:p>
    <w:p>
      <w:pPr>
        <w:pStyle w:val="3"/>
        <w:spacing w:before="3" w:line="364" w:lineRule="auto"/>
        <w:ind w:right="533" w:firstLine="480"/>
        <w:jc w:val="both"/>
        <w:rPr>
          <w:color w:val="auto"/>
        </w:rPr>
      </w:pPr>
      <w:r>
        <w:rPr>
          <w:color w:val="auto"/>
          <w:spacing w:val="-8"/>
        </w:rPr>
        <w:t>二、在政府采购活动中，监狱企业视同小型、微型企业，享受预留份额、评审中价</w:t>
      </w:r>
      <w:r>
        <w:rPr>
          <w:color w:val="auto"/>
          <w:spacing w:val="-3"/>
        </w:rPr>
        <w:t>格扣除等政府采购促进中小企业发展的政府采购政策。向监狱企业采购的金额，计入面</w:t>
      </w:r>
      <w:r>
        <w:rPr>
          <w:color w:val="auto"/>
        </w:rPr>
        <w:t>向中小企业采购的统计数据。</w:t>
      </w:r>
    </w:p>
    <w:p>
      <w:pPr>
        <w:pStyle w:val="3"/>
        <w:spacing w:before="3" w:line="364" w:lineRule="auto"/>
        <w:ind w:right="413" w:firstLine="480"/>
        <w:rPr>
          <w:color w:val="auto"/>
        </w:rPr>
      </w:pPr>
      <w:r>
        <w:rPr>
          <w:color w:val="auto"/>
          <w:spacing w:val="-7"/>
        </w:rPr>
        <w:t>三、各地区、各部门要积极通过预留采购份额支持监狱企业。有制服采购项目的部门，应加强对政府采购预算和计划编制工作的统筹，预留本部门制服采购项目预算总额</w:t>
      </w:r>
      <w:r>
        <w:rPr>
          <w:color w:val="auto"/>
          <w:spacing w:val="-34"/>
        </w:rPr>
        <w:t xml:space="preserve">的 </w:t>
      </w:r>
      <w:r>
        <w:rPr>
          <w:color w:val="auto"/>
        </w:rPr>
        <w:t>30</w:t>
      </w:r>
      <w:r>
        <w:rPr>
          <w:color w:val="auto"/>
          <w:spacing w:val="-10"/>
        </w:rPr>
        <w:t>%以上，专门面向监狱企业采购。省级以上政府部门组织的公务员考试、招生考试、</w:t>
      </w:r>
      <w:r>
        <w:rPr>
          <w:color w:val="auto"/>
          <w:spacing w:val="3"/>
        </w:rPr>
        <w:t>等级考试、资格考试的试卷印刷项目原则上应当在符合有关资质的监狱企业范围内采</w:t>
      </w:r>
      <w:r>
        <w:rPr>
          <w:color w:val="auto"/>
          <w:spacing w:val="-16"/>
        </w:rPr>
        <w:t xml:space="preserve">购。各地在免费教科书政府采购工作中，应当根据符合教科书印制资质的监狱企业情况， </w:t>
      </w:r>
      <w:r>
        <w:rPr>
          <w:color w:val="auto"/>
        </w:rPr>
        <w:t>提出由监狱企业印刷的比例要求。</w:t>
      </w:r>
    </w:p>
    <w:p>
      <w:pPr>
        <w:pStyle w:val="3"/>
        <w:spacing w:before="4"/>
        <w:ind w:firstLine="420" w:firstLineChars="200"/>
        <w:rPr>
          <w:color w:val="auto"/>
        </w:rPr>
      </w:pPr>
      <w:r>
        <w:rPr>
          <w:color w:val="auto"/>
        </w:rPr>
        <w:t>四、各地区可以结合本地区实际，对监狱企业生产的办公用品、家具用具、车辆维</w:t>
      </w:r>
      <w:r>
        <w:rPr>
          <w:color w:val="auto"/>
          <w:spacing w:val="-5"/>
        </w:rPr>
        <w:t>修和提供的保养服务、消防设备等，提出预留份额等政府采购支持措施，加大对监狱企</w:t>
      </w:r>
      <w:r>
        <w:rPr>
          <w:color w:val="auto"/>
        </w:rPr>
        <w:t>业产品的采购力度。</w:t>
      </w:r>
    </w:p>
    <w:p>
      <w:pPr>
        <w:pStyle w:val="3"/>
        <w:spacing w:before="1" w:line="364" w:lineRule="auto"/>
        <w:ind w:right="413" w:firstLine="480"/>
        <w:rPr>
          <w:color w:val="auto"/>
        </w:rPr>
      </w:pPr>
      <w:r>
        <w:rPr>
          <w:color w:val="auto"/>
          <w:spacing w:val="-7"/>
        </w:rPr>
        <w:t>五、各地区、各部门要高度重视，加强组织管理和监督，做好政府采购支持监狱企</w:t>
      </w:r>
      <w:r>
        <w:rPr>
          <w:color w:val="auto"/>
          <w:spacing w:val="-17"/>
        </w:rPr>
        <w:t>业发展的相关工作。有关部门要加强监管，确保面向监狱企业采购的工作依法依规进行。</w:t>
      </w:r>
      <w:r>
        <w:rPr>
          <w:color w:val="auto"/>
          <w:spacing w:val="-3"/>
        </w:rPr>
        <w:t>各监狱企业要不断提高监狱企业产品的质量和服务水平，为做好监狱企业产品政府采购工作提供有力保障。</w:t>
      </w:r>
    </w:p>
    <w:p>
      <w:pPr>
        <w:pStyle w:val="3"/>
        <w:spacing w:before="11"/>
        <w:ind w:left="0"/>
        <w:rPr>
          <w:color w:val="auto"/>
          <w:sz w:val="25"/>
        </w:rPr>
      </w:pPr>
    </w:p>
    <w:p>
      <w:pPr>
        <w:pStyle w:val="3"/>
        <w:spacing w:before="1" w:line="436" w:lineRule="auto"/>
        <w:ind w:left="7209" w:right="534"/>
        <w:jc w:val="right"/>
        <w:rPr>
          <w:color w:val="auto"/>
        </w:rPr>
      </w:pPr>
      <w:r>
        <w:rPr>
          <w:color w:val="auto"/>
        </w:rPr>
        <w:t>中华人民共和国财政部中华人民共和国司法部 2014 年 6 月 10 日</w:t>
      </w:r>
    </w:p>
    <w:p>
      <w:pPr>
        <w:spacing w:after="0" w:line="436" w:lineRule="auto"/>
        <w:jc w:val="right"/>
        <w:rPr>
          <w:color w:val="auto"/>
        </w:rPr>
        <w:sectPr>
          <w:pgSz w:w="11910" w:h="16840"/>
          <w:pgMar w:top="1380" w:right="880" w:bottom="1100" w:left="880" w:header="888" w:footer="910" w:gutter="0"/>
          <w:pgNumType w:fmt="decimal"/>
          <w:cols w:space="720" w:num="1"/>
        </w:sectPr>
      </w:pPr>
    </w:p>
    <w:p>
      <w:pPr>
        <w:pStyle w:val="11"/>
        <w:outlineLvl w:val="0"/>
        <w:rPr>
          <w:color w:val="auto"/>
        </w:rPr>
      </w:pPr>
      <w:bookmarkStart w:id="81" w:name="_Toc9526"/>
      <w:r>
        <w:rPr>
          <w:color w:val="auto"/>
        </w:rPr>
        <w:t>附件六</w:t>
      </w:r>
      <w:bookmarkEnd w:id="81"/>
    </w:p>
    <w:p>
      <w:pPr>
        <w:pStyle w:val="3"/>
        <w:spacing w:before="8"/>
        <w:ind w:left="0"/>
        <w:rPr>
          <w:color w:val="auto"/>
          <w:sz w:val="9"/>
        </w:rPr>
      </w:pPr>
    </w:p>
    <w:p>
      <w:pPr>
        <w:jc w:val="center"/>
        <w:rPr>
          <w:rFonts w:hint="eastAsia"/>
          <w:b/>
          <w:bCs/>
          <w:color w:val="auto"/>
        </w:rPr>
      </w:pPr>
      <w:r>
        <w:rPr>
          <w:rFonts w:hint="eastAsia"/>
          <w:b/>
          <w:bCs/>
          <w:color w:val="auto"/>
        </w:rPr>
        <w:t>河南省住房和城乡建设厅关于进一步推动全省建筑市场统一开放的通知</w:t>
      </w:r>
    </w:p>
    <w:p>
      <w:pPr>
        <w:jc w:val="center"/>
        <w:rPr>
          <w:rFonts w:hint="eastAsia"/>
          <w:b/>
          <w:bCs/>
          <w:color w:val="auto"/>
        </w:rPr>
      </w:pPr>
      <w:r>
        <w:rPr>
          <w:rFonts w:hint="eastAsia"/>
          <w:b/>
          <w:bCs/>
          <w:color w:val="auto"/>
        </w:rPr>
        <w:t>豫建〔2016〕38 号</w:t>
      </w:r>
    </w:p>
    <w:p>
      <w:pPr>
        <w:pStyle w:val="3"/>
        <w:ind w:left="0"/>
        <w:rPr>
          <w:color w:val="auto"/>
        </w:rPr>
      </w:pPr>
    </w:p>
    <w:p>
      <w:pPr>
        <w:pStyle w:val="3"/>
        <w:spacing w:before="1"/>
        <w:ind w:left="0"/>
        <w:rPr>
          <w:color w:val="auto"/>
          <w:sz w:val="19"/>
        </w:rPr>
      </w:pPr>
    </w:p>
    <w:p>
      <w:pPr>
        <w:pStyle w:val="3"/>
        <w:spacing w:line="364" w:lineRule="auto"/>
        <w:ind w:right="472"/>
        <w:rPr>
          <w:color w:val="auto"/>
        </w:rPr>
      </w:pPr>
      <w:r>
        <w:rPr>
          <w:color w:val="auto"/>
        </w:rPr>
        <w:t>各省辖市、省直管县（市）住房和城乡建设局（委），郑州航空港经济综合实验区市政建设环保局，林州市住房城乡建设主管部门：</w:t>
      </w:r>
    </w:p>
    <w:p>
      <w:pPr>
        <w:pStyle w:val="3"/>
        <w:spacing w:before="2" w:line="364" w:lineRule="auto"/>
        <w:ind w:right="414" w:firstLine="480"/>
        <w:rPr>
          <w:color w:val="auto"/>
        </w:rPr>
      </w:pPr>
      <w:r>
        <w:rPr>
          <w:color w:val="auto"/>
          <w:spacing w:val="-4"/>
        </w:rPr>
        <w:t>为深入贯彻落实十八届三中、四中、五中全会精神，切实破除地区壁垒，推动建设</w:t>
      </w:r>
      <w:r>
        <w:rPr>
          <w:color w:val="auto"/>
          <w:spacing w:val="-8"/>
        </w:rPr>
        <w:t>统一开放、竞争有序的建筑市场，促进建筑业持续健康发展，依据《中华人民共和国建筑法》、《企业信息公示暂行条例》、《关于促进市场公平竞争维护市场正常秩序的若</w:t>
      </w:r>
      <w:r>
        <w:rPr>
          <w:color w:val="auto"/>
          <w:spacing w:val="-16"/>
        </w:rPr>
        <w:t>干意见》</w:t>
      </w:r>
      <w:r>
        <w:rPr>
          <w:color w:val="auto"/>
        </w:rPr>
        <w:t>（</w:t>
      </w:r>
      <w:r>
        <w:rPr>
          <w:color w:val="auto"/>
          <w:spacing w:val="-7"/>
        </w:rPr>
        <w:t>国发〔</w:t>
      </w:r>
      <w:r>
        <w:rPr>
          <w:color w:val="auto"/>
        </w:rPr>
        <w:t>2014</w:t>
      </w:r>
      <w:r>
        <w:rPr>
          <w:color w:val="auto"/>
          <w:spacing w:val="-20"/>
        </w:rPr>
        <w:t>〕</w:t>
      </w:r>
      <w:r>
        <w:rPr>
          <w:color w:val="auto"/>
        </w:rPr>
        <w:t>20</w:t>
      </w:r>
      <w:r>
        <w:rPr>
          <w:color w:val="auto"/>
          <w:spacing w:val="-30"/>
        </w:rPr>
        <w:t xml:space="preserve"> 号</w:t>
      </w:r>
      <w:r>
        <w:rPr>
          <w:color w:val="auto"/>
          <w:spacing w:val="-20"/>
        </w:rPr>
        <w:t>）</w:t>
      </w:r>
      <w:r>
        <w:rPr>
          <w:color w:val="auto"/>
          <w:spacing w:val="-3"/>
        </w:rPr>
        <w:t>和</w:t>
      </w:r>
      <w:r>
        <w:rPr>
          <w:rFonts w:hint="eastAsia"/>
          <w:color w:val="auto"/>
          <w:spacing w:val="-3"/>
          <w:highlight w:val="none"/>
          <w:lang w:eastAsia="zh-CN"/>
        </w:rPr>
        <w:t>住房和城乡建设部</w:t>
      </w:r>
      <w:r>
        <w:rPr>
          <w:color w:val="auto"/>
          <w:spacing w:val="-3"/>
        </w:rPr>
        <w:t>《关于推动建筑市场统一开放的若干</w:t>
      </w:r>
      <w:r>
        <w:rPr>
          <w:color w:val="auto"/>
          <w:spacing w:val="-10"/>
        </w:rPr>
        <w:t>规定》</w:t>
      </w:r>
      <w:r>
        <w:rPr>
          <w:color w:val="auto"/>
        </w:rPr>
        <w:t>（</w:t>
      </w:r>
      <w:r>
        <w:rPr>
          <w:color w:val="auto"/>
          <w:spacing w:val="-4"/>
        </w:rPr>
        <w:t>建市〔</w:t>
      </w:r>
      <w:r>
        <w:rPr>
          <w:color w:val="auto"/>
        </w:rPr>
        <w:t>2015</w:t>
      </w:r>
      <w:r>
        <w:rPr>
          <w:color w:val="auto"/>
          <w:spacing w:val="-12"/>
        </w:rPr>
        <w:t>〕</w:t>
      </w:r>
      <w:r>
        <w:rPr>
          <w:color w:val="auto"/>
        </w:rPr>
        <w:t>140</w:t>
      </w:r>
      <w:r>
        <w:rPr>
          <w:color w:val="auto"/>
          <w:spacing w:val="-31"/>
        </w:rPr>
        <w:t xml:space="preserve"> 号</w:t>
      </w:r>
      <w:r>
        <w:rPr>
          <w:color w:val="auto"/>
          <w:spacing w:val="-12"/>
        </w:rPr>
        <w:t>），</w:t>
      </w:r>
      <w:r>
        <w:rPr>
          <w:color w:val="auto"/>
          <w:spacing w:val="-3"/>
        </w:rPr>
        <w:t>结合我省实际，现就建筑企业</w:t>
      </w:r>
      <w:r>
        <w:rPr>
          <w:color w:val="auto"/>
        </w:rPr>
        <w:t>（</w:t>
      </w:r>
      <w:r>
        <w:rPr>
          <w:color w:val="auto"/>
          <w:spacing w:val="-4"/>
        </w:rPr>
        <w:t>包括工程勘察、设计、</w:t>
      </w:r>
      <w:r>
        <w:rPr>
          <w:color w:val="auto"/>
          <w:spacing w:val="-5"/>
        </w:rPr>
        <w:t>施工、监理、招标代理</w:t>
      </w:r>
      <w:r>
        <w:rPr>
          <w:color w:val="auto"/>
          <w:spacing w:val="-12"/>
        </w:rPr>
        <w:t>）</w:t>
      </w:r>
      <w:r>
        <w:rPr>
          <w:color w:val="auto"/>
          <w:spacing w:val="-1"/>
        </w:rPr>
        <w:t>在我省跨区域承揽业务监督管理工作有关事项通知如下，请认真贯彻落实。</w:t>
      </w:r>
    </w:p>
    <w:p>
      <w:pPr>
        <w:pStyle w:val="3"/>
        <w:spacing w:before="4" w:line="364" w:lineRule="auto"/>
        <w:ind w:right="532" w:firstLine="719"/>
        <w:jc w:val="both"/>
        <w:rPr>
          <w:color w:val="auto"/>
        </w:rPr>
      </w:pPr>
      <w:r>
        <w:rPr>
          <w:color w:val="auto"/>
          <w:spacing w:val="-8"/>
        </w:rPr>
        <w:t>一、各级住房城乡建设主管部门要按照“简政放权、服务企业、规范管理”的原则，简化前置管理事项，强化事中事后监管，给予外地建筑企业与本地建筑企业同等待遇，营造有利于实力强、信誉好的建筑企业开展跨区域承揽业务的宽松环境，推动建筑</w:t>
      </w:r>
      <w:r>
        <w:rPr>
          <w:color w:val="auto"/>
        </w:rPr>
        <w:t>市场统一开放。</w:t>
      </w:r>
    </w:p>
    <w:p>
      <w:pPr>
        <w:pStyle w:val="3"/>
        <w:spacing w:before="3" w:line="364" w:lineRule="auto"/>
        <w:ind w:right="415" w:firstLine="719"/>
        <w:jc w:val="both"/>
        <w:rPr>
          <w:color w:val="auto"/>
        </w:rPr>
      </w:pPr>
      <w:r>
        <w:rPr>
          <w:color w:val="auto"/>
          <w:spacing w:val="-6"/>
          <w:u w:val="single"/>
        </w:rPr>
        <w:t>二、取消省内建筑企业跨区域登记、备案等制度，企业凭加</w:t>
      </w:r>
      <w:r>
        <w:rPr>
          <w:rFonts w:hint="eastAsia"/>
          <w:color w:val="auto"/>
          <w:spacing w:val="-6"/>
          <w:u w:val="single"/>
          <w:lang w:eastAsia="zh-CN"/>
        </w:rPr>
        <w:t>电子签章</w:t>
      </w:r>
      <w:r>
        <w:rPr>
          <w:color w:val="auto"/>
          <w:spacing w:val="-6"/>
          <w:u w:val="single"/>
        </w:rPr>
        <w:t>的工商营</w:t>
      </w:r>
      <w:r>
        <w:rPr>
          <w:color w:val="auto"/>
          <w:spacing w:val="-8"/>
          <w:u w:val="single"/>
        </w:rPr>
        <w:t>业执照、资质证书、安全生产许可证</w:t>
      </w:r>
      <w:r>
        <w:rPr>
          <w:color w:val="auto"/>
          <w:u w:val="single"/>
        </w:rPr>
        <w:t>（施工企业</w:t>
      </w:r>
      <w:r>
        <w:rPr>
          <w:color w:val="auto"/>
          <w:spacing w:val="-12"/>
          <w:u w:val="single"/>
        </w:rPr>
        <w:t>）</w:t>
      </w:r>
      <w:r>
        <w:rPr>
          <w:color w:val="auto"/>
          <w:u w:val="single"/>
        </w:rPr>
        <w:t>等证照复印件以及工程项目所需专业</w:t>
      </w:r>
      <w:r>
        <w:rPr>
          <w:color w:val="auto"/>
          <w:spacing w:val="-180"/>
          <w:u w:val="single"/>
        </w:rPr>
        <w:t>技术</w:t>
      </w:r>
      <w:r>
        <w:rPr>
          <w:rFonts w:hint="eastAsia"/>
          <w:color w:val="auto"/>
          <w:spacing w:val="-7"/>
          <w:u w:val="single"/>
          <w:lang w:val="en-US" w:eastAsia="zh-CN"/>
        </w:rPr>
        <w:t>人</w:t>
      </w:r>
      <w:r>
        <w:rPr>
          <w:color w:val="auto"/>
          <w:spacing w:val="-7"/>
          <w:u w:val="single"/>
        </w:rPr>
        <w:t>员资格证书，即可在全省范围内参与投标或承揽工程，各级住房城乡建设主管部门、</w:t>
      </w:r>
      <w:r>
        <w:rPr>
          <w:rFonts w:hint="eastAsia"/>
          <w:color w:val="auto"/>
          <w:spacing w:val="-15"/>
          <w:u w:val="single"/>
          <w:lang w:eastAsia="zh-CN"/>
        </w:rPr>
        <w:t>采购人</w:t>
      </w:r>
      <w:r>
        <w:rPr>
          <w:color w:val="auto"/>
          <w:u w:val="single"/>
        </w:rPr>
        <w:t>（招标代理机构</w:t>
      </w:r>
      <w:r>
        <w:rPr>
          <w:color w:val="auto"/>
          <w:spacing w:val="-44"/>
          <w:u w:val="single"/>
        </w:rPr>
        <w:t>）</w:t>
      </w:r>
      <w:r>
        <w:rPr>
          <w:color w:val="auto"/>
          <w:spacing w:val="-7"/>
          <w:u w:val="single"/>
        </w:rPr>
        <w:t>可通过“河南省建筑市场监管信息系统暨一体化工作平台”</w:t>
      </w:r>
      <w:r>
        <w:rPr>
          <w:color w:val="auto"/>
          <w:u w:val="single"/>
        </w:rPr>
        <w:t>（</w:t>
      </w:r>
      <w:r>
        <w:rPr>
          <w:color w:val="auto"/>
          <w:spacing w:val="-3"/>
          <w:u w:val="single"/>
        </w:rPr>
        <w:t>以下简称“一体化平台</w:t>
      </w:r>
      <w:r>
        <w:rPr>
          <w:color w:val="auto"/>
          <w:spacing w:val="-10"/>
          <w:u w:val="single"/>
        </w:rPr>
        <w:t>”）</w:t>
      </w:r>
      <w:r>
        <w:rPr>
          <w:color w:val="auto"/>
          <w:spacing w:val="-4"/>
          <w:u w:val="single"/>
        </w:rPr>
        <w:t>查阅相关信息，不得另外附加条件，不得要求企业提供工</w:t>
      </w:r>
      <w:r>
        <w:rPr>
          <w:color w:val="auto"/>
          <w:spacing w:val="-220"/>
          <w:u w:val="single"/>
        </w:rPr>
        <w:t>商</w:t>
      </w:r>
      <w:r>
        <w:rPr>
          <w:color w:val="auto"/>
          <w:spacing w:val="-4"/>
          <w:u w:val="single"/>
        </w:rPr>
        <w:t>营业执照、资质证书、安全生产许可证</w:t>
      </w:r>
      <w:r>
        <w:rPr>
          <w:color w:val="auto"/>
          <w:u w:val="single"/>
        </w:rPr>
        <w:t>（施工企业</w:t>
      </w:r>
      <w:r>
        <w:rPr>
          <w:color w:val="auto"/>
          <w:spacing w:val="-10"/>
          <w:u w:val="single"/>
        </w:rPr>
        <w:t>）</w:t>
      </w:r>
      <w:r>
        <w:rPr>
          <w:color w:val="auto"/>
          <w:spacing w:val="-2"/>
          <w:u w:val="single"/>
        </w:rPr>
        <w:t>等证照原件，不得要求企业法定代表人到场。</w:t>
      </w:r>
    </w:p>
    <w:p>
      <w:pPr>
        <w:pStyle w:val="3"/>
        <w:spacing w:before="2" w:line="364" w:lineRule="auto"/>
        <w:ind w:right="413" w:firstLine="719"/>
        <w:rPr>
          <w:color w:val="auto"/>
        </w:rPr>
      </w:pPr>
      <w:r>
        <w:rPr>
          <w:color w:val="auto"/>
          <w:spacing w:val="-6"/>
        </w:rPr>
        <w:t>三、实行外省进豫建筑企业统一登记制度。外省建筑企业进豫承揽业务的，需通</w:t>
      </w:r>
      <w:r>
        <w:rPr>
          <w:color w:val="auto"/>
          <w:spacing w:val="-14"/>
        </w:rPr>
        <w:t>过“一体化平台”报送企业基本信息和</w:t>
      </w:r>
      <w:r>
        <w:rPr>
          <w:color w:val="auto"/>
          <w:spacing w:val="-14"/>
          <w:highlight w:val="none"/>
        </w:rPr>
        <w:t>在豫</w:t>
      </w:r>
      <w:r>
        <w:rPr>
          <w:color w:val="auto"/>
          <w:spacing w:val="-14"/>
        </w:rPr>
        <w:t>人员信息。内容应包括：企业营业执照副本、</w:t>
      </w:r>
      <w:r>
        <w:rPr>
          <w:color w:val="auto"/>
        </w:rPr>
        <w:t>企业资质证书副本、安全生产许可证副本（施工企业）、企业法定代表人授权委托书、</w:t>
      </w:r>
      <w:r>
        <w:rPr>
          <w:color w:val="auto"/>
          <w:spacing w:val="-4"/>
        </w:rPr>
        <w:t>企业诚信守法承诺书、</w:t>
      </w:r>
      <w:r>
        <w:rPr>
          <w:color w:val="auto"/>
          <w:spacing w:val="-4"/>
          <w:highlight w:val="none"/>
        </w:rPr>
        <w:t>在豫</w:t>
      </w:r>
      <w:r>
        <w:rPr>
          <w:color w:val="auto"/>
          <w:spacing w:val="-4"/>
        </w:rPr>
        <w:t>承揽业务负责人任命书等扫描件，以及</w:t>
      </w:r>
      <w:r>
        <w:rPr>
          <w:color w:val="auto"/>
          <w:spacing w:val="-4"/>
          <w:highlight w:val="none"/>
        </w:rPr>
        <w:t>在豫</w:t>
      </w:r>
      <w:r>
        <w:rPr>
          <w:color w:val="auto"/>
          <w:spacing w:val="-4"/>
        </w:rPr>
        <w:t>承揽业务负责人</w:t>
      </w:r>
      <w:r>
        <w:rPr>
          <w:color w:val="auto"/>
          <w:spacing w:val="-8"/>
        </w:rPr>
        <w:t>身份信息、联系方式。建筑企业对所报送信息的真实性负责。企业基本信息和人员发生</w:t>
      </w:r>
      <w:r>
        <w:rPr>
          <w:color w:val="auto"/>
        </w:rPr>
        <w:t>变更的，应当及时告知省级住房城乡建设主管部门。</w:t>
      </w:r>
    </w:p>
    <w:p>
      <w:pPr>
        <w:pStyle w:val="3"/>
        <w:spacing w:before="1" w:line="364" w:lineRule="auto"/>
        <w:ind w:right="533" w:firstLine="719"/>
        <w:rPr>
          <w:color w:val="auto"/>
        </w:rPr>
      </w:pPr>
      <w:r>
        <w:rPr>
          <w:color w:val="auto"/>
          <w:spacing w:val="-8"/>
        </w:rPr>
        <w:t>四、严禁出现或变相实行</w:t>
      </w:r>
      <w:r>
        <w:rPr>
          <w:rFonts w:hint="eastAsia"/>
          <w:color w:val="auto"/>
          <w:spacing w:val="-8"/>
          <w:highlight w:val="none"/>
          <w:lang w:eastAsia="zh-CN"/>
        </w:rPr>
        <w:t>住房和城乡建设部</w:t>
      </w:r>
      <w:r>
        <w:rPr>
          <w:color w:val="auto"/>
          <w:spacing w:val="-8"/>
        </w:rPr>
        <w:t>《关于推动建筑市场统一开放的若干规</w:t>
      </w:r>
      <w:r>
        <w:rPr>
          <w:color w:val="auto"/>
        </w:rPr>
        <w:t>定》第八条列出的九种行为：</w:t>
      </w:r>
    </w:p>
    <w:p>
      <w:pPr>
        <w:pStyle w:val="3"/>
        <w:spacing w:before="1"/>
        <w:ind w:left="1018"/>
        <w:rPr>
          <w:color w:val="auto"/>
        </w:rPr>
      </w:pPr>
      <w:r>
        <w:rPr>
          <w:color w:val="auto"/>
        </w:rPr>
        <w:t>（一）擅自设置任何审批、备案事项或者告知条件；</w:t>
      </w:r>
    </w:p>
    <w:p>
      <w:pPr>
        <w:pStyle w:val="3"/>
        <w:spacing w:before="161"/>
        <w:ind w:left="1018"/>
        <w:rPr>
          <w:color w:val="auto"/>
        </w:rPr>
      </w:pPr>
      <w:r>
        <w:rPr>
          <w:color w:val="auto"/>
        </w:rPr>
        <w:t>（二）收取没有法律法规依据的任何费用等；</w:t>
      </w:r>
    </w:p>
    <w:p>
      <w:pPr>
        <w:pStyle w:val="3"/>
        <w:spacing w:before="160"/>
        <w:ind w:left="1018"/>
        <w:rPr>
          <w:color w:val="auto"/>
        </w:rPr>
      </w:pPr>
      <w:r>
        <w:rPr>
          <w:color w:val="auto"/>
        </w:rPr>
        <w:t>（三）要求外地企业在本地区注册设立独立子公司或分公司；</w:t>
      </w:r>
    </w:p>
    <w:p>
      <w:pPr>
        <w:pStyle w:val="3"/>
        <w:spacing w:before="161"/>
        <w:ind w:left="1018"/>
        <w:rPr>
          <w:color w:val="auto"/>
        </w:rPr>
      </w:pPr>
      <w:r>
        <w:rPr>
          <w:color w:val="auto"/>
        </w:rPr>
        <w:t>（四）强制扣押外地企业和人员的相关证照资料；</w:t>
      </w:r>
    </w:p>
    <w:p>
      <w:pPr>
        <w:pStyle w:val="3"/>
        <w:spacing w:before="161" w:line="364" w:lineRule="auto"/>
        <w:ind w:right="535" w:firstLine="1050" w:firstLineChars="500"/>
        <w:rPr>
          <w:color w:val="auto"/>
        </w:rPr>
      </w:pPr>
      <w:r>
        <w:rPr>
          <w:color w:val="auto"/>
        </w:rPr>
        <w:t>（五</w:t>
      </w:r>
      <w:r>
        <w:rPr>
          <w:color w:val="auto"/>
          <w:spacing w:val="-51"/>
        </w:rPr>
        <w:t>）</w:t>
      </w:r>
      <w:r>
        <w:rPr>
          <w:color w:val="auto"/>
          <w:spacing w:val="-1"/>
        </w:rPr>
        <w:t>要求外地企业注册所在地住房城乡建设主管部门或其上级主管部门出具相关</w:t>
      </w:r>
      <w:r>
        <w:rPr>
          <w:color w:val="auto"/>
        </w:rPr>
        <w:t>证明；</w:t>
      </w:r>
    </w:p>
    <w:p>
      <w:pPr>
        <w:pStyle w:val="3"/>
        <w:spacing w:before="1"/>
        <w:ind w:left="1018"/>
        <w:rPr>
          <w:color w:val="auto"/>
        </w:rPr>
      </w:pPr>
      <w:r>
        <w:rPr>
          <w:color w:val="auto"/>
        </w:rPr>
        <w:t>（六）将资质资格等级作为外地企业进入本地区承揽业务的条件；</w:t>
      </w:r>
    </w:p>
    <w:p>
      <w:pPr>
        <w:pStyle w:val="3"/>
        <w:spacing w:before="161"/>
        <w:ind w:left="1018"/>
        <w:rPr>
          <w:color w:val="auto"/>
        </w:rPr>
      </w:pPr>
      <w:r>
        <w:rPr>
          <w:color w:val="auto"/>
        </w:rPr>
        <w:t>（七）以本地区承揽工程业绩、本地区获奖情况作为企业进入本地市场条件；</w:t>
      </w:r>
    </w:p>
    <w:p>
      <w:pPr>
        <w:pStyle w:val="3"/>
        <w:spacing w:before="160"/>
        <w:ind w:left="1018"/>
        <w:rPr>
          <w:color w:val="auto"/>
        </w:rPr>
      </w:pPr>
      <w:r>
        <w:rPr>
          <w:color w:val="auto"/>
        </w:rPr>
        <w:t>（八）要求企业法定代表人到场办理入省（市）手续；</w:t>
      </w:r>
    </w:p>
    <w:p>
      <w:pPr>
        <w:pStyle w:val="3"/>
        <w:spacing w:before="161"/>
        <w:ind w:left="1018"/>
        <w:rPr>
          <w:color w:val="auto"/>
        </w:rPr>
      </w:pPr>
      <w:r>
        <w:rPr>
          <w:color w:val="auto"/>
        </w:rPr>
        <w:t>（九）其他妨碍企业自主经营、公平竞争的行为。</w:t>
      </w:r>
    </w:p>
    <w:p>
      <w:pPr>
        <w:pStyle w:val="3"/>
        <w:spacing w:before="161" w:line="364" w:lineRule="auto"/>
        <w:ind w:right="413" w:firstLine="719"/>
        <w:rPr>
          <w:color w:val="auto"/>
        </w:rPr>
      </w:pPr>
      <w:r>
        <w:rPr>
          <w:color w:val="auto"/>
          <w:spacing w:val="-15"/>
        </w:rPr>
        <w:t>五、跨区域承揽业务的建筑企业中标后</w:t>
      </w:r>
      <w:r>
        <w:rPr>
          <w:color w:val="auto"/>
        </w:rPr>
        <w:t>（包括通过直接发包方式确定的承包企业</w:t>
      </w:r>
      <w:r>
        <w:rPr>
          <w:color w:val="auto"/>
          <w:spacing w:val="-16"/>
        </w:rPr>
        <w:t xml:space="preserve">） </w:t>
      </w:r>
      <w:r>
        <w:rPr>
          <w:color w:val="auto"/>
          <w:spacing w:val="-6"/>
        </w:rPr>
        <w:t>应通过“一体化平台”进行合同备案，并报送项目班子主要人员信息。各级住房城乡建</w:t>
      </w:r>
      <w:r>
        <w:rPr>
          <w:color w:val="auto"/>
          <w:spacing w:val="-10"/>
        </w:rPr>
        <w:t>设主管部门要依据“一体化平台”公布的中标信息，加强履约管理。在建筑市场监督检</w:t>
      </w:r>
      <w:r>
        <w:rPr>
          <w:color w:val="auto"/>
          <w:spacing w:val="-8"/>
        </w:rPr>
        <w:t>查时，重点核查项目班子人员与中标信息不一致、项目负责人不履职、建筑企业在多个项目更换项目负责人等行为，依法查处转包、挂靠、违法分包等违法违规行为。</w:t>
      </w:r>
    </w:p>
    <w:p>
      <w:pPr>
        <w:pStyle w:val="3"/>
        <w:spacing w:before="3" w:line="364" w:lineRule="auto"/>
        <w:ind w:right="485" w:firstLine="719"/>
        <w:jc w:val="both"/>
        <w:rPr>
          <w:color w:val="auto"/>
        </w:rPr>
      </w:pPr>
      <w:r>
        <w:rPr>
          <w:color w:val="auto"/>
          <w:spacing w:val="-1"/>
        </w:rPr>
        <w:t xml:space="preserve">六、在我省承揽业务的建筑企业要严格遵守法律法规，自觉规范建筑市场行为， </w:t>
      </w:r>
      <w:r>
        <w:rPr>
          <w:color w:val="auto"/>
          <w:spacing w:val="-3"/>
        </w:rPr>
        <w:t>接受工程所在地住房城乡建设主管部门监管。对发生严重违法违规行为或报送企业基本</w:t>
      </w:r>
      <w:r>
        <w:rPr>
          <w:color w:val="auto"/>
          <w:spacing w:val="-7"/>
        </w:rPr>
        <w:t>信息时弄虚作假的建筑企业，工程所在地住房城乡建设主管部门要依法依规对其不良行</w:t>
      </w:r>
      <w:r>
        <w:rPr>
          <w:color w:val="auto"/>
          <w:spacing w:val="-10"/>
        </w:rPr>
        <w:t>为做出处理并及时上报省厅，我厅将上报</w:t>
      </w:r>
      <w:r>
        <w:rPr>
          <w:rFonts w:hint="eastAsia"/>
          <w:color w:val="auto"/>
          <w:spacing w:val="-10"/>
          <w:highlight w:val="none"/>
          <w:lang w:eastAsia="zh-CN"/>
        </w:rPr>
        <w:t>住房和城乡建设部</w:t>
      </w:r>
      <w:r>
        <w:rPr>
          <w:color w:val="auto"/>
          <w:spacing w:val="-10"/>
        </w:rPr>
        <w:t>，通过全国建筑市场监管与诚信信息发布平台和我省“一体化平台”向社会公布。</w:t>
      </w:r>
    </w:p>
    <w:p>
      <w:pPr>
        <w:pStyle w:val="3"/>
        <w:spacing w:before="3" w:line="364" w:lineRule="auto"/>
        <w:ind w:right="532" w:firstLine="719"/>
        <w:jc w:val="both"/>
        <w:rPr>
          <w:color w:val="auto"/>
        </w:rPr>
      </w:pPr>
      <w:r>
        <w:rPr>
          <w:color w:val="auto"/>
          <w:spacing w:val="-7"/>
        </w:rPr>
        <w:t>七、各级住房城乡建设主管部门要高度重视推动建筑市场统一开放工作，加强组</w:t>
      </w:r>
      <w:r>
        <w:rPr>
          <w:color w:val="auto"/>
          <w:spacing w:val="-5"/>
        </w:rPr>
        <w:t>织领导和监督检查，切实落实工作责任。对之前在市场准入、招标投标等方面制定的文</w:t>
      </w:r>
      <w:r>
        <w:rPr>
          <w:color w:val="auto"/>
        </w:rPr>
        <w:t>件、制度与建市〔2015〕140</w:t>
      </w:r>
      <w:r>
        <w:rPr>
          <w:color w:val="auto"/>
          <w:spacing w:val="-9"/>
        </w:rPr>
        <w:t xml:space="preserve"> 号文件和本通知精神不符的，或者涉嫌有设立不合理条件</w:t>
      </w:r>
      <w:r>
        <w:rPr>
          <w:color w:val="auto"/>
          <w:spacing w:val="-8"/>
        </w:rPr>
        <w:t xml:space="preserve">排斥或限制外地企业承揽业务的文件规定，要按照“谁制定，谁清理”的原则，于 </w:t>
      </w:r>
      <w:r>
        <w:rPr>
          <w:color w:val="auto"/>
          <w:spacing w:val="-4"/>
        </w:rPr>
        <w:t>2016</w:t>
      </w:r>
      <w:r>
        <w:rPr>
          <w:color w:val="auto"/>
          <w:spacing w:val="-22"/>
        </w:rPr>
        <w:t xml:space="preserve">年 </w:t>
      </w:r>
      <w:r>
        <w:rPr>
          <w:color w:val="auto"/>
        </w:rPr>
        <w:t>4</w:t>
      </w:r>
      <w:r>
        <w:rPr>
          <w:color w:val="auto"/>
          <w:spacing w:val="-30"/>
        </w:rPr>
        <w:t xml:space="preserve"> 月 </w:t>
      </w:r>
      <w:r>
        <w:rPr>
          <w:color w:val="auto"/>
        </w:rPr>
        <w:t>20</w:t>
      </w:r>
      <w:r>
        <w:rPr>
          <w:color w:val="auto"/>
          <w:spacing w:val="-7"/>
        </w:rPr>
        <w:t xml:space="preserve"> 日前进行全面清理。省厅将对各地跨区域承揽业务监管工作实施监督检查，</w:t>
      </w:r>
      <w:r>
        <w:rPr>
          <w:color w:val="auto"/>
        </w:rPr>
        <w:t>对设立不合理条件限制或排斥外地企业承揽业务的责令限期整改，对情节严重或企业反映强烈、举报投诉较多、拒不整改的地区进行约谈、通报和曝光。</w:t>
      </w:r>
    </w:p>
    <w:p>
      <w:pPr>
        <w:pStyle w:val="3"/>
        <w:spacing w:before="1" w:line="364" w:lineRule="auto"/>
        <w:ind w:right="532" w:firstLine="719"/>
        <w:jc w:val="both"/>
        <w:rPr>
          <w:color w:val="auto"/>
          <w:spacing w:val="32"/>
        </w:rPr>
      </w:pPr>
      <w:r>
        <w:rPr>
          <w:color w:val="auto"/>
          <w:spacing w:val="-7"/>
        </w:rPr>
        <w:t>八、省厅建立建筑企业跨区域承揽业务活动监管协调联动机制，请各地明确本地</w:t>
      </w:r>
      <w:r>
        <w:rPr>
          <w:color w:val="auto"/>
          <w:spacing w:val="-3"/>
        </w:rPr>
        <w:t>负责建筑业企业跨区域承揽业务活动管理的部门和人员，并将部门名称和人员姓名、职</w:t>
      </w:r>
      <w:r>
        <w:rPr>
          <w:color w:val="auto"/>
          <w:spacing w:val="32"/>
        </w:rPr>
        <w:t xml:space="preserve">务、 联系电话等信息及时上报厅建筑管理处。 </w:t>
      </w:r>
    </w:p>
    <w:p>
      <w:pPr>
        <w:pStyle w:val="3"/>
        <w:spacing w:before="1" w:line="364" w:lineRule="auto"/>
        <w:ind w:right="532" w:firstLine="719"/>
        <w:jc w:val="both"/>
        <w:rPr>
          <w:color w:val="auto"/>
        </w:rPr>
      </w:pPr>
      <w:r>
        <w:rPr>
          <w:color w:val="auto"/>
          <w:spacing w:val="32"/>
        </w:rPr>
        <w:t xml:space="preserve">省厅举报投诉受理邮箱： </w:t>
      </w:r>
      <w:r>
        <w:rPr>
          <w:color w:val="auto"/>
        </w:rPr>
        <w:fldChar w:fldCharType="begin"/>
      </w:r>
      <w:r>
        <w:rPr>
          <w:color w:val="auto"/>
        </w:rPr>
        <w:instrText xml:space="preserve"> HYPERLINK "mailto:hnjzscgl@163.com" \h </w:instrText>
      </w:r>
      <w:r>
        <w:rPr>
          <w:color w:val="auto"/>
        </w:rPr>
        <w:fldChar w:fldCharType="separate"/>
      </w:r>
      <w:r>
        <w:rPr>
          <w:color w:val="auto"/>
          <w:spacing w:val="32"/>
        </w:rPr>
        <w:t>hnjzscgl@163.com</w:t>
      </w:r>
      <w:r>
        <w:rPr>
          <w:color w:val="auto"/>
          <w:spacing w:val="32"/>
        </w:rPr>
        <w:fldChar w:fldCharType="end"/>
      </w:r>
      <w:r>
        <w:rPr>
          <w:color w:val="auto"/>
          <w:spacing w:val="32"/>
        </w:rPr>
        <w:t>，电话：0371—68080835。</w:t>
      </w:r>
    </w:p>
    <w:p>
      <w:pPr>
        <w:spacing w:line="360" w:lineRule="auto"/>
        <w:ind w:firstLine="784" w:firstLineChars="400"/>
        <w:rPr>
          <w:rFonts w:ascii="宋体" w:hAnsi="宋体" w:eastAsia="宋体" w:cs="宋体"/>
          <w:color w:val="auto"/>
          <w:spacing w:val="-7"/>
          <w:sz w:val="21"/>
          <w:szCs w:val="21"/>
          <w:lang w:val="zh-CN" w:eastAsia="zh-CN" w:bidi="zh-CN"/>
        </w:rPr>
      </w:pPr>
      <w:r>
        <w:rPr>
          <w:rFonts w:ascii="宋体" w:hAnsi="宋体" w:eastAsia="宋体" w:cs="宋体"/>
          <w:color w:val="auto"/>
          <w:spacing w:val="-7"/>
          <w:sz w:val="21"/>
          <w:szCs w:val="21"/>
          <w:lang w:val="zh-CN" w:eastAsia="zh-CN" w:bidi="zh-CN"/>
        </w:rPr>
        <w:t>九、本通知自发布之日起施行。原有关文件与本通知不一致的，按本通知执行。</w:t>
      </w:r>
    </w:p>
    <w:p>
      <w:pPr>
        <w:rPr>
          <w:rFonts w:hint="eastAsia" w:ascii="Arial" w:hAnsi="Arial"/>
          <w:color w:val="auto"/>
          <w:lang w:val="en-US" w:eastAsia="zh-CN"/>
        </w:rPr>
      </w:pPr>
      <w:r>
        <w:rPr>
          <w:rFonts w:hint="eastAsia" w:ascii="Arial" w:hAnsi="Arial"/>
          <w:color w:val="auto"/>
          <w:lang w:val="en-US" w:eastAsia="zh-CN"/>
        </w:rPr>
        <w:br w:type="page"/>
      </w:r>
    </w:p>
    <w:p>
      <w:pPr>
        <w:pStyle w:val="8"/>
        <w:numPr>
          <w:ilvl w:val="0"/>
          <w:numId w:val="0"/>
        </w:numPr>
        <w:jc w:val="both"/>
        <w:rPr>
          <w:rFonts w:hint="eastAsia" w:ascii="Arial" w:hAnsi="Arial" w:eastAsia="黑体"/>
          <w:b w:val="0"/>
          <w:bCs w:val="0"/>
          <w:color w:val="auto"/>
          <w:sz w:val="20"/>
          <w:szCs w:val="20"/>
          <w:lang w:eastAsia="zh-CN"/>
        </w:rPr>
      </w:pPr>
      <w:r>
        <w:rPr>
          <w:rFonts w:hint="eastAsia" w:ascii="Arial" w:hAnsi="Arial"/>
          <w:color w:val="auto"/>
          <w:lang w:val="en-US" w:eastAsia="zh-CN"/>
        </w:rPr>
        <w:t>附件：</w:t>
      </w:r>
      <w:r>
        <w:rPr>
          <w:rFonts w:hint="eastAsia" w:ascii="Arial" w:hAnsi="Arial"/>
          <w:color w:val="auto"/>
        </w:rPr>
        <w:t>联合体协议书</w:t>
      </w:r>
      <w:r>
        <w:rPr>
          <w:rFonts w:hint="eastAsia" w:ascii="Arial" w:hAnsi="Arial"/>
          <w:b w:val="0"/>
          <w:bCs w:val="0"/>
          <w:color w:val="auto"/>
          <w:sz w:val="20"/>
          <w:szCs w:val="20"/>
          <w:lang w:eastAsia="zh-CN"/>
        </w:rPr>
        <w:t>（</w:t>
      </w:r>
      <w:r>
        <w:rPr>
          <w:rFonts w:hint="eastAsia" w:ascii="Arial" w:hAnsi="Arial"/>
          <w:b w:val="0"/>
          <w:bCs w:val="0"/>
          <w:color w:val="auto"/>
          <w:sz w:val="20"/>
          <w:szCs w:val="20"/>
          <w:lang w:val="en-US" w:eastAsia="zh-CN"/>
        </w:rPr>
        <w:t>仅采购人接受联合体标段适用</w:t>
      </w:r>
      <w:r>
        <w:rPr>
          <w:rFonts w:hint="eastAsia" w:ascii="Arial" w:hAnsi="Arial"/>
          <w:b w:val="0"/>
          <w:bCs w:val="0"/>
          <w:color w:val="auto"/>
          <w:sz w:val="20"/>
          <w:szCs w:val="20"/>
          <w:lang w:eastAsia="zh-CN"/>
        </w:rPr>
        <w:t>）</w:t>
      </w:r>
    </w:p>
    <w:p>
      <w:pPr>
        <w:jc w:val="center"/>
        <w:rPr>
          <w:rFonts w:hint="eastAsia" w:ascii="宋体" w:hAnsi="宋体" w:eastAsia="宋体"/>
          <w:b/>
          <w:bCs/>
          <w:color w:val="auto"/>
          <w:sz w:val="32"/>
          <w:szCs w:val="32"/>
          <w:lang w:val="en-US" w:eastAsia="zh-CN"/>
        </w:rPr>
      </w:pPr>
      <w:r>
        <w:rPr>
          <w:rFonts w:hint="eastAsia" w:ascii="宋体" w:hAnsi="宋体"/>
          <w:b/>
          <w:bCs/>
          <w:color w:val="auto"/>
          <w:sz w:val="32"/>
          <w:szCs w:val="32"/>
          <w:lang w:val="en-US" w:eastAsia="zh-CN"/>
        </w:rPr>
        <w:t>联合体协议书</w:t>
      </w:r>
    </w:p>
    <w:p>
      <w:pPr>
        <w:rPr>
          <w:rFonts w:ascii="宋体" w:hAnsi="宋体"/>
          <w:color w:val="auto"/>
        </w:rPr>
      </w:pPr>
      <w:r>
        <w:rPr>
          <w:rFonts w:ascii="宋体" w:hAnsi="宋体"/>
          <w:color w:val="auto"/>
        </w:rPr>
        <w:t xml:space="preserve">      </w:t>
      </w:r>
      <w:r>
        <w:rPr>
          <w:rFonts w:ascii="宋体" w:hAnsi="宋体"/>
          <w:color w:val="auto"/>
          <w:u w:val="single"/>
        </w:rPr>
        <w:t xml:space="preserve">          （所有成员单位名称）</w:t>
      </w:r>
      <w:r>
        <w:rPr>
          <w:rFonts w:ascii="宋体" w:hAnsi="宋体"/>
          <w:color w:val="auto"/>
        </w:rPr>
        <w:t>自愿组成</w:t>
      </w:r>
      <w:r>
        <w:rPr>
          <w:rFonts w:ascii="宋体" w:hAnsi="宋体"/>
          <w:color w:val="auto"/>
          <w:u w:val="single"/>
        </w:rPr>
        <w:t xml:space="preserve">        （联合体名称）</w:t>
      </w:r>
      <w:r>
        <w:rPr>
          <w:rFonts w:ascii="宋体" w:hAnsi="宋体"/>
          <w:color w:val="auto"/>
        </w:rPr>
        <w:t>联合体，共同</w:t>
      </w:r>
      <w:r>
        <w:rPr>
          <w:rFonts w:hint="eastAsia" w:ascii="宋体" w:hAnsi="宋体"/>
          <w:color w:val="auto"/>
        </w:rPr>
        <w:t>参加</w:t>
      </w:r>
      <w:r>
        <w:rPr>
          <w:rFonts w:ascii="宋体" w:hAnsi="宋体"/>
          <w:color w:val="auto"/>
        </w:rPr>
        <w:t xml:space="preserve"> </w:t>
      </w:r>
      <w:r>
        <w:rPr>
          <w:rFonts w:ascii="宋体" w:hAnsi="宋体"/>
          <w:color w:val="auto"/>
          <w:u w:val="single"/>
        </w:rPr>
        <w:t xml:space="preserve">      （项目名称）</w:t>
      </w:r>
      <w:r>
        <w:rPr>
          <w:rFonts w:hint="eastAsia" w:ascii="宋体" w:hAnsi="宋体"/>
          <w:color w:val="auto"/>
          <w:lang w:eastAsia="zh-CN"/>
        </w:rPr>
        <w:t>采购</w:t>
      </w:r>
      <w:r>
        <w:rPr>
          <w:rFonts w:ascii="宋体" w:hAnsi="宋体"/>
          <w:color w:val="auto"/>
        </w:rPr>
        <w:t>项目投标。现就联合体投标事宜订立如下协议。</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 xml:space="preserve">1. </w:t>
      </w:r>
      <w:r>
        <w:rPr>
          <w:rFonts w:ascii="宋体" w:hAnsi="宋体"/>
          <w:color w:val="auto"/>
          <w:u w:val="single"/>
        </w:rPr>
        <w:t xml:space="preserve">                  （某成员单位名称）</w:t>
      </w:r>
      <w:r>
        <w:rPr>
          <w:rFonts w:ascii="宋体" w:hAnsi="宋体"/>
          <w:color w:val="auto"/>
        </w:rPr>
        <w:t>为</w:t>
      </w:r>
      <w:r>
        <w:rPr>
          <w:rFonts w:ascii="宋体" w:hAnsi="宋体"/>
          <w:color w:val="auto"/>
          <w:u w:val="single"/>
        </w:rPr>
        <w:t xml:space="preserve">        （联合体名称）</w:t>
      </w:r>
      <w:r>
        <w:rPr>
          <w:rFonts w:ascii="宋体" w:hAnsi="宋体"/>
          <w:color w:val="auto"/>
        </w:rPr>
        <w:t xml:space="preserve">牵头人。 </w:t>
      </w:r>
    </w:p>
    <w:p>
      <w:pPr>
        <w:rPr>
          <w:rFonts w:ascii="宋体" w:hAnsi="宋体"/>
          <w:color w:val="auto"/>
        </w:rPr>
      </w:pPr>
      <w:r>
        <w:rPr>
          <w:rFonts w:ascii="宋体" w:hAnsi="宋体"/>
          <w:color w:val="auto"/>
        </w:rPr>
        <w:t>2. 联合体各成员授权牵头人代表联合体参加投标活动，签署文件，提交和接收相关的资料、</w:t>
      </w:r>
      <w:r>
        <w:rPr>
          <w:rFonts w:hint="eastAsia" w:ascii="宋体" w:hAnsi="宋体"/>
          <w:color w:val="auto"/>
        </w:rPr>
        <w:t>信息及指示，进行合同谈判活动，负责合同实施阶段的组织和协调工作，以及处理与本</w:t>
      </w:r>
      <w:r>
        <w:rPr>
          <w:rFonts w:hint="eastAsia" w:ascii="宋体" w:hAnsi="宋体"/>
          <w:color w:val="auto"/>
          <w:lang w:eastAsia="zh-CN"/>
        </w:rPr>
        <w:t>采购</w:t>
      </w:r>
      <w:r>
        <w:rPr>
          <w:rFonts w:hint="eastAsia" w:ascii="宋体" w:hAnsi="宋体"/>
          <w:color w:val="auto"/>
        </w:rPr>
        <w:t>项目有关的一切事宜。</w:t>
      </w:r>
      <w:r>
        <w:rPr>
          <w:rFonts w:ascii="宋体" w:hAnsi="宋体"/>
          <w:color w:val="auto"/>
        </w:rPr>
        <w:t xml:space="preserve"> </w:t>
      </w:r>
    </w:p>
    <w:p>
      <w:pPr>
        <w:rPr>
          <w:rFonts w:ascii="宋体" w:hAnsi="宋体"/>
          <w:color w:val="auto"/>
        </w:rPr>
      </w:pPr>
      <w:r>
        <w:rPr>
          <w:rFonts w:ascii="宋体" w:hAnsi="宋体"/>
          <w:color w:val="auto"/>
        </w:rPr>
        <w:t>3. 联合体牵头人在本项目中签署的一切文件和处理的一切事宜，联合体各成员均予以承认。</w:t>
      </w:r>
    </w:p>
    <w:p>
      <w:pPr>
        <w:rPr>
          <w:rFonts w:ascii="宋体" w:hAnsi="宋体"/>
          <w:color w:val="auto"/>
        </w:rPr>
      </w:pPr>
      <w:r>
        <w:rPr>
          <w:rFonts w:hint="eastAsia" w:ascii="宋体" w:hAnsi="宋体"/>
          <w:color w:val="auto"/>
        </w:rPr>
        <w:t>联合体各成员将严格按照</w:t>
      </w:r>
      <w:r>
        <w:rPr>
          <w:rFonts w:hint="eastAsia" w:ascii="宋体" w:hAnsi="宋体"/>
          <w:color w:val="auto"/>
          <w:lang w:eastAsia="zh-CN"/>
        </w:rPr>
        <w:t>竞争性磋商文件</w:t>
      </w:r>
      <w:r>
        <w:rPr>
          <w:rFonts w:hint="eastAsia" w:ascii="宋体" w:hAnsi="宋体"/>
          <w:color w:val="auto"/>
        </w:rPr>
        <w:t>、</w:t>
      </w:r>
      <w:r>
        <w:rPr>
          <w:rFonts w:hint="eastAsia" w:ascii="宋体" w:hAnsi="宋体"/>
          <w:color w:val="auto"/>
          <w:lang w:eastAsia="zh-CN"/>
        </w:rPr>
        <w:t>响应文件</w:t>
      </w:r>
      <w:r>
        <w:rPr>
          <w:rFonts w:hint="eastAsia" w:ascii="宋体" w:hAnsi="宋体"/>
          <w:color w:val="auto"/>
        </w:rPr>
        <w:t>和合同的要求全面履行义务，并向</w:t>
      </w:r>
      <w:r>
        <w:rPr>
          <w:rFonts w:hint="eastAsia" w:ascii="宋体" w:hAnsi="宋体"/>
          <w:color w:val="auto"/>
          <w:lang w:eastAsia="zh-CN"/>
        </w:rPr>
        <w:t>采购人</w:t>
      </w:r>
      <w:r>
        <w:rPr>
          <w:rFonts w:hint="eastAsia" w:ascii="宋体" w:hAnsi="宋体"/>
          <w:color w:val="auto"/>
        </w:rPr>
        <w:t>承担连带责任。</w:t>
      </w:r>
      <w:r>
        <w:rPr>
          <w:rFonts w:ascii="宋体" w:hAnsi="宋体"/>
          <w:color w:val="auto"/>
        </w:rPr>
        <w:t xml:space="preserve"> </w:t>
      </w:r>
    </w:p>
    <w:p>
      <w:pPr>
        <w:rPr>
          <w:rFonts w:ascii="宋体" w:hAnsi="宋体"/>
          <w:color w:val="auto"/>
        </w:rPr>
      </w:pPr>
      <w:r>
        <w:rPr>
          <w:rFonts w:ascii="宋体" w:hAnsi="宋体"/>
          <w:color w:val="auto"/>
        </w:rPr>
        <w:t xml:space="preserve">4. 联合体各成员单位内部的职责分工如下： </w:t>
      </w:r>
      <w:r>
        <w:rPr>
          <w:rFonts w:ascii="宋体" w:hAnsi="宋体"/>
          <w:color w:val="auto"/>
          <w:u w:val="single"/>
        </w:rPr>
        <w:t xml:space="preserve">                                       </w:t>
      </w:r>
      <w:r>
        <w:rPr>
          <w:rFonts w:ascii="宋体" w:hAnsi="宋体"/>
          <w:color w:val="auto"/>
        </w:rPr>
        <w:t>。</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5. 本协议书自所有成员单位法定代表人或其委托代理人签字或盖单位章之日起生效，合同</w:t>
      </w:r>
      <w:r>
        <w:rPr>
          <w:rFonts w:hint="eastAsia" w:ascii="宋体" w:hAnsi="宋体"/>
          <w:color w:val="auto"/>
        </w:rPr>
        <w:t>履行完毕后自动失效。</w:t>
      </w:r>
      <w:r>
        <w:rPr>
          <w:rFonts w:ascii="宋体" w:hAnsi="宋体"/>
          <w:color w:val="auto"/>
        </w:rPr>
        <w:t xml:space="preserve"> </w:t>
      </w:r>
    </w:p>
    <w:p>
      <w:pPr>
        <w:rPr>
          <w:rFonts w:ascii="宋体" w:hAnsi="宋体"/>
          <w:color w:val="auto"/>
        </w:rPr>
      </w:pPr>
      <w:r>
        <w:rPr>
          <w:rFonts w:ascii="宋体" w:hAnsi="宋体"/>
          <w:color w:val="auto"/>
        </w:rPr>
        <w:t>6. 本协议书一式</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ascii="宋体" w:hAnsi="宋体"/>
          <w:color w:val="auto"/>
        </w:rPr>
        <w:t>份，联合体成员和</w:t>
      </w:r>
      <w:r>
        <w:rPr>
          <w:rFonts w:hint="eastAsia" w:ascii="宋体" w:hAnsi="宋体"/>
          <w:color w:val="auto"/>
          <w:lang w:eastAsia="zh-CN"/>
        </w:rPr>
        <w:t>采购人</w:t>
      </w:r>
      <w:r>
        <w:rPr>
          <w:rFonts w:ascii="宋体" w:hAnsi="宋体"/>
          <w:color w:val="auto"/>
        </w:rPr>
        <w:t xml:space="preserve">各执一份。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注：本协议书由法定代表人签字的，应附法定代表人身份证明；由委托代理人签字的，应附授权委托书。</w:t>
      </w:r>
      <w:r>
        <w:rPr>
          <w:rFonts w:ascii="宋体" w:hAnsi="宋体"/>
          <w:color w:val="auto"/>
        </w:rPr>
        <w:t xml:space="preserve">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联合体牵头人名称：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hint="eastAsia" w:ascii="宋体" w:hAnsi="宋体"/>
          <w:color w:val="auto"/>
        </w:rPr>
        <w:t>……</w:t>
      </w:r>
      <w:r>
        <w:rPr>
          <w:rFonts w:ascii="宋体" w:hAnsi="宋体"/>
          <w:color w:val="auto"/>
        </w:rPr>
        <w:t xml:space="preserve">  </w:t>
      </w:r>
    </w:p>
    <w:p>
      <w:pPr>
        <w:rPr>
          <w:rFonts w:ascii="宋体" w:hAnsi="宋体"/>
          <w:color w:val="auto"/>
        </w:rPr>
      </w:pPr>
      <w:r>
        <w:rPr>
          <w:rFonts w:ascii="宋体" w:hAnsi="宋体"/>
          <w:color w:val="auto"/>
        </w:rPr>
        <w:t xml:space="preserve">      </w:t>
      </w:r>
    </w:p>
    <w:p>
      <w:pPr>
        <w:jc w:val="right"/>
        <w:rPr>
          <w:color w:val="auto"/>
        </w:rPr>
      </w:pPr>
      <w:r>
        <w:rPr>
          <w:rFonts w:ascii="宋体" w:hAnsi="宋体"/>
          <w:color w:val="auto"/>
        </w:rPr>
        <w:t xml:space="preserve"> 年       月       日</w:t>
      </w:r>
    </w:p>
    <w:p>
      <w:pPr>
        <w:rPr>
          <w:rFonts w:hint="eastAsia"/>
          <w:color w:val="auto"/>
          <w:lang w:val="zh-CN" w:eastAsia="zh-CN"/>
        </w:rPr>
      </w:pPr>
      <w:r>
        <w:rPr>
          <w:rFonts w:hint="eastAsia"/>
          <w:color w:val="auto"/>
          <w:lang w:val="zh-CN" w:eastAsia="zh-CN"/>
        </w:rPr>
        <w:br w:type="page"/>
      </w:r>
    </w:p>
    <w:p>
      <w:pPr>
        <w:widowControl/>
        <w:spacing w:after="3" w:afterLines="1" w:line="700" w:lineRule="exact"/>
        <w:jc w:val="center"/>
        <w:outlineLvl w:val="0"/>
        <w:rPr>
          <w:rFonts w:hint="eastAsia" w:ascii="宋体" w:hAnsi="宋体" w:cs="宋体"/>
          <w:b/>
          <w:bCs/>
          <w:color w:val="auto"/>
          <w:kern w:val="36"/>
          <w:sz w:val="42"/>
          <w:szCs w:val="42"/>
        </w:rPr>
      </w:pPr>
      <w:bookmarkStart w:id="82" w:name="_Toc23142"/>
      <w:r>
        <w:rPr>
          <w:rFonts w:hint="eastAsia" w:ascii="宋体" w:hAnsi="宋体" w:cs="宋体"/>
          <w:b/>
          <w:bCs/>
          <w:color w:val="auto"/>
          <w:kern w:val="36"/>
          <w:sz w:val="42"/>
          <w:szCs w:val="42"/>
        </w:rPr>
        <w:t>唐河县政府采购合同融资告知函</w:t>
      </w:r>
      <w:bookmarkEnd w:id="82"/>
    </w:p>
    <w:p>
      <w:pPr>
        <w:widowControl/>
        <w:spacing w:after="3" w:afterLines="1" w:line="700" w:lineRule="exact"/>
        <w:jc w:val="left"/>
        <w:rPr>
          <w:rFonts w:hint="eastAsia" w:ascii="宋体" w:hAnsi="宋体" w:cs="宋体"/>
          <w:color w:val="auto"/>
          <w:kern w:val="0"/>
          <w:sz w:val="32"/>
          <w:szCs w:val="32"/>
        </w:rPr>
      </w:pPr>
      <w:r>
        <w:rPr>
          <w:rFonts w:hint="eastAsia" w:ascii="宋体" w:hAnsi="宋体" w:cs="宋体"/>
          <w:color w:val="auto"/>
          <w:kern w:val="0"/>
          <w:sz w:val="32"/>
          <w:szCs w:val="32"/>
        </w:rPr>
        <w:t>各供应商：</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欢迎贵公司参与唐河县政府采购活动！ </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widowControl/>
        <w:spacing w:after="3" w:afterLines="1" w:line="700" w:lineRule="exact"/>
        <w:ind w:firstLine="640" w:firstLineChars="200"/>
        <w:jc w:val="left"/>
        <w:rPr>
          <w:rFonts w:hint="eastAsia" w:ascii="宋体" w:hAnsi="宋体" w:cs="宋体"/>
          <w:color w:val="auto"/>
          <w:kern w:val="0"/>
          <w:sz w:val="32"/>
          <w:szCs w:val="32"/>
          <w:lang w:val="zh-CN" w:eastAsia="zh-CN"/>
        </w:rPr>
      </w:pPr>
      <w:r>
        <w:rPr>
          <w:rFonts w:hint="eastAsia" w:ascii="宋体" w:hAnsi="宋体" w:cs="宋体"/>
          <w:color w:val="auto"/>
          <w:kern w:val="0"/>
          <w:sz w:val="32"/>
          <w:szCs w:val="32"/>
          <w:lang w:val="zh-CN" w:eastAsia="zh-CN"/>
        </w:rPr>
        <w:t>贷款渠道和提供贷款的金融机构，可在河南省政府采购网“河南省政府采购合同融资平台”查询联系。</w:t>
      </w: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jc w:val="right"/>
        <w:rPr>
          <w:rFonts w:hint="eastAsia"/>
          <w:lang w:val="zh-CN" w:eastAsia="zh-CN"/>
        </w:rPr>
      </w:pPr>
      <w:r>
        <w:rPr>
          <w:rFonts w:hint="eastAsia"/>
          <w:lang w:val="zh-CN" w:eastAsia="zh-CN"/>
        </w:rPr>
        <w:drawing>
          <wp:inline distT="0" distB="0" distL="114300" distR="114300">
            <wp:extent cx="6184265" cy="8886190"/>
            <wp:effectExtent l="0" t="0" r="6985" b="10160"/>
            <wp:docPr id="3" name="图片 3" descr="告知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告知函"/>
                    <pic:cNvPicPr>
                      <a:picLocks noChangeAspect="1"/>
                    </pic:cNvPicPr>
                  </pic:nvPicPr>
                  <pic:blipFill>
                    <a:blip r:embed="rId9"/>
                    <a:stretch>
                      <a:fillRect/>
                    </a:stretch>
                  </pic:blipFill>
                  <pic:spPr>
                    <a:xfrm>
                      <a:off x="0" y="0"/>
                      <a:ext cx="6184265" cy="8886190"/>
                    </a:xfrm>
                    <a:prstGeom prst="rect">
                      <a:avLst/>
                    </a:prstGeom>
                  </pic:spPr>
                </pic:pic>
              </a:graphicData>
            </a:graphic>
          </wp:inline>
        </w:drawing>
      </w:r>
    </w:p>
    <w:sectPr>
      <w:pgSz w:w="11910" w:h="16840"/>
      <w:pgMar w:top="1417" w:right="1080" w:bottom="1263" w:left="1080" w:header="882" w:footer="8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FuturaA Bk BT">
    <w:altName w:val="Courier New"/>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0288"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9"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6192;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8zf5m9sAAAAOAQAADwAAAAAAAAABACAAAAAiAAAAZHJzL2Rvd25yZXYueG1s&#10;UEsBAhQAFAAAAAgAh07iQO2c9UX1AQAA/wMAAA4AAAAAAAAAAQAgAAAAKgEAAGRycy9lMm9Eb2Mu&#10;eG1sUEsFBgAAAAAGAAYAWQEAAJEFAAAAAA==&#10;">
              <v:fill on="f" focussize="0,0"/>
              <v:stroke weight="0.48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4"/>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r>
      <w:rPr>
        <w:rFonts w:ascii="宋体" w:hAnsi="宋体" w:eastAsia="宋体" w:cs="宋体"/>
        <w:sz w:val="21"/>
        <w:szCs w:val="21"/>
        <w:lang w:val="zh-CN" w:eastAsia="zh-CN" w:bidi="zh-CN"/>
      </w:rPr>
      <mc:AlternateContent>
        <mc:Choice Requires="wps">
          <w:drawing>
            <wp:anchor distT="0" distB="0" distL="114300" distR="114300" simplePos="0" relativeHeight="251663360"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1"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3120;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zN/mb2wAAAA4BAAAPAAAAAAAAAAEAIAAAACIAAABkcnMvZG93bnJldi54bWxQ&#10;SwECFAAUAAAACACHTuJAWSpYlvQBAAD/AwAADgAAAAAAAAABACAAAAAqAQAAZHJzL2Uyb0RvYy54&#10;bWxQSwUGAAAAAAYABgBZAQAAkAUAAAAA&#10;">
              <v:fill on="f" focussize="0,0"/>
              <v:stroke weight="0.48pt" color="#000000" joinstyle="round"/>
              <v:imagedata o:title=""/>
              <o:lock v:ext="edit" aspectratio="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2336" behindDoc="1" locked="0" layoutInCell="1" allowOverlap="1">
              <wp:simplePos x="0" y="0"/>
              <wp:positionH relativeFrom="page">
                <wp:posOffset>673100</wp:posOffset>
              </wp:positionH>
              <wp:positionV relativeFrom="page">
                <wp:posOffset>546735</wp:posOffset>
              </wp:positionV>
              <wp:extent cx="5994400" cy="311150"/>
              <wp:effectExtent l="0" t="0" r="0" b="0"/>
              <wp:wrapNone/>
              <wp:docPr id="11" name="文本框 11"/>
              <wp:cNvGraphicFramePr/>
              <a:graphic xmlns:a="http://schemas.openxmlformats.org/drawingml/2006/main">
                <a:graphicData uri="http://schemas.microsoft.com/office/word/2010/wordprocessingShape">
                  <wps:wsp>
                    <wps:cNvSpPr/>
                    <wps:spPr>
                      <a:xfrm>
                        <a:off x="0" y="0"/>
                        <a:ext cx="5994400" cy="311150"/>
                      </a:xfrm>
                      <a:prstGeom prst="rect">
                        <a:avLst/>
                      </a:prstGeom>
                      <a:noFill/>
                      <a:ln>
                        <a:noFill/>
                      </a:ln>
                    </wps:spPr>
                    <wps:txbx>
                      <w:txbxContent>
                        <w:p>
                          <w:pPr>
                            <w:spacing w:before="0" w:line="261" w:lineRule="exact"/>
                            <w:ind w:left="20" w:right="0" w:firstLine="0"/>
                            <w:jc w:val="left"/>
                            <w:rPr>
                              <w:b/>
                              <w:sz w:val="18"/>
                            </w:rPr>
                          </w:pPr>
                          <w:r>
                            <w:rPr>
                              <w:rFonts w:hint="eastAsia"/>
                              <w:b/>
                              <w:sz w:val="18"/>
                              <w:lang w:val="en-US" w:eastAsia="zh-CN"/>
                            </w:rPr>
                            <w:t xml:space="preserve">唐河县黑龙镇易地扶贫搬迁后续扶持标准化厂房建设项目    </w:t>
                          </w:r>
                          <w:r>
                            <w:rPr>
                              <w:b/>
                              <w:sz w:val="18"/>
                            </w:rPr>
                            <w:t>竞争性磋商文件</w:t>
                          </w:r>
                        </w:p>
                      </w:txbxContent>
                    </wps:txbx>
                    <wps:bodyPr lIns="0" tIns="0" rIns="0" bIns="0" upright="1"/>
                  </wps:wsp>
                </a:graphicData>
              </a:graphic>
            </wp:anchor>
          </w:drawing>
        </mc:Choice>
        <mc:Fallback>
          <w:pict>
            <v:rect id="文本框 11" o:spid="_x0000_s1026" o:spt="1" style="position:absolute;left:0pt;margin-left:53pt;margin-top:43.05pt;height:24.5pt;width:472pt;mso-position-horizontal-relative:page;mso-position-vertical-relative:page;z-index:-251654144;mso-width-relative:page;mso-height-relative:page;" filled="f" stroked="f" coordsize="21600,21600" o:gfxdata="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iaqCHaAAAACwEAAA8AAAAAAAAAAQAgAAAAIgAAAGRycy9kb3ducmV2LnhtbFBLAQIUABQA&#10;AAAIAIdO4kD8KAzGtQEAAGoDAAAOAAAAAAAAAAEAIAAAACkBAABkcnMvZTJvRG9jLnhtbFBLBQYA&#10;AAAABgAGAFkBAABQBQAAAAA=&#10;">
              <v:fill on="f" focussize="0,0"/>
              <v:stroke on="f"/>
              <v:imagedata o:title=""/>
              <o:lock v:ext="edit" aspectratio="f"/>
              <v:textbox inset="0mm,0mm,0mm,0mm">
                <w:txbxContent>
                  <w:p>
                    <w:pPr>
                      <w:spacing w:before="0" w:line="261" w:lineRule="exact"/>
                      <w:ind w:left="20" w:right="0" w:firstLine="0"/>
                      <w:jc w:val="left"/>
                      <w:rPr>
                        <w:b/>
                        <w:sz w:val="18"/>
                      </w:rPr>
                    </w:pPr>
                    <w:r>
                      <w:rPr>
                        <w:rFonts w:hint="eastAsia"/>
                        <w:b/>
                        <w:sz w:val="18"/>
                        <w:lang w:val="en-US" w:eastAsia="zh-CN"/>
                      </w:rPr>
                      <w:t xml:space="preserve">唐河县黑龙镇易地扶贫搬迁后续扶持标准化厂房建设项目    </w:t>
                    </w:r>
                    <w:r>
                      <w:rPr>
                        <w:b/>
                        <w:sz w:val="18"/>
                      </w:rPr>
                      <w:t>竞争性磋商文件</w:t>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BB0F2"/>
    <w:multiLevelType w:val="singleLevel"/>
    <w:tmpl w:val="8BEBB0F2"/>
    <w:lvl w:ilvl="0" w:tentative="0">
      <w:start w:val="3"/>
      <w:numFmt w:val="decimal"/>
      <w:suff w:val="nothing"/>
      <w:lvlText w:val="%1、"/>
      <w:lvlJc w:val="left"/>
    </w:lvl>
  </w:abstractNum>
  <w:abstractNum w:abstractNumId="1">
    <w:nsid w:val="A535EFCA"/>
    <w:multiLevelType w:val="singleLevel"/>
    <w:tmpl w:val="A535EFCA"/>
    <w:lvl w:ilvl="0" w:tentative="0">
      <w:start w:val="4"/>
      <w:numFmt w:val="chineseCounting"/>
      <w:suff w:val="nothing"/>
      <w:lvlText w:val="%1、"/>
      <w:lvlJc w:val="left"/>
      <w:rPr>
        <w:rFonts w:hint="eastAsia"/>
      </w:rPr>
    </w:lvl>
  </w:abstractNum>
  <w:abstractNum w:abstractNumId="2">
    <w:nsid w:val="0000000E"/>
    <w:multiLevelType w:val="multilevel"/>
    <w:tmpl w:val="0000000E"/>
    <w:lvl w:ilvl="0" w:tentative="0">
      <w:start w:val="1"/>
      <w:numFmt w:val="decimal"/>
      <w:lvlText w:val="%1."/>
      <w:lvlJc w:val="left"/>
      <w:pPr>
        <w:ind w:left="1470" w:hanging="360"/>
      </w:pPr>
      <w:rPr>
        <w:rFonts w:hint="default" w:ascii="仿宋" w:hAnsi="仿宋" w:eastAsia="仿宋" w:cs="仿宋"/>
        <w:w w:val="100"/>
        <w:sz w:val="24"/>
        <w:szCs w:val="24"/>
        <w:lang w:val="zh-CN" w:eastAsia="zh-CN" w:bidi="zh-CN"/>
      </w:rPr>
    </w:lvl>
    <w:lvl w:ilvl="1" w:tentative="0">
      <w:start w:val="1"/>
      <w:numFmt w:val="decimal"/>
      <w:lvlText w:val="%1.%2"/>
      <w:lvlJc w:val="left"/>
      <w:pPr>
        <w:ind w:left="1590" w:hanging="480"/>
      </w:pPr>
      <w:rPr>
        <w:rFonts w:hint="default" w:ascii="仿宋" w:hAnsi="仿宋" w:eastAsia="仿宋" w:cs="仿宋"/>
        <w:w w:val="100"/>
        <w:sz w:val="24"/>
        <w:szCs w:val="24"/>
        <w:lang w:val="zh-CN" w:eastAsia="zh-CN" w:bidi="zh-CN"/>
      </w:rPr>
    </w:lvl>
    <w:lvl w:ilvl="2" w:tentative="0">
      <w:start w:val="1"/>
      <w:numFmt w:val="decimal"/>
      <w:lvlText w:val="%1.%2.%3"/>
      <w:lvlJc w:val="left"/>
      <w:pPr>
        <w:ind w:left="1830" w:hanging="720"/>
      </w:pPr>
      <w:rPr>
        <w:rFonts w:hint="default" w:ascii="仿宋" w:hAnsi="仿宋" w:eastAsia="仿宋" w:cs="仿宋"/>
        <w:w w:val="100"/>
        <w:sz w:val="24"/>
        <w:szCs w:val="24"/>
        <w:lang w:val="zh-CN" w:eastAsia="zh-CN" w:bidi="zh-CN"/>
      </w:rPr>
    </w:lvl>
    <w:lvl w:ilvl="3" w:tentative="0">
      <w:start w:val="0"/>
      <w:numFmt w:val="bullet"/>
      <w:lvlText w:val="•"/>
      <w:lvlJc w:val="left"/>
      <w:pPr>
        <w:ind w:left="1840" w:hanging="720"/>
      </w:pPr>
      <w:rPr>
        <w:rFonts w:hint="default"/>
        <w:lang w:val="zh-CN" w:eastAsia="zh-CN" w:bidi="zh-CN"/>
      </w:rPr>
    </w:lvl>
    <w:lvl w:ilvl="4" w:tentative="0">
      <w:start w:val="0"/>
      <w:numFmt w:val="bullet"/>
      <w:lvlText w:val="•"/>
      <w:lvlJc w:val="left"/>
      <w:pPr>
        <w:ind w:left="3026" w:hanging="720"/>
      </w:pPr>
      <w:rPr>
        <w:rFonts w:hint="default"/>
        <w:lang w:val="zh-CN" w:eastAsia="zh-CN" w:bidi="zh-CN"/>
      </w:rPr>
    </w:lvl>
    <w:lvl w:ilvl="5" w:tentative="0">
      <w:start w:val="0"/>
      <w:numFmt w:val="bullet"/>
      <w:lvlText w:val="•"/>
      <w:lvlJc w:val="left"/>
      <w:pPr>
        <w:ind w:left="4213" w:hanging="720"/>
      </w:pPr>
      <w:rPr>
        <w:rFonts w:hint="default"/>
        <w:lang w:val="zh-CN" w:eastAsia="zh-CN" w:bidi="zh-CN"/>
      </w:rPr>
    </w:lvl>
    <w:lvl w:ilvl="6" w:tentative="0">
      <w:start w:val="0"/>
      <w:numFmt w:val="bullet"/>
      <w:lvlText w:val="•"/>
      <w:lvlJc w:val="left"/>
      <w:pPr>
        <w:ind w:left="5399" w:hanging="720"/>
      </w:pPr>
      <w:rPr>
        <w:rFonts w:hint="default"/>
        <w:lang w:val="zh-CN" w:eastAsia="zh-CN" w:bidi="zh-CN"/>
      </w:rPr>
    </w:lvl>
    <w:lvl w:ilvl="7" w:tentative="0">
      <w:start w:val="0"/>
      <w:numFmt w:val="bullet"/>
      <w:lvlText w:val="•"/>
      <w:lvlJc w:val="left"/>
      <w:pPr>
        <w:ind w:left="6586" w:hanging="720"/>
      </w:pPr>
      <w:rPr>
        <w:rFonts w:hint="default"/>
        <w:lang w:val="zh-CN" w:eastAsia="zh-CN" w:bidi="zh-CN"/>
      </w:rPr>
    </w:lvl>
    <w:lvl w:ilvl="8" w:tentative="0">
      <w:start w:val="0"/>
      <w:numFmt w:val="bullet"/>
      <w:lvlText w:val="•"/>
      <w:lvlJc w:val="left"/>
      <w:pPr>
        <w:ind w:left="7773" w:hanging="720"/>
      </w:pPr>
      <w:rPr>
        <w:rFonts w:hint="default"/>
        <w:lang w:val="zh-CN" w:eastAsia="zh-CN" w:bidi="zh-CN"/>
      </w:rPr>
    </w:lvl>
  </w:abstractNum>
  <w:abstractNum w:abstractNumId="3">
    <w:nsid w:val="00000011"/>
    <w:multiLevelType w:val="singleLevel"/>
    <w:tmpl w:val="00000011"/>
    <w:lvl w:ilvl="0" w:tentative="0">
      <w:start w:val="1"/>
      <w:numFmt w:val="decimal"/>
      <w:suff w:val="nothing"/>
      <w:lvlText w:val="（%1）"/>
      <w:lvlJc w:val="left"/>
    </w:lvl>
  </w:abstractNum>
  <w:abstractNum w:abstractNumId="4">
    <w:nsid w:val="00000012"/>
    <w:multiLevelType w:val="singleLevel"/>
    <w:tmpl w:val="00000012"/>
    <w:lvl w:ilvl="0" w:tentative="0">
      <w:start w:val="1"/>
      <w:numFmt w:val="decimal"/>
      <w:suff w:val="nothing"/>
      <w:lvlText w:val="（%1）"/>
      <w:lvlJc w:val="left"/>
    </w:lvl>
  </w:abstractNum>
  <w:abstractNum w:abstractNumId="5">
    <w:nsid w:val="00000015"/>
    <w:multiLevelType w:val="singleLevel"/>
    <w:tmpl w:val="00000015"/>
    <w:lvl w:ilvl="0" w:tentative="0">
      <w:start w:val="1"/>
      <w:numFmt w:val="decimal"/>
      <w:suff w:val="nothing"/>
      <w:lvlText w:val="（%1）"/>
      <w:lvlJc w:val="left"/>
    </w:lvl>
  </w:abstractNum>
  <w:abstractNum w:abstractNumId="6">
    <w:nsid w:val="00000016"/>
    <w:multiLevelType w:val="singleLevel"/>
    <w:tmpl w:val="00000016"/>
    <w:lvl w:ilvl="0" w:tentative="0">
      <w:start w:val="1"/>
      <w:numFmt w:val="decimal"/>
      <w:suff w:val="nothing"/>
      <w:lvlText w:val="%1、"/>
      <w:lvlJc w:val="left"/>
    </w:lvl>
  </w:abstractNum>
  <w:abstractNum w:abstractNumId="7">
    <w:nsid w:val="00000019"/>
    <w:multiLevelType w:val="singleLevel"/>
    <w:tmpl w:val="00000019"/>
    <w:lvl w:ilvl="0" w:tentative="0">
      <w:start w:val="1"/>
      <w:numFmt w:val="decimal"/>
      <w:suff w:val="nothing"/>
      <w:lvlText w:val="（%1）"/>
      <w:lvlJc w:val="left"/>
    </w:lvl>
  </w:abstractNum>
  <w:abstractNum w:abstractNumId="8">
    <w:nsid w:val="77ECEA79"/>
    <w:multiLevelType w:val="singleLevel"/>
    <w:tmpl w:val="77ECEA79"/>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0"/>
  </w:num>
  <w:num w:numId="2">
    <w:abstractNumId w:val="6"/>
  </w:num>
  <w:num w:numId="3">
    <w:abstractNumId w:val="3"/>
  </w:num>
  <w:num w:numId="4">
    <w:abstractNumId w:val="4"/>
  </w:num>
  <w:num w:numId="5">
    <w:abstractNumId w:val="5"/>
  </w:num>
  <w:num w:numId="6">
    <w:abstractNumId w:val="7"/>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yOWFhY2UyZmUzYTNlODJjOWZiMDc3Y2MwNGEwOTAifQ=="/>
  </w:docVars>
  <w:rsids>
    <w:rsidRoot w:val="00000000"/>
    <w:rsid w:val="00710E82"/>
    <w:rsid w:val="008E0C60"/>
    <w:rsid w:val="00FE1942"/>
    <w:rsid w:val="0149039A"/>
    <w:rsid w:val="01C773D1"/>
    <w:rsid w:val="01CA4D42"/>
    <w:rsid w:val="01D32DCE"/>
    <w:rsid w:val="01DF713D"/>
    <w:rsid w:val="01E47C09"/>
    <w:rsid w:val="01EC20E2"/>
    <w:rsid w:val="02105DD0"/>
    <w:rsid w:val="021F7E80"/>
    <w:rsid w:val="02906F11"/>
    <w:rsid w:val="02917E56"/>
    <w:rsid w:val="02B05AF3"/>
    <w:rsid w:val="02FB568B"/>
    <w:rsid w:val="03074478"/>
    <w:rsid w:val="030A361A"/>
    <w:rsid w:val="031856ED"/>
    <w:rsid w:val="033755DF"/>
    <w:rsid w:val="03433F84"/>
    <w:rsid w:val="037E320E"/>
    <w:rsid w:val="03B804CE"/>
    <w:rsid w:val="03C71EFB"/>
    <w:rsid w:val="03CC5D27"/>
    <w:rsid w:val="04212517"/>
    <w:rsid w:val="042A0CA0"/>
    <w:rsid w:val="043B4C5B"/>
    <w:rsid w:val="04553F6E"/>
    <w:rsid w:val="04C80BE4"/>
    <w:rsid w:val="04CE66EF"/>
    <w:rsid w:val="05184F9C"/>
    <w:rsid w:val="05516106"/>
    <w:rsid w:val="055D468D"/>
    <w:rsid w:val="057661EC"/>
    <w:rsid w:val="05CD5D86"/>
    <w:rsid w:val="06113EC5"/>
    <w:rsid w:val="062108F7"/>
    <w:rsid w:val="066F1DC0"/>
    <w:rsid w:val="06BF7045"/>
    <w:rsid w:val="07011FB6"/>
    <w:rsid w:val="071018DF"/>
    <w:rsid w:val="07181283"/>
    <w:rsid w:val="071D20E5"/>
    <w:rsid w:val="07897C63"/>
    <w:rsid w:val="07DB6397"/>
    <w:rsid w:val="08071421"/>
    <w:rsid w:val="08260F42"/>
    <w:rsid w:val="085F2E50"/>
    <w:rsid w:val="08793FA4"/>
    <w:rsid w:val="08B04F3D"/>
    <w:rsid w:val="08CB2FA7"/>
    <w:rsid w:val="090B10A0"/>
    <w:rsid w:val="090F532B"/>
    <w:rsid w:val="091D0DD3"/>
    <w:rsid w:val="09292BCD"/>
    <w:rsid w:val="097617CC"/>
    <w:rsid w:val="099E571B"/>
    <w:rsid w:val="0A240688"/>
    <w:rsid w:val="0A6E7AE5"/>
    <w:rsid w:val="0A9D666F"/>
    <w:rsid w:val="0AA51B26"/>
    <w:rsid w:val="0ACC30D9"/>
    <w:rsid w:val="0AE95411"/>
    <w:rsid w:val="0B106E41"/>
    <w:rsid w:val="0B393908"/>
    <w:rsid w:val="0BAB4364"/>
    <w:rsid w:val="0BE6062F"/>
    <w:rsid w:val="0C2F32F7"/>
    <w:rsid w:val="0C430B50"/>
    <w:rsid w:val="0CBF0B1F"/>
    <w:rsid w:val="0CC872A8"/>
    <w:rsid w:val="0D52231F"/>
    <w:rsid w:val="0D6B0B10"/>
    <w:rsid w:val="0D94532F"/>
    <w:rsid w:val="0DC00324"/>
    <w:rsid w:val="0DF91E0E"/>
    <w:rsid w:val="0DFC5153"/>
    <w:rsid w:val="0E1A3B33"/>
    <w:rsid w:val="0E1F54EC"/>
    <w:rsid w:val="0E356BBF"/>
    <w:rsid w:val="0E4312DC"/>
    <w:rsid w:val="0E5E1C72"/>
    <w:rsid w:val="0F2F562C"/>
    <w:rsid w:val="0F7B4AA5"/>
    <w:rsid w:val="0FB56209"/>
    <w:rsid w:val="0FF66EF1"/>
    <w:rsid w:val="10096FFD"/>
    <w:rsid w:val="101A606C"/>
    <w:rsid w:val="107B5D70"/>
    <w:rsid w:val="10F675C6"/>
    <w:rsid w:val="11281B40"/>
    <w:rsid w:val="117874CF"/>
    <w:rsid w:val="117D03A2"/>
    <w:rsid w:val="117E6780"/>
    <w:rsid w:val="118F4078"/>
    <w:rsid w:val="11A46535"/>
    <w:rsid w:val="11C42733"/>
    <w:rsid w:val="11E948E9"/>
    <w:rsid w:val="11F50B3F"/>
    <w:rsid w:val="12395E8B"/>
    <w:rsid w:val="124B2EB3"/>
    <w:rsid w:val="12774E25"/>
    <w:rsid w:val="128868DB"/>
    <w:rsid w:val="12B421A5"/>
    <w:rsid w:val="12E004CC"/>
    <w:rsid w:val="12EB5610"/>
    <w:rsid w:val="130059ED"/>
    <w:rsid w:val="13385187"/>
    <w:rsid w:val="135A334F"/>
    <w:rsid w:val="136F66CF"/>
    <w:rsid w:val="13AC347F"/>
    <w:rsid w:val="13E26EA1"/>
    <w:rsid w:val="14382F65"/>
    <w:rsid w:val="14517654"/>
    <w:rsid w:val="146401FE"/>
    <w:rsid w:val="14B66628"/>
    <w:rsid w:val="14BA7E1E"/>
    <w:rsid w:val="14E03F5A"/>
    <w:rsid w:val="15155054"/>
    <w:rsid w:val="15191E2C"/>
    <w:rsid w:val="151B6B0E"/>
    <w:rsid w:val="152E4A94"/>
    <w:rsid w:val="154871D8"/>
    <w:rsid w:val="1594241D"/>
    <w:rsid w:val="15A765F4"/>
    <w:rsid w:val="15AA1C40"/>
    <w:rsid w:val="15EE4223"/>
    <w:rsid w:val="16467E24"/>
    <w:rsid w:val="164D0F49"/>
    <w:rsid w:val="165027E8"/>
    <w:rsid w:val="165E3157"/>
    <w:rsid w:val="16A9375F"/>
    <w:rsid w:val="16E6394C"/>
    <w:rsid w:val="16F51CB1"/>
    <w:rsid w:val="17343EB7"/>
    <w:rsid w:val="17377504"/>
    <w:rsid w:val="17467FB8"/>
    <w:rsid w:val="17A315A4"/>
    <w:rsid w:val="17B62B1E"/>
    <w:rsid w:val="17E01949"/>
    <w:rsid w:val="17E928DD"/>
    <w:rsid w:val="181810E3"/>
    <w:rsid w:val="183C18FA"/>
    <w:rsid w:val="183F48C2"/>
    <w:rsid w:val="18497A67"/>
    <w:rsid w:val="18585984"/>
    <w:rsid w:val="188D1AD1"/>
    <w:rsid w:val="190D35BA"/>
    <w:rsid w:val="192F3F45"/>
    <w:rsid w:val="197C4F53"/>
    <w:rsid w:val="19B446D1"/>
    <w:rsid w:val="19CE6735"/>
    <w:rsid w:val="19D76D7C"/>
    <w:rsid w:val="19FE07AD"/>
    <w:rsid w:val="1A271AB1"/>
    <w:rsid w:val="1AC31CB7"/>
    <w:rsid w:val="1ADD03C2"/>
    <w:rsid w:val="1AE77CB7"/>
    <w:rsid w:val="1B140288"/>
    <w:rsid w:val="1B2D30F7"/>
    <w:rsid w:val="1B7A009C"/>
    <w:rsid w:val="1B7C7C0C"/>
    <w:rsid w:val="1B8E56A2"/>
    <w:rsid w:val="1BB92278"/>
    <w:rsid w:val="1BBD6B0A"/>
    <w:rsid w:val="1C054074"/>
    <w:rsid w:val="1C5E596F"/>
    <w:rsid w:val="1C626DD1"/>
    <w:rsid w:val="1C654B13"/>
    <w:rsid w:val="1C931EA4"/>
    <w:rsid w:val="1CD6467C"/>
    <w:rsid w:val="1D417C5F"/>
    <w:rsid w:val="1D5A219E"/>
    <w:rsid w:val="1D9C616E"/>
    <w:rsid w:val="1DCF0496"/>
    <w:rsid w:val="1E503D12"/>
    <w:rsid w:val="1E8C2412"/>
    <w:rsid w:val="1EAC07D7"/>
    <w:rsid w:val="1F242A63"/>
    <w:rsid w:val="1F5E41C7"/>
    <w:rsid w:val="204C04C4"/>
    <w:rsid w:val="20691C80"/>
    <w:rsid w:val="20D455FD"/>
    <w:rsid w:val="21016F40"/>
    <w:rsid w:val="211F5E02"/>
    <w:rsid w:val="217D46AD"/>
    <w:rsid w:val="21B87493"/>
    <w:rsid w:val="21C2502F"/>
    <w:rsid w:val="22095ED5"/>
    <w:rsid w:val="221768AF"/>
    <w:rsid w:val="22656D3C"/>
    <w:rsid w:val="22C00CF5"/>
    <w:rsid w:val="22C97BAA"/>
    <w:rsid w:val="230961F8"/>
    <w:rsid w:val="230B4487"/>
    <w:rsid w:val="23244062"/>
    <w:rsid w:val="23322807"/>
    <w:rsid w:val="23A046FF"/>
    <w:rsid w:val="23AA26DF"/>
    <w:rsid w:val="23D92C08"/>
    <w:rsid w:val="243948BB"/>
    <w:rsid w:val="244866A5"/>
    <w:rsid w:val="244D0366"/>
    <w:rsid w:val="24C31057"/>
    <w:rsid w:val="24F5557D"/>
    <w:rsid w:val="251F61A7"/>
    <w:rsid w:val="2524556B"/>
    <w:rsid w:val="253454E6"/>
    <w:rsid w:val="254E25E8"/>
    <w:rsid w:val="25822292"/>
    <w:rsid w:val="26011A9E"/>
    <w:rsid w:val="26091D60"/>
    <w:rsid w:val="26AB75C6"/>
    <w:rsid w:val="26D22ABE"/>
    <w:rsid w:val="26FB67A0"/>
    <w:rsid w:val="27211BDC"/>
    <w:rsid w:val="27942908"/>
    <w:rsid w:val="27B34984"/>
    <w:rsid w:val="27EA7D61"/>
    <w:rsid w:val="27F21951"/>
    <w:rsid w:val="27FD20A3"/>
    <w:rsid w:val="280E42B1"/>
    <w:rsid w:val="28304756"/>
    <w:rsid w:val="287C121A"/>
    <w:rsid w:val="2887771E"/>
    <w:rsid w:val="28915180"/>
    <w:rsid w:val="28936755"/>
    <w:rsid w:val="28AB6DE9"/>
    <w:rsid w:val="28BA0971"/>
    <w:rsid w:val="292B46A4"/>
    <w:rsid w:val="29567CBD"/>
    <w:rsid w:val="29863660"/>
    <w:rsid w:val="2A1C1510"/>
    <w:rsid w:val="2A2F70CB"/>
    <w:rsid w:val="2A44220C"/>
    <w:rsid w:val="2A4D10C0"/>
    <w:rsid w:val="2A513C53"/>
    <w:rsid w:val="2A944F41"/>
    <w:rsid w:val="2AE31A25"/>
    <w:rsid w:val="2AE5579D"/>
    <w:rsid w:val="2AF10402"/>
    <w:rsid w:val="2AF61068"/>
    <w:rsid w:val="2B395781"/>
    <w:rsid w:val="2B406E77"/>
    <w:rsid w:val="2B6162ED"/>
    <w:rsid w:val="2B973590"/>
    <w:rsid w:val="2B980A61"/>
    <w:rsid w:val="2C460866"/>
    <w:rsid w:val="2C9F3729"/>
    <w:rsid w:val="2CA62D0A"/>
    <w:rsid w:val="2CAF69EA"/>
    <w:rsid w:val="2CDE6947"/>
    <w:rsid w:val="2D11683F"/>
    <w:rsid w:val="2D1F486A"/>
    <w:rsid w:val="2D214A86"/>
    <w:rsid w:val="2D55028C"/>
    <w:rsid w:val="2E0617E0"/>
    <w:rsid w:val="2E1910A5"/>
    <w:rsid w:val="2E1B3283"/>
    <w:rsid w:val="2E260E45"/>
    <w:rsid w:val="2E334A71"/>
    <w:rsid w:val="2E4E5407"/>
    <w:rsid w:val="2EA66FF1"/>
    <w:rsid w:val="2EE10029"/>
    <w:rsid w:val="2EE61BB9"/>
    <w:rsid w:val="2F002EDD"/>
    <w:rsid w:val="2F191EB9"/>
    <w:rsid w:val="2F4E4940"/>
    <w:rsid w:val="2F94153F"/>
    <w:rsid w:val="2FB76FDC"/>
    <w:rsid w:val="2FCA0BBC"/>
    <w:rsid w:val="2FCA6D0F"/>
    <w:rsid w:val="30274D50"/>
    <w:rsid w:val="306C7DC6"/>
    <w:rsid w:val="3072522F"/>
    <w:rsid w:val="307A6987"/>
    <w:rsid w:val="3082583C"/>
    <w:rsid w:val="30A92DC8"/>
    <w:rsid w:val="30B55C11"/>
    <w:rsid w:val="30B73737"/>
    <w:rsid w:val="30E16A06"/>
    <w:rsid w:val="312D14E5"/>
    <w:rsid w:val="31501CF3"/>
    <w:rsid w:val="31850012"/>
    <w:rsid w:val="31945827"/>
    <w:rsid w:val="319C46DB"/>
    <w:rsid w:val="31A07466"/>
    <w:rsid w:val="31DB4F47"/>
    <w:rsid w:val="31EF784A"/>
    <w:rsid w:val="32286157"/>
    <w:rsid w:val="32625925"/>
    <w:rsid w:val="32915FF8"/>
    <w:rsid w:val="32A40EA1"/>
    <w:rsid w:val="32ED6CBC"/>
    <w:rsid w:val="33025085"/>
    <w:rsid w:val="330469DC"/>
    <w:rsid w:val="332E6A40"/>
    <w:rsid w:val="3355548A"/>
    <w:rsid w:val="336E4E5A"/>
    <w:rsid w:val="337150BC"/>
    <w:rsid w:val="33797BAA"/>
    <w:rsid w:val="340D18C0"/>
    <w:rsid w:val="34144B2B"/>
    <w:rsid w:val="34321327"/>
    <w:rsid w:val="346920E8"/>
    <w:rsid w:val="34EC63F1"/>
    <w:rsid w:val="34F53267"/>
    <w:rsid w:val="35332511"/>
    <w:rsid w:val="358562DD"/>
    <w:rsid w:val="35C214D6"/>
    <w:rsid w:val="35CD57AB"/>
    <w:rsid w:val="3633334C"/>
    <w:rsid w:val="368C0E8C"/>
    <w:rsid w:val="369260AD"/>
    <w:rsid w:val="36AD2EE7"/>
    <w:rsid w:val="36EF01B4"/>
    <w:rsid w:val="36F65259"/>
    <w:rsid w:val="36FF3742"/>
    <w:rsid w:val="37074CED"/>
    <w:rsid w:val="371148BE"/>
    <w:rsid w:val="3718735B"/>
    <w:rsid w:val="37271D49"/>
    <w:rsid w:val="37357164"/>
    <w:rsid w:val="37405600"/>
    <w:rsid w:val="378B147A"/>
    <w:rsid w:val="379A346B"/>
    <w:rsid w:val="37A21963"/>
    <w:rsid w:val="37A367C3"/>
    <w:rsid w:val="37A97B52"/>
    <w:rsid w:val="3865611B"/>
    <w:rsid w:val="38A3781B"/>
    <w:rsid w:val="39072D82"/>
    <w:rsid w:val="390D4C7D"/>
    <w:rsid w:val="39241B86"/>
    <w:rsid w:val="399565E0"/>
    <w:rsid w:val="39CB4D94"/>
    <w:rsid w:val="39CD3978"/>
    <w:rsid w:val="39CE38A0"/>
    <w:rsid w:val="3A461688"/>
    <w:rsid w:val="3A4A4173"/>
    <w:rsid w:val="3A643816"/>
    <w:rsid w:val="3A647D60"/>
    <w:rsid w:val="3A72247D"/>
    <w:rsid w:val="3A742699"/>
    <w:rsid w:val="3AA60379"/>
    <w:rsid w:val="3AB6680E"/>
    <w:rsid w:val="3AC30802"/>
    <w:rsid w:val="3BCB3B36"/>
    <w:rsid w:val="3BD170E3"/>
    <w:rsid w:val="3C2B6D87"/>
    <w:rsid w:val="3C803E06"/>
    <w:rsid w:val="3CA35DC3"/>
    <w:rsid w:val="3CE84C78"/>
    <w:rsid w:val="3D634797"/>
    <w:rsid w:val="3D897C60"/>
    <w:rsid w:val="3DDF7E2A"/>
    <w:rsid w:val="3DEA625C"/>
    <w:rsid w:val="3E224DF1"/>
    <w:rsid w:val="3E636CAD"/>
    <w:rsid w:val="3E7871A0"/>
    <w:rsid w:val="3EAB0654"/>
    <w:rsid w:val="3ECB0F13"/>
    <w:rsid w:val="3EED7D06"/>
    <w:rsid w:val="3F7B15A7"/>
    <w:rsid w:val="3F7F390B"/>
    <w:rsid w:val="40053A0C"/>
    <w:rsid w:val="40460634"/>
    <w:rsid w:val="408B18AC"/>
    <w:rsid w:val="40F328E0"/>
    <w:rsid w:val="40FC6F44"/>
    <w:rsid w:val="415519C2"/>
    <w:rsid w:val="41797FF3"/>
    <w:rsid w:val="417D2D3B"/>
    <w:rsid w:val="41A75102"/>
    <w:rsid w:val="41FB6FC0"/>
    <w:rsid w:val="426B68F2"/>
    <w:rsid w:val="42B75819"/>
    <w:rsid w:val="430F11B1"/>
    <w:rsid w:val="43482915"/>
    <w:rsid w:val="435D4053"/>
    <w:rsid w:val="43762FDE"/>
    <w:rsid w:val="43DD305D"/>
    <w:rsid w:val="442050F2"/>
    <w:rsid w:val="44803468"/>
    <w:rsid w:val="44913C79"/>
    <w:rsid w:val="44986F84"/>
    <w:rsid w:val="44C24DAC"/>
    <w:rsid w:val="44F539EB"/>
    <w:rsid w:val="44FF0DB1"/>
    <w:rsid w:val="45094B04"/>
    <w:rsid w:val="4532272F"/>
    <w:rsid w:val="454C6909"/>
    <w:rsid w:val="45835E86"/>
    <w:rsid w:val="459C0CF6"/>
    <w:rsid w:val="45A858ED"/>
    <w:rsid w:val="45E22BAD"/>
    <w:rsid w:val="463A0490"/>
    <w:rsid w:val="467F2785"/>
    <w:rsid w:val="46962B0A"/>
    <w:rsid w:val="46A2233C"/>
    <w:rsid w:val="46FC1A4C"/>
    <w:rsid w:val="46FE3A16"/>
    <w:rsid w:val="471843AC"/>
    <w:rsid w:val="47757CD5"/>
    <w:rsid w:val="47AA76FA"/>
    <w:rsid w:val="47AA79B2"/>
    <w:rsid w:val="47CA149D"/>
    <w:rsid w:val="47E425E8"/>
    <w:rsid w:val="47ED3A8B"/>
    <w:rsid w:val="481A7AB7"/>
    <w:rsid w:val="482F5E51"/>
    <w:rsid w:val="48B56357"/>
    <w:rsid w:val="48B71CDF"/>
    <w:rsid w:val="4900334A"/>
    <w:rsid w:val="495711BC"/>
    <w:rsid w:val="4968786D"/>
    <w:rsid w:val="49821206"/>
    <w:rsid w:val="49FC7FB5"/>
    <w:rsid w:val="4AC72371"/>
    <w:rsid w:val="4ACF1226"/>
    <w:rsid w:val="4AE20F59"/>
    <w:rsid w:val="4B045373"/>
    <w:rsid w:val="4B0709C0"/>
    <w:rsid w:val="4B2B2900"/>
    <w:rsid w:val="4B2B35CB"/>
    <w:rsid w:val="4B6E5DEE"/>
    <w:rsid w:val="4B857608"/>
    <w:rsid w:val="4BAD1567"/>
    <w:rsid w:val="4BB9400E"/>
    <w:rsid w:val="4C211991"/>
    <w:rsid w:val="4C215AB1"/>
    <w:rsid w:val="4C63431C"/>
    <w:rsid w:val="4C6D6F48"/>
    <w:rsid w:val="4C6F3A23"/>
    <w:rsid w:val="4C951AAA"/>
    <w:rsid w:val="4C9777EB"/>
    <w:rsid w:val="4C982217"/>
    <w:rsid w:val="4C9E35A6"/>
    <w:rsid w:val="4CD27B31"/>
    <w:rsid w:val="4CE6440D"/>
    <w:rsid w:val="4CF431C6"/>
    <w:rsid w:val="4CF874F8"/>
    <w:rsid w:val="4D090380"/>
    <w:rsid w:val="4D4952BF"/>
    <w:rsid w:val="4D901140"/>
    <w:rsid w:val="4DFB71ED"/>
    <w:rsid w:val="4E013DEC"/>
    <w:rsid w:val="4E477E4B"/>
    <w:rsid w:val="4E7F7D86"/>
    <w:rsid w:val="4EBE09A2"/>
    <w:rsid w:val="4ED212E5"/>
    <w:rsid w:val="4EDE6966"/>
    <w:rsid w:val="4EE148F5"/>
    <w:rsid w:val="4EEC05F8"/>
    <w:rsid w:val="4F06759F"/>
    <w:rsid w:val="4F206232"/>
    <w:rsid w:val="4F3D0E54"/>
    <w:rsid w:val="4F7B372A"/>
    <w:rsid w:val="4FB21842"/>
    <w:rsid w:val="505857BC"/>
    <w:rsid w:val="50D779E5"/>
    <w:rsid w:val="511B51C5"/>
    <w:rsid w:val="513636F5"/>
    <w:rsid w:val="51B01DB1"/>
    <w:rsid w:val="51B12DBD"/>
    <w:rsid w:val="51FE0D6E"/>
    <w:rsid w:val="52020133"/>
    <w:rsid w:val="52224331"/>
    <w:rsid w:val="52244F2D"/>
    <w:rsid w:val="522B58DB"/>
    <w:rsid w:val="52412A09"/>
    <w:rsid w:val="528A1B8D"/>
    <w:rsid w:val="52E361B6"/>
    <w:rsid w:val="52F26C48"/>
    <w:rsid w:val="534053B7"/>
    <w:rsid w:val="53683689"/>
    <w:rsid w:val="537806AC"/>
    <w:rsid w:val="53E54848"/>
    <w:rsid w:val="540B32CF"/>
    <w:rsid w:val="54311393"/>
    <w:rsid w:val="543A1E06"/>
    <w:rsid w:val="54587433"/>
    <w:rsid w:val="54681529"/>
    <w:rsid w:val="546B1FBF"/>
    <w:rsid w:val="548B440F"/>
    <w:rsid w:val="54AB2576"/>
    <w:rsid w:val="54BD0350"/>
    <w:rsid w:val="54C248D0"/>
    <w:rsid w:val="54E26510"/>
    <w:rsid w:val="550146D2"/>
    <w:rsid w:val="5588094F"/>
    <w:rsid w:val="559918C3"/>
    <w:rsid w:val="55AC0AE1"/>
    <w:rsid w:val="55DB6699"/>
    <w:rsid w:val="55EC16BA"/>
    <w:rsid w:val="56254FAC"/>
    <w:rsid w:val="56424FA2"/>
    <w:rsid w:val="56573C61"/>
    <w:rsid w:val="56CE3A56"/>
    <w:rsid w:val="56D7393C"/>
    <w:rsid w:val="571046EE"/>
    <w:rsid w:val="575B615A"/>
    <w:rsid w:val="577B076B"/>
    <w:rsid w:val="582F3AC0"/>
    <w:rsid w:val="58600A56"/>
    <w:rsid w:val="589C308F"/>
    <w:rsid w:val="58B02697"/>
    <w:rsid w:val="58E2788E"/>
    <w:rsid w:val="58EA2085"/>
    <w:rsid w:val="58F003A0"/>
    <w:rsid w:val="593E7CA2"/>
    <w:rsid w:val="594912F5"/>
    <w:rsid w:val="59736B5E"/>
    <w:rsid w:val="59934492"/>
    <w:rsid w:val="59D913C3"/>
    <w:rsid w:val="59E545C2"/>
    <w:rsid w:val="5A1D5B0A"/>
    <w:rsid w:val="5A557852"/>
    <w:rsid w:val="5AA00F2F"/>
    <w:rsid w:val="5AC70B15"/>
    <w:rsid w:val="5AD92379"/>
    <w:rsid w:val="5AF45B16"/>
    <w:rsid w:val="5B364C33"/>
    <w:rsid w:val="5B8809E0"/>
    <w:rsid w:val="5BD40D92"/>
    <w:rsid w:val="5BD62414"/>
    <w:rsid w:val="5BD94AC9"/>
    <w:rsid w:val="5BF705DC"/>
    <w:rsid w:val="5C1E58B2"/>
    <w:rsid w:val="5C8A0E89"/>
    <w:rsid w:val="5CBF2CDE"/>
    <w:rsid w:val="5CC63C7D"/>
    <w:rsid w:val="5CD54DC2"/>
    <w:rsid w:val="5CED1D24"/>
    <w:rsid w:val="5D310D71"/>
    <w:rsid w:val="5D4C6E3D"/>
    <w:rsid w:val="5D551EE5"/>
    <w:rsid w:val="5D7C24D2"/>
    <w:rsid w:val="5D83481E"/>
    <w:rsid w:val="5DA14619"/>
    <w:rsid w:val="5DF93E7C"/>
    <w:rsid w:val="5E1216FE"/>
    <w:rsid w:val="5E176D14"/>
    <w:rsid w:val="5E385608"/>
    <w:rsid w:val="5E7D46AF"/>
    <w:rsid w:val="5EA73431"/>
    <w:rsid w:val="5F066402"/>
    <w:rsid w:val="5F1D47FE"/>
    <w:rsid w:val="5F1E5230"/>
    <w:rsid w:val="5F3A7BFC"/>
    <w:rsid w:val="5F630463"/>
    <w:rsid w:val="5F8921AB"/>
    <w:rsid w:val="5FAB005C"/>
    <w:rsid w:val="5FAF18FA"/>
    <w:rsid w:val="5FB24F46"/>
    <w:rsid w:val="5FB806F4"/>
    <w:rsid w:val="5FC86518"/>
    <w:rsid w:val="5FFC2665"/>
    <w:rsid w:val="602E24CA"/>
    <w:rsid w:val="604B7E61"/>
    <w:rsid w:val="607C1D25"/>
    <w:rsid w:val="609805E0"/>
    <w:rsid w:val="60996DB8"/>
    <w:rsid w:val="609D79A4"/>
    <w:rsid w:val="60B131B2"/>
    <w:rsid w:val="60C82547"/>
    <w:rsid w:val="612E4AA0"/>
    <w:rsid w:val="61A44D62"/>
    <w:rsid w:val="61F834FD"/>
    <w:rsid w:val="6220263B"/>
    <w:rsid w:val="623471EA"/>
    <w:rsid w:val="626C14F9"/>
    <w:rsid w:val="630C0E11"/>
    <w:rsid w:val="631A20E1"/>
    <w:rsid w:val="63604CB9"/>
    <w:rsid w:val="636A1976"/>
    <w:rsid w:val="637D7108"/>
    <w:rsid w:val="63D86709"/>
    <w:rsid w:val="63D87AEE"/>
    <w:rsid w:val="64356146"/>
    <w:rsid w:val="6474167A"/>
    <w:rsid w:val="64A5151D"/>
    <w:rsid w:val="64CB73E7"/>
    <w:rsid w:val="64ED3136"/>
    <w:rsid w:val="650D67AB"/>
    <w:rsid w:val="655B398A"/>
    <w:rsid w:val="658749FF"/>
    <w:rsid w:val="65BC6B1F"/>
    <w:rsid w:val="65C07C91"/>
    <w:rsid w:val="65C90A5C"/>
    <w:rsid w:val="65D73958"/>
    <w:rsid w:val="6605398E"/>
    <w:rsid w:val="660D2AA0"/>
    <w:rsid w:val="66903EC6"/>
    <w:rsid w:val="66B5531C"/>
    <w:rsid w:val="66CB25D8"/>
    <w:rsid w:val="66E91188"/>
    <w:rsid w:val="67002A3B"/>
    <w:rsid w:val="67B627BC"/>
    <w:rsid w:val="682B7F8C"/>
    <w:rsid w:val="685F7C35"/>
    <w:rsid w:val="68BF709D"/>
    <w:rsid w:val="68D0643D"/>
    <w:rsid w:val="68D7170C"/>
    <w:rsid w:val="68D80676"/>
    <w:rsid w:val="68DE0B5A"/>
    <w:rsid w:val="69033469"/>
    <w:rsid w:val="69077737"/>
    <w:rsid w:val="69087F0D"/>
    <w:rsid w:val="6917406C"/>
    <w:rsid w:val="692218F0"/>
    <w:rsid w:val="692F585A"/>
    <w:rsid w:val="6939402E"/>
    <w:rsid w:val="695B21AB"/>
    <w:rsid w:val="696A41E7"/>
    <w:rsid w:val="6970482D"/>
    <w:rsid w:val="699102C2"/>
    <w:rsid w:val="69967687"/>
    <w:rsid w:val="69E06B54"/>
    <w:rsid w:val="6A003194"/>
    <w:rsid w:val="6A2133F4"/>
    <w:rsid w:val="6A266D8A"/>
    <w:rsid w:val="6A8B4D12"/>
    <w:rsid w:val="6A9C2A7B"/>
    <w:rsid w:val="6AD35AF7"/>
    <w:rsid w:val="6B4A24D7"/>
    <w:rsid w:val="6B757229"/>
    <w:rsid w:val="6B8F0831"/>
    <w:rsid w:val="6BF306DC"/>
    <w:rsid w:val="6BFB5EC7"/>
    <w:rsid w:val="6C044D7B"/>
    <w:rsid w:val="6C4F33A4"/>
    <w:rsid w:val="6C81461E"/>
    <w:rsid w:val="6CEB00DF"/>
    <w:rsid w:val="6CFA617E"/>
    <w:rsid w:val="6D066B1B"/>
    <w:rsid w:val="6D613A27"/>
    <w:rsid w:val="6D717BC2"/>
    <w:rsid w:val="6D77332B"/>
    <w:rsid w:val="6DF5300B"/>
    <w:rsid w:val="6E166FE8"/>
    <w:rsid w:val="6E2E7E40"/>
    <w:rsid w:val="6E5D50E6"/>
    <w:rsid w:val="6E802F39"/>
    <w:rsid w:val="6E980156"/>
    <w:rsid w:val="6E9C545B"/>
    <w:rsid w:val="6EC32CCC"/>
    <w:rsid w:val="6F0D2199"/>
    <w:rsid w:val="6F1352D6"/>
    <w:rsid w:val="6F1C4459"/>
    <w:rsid w:val="6F2179F2"/>
    <w:rsid w:val="6F23376B"/>
    <w:rsid w:val="70413805"/>
    <w:rsid w:val="707D6EAA"/>
    <w:rsid w:val="70AB3A18"/>
    <w:rsid w:val="70F3716D"/>
    <w:rsid w:val="71526589"/>
    <w:rsid w:val="71AF4EEA"/>
    <w:rsid w:val="71D6119C"/>
    <w:rsid w:val="722F1B2A"/>
    <w:rsid w:val="724D00A1"/>
    <w:rsid w:val="726227FC"/>
    <w:rsid w:val="726E5E8A"/>
    <w:rsid w:val="73247AB1"/>
    <w:rsid w:val="735A0B52"/>
    <w:rsid w:val="735F4F8D"/>
    <w:rsid w:val="73612AB3"/>
    <w:rsid w:val="736C572D"/>
    <w:rsid w:val="73BB169B"/>
    <w:rsid w:val="73C03C7E"/>
    <w:rsid w:val="73CF2113"/>
    <w:rsid w:val="73D74B24"/>
    <w:rsid w:val="73FE0D46"/>
    <w:rsid w:val="74365CEE"/>
    <w:rsid w:val="7447614D"/>
    <w:rsid w:val="746C6120"/>
    <w:rsid w:val="749B262E"/>
    <w:rsid w:val="74FB2A94"/>
    <w:rsid w:val="750162FC"/>
    <w:rsid w:val="75232716"/>
    <w:rsid w:val="75466405"/>
    <w:rsid w:val="754F41F8"/>
    <w:rsid w:val="76171B4F"/>
    <w:rsid w:val="762F50EB"/>
    <w:rsid w:val="763B3A90"/>
    <w:rsid w:val="764F7806"/>
    <w:rsid w:val="769764FC"/>
    <w:rsid w:val="76E43A02"/>
    <w:rsid w:val="77166A61"/>
    <w:rsid w:val="77204A34"/>
    <w:rsid w:val="773B6796"/>
    <w:rsid w:val="77572DB1"/>
    <w:rsid w:val="778C41E0"/>
    <w:rsid w:val="779C0467"/>
    <w:rsid w:val="77A02069"/>
    <w:rsid w:val="77B5517C"/>
    <w:rsid w:val="78210451"/>
    <w:rsid w:val="782F3180"/>
    <w:rsid w:val="785E1CB7"/>
    <w:rsid w:val="786C17B3"/>
    <w:rsid w:val="7872306D"/>
    <w:rsid w:val="788A621A"/>
    <w:rsid w:val="78B4504A"/>
    <w:rsid w:val="790466A9"/>
    <w:rsid w:val="792151BF"/>
    <w:rsid w:val="794E1F94"/>
    <w:rsid w:val="798647BC"/>
    <w:rsid w:val="79AF69BA"/>
    <w:rsid w:val="79B07F8E"/>
    <w:rsid w:val="79E57AF6"/>
    <w:rsid w:val="79FE695B"/>
    <w:rsid w:val="7A392094"/>
    <w:rsid w:val="7A434CC1"/>
    <w:rsid w:val="7A4D1FE3"/>
    <w:rsid w:val="7A5C5D83"/>
    <w:rsid w:val="7AC676A0"/>
    <w:rsid w:val="7ACC3889"/>
    <w:rsid w:val="7B1D4882"/>
    <w:rsid w:val="7B9E4654"/>
    <w:rsid w:val="7BCB51C2"/>
    <w:rsid w:val="7BEC5F56"/>
    <w:rsid w:val="7BFC781D"/>
    <w:rsid w:val="7C047AE7"/>
    <w:rsid w:val="7C536024"/>
    <w:rsid w:val="7C620B8F"/>
    <w:rsid w:val="7C727ADF"/>
    <w:rsid w:val="7C7A6862"/>
    <w:rsid w:val="7CA0464C"/>
    <w:rsid w:val="7CAA7279"/>
    <w:rsid w:val="7CFE6908"/>
    <w:rsid w:val="7D0821F2"/>
    <w:rsid w:val="7D172435"/>
    <w:rsid w:val="7D627B54"/>
    <w:rsid w:val="7D8F021D"/>
    <w:rsid w:val="7E6F47B2"/>
    <w:rsid w:val="7EA700ED"/>
    <w:rsid w:val="7F900B63"/>
    <w:rsid w:val="7FFD3B6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utoSpaceDE w:val="0"/>
      <w:autoSpaceDN w:val="0"/>
      <w:spacing w:before="0" w:after="0" w:line="240" w:lineRule="auto"/>
      <w:ind w:left="0" w:right="0"/>
      <w:jc w:val="both"/>
    </w:pPr>
    <w:rPr>
      <w:rFonts w:ascii="宋体" w:hAnsi="宋体" w:eastAsia="仿宋" w:cs="宋体"/>
      <w:sz w:val="24"/>
      <w:szCs w:val="22"/>
      <w:lang w:val="zh-CN" w:eastAsia="zh-CN" w:bidi="zh-CN"/>
    </w:rPr>
  </w:style>
  <w:style w:type="paragraph" w:styleId="7">
    <w:name w:val="heading 1"/>
    <w:basedOn w:val="1"/>
    <w:next w:val="1"/>
    <w:link w:val="50"/>
    <w:autoRedefine/>
    <w:qFormat/>
    <w:uiPriority w:val="0"/>
    <w:pPr>
      <w:spacing w:before="17"/>
      <w:ind w:right="854"/>
      <w:jc w:val="center"/>
      <w:outlineLvl w:val="1"/>
    </w:pPr>
    <w:rPr>
      <w:rFonts w:eastAsia="仿宋"/>
      <w:kern w:val="44"/>
      <w:sz w:val="28"/>
    </w:rPr>
  </w:style>
  <w:style w:type="paragraph" w:styleId="8">
    <w:name w:val="heading 2"/>
    <w:basedOn w:val="1"/>
    <w:next w:val="1"/>
    <w:link w:val="40"/>
    <w:autoRedefine/>
    <w:qFormat/>
    <w:uiPriority w:val="0"/>
    <w:pPr>
      <w:ind w:left="537" w:hanging="318"/>
      <w:outlineLvl w:val="2"/>
    </w:pPr>
    <w:rPr>
      <w:rFonts w:ascii="宋体" w:hAnsi="宋体" w:eastAsia="宋体" w:cs="宋体"/>
      <w:b/>
      <w:bCs/>
      <w:sz w:val="21"/>
      <w:szCs w:val="21"/>
      <w:lang w:val="zh-CN" w:eastAsia="zh-CN" w:bidi="zh-CN"/>
    </w:rPr>
  </w:style>
  <w:style w:type="paragraph" w:styleId="9">
    <w:name w:val="heading 3"/>
    <w:basedOn w:val="1"/>
    <w:next w:val="1"/>
    <w:autoRedefine/>
    <w:qFormat/>
    <w:uiPriority w:val="0"/>
    <w:pPr>
      <w:ind w:left="538" w:right="428" w:firstLine="623"/>
      <w:outlineLvl w:val="3"/>
    </w:pPr>
    <w:rPr>
      <w:rFonts w:ascii="仿宋" w:hAnsi="仿宋" w:eastAsia="仿宋" w:cs="仿宋"/>
      <w:sz w:val="30"/>
      <w:szCs w:val="30"/>
      <w:lang w:val="zh-CN" w:eastAsia="zh-CN" w:bidi="zh-CN"/>
    </w:rPr>
  </w:style>
  <w:style w:type="paragraph" w:styleId="10">
    <w:name w:val="heading 4"/>
    <w:basedOn w:val="1"/>
    <w:next w:val="1"/>
    <w:autoRedefine/>
    <w:qFormat/>
    <w:uiPriority w:val="0"/>
    <w:pPr>
      <w:spacing w:before="153"/>
      <w:ind w:left="538" w:right="542"/>
      <w:jc w:val="center"/>
      <w:outlineLvl w:val="4"/>
    </w:pPr>
    <w:rPr>
      <w:rFonts w:ascii="仿宋" w:hAnsi="仿宋" w:eastAsia="仿宋" w:cs="仿宋"/>
      <w:b/>
      <w:bCs/>
      <w:sz w:val="28"/>
      <w:szCs w:val="28"/>
      <w:lang w:val="zh-CN" w:eastAsia="zh-CN" w:bidi="zh-CN"/>
    </w:rPr>
  </w:style>
  <w:style w:type="paragraph" w:styleId="11">
    <w:name w:val="heading 5"/>
    <w:basedOn w:val="1"/>
    <w:next w:val="1"/>
    <w:autoRedefine/>
    <w:qFormat/>
    <w:uiPriority w:val="0"/>
    <w:pPr>
      <w:spacing w:before="153"/>
      <w:ind w:left="1098"/>
      <w:outlineLvl w:val="5"/>
    </w:pPr>
    <w:rPr>
      <w:rFonts w:ascii="仿宋" w:hAnsi="仿宋" w:eastAsia="仿宋" w:cs="仿宋"/>
      <w:sz w:val="28"/>
      <w:szCs w:val="28"/>
      <w:lang w:val="zh-CN" w:eastAsia="zh-CN" w:bidi="zh-CN"/>
    </w:rPr>
  </w:style>
  <w:style w:type="paragraph" w:styleId="12">
    <w:name w:val="heading 6"/>
    <w:basedOn w:val="1"/>
    <w:next w:val="1"/>
    <w:autoRedefine/>
    <w:qFormat/>
    <w:uiPriority w:val="0"/>
    <w:pPr>
      <w:spacing w:before="2"/>
      <w:ind w:left="1383"/>
      <w:jc w:val="center"/>
      <w:outlineLvl w:val="6"/>
    </w:pPr>
    <w:rPr>
      <w:rFonts w:ascii="仿宋" w:hAnsi="仿宋" w:eastAsia="仿宋" w:cs="仿宋"/>
      <w:b/>
      <w:bCs/>
      <w:sz w:val="24"/>
      <w:szCs w:val="24"/>
      <w:lang w:val="zh-CN" w:eastAsia="zh-CN" w:bidi="zh-CN"/>
    </w:rPr>
  </w:style>
  <w:style w:type="character" w:default="1" w:styleId="21">
    <w:name w:val="Default Paragraph Font"/>
    <w:autoRedefine/>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4"/>
    <w:autoRedefine/>
    <w:qFormat/>
    <w:uiPriority w:val="0"/>
    <w:pPr>
      <w:ind w:firstLine="420" w:firstLineChars="100"/>
    </w:pPr>
  </w:style>
  <w:style w:type="paragraph" w:styleId="3">
    <w:name w:val="Body Text"/>
    <w:basedOn w:val="1"/>
    <w:next w:val="1"/>
    <w:autoRedefine/>
    <w:qFormat/>
    <w:uiPriority w:val="0"/>
    <w:rPr>
      <w:rFonts w:ascii="宋体" w:hAnsi="宋体" w:eastAsia="宋体" w:cs="宋体"/>
      <w:sz w:val="21"/>
      <w:szCs w:val="21"/>
      <w:lang w:val="zh-CN" w:eastAsia="zh-CN" w:bidi="zh-CN"/>
    </w:rPr>
  </w:style>
  <w:style w:type="paragraph" w:styleId="4">
    <w:name w:val="Body Text First Indent 2"/>
    <w:basedOn w:val="5"/>
    <w:next w:val="1"/>
    <w:autoRedefine/>
    <w:qFormat/>
    <w:uiPriority w:val="0"/>
    <w:pPr>
      <w:ind w:firstLine="420" w:firstLineChars="200"/>
    </w:pPr>
  </w:style>
  <w:style w:type="paragraph" w:styleId="5">
    <w:name w:val="Body Text Indent"/>
    <w:basedOn w:val="1"/>
    <w:next w:val="6"/>
    <w:autoRedefine/>
    <w:unhideWhenUsed/>
    <w:qFormat/>
    <w:uiPriority w:val="99"/>
    <w:pPr>
      <w:spacing w:before="100" w:beforeAutospacing="1"/>
      <w:ind w:left="420" w:leftChars="200"/>
    </w:pPr>
    <w:rPr>
      <w:rFonts w:ascii="Calibri" w:hAnsi="Calibri"/>
      <w:kern w:val="0"/>
      <w:sz w:val="20"/>
      <w:szCs w:val="21"/>
    </w:rPr>
  </w:style>
  <w:style w:type="paragraph" w:styleId="6">
    <w:name w:val="envelope return"/>
    <w:basedOn w:val="1"/>
    <w:autoRedefine/>
    <w:qFormat/>
    <w:uiPriority w:val="0"/>
    <w:pPr>
      <w:snapToGrid w:val="0"/>
    </w:pPr>
    <w:rPr>
      <w:rFonts w:ascii="Arial" w:hAnsi="Arial"/>
    </w:rPr>
  </w:style>
  <w:style w:type="paragraph" w:styleId="13">
    <w:name w:val="toc 3"/>
    <w:basedOn w:val="1"/>
    <w:next w:val="1"/>
    <w:autoRedefine/>
    <w:qFormat/>
    <w:uiPriority w:val="0"/>
    <w:pPr>
      <w:ind w:left="840" w:leftChars="400"/>
    </w:p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autoRedefine/>
    <w:qFormat/>
    <w:uiPriority w:val="0"/>
    <w:pPr>
      <w:spacing w:before="205"/>
      <w:ind w:right="1076"/>
      <w:jc w:val="right"/>
    </w:pPr>
    <w:rPr>
      <w:rFonts w:ascii="宋体" w:hAnsi="宋体" w:eastAsia="宋体" w:cs="宋体"/>
      <w:b/>
      <w:bCs/>
      <w:sz w:val="20"/>
      <w:szCs w:val="20"/>
      <w:lang w:val="zh-CN" w:eastAsia="zh-CN" w:bidi="zh-CN"/>
    </w:rPr>
  </w:style>
  <w:style w:type="paragraph" w:styleId="17">
    <w:name w:val="toc 2"/>
    <w:basedOn w:val="1"/>
    <w:next w:val="1"/>
    <w:autoRedefine/>
    <w:qFormat/>
    <w:uiPriority w:val="0"/>
    <w:pPr>
      <w:spacing w:before="205"/>
      <w:ind w:right="1076"/>
      <w:jc w:val="right"/>
    </w:pPr>
    <w:rPr>
      <w:rFonts w:ascii="宋体" w:hAnsi="宋体" w:eastAsia="宋体" w:cs="宋体"/>
      <w:sz w:val="20"/>
      <w:szCs w:val="20"/>
      <w:lang w:val="zh-CN" w:eastAsia="zh-CN" w:bidi="zh-CN"/>
    </w:rPr>
  </w:style>
  <w:style w:type="paragraph" w:styleId="18">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style>
  <w:style w:type="character" w:styleId="23">
    <w:name w:val="FollowedHyperlink"/>
    <w:basedOn w:val="21"/>
    <w:autoRedefine/>
    <w:qFormat/>
    <w:uiPriority w:val="0"/>
    <w:rPr>
      <w:color w:val="800080"/>
      <w:u w:val="none"/>
    </w:rPr>
  </w:style>
  <w:style w:type="character" w:styleId="24">
    <w:name w:val="Emphasis"/>
    <w:basedOn w:val="21"/>
    <w:autoRedefine/>
    <w:qFormat/>
    <w:uiPriority w:val="0"/>
  </w:style>
  <w:style w:type="character" w:styleId="25">
    <w:name w:val="HTML Definition"/>
    <w:basedOn w:val="21"/>
    <w:autoRedefine/>
    <w:qFormat/>
    <w:uiPriority w:val="0"/>
  </w:style>
  <w:style w:type="character" w:styleId="26">
    <w:name w:val="HTML Typewriter"/>
    <w:basedOn w:val="21"/>
    <w:autoRedefine/>
    <w:qFormat/>
    <w:uiPriority w:val="0"/>
    <w:rPr>
      <w:rFonts w:hint="default" w:ascii="monospace" w:hAnsi="monospace" w:eastAsia="monospace" w:cs="monospace"/>
      <w:sz w:val="20"/>
    </w:rPr>
  </w:style>
  <w:style w:type="character" w:styleId="27">
    <w:name w:val="HTML Acronym"/>
    <w:basedOn w:val="21"/>
    <w:autoRedefine/>
    <w:qFormat/>
    <w:uiPriority w:val="0"/>
  </w:style>
  <w:style w:type="character" w:styleId="28">
    <w:name w:val="HTML Variable"/>
    <w:basedOn w:val="21"/>
    <w:autoRedefine/>
    <w:qFormat/>
    <w:uiPriority w:val="0"/>
  </w:style>
  <w:style w:type="character" w:styleId="29">
    <w:name w:val="Hyperlink"/>
    <w:basedOn w:val="21"/>
    <w:autoRedefine/>
    <w:qFormat/>
    <w:uiPriority w:val="0"/>
    <w:rPr>
      <w:color w:val="0000FF"/>
      <w:u w:val="none"/>
    </w:rPr>
  </w:style>
  <w:style w:type="character" w:styleId="30">
    <w:name w:val="HTML Code"/>
    <w:basedOn w:val="21"/>
    <w:autoRedefine/>
    <w:qFormat/>
    <w:uiPriority w:val="0"/>
    <w:rPr>
      <w:rFonts w:ascii="monospace" w:hAnsi="monospace" w:eastAsia="monospace" w:cs="monospace"/>
      <w:sz w:val="20"/>
    </w:rPr>
  </w:style>
  <w:style w:type="character" w:styleId="31">
    <w:name w:val="HTML Cite"/>
    <w:basedOn w:val="21"/>
    <w:autoRedefine/>
    <w:qFormat/>
    <w:uiPriority w:val="0"/>
  </w:style>
  <w:style w:type="character" w:styleId="32">
    <w:name w:val="HTML Keyboard"/>
    <w:basedOn w:val="21"/>
    <w:autoRedefine/>
    <w:qFormat/>
    <w:uiPriority w:val="0"/>
    <w:rPr>
      <w:rFonts w:hint="default" w:ascii="monospace" w:hAnsi="monospace" w:eastAsia="monospace" w:cs="monospace"/>
      <w:sz w:val="20"/>
    </w:rPr>
  </w:style>
  <w:style w:type="character" w:styleId="33">
    <w:name w:val="HTML Sample"/>
    <w:basedOn w:val="21"/>
    <w:autoRedefine/>
    <w:qFormat/>
    <w:uiPriority w:val="0"/>
    <w:rPr>
      <w:rFonts w:hint="default" w:ascii="monospace" w:hAnsi="monospace" w:eastAsia="monospace" w:cs="monospace"/>
    </w:rPr>
  </w:style>
  <w:style w:type="paragraph" w:customStyle="1" w:styleId="34">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BodyText"/>
    <w:basedOn w:val="1"/>
    <w:autoRedefine/>
    <w:qFormat/>
    <w:uiPriority w:val="0"/>
    <w:pPr>
      <w:widowControl/>
      <w:spacing w:after="120" w:line="259" w:lineRule="auto"/>
      <w:jc w:val="left"/>
    </w:pPr>
    <w:rPr>
      <w:rFonts w:ascii="FuturaA Bk BT" w:hAnsi="FuturaA Bk BT" w:eastAsia="仿宋_GB2312"/>
      <w:kern w:val="0"/>
      <w:sz w:val="20"/>
      <w:szCs w:val="20"/>
    </w:rPr>
  </w:style>
  <w:style w:type="paragraph" w:customStyle="1" w:styleId="36">
    <w:name w:val="style4"/>
    <w:basedOn w:val="1"/>
    <w:next w:val="37"/>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37">
    <w:name w:val="2"/>
    <w:next w:val="1"/>
    <w:autoRedefine/>
    <w:qFormat/>
    <w:uiPriority w:val="0"/>
    <w:pPr>
      <w:widowControl w:val="0"/>
      <w:jc w:val="both"/>
    </w:pPr>
    <w:rPr>
      <w:rFonts w:ascii="Times New Roman" w:hAnsi="Times New Roman" w:eastAsia="宋体" w:cs="Times New Roman"/>
      <w:sz w:val="21"/>
      <w:lang w:val="en-US" w:eastAsia="zh-CN" w:bidi="ar-SA"/>
    </w:rPr>
  </w:style>
  <w:style w:type="character" w:customStyle="1" w:styleId="38">
    <w:name w:val="标题 1 Char"/>
    <w:link w:val="7"/>
    <w:autoRedefine/>
    <w:semiHidden/>
    <w:qFormat/>
    <w:uiPriority w:val="0"/>
    <w:rPr>
      <w:rFonts w:ascii="黑体" w:hAnsi="黑体" w:eastAsia="黑体" w:cs="黑体"/>
      <w:sz w:val="40"/>
      <w:szCs w:val="40"/>
      <w:lang w:val="zh-CN" w:eastAsia="zh-CN" w:bidi="zh-CN"/>
    </w:rPr>
  </w:style>
  <w:style w:type="paragraph" w:customStyle="1" w:styleId="39">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0">
    <w:name w:val="标题 2 Char"/>
    <w:link w:val="8"/>
    <w:autoRedefine/>
    <w:semiHidden/>
    <w:qFormat/>
    <w:uiPriority w:val="0"/>
    <w:rPr>
      <w:rFonts w:ascii="宋体" w:hAnsi="宋体" w:eastAsia="宋体" w:cs="宋体"/>
      <w:b/>
      <w:bCs/>
      <w:sz w:val="21"/>
      <w:szCs w:val="21"/>
      <w:lang w:val="zh-CN" w:eastAsia="zh-CN" w:bidi="zh-CN"/>
    </w:rPr>
  </w:style>
  <w:style w:type="paragraph" w:customStyle="1" w:styleId="41">
    <w:name w:val="Body Text Indent"/>
    <w:basedOn w:val="1"/>
    <w:autoRedefine/>
    <w:qFormat/>
    <w:uiPriority w:val="0"/>
    <w:pPr>
      <w:ind w:left="2481" w:hanging="2481" w:hangingChars="700"/>
    </w:pPr>
    <w:rPr>
      <w:rFonts w:ascii="宋体" w:hAnsi="宋体" w:eastAsia="宋体" w:cs="Times New Roman"/>
      <w:b/>
      <w:bCs/>
      <w:sz w:val="36"/>
    </w:rPr>
  </w:style>
  <w:style w:type="paragraph" w:customStyle="1" w:styleId="4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3">
    <w:name w:val="Body Text First Indent"/>
    <w:basedOn w:val="3"/>
    <w:next w:val="44"/>
    <w:autoRedefine/>
    <w:qFormat/>
    <w:uiPriority w:val="0"/>
    <w:pPr>
      <w:ind w:firstLine="420" w:firstLineChars="100"/>
    </w:pPr>
  </w:style>
  <w:style w:type="paragraph" w:customStyle="1" w:styleId="44">
    <w:name w:val="Body Text First Indent 2"/>
    <w:basedOn w:val="41"/>
    <w:autoRedefine/>
    <w:qFormat/>
    <w:uiPriority w:val="0"/>
    <w:pPr>
      <w:spacing w:after="0" w:line="500" w:lineRule="exact"/>
      <w:ind w:left="0" w:leftChars="0" w:firstLine="420" w:firstLineChars="200"/>
    </w:pPr>
    <w:rPr>
      <w:rFonts w:ascii="Times New Roman" w:hAnsi="Times New Roman" w:eastAsia="宋体" w:cs="Times New Roman"/>
      <w:sz w:val="24"/>
      <w:szCs w:val="20"/>
    </w:rPr>
  </w:style>
  <w:style w:type="paragraph" w:customStyle="1" w:styleId="45">
    <w:name w:val="List Paragraph"/>
    <w:basedOn w:val="1"/>
    <w:autoRedefine/>
    <w:qFormat/>
    <w:uiPriority w:val="0"/>
    <w:pPr>
      <w:ind w:left="220" w:hanging="530"/>
    </w:pPr>
    <w:rPr>
      <w:rFonts w:ascii="宋体" w:hAnsi="宋体" w:eastAsia="宋体" w:cs="宋体"/>
      <w:lang w:val="zh-CN" w:eastAsia="zh-CN" w:bidi="zh-CN"/>
    </w:rPr>
  </w:style>
  <w:style w:type="paragraph" w:customStyle="1" w:styleId="46">
    <w:name w:val="Table Paragraph"/>
    <w:basedOn w:val="1"/>
    <w:autoRedefine/>
    <w:qFormat/>
    <w:uiPriority w:val="0"/>
    <w:rPr>
      <w:rFonts w:ascii="宋体" w:hAnsi="宋体" w:eastAsia="宋体" w:cs="宋体"/>
      <w:lang w:val="zh-CN" w:eastAsia="zh-CN" w:bidi="zh-CN"/>
    </w:rPr>
  </w:style>
  <w:style w:type="paragraph" w:customStyle="1" w:styleId="47">
    <w:name w:val="WPSOffice手动目录 2"/>
    <w:autoRedefine/>
    <w:qFormat/>
    <w:uiPriority w:val="0"/>
    <w:pPr>
      <w:ind w:leftChars="200"/>
    </w:pPr>
    <w:rPr>
      <w:rFonts w:ascii="Times New Roman" w:hAnsi="Times New Roman" w:eastAsia="宋体" w:cs="Times New Roman"/>
      <w:sz w:val="20"/>
      <w:szCs w:val="20"/>
      <w:lang w:val="en-US" w:eastAsia="zh-CN" w:bidi="ar-SA"/>
    </w:rPr>
  </w:style>
  <w:style w:type="paragraph" w:customStyle="1" w:styleId="48">
    <w:name w:val="WPSOffice手动目录 1"/>
    <w:autoRedefine/>
    <w:qFormat/>
    <w:uiPriority w:val="0"/>
    <w:pPr>
      <w:ind w:leftChars="0"/>
    </w:pPr>
    <w:rPr>
      <w:rFonts w:ascii="Times New Roman" w:hAnsi="Times New Roman" w:eastAsia="宋体" w:cs="Times New Roman"/>
      <w:sz w:val="20"/>
      <w:szCs w:val="20"/>
      <w:lang w:val="en-US" w:eastAsia="zh-CN" w:bidi="ar-SA"/>
    </w:rPr>
  </w:style>
  <w:style w:type="paragraph" w:customStyle="1" w:styleId="49">
    <w:name w:val="WPSOffice手动目录 3"/>
    <w:autoRedefine/>
    <w:qFormat/>
    <w:uiPriority w:val="0"/>
    <w:pPr>
      <w:ind w:leftChars="400"/>
    </w:pPr>
    <w:rPr>
      <w:rFonts w:ascii="Times New Roman" w:hAnsi="Times New Roman" w:eastAsia="宋体" w:cs="Times New Roman"/>
      <w:sz w:val="20"/>
      <w:szCs w:val="20"/>
      <w:lang w:val="en-US" w:eastAsia="zh-CN" w:bidi="ar-SA"/>
    </w:rPr>
  </w:style>
  <w:style w:type="character" w:customStyle="1" w:styleId="50">
    <w:name w:val="标题 1 Char Char"/>
    <w:link w:val="7"/>
    <w:autoRedefine/>
    <w:semiHidden/>
    <w:qFormat/>
    <w:uiPriority w:val="0"/>
    <w:rPr>
      <w:rFonts w:eastAsia="仿宋"/>
      <w:kern w:val="44"/>
      <w:sz w:val="28"/>
    </w:rPr>
  </w:style>
  <w:style w:type="paragraph" w:customStyle="1" w:styleId="51">
    <w:name w:val="Body text|3"/>
    <w:basedOn w:val="1"/>
    <w:autoRedefine/>
    <w:qFormat/>
    <w:uiPriority w:val="0"/>
    <w:pPr>
      <w:widowControl w:val="0"/>
      <w:shd w:val="clear" w:color="auto" w:fill="auto"/>
      <w:spacing w:after="400"/>
      <w:jc w:val="center"/>
    </w:pPr>
    <w:rPr>
      <w:rFonts w:ascii="宋体" w:hAnsi="宋体" w:eastAsia="宋体" w:cs="宋体"/>
      <w:sz w:val="36"/>
      <w:szCs w:val="36"/>
      <w:u w:val="none"/>
      <w:shd w:val="clear" w:color="auto" w:fill="auto"/>
      <w:lang w:val="zh-TW" w:eastAsia="zh-TW" w:bidi="zh-TW"/>
    </w:rPr>
  </w:style>
  <w:style w:type="paragraph" w:customStyle="1" w:styleId="52">
    <w:name w:val="Heading #1|1"/>
    <w:basedOn w:val="1"/>
    <w:autoRedefine/>
    <w:qFormat/>
    <w:uiPriority w:val="0"/>
    <w:pPr>
      <w:widowControl w:val="0"/>
      <w:shd w:val="clear" w:color="auto" w:fill="auto"/>
      <w:spacing w:after="500"/>
      <w:jc w:val="center"/>
      <w:outlineLvl w:val="0"/>
    </w:pPr>
    <w:rPr>
      <w:rFonts w:ascii="宋体" w:hAnsi="宋体" w:eastAsia="宋体" w:cs="宋体"/>
      <w:sz w:val="68"/>
      <w:szCs w:val="68"/>
      <w:u w:val="none"/>
      <w:shd w:val="clear" w:color="auto" w:fill="auto"/>
      <w:lang w:val="zh-TW" w:eastAsia="zh-TW" w:bidi="zh-TW"/>
    </w:rPr>
  </w:style>
  <w:style w:type="paragraph" w:customStyle="1" w:styleId="53">
    <w:name w:val="Body text|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4">
    <w:name w:val="Header or footer|1"/>
    <w:basedOn w:val="1"/>
    <w:autoRedefine/>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 w:type="paragraph" w:customStyle="1" w:styleId="55">
    <w:name w:val="Other|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6">
    <w:name w:val="Body text|2"/>
    <w:basedOn w:val="1"/>
    <w:autoRedefine/>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27469</Words>
  <Characters>29507</Characters>
  <Lines>1</Lines>
  <Paragraphs>1</Paragraphs>
  <TotalTime>24</TotalTime>
  <ScaleCrop>false</ScaleCrop>
  <LinksUpToDate>false</LinksUpToDate>
  <CharactersWithSpaces>30773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2021-01-30T15:46:00Z</dcterms:created>
  <dc:creator>User</dc:creator>
  <cp:lastModifiedBy>NTKO</cp:lastModifiedBy>
  <cp:lastPrinted>2024-03-04T07:58:00Z</cp:lastPrinted>
  <dcterms:modified xsi:type="dcterms:W3CDTF">2024-05-17T09:51:24Z</dcterms:modified>
  <dc:title>隔热保暖</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2021-01-07T00:00:00Z</vt:filetime>
  </property>
  <property fmtid="{D5CDD505-2E9C-101B-9397-08002B2CF9AE}" pid="3" name="Creator">
    <vt:lpwstr>Microsoft® Word 2013</vt:lpwstr>
  </property>
  <property fmtid="{D5CDD505-2E9C-101B-9397-08002B2CF9AE}" pid="4" name="LastSaved">
    <vt:filetime>2021-01-30T00:00:00Z</vt:filetime>
  </property>
  <property fmtid="{D5CDD505-2E9C-101B-9397-08002B2CF9AE}" pid="5" name="KSOProductBuildVer">
    <vt:lpwstr>2052-12.1.0.16929</vt:lpwstr>
  </property>
  <property fmtid="{D5CDD505-2E9C-101B-9397-08002B2CF9AE}" pid="6" name="ICV">
    <vt:lpwstr>8C04E7B4EB9440EEA76004E32AE818D8</vt:lpwstr>
  </property>
</Properties>
</file>