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56" w:lineRule="auto"/>
        <w:rPr>
          <w:sz w:val="20"/>
          <w:szCs w:val="20"/>
          <w:highlight w:val="none"/>
        </w:rPr>
      </w:pPr>
    </w:p>
    <w:p>
      <w:pPr>
        <w:pStyle w:val="7"/>
        <w:spacing w:before="9"/>
        <w:jc w:val="center"/>
        <w:rPr>
          <w:rFonts w:hint="eastAsia" w:ascii="微软雅黑" w:hAnsi="微软雅黑" w:eastAsia="微软雅黑" w:cs="微软雅黑"/>
          <w:b/>
          <w:bCs/>
          <w:i w:val="0"/>
          <w:iCs w:val="0"/>
          <w:snapToGrid w:val="0"/>
          <w:color w:val="000000"/>
          <w:kern w:val="0"/>
          <w:sz w:val="40"/>
          <w:szCs w:val="40"/>
          <w:lang w:val="en-US" w:eastAsia="zh-CN" w:bidi="ar"/>
        </w:rPr>
      </w:pPr>
      <w:r>
        <w:rPr>
          <w:rFonts w:hint="eastAsia" w:ascii="微软雅黑" w:hAnsi="微软雅黑" w:eastAsia="微软雅黑" w:cs="微软雅黑"/>
          <w:b/>
          <w:bCs/>
          <w:i w:val="0"/>
          <w:iCs w:val="0"/>
          <w:snapToGrid w:val="0"/>
          <w:color w:val="000000"/>
          <w:kern w:val="0"/>
          <w:sz w:val="40"/>
          <w:szCs w:val="40"/>
          <w:lang w:val="en-US" w:eastAsia="zh-CN" w:bidi="ar"/>
        </w:rPr>
        <w:t>唐河县环境卫生服务中心关于对东区环卫作业</w:t>
      </w:r>
    </w:p>
    <w:p>
      <w:pPr>
        <w:pStyle w:val="7"/>
        <w:spacing w:before="9"/>
        <w:jc w:val="center"/>
        <w:rPr>
          <w:rFonts w:hint="eastAsia"/>
          <w:b/>
          <w:sz w:val="56"/>
          <w:szCs w:val="24"/>
          <w:highlight w:val="none"/>
        </w:rPr>
      </w:pPr>
      <w:r>
        <w:rPr>
          <w:rFonts w:hint="eastAsia" w:ascii="微软雅黑" w:hAnsi="微软雅黑" w:eastAsia="微软雅黑" w:cs="微软雅黑"/>
          <w:b/>
          <w:bCs/>
          <w:i w:val="0"/>
          <w:iCs w:val="0"/>
          <w:snapToGrid w:val="0"/>
          <w:color w:val="000000"/>
          <w:kern w:val="0"/>
          <w:sz w:val="40"/>
          <w:szCs w:val="40"/>
          <w:lang w:val="en-US" w:eastAsia="zh-CN" w:bidi="ar"/>
        </w:rPr>
        <w:t>服务项目</w:t>
      </w:r>
    </w:p>
    <w:p>
      <w:pPr>
        <w:pStyle w:val="7"/>
        <w:spacing w:before="9"/>
        <w:jc w:val="center"/>
        <w:rPr>
          <w:rFonts w:hint="eastAsia"/>
          <w:b/>
          <w:sz w:val="72"/>
          <w:szCs w:val="28"/>
          <w:highlight w:val="none"/>
        </w:rPr>
      </w:pPr>
    </w:p>
    <w:p>
      <w:pPr>
        <w:pStyle w:val="38"/>
        <w:rPr>
          <w:highlight w:val="none"/>
        </w:rPr>
      </w:pPr>
    </w:p>
    <w:p>
      <w:pPr>
        <w:pStyle w:val="38"/>
        <w:rPr>
          <w:highlight w:val="none"/>
        </w:rPr>
      </w:pPr>
    </w:p>
    <w:p>
      <w:pPr>
        <w:pStyle w:val="38"/>
        <w:rPr>
          <w:highlight w:val="none"/>
        </w:rPr>
      </w:pPr>
    </w:p>
    <w:p>
      <w:pPr>
        <w:pStyle w:val="38"/>
        <w:rPr>
          <w:highlight w:val="none"/>
        </w:rPr>
      </w:pPr>
    </w:p>
    <w:p>
      <w:pPr>
        <w:pStyle w:val="38"/>
        <w:rPr>
          <w:highlight w:val="none"/>
        </w:rPr>
      </w:pPr>
    </w:p>
    <w:p>
      <w:pPr>
        <w:pStyle w:val="7"/>
        <w:spacing w:before="9"/>
        <w:jc w:val="center"/>
        <w:rPr>
          <w:b/>
          <w:sz w:val="96"/>
          <w:szCs w:val="32"/>
          <w:highlight w:val="none"/>
        </w:rPr>
      </w:pPr>
      <w:r>
        <w:rPr>
          <w:rFonts w:hint="eastAsia"/>
          <w:b/>
          <w:sz w:val="96"/>
          <w:szCs w:val="32"/>
          <w:highlight w:val="none"/>
        </w:rPr>
        <w:t>招标文件</w:t>
      </w:r>
    </w:p>
    <w:p>
      <w:pPr>
        <w:pStyle w:val="7"/>
        <w:spacing w:before="9"/>
        <w:jc w:val="center"/>
        <w:rPr>
          <w:rFonts w:ascii="Arial" w:hAnsi="Arial" w:eastAsia="Arial" w:cs="Arial"/>
          <w:snapToGrid w:val="0"/>
          <w:color w:val="auto"/>
          <w:spacing w:val="-1"/>
          <w:sz w:val="32"/>
          <w:szCs w:val="21"/>
          <w:highlight w:val="none"/>
          <w:lang w:val="en-US" w:eastAsia="zh-CN" w:bidi="ar-SA"/>
        </w:rPr>
      </w:pPr>
    </w:p>
    <w:p>
      <w:pPr>
        <w:pStyle w:val="8"/>
        <w:rPr>
          <w:highlight w:val="none"/>
          <w:lang w:val="en-US" w:eastAsia="zh-CN"/>
        </w:rPr>
      </w:pPr>
    </w:p>
    <w:p>
      <w:pPr>
        <w:ind w:firstLine="1590" w:firstLineChars="500"/>
        <w:jc w:val="both"/>
        <w:rPr>
          <w:rFonts w:hint="default" w:ascii="Arial" w:hAnsi="Arial" w:eastAsia="Arial" w:cs="Arial"/>
          <w:snapToGrid w:val="0"/>
          <w:color w:val="auto"/>
          <w:spacing w:val="-1"/>
          <w:sz w:val="32"/>
          <w:szCs w:val="21"/>
          <w:highlight w:val="none"/>
          <w:lang w:val="en-US" w:eastAsia="zh-CN" w:bidi="ar-SA"/>
        </w:rPr>
      </w:pPr>
      <w:r>
        <w:rPr>
          <w:rFonts w:ascii="Arial" w:hAnsi="Arial" w:eastAsia="Arial" w:cs="Arial"/>
          <w:snapToGrid w:val="0"/>
          <w:color w:val="auto"/>
          <w:spacing w:val="-1"/>
          <w:sz w:val="32"/>
          <w:szCs w:val="21"/>
          <w:highlight w:val="none"/>
          <w:lang w:val="en-US" w:eastAsia="zh-CN" w:bidi="ar-SA"/>
        </w:rPr>
        <w:t>采购项目编号：唐财采购公开-</w:t>
      </w:r>
      <w:r>
        <w:rPr>
          <w:rFonts w:hint="eastAsia" w:cs="Arial"/>
          <w:snapToGrid w:val="0"/>
          <w:color w:val="auto"/>
          <w:spacing w:val="-1"/>
          <w:sz w:val="32"/>
          <w:szCs w:val="21"/>
          <w:highlight w:val="none"/>
          <w:lang w:val="en-US" w:eastAsia="zh-CN" w:bidi="ar-SA"/>
        </w:rPr>
        <w:t>2024</w:t>
      </w:r>
      <w:r>
        <w:rPr>
          <w:rFonts w:ascii="Arial" w:hAnsi="Arial" w:eastAsia="Arial" w:cs="Arial"/>
          <w:snapToGrid w:val="0"/>
          <w:color w:val="auto"/>
          <w:spacing w:val="-1"/>
          <w:sz w:val="32"/>
          <w:szCs w:val="21"/>
          <w:highlight w:val="none"/>
          <w:lang w:val="en-US" w:eastAsia="zh-CN" w:bidi="ar-SA"/>
        </w:rPr>
        <w:t>-</w:t>
      </w:r>
      <w:r>
        <w:rPr>
          <w:rFonts w:hint="eastAsia" w:cs="Arial"/>
          <w:snapToGrid w:val="0"/>
          <w:color w:val="auto"/>
          <w:spacing w:val="-1"/>
          <w:sz w:val="32"/>
          <w:szCs w:val="21"/>
          <w:highlight w:val="none"/>
          <w:lang w:val="en-US" w:eastAsia="zh-CN" w:bidi="ar-SA"/>
        </w:rPr>
        <w:t>12</w:t>
      </w:r>
    </w:p>
    <w:p>
      <w:pPr>
        <w:jc w:val="center"/>
        <w:rPr>
          <w:rFonts w:ascii="Arial" w:hAnsi="Arial" w:eastAsia="Arial" w:cs="Arial"/>
          <w:snapToGrid w:val="0"/>
          <w:color w:val="auto"/>
          <w:spacing w:val="-1"/>
          <w:sz w:val="32"/>
          <w:szCs w:val="21"/>
          <w:highlight w:val="none"/>
          <w:lang w:val="en-US" w:eastAsia="zh-CN" w:bidi="ar-SA"/>
        </w:rPr>
      </w:pPr>
    </w:p>
    <w:p>
      <w:pPr>
        <w:pStyle w:val="7"/>
        <w:rPr>
          <w:sz w:val="20"/>
          <w:highlight w:val="none"/>
        </w:rPr>
      </w:pPr>
    </w:p>
    <w:p>
      <w:pPr>
        <w:pStyle w:val="7"/>
        <w:rPr>
          <w:sz w:val="20"/>
          <w:highlight w:val="none"/>
        </w:rPr>
      </w:pPr>
    </w:p>
    <w:p>
      <w:pPr>
        <w:pStyle w:val="7"/>
        <w:rPr>
          <w:sz w:val="20"/>
          <w:highlight w:val="none"/>
        </w:rPr>
      </w:pPr>
    </w:p>
    <w:p>
      <w:pPr>
        <w:pStyle w:val="7"/>
        <w:spacing w:before="11"/>
        <w:rPr>
          <w:highlight w:val="none"/>
        </w:rPr>
      </w:pPr>
    </w:p>
    <w:p>
      <w:pPr>
        <w:pStyle w:val="7"/>
        <w:rPr>
          <w:sz w:val="32"/>
          <w:highlight w:val="none"/>
        </w:rPr>
      </w:pPr>
    </w:p>
    <w:p>
      <w:pPr>
        <w:pStyle w:val="7"/>
        <w:rPr>
          <w:sz w:val="32"/>
          <w:highlight w:val="none"/>
        </w:rPr>
      </w:pPr>
    </w:p>
    <w:p>
      <w:pPr>
        <w:pStyle w:val="7"/>
        <w:rPr>
          <w:sz w:val="32"/>
          <w:highlight w:val="none"/>
        </w:rPr>
      </w:pPr>
    </w:p>
    <w:p>
      <w:pPr>
        <w:pStyle w:val="7"/>
        <w:rPr>
          <w:sz w:val="32"/>
          <w:highlight w:val="none"/>
        </w:rPr>
      </w:pPr>
    </w:p>
    <w:p>
      <w:pPr>
        <w:pStyle w:val="7"/>
        <w:rPr>
          <w:sz w:val="32"/>
          <w:highlight w:val="none"/>
        </w:rPr>
      </w:pPr>
    </w:p>
    <w:p>
      <w:pPr>
        <w:tabs>
          <w:tab w:val="left" w:pos="3655"/>
          <w:tab w:val="left" w:pos="5462"/>
          <w:tab w:val="left" w:pos="9881"/>
        </w:tabs>
        <w:spacing w:before="207" w:line="235" w:lineRule="auto"/>
        <w:ind w:right="322"/>
        <w:jc w:val="center"/>
        <w:rPr>
          <w:rFonts w:eastAsiaTheme="minorEastAsia"/>
          <w:b/>
          <w:spacing w:val="-2"/>
          <w:sz w:val="32"/>
          <w:szCs w:val="32"/>
          <w:highlight w:val="none"/>
          <w:u w:val="single"/>
        </w:rPr>
      </w:pPr>
      <w:r>
        <w:rPr>
          <w:b/>
          <w:sz w:val="32"/>
          <w:szCs w:val="32"/>
          <w:highlight w:val="none"/>
        </w:rPr>
        <w:t>采</w:t>
      </w:r>
      <w:r>
        <w:rPr>
          <w:rFonts w:hint="eastAsia" w:eastAsiaTheme="minorEastAsia"/>
          <w:b/>
          <w:sz w:val="32"/>
          <w:szCs w:val="32"/>
          <w:highlight w:val="none"/>
        </w:rPr>
        <w:t xml:space="preserve">      </w:t>
      </w:r>
      <w:r>
        <w:rPr>
          <w:b/>
          <w:sz w:val="32"/>
          <w:szCs w:val="32"/>
          <w:highlight w:val="none"/>
        </w:rPr>
        <w:t>购</w:t>
      </w:r>
      <w:r>
        <w:rPr>
          <w:rFonts w:hint="eastAsia" w:eastAsiaTheme="minorEastAsia"/>
          <w:b/>
          <w:sz w:val="32"/>
          <w:szCs w:val="32"/>
          <w:highlight w:val="none"/>
        </w:rPr>
        <w:t xml:space="preserve">     </w:t>
      </w:r>
      <w:r>
        <w:rPr>
          <w:b/>
          <w:sz w:val="32"/>
          <w:szCs w:val="32"/>
          <w:highlight w:val="none"/>
        </w:rPr>
        <w:t>人：</w:t>
      </w:r>
      <w:r>
        <w:rPr>
          <w:rFonts w:hint="eastAsia"/>
          <w:b/>
          <w:sz w:val="32"/>
          <w:szCs w:val="32"/>
          <w:highlight w:val="none"/>
          <w:lang w:val="en-US" w:eastAsia="zh-CN"/>
        </w:rPr>
        <w:t>唐河县环境卫生服务中心</w:t>
      </w:r>
    </w:p>
    <w:p>
      <w:pPr>
        <w:tabs>
          <w:tab w:val="left" w:pos="3655"/>
          <w:tab w:val="left" w:pos="5462"/>
          <w:tab w:val="left" w:pos="9881"/>
        </w:tabs>
        <w:spacing w:before="207" w:line="235" w:lineRule="auto"/>
        <w:ind w:right="322"/>
        <w:jc w:val="center"/>
        <w:rPr>
          <w:b/>
          <w:spacing w:val="-2"/>
          <w:sz w:val="32"/>
          <w:szCs w:val="32"/>
          <w:highlight w:val="none"/>
          <w:u w:val="single"/>
        </w:rPr>
      </w:pPr>
      <w:r>
        <w:rPr>
          <w:b/>
          <w:sz w:val="32"/>
          <w:szCs w:val="32"/>
          <w:highlight w:val="none"/>
        </w:rPr>
        <w:t>采购代理机构：</w:t>
      </w:r>
      <w:r>
        <w:rPr>
          <w:rFonts w:hint="eastAsia"/>
          <w:b/>
          <w:sz w:val="32"/>
          <w:szCs w:val="32"/>
          <w:highlight w:val="none"/>
          <w:u w:val="single"/>
          <w:lang w:val="en-US" w:eastAsia="zh-CN"/>
        </w:rPr>
        <w:t>唐河县唐兴工程造价咨询有限公司</w:t>
      </w:r>
    </w:p>
    <w:p>
      <w:pPr>
        <w:spacing w:before="227" w:line="220" w:lineRule="auto"/>
        <w:jc w:val="center"/>
        <w:rPr>
          <w:b/>
          <w:w w:val="95"/>
          <w:sz w:val="32"/>
          <w:szCs w:val="32"/>
          <w:highlight w:val="none"/>
          <w:u w:val="single"/>
        </w:rPr>
      </w:pPr>
      <w:r>
        <w:rPr>
          <w:b/>
          <w:sz w:val="32"/>
          <w:szCs w:val="32"/>
          <w:highlight w:val="none"/>
        </w:rPr>
        <w:t>日</w:t>
      </w:r>
      <w:r>
        <w:rPr>
          <w:rFonts w:hint="eastAsia" w:eastAsiaTheme="minorEastAsia"/>
          <w:b/>
          <w:sz w:val="32"/>
          <w:szCs w:val="32"/>
          <w:highlight w:val="none"/>
        </w:rPr>
        <w:t xml:space="preserve">             </w:t>
      </w:r>
      <w:r>
        <w:rPr>
          <w:b/>
          <w:sz w:val="32"/>
          <w:szCs w:val="32"/>
          <w:highlight w:val="none"/>
        </w:rPr>
        <w:t>期：</w:t>
      </w:r>
      <w:r>
        <w:rPr>
          <w:b/>
          <w:w w:val="95"/>
          <w:sz w:val="32"/>
          <w:szCs w:val="32"/>
          <w:highlight w:val="none"/>
          <w:u w:val="single"/>
        </w:rPr>
        <w:t>二零二</w:t>
      </w:r>
      <w:r>
        <w:rPr>
          <w:rFonts w:hint="eastAsia" w:eastAsia="宋体"/>
          <w:b/>
          <w:w w:val="95"/>
          <w:sz w:val="32"/>
          <w:szCs w:val="32"/>
          <w:highlight w:val="none"/>
          <w:u w:val="single"/>
          <w:lang w:val="en-US" w:eastAsia="zh-CN"/>
        </w:rPr>
        <w:t>四</w:t>
      </w:r>
      <w:r>
        <w:rPr>
          <w:b/>
          <w:w w:val="95"/>
          <w:sz w:val="32"/>
          <w:szCs w:val="32"/>
          <w:highlight w:val="none"/>
          <w:u w:val="single"/>
        </w:rPr>
        <w:t>年</w:t>
      </w:r>
      <w:r>
        <w:rPr>
          <w:rFonts w:hint="eastAsia" w:eastAsia="宋体"/>
          <w:b/>
          <w:w w:val="95"/>
          <w:sz w:val="32"/>
          <w:szCs w:val="32"/>
          <w:highlight w:val="none"/>
          <w:u w:val="single"/>
          <w:lang w:val="en-US" w:eastAsia="zh-CN"/>
        </w:rPr>
        <w:t>五</w:t>
      </w:r>
      <w:r>
        <w:rPr>
          <w:b/>
          <w:w w:val="95"/>
          <w:sz w:val="32"/>
          <w:szCs w:val="32"/>
          <w:highlight w:val="none"/>
          <w:u w:val="single"/>
        </w:rPr>
        <w:t>月</w:t>
      </w:r>
    </w:p>
    <w:p>
      <w:pPr>
        <w:pStyle w:val="7"/>
        <w:rPr>
          <w:b/>
          <w:w w:val="95"/>
          <w:sz w:val="32"/>
          <w:szCs w:val="32"/>
          <w:highlight w:val="none"/>
          <w:u w:val="single"/>
        </w:rPr>
      </w:pPr>
    </w:p>
    <w:p/>
    <w:p>
      <w:pPr>
        <w:pStyle w:val="37"/>
      </w:pPr>
    </w:p>
    <w:p>
      <w:pPr>
        <w:rPr>
          <w:highlight w:val="none"/>
        </w:rPr>
        <w:sectPr>
          <w:footerReference r:id="rId3" w:type="default"/>
          <w:pgSz w:w="11907" w:h="16839"/>
          <w:pgMar w:top="1431" w:right="1323" w:bottom="1175" w:left="1334" w:header="0" w:footer="1015" w:gutter="0"/>
          <w:cols w:space="720" w:num="1"/>
        </w:sectPr>
      </w:pPr>
    </w:p>
    <w:p>
      <w:pPr>
        <w:jc w:val="center"/>
        <w:rPr>
          <w:rFonts w:eastAsia="宋体"/>
          <w:b/>
          <w:bCs/>
          <w:sz w:val="32"/>
          <w:szCs w:val="32"/>
          <w:highlight w:val="none"/>
        </w:rPr>
      </w:pPr>
      <w:r>
        <w:rPr>
          <w:rFonts w:hint="eastAsia" w:eastAsia="宋体"/>
          <w:b/>
          <w:bCs/>
          <w:sz w:val="32"/>
          <w:szCs w:val="32"/>
          <w:highlight w:val="none"/>
        </w:rPr>
        <w:t>目  录</w:t>
      </w:r>
    </w:p>
    <w:p>
      <w:pPr>
        <w:pStyle w:val="38"/>
        <w:rPr>
          <w:rFonts w:eastAsia="宋体"/>
          <w:b/>
          <w:bCs/>
          <w:sz w:val="32"/>
          <w:szCs w:val="32"/>
          <w:highlight w:val="none"/>
        </w:rPr>
      </w:pPr>
    </w:p>
    <w:p>
      <w:pPr>
        <w:pStyle w:val="15"/>
        <w:tabs>
          <w:tab w:val="right" w:leader="dot" w:pos="9807"/>
        </w:tabs>
        <w:rPr>
          <w:sz w:val="28"/>
          <w:szCs w:val="28"/>
        </w:rPr>
      </w:pPr>
      <w:r>
        <w:rPr>
          <w:rFonts w:hint="eastAsia" w:ascii="华文宋体" w:hAnsi="华文宋体" w:eastAsia="宋体" w:cs="华文宋体"/>
          <w:sz w:val="40"/>
          <w:szCs w:val="40"/>
          <w:highlight w:val="none"/>
        </w:rPr>
        <w:fldChar w:fldCharType="begin"/>
      </w:r>
      <w:r>
        <w:rPr>
          <w:rFonts w:hint="eastAsia" w:ascii="华文宋体" w:hAnsi="华文宋体" w:eastAsia="宋体" w:cs="华文宋体"/>
          <w:sz w:val="40"/>
          <w:szCs w:val="40"/>
          <w:highlight w:val="none"/>
        </w:rPr>
        <w:instrText xml:space="preserve">TOC \o "1-3" \h \u </w:instrText>
      </w:r>
      <w:r>
        <w:rPr>
          <w:rFonts w:hint="eastAsia" w:ascii="华文宋体" w:hAnsi="华文宋体" w:eastAsia="宋体" w:cs="华文宋体"/>
          <w:sz w:val="40"/>
          <w:szCs w:val="40"/>
          <w:highlight w:val="none"/>
        </w:rPr>
        <w:fldChar w:fldCharType="separate"/>
      </w:r>
      <w:r>
        <w:rPr>
          <w:rFonts w:hint="eastAsia" w:ascii="华文宋体" w:hAnsi="华文宋体" w:eastAsia="宋体" w:cs="华文宋体"/>
          <w:sz w:val="28"/>
          <w:szCs w:val="40"/>
          <w:highlight w:val="none"/>
        </w:rPr>
        <w:fldChar w:fldCharType="begin"/>
      </w:r>
      <w:r>
        <w:rPr>
          <w:rFonts w:hint="eastAsia" w:ascii="华文宋体" w:hAnsi="华文宋体" w:eastAsia="宋体" w:cs="华文宋体"/>
          <w:sz w:val="28"/>
          <w:szCs w:val="40"/>
          <w:highlight w:val="none"/>
        </w:rPr>
        <w:instrText xml:space="preserve"> HYPERLINK \l _Toc10352 </w:instrText>
      </w:r>
      <w:r>
        <w:rPr>
          <w:rFonts w:hint="eastAsia" w:ascii="华文宋体" w:hAnsi="华文宋体" w:eastAsia="宋体" w:cs="华文宋体"/>
          <w:sz w:val="28"/>
          <w:szCs w:val="40"/>
          <w:highlight w:val="none"/>
        </w:rPr>
        <w:fldChar w:fldCharType="separate"/>
      </w:r>
      <w:r>
        <w:rPr>
          <w:rFonts w:ascii="宋体" w:hAnsi="宋体" w:eastAsia="宋体" w:cs="宋体"/>
          <w:bCs/>
          <w:spacing w:val="9"/>
          <w:sz w:val="28"/>
          <w:szCs w:val="40"/>
          <w:highlight w:val="none"/>
        </w:rPr>
        <w:t>第一部分 招标公告</w:t>
      </w:r>
      <w:r>
        <w:rPr>
          <w:sz w:val="28"/>
          <w:szCs w:val="28"/>
        </w:rPr>
        <w:tab/>
      </w:r>
      <w:r>
        <w:rPr>
          <w:sz w:val="28"/>
          <w:szCs w:val="28"/>
        </w:rPr>
        <w:fldChar w:fldCharType="begin"/>
      </w:r>
      <w:r>
        <w:rPr>
          <w:sz w:val="28"/>
          <w:szCs w:val="28"/>
        </w:rPr>
        <w:instrText xml:space="preserve"> PAGEREF _Toc10352 \h </w:instrText>
      </w:r>
      <w:r>
        <w:rPr>
          <w:sz w:val="28"/>
          <w:szCs w:val="28"/>
        </w:rPr>
        <w:fldChar w:fldCharType="separate"/>
      </w:r>
      <w:r>
        <w:rPr>
          <w:sz w:val="28"/>
          <w:szCs w:val="28"/>
        </w:rPr>
        <w:t>- 1 -</w:t>
      </w:r>
      <w:r>
        <w:rPr>
          <w:sz w:val="28"/>
          <w:szCs w:val="28"/>
        </w:rPr>
        <w:fldChar w:fldCharType="end"/>
      </w:r>
      <w:r>
        <w:rPr>
          <w:rFonts w:hint="eastAsia" w:ascii="华文宋体" w:hAnsi="华文宋体" w:eastAsia="宋体" w:cs="华文宋体"/>
          <w:sz w:val="28"/>
          <w:szCs w:val="40"/>
          <w:highlight w:val="none"/>
        </w:rPr>
        <w:fldChar w:fldCharType="end"/>
      </w:r>
    </w:p>
    <w:p>
      <w:pPr>
        <w:pStyle w:val="15"/>
        <w:tabs>
          <w:tab w:val="right" w:leader="dot" w:pos="9807"/>
        </w:tabs>
        <w:rPr>
          <w:sz w:val="28"/>
          <w:szCs w:val="28"/>
        </w:rPr>
      </w:pPr>
      <w:r>
        <w:rPr>
          <w:rFonts w:hint="eastAsia" w:ascii="华文宋体" w:hAnsi="华文宋体" w:eastAsia="宋体" w:cs="华文宋体"/>
          <w:sz w:val="28"/>
          <w:szCs w:val="40"/>
          <w:highlight w:val="none"/>
        </w:rPr>
        <w:fldChar w:fldCharType="begin"/>
      </w:r>
      <w:r>
        <w:rPr>
          <w:rFonts w:hint="eastAsia" w:ascii="华文宋体" w:hAnsi="华文宋体" w:eastAsia="宋体" w:cs="华文宋体"/>
          <w:sz w:val="28"/>
          <w:szCs w:val="40"/>
          <w:highlight w:val="none"/>
        </w:rPr>
        <w:instrText xml:space="preserve"> HYPERLINK \l _Toc21092 </w:instrText>
      </w:r>
      <w:r>
        <w:rPr>
          <w:rFonts w:hint="eastAsia" w:ascii="华文宋体" w:hAnsi="华文宋体" w:eastAsia="宋体" w:cs="华文宋体"/>
          <w:sz w:val="28"/>
          <w:szCs w:val="40"/>
          <w:highlight w:val="none"/>
        </w:rPr>
        <w:fldChar w:fldCharType="separate"/>
      </w:r>
      <w:r>
        <w:rPr>
          <w:rFonts w:ascii="宋体" w:hAnsi="宋体" w:eastAsia="宋体" w:cs="宋体"/>
          <w:bCs/>
          <w:spacing w:val="9"/>
          <w:sz w:val="28"/>
          <w:szCs w:val="40"/>
          <w:highlight w:val="none"/>
        </w:rPr>
        <w:t>第二部分</w:t>
      </w:r>
      <w:r>
        <w:rPr>
          <w:rFonts w:hint="eastAsia" w:ascii="宋体" w:hAnsi="宋体" w:eastAsia="宋体" w:cs="宋体"/>
          <w:bCs/>
          <w:spacing w:val="9"/>
          <w:sz w:val="28"/>
          <w:szCs w:val="40"/>
          <w:highlight w:val="none"/>
          <w:lang w:val="en-US" w:eastAsia="zh-CN"/>
        </w:rPr>
        <w:t xml:space="preserve"> </w:t>
      </w:r>
      <w:r>
        <w:rPr>
          <w:rFonts w:ascii="宋体" w:hAnsi="宋体" w:eastAsia="宋体" w:cs="宋体"/>
          <w:bCs/>
          <w:spacing w:val="9"/>
          <w:sz w:val="28"/>
          <w:szCs w:val="40"/>
          <w:highlight w:val="none"/>
        </w:rPr>
        <w:t>投标人须</w:t>
      </w:r>
      <w:r>
        <w:rPr>
          <w:rFonts w:ascii="宋体" w:hAnsi="宋体" w:eastAsia="宋体" w:cs="宋体"/>
          <w:bCs/>
          <w:spacing w:val="8"/>
          <w:sz w:val="28"/>
          <w:szCs w:val="40"/>
          <w:highlight w:val="none"/>
        </w:rPr>
        <w:t>知</w:t>
      </w:r>
      <w:r>
        <w:rPr>
          <w:sz w:val="28"/>
          <w:szCs w:val="28"/>
        </w:rPr>
        <w:tab/>
      </w:r>
      <w:r>
        <w:rPr>
          <w:sz w:val="28"/>
          <w:szCs w:val="28"/>
        </w:rPr>
        <w:fldChar w:fldCharType="begin"/>
      </w:r>
      <w:r>
        <w:rPr>
          <w:sz w:val="28"/>
          <w:szCs w:val="28"/>
        </w:rPr>
        <w:instrText xml:space="preserve"> PAGEREF _Toc21092 \h </w:instrText>
      </w:r>
      <w:r>
        <w:rPr>
          <w:sz w:val="28"/>
          <w:szCs w:val="28"/>
        </w:rPr>
        <w:fldChar w:fldCharType="separate"/>
      </w:r>
      <w:r>
        <w:rPr>
          <w:sz w:val="28"/>
          <w:szCs w:val="28"/>
        </w:rPr>
        <w:t>- 5 -</w:t>
      </w:r>
      <w:r>
        <w:rPr>
          <w:sz w:val="28"/>
          <w:szCs w:val="28"/>
        </w:rPr>
        <w:fldChar w:fldCharType="end"/>
      </w:r>
      <w:r>
        <w:rPr>
          <w:rFonts w:hint="eastAsia" w:ascii="华文宋体" w:hAnsi="华文宋体" w:eastAsia="宋体" w:cs="华文宋体"/>
          <w:sz w:val="28"/>
          <w:szCs w:val="40"/>
          <w:highlight w:val="none"/>
        </w:rPr>
        <w:fldChar w:fldCharType="end"/>
      </w:r>
    </w:p>
    <w:p>
      <w:pPr>
        <w:pStyle w:val="15"/>
        <w:tabs>
          <w:tab w:val="right" w:leader="dot" w:pos="9807"/>
        </w:tabs>
        <w:rPr>
          <w:sz w:val="28"/>
          <w:szCs w:val="28"/>
        </w:rPr>
      </w:pPr>
      <w:r>
        <w:rPr>
          <w:rFonts w:hint="eastAsia" w:ascii="华文宋体" w:hAnsi="华文宋体" w:eastAsia="宋体" w:cs="华文宋体"/>
          <w:sz w:val="28"/>
          <w:szCs w:val="40"/>
          <w:highlight w:val="none"/>
        </w:rPr>
        <w:fldChar w:fldCharType="begin"/>
      </w:r>
      <w:r>
        <w:rPr>
          <w:rFonts w:hint="eastAsia" w:ascii="华文宋体" w:hAnsi="华文宋体" w:eastAsia="宋体" w:cs="华文宋体"/>
          <w:sz w:val="28"/>
          <w:szCs w:val="40"/>
          <w:highlight w:val="none"/>
        </w:rPr>
        <w:instrText xml:space="preserve"> HYPERLINK \l _Toc18565 </w:instrText>
      </w:r>
      <w:r>
        <w:rPr>
          <w:rFonts w:hint="eastAsia" w:ascii="华文宋体" w:hAnsi="华文宋体" w:eastAsia="宋体" w:cs="华文宋体"/>
          <w:sz w:val="28"/>
          <w:szCs w:val="40"/>
          <w:highlight w:val="none"/>
        </w:rPr>
        <w:fldChar w:fldCharType="separate"/>
      </w:r>
      <w:r>
        <w:rPr>
          <w:rFonts w:hint="eastAsia" w:asciiTheme="minorEastAsia" w:hAnsiTheme="minorEastAsia" w:eastAsiaTheme="minorEastAsia" w:cstheme="minorEastAsia"/>
          <w:bCs/>
          <w:spacing w:val="18"/>
          <w:sz w:val="28"/>
          <w:szCs w:val="40"/>
          <w:highlight w:val="none"/>
        </w:rPr>
        <w:t>第</w:t>
      </w:r>
      <w:r>
        <w:rPr>
          <w:rFonts w:hint="eastAsia" w:asciiTheme="minorEastAsia" w:hAnsiTheme="minorEastAsia" w:eastAsiaTheme="minorEastAsia" w:cstheme="minorEastAsia"/>
          <w:bCs/>
          <w:spacing w:val="9"/>
          <w:sz w:val="28"/>
          <w:szCs w:val="40"/>
          <w:highlight w:val="none"/>
        </w:rPr>
        <w:t>三部分</w:t>
      </w:r>
      <w:r>
        <w:rPr>
          <w:rFonts w:hint="eastAsia" w:asciiTheme="minorEastAsia" w:hAnsiTheme="minorEastAsia" w:eastAsiaTheme="minorEastAsia" w:cstheme="minorEastAsia"/>
          <w:bCs/>
          <w:spacing w:val="9"/>
          <w:sz w:val="28"/>
          <w:szCs w:val="40"/>
          <w:highlight w:val="none"/>
          <w:lang w:val="en-US" w:eastAsia="zh-CN"/>
        </w:rPr>
        <w:t xml:space="preserve"> </w:t>
      </w:r>
      <w:r>
        <w:rPr>
          <w:rFonts w:hint="eastAsia" w:asciiTheme="minorEastAsia" w:hAnsiTheme="minorEastAsia" w:eastAsiaTheme="minorEastAsia" w:cstheme="minorEastAsia"/>
          <w:bCs/>
          <w:spacing w:val="9"/>
          <w:sz w:val="28"/>
          <w:szCs w:val="40"/>
          <w:highlight w:val="none"/>
        </w:rPr>
        <w:t>投标人须知正文部分</w:t>
      </w:r>
      <w:r>
        <w:rPr>
          <w:sz w:val="28"/>
          <w:szCs w:val="28"/>
        </w:rPr>
        <w:tab/>
      </w:r>
      <w:r>
        <w:rPr>
          <w:sz w:val="28"/>
          <w:szCs w:val="28"/>
        </w:rPr>
        <w:fldChar w:fldCharType="begin"/>
      </w:r>
      <w:r>
        <w:rPr>
          <w:sz w:val="28"/>
          <w:szCs w:val="28"/>
        </w:rPr>
        <w:instrText xml:space="preserve"> PAGEREF _Toc18565 \h </w:instrText>
      </w:r>
      <w:r>
        <w:rPr>
          <w:sz w:val="28"/>
          <w:szCs w:val="28"/>
        </w:rPr>
        <w:fldChar w:fldCharType="separate"/>
      </w:r>
      <w:r>
        <w:rPr>
          <w:sz w:val="28"/>
          <w:szCs w:val="28"/>
        </w:rPr>
        <w:t>- 8 -</w:t>
      </w:r>
      <w:r>
        <w:rPr>
          <w:sz w:val="28"/>
          <w:szCs w:val="28"/>
        </w:rPr>
        <w:fldChar w:fldCharType="end"/>
      </w:r>
      <w:r>
        <w:rPr>
          <w:rFonts w:hint="eastAsia" w:ascii="华文宋体" w:hAnsi="华文宋体" w:eastAsia="宋体" w:cs="华文宋体"/>
          <w:sz w:val="28"/>
          <w:szCs w:val="40"/>
          <w:highlight w:val="none"/>
        </w:rPr>
        <w:fldChar w:fldCharType="end"/>
      </w:r>
    </w:p>
    <w:p>
      <w:pPr>
        <w:pStyle w:val="15"/>
        <w:tabs>
          <w:tab w:val="right" w:leader="dot" w:pos="9807"/>
        </w:tabs>
        <w:rPr>
          <w:sz w:val="28"/>
          <w:szCs w:val="28"/>
        </w:rPr>
      </w:pPr>
      <w:r>
        <w:rPr>
          <w:rFonts w:hint="eastAsia" w:ascii="华文宋体" w:hAnsi="华文宋体" w:eastAsia="宋体" w:cs="华文宋体"/>
          <w:sz w:val="28"/>
          <w:szCs w:val="40"/>
          <w:highlight w:val="none"/>
        </w:rPr>
        <w:fldChar w:fldCharType="begin"/>
      </w:r>
      <w:r>
        <w:rPr>
          <w:rFonts w:hint="eastAsia" w:ascii="华文宋体" w:hAnsi="华文宋体" w:eastAsia="宋体" w:cs="华文宋体"/>
          <w:sz w:val="28"/>
          <w:szCs w:val="40"/>
          <w:highlight w:val="none"/>
        </w:rPr>
        <w:instrText xml:space="preserve"> HYPERLINK \l _Toc25946 </w:instrText>
      </w:r>
      <w:r>
        <w:rPr>
          <w:rFonts w:hint="eastAsia" w:ascii="华文宋体" w:hAnsi="华文宋体" w:eastAsia="宋体" w:cs="华文宋体"/>
          <w:sz w:val="28"/>
          <w:szCs w:val="40"/>
          <w:highlight w:val="none"/>
        </w:rPr>
        <w:fldChar w:fldCharType="separate"/>
      </w:r>
      <w:r>
        <w:rPr>
          <w:rFonts w:hint="eastAsia" w:asciiTheme="minorEastAsia" w:hAnsiTheme="minorEastAsia" w:eastAsiaTheme="minorEastAsia" w:cstheme="minorEastAsia"/>
          <w:bCs/>
          <w:spacing w:val="18"/>
          <w:sz w:val="28"/>
          <w:szCs w:val="40"/>
        </w:rPr>
        <w:t xml:space="preserve">第四部分 </w:t>
      </w:r>
      <w:r>
        <w:rPr>
          <w:rFonts w:hint="eastAsia" w:asciiTheme="minorEastAsia" w:hAnsiTheme="minorEastAsia" w:eastAsiaTheme="minorEastAsia" w:cstheme="minorEastAsia"/>
          <w:bCs/>
          <w:spacing w:val="18"/>
          <w:sz w:val="28"/>
          <w:szCs w:val="40"/>
          <w:highlight w:val="none"/>
          <w:lang w:val="en-US" w:eastAsia="zh-CN"/>
        </w:rPr>
        <w:t>服务内容及要求</w:t>
      </w:r>
      <w:r>
        <w:rPr>
          <w:sz w:val="28"/>
          <w:szCs w:val="28"/>
        </w:rPr>
        <w:tab/>
      </w:r>
      <w:r>
        <w:rPr>
          <w:sz w:val="28"/>
          <w:szCs w:val="28"/>
        </w:rPr>
        <w:fldChar w:fldCharType="begin"/>
      </w:r>
      <w:r>
        <w:rPr>
          <w:sz w:val="28"/>
          <w:szCs w:val="28"/>
        </w:rPr>
        <w:instrText xml:space="preserve"> PAGEREF _Toc25946 \h </w:instrText>
      </w:r>
      <w:r>
        <w:rPr>
          <w:sz w:val="28"/>
          <w:szCs w:val="28"/>
        </w:rPr>
        <w:fldChar w:fldCharType="separate"/>
      </w:r>
      <w:r>
        <w:rPr>
          <w:sz w:val="28"/>
          <w:szCs w:val="28"/>
        </w:rPr>
        <w:t>- 25 -</w:t>
      </w:r>
      <w:r>
        <w:rPr>
          <w:sz w:val="28"/>
          <w:szCs w:val="28"/>
        </w:rPr>
        <w:fldChar w:fldCharType="end"/>
      </w:r>
      <w:r>
        <w:rPr>
          <w:rFonts w:hint="eastAsia" w:ascii="华文宋体" w:hAnsi="华文宋体" w:eastAsia="宋体" w:cs="华文宋体"/>
          <w:sz w:val="28"/>
          <w:szCs w:val="40"/>
          <w:highlight w:val="none"/>
        </w:rPr>
        <w:fldChar w:fldCharType="end"/>
      </w:r>
    </w:p>
    <w:p>
      <w:pPr>
        <w:pStyle w:val="15"/>
        <w:tabs>
          <w:tab w:val="right" w:leader="dot" w:pos="9807"/>
        </w:tabs>
        <w:rPr>
          <w:sz w:val="28"/>
          <w:szCs w:val="28"/>
        </w:rPr>
      </w:pPr>
      <w:r>
        <w:rPr>
          <w:rFonts w:hint="eastAsia" w:ascii="华文宋体" w:hAnsi="华文宋体" w:eastAsia="宋体" w:cs="华文宋体"/>
          <w:sz w:val="28"/>
          <w:szCs w:val="40"/>
          <w:highlight w:val="none"/>
        </w:rPr>
        <w:fldChar w:fldCharType="begin"/>
      </w:r>
      <w:r>
        <w:rPr>
          <w:rFonts w:hint="eastAsia" w:ascii="华文宋体" w:hAnsi="华文宋体" w:eastAsia="宋体" w:cs="华文宋体"/>
          <w:sz w:val="28"/>
          <w:szCs w:val="40"/>
          <w:highlight w:val="none"/>
        </w:rPr>
        <w:instrText xml:space="preserve"> HYPERLINK \l _Toc21291 </w:instrText>
      </w:r>
      <w:r>
        <w:rPr>
          <w:rFonts w:hint="eastAsia" w:ascii="华文宋体" w:hAnsi="华文宋体" w:eastAsia="宋体" w:cs="华文宋体"/>
          <w:sz w:val="28"/>
          <w:szCs w:val="40"/>
          <w:highlight w:val="none"/>
        </w:rPr>
        <w:fldChar w:fldCharType="separate"/>
      </w:r>
      <w:r>
        <w:rPr>
          <w:rFonts w:ascii="宋体" w:hAnsi="宋体" w:eastAsia="宋体" w:cs="宋体"/>
          <w:bCs/>
          <w:spacing w:val="10"/>
          <w:sz w:val="28"/>
          <w:szCs w:val="40"/>
          <w:highlight w:val="none"/>
        </w:rPr>
        <w:t>第</w:t>
      </w:r>
      <w:r>
        <w:rPr>
          <w:rFonts w:hint="eastAsia" w:ascii="宋体" w:hAnsi="宋体" w:eastAsia="宋体" w:cs="宋体"/>
          <w:bCs/>
          <w:spacing w:val="9"/>
          <w:sz w:val="28"/>
          <w:szCs w:val="40"/>
          <w:highlight w:val="none"/>
        </w:rPr>
        <w:t>六</w:t>
      </w:r>
      <w:r>
        <w:rPr>
          <w:rFonts w:ascii="宋体" w:hAnsi="宋体" w:eastAsia="宋体" w:cs="宋体"/>
          <w:bCs/>
          <w:spacing w:val="9"/>
          <w:sz w:val="28"/>
          <w:szCs w:val="40"/>
          <w:highlight w:val="none"/>
        </w:rPr>
        <w:t>部分</w:t>
      </w:r>
      <w:r>
        <w:rPr>
          <w:rFonts w:hint="eastAsia" w:ascii="宋体" w:hAnsi="宋体" w:eastAsia="宋体" w:cs="宋体"/>
          <w:bCs/>
          <w:spacing w:val="9"/>
          <w:sz w:val="28"/>
          <w:szCs w:val="40"/>
          <w:highlight w:val="none"/>
          <w:lang w:val="en-US" w:eastAsia="zh-CN"/>
        </w:rPr>
        <w:t xml:space="preserve"> </w:t>
      </w:r>
      <w:r>
        <w:rPr>
          <w:rFonts w:ascii="宋体" w:hAnsi="宋体" w:eastAsia="宋体" w:cs="宋体"/>
          <w:bCs/>
          <w:spacing w:val="9"/>
          <w:sz w:val="28"/>
          <w:szCs w:val="40"/>
          <w:highlight w:val="none"/>
        </w:rPr>
        <w:t>投标文件格式</w:t>
      </w:r>
      <w:r>
        <w:rPr>
          <w:sz w:val="28"/>
          <w:szCs w:val="28"/>
        </w:rPr>
        <w:tab/>
      </w:r>
      <w:r>
        <w:rPr>
          <w:sz w:val="28"/>
          <w:szCs w:val="28"/>
        </w:rPr>
        <w:fldChar w:fldCharType="begin"/>
      </w:r>
      <w:r>
        <w:rPr>
          <w:sz w:val="28"/>
          <w:szCs w:val="28"/>
        </w:rPr>
        <w:instrText xml:space="preserve"> PAGEREF _Toc21291 \h </w:instrText>
      </w:r>
      <w:r>
        <w:rPr>
          <w:sz w:val="28"/>
          <w:szCs w:val="28"/>
        </w:rPr>
        <w:fldChar w:fldCharType="separate"/>
      </w:r>
      <w:r>
        <w:rPr>
          <w:sz w:val="28"/>
          <w:szCs w:val="28"/>
        </w:rPr>
        <w:t>- 40 -</w:t>
      </w:r>
      <w:r>
        <w:rPr>
          <w:sz w:val="28"/>
          <w:szCs w:val="28"/>
        </w:rPr>
        <w:fldChar w:fldCharType="end"/>
      </w:r>
      <w:r>
        <w:rPr>
          <w:rFonts w:hint="eastAsia" w:ascii="华文宋体" w:hAnsi="华文宋体" w:eastAsia="宋体" w:cs="华文宋体"/>
          <w:sz w:val="28"/>
          <w:szCs w:val="40"/>
          <w:highlight w:val="none"/>
        </w:rPr>
        <w:fldChar w:fldCharType="end"/>
      </w:r>
    </w:p>
    <w:p>
      <w:pPr>
        <w:pStyle w:val="38"/>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eastAsia="宋体"/>
          <w:b/>
          <w:bCs/>
          <w:sz w:val="32"/>
          <w:szCs w:val="32"/>
          <w:highlight w:val="none"/>
        </w:rPr>
        <w:sectPr>
          <w:headerReference r:id="rId4" w:type="default"/>
          <w:footerReference r:id="rId5" w:type="default"/>
          <w:pgSz w:w="11907" w:h="16839"/>
          <w:pgMar w:top="1476" w:right="1049" w:bottom="1226" w:left="1051" w:header="1155" w:footer="958" w:gutter="0"/>
          <w:cols w:space="720" w:num="1"/>
        </w:sectPr>
      </w:pPr>
      <w:r>
        <w:rPr>
          <w:rFonts w:hint="eastAsia" w:ascii="华文宋体" w:hAnsi="华文宋体" w:eastAsia="宋体" w:cs="华文宋体"/>
          <w:sz w:val="28"/>
          <w:szCs w:val="40"/>
          <w:highlight w:val="none"/>
        </w:rPr>
        <w:fldChar w:fldCharType="end"/>
      </w:r>
    </w:p>
    <w:p>
      <w:pPr>
        <w:keepNext w:val="0"/>
        <w:keepLines w:val="0"/>
        <w:pageBreakBefore w:val="0"/>
        <w:widowControl/>
        <w:suppressLineNumbers w:val="0"/>
        <w:overflowPunct/>
        <w:topLinePunct w:val="0"/>
        <w:bidi w:val="0"/>
        <w:spacing w:beforeAutospacing="0" w:afterAutospacing="0" w:line="360" w:lineRule="auto"/>
        <w:ind w:firstLine="658" w:firstLineChars="200"/>
        <w:jc w:val="center"/>
        <w:outlineLvl w:val="0"/>
        <w:rPr>
          <w:rFonts w:ascii="宋体" w:hAnsi="宋体" w:eastAsia="宋体" w:cs="宋体"/>
          <w:b/>
          <w:bCs/>
          <w:spacing w:val="9"/>
          <w:sz w:val="31"/>
          <w:szCs w:val="31"/>
          <w:highlight w:val="none"/>
        </w:rPr>
      </w:pPr>
      <w:bookmarkStart w:id="0" w:name="_Toc10352"/>
      <w:r>
        <w:rPr>
          <w:rFonts w:ascii="宋体" w:hAnsi="宋体" w:eastAsia="宋体" w:cs="宋体"/>
          <w:b/>
          <w:bCs/>
          <w:spacing w:val="9"/>
          <w:sz w:val="31"/>
          <w:szCs w:val="31"/>
          <w:highlight w:val="none"/>
        </w:rPr>
        <w:t>第一部分 招标公告</w:t>
      </w:r>
      <w:bookmarkEnd w:id="0"/>
    </w:p>
    <w:p>
      <w:pPr>
        <w:pStyle w:val="18"/>
        <w:keepNext w:val="0"/>
        <w:keepLines w:val="0"/>
        <w:pageBreakBefore w:val="0"/>
        <w:widowControl/>
        <w:overflowPunct/>
        <w:topLinePunct w:val="0"/>
        <w:bidi w:val="0"/>
        <w:spacing w:before="0" w:beforeAutospacing="0" w:after="0" w:afterAutospacing="0" w:line="360" w:lineRule="auto"/>
        <w:ind w:firstLine="639" w:firstLineChars="200"/>
        <w:jc w:val="center"/>
        <w:rPr>
          <w:rFonts w:ascii="黑体" w:hAnsi="黑体" w:eastAsia="宋体" w:cs="黑体"/>
          <w:b/>
          <w:bCs/>
          <w:spacing w:val="-1"/>
          <w:sz w:val="32"/>
          <w:szCs w:val="36"/>
          <w:highlight w:val="none"/>
        </w:rPr>
      </w:pPr>
      <w:r>
        <w:rPr>
          <w:rFonts w:hint="eastAsia" w:ascii="黑体" w:hAnsi="黑体" w:eastAsia="宋体" w:cs="黑体"/>
          <w:b/>
          <w:bCs/>
          <w:spacing w:val="-1"/>
          <w:sz w:val="32"/>
          <w:szCs w:val="36"/>
          <w:highlight w:val="none"/>
          <w:lang w:val="en-US" w:eastAsia="zh-CN"/>
        </w:rPr>
        <w:t>唐河县环境卫生服务中心关于对东区环卫作业服务项目</w:t>
      </w:r>
      <w:r>
        <w:rPr>
          <w:rFonts w:hint="eastAsia" w:ascii="黑体" w:hAnsi="黑体" w:eastAsia="宋体" w:cs="黑体"/>
          <w:b/>
          <w:bCs/>
          <w:spacing w:val="-1"/>
          <w:sz w:val="32"/>
          <w:szCs w:val="36"/>
          <w:highlight w:val="none"/>
        </w:rPr>
        <w:t>招标</w:t>
      </w:r>
      <w:r>
        <w:rPr>
          <w:rFonts w:ascii="黑体" w:hAnsi="黑体" w:eastAsia="宋体" w:cs="黑体"/>
          <w:b/>
          <w:bCs/>
          <w:spacing w:val="-1"/>
          <w:sz w:val="32"/>
          <w:szCs w:val="36"/>
          <w:highlight w:val="none"/>
        </w:rPr>
        <w:t>公告</w:t>
      </w:r>
    </w:p>
    <w:tbl>
      <w:tblPr>
        <w:tblStyle w:val="21"/>
        <w:tblW w:w="4537" w:type="pct"/>
        <w:jc w:val="center"/>
        <w:tblCellSpacing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91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420"/>
              <w:rPr>
                <w:rFonts w:hint="eastAsia" w:ascii="微软雅黑" w:hAnsi="微软雅黑" w:eastAsia="微软雅黑" w:cs="微软雅黑"/>
                <w:b/>
                <w:bCs/>
                <w:color w:val="000000"/>
                <w:sz w:val="21"/>
                <w:szCs w:val="21"/>
              </w:rPr>
            </w:pPr>
            <w:r>
              <w:rPr>
                <w:rFonts w:hint="eastAsia" w:ascii="微软雅黑" w:hAnsi="微软雅黑" w:eastAsia="微软雅黑" w:cs="微软雅黑"/>
                <w:b/>
                <w:bCs/>
                <w:i w:val="0"/>
                <w:iCs w:val="0"/>
                <w:caps w:val="0"/>
                <w:color w:val="000000"/>
                <w:spacing w:val="0"/>
                <w:sz w:val="21"/>
                <w:szCs w:val="21"/>
              </w:rPr>
              <w:t>项目概况</w:t>
            </w:r>
          </w:p>
          <w:p>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420"/>
              <w:rPr>
                <w:rFonts w:hint="eastAsia" w:ascii="微软雅黑" w:hAnsi="微软雅黑" w:eastAsia="微软雅黑" w:cs="微软雅黑"/>
                <w:color w:val="000000"/>
                <w:sz w:val="21"/>
                <w:szCs w:val="21"/>
              </w:rPr>
            </w:pPr>
            <w:r>
              <w:rPr>
                <w:rFonts w:hint="eastAsia" w:ascii="微软雅黑" w:hAnsi="微软雅黑" w:eastAsia="微软雅黑" w:cs="微软雅黑"/>
                <w:b/>
                <w:bCs/>
                <w:i w:val="0"/>
                <w:iCs w:val="0"/>
                <w:caps w:val="0"/>
                <w:color w:val="000000"/>
                <w:spacing w:val="0"/>
                <w:sz w:val="21"/>
                <w:szCs w:val="21"/>
                <w:u w:val="single"/>
              </w:rPr>
              <w:t>唐河县环境卫生服务中心关于对东区环卫作业服务项目</w:t>
            </w:r>
            <w:r>
              <w:rPr>
                <w:rFonts w:hint="eastAsia" w:ascii="微软雅黑" w:hAnsi="微软雅黑" w:eastAsia="微软雅黑" w:cs="微软雅黑"/>
                <w:b w:val="0"/>
                <w:bCs w:val="0"/>
                <w:i w:val="0"/>
                <w:iCs w:val="0"/>
                <w:caps w:val="0"/>
                <w:color w:val="000000"/>
                <w:spacing w:val="0"/>
                <w:sz w:val="21"/>
                <w:szCs w:val="21"/>
              </w:rPr>
              <w:t>招标项目的潜在投标人应在</w:t>
            </w:r>
            <w:r>
              <w:rPr>
                <w:rFonts w:hint="eastAsia" w:ascii="微软雅黑" w:hAnsi="微软雅黑" w:eastAsia="微软雅黑" w:cs="微软雅黑"/>
                <w:b/>
                <w:bCs/>
                <w:i w:val="0"/>
                <w:iCs w:val="0"/>
                <w:caps w:val="0"/>
                <w:color w:val="000000"/>
                <w:spacing w:val="0"/>
                <w:sz w:val="21"/>
                <w:szCs w:val="21"/>
                <w:u w:val="single"/>
              </w:rPr>
              <w:t>唐河县公共资源交易中心网站（http://www.thggzy.cn）</w:t>
            </w:r>
            <w:r>
              <w:rPr>
                <w:rFonts w:hint="eastAsia" w:ascii="微软雅黑" w:hAnsi="微软雅黑" w:eastAsia="微软雅黑" w:cs="微软雅黑"/>
                <w:b w:val="0"/>
                <w:bCs w:val="0"/>
                <w:i w:val="0"/>
                <w:iCs w:val="0"/>
                <w:caps w:val="0"/>
                <w:color w:val="000000"/>
                <w:spacing w:val="0"/>
                <w:sz w:val="21"/>
                <w:szCs w:val="21"/>
              </w:rPr>
              <w:t>获取招标文件，并于</w:t>
            </w:r>
            <w:r>
              <w:rPr>
                <w:rFonts w:hint="eastAsia" w:ascii="微软雅黑" w:hAnsi="微软雅黑" w:eastAsia="微软雅黑" w:cs="微软雅黑"/>
                <w:b/>
                <w:bCs/>
                <w:i w:val="0"/>
                <w:iCs w:val="0"/>
                <w:caps w:val="0"/>
                <w:color w:val="000000"/>
                <w:spacing w:val="0"/>
                <w:sz w:val="21"/>
                <w:szCs w:val="21"/>
                <w:u w:val="single"/>
              </w:rPr>
              <w:t>2024年06月20日09时30分</w:t>
            </w:r>
            <w:r>
              <w:rPr>
                <w:rFonts w:hint="eastAsia" w:ascii="微软雅黑" w:hAnsi="微软雅黑" w:eastAsia="微软雅黑" w:cs="微软雅黑"/>
                <w:b w:val="0"/>
                <w:bCs w:val="0"/>
                <w:i w:val="0"/>
                <w:iCs w:val="0"/>
                <w:caps w:val="0"/>
                <w:color w:val="000000"/>
                <w:spacing w:val="0"/>
                <w:sz w:val="21"/>
                <w:szCs w:val="21"/>
              </w:rPr>
              <w:t>（北京时间）前递交投标文件。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一、项目基本情况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1、项目编号：唐财采购公开-2024-12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2、项目名称：唐河县环境卫生服务中心关于对东区环卫作业服务项目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3、采购方式：公开招标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4、预算金额：14,179,857.69元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84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最高限价：14179857.69元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jc w:val="center"/>
        </w:trPr>
        <w:tc>
          <w:tcPr>
            <w:tcW w:w="4967" w:type="pct"/>
            <w:shd w:val="clear" w:color="auto" w:fill="FFFFFF"/>
            <w:tcMar>
              <w:top w:w="120" w:type="dxa"/>
              <w:left w:w="420" w:type="dxa"/>
            </w:tcMar>
            <w:vAlign w:val="center"/>
          </w:tcPr>
          <w:tbl>
            <w:tblPr>
              <w:tblStyle w:val="21"/>
              <w:tblW w:w="8912" w:type="dxa"/>
              <w:tblCellSpacing w:w="0" w:type="dxa"/>
              <w:tblInd w:w="-34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488"/>
              <w:gridCol w:w="975"/>
              <w:gridCol w:w="1949"/>
              <w:gridCol w:w="1112"/>
              <w:gridCol w:w="1038"/>
              <w:gridCol w:w="1300"/>
              <w:gridCol w:w="205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488" w:type="dxa"/>
                  <w:shd w:val="clear" w:color="auto" w:fill="auto"/>
                  <w:tcMar>
                    <w:top w:w="120" w:type="dxa"/>
                  </w:tcMar>
                  <w:vAlign w:val="center"/>
                </w:tcPr>
                <w:p>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color w:val="000000"/>
                      <w:kern w:val="0"/>
                      <w:sz w:val="21"/>
                      <w:szCs w:val="21"/>
                      <w:lang w:val="en-US" w:eastAsia="zh-CN" w:bidi="ar"/>
                    </w:rPr>
                    <w:t>序号</w:t>
                  </w:r>
                </w:p>
              </w:tc>
              <w:tc>
                <w:tcPr>
                  <w:tcW w:w="975" w:type="dxa"/>
                  <w:shd w:val="clear" w:color="auto" w:fill="auto"/>
                  <w:tcMar>
                    <w:top w:w="120" w:type="dxa"/>
                  </w:tcMar>
                  <w:vAlign w:val="center"/>
                </w:tcPr>
                <w:p>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color w:val="000000"/>
                      <w:kern w:val="0"/>
                      <w:sz w:val="21"/>
                      <w:szCs w:val="21"/>
                      <w:lang w:val="en-US" w:eastAsia="zh-CN" w:bidi="ar"/>
                    </w:rPr>
                    <w:t>包号</w:t>
                  </w:r>
                </w:p>
              </w:tc>
              <w:tc>
                <w:tcPr>
                  <w:tcW w:w="1949" w:type="dxa"/>
                  <w:shd w:val="clear" w:color="auto" w:fill="auto"/>
                  <w:tcMar>
                    <w:top w:w="120" w:type="dxa"/>
                  </w:tcMar>
                  <w:vAlign w:val="center"/>
                </w:tcPr>
                <w:p>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color w:val="000000"/>
                      <w:kern w:val="0"/>
                      <w:sz w:val="21"/>
                      <w:szCs w:val="21"/>
                      <w:lang w:val="en-US" w:eastAsia="zh-CN" w:bidi="ar"/>
                    </w:rPr>
                    <w:t>包名称</w:t>
                  </w:r>
                </w:p>
              </w:tc>
              <w:tc>
                <w:tcPr>
                  <w:tcW w:w="1112" w:type="dxa"/>
                  <w:shd w:val="clear" w:color="auto" w:fill="auto"/>
                  <w:tcMar>
                    <w:top w:w="120" w:type="dxa"/>
                  </w:tcMar>
                  <w:vAlign w:val="center"/>
                </w:tcPr>
                <w:p>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color w:val="000000"/>
                      <w:kern w:val="0"/>
                      <w:sz w:val="21"/>
                      <w:szCs w:val="21"/>
                      <w:lang w:val="en-US" w:eastAsia="zh-CN" w:bidi="ar"/>
                    </w:rPr>
                    <w:t>包预算（元）</w:t>
                  </w:r>
                </w:p>
              </w:tc>
              <w:tc>
                <w:tcPr>
                  <w:tcW w:w="1038" w:type="dxa"/>
                  <w:shd w:val="clear" w:color="auto" w:fill="auto"/>
                  <w:tcMar>
                    <w:top w:w="120" w:type="dxa"/>
                  </w:tcMar>
                  <w:vAlign w:val="center"/>
                </w:tcPr>
                <w:p>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color w:val="000000"/>
                      <w:kern w:val="0"/>
                      <w:sz w:val="21"/>
                      <w:szCs w:val="21"/>
                      <w:lang w:val="en-US" w:eastAsia="zh-CN" w:bidi="ar"/>
                    </w:rPr>
                    <w:t>包最高限价（元）</w:t>
                  </w:r>
                </w:p>
              </w:tc>
              <w:tc>
                <w:tcPr>
                  <w:tcW w:w="1300" w:type="dxa"/>
                  <w:shd w:val="clear" w:color="auto" w:fill="auto"/>
                  <w:tcMar>
                    <w:top w:w="120" w:type="dxa"/>
                  </w:tcMar>
                  <w:vAlign w:val="center"/>
                </w:tcPr>
                <w:p>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color w:val="000000"/>
                      <w:kern w:val="0"/>
                      <w:sz w:val="21"/>
                      <w:szCs w:val="21"/>
                      <w:lang w:val="en-US" w:eastAsia="zh-CN" w:bidi="ar"/>
                    </w:rPr>
                    <w:t>是否专门面向中小企业</w:t>
                  </w:r>
                </w:p>
              </w:tc>
              <w:tc>
                <w:tcPr>
                  <w:tcW w:w="2050" w:type="dxa"/>
                  <w:shd w:val="clear" w:color="auto" w:fill="auto"/>
                  <w:tcMar>
                    <w:top w:w="120" w:type="dxa"/>
                  </w:tcMar>
                  <w:vAlign w:val="center"/>
                </w:tcPr>
                <w:p>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color w:val="000000"/>
                      <w:kern w:val="0"/>
                      <w:sz w:val="21"/>
                      <w:szCs w:val="21"/>
                      <w:lang w:val="en-US" w:eastAsia="zh-CN" w:bidi="ar"/>
                    </w:rPr>
                    <w:t>采购预留金额（元）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488" w:type="dxa"/>
                  <w:shd w:val="clear" w:color="auto" w:fill="auto"/>
                  <w:tcMar>
                    <w:top w:w="120" w:type="dxa"/>
                  </w:tcMar>
                  <w:vAlign w:val="center"/>
                </w:tcPr>
                <w:p>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color w:val="000000"/>
                      <w:kern w:val="0"/>
                      <w:sz w:val="21"/>
                      <w:szCs w:val="21"/>
                      <w:lang w:val="en-US" w:eastAsia="zh-CN" w:bidi="ar"/>
                    </w:rPr>
                    <w:t>1</w:t>
                  </w:r>
                </w:p>
              </w:tc>
              <w:tc>
                <w:tcPr>
                  <w:tcW w:w="975" w:type="dxa"/>
                  <w:shd w:val="clear" w:color="auto" w:fill="auto"/>
                  <w:tcMar>
                    <w:top w:w="120" w:type="dxa"/>
                  </w:tcMar>
                  <w:vAlign w:val="center"/>
                </w:tcPr>
                <w:p>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color w:val="000000"/>
                      <w:kern w:val="0"/>
                      <w:sz w:val="21"/>
                      <w:szCs w:val="21"/>
                      <w:lang w:val="en-US" w:eastAsia="zh-CN" w:bidi="ar"/>
                    </w:rPr>
                    <w:t>唐财采购公开-2024-12-1</w:t>
                  </w:r>
                </w:p>
              </w:tc>
              <w:tc>
                <w:tcPr>
                  <w:tcW w:w="1949" w:type="dxa"/>
                  <w:shd w:val="clear" w:color="auto" w:fill="auto"/>
                  <w:tcMar>
                    <w:top w:w="120" w:type="dxa"/>
                  </w:tcMar>
                  <w:vAlign w:val="center"/>
                </w:tcPr>
                <w:p>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color w:val="000000"/>
                      <w:kern w:val="0"/>
                      <w:sz w:val="21"/>
                      <w:szCs w:val="21"/>
                      <w:lang w:val="en-US" w:eastAsia="zh-CN" w:bidi="ar"/>
                    </w:rPr>
                    <w:t>唐河县环境卫生服务中心关于对东区环卫作业服务项目</w:t>
                  </w:r>
                </w:p>
              </w:tc>
              <w:tc>
                <w:tcPr>
                  <w:tcW w:w="1112" w:type="dxa"/>
                  <w:shd w:val="clear" w:color="auto" w:fill="auto"/>
                  <w:tcMar>
                    <w:top w:w="120" w:type="dxa"/>
                  </w:tcMar>
                  <w:vAlign w:val="center"/>
                </w:tcPr>
                <w:p>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color w:val="000000"/>
                      <w:kern w:val="0"/>
                      <w:sz w:val="21"/>
                      <w:szCs w:val="21"/>
                      <w:lang w:val="en-US" w:eastAsia="zh-CN" w:bidi="ar"/>
                    </w:rPr>
                    <w:t>14179857.69</w:t>
                  </w:r>
                </w:p>
              </w:tc>
              <w:tc>
                <w:tcPr>
                  <w:tcW w:w="1038" w:type="dxa"/>
                  <w:shd w:val="clear" w:color="auto" w:fill="auto"/>
                  <w:tcMar>
                    <w:top w:w="120" w:type="dxa"/>
                  </w:tcMar>
                  <w:vAlign w:val="center"/>
                </w:tcPr>
                <w:p>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color w:val="000000"/>
                      <w:kern w:val="0"/>
                      <w:sz w:val="21"/>
                      <w:szCs w:val="21"/>
                      <w:lang w:val="en-US" w:eastAsia="zh-CN" w:bidi="ar"/>
                    </w:rPr>
                    <w:t>14179857.69</w:t>
                  </w:r>
                </w:p>
              </w:tc>
              <w:tc>
                <w:tcPr>
                  <w:tcW w:w="1300" w:type="dxa"/>
                  <w:shd w:val="clear" w:color="auto" w:fill="auto"/>
                  <w:tcMar>
                    <w:top w:w="120" w:type="dxa"/>
                  </w:tcMar>
                  <w:vAlign w:val="center"/>
                </w:tcPr>
                <w:p>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color w:val="000000"/>
                      <w:kern w:val="0"/>
                      <w:sz w:val="21"/>
                      <w:szCs w:val="21"/>
                      <w:lang w:val="en-US" w:eastAsia="zh-CN" w:bidi="ar"/>
                    </w:rPr>
                    <w:t>是</w:t>
                  </w:r>
                </w:p>
              </w:tc>
              <w:tc>
                <w:tcPr>
                  <w:tcW w:w="2050" w:type="dxa"/>
                  <w:shd w:val="clear" w:color="auto" w:fill="auto"/>
                  <w:tcMar>
                    <w:top w:w="120" w:type="dxa"/>
                  </w:tcMar>
                  <w:vAlign w:val="center"/>
                </w:tcPr>
                <w:p>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color w:val="000000"/>
                      <w:kern w:val="0"/>
                      <w:sz w:val="21"/>
                      <w:szCs w:val="21"/>
                      <w:lang w:val="en-US" w:eastAsia="zh-CN" w:bidi="ar"/>
                    </w:rPr>
                    <w:t>14179857.69 ，其中小微企业采购金额：14179857.69</w:t>
                  </w:r>
                </w:p>
              </w:tc>
            </w:tr>
          </w:tbl>
          <w:p>
            <w:pPr>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aps w:val="0"/>
                <w:color w:val="000000"/>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5、采购需求（包括但不限于标的的名称、数量、简要技术需求或服务要求等）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left w:w="840" w:type="dxa"/>
            </w:tcMar>
            <w:vAlign w:val="center"/>
          </w:tcPr>
          <w:p>
            <w:pPr>
              <w:keepNext w:val="0"/>
              <w:keepLines w:val="0"/>
              <w:widowControl/>
              <w:suppressLineNumbers w:val="0"/>
              <w:spacing w:before="0" w:beforeAutospacing="0" w:after="0" w:afterAutospacing="0" w:line="420" w:lineRule="atLeast"/>
              <w:ind w:left="-619" w:leftChars="-295" w:right="0" w:firstLine="0" w:firstLineChars="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（1）项目实施地点：唐河县境内；</w:t>
            </w:r>
            <w:r>
              <w:rPr>
                <w:rFonts w:hint="eastAsia" w:ascii="微软雅黑" w:hAnsi="微软雅黑" w:eastAsia="微软雅黑" w:cs="微软雅黑"/>
                <w:b w:val="0"/>
                <w:bCs w:val="0"/>
                <w:i w:val="0"/>
                <w:iCs w:val="0"/>
                <w:caps w:val="0"/>
                <w:color w:val="000000"/>
                <w:spacing w:val="0"/>
                <w:kern w:val="0"/>
                <w:sz w:val="21"/>
                <w:szCs w:val="21"/>
                <w:lang w:val="en-US" w:eastAsia="zh-CN" w:bidi="ar"/>
              </w:rPr>
              <w:br w:type="textWrapping"/>
            </w:r>
            <w:r>
              <w:rPr>
                <w:rFonts w:hint="eastAsia" w:ascii="微软雅黑" w:hAnsi="微软雅黑" w:eastAsia="微软雅黑" w:cs="微软雅黑"/>
                <w:b w:val="0"/>
                <w:bCs w:val="0"/>
                <w:i w:val="0"/>
                <w:iCs w:val="0"/>
                <w:caps w:val="0"/>
                <w:color w:val="000000"/>
                <w:spacing w:val="0"/>
                <w:kern w:val="0"/>
                <w:sz w:val="21"/>
                <w:szCs w:val="21"/>
                <w:lang w:val="en-US" w:eastAsia="zh-CN" w:bidi="ar"/>
              </w:rPr>
              <w:t>（2）资金来源：财政资金，已落实；</w:t>
            </w:r>
            <w:r>
              <w:rPr>
                <w:rFonts w:hint="eastAsia" w:ascii="微软雅黑" w:hAnsi="微软雅黑" w:eastAsia="微软雅黑" w:cs="微软雅黑"/>
                <w:b w:val="0"/>
                <w:bCs w:val="0"/>
                <w:i w:val="0"/>
                <w:iCs w:val="0"/>
                <w:caps w:val="0"/>
                <w:color w:val="000000"/>
                <w:spacing w:val="0"/>
                <w:kern w:val="0"/>
                <w:sz w:val="21"/>
                <w:szCs w:val="21"/>
                <w:lang w:val="en-US" w:eastAsia="zh-CN" w:bidi="ar"/>
              </w:rPr>
              <w:br w:type="textWrapping"/>
            </w:r>
            <w:r>
              <w:rPr>
                <w:rFonts w:hint="eastAsia" w:ascii="微软雅黑" w:hAnsi="微软雅黑" w:eastAsia="微软雅黑" w:cs="微软雅黑"/>
                <w:b w:val="0"/>
                <w:bCs w:val="0"/>
                <w:i w:val="0"/>
                <w:iCs w:val="0"/>
                <w:caps w:val="0"/>
                <w:color w:val="000000"/>
                <w:spacing w:val="0"/>
                <w:kern w:val="0"/>
                <w:sz w:val="21"/>
                <w:szCs w:val="21"/>
                <w:lang w:val="en-US" w:eastAsia="zh-CN" w:bidi="ar"/>
              </w:rPr>
              <w:t>（3）服务内容：唐河县城区道路的环卫作业，新春路以东(含新春路 ):东至镍都路、南至老澧水路、西至新春路(含新春路)、北至上海大道(不含上海大道），道路面积为：2363309.615㎡。</w:t>
            </w:r>
            <w:r>
              <w:rPr>
                <w:rFonts w:hint="eastAsia" w:ascii="微软雅黑" w:hAnsi="微软雅黑" w:eastAsia="微软雅黑" w:cs="微软雅黑"/>
                <w:b w:val="0"/>
                <w:bCs w:val="0"/>
                <w:i w:val="0"/>
                <w:iCs w:val="0"/>
                <w:caps w:val="0"/>
                <w:color w:val="000000"/>
                <w:spacing w:val="0"/>
                <w:kern w:val="0"/>
                <w:sz w:val="21"/>
                <w:szCs w:val="21"/>
                <w:lang w:val="en-US" w:eastAsia="zh-CN" w:bidi="ar"/>
              </w:rPr>
              <w:br w:type="textWrapping"/>
            </w:r>
            <w:r>
              <w:rPr>
                <w:rFonts w:hint="eastAsia" w:ascii="微软雅黑" w:hAnsi="微软雅黑" w:eastAsia="微软雅黑" w:cs="微软雅黑"/>
                <w:b w:val="0"/>
                <w:bCs w:val="0"/>
                <w:i w:val="0"/>
                <w:iCs w:val="0"/>
                <w:caps w:val="0"/>
                <w:color w:val="000000"/>
                <w:spacing w:val="0"/>
                <w:kern w:val="0"/>
                <w:sz w:val="21"/>
                <w:szCs w:val="21"/>
                <w:lang w:val="en-US" w:eastAsia="zh-CN" w:bidi="ar"/>
              </w:rPr>
              <w:t>（4）质量要求：符合国家相关行业质量合格标准，符合采购人采购需求标准</w:t>
            </w:r>
            <w:r>
              <w:rPr>
                <w:rFonts w:hint="eastAsia" w:ascii="微软雅黑" w:hAnsi="微软雅黑" w:eastAsia="微软雅黑" w:cs="微软雅黑"/>
                <w:b w:val="0"/>
                <w:bCs w:val="0"/>
                <w:i w:val="0"/>
                <w:iCs w:val="0"/>
                <w:caps w:val="0"/>
                <w:color w:val="000000"/>
                <w:spacing w:val="0"/>
                <w:kern w:val="0"/>
                <w:sz w:val="21"/>
                <w:szCs w:val="21"/>
                <w:lang w:val="en-US" w:eastAsia="zh-CN" w:bidi="ar"/>
              </w:rPr>
              <w:br w:type="textWrapping"/>
            </w:r>
            <w:r>
              <w:rPr>
                <w:rFonts w:hint="eastAsia" w:ascii="微软雅黑" w:hAnsi="微软雅黑" w:eastAsia="微软雅黑" w:cs="微软雅黑"/>
                <w:b w:val="0"/>
                <w:bCs w:val="0"/>
                <w:i w:val="0"/>
                <w:iCs w:val="0"/>
                <w:caps w:val="0"/>
                <w:color w:val="000000"/>
                <w:spacing w:val="0"/>
                <w:kern w:val="0"/>
                <w:sz w:val="21"/>
                <w:szCs w:val="21"/>
                <w:lang w:val="en-US" w:eastAsia="zh-CN" w:bidi="ar"/>
              </w:rPr>
              <w:t>（5）服务期限：3年（经业主考核合格后可续签合同，一年一签）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6、合同履行期限：365个日历天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7、本项目是否接受联合体投标：否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8、是否接受进口产品：否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9、是否专门面向中小企业：是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二、申请人资格要求：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1、满足《中华人民共和国政府采购法》第二十二条规定；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2、落实政府采购政策满足的资格要求：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jc w:val="center"/>
        </w:trPr>
        <w:tc>
          <w:tcPr>
            <w:tcW w:w="4967" w:type="pct"/>
            <w:shd w:val="clear" w:color="auto" w:fill="FFFFFF"/>
            <w:tcMar>
              <w:top w:w="120" w:type="dxa"/>
              <w:left w:w="840" w:type="dxa"/>
            </w:tcMar>
            <w:vAlign w:val="center"/>
          </w:tcPr>
          <w:p>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本项目执行扶持中小企业、监狱企业和残疾人福利性单位发展等相关政府采购政策。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3、本项目的特定资格要求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jc w:val="center"/>
        </w:trPr>
        <w:tc>
          <w:tcPr>
            <w:tcW w:w="4967" w:type="pct"/>
            <w:shd w:val="clear" w:color="auto" w:fill="FFFFFF"/>
            <w:tcMar>
              <w:top w:w="120" w:type="dxa"/>
              <w:left w:w="840" w:type="dxa"/>
            </w:tcMar>
            <w:vAlign w:val="center"/>
          </w:tcPr>
          <w:p>
            <w:pPr>
              <w:keepNext w:val="0"/>
              <w:keepLines w:val="0"/>
              <w:widowControl/>
              <w:suppressLineNumbers w:val="0"/>
              <w:spacing w:before="0" w:beforeAutospacing="0" w:after="0" w:afterAutospacing="0" w:line="420" w:lineRule="atLeast"/>
              <w:ind w:left="-619" w:leftChars="-295" w:right="0" w:firstLine="0" w:firstLineChars="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（1）供应商具有独立法人资格且持有有效的营业执照(或统一社会信用代码营业执照）；</w:t>
            </w:r>
            <w:r>
              <w:rPr>
                <w:rFonts w:hint="eastAsia" w:ascii="微软雅黑" w:hAnsi="微软雅黑" w:eastAsia="微软雅黑" w:cs="微软雅黑"/>
                <w:b w:val="0"/>
                <w:bCs w:val="0"/>
                <w:i w:val="0"/>
                <w:iCs w:val="0"/>
                <w:caps w:val="0"/>
                <w:color w:val="000000"/>
                <w:spacing w:val="0"/>
                <w:kern w:val="0"/>
                <w:sz w:val="21"/>
                <w:szCs w:val="21"/>
                <w:lang w:val="en-US" w:eastAsia="zh-CN" w:bidi="ar"/>
              </w:rPr>
              <w:br w:type="textWrapping"/>
            </w:r>
            <w:r>
              <w:rPr>
                <w:rFonts w:hint="eastAsia" w:ascii="微软雅黑" w:hAnsi="微软雅黑" w:eastAsia="微软雅黑" w:cs="微软雅黑"/>
                <w:b w:val="0"/>
                <w:bCs w:val="0"/>
                <w:i w:val="0"/>
                <w:iCs w:val="0"/>
                <w:caps w:val="0"/>
                <w:color w:val="000000"/>
                <w:spacing w:val="0"/>
                <w:kern w:val="0"/>
                <w:sz w:val="21"/>
                <w:szCs w:val="21"/>
                <w:lang w:val="en-US" w:eastAsia="zh-CN" w:bidi="ar"/>
              </w:rPr>
              <w:t>（2）供应商须具有依法缴纳税收和社会保障资金的良好记录（2023内任意3个月）；</w:t>
            </w:r>
            <w:r>
              <w:rPr>
                <w:rFonts w:hint="eastAsia" w:ascii="微软雅黑" w:hAnsi="微软雅黑" w:eastAsia="微软雅黑" w:cs="微软雅黑"/>
                <w:b w:val="0"/>
                <w:bCs w:val="0"/>
                <w:i w:val="0"/>
                <w:iCs w:val="0"/>
                <w:caps w:val="0"/>
                <w:color w:val="000000"/>
                <w:spacing w:val="0"/>
                <w:kern w:val="0"/>
                <w:sz w:val="21"/>
                <w:szCs w:val="21"/>
                <w:lang w:val="en-US" w:eastAsia="zh-CN" w:bidi="ar"/>
              </w:rPr>
              <w:br w:type="textWrapping"/>
            </w:r>
            <w:r>
              <w:rPr>
                <w:rFonts w:hint="eastAsia" w:ascii="微软雅黑" w:hAnsi="微软雅黑" w:eastAsia="微软雅黑" w:cs="微软雅黑"/>
                <w:b w:val="0"/>
                <w:bCs w:val="0"/>
                <w:i w:val="0"/>
                <w:iCs w:val="0"/>
                <w:caps w:val="0"/>
                <w:color w:val="000000"/>
                <w:spacing w:val="0"/>
                <w:kern w:val="0"/>
                <w:sz w:val="21"/>
                <w:szCs w:val="21"/>
                <w:lang w:val="en-US" w:eastAsia="zh-CN" w:bidi="ar"/>
              </w:rPr>
              <w:t>（3）供应商须具有良好的商业信誉和健全的财务会计制度：供</w:t>
            </w:r>
            <w:bookmarkStart w:id="71" w:name="_GoBack"/>
            <w:bookmarkEnd w:id="71"/>
            <w:r>
              <w:rPr>
                <w:rFonts w:hint="eastAsia" w:ascii="微软雅黑" w:hAnsi="微软雅黑" w:eastAsia="微软雅黑" w:cs="微软雅黑"/>
                <w:b w:val="0"/>
                <w:bCs w:val="0"/>
                <w:i w:val="0"/>
                <w:iCs w:val="0"/>
                <w:caps w:val="0"/>
                <w:color w:val="000000"/>
                <w:spacing w:val="0"/>
                <w:kern w:val="0"/>
                <w:sz w:val="21"/>
                <w:szCs w:val="21"/>
                <w:lang w:val="en-US" w:eastAsia="zh-CN" w:bidi="ar"/>
              </w:rPr>
              <w:t>应商需提供近一年的财务审计报告（若成立不足一年的公司，则提供成立月份以来的企业财务报表）；</w:t>
            </w:r>
            <w:r>
              <w:rPr>
                <w:rFonts w:hint="eastAsia" w:ascii="微软雅黑" w:hAnsi="微软雅黑" w:eastAsia="微软雅黑" w:cs="微软雅黑"/>
                <w:b w:val="0"/>
                <w:bCs w:val="0"/>
                <w:i w:val="0"/>
                <w:iCs w:val="0"/>
                <w:caps w:val="0"/>
                <w:color w:val="000000"/>
                <w:spacing w:val="0"/>
                <w:kern w:val="0"/>
                <w:sz w:val="21"/>
                <w:szCs w:val="21"/>
                <w:lang w:val="en-US" w:eastAsia="zh-CN" w:bidi="ar"/>
              </w:rPr>
              <w:br w:type="textWrapping"/>
            </w:r>
            <w:r>
              <w:rPr>
                <w:rFonts w:hint="eastAsia" w:ascii="微软雅黑" w:hAnsi="微软雅黑" w:eastAsia="微软雅黑" w:cs="微软雅黑"/>
                <w:b w:val="0"/>
                <w:bCs w:val="0"/>
                <w:i w:val="0"/>
                <w:iCs w:val="0"/>
                <w:caps w:val="0"/>
                <w:color w:val="000000"/>
                <w:spacing w:val="0"/>
                <w:kern w:val="0"/>
                <w:sz w:val="21"/>
                <w:szCs w:val="21"/>
                <w:lang w:val="en-US" w:eastAsia="zh-CN" w:bidi="ar"/>
              </w:rPr>
              <w:t>（4）具有履行合同所必需的设备和专业技术能力，提供供应商书面声明；</w:t>
            </w:r>
            <w:r>
              <w:rPr>
                <w:rFonts w:hint="eastAsia" w:ascii="微软雅黑" w:hAnsi="微软雅黑" w:eastAsia="微软雅黑" w:cs="微软雅黑"/>
                <w:b w:val="0"/>
                <w:bCs w:val="0"/>
                <w:i w:val="0"/>
                <w:iCs w:val="0"/>
                <w:caps w:val="0"/>
                <w:color w:val="000000"/>
                <w:spacing w:val="0"/>
                <w:kern w:val="0"/>
                <w:sz w:val="21"/>
                <w:szCs w:val="21"/>
                <w:lang w:val="en-US" w:eastAsia="zh-CN" w:bidi="ar"/>
              </w:rPr>
              <w:br w:type="textWrapping"/>
            </w:r>
            <w:r>
              <w:rPr>
                <w:rFonts w:hint="eastAsia" w:ascii="微软雅黑" w:hAnsi="微软雅黑" w:eastAsia="微软雅黑" w:cs="微软雅黑"/>
                <w:b w:val="0"/>
                <w:bCs w:val="0"/>
                <w:i w:val="0"/>
                <w:iCs w:val="0"/>
                <w:caps w:val="0"/>
                <w:color w:val="000000"/>
                <w:spacing w:val="0"/>
                <w:kern w:val="0"/>
                <w:sz w:val="21"/>
                <w:szCs w:val="21"/>
                <w:lang w:val="en-US" w:eastAsia="zh-CN" w:bidi="ar"/>
              </w:rPr>
              <w:t>（5）参加本次政府采购活动前三年内，在经营活动中没有重大违法犯罪记录；</w:t>
            </w:r>
            <w:r>
              <w:rPr>
                <w:rFonts w:hint="eastAsia" w:ascii="微软雅黑" w:hAnsi="微软雅黑" w:eastAsia="微软雅黑" w:cs="微软雅黑"/>
                <w:b w:val="0"/>
                <w:bCs w:val="0"/>
                <w:i w:val="0"/>
                <w:iCs w:val="0"/>
                <w:caps w:val="0"/>
                <w:color w:val="000000"/>
                <w:spacing w:val="0"/>
                <w:kern w:val="0"/>
                <w:sz w:val="21"/>
                <w:szCs w:val="21"/>
                <w:lang w:val="en-US" w:eastAsia="zh-CN" w:bidi="ar"/>
              </w:rPr>
              <w:br w:type="textWrapping"/>
            </w:r>
            <w:r>
              <w:rPr>
                <w:rFonts w:hint="eastAsia" w:ascii="微软雅黑" w:hAnsi="微软雅黑" w:eastAsia="微软雅黑" w:cs="微软雅黑"/>
                <w:b w:val="0"/>
                <w:bCs w:val="0"/>
                <w:i w:val="0"/>
                <w:iCs w:val="0"/>
                <w:caps w:val="0"/>
                <w:color w:val="000000"/>
                <w:spacing w:val="0"/>
                <w:kern w:val="0"/>
                <w:sz w:val="21"/>
                <w:szCs w:val="21"/>
                <w:lang w:val="en-US" w:eastAsia="zh-CN" w:bidi="ar"/>
              </w:rPr>
              <w:t>（6）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w:t>
            </w:r>
            <w:r>
              <w:rPr>
                <w:rFonts w:hint="eastAsia" w:ascii="微软雅黑" w:hAnsi="微软雅黑" w:eastAsia="微软雅黑" w:cs="微软雅黑"/>
                <w:b w:val="0"/>
                <w:bCs w:val="0"/>
                <w:i w:val="0"/>
                <w:iCs w:val="0"/>
                <w:caps w:val="0"/>
                <w:color w:val="000000"/>
                <w:spacing w:val="0"/>
                <w:kern w:val="0"/>
                <w:sz w:val="21"/>
                <w:szCs w:val="21"/>
                <w:lang w:val="en-US" w:eastAsia="zh-CN" w:bidi="ar"/>
              </w:rPr>
              <w:br w:type="textWrapping"/>
            </w:r>
            <w:r>
              <w:rPr>
                <w:rFonts w:hint="eastAsia" w:ascii="微软雅黑" w:hAnsi="微软雅黑" w:eastAsia="微软雅黑" w:cs="微软雅黑"/>
                <w:b w:val="0"/>
                <w:bCs w:val="0"/>
                <w:i w:val="0"/>
                <w:iCs w:val="0"/>
                <w:caps w:val="0"/>
                <w:color w:val="000000"/>
                <w:spacing w:val="0"/>
                <w:kern w:val="0"/>
                <w:sz w:val="21"/>
                <w:szCs w:val="21"/>
                <w:lang w:val="en-US" w:eastAsia="zh-CN" w:bidi="ar"/>
              </w:rPr>
              <w:t>（7）本项目不接受联合体投标，不允许转包和分包；</w:t>
            </w:r>
            <w:r>
              <w:rPr>
                <w:rFonts w:hint="eastAsia" w:ascii="微软雅黑" w:hAnsi="微软雅黑" w:eastAsia="微软雅黑" w:cs="微软雅黑"/>
                <w:b w:val="0"/>
                <w:bCs w:val="0"/>
                <w:i w:val="0"/>
                <w:iCs w:val="0"/>
                <w:caps w:val="0"/>
                <w:color w:val="000000"/>
                <w:spacing w:val="0"/>
                <w:kern w:val="0"/>
                <w:sz w:val="21"/>
                <w:szCs w:val="21"/>
                <w:lang w:val="en-US" w:eastAsia="zh-CN" w:bidi="ar"/>
              </w:rPr>
              <w:br w:type="textWrapping"/>
            </w:r>
            <w:r>
              <w:rPr>
                <w:rFonts w:hint="eastAsia" w:ascii="微软雅黑" w:hAnsi="微软雅黑" w:eastAsia="微软雅黑" w:cs="微软雅黑"/>
                <w:b w:val="0"/>
                <w:bCs w:val="0"/>
                <w:i w:val="0"/>
                <w:iCs w:val="0"/>
                <w:caps w:val="0"/>
                <w:color w:val="000000"/>
                <w:spacing w:val="0"/>
                <w:kern w:val="0"/>
                <w:sz w:val="21"/>
                <w:szCs w:val="21"/>
                <w:lang w:val="en-US" w:eastAsia="zh-CN" w:bidi="ar"/>
              </w:rPr>
              <w:t>注：本项目实行资格后审，审查内容以投标截止时间前上传企业诚信库信息（南阳市诚信库网站https://ggzyjy.nanyang.gov.cn）为准。开标现场不接受诚信库（南阳市）信息原件。诚信库（南阳市）上传信息必须内容齐全，真实有效，原件扫描清晰可辨。否则，由此造成应得分而未得分或审查不合格情况的，由投标企业承担责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三、获取招标文件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1.时间：2024年05月28日 至 2024年06月04日，每天上午00:00至12:00，下午12:00至23:59（北京时间，法定节假日除外。）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2.地点：唐河县公共资源交易中心网站（http://www.thggzy.cn）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3.方式：网上下载。潜在供应商在南阳市公共资源交易中心办理CA数字证书，在南阳市交易平台诚信库进行登记注册，验证通过后可直接运用CA证书登录唐河县公共资源交易中心网站（www.thggzy.cn）交易主体登陆进行网上下载采购文件。唐河县公共资源交易平台与南阳市公共资源交易平台诚信库系统互认共享、CA数字证书互认共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4.售价：0元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四、投标截止时间及地点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1.时间：2024年06月20日09时30分（北京时间）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2.地点：唐河县公共资源交易中心网站（http://www.thggzy.cn）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五、开标时间及地点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1.时间：2024年06月20日09时30分（北京时间）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2.地点：唐河县公共资源交易中心第一开标室（本项目采用网上不见面方式开标，投标企业无需到达开标现场）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六、发布公告的媒介及招标公告期限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本次招标公告在《河南省政府采购网》、《中国招标投标公共服务平台》、《中国政府采购网》和《唐河县公共资源交易中心》上发布， 招标公告期限为五个工作日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七、其他补充事宜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jc w:val="center"/>
        </w:trPr>
        <w:tc>
          <w:tcPr>
            <w:tcW w:w="4967" w:type="pct"/>
            <w:shd w:val="clear" w:color="auto" w:fill="FFFFFF"/>
            <w:tcMar>
              <w:top w:w="120" w:type="dxa"/>
              <w:left w:w="840" w:type="dxa"/>
            </w:tcMar>
            <w:vAlign w:val="center"/>
          </w:tcPr>
          <w:p>
            <w:pPr>
              <w:keepNext w:val="0"/>
              <w:keepLines w:val="0"/>
              <w:widowControl/>
              <w:suppressLineNumbers w:val="0"/>
              <w:spacing w:before="0" w:beforeAutospacing="0" w:after="0" w:afterAutospacing="0" w:line="420" w:lineRule="atLeast"/>
              <w:ind w:left="-619" w:leftChars="-295" w:right="0" w:firstLine="0" w:firstLineChars="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该项目需要使用不见面开标，投标人无需前往现场来参与投标。各投标人根据手册要求，提前做好相关准备工作。附件：操作手册地址(下载中心或办事指南中自行下载)、不见面开标大厅地址：唐河县公共资源交易中心网站首页“不见面开标大厅”模块。</w:t>
            </w:r>
            <w:r>
              <w:rPr>
                <w:rFonts w:hint="eastAsia" w:ascii="微软雅黑" w:hAnsi="微软雅黑" w:eastAsia="微软雅黑" w:cs="微软雅黑"/>
                <w:b w:val="0"/>
                <w:bCs w:val="0"/>
                <w:i w:val="0"/>
                <w:iCs w:val="0"/>
                <w:caps w:val="0"/>
                <w:color w:val="000000"/>
                <w:spacing w:val="0"/>
                <w:kern w:val="0"/>
                <w:sz w:val="21"/>
                <w:szCs w:val="21"/>
                <w:lang w:val="en-US" w:eastAsia="zh-CN" w:bidi="ar"/>
              </w:rPr>
              <w:br w:type="textWrapping"/>
            </w:r>
            <w:r>
              <w:rPr>
                <w:rFonts w:hint="eastAsia" w:ascii="微软雅黑" w:hAnsi="微软雅黑" w:eastAsia="微软雅黑" w:cs="微软雅黑"/>
                <w:b w:val="0"/>
                <w:bCs w:val="0"/>
                <w:i w:val="0"/>
                <w:iCs w:val="0"/>
                <w:caps w:val="0"/>
                <w:color w:val="000000"/>
                <w:spacing w:val="0"/>
                <w:kern w:val="0"/>
                <w:sz w:val="21"/>
                <w:szCs w:val="21"/>
                <w:lang w:val="en-US" w:eastAsia="zh-CN" w:bidi="ar"/>
              </w:rPr>
              <w:t>（1）该项目自行上传投标文件，无需寄送和递交非加密投标文件光盘等。</w:t>
            </w:r>
            <w:r>
              <w:rPr>
                <w:rFonts w:hint="eastAsia" w:ascii="微软雅黑" w:hAnsi="微软雅黑" w:eastAsia="微软雅黑" w:cs="微软雅黑"/>
                <w:b w:val="0"/>
                <w:bCs w:val="0"/>
                <w:i w:val="0"/>
                <w:iCs w:val="0"/>
                <w:caps w:val="0"/>
                <w:color w:val="000000"/>
                <w:spacing w:val="0"/>
                <w:kern w:val="0"/>
                <w:sz w:val="21"/>
                <w:szCs w:val="21"/>
                <w:lang w:val="en-US" w:eastAsia="zh-CN" w:bidi="ar"/>
              </w:rPr>
              <w:br w:type="textWrapping"/>
            </w:r>
            <w:r>
              <w:rPr>
                <w:rFonts w:hint="eastAsia" w:ascii="微软雅黑" w:hAnsi="微软雅黑" w:eastAsia="微软雅黑" w:cs="微软雅黑"/>
                <w:b w:val="0"/>
                <w:bCs w:val="0"/>
                <w:i w:val="0"/>
                <w:iCs w:val="0"/>
                <w:caps w:val="0"/>
                <w:color w:val="000000"/>
                <w:spacing w:val="0"/>
                <w:kern w:val="0"/>
                <w:sz w:val="21"/>
                <w:szCs w:val="21"/>
                <w:lang w:val="en-US" w:eastAsia="zh-CN" w:bidi="ar"/>
              </w:rPr>
              <w:t>（2）因投标人无需现场参与开标，所有准备工作需自行准备到位。开标过程中如遇到紧急事项，可在不见面开标大厅中进行提出异议或文字交流。</w:t>
            </w:r>
            <w:r>
              <w:rPr>
                <w:rFonts w:hint="eastAsia" w:ascii="微软雅黑" w:hAnsi="微软雅黑" w:eastAsia="微软雅黑" w:cs="微软雅黑"/>
                <w:b w:val="0"/>
                <w:bCs w:val="0"/>
                <w:i w:val="0"/>
                <w:iCs w:val="0"/>
                <w:caps w:val="0"/>
                <w:color w:val="000000"/>
                <w:spacing w:val="0"/>
                <w:kern w:val="0"/>
                <w:sz w:val="21"/>
                <w:szCs w:val="21"/>
                <w:lang w:val="en-US" w:eastAsia="zh-CN" w:bidi="ar"/>
              </w:rPr>
              <w:br w:type="textWrapping"/>
            </w:r>
            <w:r>
              <w:rPr>
                <w:rFonts w:hint="eastAsia" w:ascii="微软雅黑" w:hAnsi="微软雅黑" w:eastAsia="微软雅黑" w:cs="微软雅黑"/>
                <w:b w:val="0"/>
                <w:bCs w:val="0"/>
                <w:i w:val="0"/>
                <w:iCs w:val="0"/>
                <w:caps w:val="0"/>
                <w:color w:val="000000"/>
                <w:spacing w:val="0"/>
                <w:kern w:val="0"/>
                <w:sz w:val="21"/>
                <w:szCs w:val="21"/>
                <w:lang w:val="en-US" w:eastAsia="zh-CN" w:bidi="ar"/>
              </w:rPr>
              <w:t>（3）不见面开标过程中，如投标人准备不到位，造成无法及时解密、网络问题等情况造成开标无法继续的，视为该投标人自动放弃投标（30分钟内），将被退回投标文件。</w:t>
            </w:r>
            <w:r>
              <w:rPr>
                <w:rFonts w:hint="eastAsia" w:ascii="微软雅黑" w:hAnsi="微软雅黑" w:eastAsia="微软雅黑" w:cs="微软雅黑"/>
                <w:b w:val="0"/>
                <w:bCs w:val="0"/>
                <w:i w:val="0"/>
                <w:iCs w:val="0"/>
                <w:caps w:val="0"/>
                <w:color w:val="000000"/>
                <w:spacing w:val="0"/>
                <w:kern w:val="0"/>
                <w:sz w:val="21"/>
                <w:szCs w:val="21"/>
                <w:lang w:val="en-US" w:eastAsia="zh-CN" w:bidi="ar"/>
              </w:rPr>
              <w:br w:type="textWrapping"/>
            </w:r>
            <w:r>
              <w:rPr>
                <w:rFonts w:hint="eastAsia" w:ascii="微软雅黑" w:hAnsi="微软雅黑" w:eastAsia="微软雅黑" w:cs="微软雅黑"/>
                <w:b w:val="0"/>
                <w:bCs w:val="0"/>
                <w:i w:val="0"/>
                <w:iCs w:val="0"/>
                <w:caps w:val="0"/>
                <w:color w:val="000000"/>
                <w:spacing w:val="0"/>
                <w:kern w:val="0"/>
                <w:sz w:val="21"/>
                <w:szCs w:val="21"/>
                <w:lang w:val="en-US" w:eastAsia="zh-CN" w:bidi="ar"/>
              </w:rPr>
              <w:t>（4）电子投标文件应在招标文件规定的投标截止时间前到达交易系统。逾期到达交易系统的电子投标文件视为放弃本次投标。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八、凡对本次招标提出询问，请按照以下方式联系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left w:w="210" w:type="dxa"/>
            </w:tcMar>
            <w:vAlign w:val="center"/>
          </w:tcPr>
          <w:p>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1. 采购人信息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名称：唐河县环境卫生服务中心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地址：唐河县滨河办事处新华路南段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联系人：王先生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联系方式：17613745999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left w:w="210" w:type="dxa"/>
            </w:tcMar>
            <w:vAlign w:val="center"/>
          </w:tcPr>
          <w:p>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2.采购代理机构信息（如有）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名称：唐河县唐兴工程造价咨询有限公司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地址：河南省南阳市唐河县滨河街道凤山路财政局院内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联系人：刘先生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联系方式：15688177666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jc w:val="center"/>
        </w:trPr>
        <w:tc>
          <w:tcPr>
            <w:tcW w:w="4967" w:type="pct"/>
            <w:shd w:val="clear" w:color="auto" w:fill="FFFFFF"/>
            <w:tcMar>
              <w:top w:w="120" w:type="dxa"/>
              <w:left w:w="210" w:type="dxa"/>
            </w:tcMar>
            <w:vAlign w:val="center"/>
          </w:tcPr>
          <w:p>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3.项目联系方式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项目联系人：刘先生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jc w:val="center"/>
        </w:trPr>
        <w:tc>
          <w:tcPr>
            <w:tcW w:w="4967" w:type="pct"/>
            <w:shd w:val="clear" w:color="auto" w:fill="FFFFFF"/>
            <w:tcMar>
              <w:top w:w="120" w:type="dxa"/>
            </w:tcMar>
            <w:vAlign w:val="center"/>
          </w:tcPr>
          <w:p>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aps w:val="0"/>
                <w:color w:val="000000"/>
                <w:spacing w:val="0"/>
                <w:sz w:val="21"/>
                <w:szCs w:val="21"/>
              </w:rPr>
            </w:pPr>
            <w:r>
              <w:rPr>
                <w:rFonts w:hint="eastAsia" w:ascii="微软雅黑" w:hAnsi="微软雅黑" w:eastAsia="微软雅黑" w:cs="微软雅黑"/>
                <w:b w:val="0"/>
                <w:bCs w:val="0"/>
                <w:i w:val="0"/>
                <w:iCs w:val="0"/>
                <w:caps w:val="0"/>
                <w:color w:val="000000"/>
                <w:spacing w:val="0"/>
                <w:kern w:val="0"/>
                <w:sz w:val="21"/>
                <w:szCs w:val="21"/>
                <w:lang w:val="en-US" w:eastAsia="zh-CN" w:bidi="ar"/>
              </w:rPr>
              <w:t>联系方式：15688177666</w:t>
            </w:r>
          </w:p>
        </w:tc>
      </w:tr>
    </w:tbl>
    <w:p>
      <w:pPr>
        <w:pStyle w:val="18"/>
        <w:keepNext w:val="0"/>
        <w:keepLines w:val="0"/>
        <w:pageBreakBefore w:val="0"/>
        <w:widowControl/>
        <w:overflowPunct/>
        <w:topLinePunct w:val="0"/>
        <w:bidi w:val="0"/>
        <w:spacing w:before="0" w:beforeAutospacing="0" w:after="0" w:afterAutospacing="0" w:line="360" w:lineRule="auto"/>
        <w:ind w:firstLine="639" w:firstLineChars="200"/>
        <w:jc w:val="center"/>
        <w:rPr>
          <w:rFonts w:ascii="黑体" w:hAnsi="黑体" w:eastAsia="宋体" w:cs="黑体"/>
          <w:b/>
          <w:bCs/>
          <w:spacing w:val="-1"/>
          <w:sz w:val="32"/>
          <w:szCs w:val="36"/>
          <w:highlight w:val="none"/>
        </w:rPr>
      </w:pPr>
    </w:p>
    <w:p>
      <w:pPr>
        <w:rPr>
          <w:rFonts w:ascii="宋体" w:hAnsi="宋体" w:eastAsia="宋体" w:cs="宋体"/>
          <w:b/>
          <w:bCs/>
          <w:spacing w:val="9"/>
          <w:sz w:val="31"/>
          <w:szCs w:val="31"/>
          <w:highlight w:val="none"/>
        </w:rPr>
      </w:pPr>
      <w:r>
        <w:rPr>
          <w:rFonts w:hint="eastAsia" w:ascii="微软雅黑" w:hAnsi="微软雅黑" w:eastAsia="宋体" w:cs="微软雅黑"/>
          <w:snapToGrid w:val="0"/>
          <w:color w:val="000000"/>
          <w:kern w:val="0"/>
          <w:sz w:val="24"/>
          <w:szCs w:val="21"/>
          <w:highlight w:val="none"/>
          <w:lang w:val="en-US" w:eastAsia="zh-CN" w:bidi="ar"/>
        </w:rPr>
        <w:br w:type="page"/>
      </w:r>
    </w:p>
    <w:p>
      <w:pPr>
        <w:spacing w:before="218" w:line="225" w:lineRule="auto"/>
        <w:jc w:val="center"/>
        <w:outlineLvl w:val="0"/>
        <w:rPr>
          <w:rFonts w:ascii="宋体" w:hAnsi="宋体" w:eastAsia="宋体" w:cs="宋体"/>
          <w:b/>
          <w:bCs/>
          <w:sz w:val="31"/>
          <w:szCs w:val="31"/>
          <w:highlight w:val="none"/>
        </w:rPr>
      </w:pPr>
      <w:bookmarkStart w:id="1" w:name="_Toc21092"/>
      <w:r>
        <w:rPr>
          <w:rFonts w:ascii="宋体" w:hAnsi="宋体" w:eastAsia="宋体" w:cs="宋体"/>
          <w:b/>
          <w:bCs/>
          <w:spacing w:val="9"/>
          <w:sz w:val="31"/>
          <w:szCs w:val="31"/>
          <w:highlight w:val="none"/>
        </w:rPr>
        <w:t>第二部分</w:t>
      </w:r>
      <w:r>
        <w:rPr>
          <w:rFonts w:hint="eastAsia" w:ascii="宋体" w:hAnsi="宋体" w:eastAsia="宋体" w:cs="宋体"/>
          <w:b/>
          <w:bCs/>
          <w:spacing w:val="9"/>
          <w:sz w:val="31"/>
          <w:szCs w:val="31"/>
          <w:highlight w:val="none"/>
          <w:lang w:val="en-US" w:eastAsia="zh-CN"/>
        </w:rPr>
        <w:t xml:space="preserve"> </w:t>
      </w:r>
      <w:r>
        <w:rPr>
          <w:rFonts w:ascii="宋体" w:hAnsi="宋体" w:eastAsia="宋体" w:cs="宋体"/>
          <w:b/>
          <w:bCs/>
          <w:spacing w:val="9"/>
          <w:sz w:val="31"/>
          <w:szCs w:val="31"/>
          <w:highlight w:val="none"/>
        </w:rPr>
        <w:t>投标人须</w:t>
      </w:r>
      <w:r>
        <w:rPr>
          <w:rFonts w:ascii="宋体" w:hAnsi="宋体" w:eastAsia="宋体" w:cs="宋体"/>
          <w:b/>
          <w:bCs/>
          <w:spacing w:val="8"/>
          <w:sz w:val="31"/>
          <w:szCs w:val="31"/>
          <w:highlight w:val="none"/>
        </w:rPr>
        <w:t>知</w:t>
      </w:r>
      <w:bookmarkEnd w:id="1"/>
    </w:p>
    <w:p>
      <w:pPr>
        <w:spacing w:line="256" w:lineRule="auto"/>
        <w:rPr>
          <w:highlight w:val="none"/>
        </w:rPr>
      </w:pPr>
    </w:p>
    <w:p>
      <w:pPr>
        <w:spacing w:before="69" w:line="220" w:lineRule="auto"/>
        <w:ind w:left="157"/>
        <w:jc w:val="center"/>
        <w:outlineLvl w:val="9"/>
        <w:rPr>
          <w:rFonts w:ascii="宋体" w:hAnsi="宋体" w:eastAsia="宋体" w:cs="宋体"/>
          <w:b/>
          <w:bCs/>
          <w:highlight w:val="none"/>
        </w:rPr>
      </w:pPr>
      <w:r>
        <w:rPr>
          <w:rFonts w:ascii="宋体" w:hAnsi="宋体" w:eastAsia="宋体" w:cs="宋体"/>
          <w:b/>
          <w:bCs/>
          <w:spacing w:val="-1"/>
          <w:highlight w:val="none"/>
        </w:rPr>
        <w:t>投标</w:t>
      </w:r>
      <w:r>
        <w:rPr>
          <w:rFonts w:ascii="宋体" w:hAnsi="宋体" w:eastAsia="宋体" w:cs="宋体"/>
          <w:b/>
          <w:bCs/>
          <w:highlight w:val="none"/>
        </w:rPr>
        <w:t>人须知前附表</w:t>
      </w:r>
    </w:p>
    <w:p>
      <w:pPr>
        <w:spacing w:line="128" w:lineRule="exact"/>
        <w:rPr>
          <w:highlight w:val="none"/>
        </w:rPr>
      </w:pPr>
    </w:p>
    <w:tbl>
      <w:tblPr>
        <w:tblStyle w:val="41"/>
        <w:tblW w:w="102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3"/>
        <w:gridCol w:w="2013"/>
        <w:gridCol w:w="74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823" w:type="dxa"/>
            <w:vAlign w:val="center"/>
          </w:tcPr>
          <w:p>
            <w:pPr>
              <w:spacing w:line="360" w:lineRule="exact"/>
              <w:jc w:val="center"/>
              <w:rPr>
                <w:rFonts w:ascii="宋体" w:hAnsi="宋体" w:eastAsia="宋体" w:cs="宋体"/>
                <w:highlight w:val="none"/>
              </w:rPr>
            </w:pPr>
            <w:r>
              <w:rPr>
                <w:rFonts w:ascii="宋体" w:hAnsi="宋体" w:eastAsia="宋体" w:cs="宋体"/>
                <w:spacing w:val="-2"/>
                <w:highlight w:val="none"/>
              </w:rPr>
              <w:t>序</w:t>
            </w:r>
            <w:r>
              <w:rPr>
                <w:rFonts w:ascii="宋体" w:hAnsi="宋体" w:eastAsia="宋体" w:cs="宋体"/>
                <w:spacing w:val="-1"/>
                <w:highlight w:val="none"/>
              </w:rPr>
              <w:t>号</w:t>
            </w:r>
          </w:p>
        </w:tc>
        <w:tc>
          <w:tcPr>
            <w:tcW w:w="2013" w:type="dxa"/>
            <w:vAlign w:val="center"/>
          </w:tcPr>
          <w:p>
            <w:pPr>
              <w:spacing w:line="360" w:lineRule="exact"/>
              <w:jc w:val="center"/>
              <w:rPr>
                <w:rFonts w:ascii="宋体" w:hAnsi="宋体" w:eastAsia="宋体" w:cs="宋体"/>
                <w:highlight w:val="none"/>
              </w:rPr>
            </w:pPr>
            <w:r>
              <w:rPr>
                <w:rFonts w:ascii="宋体" w:hAnsi="宋体" w:eastAsia="宋体" w:cs="宋体"/>
                <w:spacing w:val="-2"/>
                <w:highlight w:val="none"/>
              </w:rPr>
              <w:t>条款名</w:t>
            </w:r>
            <w:r>
              <w:rPr>
                <w:rFonts w:ascii="宋体" w:hAnsi="宋体" w:eastAsia="宋体" w:cs="宋体"/>
                <w:spacing w:val="-1"/>
                <w:highlight w:val="none"/>
              </w:rPr>
              <w:t>称</w:t>
            </w:r>
          </w:p>
        </w:tc>
        <w:tc>
          <w:tcPr>
            <w:tcW w:w="7414" w:type="dxa"/>
            <w:vAlign w:val="center"/>
          </w:tcPr>
          <w:p>
            <w:pPr>
              <w:spacing w:line="360" w:lineRule="exact"/>
              <w:jc w:val="center"/>
              <w:rPr>
                <w:rFonts w:ascii="宋体" w:hAnsi="宋体" w:eastAsia="宋体" w:cs="宋体"/>
                <w:highlight w:val="none"/>
              </w:rPr>
            </w:pPr>
            <w:r>
              <w:rPr>
                <w:rFonts w:ascii="宋体" w:hAnsi="宋体" w:eastAsia="宋体" w:cs="宋体"/>
                <w:spacing w:val="-2"/>
                <w:highlight w:val="none"/>
              </w:rPr>
              <w:t>编列内</w:t>
            </w:r>
            <w:r>
              <w:rPr>
                <w:rFonts w:ascii="宋体" w:hAnsi="宋体" w:eastAsia="宋体" w:cs="宋体"/>
                <w:spacing w:val="-1"/>
                <w:highlight w:val="none"/>
              </w:rPr>
              <w:t>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3" w:type="dxa"/>
            <w:vAlign w:val="center"/>
          </w:tcPr>
          <w:p>
            <w:pPr>
              <w:spacing w:line="360" w:lineRule="exact"/>
              <w:jc w:val="center"/>
              <w:rPr>
                <w:rFonts w:ascii="宋体" w:hAnsi="宋体" w:eastAsia="宋体" w:cs="宋体"/>
                <w:highlight w:val="none"/>
              </w:rPr>
            </w:pPr>
            <w:r>
              <w:rPr>
                <w:rFonts w:ascii="宋体" w:hAnsi="宋体" w:eastAsia="宋体" w:cs="宋体"/>
                <w:highlight w:val="none"/>
              </w:rPr>
              <w:t>1</w:t>
            </w:r>
          </w:p>
        </w:tc>
        <w:tc>
          <w:tcPr>
            <w:tcW w:w="2013" w:type="dxa"/>
            <w:vAlign w:val="center"/>
          </w:tcPr>
          <w:p>
            <w:pPr>
              <w:pStyle w:val="42"/>
              <w:widowControl w:val="0"/>
              <w:kinsoku/>
              <w:adjustRightInd/>
              <w:snapToGrid/>
              <w:spacing w:line="360" w:lineRule="exact"/>
              <w:jc w:val="center"/>
              <w:textAlignment w:val="auto"/>
              <w:rPr>
                <w:rFonts w:hint="eastAsia" w:ascii="宋体" w:hAnsi="宋体" w:eastAsia="宋体" w:cs="宋体"/>
                <w:highlight w:val="none"/>
              </w:rPr>
            </w:pPr>
            <w:r>
              <w:rPr>
                <w:rFonts w:hint="eastAsia" w:ascii="宋体" w:hAnsi="宋体" w:eastAsia="宋体" w:cs="宋体"/>
                <w:highlight w:val="none"/>
              </w:rPr>
              <w:t>项目名称</w:t>
            </w:r>
          </w:p>
        </w:tc>
        <w:tc>
          <w:tcPr>
            <w:tcW w:w="7414" w:type="dxa"/>
          </w:tcPr>
          <w:p>
            <w:pPr>
              <w:pStyle w:val="42"/>
              <w:widowControl w:val="0"/>
              <w:kinsoku/>
              <w:adjustRightInd/>
              <w:snapToGrid/>
              <w:spacing w:line="360" w:lineRule="exact"/>
              <w:textAlignment w:val="auto"/>
              <w:rPr>
                <w:rFonts w:hint="default" w:ascii="宋体" w:hAnsi="宋体" w:eastAsia="宋体" w:cs="宋体"/>
                <w:highlight w:val="none"/>
                <w:lang w:val="en-US" w:eastAsia="zh-CN"/>
              </w:rPr>
            </w:pPr>
            <w:r>
              <w:rPr>
                <w:rFonts w:hint="eastAsia" w:cs="宋体"/>
                <w:highlight w:val="none"/>
                <w:lang w:val="en-US" w:eastAsia="zh-CN"/>
              </w:rPr>
              <w:t>唐河县环境卫生服务中心关于对东区环卫作业服务项目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23" w:type="dxa"/>
            <w:vAlign w:val="center"/>
          </w:tcPr>
          <w:p>
            <w:pPr>
              <w:spacing w:line="360" w:lineRule="exact"/>
              <w:jc w:val="center"/>
              <w:rPr>
                <w:rFonts w:ascii="宋体" w:hAnsi="宋体" w:eastAsia="宋体" w:cs="宋体"/>
                <w:highlight w:val="none"/>
              </w:rPr>
            </w:pPr>
            <w:r>
              <w:rPr>
                <w:rFonts w:ascii="宋体" w:hAnsi="宋体" w:eastAsia="宋体" w:cs="宋体"/>
                <w:highlight w:val="none"/>
              </w:rPr>
              <w:t>2</w:t>
            </w:r>
          </w:p>
        </w:tc>
        <w:tc>
          <w:tcPr>
            <w:tcW w:w="2013" w:type="dxa"/>
            <w:vAlign w:val="center"/>
          </w:tcPr>
          <w:p>
            <w:pPr>
              <w:pStyle w:val="42"/>
              <w:widowControl w:val="0"/>
              <w:kinsoku/>
              <w:adjustRightInd/>
              <w:snapToGrid/>
              <w:spacing w:line="360" w:lineRule="exact"/>
              <w:jc w:val="center"/>
              <w:textAlignment w:val="auto"/>
              <w:rPr>
                <w:rFonts w:hint="eastAsia" w:ascii="宋体" w:hAnsi="宋体" w:eastAsia="宋体" w:cs="宋体"/>
                <w:highlight w:val="none"/>
              </w:rPr>
            </w:pPr>
            <w:r>
              <w:rPr>
                <w:rFonts w:hint="eastAsia" w:ascii="宋体" w:hAnsi="宋体" w:eastAsia="宋体" w:cs="宋体"/>
                <w:highlight w:val="none"/>
              </w:rPr>
              <w:t>采购人(招标人)</w:t>
            </w:r>
          </w:p>
        </w:tc>
        <w:tc>
          <w:tcPr>
            <w:tcW w:w="7414" w:type="dxa"/>
          </w:tcPr>
          <w:p>
            <w:pPr>
              <w:pStyle w:val="42"/>
              <w:widowControl w:val="0"/>
              <w:kinsoku/>
              <w:adjustRightInd/>
              <w:snapToGrid/>
              <w:spacing w:line="360" w:lineRule="exact"/>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名称：唐河县环境卫生服务中心</w:t>
            </w:r>
          </w:p>
          <w:p>
            <w:pPr>
              <w:pStyle w:val="42"/>
              <w:widowControl w:val="0"/>
              <w:kinsoku/>
              <w:adjustRightInd/>
              <w:snapToGrid/>
              <w:spacing w:line="360" w:lineRule="exact"/>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地址：唐河县滨河办事处新华路南段</w:t>
            </w:r>
          </w:p>
          <w:p>
            <w:pPr>
              <w:pStyle w:val="42"/>
              <w:widowControl w:val="0"/>
              <w:kinsoku/>
              <w:adjustRightInd/>
              <w:snapToGrid/>
              <w:spacing w:line="360" w:lineRule="exact"/>
              <w:textAlignment w:val="auto"/>
              <w:rPr>
                <w:rFonts w:hint="default" w:ascii="宋体" w:hAnsi="宋体" w:eastAsia="宋体" w:cs="宋体"/>
                <w:highlight w:val="none"/>
                <w:lang w:val="en-US" w:eastAsia="zh-CN"/>
              </w:rPr>
            </w:pPr>
            <w:r>
              <w:rPr>
                <w:rFonts w:hint="eastAsia" w:ascii="宋体" w:hAnsi="宋体" w:eastAsia="宋体" w:cs="宋体"/>
                <w:highlight w:val="none"/>
                <w:lang w:val="en-US" w:eastAsia="zh-CN"/>
              </w:rPr>
              <w:t>联系人：王先生</w:t>
            </w:r>
          </w:p>
          <w:p>
            <w:pPr>
              <w:pStyle w:val="42"/>
              <w:widowControl w:val="0"/>
              <w:kinsoku/>
              <w:adjustRightInd/>
              <w:snapToGrid/>
              <w:spacing w:line="360" w:lineRule="exact"/>
              <w:textAlignment w:val="auto"/>
              <w:rPr>
                <w:rFonts w:hint="eastAsia" w:ascii="宋体" w:hAnsi="宋体" w:eastAsia="宋体" w:cs="宋体"/>
                <w:highlight w:val="none"/>
              </w:rPr>
            </w:pPr>
            <w:r>
              <w:rPr>
                <w:rFonts w:hint="eastAsia" w:ascii="宋体" w:hAnsi="宋体" w:eastAsia="宋体" w:cs="宋体"/>
                <w:highlight w:val="none"/>
                <w:lang w:val="en-US" w:eastAsia="zh-CN"/>
              </w:rPr>
              <w:t>联系方式：17613745999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0" w:hRule="atLeast"/>
        </w:trPr>
        <w:tc>
          <w:tcPr>
            <w:tcW w:w="823" w:type="dxa"/>
            <w:vAlign w:val="center"/>
          </w:tcPr>
          <w:p>
            <w:pPr>
              <w:spacing w:line="360" w:lineRule="exact"/>
              <w:jc w:val="center"/>
              <w:rPr>
                <w:rFonts w:ascii="宋体" w:hAnsi="宋体" w:eastAsia="宋体" w:cs="宋体"/>
                <w:highlight w:val="none"/>
              </w:rPr>
            </w:pPr>
            <w:r>
              <w:rPr>
                <w:rFonts w:ascii="宋体" w:hAnsi="宋体" w:eastAsia="宋体" w:cs="宋体"/>
                <w:highlight w:val="none"/>
              </w:rPr>
              <w:t>3</w:t>
            </w:r>
          </w:p>
        </w:tc>
        <w:tc>
          <w:tcPr>
            <w:tcW w:w="2013" w:type="dxa"/>
            <w:vAlign w:val="center"/>
          </w:tcPr>
          <w:p>
            <w:pPr>
              <w:spacing w:line="360" w:lineRule="exact"/>
              <w:jc w:val="center"/>
              <w:rPr>
                <w:rFonts w:hint="eastAsia" w:ascii="宋体" w:hAnsi="宋体" w:eastAsia="宋体" w:cs="宋体"/>
                <w:spacing w:val="-1"/>
                <w:highlight w:val="none"/>
              </w:rPr>
            </w:pPr>
            <w:r>
              <w:rPr>
                <w:rFonts w:hint="eastAsia" w:ascii="宋体" w:hAnsi="宋体" w:eastAsia="宋体" w:cs="宋体"/>
                <w:spacing w:val="-1"/>
                <w:highlight w:val="none"/>
              </w:rPr>
              <w:t>采购代理机构</w:t>
            </w:r>
          </w:p>
        </w:tc>
        <w:tc>
          <w:tcPr>
            <w:tcW w:w="7414" w:type="dxa"/>
          </w:tcPr>
          <w:p>
            <w:pPr>
              <w:pStyle w:val="42"/>
              <w:widowControl w:val="0"/>
              <w:kinsoku/>
              <w:adjustRightInd/>
              <w:snapToGrid/>
              <w:spacing w:line="360" w:lineRule="exact"/>
              <w:textAlignment w:val="auto"/>
              <w:rPr>
                <w:rFonts w:hint="eastAsia"/>
                <w:highlight w:val="none"/>
              </w:rPr>
            </w:pPr>
            <w:r>
              <w:rPr>
                <w:rFonts w:hint="eastAsia"/>
                <w:highlight w:val="none"/>
              </w:rPr>
              <w:t>名称：</w:t>
            </w:r>
            <w:r>
              <w:rPr>
                <w:rFonts w:hint="eastAsia"/>
                <w:highlight w:val="none"/>
                <w:lang w:val="en-US" w:eastAsia="zh-CN"/>
              </w:rPr>
              <w:t>唐河县唐兴工程造价咨询有限公司</w:t>
            </w:r>
          </w:p>
          <w:p>
            <w:pPr>
              <w:pStyle w:val="42"/>
              <w:widowControl w:val="0"/>
              <w:kinsoku/>
              <w:adjustRightInd/>
              <w:snapToGrid/>
              <w:spacing w:line="360" w:lineRule="exact"/>
              <w:textAlignment w:val="auto"/>
              <w:rPr>
                <w:rFonts w:hint="eastAsia" w:ascii="宋体" w:hAnsi="宋体" w:eastAsia="宋体" w:cs="宋体"/>
                <w:highlight w:val="none"/>
                <w:lang w:val="en-US" w:eastAsia="zh-CN"/>
              </w:rPr>
            </w:pPr>
            <w:r>
              <w:rPr>
                <w:rFonts w:hint="eastAsia"/>
                <w:highlight w:val="none"/>
              </w:rPr>
              <w:t>地址：</w:t>
            </w:r>
            <w:r>
              <w:rPr>
                <w:rFonts w:hint="eastAsia" w:ascii="宋体" w:hAnsi="宋体" w:eastAsia="宋体" w:cs="宋体"/>
                <w:highlight w:val="none"/>
                <w:lang w:val="en-US" w:eastAsia="zh-CN"/>
              </w:rPr>
              <w:t>河南省南阳市唐河县滨河街道凤山路财政局院内</w:t>
            </w:r>
          </w:p>
          <w:p>
            <w:pPr>
              <w:pStyle w:val="42"/>
              <w:widowControl w:val="0"/>
              <w:kinsoku/>
              <w:adjustRightInd/>
              <w:snapToGrid/>
              <w:spacing w:line="360" w:lineRule="exact"/>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联系人：刘先生 </w:t>
            </w:r>
          </w:p>
          <w:p>
            <w:pPr>
              <w:pStyle w:val="42"/>
              <w:widowControl w:val="0"/>
              <w:kinsoku/>
              <w:adjustRightInd/>
              <w:snapToGrid/>
              <w:spacing w:line="360" w:lineRule="exact"/>
              <w:textAlignment w:val="auto"/>
              <w:rPr>
                <w:rFonts w:hint="default"/>
                <w:highlight w:val="none"/>
                <w:lang w:val="en-US"/>
              </w:rPr>
            </w:pPr>
            <w:r>
              <w:rPr>
                <w:rFonts w:hint="eastAsia" w:ascii="宋体" w:hAnsi="宋体" w:eastAsia="宋体" w:cs="宋体"/>
                <w:highlight w:val="none"/>
                <w:lang w:val="en-US" w:eastAsia="zh-CN"/>
              </w:rPr>
              <w:t>联系方式：15688177666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823" w:type="dxa"/>
            <w:vAlign w:val="center"/>
          </w:tcPr>
          <w:p>
            <w:pPr>
              <w:spacing w:line="360" w:lineRule="exact"/>
              <w:jc w:val="center"/>
              <w:rPr>
                <w:rFonts w:ascii="宋体" w:hAnsi="宋体" w:eastAsia="宋体" w:cs="宋体"/>
                <w:highlight w:val="none"/>
              </w:rPr>
            </w:pPr>
            <w:r>
              <w:rPr>
                <w:rFonts w:hint="eastAsia" w:ascii="宋体" w:hAnsi="宋体" w:eastAsia="宋体" w:cs="宋体"/>
                <w:highlight w:val="none"/>
              </w:rPr>
              <w:t>4</w:t>
            </w:r>
          </w:p>
        </w:tc>
        <w:tc>
          <w:tcPr>
            <w:tcW w:w="2013" w:type="dxa"/>
            <w:vAlign w:val="center"/>
          </w:tcPr>
          <w:p>
            <w:pPr>
              <w:spacing w:line="360" w:lineRule="exact"/>
              <w:jc w:val="center"/>
              <w:rPr>
                <w:rFonts w:hint="eastAsia" w:ascii="宋体" w:hAnsi="宋体" w:eastAsia="宋体" w:cs="宋体"/>
                <w:spacing w:val="-1"/>
                <w:highlight w:val="none"/>
              </w:rPr>
            </w:pPr>
            <w:r>
              <w:rPr>
                <w:rFonts w:hint="eastAsia" w:ascii="宋体" w:hAnsi="宋体" w:eastAsia="宋体" w:cs="宋体"/>
                <w:spacing w:val="-1"/>
                <w:highlight w:val="none"/>
                <w:lang w:val="en-US" w:eastAsia="zh-CN"/>
              </w:rPr>
              <w:t>服务</w:t>
            </w:r>
            <w:r>
              <w:rPr>
                <w:rFonts w:hint="eastAsia" w:ascii="宋体" w:hAnsi="宋体" w:eastAsia="宋体" w:cs="宋体"/>
                <w:spacing w:val="-1"/>
                <w:highlight w:val="none"/>
              </w:rPr>
              <w:t>地点</w:t>
            </w:r>
          </w:p>
        </w:tc>
        <w:tc>
          <w:tcPr>
            <w:tcW w:w="7414" w:type="dxa"/>
            <w:vAlign w:val="center"/>
          </w:tcPr>
          <w:p>
            <w:pPr>
              <w:pStyle w:val="42"/>
              <w:widowControl w:val="0"/>
              <w:kinsoku/>
              <w:adjustRightInd/>
              <w:snapToGrid/>
              <w:spacing w:line="360" w:lineRule="exact"/>
              <w:textAlignment w:val="auto"/>
              <w:rPr>
                <w:rFonts w:hint="eastAsia"/>
                <w:highlight w:val="none"/>
              </w:rPr>
            </w:pPr>
            <w:r>
              <w:rPr>
                <w:rFonts w:hint="eastAsia"/>
                <w:highlight w:val="none"/>
              </w:rPr>
              <w:t>采购人指定地点(唐河县境内)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 w:hRule="atLeast"/>
        </w:trPr>
        <w:tc>
          <w:tcPr>
            <w:tcW w:w="823" w:type="dxa"/>
            <w:vAlign w:val="center"/>
          </w:tcPr>
          <w:p>
            <w:pPr>
              <w:spacing w:line="360" w:lineRule="exact"/>
              <w:jc w:val="center"/>
              <w:rPr>
                <w:rFonts w:ascii="宋体" w:hAnsi="宋体" w:eastAsia="宋体" w:cs="宋体"/>
                <w:highlight w:val="none"/>
              </w:rPr>
            </w:pPr>
            <w:r>
              <w:rPr>
                <w:rFonts w:hint="eastAsia" w:ascii="宋体" w:hAnsi="宋体" w:eastAsia="宋体" w:cs="宋体"/>
                <w:highlight w:val="none"/>
              </w:rPr>
              <w:t>5</w:t>
            </w:r>
          </w:p>
        </w:tc>
        <w:tc>
          <w:tcPr>
            <w:tcW w:w="2013" w:type="dxa"/>
            <w:vAlign w:val="center"/>
          </w:tcPr>
          <w:p>
            <w:pPr>
              <w:spacing w:line="360" w:lineRule="exact"/>
              <w:jc w:val="center"/>
              <w:rPr>
                <w:rFonts w:hint="eastAsia" w:ascii="宋体" w:hAnsi="宋体" w:eastAsia="宋体" w:cs="宋体"/>
                <w:spacing w:val="-1"/>
                <w:highlight w:val="none"/>
              </w:rPr>
            </w:pPr>
            <w:r>
              <w:rPr>
                <w:rFonts w:hint="eastAsia" w:ascii="宋体" w:hAnsi="宋体" w:eastAsia="宋体" w:cs="宋体"/>
                <w:spacing w:val="-1"/>
                <w:highlight w:val="none"/>
              </w:rPr>
              <w:t>投标人的资格条件</w:t>
            </w:r>
          </w:p>
        </w:tc>
        <w:tc>
          <w:tcPr>
            <w:tcW w:w="7414" w:type="dxa"/>
          </w:tcPr>
          <w:p>
            <w:pPr>
              <w:pStyle w:val="42"/>
              <w:widowControl w:val="0"/>
              <w:kinsoku/>
              <w:adjustRightInd/>
              <w:snapToGrid/>
              <w:spacing w:line="360" w:lineRule="exact"/>
              <w:textAlignment w:val="auto"/>
              <w:rPr>
                <w:rFonts w:hint="eastAsia"/>
                <w:highlight w:val="none"/>
              </w:rPr>
            </w:pPr>
            <w:r>
              <w:rPr>
                <w:rFonts w:hint="eastAsia"/>
                <w:highlight w:val="none"/>
              </w:rPr>
              <w:t xml:space="preserve">详见招标公告 </w:t>
            </w:r>
            <w:r>
              <w:rPr>
                <w:rFonts w:hint="eastAsia"/>
                <w:b/>
                <w:bCs/>
                <w:highlight w:val="none"/>
              </w:rPr>
              <w:t>二、申请人资格要求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23" w:type="dxa"/>
            <w:vAlign w:val="center"/>
          </w:tcPr>
          <w:p>
            <w:pPr>
              <w:spacing w:line="360" w:lineRule="exact"/>
              <w:jc w:val="center"/>
              <w:rPr>
                <w:rFonts w:ascii="宋体" w:hAnsi="宋体" w:eastAsia="宋体" w:cs="宋体"/>
                <w:highlight w:val="none"/>
              </w:rPr>
            </w:pPr>
            <w:r>
              <w:rPr>
                <w:rFonts w:hint="eastAsia" w:ascii="宋体" w:hAnsi="宋体" w:eastAsia="宋体" w:cs="宋体"/>
                <w:highlight w:val="none"/>
              </w:rPr>
              <w:t>6</w:t>
            </w:r>
          </w:p>
        </w:tc>
        <w:tc>
          <w:tcPr>
            <w:tcW w:w="2013" w:type="dxa"/>
            <w:vAlign w:val="center"/>
          </w:tcPr>
          <w:p>
            <w:pPr>
              <w:spacing w:line="360" w:lineRule="exact"/>
              <w:jc w:val="center"/>
              <w:rPr>
                <w:rFonts w:hint="eastAsia" w:ascii="宋体" w:hAnsi="宋体" w:eastAsia="宋体" w:cs="宋体"/>
                <w:spacing w:val="-1"/>
                <w:highlight w:val="none"/>
              </w:rPr>
            </w:pPr>
            <w:r>
              <w:rPr>
                <w:rFonts w:hint="eastAsia" w:ascii="宋体" w:hAnsi="宋体" w:eastAsia="宋体" w:cs="宋体"/>
                <w:spacing w:val="-1"/>
                <w:highlight w:val="none"/>
                <w:lang w:val="en-US" w:eastAsia="zh-CN"/>
              </w:rPr>
              <w:t>服务</w:t>
            </w:r>
            <w:r>
              <w:rPr>
                <w:rFonts w:hint="eastAsia" w:ascii="宋体" w:hAnsi="宋体" w:eastAsia="宋体" w:cs="宋体"/>
                <w:spacing w:val="-1"/>
                <w:highlight w:val="none"/>
              </w:rPr>
              <w:t>内容</w:t>
            </w:r>
          </w:p>
        </w:tc>
        <w:tc>
          <w:tcPr>
            <w:tcW w:w="7414" w:type="dxa"/>
          </w:tcPr>
          <w:p>
            <w:pPr>
              <w:spacing w:line="360" w:lineRule="exact"/>
              <w:jc w:val="both"/>
              <w:rPr>
                <w:rFonts w:hint="default" w:ascii="宋体" w:hAnsi="宋体" w:eastAsia="宋体" w:cs="宋体"/>
                <w:spacing w:val="-1"/>
                <w:highlight w:val="none"/>
                <w:lang w:val="en-US"/>
              </w:rPr>
            </w:pPr>
            <w:r>
              <w:rPr>
                <w:rFonts w:hint="eastAsia" w:ascii="宋体" w:hAnsi="宋体" w:eastAsia="宋体" w:cs="宋体"/>
                <w:spacing w:val="-1"/>
                <w:highlight w:val="none"/>
                <w:lang w:val="en-US" w:eastAsia="zh-CN"/>
              </w:rPr>
              <w:t>详见公告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23" w:type="dxa"/>
            <w:vAlign w:val="center"/>
          </w:tcPr>
          <w:p>
            <w:pPr>
              <w:spacing w:line="360" w:lineRule="exact"/>
              <w:jc w:val="center"/>
              <w:rPr>
                <w:rFonts w:ascii="宋体" w:hAnsi="宋体" w:eastAsia="宋体" w:cs="宋体"/>
                <w:highlight w:val="none"/>
              </w:rPr>
            </w:pPr>
            <w:r>
              <w:rPr>
                <w:rFonts w:hint="eastAsia" w:ascii="宋体" w:hAnsi="宋体" w:eastAsia="宋体" w:cs="宋体"/>
                <w:highlight w:val="none"/>
              </w:rPr>
              <w:t>7</w:t>
            </w:r>
          </w:p>
        </w:tc>
        <w:tc>
          <w:tcPr>
            <w:tcW w:w="2013" w:type="dxa"/>
            <w:vAlign w:val="center"/>
          </w:tcPr>
          <w:p>
            <w:pPr>
              <w:spacing w:line="360" w:lineRule="exact"/>
              <w:jc w:val="center"/>
              <w:rPr>
                <w:rFonts w:ascii="宋体" w:hAnsi="宋体" w:eastAsia="宋体" w:cs="宋体"/>
                <w:spacing w:val="-2"/>
                <w:highlight w:val="none"/>
              </w:rPr>
            </w:pPr>
            <w:r>
              <w:rPr>
                <w:rFonts w:hint="eastAsia" w:ascii="宋体" w:hAnsi="宋体" w:eastAsia="宋体" w:cs="宋体"/>
                <w:snapToGrid w:val="0"/>
                <w:color w:val="000000"/>
                <w:sz w:val="21"/>
                <w:szCs w:val="21"/>
                <w:highlight w:val="none"/>
                <w:lang w:val="en-US" w:eastAsia="zh-CN" w:bidi="ar-SA"/>
              </w:rPr>
              <w:t>服务期限</w:t>
            </w:r>
          </w:p>
        </w:tc>
        <w:tc>
          <w:tcPr>
            <w:tcW w:w="7414" w:type="dxa"/>
          </w:tcPr>
          <w:p>
            <w:pPr>
              <w:keepNext w:val="0"/>
              <w:keepLines w:val="0"/>
              <w:pageBreakBefore w:val="0"/>
              <w:wordWrap w:val="0"/>
              <w:overflowPunct/>
              <w:topLinePunct w:val="0"/>
              <w:autoSpaceDE w:val="0"/>
              <w:autoSpaceDN w:val="0"/>
              <w:bidi w:val="0"/>
              <w:snapToGrid/>
              <w:spacing w:line="360" w:lineRule="exact"/>
              <w:ind w:right="105" w:rightChars="50"/>
              <w:rPr>
                <w:rFonts w:hint="default" w:ascii="宋体" w:hAnsi="宋体" w:eastAsia="宋体" w:cs="宋体"/>
                <w:snapToGrid w:val="0"/>
                <w:color w:val="000000"/>
                <w:sz w:val="21"/>
                <w:szCs w:val="21"/>
                <w:highlight w:val="none"/>
                <w:lang w:val="en-US" w:eastAsia="zh-CN" w:bidi="ar-SA"/>
              </w:rPr>
            </w:pPr>
            <w:r>
              <w:rPr>
                <w:rFonts w:hint="default" w:ascii="宋体" w:hAnsi="宋体" w:eastAsia="宋体" w:cs="宋体"/>
                <w:snapToGrid w:val="0"/>
                <w:color w:val="000000"/>
                <w:sz w:val="21"/>
                <w:szCs w:val="21"/>
                <w:highlight w:val="none"/>
                <w:lang w:val="en-US" w:eastAsia="zh-CN" w:bidi="ar-SA"/>
              </w:rPr>
              <w:t>合同签订后</w:t>
            </w:r>
            <w:r>
              <w:rPr>
                <w:rFonts w:hint="eastAsia" w:ascii="宋体" w:hAnsi="宋体" w:eastAsia="宋体" w:cs="宋体"/>
                <w:snapToGrid w:val="0"/>
                <w:color w:val="000000"/>
                <w:sz w:val="21"/>
                <w:szCs w:val="21"/>
                <w:highlight w:val="none"/>
                <w:lang w:val="en-US" w:eastAsia="zh-CN" w:bidi="ar-SA"/>
              </w:rPr>
              <w:t>365</w:t>
            </w:r>
            <w:r>
              <w:rPr>
                <w:rFonts w:hint="default" w:ascii="宋体" w:hAnsi="宋体" w:eastAsia="宋体" w:cs="宋体"/>
                <w:snapToGrid w:val="0"/>
                <w:color w:val="000000"/>
                <w:sz w:val="21"/>
                <w:szCs w:val="21"/>
                <w:highlight w:val="none"/>
                <w:lang w:val="en-US" w:eastAsia="zh-CN" w:bidi="ar-SA"/>
              </w:rPr>
              <w:t>日历天</w:t>
            </w:r>
            <w:r>
              <w:rPr>
                <w:rFonts w:hint="eastAsia" w:ascii="宋体" w:hAnsi="宋体" w:eastAsia="宋体" w:cs="宋体"/>
                <w:snapToGrid w:val="0"/>
                <w:color w:val="000000"/>
                <w:sz w:val="21"/>
                <w:szCs w:val="21"/>
                <w:highlight w:val="none"/>
                <w:lang w:val="en-US" w:eastAsia="zh-CN" w:bidi="ar-SA"/>
              </w:rPr>
              <w:t>，依据考核办法经考核合格后签订下一年度合同，一年一签，共三年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823" w:type="dxa"/>
            <w:vAlign w:val="center"/>
          </w:tcPr>
          <w:p>
            <w:pPr>
              <w:spacing w:line="360" w:lineRule="exact"/>
              <w:jc w:val="center"/>
              <w:rPr>
                <w:rFonts w:ascii="宋体" w:hAnsi="宋体" w:eastAsia="宋体" w:cs="宋体"/>
                <w:highlight w:val="none"/>
              </w:rPr>
            </w:pPr>
            <w:r>
              <w:rPr>
                <w:rFonts w:hint="eastAsia" w:ascii="宋体" w:hAnsi="宋体" w:eastAsia="宋体" w:cs="宋体"/>
                <w:highlight w:val="none"/>
              </w:rPr>
              <w:t>8</w:t>
            </w:r>
          </w:p>
        </w:tc>
        <w:tc>
          <w:tcPr>
            <w:tcW w:w="2013" w:type="dxa"/>
            <w:vAlign w:val="center"/>
          </w:tcPr>
          <w:p>
            <w:pPr>
              <w:spacing w:line="360" w:lineRule="exact"/>
              <w:jc w:val="center"/>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质量要求</w:t>
            </w:r>
          </w:p>
        </w:tc>
        <w:tc>
          <w:tcPr>
            <w:tcW w:w="7414" w:type="dxa"/>
            <w:vAlign w:val="center"/>
          </w:tcPr>
          <w:p>
            <w:pPr>
              <w:spacing w:line="360" w:lineRule="exact"/>
              <w:jc w:val="both"/>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符合国家相关行业质量合格标准，符合采购人采购需求标准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823" w:type="dxa"/>
            <w:vAlign w:val="center"/>
          </w:tcPr>
          <w:p>
            <w:pPr>
              <w:spacing w:line="360" w:lineRule="exact"/>
              <w:jc w:val="center"/>
              <w:rPr>
                <w:rFonts w:ascii="宋体" w:hAnsi="宋体" w:eastAsia="宋体" w:cs="宋体"/>
                <w:highlight w:val="none"/>
              </w:rPr>
            </w:pPr>
            <w:r>
              <w:rPr>
                <w:rFonts w:hint="eastAsia" w:ascii="宋体" w:hAnsi="宋体" w:eastAsia="宋体" w:cs="宋体"/>
                <w:highlight w:val="none"/>
              </w:rPr>
              <w:t>9</w:t>
            </w:r>
          </w:p>
        </w:tc>
        <w:tc>
          <w:tcPr>
            <w:tcW w:w="2013" w:type="dxa"/>
            <w:vAlign w:val="center"/>
          </w:tcPr>
          <w:p>
            <w:pPr>
              <w:spacing w:line="360" w:lineRule="exact"/>
              <w:jc w:val="center"/>
              <w:rPr>
                <w:rFonts w:ascii="宋体" w:hAnsi="宋体" w:eastAsia="宋体" w:cs="宋体"/>
                <w:spacing w:val="-2"/>
                <w:highlight w:val="none"/>
              </w:rPr>
            </w:pPr>
            <w:r>
              <w:rPr>
                <w:rFonts w:hint="eastAsia" w:ascii="宋体" w:hAnsi="宋体" w:eastAsia="宋体" w:cs="宋体"/>
                <w:snapToGrid w:val="0"/>
                <w:color w:val="000000"/>
                <w:sz w:val="21"/>
                <w:szCs w:val="21"/>
                <w:highlight w:val="none"/>
                <w:lang w:val="en-US" w:eastAsia="zh-CN" w:bidi="ar-SA"/>
              </w:rPr>
              <w:t>资金来源</w:t>
            </w:r>
          </w:p>
        </w:tc>
        <w:tc>
          <w:tcPr>
            <w:tcW w:w="7414" w:type="dxa"/>
          </w:tcPr>
          <w:p>
            <w:pPr>
              <w:keepNext w:val="0"/>
              <w:keepLines w:val="0"/>
              <w:pageBreakBefore w:val="0"/>
              <w:wordWrap w:val="0"/>
              <w:overflowPunct/>
              <w:topLinePunct w:val="0"/>
              <w:autoSpaceDE w:val="0"/>
              <w:autoSpaceDN w:val="0"/>
              <w:bidi w:val="0"/>
              <w:snapToGrid/>
              <w:spacing w:line="360" w:lineRule="exact"/>
              <w:ind w:right="105" w:rightChars="50"/>
              <w:rPr>
                <w:rFonts w:hint="eastAsia" w:ascii="宋体" w:hAnsi="宋体" w:eastAsia="宋体" w:cs="宋体"/>
                <w:snapToGrid w:val="0"/>
                <w:color w:val="000000"/>
                <w:sz w:val="21"/>
                <w:szCs w:val="21"/>
                <w:highlight w:val="none"/>
                <w:lang w:val="en-US" w:eastAsia="zh-CN" w:bidi="ar-SA"/>
              </w:rPr>
            </w:pPr>
            <w:r>
              <w:rPr>
                <w:rFonts w:hint="eastAsia" w:ascii="宋体" w:hAnsi="宋体" w:eastAsia="宋体" w:cs="宋体"/>
                <w:snapToGrid w:val="0"/>
                <w:color w:val="000000"/>
                <w:sz w:val="21"/>
                <w:szCs w:val="21"/>
                <w:highlight w:val="none"/>
                <w:lang w:val="en-US" w:eastAsia="zh-CN" w:bidi="ar-SA"/>
              </w:rPr>
              <w:t>财政资金，已落实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823" w:type="dxa"/>
            <w:vAlign w:val="center"/>
          </w:tcPr>
          <w:p>
            <w:pPr>
              <w:spacing w:line="360" w:lineRule="exact"/>
              <w:jc w:val="center"/>
              <w:rPr>
                <w:rFonts w:ascii="宋体" w:hAnsi="宋体" w:eastAsia="宋体" w:cs="宋体"/>
                <w:highlight w:val="none"/>
              </w:rPr>
            </w:pPr>
            <w:r>
              <w:rPr>
                <w:rFonts w:hint="eastAsia" w:ascii="宋体" w:hAnsi="宋体" w:eastAsia="宋体" w:cs="宋体"/>
                <w:highlight w:val="none"/>
              </w:rPr>
              <w:t>10</w:t>
            </w:r>
          </w:p>
        </w:tc>
        <w:tc>
          <w:tcPr>
            <w:tcW w:w="2013" w:type="dxa"/>
            <w:vAlign w:val="center"/>
          </w:tcPr>
          <w:p>
            <w:pPr>
              <w:spacing w:line="360" w:lineRule="exact"/>
              <w:jc w:val="center"/>
              <w:rPr>
                <w:rFonts w:ascii="宋体" w:hAnsi="宋体" w:eastAsia="宋体" w:cs="宋体"/>
                <w:spacing w:val="-2"/>
                <w:highlight w:val="none"/>
              </w:rPr>
            </w:pPr>
            <w:r>
              <w:rPr>
                <w:rFonts w:hint="eastAsia" w:ascii="宋体" w:hAnsi="宋体" w:eastAsia="宋体" w:cs="宋体"/>
                <w:spacing w:val="-2"/>
                <w:highlight w:val="none"/>
              </w:rPr>
              <w:t>是否接受联合体标</w:t>
            </w:r>
          </w:p>
        </w:tc>
        <w:tc>
          <w:tcPr>
            <w:tcW w:w="7414" w:type="dxa"/>
            <w:vAlign w:val="center"/>
          </w:tcPr>
          <w:p>
            <w:pPr>
              <w:keepNext w:val="0"/>
              <w:keepLines w:val="0"/>
              <w:pageBreakBefore w:val="0"/>
              <w:wordWrap w:val="0"/>
              <w:overflowPunct/>
              <w:topLinePunct w:val="0"/>
              <w:autoSpaceDE w:val="0"/>
              <w:autoSpaceDN w:val="0"/>
              <w:bidi w:val="0"/>
              <w:snapToGrid/>
              <w:spacing w:line="360" w:lineRule="exact"/>
              <w:ind w:right="105" w:rightChars="50"/>
              <w:rPr>
                <w:rFonts w:hint="eastAsia" w:ascii="宋体" w:hAnsi="宋体" w:eastAsia="宋体" w:cs="宋体"/>
                <w:snapToGrid w:val="0"/>
                <w:color w:val="000000"/>
                <w:sz w:val="21"/>
                <w:szCs w:val="21"/>
                <w:highlight w:val="none"/>
                <w:lang w:val="en-US" w:eastAsia="zh-CN" w:bidi="ar-SA"/>
              </w:rPr>
            </w:pPr>
            <w:r>
              <w:rPr>
                <w:rFonts w:hint="eastAsia" w:ascii="宋体" w:hAnsi="宋体" w:eastAsia="宋体" w:cs="宋体"/>
                <w:snapToGrid w:val="0"/>
                <w:color w:val="000000"/>
                <w:sz w:val="21"/>
                <w:szCs w:val="21"/>
                <w:highlight w:val="none"/>
                <w:lang w:val="en-US" w:eastAsia="zh-CN" w:bidi="ar-SA"/>
              </w:rPr>
              <w:t>不接受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23" w:type="dxa"/>
            <w:vAlign w:val="center"/>
          </w:tcPr>
          <w:p>
            <w:pPr>
              <w:spacing w:line="360" w:lineRule="exact"/>
              <w:jc w:val="center"/>
              <w:rPr>
                <w:rFonts w:ascii="宋体" w:hAnsi="宋体" w:eastAsia="宋体" w:cs="宋体"/>
                <w:highlight w:val="none"/>
              </w:rPr>
            </w:pPr>
            <w:r>
              <w:rPr>
                <w:rFonts w:hint="eastAsia" w:ascii="宋体" w:hAnsi="宋体" w:eastAsia="宋体" w:cs="宋体"/>
                <w:highlight w:val="none"/>
              </w:rPr>
              <w:t>11</w:t>
            </w:r>
          </w:p>
        </w:tc>
        <w:tc>
          <w:tcPr>
            <w:tcW w:w="2013" w:type="dxa"/>
            <w:vAlign w:val="center"/>
          </w:tcPr>
          <w:p>
            <w:pPr>
              <w:spacing w:line="360" w:lineRule="exact"/>
              <w:jc w:val="center"/>
              <w:rPr>
                <w:rFonts w:ascii="宋体" w:hAnsi="宋体" w:eastAsia="宋体" w:cs="宋体"/>
                <w:spacing w:val="-2"/>
                <w:highlight w:val="none"/>
              </w:rPr>
            </w:pPr>
            <w:r>
              <w:rPr>
                <w:rFonts w:ascii="宋体" w:hAnsi="宋体" w:eastAsia="宋体" w:cs="宋体"/>
                <w:spacing w:val="-2"/>
                <w:highlight w:val="none"/>
              </w:rPr>
              <w:t>踏勘现场</w:t>
            </w:r>
          </w:p>
        </w:tc>
        <w:tc>
          <w:tcPr>
            <w:tcW w:w="7414" w:type="dxa"/>
          </w:tcPr>
          <w:p>
            <w:pPr>
              <w:keepNext w:val="0"/>
              <w:keepLines w:val="0"/>
              <w:pageBreakBefore w:val="0"/>
              <w:wordWrap w:val="0"/>
              <w:overflowPunct/>
              <w:topLinePunct w:val="0"/>
              <w:autoSpaceDE w:val="0"/>
              <w:autoSpaceDN w:val="0"/>
              <w:bidi w:val="0"/>
              <w:snapToGrid/>
              <w:spacing w:line="360" w:lineRule="exact"/>
              <w:ind w:right="105" w:rightChars="50"/>
              <w:rPr>
                <w:rFonts w:hint="eastAsia" w:ascii="宋体" w:hAnsi="宋体" w:eastAsia="宋体" w:cs="宋体"/>
                <w:snapToGrid w:val="0"/>
                <w:color w:val="000000"/>
                <w:sz w:val="21"/>
                <w:szCs w:val="21"/>
                <w:highlight w:val="none"/>
                <w:lang w:val="en-US" w:eastAsia="zh-CN" w:bidi="ar-SA"/>
              </w:rPr>
            </w:pPr>
            <w:r>
              <w:rPr>
                <w:rFonts w:hint="eastAsia" w:ascii="宋体" w:hAnsi="宋体" w:eastAsia="宋体" w:cs="宋体"/>
                <w:snapToGrid w:val="0"/>
                <w:color w:val="000000"/>
                <w:sz w:val="21"/>
                <w:szCs w:val="21"/>
                <w:highlight w:val="none"/>
                <w:lang w:val="en-US" w:eastAsia="zh-CN" w:bidi="ar-SA"/>
              </w:rPr>
              <w:t>不组织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3" w:type="dxa"/>
          </w:tcPr>
          <w:p>
            <w:pPr>
              <w:spacing w:line="360" w:lineRule="exact"/>
              <w:jc w:val="center"/>
              <w:rPr>
                <w:rFonts w:ascii="宋体" w:hAnsi="宋体" w:eastAsia="宋体" w:cs="宋体"/>
                <w:highlight w:val="none"/>
              </w:rPr>
            </w:pPr>
            <w:r>
              <w:rPr>
                <w:rFonts w:hint="eastAsia" w:ascii="宋体" w:hAnsi="宋体" w:eastAsia="宋体" w:cs="宋体"/>
                <w:spacing w:val="-7"/>
                <w:highlight w:val="none"/>
              </w:rPr>
              <w:t>12</w:t>
            </w:r>
          </w:p>
        </w:tc>
        <w:tc>
          <w:tcPr>
            <w:tcW w:w="2013" w:type="dxa"/>
            <w:vAlign w:val="center"/>
          </w:tcPr>
          <w:p>
            <w:pPr>
              <w:spacing w:line="360" w:lineRule="exact"/>
              <w:jc w:val="center"/>
              <w:rPr>
                <w:rFonts w:ascii="宋体" w:hAnsi="宋体" w:eastAsia="宋体" w:cs="宋体"/>
                <w:spacing w:val="-2"/>
                <w:highlight w:val="none"/>
              </w:rPr>
            </w:pPr>
            <w:r>
              <w:rPr>
                <w:rFonts w:ascii="宋体" w:hAnsi="宋体" w:eastAsia="宋体" w:cs="宋体"/>
                <w:spacing w:val="-2"/>
                <w:highlight w:val="none"/>
              </w:rPr>
              <w:t>投标预备会</w:t>
            </w:r>
          </w:p>
        </w:tc>
        <w:tc>
          <w:tcPr>
            <w:tcW w:w="7414" w:type="dxa"/>
          </w:tcPr>
          <w:p>
            <w:pPr>
              <w:pStyle w:val="42"/>
              <w:keepNext w:val="0"/>
              <w:keepLines w:val="0"/>
              <w:pageBreakBefore w:val="0"/>
              <w:widowControl w:val="0"/>
              <w:kinsoku/>
              <w:overflowPunct/>
              <w:topLinePunct w:val="0"/>
              <w:autoSpaceDE w:val="0"/>
              <w:autoSpaceDN w:val="0"/>
              <w:bidi w:val="0"/>
              <w:adjustRightInd/>
              <w:snapToGrid/>
              <w:spacing w:line="360" w:lineRule="exact"/>
              <w:textAlignment w:val="auto"/>
              <w:rPr>
                <w:rFonts w:ascii="宋体" w:hAnsi="宋体" w:eastAsia="宋体" w:cs="宋体"/>
                <w:snapToGrid w:val="0"/>
                <w:color w:val="000000"/>
                <w:sz w:val="21"/>
                <w:szCs w:val="21"/>
                <w:highlight w:val="none"/>
                <w:lang w:val="en-US" w:eastAsia="zh-CN" w:bidi="ar-SA"/>
              </w:rPr>
            </w:pPr>
            <w:r>
              <w:rPr>
                <w:rFonts w:ascii="宋体" w:hAnsi="宋体" w:eastAsia="宋体" w:cs="宋体"/>
                <w:snapToGrid w:val="0"/>
                <w:color w:val="000000"/>
                <w:sz w:val="21"/>
                <w:szCs w:val="21"/>
                <w:highlight w:val="none"/>
                <w:lang w:val="en-US" w:eastAsia="zh-CN" w:bidi="ar-SA"/>
              </w:rPr>
              <w:t>不召开</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3" w:type="dxa"/>
          </w:tcPr>
          <w:p>
            <w:pPr>
              <w:spacing w:line="360" w:lineRule="exact"/>
              <w:jc w:val="center"/>
              <w:rPr>
                <w:rFonts w:ascii="宋体" w:hAnsi="宋体" w:eastAsia="宋体" w:cs="宋体"/>
                <w:spacing w:val="-7"/>
                <w:highlight w:val="none"/>
              </w:rPr>
            </w:pPr>
            <w:r>
              <w:rPr>
                <w:rFonts w:hint="eastAsia" w:ascii="宋体" w:hAnsi="宋体" w:eastAsia="宋体" w:cs="宋体"/>
                <w:spacing w:val="-7"/>
                <w:highlight w:val="none"/>
              </w:rPr>
              <w:t>13</w:t>
            </w:r>
          </w:p>
        </w:tc>
        <w:tc>
          <w:tcPr>
            <w:tcW w:w="2013" w:type="dxa"/>
            <w:vAlign w:val="center"/>
          </w:tcPr>
          <w:p>
            <w:pPr>
              <w:spacing w:line="360" w:lineRule="exact"/>
              <w:jc w:val="center"/>
              <w:rPr>
                <w:rFonts w:ascii="宋体" w:hAnsi="宋体" w:eastAsia="宋体" w:cs="宋体"/>
                <w:spacing w:val="-2"/>
                <w:highlight w:val="none"/>
              </w:rPr>
            </w:pPr>
            <w:r>
              <w:rPr>
                <w:rFonts w:hint="eastAsia" w:ascii="宋体" w:hAnsi="宋体" w:eastAsia="宋体" w:cs="宋体"/>
                <w:spacing w:val="-2"/>
                <w:highlight w:val="none"/>
              </w:rPr>
              <w:t>分包</w:t>
            </w:r>
          </w:p>
        </w:tc>
        <w:tc>
          <w:tcPr>
            <w:tcW w:w="7414" w:type="dxa"/>
            <w:vAlign w:val="center"/>
          </w:tcPr>
          <w:p>
            <w:pPr>
              <w:keepNext w:val="0"/>
              <w:keepLines w:val="0"/>
              <w:pageBreakBefore w:val="0"/>
              <w:overflowPunct/>
              <w:topLinePunct w:val="0"/>
              <w:autoSpaceDE w:val="0"/>
              <w:autoSpaceDN w:val="0"/>
              <w:bidi w:val="0"/>
              <w:snapToGrid/>
              <w:spacing w:line="360" w:lineRule="exact"/>
              <w:rPr>
                <w:rFonts w:ascii="宋体" w:hAnsi="宋体" w:eastAsia="宋体" w:cs="宋体"/>
                <w:snapToGrid w:val="0"/>
                <w:color w:val="000000"/>
                <w:sz w:val="21"/>
                <w:szCs w:val="21"/>
                <w:highlight w:val="none"/>
                <w:lang w:val="en-US" w:eastAsia="zh-CN" w:bidi="ar-SA"/>
              </w:rPr>
            </w:pPr>
            <w:r>
              <w:rPr>
                <w:rFonts w:hint="eastAsia" w:ascii="宋体" w:hAnsi="宋体" w:eastAsia="宋体" w:cs="宋体"/>
                <w:snapToGrid w:val="0"/>
                <w:color w:val="000000"/>
                <w:sz w:val="21"/>
                <w:szCs w:val="21"/>
                <w:highlight w:val="none"/>
                <w:lang w:val="en-US" w:eastAsia="zh-CN" w:bidi="ar-SA"/>
              </w:rPr>
              <w:t>中标人必须承担总包责任，必须独立完成项目，不得以任何形式转包，否则采购人有权终止合同并追究中标人的责任。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823" w:type="dxa"/>
            <w:vAlign w:val="center"/>
          </w:tcPr>
          <w:p>
            <w:pPr>
              <w:spacing w:line="360" w:lineRule="exact"/>
              <w:jc w:val="center"/>
              <w:rPr>
                <w:rFonts w:ascii="宋体" w:hAnsi="宋体" w:eastAsia="宋体" w:cs="宋体"/>
                <w:spacing w:val="-7"/>
                <w:highlight w:val="none"/>
              </w:rPr>
            </w:pPr>
            <w:r>
              <w:rPr>
                <w:rFonts w:hint="eastAsia" w:ascii="宋体" w:hAnsi="宋体" w:eastAsia="宋体" w:cs="宋体"/>
                <w:spacing w:val="-7"/>
                <w:highlight w:val="none"/>
              </w:rPr>
              <w:t>14</w:t>
            </w:r>
          </w:p>
        </w:tc>
        <w:tc>
          <w:tcPr>
            <w:tcW w:w="2013" w:type="dxa"/>
            <w:vAlign w:val="center"/>
          </w:tcPr>
          <w:p>
            <w:pPr>
              <w:spacing w:line="360" w:lineRule="exact"/>
              <w:jc w:val="center"/>
              <w:rPr>
                <w:rFonts w:ascii="宋体" w:hAnsi="宋体" w:eastAsia="宋体" w:cs="宋体"/>
                <w:spacing w:val="-2"/>
                <w:highlight w:val="none"/>
              </w:rPr>
            </w:pPr>
            <w:r>
              <w:rPr>
                <w:rFonts w:hint="eastAsia" w:ascii="宋体" w:hAnsi="宋体" w:eastAsia="宋体" w:cs="宋体"/>
                <w:spacing w:val="-2"/>
                <w:highlight w:val="none"/>
              </w:rPr>
              <w:t>投标承诺函</w:t>
            </w:r>
          </w:p>
        </w:tc>
        <w:tc>
          <w:tcPr>
            <w:tcW w:w="7414" w:type="dxa"/>
            <w:vAlign w:val="center"/>
          </w:tcPr>
          <w:p>
            <w:pPr>
              <w:keepNext w:val="0"/>
              <w:keepLines w:val="0"/>
              <w:pageBreakBefore w:val="0"/>
              <w:wordWrap w:val="0"/>
              <w:overflowPunct/>
              <w:topLinePunct w:val="0"/>
              <w:autoSpaceDE w:val="0"/>
              <w:autoSpaceDN w:val="0"/>
              <w:bidi w:val="0"/>
              <w:snapToGrid/>
              <w:spacing w:line="360" w:lineRule="exact"/>
              <w:ind w:right="105" w:rightChars="50"/>
              <w:rPr>
                <w:rFonts w:ascii="宋体" w:hAnsi="宋体" w:eastAsia="宋体" w:cs="宋体"/>
                <w:snapToGrid w:val="0"/>
                <w:color w:val="000000"/>
                <w:sz w:val="21"/>
                <w:szCs w:val="21"/>
                <w:highlight w:val="none"/>
                <w:lang w:val="en-US" w:eastAsia="zh-CN" w:bidi="ar-SA"/>
              </w:rPr>
            </w:pPr>
            <w:r>
              <w:rPr>
                <w:rFonts w:hint="eastAsia" w:ascii="宋体" w:hAnsi="宋体" w:eastAsia="宋体" w:cs="宋体"/>
                <w:snapToGrid w:val="0"/>
                <w:color w:val="000000"/>
                <w:sz w:val="21"/>
                <w:szCs w:val="21"/>
                <w:highlight w:val="none"/>
                <w:lang w:val="en-US" w:eastAsia="zh-CN" w:bidi="ar-SA"/>
              </w:rPr>
              <w:t>本项目不收取投标保证金，供应商自行提供投标承诺函，供应商应对本次项目进行承诺，主要内容包括投标时不会提供虚假材料、中标后应及时与采购人签订合同、在投标有效期内不会随意撤回、撤销投标，中标通知书发出后在规定时间内与采购人签订政府采购合同等，以及如果违背此承诺，应由供应商自行承担相关后果，给采购人造成损失的，由供应商赔偿采购人相关的损失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823" w:type="dxa"/>
          </w:tcPr>
          <w:p>
            <w:pPr>
              <w:spacing w:line="360" w:lineRule="exact"/>
              <w:jc w:val="center"/>
              <w:rPr>
                <w:rFonts w:ascii="宋体" w:hAnsi="宋体" w:eastAsia="宋体" w:cs="宋体"/>
                <w:highlight w:val="none"/>
              </w:rPr>
            </w:pPr>
            <w:r>
              <w:rPr>
                <w:rFonts w:hint="eastAsia" w:ascii="宋体" w:hAnsi="宋体" w:eastAsia="宋体" w:cs="宋体"/>
                <w:spacing w:val="-7"/>
                <w:highlight w:val="none"/>
              </w:rPr>
              <w:t>15</w:t>
            </w:r>
          </w:p>
        </w:tc>
        <w:tc>
          <w:tcPr>
            <w:tcW w:w="2013" w:type="dxa"/>
            <w:vAlign w:val="center"/>
          </w:tcPr>
          <w:p>
            <w:pPr>
              <w:spacing w:line="360" w:lineRule="exact"/>
              <w:jc w:val="center"/>
              <w:rPr>
                <w:rFonts w:ascii="宋体" w:hAnsi="宋体" w:eastAsia="宋体" w:cs="宋体"/>
                <w:spacing w:val="-2"/>
                <w:highlight w:val="none"/>
              </w:rPr>
            </w:pPr>
            <w:r>
              <w:rPr>
                <w:rFonts w:hint="eastAsia" w:ascii="宋体" w:hAnsi="宋体" w:eastAsia="宋体" w:cs="宋体"/>
                <w:spacing w:val="-2"/>
                <w:highlight w:val="none"/>
              </w:rPr>
              <w:t>是否允许递交备选投标方案</w:t>
            </w:r>
          </w:p>
        </w:tc>
        <w:tc>
          <w:tcPr>
            <w:tcW w:w="7414" w:type="dxa"/>
            <w:vAlign w:val="center"/>
          </w:tcPr>
          <w:p>
            <w:pPr>
              <w:keepNext w:val="0"/>
              <w:keepLines w:val="0"/>
              <w:pageBreakBefore w:val="0"/>
              <w:wordWrap w:val="0"/>
              <w:overflowPunct/>
              <w:topLinePunct w:val="0"/>
              <w:autoSpaceDE w:val="0"/>
              <w:autoSpaceDN w:val="0"/>
              <w:bidi w:val="0"/>
              <w:snapToGrid/>
              <w:spacing w:line="360" w:lineRule="exact"/>
              <w:rPr>
                <w:rFonts w:ascii="宋体" w:hAnsi="宋体" w:eastAsia="宋体" w:cs="宋体"/>
                <w:snapToGrid w:val="0"/>
                <w:color w:val="000000"/>
                <w:sz w:val="21"/>
                <w:szCs w:val="21"/>
                <w:highlight w:val="none"/>
                <w:lang w:val="en-US" w:eastAsia="zh-CN" w:bidi="ar-SA"/>
              </w:rPr>
            </w:pPr>
            <w:r>
              <w:rPr>
                <w:rFonts w:hint="eastAsia" w:ascii="宋体" w:hAnsi="宋体" w:eastAsia="宋体" w:cs="宋体"/>
                <w:snapToGrid w:val="0"/>
                <w:color w:val="000000"/>
                <w:sz w:val="21"/>
                <w:szCs w:val="21"/>
                <w:highlight w:val="none"/>
                <w:lang w:val="en-US" w:eastAsia="zh-CN" w:bidi="ar-SA"/>
              </w:rPr>
              <w:t>不允许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823" w:type="dxa"/>
            <w:vAlign w:val="center"/>
          </w:tcPr>
          <w:p>
            <w:pPr>
              <w:spacing w:line="360" w:lineRule="exact"/>
              <w:jc w:val="center"/>
              <w:rPr>
                <w:rFonts w:ascii="宋体" w:hAnsi="宋体" w:eastAsia="宋体" w:cs="宋体"/>
                <w:highlight w:val="none"/>
              </w:rPr>
            </w:pPr>
            <w:r>
              <w:rPr>
                <w:rFonts w:hint="eastAsia" w:ascii="宋体" w:hAnsi="宋体" w:eastAsia="宋体" w:cs="宋体"/>
                <w:spacing w:val="-7"/>
                <w:highlight w:val="none"/>
              </w:rPr>
              <w:t>16</w:t>
            </w:r>
          </w:p>
        </w:tc>
        <w:tc>
          <w:tcPr>
            <w:tcW w:w="2013" w:type="dxa"/>
            <w:vAlign w:val="center"/>
          </w:tcPr>
          <w:p>
            <w:pPr>
              <w:spacing w:line="360" w:lineRule="exact"/>
              <w:jc w:val="center"/>
              <w:rPr>
                <w:rFonts w:ascii="宋体" w:hAnsi="宋体" w:eastAsia="宋体" w:cs="宋体"/>
                <w:spacing w:val="-2"/>
                <w:highlight w:val="none"/>
              </w:rPr>
            </w:pPr>
            <w:r>
              <w:rPr>
                <w:rFonts w:ascii="宋体" w:hAnsi="宋体" w:eastAsia="宋体" w:cs="宋体"/>
                <w:spacing w:val="-2"/>
                <w:highlight w:val="none"/>
              </w:rPr>
              <w:t>构成招标文件的其他材料</w:t>
            </w:r>
          </w:p>
        </w:tc>
        <w:tc>
          <w:tcPr>
            <w:tcW w:w="7414" w:type="dxa"/>
          </w:tcPr>
          <w:p>
            <w:pPr>
              <w:pStyle w:val="42"/>
              <w:widowControl w:val="0"/>
              <w:kinsoku/>
              <w:adjustRightInd/>
              <w:snapToGrid/>
              <w:spacing w:line="360" w:lineRule="exact"/>
              <w:textAlignment w:val="auto"/>
              <w:rPr>
                <w:highlight w:val="none"/>
              </w:rPr>
            </w:pPr>
            <w:r>
              <w:rPr>
                <w:highlight w:val="none"/>
              </w:rPr>
              <w:t>除招标文件内容外，招标人在招标期间发出的有编号的补遗书和其它有效正式函件，均是招标文件的组成部分，请各投标单位及时关注以下网站《河南省政府采购网》、《中国政府采购网》、《中国招标投标公共服务平台》和《唐河县公共资源交易中心》上发布的有关本项目的信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9" w:hRule="atLeast"/>
        </w:trPr>
        <w:tc>
          <w:tcPr>
            <w:tcW w:w="823" w:type="dxa"/>
            <w:vAlign w:val="center"/>
          </w:tcPr>
          <w:p>
            <w:pPr>
              <w:spacing w:line="360" w:lineRule="exact"/>
              <w:jc w:val="center"/>
              <w:rPr>
                <w:rFonts w:ascii="宋体" w:hAnsi="宋体" w:eastAsia="宋体" w:cs="宋体"/>
                <w:highlight w:val="none"/>
              </w:rPr>
            </w:pPr>
            <w:r>
              <w:rPr>
                <w:rFonts w:hint="eastAsia" w:ascii="宋体" w:hAnsi="宋体" w:eastAsia="宋体" w:cs="宋体"/>
                <w:spacing w:val="-7"/>
                <w:highlight w:val="none"/>
              </w:rPr>
              <w:t>17</w:t>
            </w:r>
          </w:p>
        </w:tc>
        <w:tc>
          <w:tcPr>
            <w:tcW w:w="2013" w:type="dxa"/>
            <w:vAlign w:val="center"/>
          </w:tcPr>
          <w:p>
            <w:pPr>
              <w:spacing w:line="360" w:lineRule="exact"/>
              <w:jc w:val="center"/>
              <w:rPr>
                <w:rFonts w:ascii="宋体" w:hAnsi="宋体" w:eastAsia="宋体" w:cs="宋体"/>
                <w:spacing w:val="-2"/>
                <w:highlight w:val="none"/>
              </w:rPr>
            </w:pPr>
            <w:r>
              <w:rPr>
                <w:rFonts w:ascii="宋体" w:hAnsi="宋体" w:eastAsia="宋体" w:cs="宋体"/>
                <w:spacing w:val="-2"/>
                <w:highlight w:val="none"/>
              </w:rPr>
              <w:t>招标控制价</w:t>
            </w:r>
          </w:p>
        </w:tc>
        <w:tc>
          <w:tcPr>
            <w:tcW w:w="7414" w:type="dxa"/>
          </w:tcPr>
          <w:p>
            <w:pPr>
              <w:pStyle w:val="42"/>
              <w:widowControl w:val="0"/>
              <w:kinsoku/>
              <w:adjustRightInd/>
              <w:snapToGrid/>
              <w:spacing w:line="360" w:lineRule="exact"/>
              <w:textAlignment w:val="auto"/>
              <w:rPr>
                <w:b/>
                <w:bCs/>
                <w:highlight w:val="none"/>
              </w:rPr>
            </w:pPr>
            <w:r>
              <w:rPr>
                <w:rFonts w:hint="eastAsia"/>
                <w:b/>
                <w:bCs/>
                <w:highlight w:val="none"/>
              </w:rPr>
              <w:t>招标控制价：</w:t>
            </w:r>
          </w:p>
          <w:p>
            <w:pPr>
              <w:pStyle w:val="42"/>
              <w:widowControl w:val="0"/>
              <w:kinsoku/>
              <w:adjustRightInd/>
              <w:snapToGrid/>
              <w:spacing w:line="360" w:lineRule="exact"/>
              <w:textAlignment w:val="auto"/>
              <w:rPr>
                <w:rFonts w:hint="eastAsia" w:ascii="宋体" w:hAnsi="宋体" w:eastAsia="宋体" w:cs="宋体"/>
                <w:b/>
                <w:bCs/>
                <w:highlight w:val="none"/>
              </w:rPr>
            </w:pPr>
            <w:r>
              <w:rPr>
                <w:rFonts w:hint="eastAsia"/>
                <w:b/>
                <w:bCs/>
                <w:highlight w:val="none"/>
              </w:rPr>
              <w:t>小</w:t>
            </w:r>
            <w:r>
              <w:rPr>
                <w:rFonts w:hint="eastAsia" w:ascii="宋体" w:hAnsi="宋体" w:eastAsia="宋体" w:cs="宋体"/>
                <w:b/>
                <w:bCs/>
                <w:highlight w:val="none"/>
              </w:rPr>
              <w:t>写：</w:t>
            </w:r>
            <w:r>
              <w:rPr>
                <w:rFonts w:hint="eastAsia" w:ascii="宋体" w:hAnsi="宋体" w:eastAsia="宋体" w:cs="宋体"/>
                <w:b/>
                <w:bCs/>
                <w:highlight w:val="none"/>
                <w:lang w:val="en-US" w:eastAsia="zh-CN"/>
              </w:rPr>
              <w:t>14179857.69元</w:t>
            </w:r>
          </w:p>
          <w:p>
            <w:pPr>
              <w:pStyle w:val="42"/>
              <w:widowControl w:val="0"/>
              <w:kinsoku/>
              <w:adjustRightInd/>
              <w:snapToGrid/>
              <w:spacing w:line="360" w:lineRule="exact"/>
              <w:textAlignment w:val="auto"/>
              <w:rPr>
                <w:rFonts w:hint="default" w:ascii="宋体" w:hAnsi="宋体" w:eastAsia="宋体" w:cs="宋体"/>
                <w:b/>
                <w:bCs/>
                <w:highlight w:val="none"/>
                <w:lang w:val="en-US" w:eastAsia="zh-CN"/>
              </w:rPr>
            </w:pPr>
            <w:r>
              <w:rPr>
                <w:rFonts w:hint="eastAsia" w:ascii="宋体" w:hAnsi="宋体" w:eastAsia="宋体" w:cs="宋体"/>
                <w:b/>
                <w:bCs/>
                <w:highlight w:val="none"/>
              </w:rPr>
              <w:t>大写</w:t>
            </w:r>
            <w:r>
              <w:rPr>
                <w:rFonts w:hint="eastAsia" w:ascii="宋体" w:hAnsi="宋体" w:eastAsia="宋体" w:cs="宋体"/>
                <w:b/>
                <w:bCs/>
                <w:highlight w:val="none"/>
                <w:lang w:val="en-US" w:eastAsia="zh-CN"/>
              </w:rPr>
              <w:t>：</w:t>
            </w:r>
            <w:r>
              <w:rPr>
                <w:rFonts w:hint="eastAsia" w:ascii="宋体" w:hAnsi="宋体" w:eastAsia="宋体" w:cs="宋体"/>
                <w:b/>
                <w:bCs/>
                <w:highlight w:val="none"/>
                <w:lang w:val="en-US" w:eastAsia="zh-CN"/>
              </w:rPr>
              <w:fldChar w:fldCharType="begin"/>
            </w:r>
            <w:r>
              <w:rPr>
                <w:rFonts w:hint="eastAsia" w:ascii="宋体" w:hAnsi="宋体" w:eastAsia="宋体" w:cs="宋体"/>
                <w:b/>
                <w:bCs/>
                <w:highlight w:val="none"/>
                <w:lang w:val="en-US" w:eastAsia="zh-CN"/>
              </w:rPr>
              <w:instrText xml:space="preserve"> = 14179857 \* CHINESENUM2 \* MERGEFORMAT </w:instrText>
            </w:r>
            <w:r>
              <w:rPr>
                <w:rFonts w:hint="eastAsia" w:ascii="宋体" w:hAnsi="宋体" w:eastAsia="宋体" w:cs="宋体"/>
                <w:b/>
                <w:bCs/>
                <w:highlight w:val="none"/>
                <w:lang w:val="en-US" w:eastAsia="zh-CN"/>
              </w:rPr>
              <w:fldChar w:fldCharType="separate"/>
            </w:r>
            <w:r>
              <w:rPr>
                <w:rFonts w:hint="eastAsia" w:ascii="宋体" w:hAnsi="宋体" w:eastAsia="宋体" w:cs="宋体"/>
                <w:b/>
                <w:bCs/>
                <w:highlight w:val="none"/>
                <w:lang w:val="en-US" w:eastAsia="zh-CN"/>
              </w:rPr>
              <w:t>壹仟肆佰壹拾柒万玖仟捌佰伍拾柒</w:t>
            </w:r>
            <w:r>
              <w:rPr>
                <w:rFonts w:hint="eastAsia" w:ascii="宋体" w:hAnsi="宋体" w:eastAsia="宋体" w:cs="宋体"/>
                <w:b/>
                <w:bCs/>
                <w:highlight w:val="none"/>
                <w:lang w:val="en-US" w:eastAsia="zh-CN"/>
              </w:rPr>
              <w:fldChar w:fldCharType="end"/>
            </w:r>
            <w:r>
              <w:rPr>
                <w:rFonts w:hint="eastAsia" w:ascii="宋体" w:hAnsi="宋体" w:eastAsia="宋体" w:cs="宋体"/>
                <w:b/>
                <w:bCs/>
                <w:highlight w:val="none"/>
                <w:lang w:val="en-US" w:eastAsia="zh-CN"/>
              </w:rPr>
              <w:t>元陆角玖分</w:t>
            </w:r>
          </w:p>
          <w:p>
            <w:pPr>
              <w:pStyle w:val="42"/>
              <w:widowControl w:val="0"/>
              <w:kinsoku/>
              <w:adjustRightInd/>
              <w:snapToGrid/>
              <w:spacing w:line="360" w:lineRule="exact"/>
              <w:textAlignment w:val="auto"/>
              <w:rPr>
                <w:highlight w:val="none"/>
              </w:rPr>
            </w:pPr>
            <w:r>
              <w:rPr>
                <w:b/>
                <w:bCs/>
                <w:highlight w:val="none"/>
              </w:rPr>
              <w:t>注：供应商的</w:t>
            </w:r>
            <w:r>
              <w:rPr>
                <w:rFonts w:hint="eastAsia"/>
                <w:b/>
                <w:bCs/>
                <w:highlight w:val="none"/>
              </w:rPr>
              <w:t>投标</w:t>
            </w:r>
            <w:r>
              <w:rPr>
                <w:b/>
                <w:bCs/>
                <w:highlight w:val="none"/>
              </w:rPr>
              <w:t>报价不得超过</w:t>
            </w:r>
            <w:r>
              <w:rPr>
                <w:rFonts w:hint="eastAsia"/>
                <w:b/>
                <w:bCs/>
                <w:highlight w:val="none"/>
              </w:rPr>
              <w:t>招标</w:t>
            </w:r>
            <w:r>
              <w:rPr>
                <w:b/>
                <w:bCs/>
                <w:highlight w:val="none"/>
              </w:rPr>
              <w:t>控制价，否则按废标处理。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823" w:type="dxa"/>
            <w:vAlign w:val="center"/>
          </w:tcPr>
          <w:p>
            <w:pPr>
              <w:spacing w:line="360" w:lineRule="exact"/>
              <w:jc w:val="center"/>
              <w:rPr>
                <w:rFonts w:ascii="宋体" w:hAnsi="宋体" w:eastAsia="宋体" w:cs="宋体"/>
                <w:highlight w:val="none"/>
              </w:rPr>
            </w:pPr>
            <w:r>
              <w:rPr>
                <w:rFonts w:hint="eastAsia" w:ascii="宋体" w:hAnsi="宋体" w:eastAsia="宋体" w:cs="宋体"/>
                <w:spacing w:val="-7"/>
                <w:highlight w:val="none"/>
              </w:rPr>
              <w:t>18</w:t>
            </w:r>
          </w:p>
        </w:tc>
        <w:tc>
          <w:tcPr>
            <w:tcW w:w="2013" w:type="dxa"/>
            <w:vAlign w:val="center"/>
          </w:tcPr>
          <w:p>
            <w:pPr>
              <w:spacing w:line="360" w:lineRule="exact"/>
              <w:jc w:val="center"/>
              <w:rPr>
                <w:rFonts w:ascii="宋体" w:hAnsi="宋体" w:eastAsia="宋体" w:cs="宋体"/>
                <w:spacing w:val="-2"/>
                <w:highlight w:val="none"/>
              </w:rPr>
            </w:pPr>
            <w:r>
              <w:rPr>
                <w:rFonts w:ascii="宋体" w:hAnsi="宋体" w:eastAsia="宋体" w:cs="宋体"/>
                <w:spacing w:val="-2"/>
                <w:highlight w:val="none"/>
              </w:rPr>
              <w:t>招标文件的发售方式及领取时间、地点</w:t>
            </w:r>
          </w:p>
        </w:tc>
        <w:tc>
          <w:tcPr>
            <w:tcW w:w="7414" w:type="dxa"/>
          </w:tcPr>
          <w:p>
            <w:pPr>
              <w:pStyle w:val="42"/>
              <w:widowControl w:val="0"/>
              <w:kinsoku/>
              <w:adjustRightInd/>
              <w:snapToGrid/>
              <w:spacing w:line="360" w:lineRule="exact"/>
              <w:textAlignment w:val="auto"/>
              <w:rPr>
                <w:highlight w:val="none"/>
              </w:rPr>
            </w:pPr>
            <w:r>
              <w:rPr>
                <w:highlight w:val="none"/>
              </w:rPr>
              <w:t>详见招标公告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 w:hRule="atLeast"/>
        </w:trPr>
        <w:tc>
          <w:tcPr>
            <w:tcW w:w="823" w:type="dxa"/>
            <w:vAlign w:val="center"/>
          </w:tcPr>
          <w:p>
            <w:pPr>
              <w:spacing w:line="360" w:lineRule="exact"/>
              <w:jc w:val="center"/>
              <w:rPr>
                <w:rFonts w:ascii="宋体" w:hAnsi="宋体" w:eastAsia="宋体" w:cs="宋体"/>
                <w:spacing w:val="-7"/>
                <w:highlight w:val="none"/>
              </w:rPr>
            </w:pPr>
            <w:r>
              <w:rPr>
                <w:rFonts w:hint="eastAsia" w:ascii="宋体" w:hAnsi="宋体" w:eastAsia="宋体" w:cs="宋体"/>
                <w:spacing w:val="-7"/>
                <w:highlight w:val="none"/>
              </w:rPr>
              <w:t>19</w:t>
            </w:r>
          </w:p>
        </w:tc>
        <w:tc>
          <w:tcPr>
            <w:tcW w:w="2013" w:type="dxa"/>
            <w:vAlign w:val="center"/>
          </w:tcPr>
          <w:p>
            <w:pPr>
              <w:spacing w:line="360" w:lineRule="exact"/>
              <w:jc w:val="center"/>
              <w:rPr>
                <w:rFonts w:ascii="宋体" w:hAnsi="宋体" w:eastAsia="宋体" w:cs="宋体"/>
                <w:spacing w:val="-7"/>
                <w:highlight w:val="none"/>
              </w:rPr>
            </w:pPr>
            <w:r>
              <w:rPr>
                <w:rFonts w:ascii="宋体" w:hAnsi="宋体" w:eastAsia="宋体" w:cs="宋体"/>
                <w:spacing w:val="-7"/>
                <w:highlight w:val="none"/>
              </w:rPr>
              <w:t>电子标投标文件递交</w:t>
            </w:r>
          </w:p>
          <w:p>
            <w:pPr>
              <w:spacing w:line="360" w:lineRule="exact"/>
              <w:jc w:val="center"/>
              <w:rPr>
                <w:rFonts w:ascii="宋体" w:hAnsi="宋体" w:eastAsia="宋体" w:cs="宋体"/>
                <w:spacing w:val="-7"/>
                <w:highlight w:val="none"/>
              </w:rPr>
            </w:pPr>
            <w:r>
              <w:rPr>
                <w:rFonts w:ascii="宋体" w:hAnsi="宋体" w:eastAsia="宋体" w:cs="宋体"/>
                <w:spacing w:val="-7"/>
                <w:highlight w:val="none"/>
              </w:rPr>
              <w:t>截止时间(同开标时间)</w:t>
            </w:r>
          </w:p>
        </w:tc>
        <w:tc>
          <w:tcPr>
            <w:tcW w:w="7414" w:type="dxa"/>
          </w:tcPr>
          <w:p>
            <w:pPr>
              <w:pStyle w:val="42"/>
              <w:widowControl w:val="0"/>
              <w:kinsoku/>
              <w:adjustRightInd/>
              <w:snapToGrid/>
              <w:spacing w:line="360" w:lineRule="exact"/>
              <w:textAlignment w:val="auto"/>
              <w:rPr>
                <w:highlight w:val="none"/>
              </w:rPr>
            </w:pPr>
            <w:r>
              <w:rPr>
                <w:highlight w:val="none"/>
              </w:rPr>
              <w:t>详见招标公告。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3" w:type="dxa"/>
            <w:vAlign w:val="center"/>
          </w:tcPr>
          <w:p>
            <w:pPr>
              <w:spacing w:line="360" w:lineRule="exact"/>
              <w:jc w:val="center"/>
              <w:rPr>
                <w:rFonts w:ascii="宋体" w:hAnsi="宋体" w:eastAsia="宋体" w:cs="宋体"/>
                <w:spacing w:val="-7"/>
                <w:highlight w:val="none"/>
              </w:rPr>
            </w:pPr>
            <w:r>
              <w:rPr>
                <w:rFonts w:hint="eastAsia" w:ascii="宋体" w:hAnsi="宋体" w:eastAsia="宋体" w:cs="宋体"/>
                <w:spacing w:val="-7"/>
                <w:highlight w:val="none"/>
              </w:rPr>
              <w:t>20</w:t>
            </w:r>
          </w:p>
        </w:tc>
        <w:tc>
          <w:tcPr>
            <w:tcW w:w="2013" w:type="dxa"/>
            <w:vAlign w:val="center"/>
          </w:tcPr>
          <w:p>
            <w:pPr>
              <w:spacing w:line="360" w:lineRule="exact"/>
              <w:jc w:val="center"/>
              <w:rPr>
                <w:rFonts w:ascii="宋体" w:hAnsi="宋体" w:eastAsia="宋体" w:cs="宋体"/>
                <w:spacing w:val="-7"/>
                <w:highlight w:val="none"/>
              </w:rPr>
            </w:pPr>
            <w:r>
              <w:rPr>
                <w:rFonts w:ascii="宋体" w:hAnsi="宋体" w:eastAsia="宋体" w:cs="宋体"/>
                <w:spacing w:val="-7"/>
                <w:highlight w:val="none"/>
              </w:rPr>
              <w:t>开标时间和地点</w:t>
            </w:r>
          </w:p>
        </w:tc>
        <w:tc>
          <w:tcPr>
            <w:tcW w:w="7414" w:type="dxa"/>
          </w:tcPr>
          <w:p>
            <w:pPr>
              <w:pStyle w:val="42"/>
              <w:widowControl w:val="0"/>
              <w:kinsoku/>
              <w:adjustRightInd/>
              <w:snapToGrid/>
              <w:spacing w:line="360" w:lineRule="exact"/>
              <w:textAlignment w:val="auto"/>
              <w:rPr>
                <w:highlight w:val="none"/>
              </w:rPr>
            </w:pPr>
            <w:r>
              <w:rPr>
                <w:highlight w:val="none"/>
              </w:rPr>
              <w:t>详见招标公告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823" w:type="dxa"/>
            <w:vAlign w:val="center"/>
          </w:tcPr>
          <w:p>
            <w:pPr>
              <w:spacing w:line="360" w:lineRule="exact"/>
              <w:jc w:val="center"/>
              <w:rPr>
                <w:rFonts w:ascii="宋体" w:hAnsi="宋体" w:eastAsia="宋体" w:cs="宋体"/>
                <w:spacing w:val="-7"/>
                <w:highlight w:val="none"/>
              </w:rPr>
            </w:pPr>
            <w:r>
              <w:rPr>
                <w:rFonts w:hint="eastAsia" w:ascii="宋体" w:hAnsi="宋体" w:eastAsia="宋体" w:cs="宋体"/>
                <w:spacing w:val="-7"/>
                <w:highlight w:val="none"/>
              </w:rPr>
              <w:t>21</w:t>
            </w:r>
          </w:p>
        </w:tc>
        <w:tc>
          <w:tcPr>
            <w:tcW w:w="2013" w:type="dxa"/>
            <w:vAlign w:val="center"/>
          </w:tcPr>
          <w:p>
            <w:pPr>
              <w:spacing w:line="360" w:lineRule="exact"/>
              <w:jc w:val="center"/>
              <w:rPr>
                <w:rFonts w:ascii="宋体" w:hAnsi="宋体" w:eastAsia="宋体" w:cs="宋体"/>
                <w:spacing w:val="-7"/>
                <w:highlight w:val="none"/>
              </w:rPr>
            </w:pPr>
            <w:r>
              <w:rPr>
                <w:rFonts w:ascii="宋体" w:hAnsi="宋体" w:eastAsia="宋体" w:cs="宋体"/>
                <w:spacing w:val="-7"/>
                <w:highlight w:val="none"/>
              </w:rPr>
              <w:t>投标保证金</w:t>
            </w:r>
          </w:p>
        </w:tc>
        <w:tc>
          <w:tcPr>
            <w:tcW w:w="7414" w:type="dxa"/>
          </w:tcPr>
          <w:p>
            <w:pPr>
              <w:pStyle w:val="42"/>
              <w:widowControl w:val="0"/>
              <w:kinsoku/>
              <w:adjustRightInd/>
              <w:snapToGrid/>
              <w:spacing w:line="360" w:lineRule="exact"/>
              <w:textAlignment w:val="auto"/>
              <w:rPr>
                <w:spacing w:val="-7"/>
                <w:highlight w:val="none"/>
              </w:rPr>
            </w:pPr>
            <w:r>
              <w:rPr>
                <w:spacing w:val="-7"/>
                <w:highlight w:val="none"/>
              </w:rPr>
              <w:t>本项目不收取投标保证金。</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823" w:type="dxa"/>
            <w:vAlign w:val="center"/>
          </w:tcPr>
          <w:p>
            <w:pPr>
              <w:spacing w:line="360" w:lineRule="exact"/>
              <w:jc w:val="center"/>
              <w:rPr>
                <w:rFonts w:hint="default"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22</w:t>
            </w:r>
          </w:p>
        </w:tc>
        <w:tc>
          <w:tcPr>
            <w:tcW w:w="2013" w:type="dxa"/>
            <w:vAlign w:val="center"/>
          </w:tcPr>
          <w:p>
            <w:pPr>
              <w:spacing w:line="360" w:lineRule="exact"/>
              <w:jc w:val="center"/>
              <w:rPr>
                <w:rFonts w:ascii="宋体" w:hAnsi="宋体" w:eastAsia="宋体" w:cs="宋体"/>
                <w:spacing w:val="-7"/>
                <w:highlight w:val="none"/>
              </w:rPr>
            </w:pPr>
            <w:r>
              <w:rPr>
                <w:rFonts w:ascii="宋体" w:hAnsi="宋体" w:eastAsia="宋体" w:cs="宋体"/>
                <w:spacing w:val="-7"/>
                <w:highlight w:val="none"/>
              </w:rPr>
              <w:t>投标有效期</w:t>
            </w:r>
          </w:p>
        </w:tc>
        <w:tc>
          <w:tcPr>
            <w:tcW w:w="7414" w:type="dxa"/>
          </w:tcPr>
          <w:p>
            <w:pPr>
              <w:pStyle w:val="42"/>
              <w:widowControl w:val="0"/>
              <w:kinsoku/>
              <w:adjustRightInd/>
              <w:snapToGrid/>
              <w:spacing w:line="360" w:lineRule="exact"/>
              <w:textAlignment w:val="auto"/>
              <w:rPr>
                <w:highlight w:val="none"/>
              </w:rPr>
            </w:pPr>
            <w:r>
              <w:rPr>
                <w:highlight w:val="none"/>
              </w:rPr>
              <w:t>自投标截止之日起 60 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823" w:type="dxa"/>
            <w:vAlign w:val="center"/>
          </w:tcPr>
          <w:p>
            <w:pPr>
              <w:spacing w:line="360" w:lineRule="exact"/>
              <w:jc w:val="center"/>
              <w:rPr>
                <w:rFonts w:hint="default"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23</w:t>
            </w:r>
          </w:p>
        </w:tc>
        <w:tc>
          <w:tcPr>
            <w:tcW w:w="2013" w:type="dxa"/>
            <w:vAlign w:val="center"/>
          </w:tcPr>
          <w:p>
            <w:pPr>
              <w:spacing w:line="360" w:lineRule="exact"/>
              <w:jc w:val="center"/>
              <w:rPr>
                <w:rFonts w:ascii="宋体" w:hAnsi="宋体" w:eastAsia="宋体" w:cs="宋体"/>
                <w:spacing w:val="-7"/>
                <w:highlight w:val="none"/>
              </w:rPr>
            </w:pPr>
            <w:r>
              <w:rPr>
                <w:rFonts w:ascii="宋体" w:hAnsi="宋体" w:eastAsia="宋体" w:cs="宋体"/>
                <w:spacing w:val="-7"/>
                <w:highlight w:val="none"/>
              </w:rPr>
              <w:t>是否允许递交备选投标文件</w:t>
            </w:r>
          </w:p>
        </w:tc>
        <w:tc>
          <w:tcPr>
            <w:tcW w:w="7414" w:type="dxa"/>
          </w:tcPr>
          <w:p>
            <w:pPr>
              <w:pStyle w:val="42"/>
              <w:widowControl w:val="0"/>
              <w:kinsoku/>
              <w:adjustRightInd/>
              <w:snapToGrid/>
              <w:spacing w:line="360" w:lineRule="exact"/>
              <w:textAlignment w:val="auto"/>
              <w:rPr>
                <w:highlight w:val="none"/>
              </w:rPr>
            </w:pPr>
            <w:r>
              <w:rPr>
                <w:highlight w:val="none"/>
              </w:rPr>
              <w:t>不允许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23" w:type="dxa"/>
            <w:vAlign w:val="center"/>
          </w:tcPr>
          <w:p>
            <w:pPr>
              <w:spacing w:line="360" w:lineRule="exact"/>
              <w:jc w:val="center"/>
              <w:rPr>
                <w:rFonts w:hint="default"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24</w:t>
            </w:r>
          </w:p>
        </w:tc>
        <w:tc>
          <w:tcPr>
            <w:tcW w:w="2013" w:type="dxa"/>
            <w:vAlign w:val="center"/>
          </w:tcPr>
          <w:p>
            <w:pPr>
              <w:spacing w:line="360" w:lineRule="exact"/>
              <w:jc w:val="center"/>
              <w:rPr>
                <w:rFonts w:ascii="宋体" w:hAnsi="宋体" w:eastAsia="宋体" w:cs="宋体"/>
                <w:spacing w:val="-7"/>
                <w:highlight w:val="none"/>
              </w:rPr>
            </w:pPr>
            <w:r>
              <w:rPr>
                <w:rFonts w:ascii="宋体" w:hAnsi="宋体" w:eastAsia="宋体" w:cs="宋体"/>
                <w:spacing w:val="-7"/>
                <w:highlight w:val="none"/>
              </w:rPr>
              <w:t>签字和盖章要求</w:t>
            </w:r>
          </w:p>
        </w:tc>
        <w:tc>
          <w:tcPr>
            <w:tcW w:w="7414" w:type="dxa"/>
          </w:tcPr>
          <w:p>
            <w:pPr>
              <w:pStyle w:val="42"/>
              <w:widowControl w:val="0"/>
              <w:kinsoku/>
              <w:adjustRightInd/>
              <w:snapToGrid/>
              <w:spacing w:line="360" w:lineRule="exact"/>
              <w:textAlignment w:val="auto"/>
              <w:rPr>
                <w:highlight w:val="none"/>
              </w:rPr>
            </w:pPr>
            <w:r>
              <w:rPr>
                <w:highlight w:val="none"/>
              </w:rPr>
              <w:t>投标人需按招标文件的格式，在规定的地方进行法定代表人电子签名、加盖投标人电子公章。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8" w:hRule="atLeast"/>
        </w:trPr>
        <w:tc>
          <w:tcPr>
            <w:tcW w:w="823" w:type="dxa"/>
            <w:vAlign w:val="center"/>
          </w:tcPr>
          <w:p>
            <w:pPr>
              <w:spacing w:before="68" w:line="183" w:lineRule="auto"/>
              <w:jc w:val="center"/>
              <w:rPr>
                <w:rFonts w:hint="default" w:ascii="宋体" w:hAnsi="宋体" w:eastAsia="宋体" w:cs="宋体"/>
                <w:highlight w:val="none"/>
                <w:lang w:val="en-US" w:eastAsia="zh-CN"/>
              </w:rPr>
            </w:pPr>
            <w:r>
              <w:rPr>
                <w:rFonts w:hint="eastAsia" w:ascii="宋体" w:hAnsi="宋体" w:eastAsia="宋体" w:cs="宋体"/>
                <w:spacing w:val="-3"/>
                <w:highlight w:val="none"/>
                <w:lang w:val="en-US" w:eastAsia="zh-CN"/>
              </w:rPr>
              <w:t>25</w:t>
            </w:r>
          </w:p>
        </w:tc>
        <w:tc>
          <w:tcPr>
            <w:tcW w:w="2013" w:type="dxa"/>
            <w:vAlign w:val="center"/>
          </w:tcPr>
          <w:p>
            <w:pPr>
              <w:spacing w:before="69" w:line="221" w:lineRule="auto"/>
              <w:jc w:val="center"/>
              <w:rPr>
                <w:rFonts w:ascii="宋体" w:hAnsi="宋体" w:eastAsia="宋体" w:cs="宋体"/>
                <w:highlight w:val="none"/>
              </w:rPr>
            </w:pPr>
            <w:r>
              <w:rPr>
                <w:rFonts w:ascii="宋体" w:hAnsi="宋体" w:eastAsia="宋体" w:cs="宋体"/>
                <w:color w:val="0C0C0C"/>
                <w:spacing w:val="-4"/>
                <w:highlight w:val="none"/>
              </w:rPr>
              <w:t>电子投标文件递</w:t>
            </w:r>
            <w:r>
              <w:rPr>
                <w:rFonts w:ascii="宋体" w:hAnsi="宋体" w:eastAsia="宋体" w:cs="宋体"/>
                <w:color w:val="0C0C0C"/>
                <w:spacing w:val="-3"/>
                <w:highlight w:val="none"/>
              </w:rPr>
              <w:t>交</w:t>
            </w:r>
          </w:p>
        </w:tc>
        <w:tc>
          <w:tcPr>
            <w:tcW w:w="7414" w:type="dxa"/>
          </w:tcPr>
          <w:p>
            <w:pPr>
              <w:pStyle w:val="42"/>
              <w:widowControl w:val="0"/>
              <w:kinsoku/>
              <w:adjustRightInd/>
              <w:snapToGrid/>
              <w:spacing w:line="360" w:lineRule="exact"/>
              <w:textAlignment w:val="auto"/>
              <w:rPr>
                <w:highlight w:val="none"/>
              </w:rPr>
            </w:pPr>
            <w:r>
              <w:rPr>
                <w:highlight w:val="none"/>
              </w:rPr>
              <w:t>1、投标人应在唐河县公共资源交易系统下载“电子投标文件制作工具”，并按照招标文件要求编制和上传递交加密的电子投标文件</w:t>
            </w:r>
            <w:r>
              <w:rPr>
                <w:rFonts w:hint="eastAsia"/>
                <w:highlight w:val="none"/>
              </w:rPr>
              <w:t>(.nytf格式)</w:t>
            </w:r>
            <w:r>
              <w:rPr>
                <w:highlight w:val="none"/>
              </w:rPr>
              <w:t>。投标人上传时必须得到系统“上传成功”的确认回复，并认真检查电子投标文件是否完整、正确。递交网址：http://www.thggzy.cn/</w:t>
            </w:r>
          </w:p>
          <w:p>
            <w:pPr>
              <w:pStyle w:val="42"/>
              <w:widowControl w:val="0"/>
              <w:kinsoku/>
              <w:adjustRightInd/>
              <w:snapToGrid/>
              <w:spacing w:line="360" w:lineRule="exact"/>
              <w:textAlignment w:val="auto"/>
              <w:rPr>
                <w:highlight w:val="none"/>
              </w:rPr>
            </w:pPr>
            <w:r>
              <w:rPr>
                <w:highlight w:val="none"/>
              </w:rPr>
              <w:t>2、投标人的电子投标文件应在招标文件规定的投标截止时间前到达交易系统。逾期到达交易系统的电子投标文件视为放弃本次投标。</w:t>
            </w:r>
          </w:p>
          <w:p>
            <w:pPr>
              <w:pStyle w:val="42"/>
              <w:widowControl w:val="0"/>
              <w:kinsoku/>
              <w:adjustRightInd/>
              <w:snapToGrid/>
              <w:spacing w:line="360" w:lineRule="exact"/>
              <w:textAlignment w:val="auto"/>
              <w:rPr>
                <w:highlight w:val="none"/>
              </w:rPr>
            </w:pPr>
            <w:r>
              <w:rPr>
                <w:highlight w:val="none"/>
              </w:rPr>
              <w:t>3、投标人所递交的电子投标文件在投标截止时间之后不予退回。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2" w:hRule="atLeast"/>
        </w:trPr>
        <w:tc>
          <w:tcPr>
            <w:tcW w:w="823" w:type="dxa"/>
            <w:vAlign w:val="center"/>
          </w:tcPr>
          <w:p>
            <w:pPr>
              <w:spacing w:before="69" w:line="185" w:lineRule="auto"/>
              <w:jc w:val="center"/>
              <w:rPr>
                <w:rFonts w:hint="default" w:ascii="宋体" w:hAnsi="宋体" w:eastAsia="宋体" w:cs="宋体"/>
                <w:highlight w:val="none"/>
                <w:lang w:val="en-US" w:eastAsia="zh-CN"/>
              </w:rPr>
            </w:pPr>
            <w:r>
              <w:rPr>
                <w:rFonts w:hint="eastAsia" w:ascii="宋体" w:hAnsi="宋体" w:eastAsia="宋体" w:cs="宋体"/>
                <w:spacing w:val="-3"/>
                <w:highlight w:val="none"/>
                <w:lang w:val="en-US" w:eastAsia="zh-CN"/>
              </w:rPr>
              <w:t>26</w:t>
            </w:r>
          </w:p>
        </w:tc>
        <w:tc>
          <w:tcPr>
            <w:tcW w:w="2013" w:type="dxa"/>
            <w:vAlign w:val="center"/>
          </w:tcPr>
          <w:p>
            <w:pPr>
              <w:spacing w:before="69" w:line="288" w:lineRule="auto"/>
              <w:ind w:right="186"/>
              <w:jc w:val="center"/>
              <w:rPr>
                <w:rFonts w:ascii="宋体" w:hAnsi="宋体" w:eastAsia="宋体" w:cs="宋体"/>
                <w:highlight w:val="none"/>
              </w:rPr>
            </w:pPr>
            <w:r>
              <w:rPr>
                <w:rFonts w:ascii="宋体" w:hAnsi="宋体" w:eastAsia="宋体" w:cs="宋体"/>
                <w:highlight w:val="none"/>
              </w:rPr>
              <w:t>投标文件的份数</w:t>
            </w:r>
            <w:r>
              <w:rPr>
                <w:rFonts w:hint="eastAsia" w:ascii="宋体" w:hAnsi="宋体"/>
                <w:color w:val="0C0C0C"/>
                <w:highlight w:val="none"/>
              </w:rPr>
              <w:t>和签署</w:t>
            </w:r>
          </w:p>
        </w:tc>
        <w:tc>
          <w:tcPr>
            <w:tcW w:w="7414" w:type="dxa"/>
          </w:tcPr>
          <w:p>
            <w:pPr>
              <w:pStyle w:val="42"/>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jc w:val="left"/>
              <w:textAlignment w:val="auto"/>
              <w:rPr>
                <w:rFonts w:hint="eastAsia"/>
                <w:b w:val="0"/>
                <w:bCs w:val="0"/>
                <w:spacing w:val="0"/>
                <w:sz w:val="21"/>
                <w:highlight w:val="none"/>
                <w:lang w:val="en-US" w:eastAsia="zh-CN"/>
              </w:rPr>
            </w:pPr>
            <w:r>
              <w:rPr>
                <w:rFonts w:hint="eastAsia"/>
                <w:b w:val="0"/>
                <w:bCs w:val="0"/>
                <w:spacing w:val="0"/>
                <w:sz w:val="21"/>
                <w:highlight w:val="none"/>
                <w:lang w:val="en-US" w:eastAsia="zh-CN"/>
              </w:rPr>
              <w:t>1、本项目实行电子招投标，供应商需编制电子响应文件，并按电子响应文件递交要求上传电子响应文件；</w:t>
            </w:r>
          </w:p>
          <w:p>
            <w:pPr>
              <w:pStyle w:val="42"/>
              <w:widowControl w:val="0"/>
              <w:kinsoku/>
              <w:adjustRightInd/>
              <w:snapToGrid/>
              <w:spacing w:line="360" w:lineRule="exact"/>
              <w:textAlignment w:val="auto"/>
              <w:rPr>
                <w:highlight w:val="none"/>
              </w:rPr>
            </w:pPr>
            <w:r>
              <w:rPr>
                <w:rFonts w:hint="eastAsia"/>
                <w:b w:val="0"/>
                <w:bCs w:val="0"/>
                <w:spacing w:val="0"/>
                <w:sz w:val="21"/>
                <w:highlight w:val="none"/>
                <w:lang w:val="en-US" w:eastAsia="zh-CN"/>
              </w:rPr>
              <w:t>2、本项目采用网上不见面方式开标，投标供应商无需到达开标现场参与投标。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823" w:type="dxa"/>
            <w:vAlign w:val="center"/>
          </w:tcPr>
          <w:p>
            <w:pPr>
              <w:spacing w:before="69" w:line="185" w:lineRule="auto"/>
              <w:jc w:val="center"/>
              <w:rPr>
                <w:rFonts w:hint="default" w:ascii="宋体" w:hAnsi="宋体" w:eastAsia="宋体" w:cs="宋体"/>
                <w:spacing w:val="-3"/>
                <w:highlight w:val="none"/>
                <w:lang w:val="en-US" w:eastAsia="zh-CN"/>
              </w:rPr>
            </w:pPr>
            <w:r>
              <w:rPr>
                <w:rFonts w:hint="eastAsia" w:ascii="宋体" w:hAnsi="宋体" w:eastAsia="宋体" w:cs="宋体"/>
                <w:spacing w:val="-3"/>
                <w:highlight w:val="none"/>
                <w:lang w:val="en-US" w:eastAsia="zh-CN"/>
              </w:rPr>
              <w:t>27</w:t>
            </w:r>
          </w:p>
        </w:tc>
        <w:tc>
          <w:tcPr>
            <w:tcW w:w="2013" w:type="dxa"/>
            <w:vAlign w:val="center"/>
          </w:tcPr>
          <w:p>
            <w:pPr>
              <w:tabs>
                <w:tab w:val="left" w:pos="744"/>
              </w:tabs>
              <w:jc w:val="center"/>
              <w:rPr>
                <w:rFonts w:ascii="宋体" w:hAnsi="宋体" w:cs="宋体"/>
                <w:highlight w:val="none"/>
              </w:rPr>
            </w:pPr>
            <w:r>
              <w:rPr>
                <w:rFonts w:ascii="宋体" w:hAnsi="宋体"/>
                <w:color w:val="0C0C0C"/>
                <w:highlight w:val="none"/>
              </w:rPr>
              <w:t>备份</w:t>
            </w:r>
            <w:r>
              <w:rPr>
                <w:rFonts w:hint="eastAsia" w:ascii="宋体" w:hAnsi="宋体"/>
                <w:color w:val="0C0C0C"/>
                <w:highlight w:val="none"/>
              </w:rPr>
              <w:t>电子光盘（U盘）要求及</w:t>
            </w:r>
            <w:r>
              <w:rPr>
                <w:rFonts w:hint="eastAsia" w:ascii="宋体" w:hAnsi="宋体" w:cs="宋体"/>
                <w:highlight w:val="none"/>
              </w:rPr>
              <w:t>封套上写明</w:t>
            </w:r>
          </w:p>
        </w:tc>
        <w:tc>
          <w:tcPr>
            <w:tcW w:w="7414" w:type="dxa"/>
            <w:vAlign w:val="center"/>
          </w:tcPr>
          <w:p>
            <w:pPr>
              <w:pStyle w:val="42"/>
              <w:widowControl w:val="0"/>
              <w:kinsoku/>
              <w:adjustRightInd/>
              <w:snapToGrid/>
              <w:spacing w:line="360" w:lineRule="exact"/>
              <w:textAlignment w:val="auto"/>
              <w:rPr>
                <w:highlight w:val="none"/>
              </w:rPr>
            </w:pPr>
            <w:r>
              <w:rPr>
                <w:rFonts w:hint="eastAsia"/>
                <w:highlight w:val="none"/>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823" w:type="dxa"/>
            <w:vAlign w:val="center"/>
          </w:tcPr>
          <w:p>
            <w:pPr>
              <w:spacing w:before="69" w:line="185" w:lineRule="auto"/>
              <w:jc w:val="center"/>
              <w:rPr>
                <w:rFonts w:hint="default" w:ascii="宋体" w:hAnsi="宋体" w:eastAsia="宋体" w:cs="宋体"/>
                <w:spacing w:val="-3"/>
                <w:highlight w:val="none"/>
                <w:lang w:val="en-US" w:eastAsia="zh-CN"/>
              </w:rPr>
            </w:pPr>
            <w:r>
              <w:rPr>
                <w:rFonts w:hint="eastAsia" w:ascii="宋体" w:hAnsi="宋体" w:eastAsia="宋体" w:cs="宋体"/>
                <w:spacing w:val="-3"/>
                <w:highlight w:val="none"/>
                <w:lang w:val="en-US" w:eastAsia="zh-CN"/>
              </w:rPr>
              <w:t>28</w:t>
            </w:r>
          </w:p>
        </w:tc>
        <w:tc>
          <w:tcPr>
            <w:tcW w:w="2013" w:type="dxa"/>
            <w:vAlign w:val="center"/>
          </w:tcPr>
          <w:p>
            <w:pPr>
              <w:spacing w:before="69" w:line="288" w:lineRule="auto"/>
              <w:ind w:right="186"/>
              <w:jc w:val="center"/>
              <w:rPr>
                <w:rFonts w:ascii="宋体" w:hAnsi="宋体" w:eastAsia="宋体" w:cs="宋体"/>
                <w:highlight w:val="none"/>
              </w:rPr>
            </w:pPr>
            <w:r>
              <w:rPr>
                <w:rFonts w:ascii="宋体" w:hAnsi="宋体" w:eastAsia="宋体" w:cs="宋体"/>
                <w:highlight w:val="none"/>
              </w:rPr>
              <w:t>评标委员会的组建</w:t>
            </w:r>
          </w:p>
        </w:tc>
        <w:tc>
          <w:tcPr>
            <w:tcW w:w="7414" w:type="dxa"/>
          </w:tcPr>
          <w:p>
            <w:pPr>
              <w:pStyle w:val="42"/>
              <w:widowControl w:val="0"/>
              <w:kinsoku/>
              <w:adjustRightInd/>
              <w:snapToGrid/>
              <w:spacing w:line="360" w:lineRule="exact"/>
              <w:textAlignment w:val="auto"/>
              <w:rPr>
                <w:rFonts w:ascii="宋体" w:hAnsi="宋体" w:eastAsia="宋体" w:cs="宋体"/>
                <w:highlight w:val="none"/>
              </w:rPr>
            </w:pPr>
            <w:r>
              <w:rPr>
                <w:rFonts w:hint="eastAsia" w:ascii="宋体" w:hAnsi="宋体" w:eastAsia="宋体" w:cs="宋体"/>
                <w:highlight w:val="none"/>
              </w:rPr>
              <w:t>评标委员会人数构成：</w:t>
            </w:r>
            <w:r>
              <w:rPr>
                <w:rFonts w:hint="eastAsia" w:cs="宋体"/>
                <w:highlight w:val="none"/>
                <w:lang w:val="en-US" w:eastAsia="zh-CN"/>
              </w:rPr>
              <w:t>7</w:t>
            </w:r>
            <w:r>
              <w:rPr>
                <w:rFonts w:hint="eastAsia" w:ascii="宋体" w:hAnsi="宋体" w:eastAsia="宋体" w:cs="宋体"/>
                <w:highlight w:val="none"/>
              </w:rPr>
              <w:t>人；其中采购人代表</w:t>
            </w:r>
            <w:r>
              <w:rPr>
                <w:rFonts w:hint="eastAsia" w:cs="宋体"/>
                <w:highlight w:val="none"/>
                <w:lang w:val="en-US" w:eastAsia="zh-CN"/>
              </w:rPr>
              <w:t>2</w:t>
            </w:r>
            <w:r>
              <w:rPr>
                <w:rFonts w:hint="eastAsia" w:ascii="宋体" w:hAnsi="宋体" w:eastAsia="宋体" w:cs="宋体"/>
                <w:highlight w:val="none"/>
              </w:rPr>
              <w:t>人、评审专家</w:t>
            </w:r>
            <w:r>
              <w:rPr>
                <w:rFonts w:hint="eastAsia" w:cs="宋体"/>
                <w:highlight w:val="none"/>
                <w:lang w:val="en-US" w:eastAsia="zh-CN"/>
              </w:rPr>
              <w:t>5</w:t>
            </w:r>
            <w:r>
              <w:rPr>
                <w:rFonts w:hint="eastAsia" w:ascii="宋体" w:hAnsi="宋体" w:eastAsia="宋体" w:cs="宋体"/>
                <w:highlight w:val="none"/>
              </w:rPr>
              <w:t>人；</w:t>
            </w:r>
          </w:p>
          <w:p>
            <w:pPr>
              <w:pStyle w:val="42"/>
              <w:widowControl w:val="0"/>
              <w:kinsoku/>
              <w:adjustRightInd/>
              <w:snapToGrid/>
              <w:spacing w:line="360" w:lineRule="exact"/>
              <w:textAlignment w:val="auto"/>
              <w:rPr>
                <w:rFonts w:ascii="宋体" w:hAnsi="宋体" w:eastAsia="宋体" w:cs="宋体"/>
                <w:highlight w:val="none"/>
              </w:rPr>
            </w:pPr>
            <w:r>
              <w:rPr>
                <w:rFonts w:ascii="宋体" w:hAnsi="宋体" w:eastAsia="宋体" w:cs="宋体"/>
                <w:highlight w:val="none"/>
              </w:rPr>
              <w:t>评标专家确定方式：开标前由招标人在监督单位监督下，按相关规定从政府采购专家库中随机抽取。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823" w:type="dxa"/>
            <w:vAlign w:val="center"/>
          </w:tcPr>
          <w:p>
            <w:pPr>
              <w:jc w:val="center"/>
              <w:rPr>
                <w:rFonts w:hint="default" w:ascii="宋体" w:hAnsi="宋体" w:eastAsia="宋体" w:cs="Arial"/>
                <w:highlight w:val="none"/>
                <w:lang w:val="en-US" w:eastAsia="zh-CN"/>
              </w:rPr>
            </w:pPr>
            <w:r>
              <w:rPr>
                <w:rFonts w:hint="eastAsia" w:ascii="宋体" w:hAnsi="宋体" w:eastAsia="宋体" w:cs="Arial"/>
                <w:highlight w:val="none"/>
                <w:lang w:val="en-US" w:eastAsia="zh-CN"/>
              </w:rPr>
              <w:t>29</w:t>
            </w:r>
          </w:p>
        </w:tc>
        <w:tc>
          <w:tcPr>
            <w:tcW w:w="2013" w:type="dxa"/>
            <w:vAlign w:val="center"/>
          </w:tcPr>
          <w:p>
            <w:pPr>
              <w:spacing w:before="69" w:line="288" w:lineRule="auto"/>
              <w:ind w:right="186"/>
              <w:jc w:val="center"/>
              <w:rPr>
                <w:rFonts w:hint="eastAsia" w:ascii="宋体" w:hAnsi="宋体" w:eastAsia="宋体" w:cs="宋体"/>
                <w:highlight w:val="none"/>
              </w:rPr>
            </w:pPr>
            <w:r>
              <w:rPr>
                <w:rFonts w:hint="eastAsia" w:ascii="宋体" w:hAnsi="宋体" w:eastAsia="宋体" w:cs="宋体"/>
                <w:highlight w:val="none"/>
              </w:rPr>
              <w:t>是否授权评标委员会确定中标人</w:t>
            </w:r>
          </w:p>
        </w:tc>
        <w:tc>
          <w:tcPr>
            <w:tcW w:w="7414" w:type="dxa"/>
            <w:vAlign w:val="center"/>
          </w:tcPr>
          <w:p>
            <w:pPr>
              <w:pStyle w:val="42"/>
              <w:widowControl w:val="0"/>
              <w:kinsoku/>
              <w:adjustRightInd/>
              <w:snapToGrid/>
              <w:spacing w:line="360" w:lineRule="exact"/>
              <w:textAlignment w:val="auto"/>
              <w:rPr>
                <w:rFonts w:hint="eastAsia"/>
                <w:highlight w:val="none"/>
              </w:rPr>
            </w:pPr>
            <w:r>
              <w:rPr>
                <w:rFonts w:hint="eastAsia"/>
                <w:highlight w:val="none"/>
              </w:rPr>
              <w:t>否；评标委员会推荐的中标候选人数：3人；</w:t>
            </w:r>
          </w:p>
          <w:p>
            <w:pPr>
              <w:pStyle w:val="42"/>
              <w:widowControl w:val="0"/>
              <w:kinsoku/>
              <w:adjustRightInd/>
              <w:snapToGrid/>
              <w:spacing w:line="360" w:lineRule="exact"/>
              <w:textAlignment w:val="auto"/>
              <w:rPr>
                <w:rFonts w:hint="eastAsia"/>
                <w:highlight w:val="none"/>
              </w:rPr>
            </w:pPr>
            <w:r>
              <w:rPr>
                <w:rFonts w:hint="eastAsia"/>
                <w:highlight w:val="none"/>
              </w:rPr>
              <w:t>采购人应当确定排名第一的中标候选人为中标人。排名第一的中标候选人放弃中标、因不可抗力提出不能履行合同等，有如上情况之一的，采购人可以依次确定排名第二、第三的中标候选人为中标人。若排名第三的中标候选人出现上述情况之一的，则该标段按废标处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823" w:type="dxa"/>
            <w:vAlign w:val="center"/>
          </w:tcPr>
          <w:p>
            <w:pPr>
              <w:jc w:val="center"/>
              <w:rPr>
                <w:rFonts w:hint="default" w:ascii="宋体" w:hAnsi="宋体" w:eastAsia="宋体" w:cs="Arial"/>
                <w:highlight w:val="none"/>
                <w:lang w:val="en-US" w:eastAsia="zh-CN"/>
              </w:rPr>
            </w:pPr>
            <w:r>
              <w:rPr>
                <w:rFonts w:hint="eastAsia" w:ascii="宋体" w:hAnsi="宋体" w:eastAsia="宋体" w:cs="Arial"/>
                <w:highlight w:val="none"/>
                <w:lang w:val="en-US" w:eastAsia="zh-CN"/>
              </w:rPr>
              <w:t>30</w:t>
            </w:r>
          </w:p>
        </w:tc>
        <w:tc>
          <w:tcPr>
            <w:tcW w:w="2013" w:type="dxa"/>
            <w:vAlign w:val="center"/>
          </w:tcPr>
          <w:p>
            <w:pPr>
              <w:spacing w:before="69" w:line="288" w:lineRule="auto"/>
              <w:ind w:right="186"/>
              <w:jc w:val="center"/>
              <w:rPr>
                <w:rFonts w:hint="eastAsia" w:ascii="宋体" w:hAnsi="宋体" w:eastAsia="宋体" w:cs="宋体"/>
                <w:color w:val="0C0C0C"/>
                <w:spacing w:val="-1"/>
                <w:highlight w:val="none"/>
              </w:rPr>
            </w:pPr>
            <w:r>
              <w:rPr>
                <w:rFonts w:hint="eastAsia" w:ascii="宋体" w:hAnsi="宋体" w:eastAsia="宋体" w:cs="宋体"/>
                <w:color w:val="0C0C0C"/>
                <w:spacing w:val="-1"/>
                <w:highlight w:val="none"/>
              </w:rPr>
              <w:t>评标方法</w:t>
            </w:r>
          </w:p>
        </w:tc>
        <w:tc>
          <w:tcPr>
            <w:tcW w:w="7414" w:type="dxa"/>
          </w:tcPr>
          <w:p>
            <w:pPr>
              <w:pStyle w:val="42"/>
              <w:widowControl w:val="0"/>
              <w:kinsoku/>
              <w:adjustRightInd/>
              <w:snapToGrid/>
              <w:spacing w:line="360" w:lineRule="exact"/>
              <w:textAlignment w:val="auto"/>
              <w:rPr>
                <w:rFonts w:hint="eastAsia"/>
                <w:highlight w:val="none"/>
              </w:rPr>
            </w:pPr>
            <w:r>
              <w:rPr>
                <w:rFonts w:hint="eastAsia"/>
                <w:highlight w:val="none"/>
              </w:rPr>
              <w:t>详见招标文件的评标办法。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823" w:type="dxa"/>
            <w:vAlign w:val="center"/>
          </w:tcPr>
          <w:p>
            <w:pPr>
              <w:jc w:val="center"/>
              <w:rPr>
                <w:rFonts w:hint="default" w:ascii="宋体" w:hAnsi="宋体" w:eastAsia="宋体" w:cs="Arial"/>
                <w:highlight w:val="none"/>
                <w:lang w:val="en-US" w:eastAsia="zh-CN"/>
              </w:rPr>
            </w:pPr>
            <w:r>
              <w:rPr>
                <w:rFonts w:hint="eastAsia" w:ascii="宋体" w:hAnsi="宋体" w:eastAsia="宋体" w:cs="Arial"/>
                <w:highlight w:val="none"/>
                <w:lang w:val="en-US" w:eastAsia="zh-CN"/>
              </w:rPr>
              <w:t>31</w:t>
            </w:r>
          </w:p>
        </w:tc>
        <w:tc>
          <w:tcPr>
            <w:tcW w:w="2013" w:type="dxa"/>
            <w:vAlign w:val="center"/>
          </w:tcPr>
          <w:p>
            <w:pPr>
              <w:spacing w:before="69" w:line="288" w:lineRule="auto"/>
              <w:ind w:right="186"/>
              <w:jc w:val="center"/>
              <w:rPr>
                <w:rFonts w:hint="eastAsia" w:ascii="宋体" w:hAnsi="宋体" w:eastAsia="宋体" w:cs="宋体"/>
                <w:color w:val="0C0C0C"/>
                <w:spacing w:val="-1"/>
                <w:highlight w:val="none"/>
              </w:rPr>
            </w:pPr>
            <w:r>
              <w:rPr>
                <w:rFonts w:hint="eastAsia" w:ascii="宋体" w:hAnsi="宋体" w:eastAsia="宋体" w:cs="宋体"/>
                <w:color w:val="0C0C0C"/>
                <w:spacing w:val="-1"/>
                <w:highlight w:val="none"/>
              </w:rPr>
              <w:t>中标公示</w:t>
            </w:r>
          </w:p>
        </w:tc>
        <w:tc>
          <w:tcPr>
            <w:tcW w:w="7414" w:type="dxa"/>
          </w:tcPr>
          <w:p>
            <w:pPr>
              <w:pStyle w:val="42"/>
              <w:widowControl w:val="0"/>
              <w:kinsoku/>
              <w:adjustRightInd/>
              <w:snapToGrid/>
              <w:spacing w:line="360" w:lineRule="exact"/>
              <w:textAlignment w:val="auto"/>
              <w:rPr>
                <w:rFonts w:hint="eastAsia"/>
                <w:highlight w:val="none"/>
              </w:rPr>
            </w:pPr>
            <w:r>
              <w:rPr>
                <w:rFonts w:hint="eastAsia"/>
                <w:highlight w:val="none"/>
              </w:rPr>
              <w:t>代理机构接到采购人通知后，将在公告信息发布同一媒体上发布中标结果公告。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823" w:type="dxa"/>
            <w:vAlign w:val="center"/>
          </w:tcPr>
          <w:p>
            <w:pPr>
              <w:jc w:val="center"/>
              <w:rPr>
                <w:rFonts w:hint="default" w:ascii="宋体" w:hAnsi="宋体" w:eastAsia="宋体" w:cs="Arial"/>
                <w:highlight w:val="none"/>
                <w:lang w:val="en-US" w:eastAsia="zh-CN"/>
              </w:rPr>
            </w:pPr>
            <w:r>
              <w:rPr>
                <w:rFonts w:hint="eastAsia" w:ascii="宋体" w:hAnsi="宋体" w:eastAsia="宋体" w:cs="Arial"/>
                <w:highlight w:val="none"/>
                <w:lang w:val="en-US" w:eastAsia="zh-CN"/>
              </w:rPr>
              <w:t>32</w:t>
            </w:r>
          </w:p>
        </w:tc>
        <w:tc>
          <w:tcPr>
            <w:tcW w:w="2013" w:type="dxa"/>
            <w:vAlign w:val="center"/>
          </w:tcPr>
          <w:p>
            <w:pPr>
              <w:spacing w:before="69" w:line="288" w:lineRule="auto"/>
              <w:ind w:right="186"/>
              <w:jc w:val="center"/>
              <w:rPr>
                <w:rFonts w:hint="eastAsia" w:ascii="宋体" w:hAnsi="宋体" w:eastAsia="宋体" w:cs="宋体"/>
                <w:color w:val="0C0C0C"/>
                <w:spacing w:val="-1"/>
                <w:highlight w:val="none"/>
              </w:rPr>
            </w:pPr>
            <w:r>
              <w:rPr>
                <w:rFonts w:hint="eastAsia" w:ascii="宋体" w:hAnsi="宋体" w:eastAsia="宋体" w:cs="宋体"/>
                <w:snapToGrid w:val="0"/>
                <w:color w:val="000000"/>
                <w:sz w:val="21"/>
                <w:szCs w:val="21"/>
                <w:highlight w:val="none"/>
                <w:lang w:val="en-US" w:eastAsia="zh-CN" w:bidi="ar-SA"/>
              </w:rPr>
              <w:t>履约保证金</w:t>
            </w:r>
          </w:p>
        </w:tc>
        <w:tc>
          <w:tcPr>
            <w:tcW w:w="7414" w:type="dxa"/>
          </w:tcPr>
          <w:p>
            <w:pPr>
              <w:pStyle w:val="42"/>
              <w:widowControl w:val="0"/>
              <w:kinsoku/>
              <w:adjustRightInd/>
              <w:snapToGrid/>
              <w:spacing w:line="360" w:lineRule="exact"/>
              <w:textAlignment w:val="auto"/>
              <w:rPr>
                <w:rFonts w:hint="eastAsia" w:eastAsia="宋体"/>
                <w:highlight w:val="none"/>
                <w:lang w:eastAsia="zh-CN"/>
              </w:rPr>
            </w:pPr>
            <w:r>
              <w:rPr>
                <w:rFonts w:hint="eastAsia" w:cs="宋体"/>
                <w:spacing w:val="0"/>
                <w:sz w:val="21"/>
                <w:szCs w:val="21"/>
                <w:highlight w:val="none"/>
                <w:lang w:val="en-US" w:eastAsia="zh-CN"/>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823" w:type="dxa"/>
            <w:vAlign w:val="center"/>
          </w:tcPr>
          <w:p>
            <w:pPr>
              <w:spacing w:before="69" w:line="185" w:lineRule="auto"/>
              <w:jc w:val="center"/>
              <w:rPr>
                <w:rFonts w:hint="default" w:ascii="宋体" w:hAnsi="宋体" w:eastAsia="宋体" w:cs="宋体"/>
                <w:spacing w:val="-3"/>
                <w:highlight w:val="none"/>
                <w:lang w:val="en-US" w:eastAsia="zh-CN"/>
              </w:rPr>
            </w:pPr>
            <w:r>
              <w:rPr>
                <w:rFonts w:hint="eastAsia" w:ascii="宋体" w:hAnsi="宋体" w:eastAsia="宋体" w:cs="宋体"/>
                <w:spacing w:val="-3"/>
                <w:highlight w:val="none"/>
                <w:lang w:val="en-US" w:eastAsia="zh-CN"/>
              </w:rPr>
              <w:t>33</w:t>
            </w:r>
          </w:p>
        </w:tc>
        <w:tc>
          <w:tcPr>
            <w:tcW w:w="2013" w:type="dxa"/>
            <w:vAlign w:val="center"/>
          </w:tcPr>
          <w:p>
            <w:pPr>
              <w:spacing w:before="69" w:line="288" w:lineRule="auto"/>
              <w:ind w:right="186"/>
              <w:jc w:val="center"/>
              <w:rPr>
                <w:rFonts w:hint="eastAsia" w:ascii="宋体" w:hAnsi="宋体" w:eastAsia="宋体" w:cs="宋体"/>
                <w:snapToGrid w:val="0"/>
                <w:color w:val="000000"/>
                <w:sz w:val="21"/>
                <w:szCs w:val="21"/>
                <w:highlight w:val="none"/>
                <w:lang w:val="en-US" w:eastAsia="zh-CN" w:bidi="ar-SA"/>
              </w:rPr>
            </w:pPr>
            <w:r>
              <w:rPr>
                <w:rFonts w:hint="eastAsia" w:ascii="宋体" w:hAnsi="宋体" w:eastAsia="宋体" w:cs="宋体"/>
                <w:snapToGrid w:val="0"/>
                <w:color w:val="000000"/>
                <w:sz w:val="21"/>
                <w:szCs w:val="21"/>
                <w:highlight w:val="none"/>
                <w:lang w:val="en-US" w:eastAsia="zh-CN" w:bidi="ar-SA"/>
              </w:rPr>
              <w:t>付款方式及要求</w:t>
            </w:r>
          </w:p>
        </w:tc>
        <w:tc>
          <w:tcPr>
            <w:tcW w:w="7414" w:type="dxa"/>
            <w:vAlign w:val="center"/>
          </w:tcPr>
          <w:p>
            <w:pPr>
              <w:pStyle w:val="42"/>
              <w:keepNext w:val="0"/>
              <w:keepLines w:val="0"/>
              <w:pageBreakBefore w:val="0"/>
              <w:widowControl w:val="0"/>
              <w:kinsoku/>
              <w:overflowPunct/>
              <w:topLinePunct w:val="0"/>
              <w:autoSpaceDE w:val="0"/>
              <w:autoSpaceDN w:val="0"/>
              <w:bidi w:val="0"/>
              <w:adjustRightInd/>
              <w:snapToGrid/>
              <w:spacing w:line="360" w:lineRule="exact"/>
              <w:ind w:right="0" w:rightChars="0"/>
              <w:textAlignment w:val="auto"/>
              <w:rPr>
                <w:rFonts w:hint="default" w:ascii="宋体" w:hAnsi="宋体" w:eastAsia="宋体" w:cs="宋体"/>
                <w:snapToGrid w:val="0"/>
                <w:color w:val="000000"/>
                <w:sz w:val="21"/>
                <w:szCs w:val="21"/>
                <w:highlight w:val="none"/>
                <w:lang w:val="en-US" w:eastAsia="zh-CN" w:bidi="ar-SA"/>
              </w:rPr>
            </w:pPr>
            <w:r>
              <w:rPr>
                <w:rFonts w:hint="default"/>
                <w:highlight w:val="none"/>
                <w:lang w:val="en-US" w:eastAsia="zh-CN"/>
              </w:rPr>
              <w:t>合同签订之后</w:t>
            </w:r>
            <w:r>
              <w:rPr>
                <w:rFonts w:hint="eastAsia"/>
                <w:highlight w:val="none"/>
                <w:lang w:val="en-US" w:eastAsia="zh-CN"/>
              </w:rPr>
              <w:t>每3个月支付一次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64" w:hRule="atLeast"/>
        </w:trPr>
        <w:tc>
          <w:tcPr>
            <w:tcW w:w="823" w:type="dxa"/>
            <w:vAlign w:val="center"/>
          </w:tcPr>
          <w:p>
            <w:pPr>
              <w:spacing w:before="69" w:line="185" w:lineRule="auto"/>
              <w:jc w:val="center"/>
              <w:rPr>
                <w:rFonts w:hint="default" w:ascii="宋体" w:hAnsi="宋体" w:eastAsia="宋体" w:cs="宋体"/>
                <w:spacing w:val="-3"/>
                <w:highlight w:val="none"/>
                <w:lang w:val="en-US" w:eastAsia="zh-CN"/>
              </w:rPr>
            </w:pPr>
            <w:r>
              <w:rPr>
                <w:rFonts w:hint="eastAsia" w:ascii="宋体" w:hAnsi="宋体" w:eastAsia="宋体" w:cs="宋体"/>
                <w:spacing w:val="-3"/>
                <w:highlight w:val="none"/>
                <w:lang w:val="en-US" w:eastAsia="zh-CN"/>
              </w:rPr>
              <w:t>34</w:t>
            </w:r>
          </w:p>
        </w:tc>
        <w:tc>
          <w:tcPr>
            <w:tcW w:w="2013" w:type="dxa"/>
            <w:vAlign w:val="center"/>
          </w:tcPr>
          <w:p>
            <w:pPr>
              <w:spacing w:before="69" w:line="288" w:lineRule="auto"/>
              <w:ind w:right="186"/>
              <w:jc w:val="center"/>
              <w:rPr>
                <w:rFonts w:hint="eastAsia" w:ascii="宋体" w:hAnsi="宋体" w:eastAsia="宋体" w:cs="宋体"/>
                <w:color w:val="0C0C0C"/>
                <w:spacing w:val="-1"/>
                <w:highlight w:val="none"/>
              </w:rPr>
            </w:pPr>
            <w:r>
              <w:rPr>
                <w:rFonts w:hint="eastAsia" w:ascii="宋体" w:hAnsi="宋体" w:eastAsia="宋体" w:cs="宋体"/>
                <w:color w:val="0C0C0C"/>
                <w:spacing w:val="-1"/>
                <w:highlight w:val="none"/>
              </w:rPr>
              <w:t>开标程序</w:t>
            </w:r>
          </w:p>
        </w:tc>
        <w:tc>
          <w:tcPr>
            <w:tcW w:w="7414" w:type="dxa"/>
          </w:tcPr>
          <w:p>
            <w:pPr>
              <w:pStyle w:val="42"/>
              <w:widowControl w:val="0"/>
              <w:kinsoku/>
              <w:adjustRightInd/>
              <w:snapToGrid/>
              <w:spacing w:line="360" w:lineRule="exact"/>
              <w:textAlignment w:val="auto"/>
              <w:rPr>
                <w:highlight w:val="none"/>
              </w:rPr>
            </w:pPr>
            <w:r>
              <w:rPr>
                <w:highlight w:val="none"/>
              </w:rPr>
              <w:t>本项目采用“远程不见面”开标方式，不见面开标大厅地址</w:t>
            </w:r>
            <w:r>
              <w:rPr>
                <w:highlight w:val="none"/>
              </w:rPr>
              <w:fldChar w:fldCharType="begin"/>
            </w:r>
            <w:r>
              <w:rPr>
                <w:highlight w:val="none"/>
              </w:rPr>
              <w:instrText xml:space="preserve"> HYPERLINK "http://www.thggzy.cn/" </w:instrText>
            </w:r>
            <w:r>
              <w:rPr>
                <w:highlight w:val="none"/>
              </w:rPr>
              <w:fldChar w:fldCharType="separate"/>
            </w:r>
            <w:r>
              <w:rPr>
                <w:highlight w:val="none"/>
              </w:rPr>
              <w:t>http://www.thggzy.cn/</w:t>
            </w:r>
            <w:r>
              <w:rPr>
                <w:highlight w:val="none"/>
              </w:rPr>
              <w:fldChar w:fldCharType="end"/>
            </w:r>
            <w:r>
              <w:rPr>
                <w:highlight w:val="none"/>
              </w:rPr>
              <w:t>唐河县公共资源交易中心网站首页“不见面开标大厅”模块，供应商无需到唐河县公共资源交易中心现场参加开标会议，无需到达现场提交原件资料。供应商应当在投标截止时间前，登录远程开标大厅，在线准时参加开标活动并进行文件解密、答疑澄清等。各供应商应在规定时间内对本单位的投标文件现场解密，因加密电子投标文件未能成功上传或误传而导致的解密失败，投标将被拒绝。</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 w:hRule="atLeast"/>
        </w:trPr>
        <w:tc>
          <w:tcPr>
            <w:tcW w:w="823" w:type="dxa"/>
            <w:vAlign w:val="center"/>
          </w:tcPr>
          <w:p>
            <w:pPr>
              <w:spacing w:before="69" w:line="185" w:lineRule="auto"/>
              <w:jc w:val="center"/>
              <w:rPr>
                <w:rFonts w:hint="default" w:ascii="宋体" w:hAnsi="宋体" w:eastAsia="宋体" w:cs="宋体"/>
                <w:spacing w:val="-3"/>
                <w:highlight w:val="none"/>
                <w:lang w:val="en-US" w:eastAsia="zh-CN"/>
              </w:rPr>
            </w:pPr>
            <w:r>
              <w:rPr>
                <w:rFonts w:hint="eastAsia" w:ascii="宋体" w:hAnsi="宋体" w:eastAsia="宋体" w:cs="宋体"/>
                <w:spacing w:val="-3"/>
                <w:highlight w:val="none"/>
                <w:lang w:val="en-US" w:eastAsia="zh-CN"/>
              </w:rPr>
              <w:t>35</w:t>
            </w:r>
          </w:p>
        </w:tc>
        <w:tc>
          <w:tcPr>
            <w:tcW w:w="2013" w:type="dxa"/>
            <w:vAlign w:val="center"/>
          </w:tcPr>
          <w:p>
            <w:pPr>
              <w:spacing w:before="69" w:line="288" w:lineRule="auto"/>
              <w:ind w:right="186"/>
              <w:jc w:val="center"/>
              <w:rPr>
                <w:rFonts w:ascii="宋体" w:hAnsi="宋体" w:eastAsia="宋体" w:cs="宋体"/>
                <w:color w:val="0C0C0C"/>
                <w:spacing w:val="-1"/>
                <w:highlight w:val="none"/>
              </w:rPr>
            </w:pPr>
            <w:r>
              <w:rPr>
                <w:rFonts w:ascii="宋体" w:hAnsi="宋体" w:eastAsia="宋体" w:cs="宋体"/>
                <w:color w:val="0C0C0C"/>
                <w:spacing w:val="-1"/>
                <w:highlight w:val="none"/>
              </w:rPr>
              <w:t>投标人代表出席开标会要求</w:t>
            </w:r>
          </w:p>
        </w:tc>
        <w:tc>
          <w:tcPr>
            <w:tcW w:w="7414" w:type="dxa"/>
          </w:tcPr>
          <w:p>
            <w:pPr>
              <w:pStyle w:val="42"/>
              <w:widowControl w:val="0"/>
              <w:kinsoku/>
              <w:adjustRightInd/>
              <w:snapToGrid/>
              <w:spacing w:line="360" w:lineRule="exact"/>
              <w:textAlignment w:val="auto"/>
              <w:rPr>
                <w:highlight w:val="none"/>
              </w:rPr>
            </w:pPr>
            <w:r>
              <w:rPr>
                <w:highlight w:val="none"/>
              </w:rPr>
              <w:t>该项目需要使用不见面开标，告知投标人无需前往现场来参与投标。而是各投标人根据手册要求，提前做好相关准备工作。</w:t>
            </w:r>
          </w:p>
          <w:p>
            <w:pPr>
              <w:pStyle w:val="42"/>
              <w:widowControl w:val="0"/>
              <w:kinsoku/>
              <w:adjustRightInd/>
              <w:snapToGrid/>
              <w:spacing w:line="360" w:lineRule="exact"/>
              <w:textAlignment w:val="auto"/>
              <w:rPr>
                <w:highlight w:val="none"/>
              </w:rPr>
            </w:pPr>
            <w:r>
              <w:rPr>
                <w:highlight w:val="none"/>
              </w:rPr>
              <w:t>附件：操作手册地址(下载专区中自行下载)、不见面开标大厅地址唐河县公共资源交易中心网站首页“不见面开标大厅”模块</w:t>
            </w:r>
          </w:p>
          <w:p>
            <w:pPr>
              <w:pStyle w:val="42"/>
              <w:widowControl w:val="0"/>
              <w:kinsoku/>
              <w:adjustRightInd/>
              <w:snapToGrid/>
              <w:spacing w:line="360" w:lineRule="exact"/>
              <w:textAlignment w:val="auto"/>
              <w:rPr>
                <w:highlight w:val="none"/>
              </w:rPr>
            </w:pPr>
            <w:r>
              <w:rPr>
                <w:highlight w:val="none"/>
              </w:rPr>
              <w:t>因投标人无需现场参与开标，所有准备工作需要自行到位。开标过程中如遇到紧急事项，可在不见面开标大厅中进行提出异议或文字交流，严重问题可拨打技术支持电话</w:t>
            </w:r>
          </w:p>
          <w:p>
            <w:pPr>
              <w:pStyle w:val="42"/>
              <w:widowControl w:val="0"/>
              <w:kinsoku/>
              <w:adjustRightInd/>
              <w:snapToGrid/>
              <w:spacing w:line="360" w:lineRule="exact"/>
              <w:textAlignment w:val="auto"/>
              <w:rPr>
                <w:highlight w:val="none"/>
              </w:rPr>
            </w:pPr>
            <w:r>
              <w:rPr>
                <w:highlight w:val="none"/>
              </w:rPr>
              <w:t>不见面开标过程中，如投标人准备不到位，造成无法及时解密、网络问题等情况造成开标无法继续的，视为该投标人自动放弃投标(</w:t>
            </w:r>
            <w:r>
              <w:rPr>
                <w:rFonts w:hint="eastAsia"/>
                <w:highlight w:val="none"/>
              </w:rPr>
              <w:t>3</w:t>
            </w:r>
            <w:r>
              <w:rPr>
                <w:highlight w:val="none"/>
              </w:rPr>
              <w:t>0分钟内)，将被退回投标文件。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8" w:hRule="atLeast"/>
        </w:trPr>
        <w:tc>
          <w:tcPr>
            <w:tcW w:w="823" w:type="dxa"/>
            <w:vAlign w:val="center"/>
          </w:tcPr>
          <w:p>
            <w:pPr>
              <w:spacing w:before="69" w:line="185" w:lineRule="auto"/>
              <w:jc w:val="center"/>
              <w:rPr>
                <w:rFonts w:hint="default" w:ascii="宋体" w:hAnsi="宋体" w:eastAsia="宋体" w:cs="宋体"/>
                <w:spacing w:val="-3"/>
                <w:highlight w:val="none"/>
                <w:lang w:val="en-US" w:eastAsia="zh-CN"/>
              </w:rPr>
            </w:pPr>
            <w:r>
              <w:rPr>
                <w:rFonts w:hint="eastAsia" w:ascii="宋体" w:hAnsi="宋体" w:eastAsia="宋体" w:cs="宋体"/>
                <w:spacing w:val="-3"/>
                <w:highlight w:val="none"/>
                <w:lang w:val="en-US" w:eastAsia="zh-CN"/>
              </w:rPr>
              <w:t>36</w:t>
            </w:r>
          </w:p>
        </w:tc>
        <w:tc>
          <w:tcPr>
            <w:tcW w:w="2013" w:type="dxa"/>
            <w:vAlign w:val="center"/>
          </w:tcPr>
          <w:p>
            <w:pPr>
              <w:spacing w:before="69" w:line="288" w:lineRule="auto"/>
              <w:ind w:right="186"/>
              <w:jc w:val="center"/>
              <w:rPr>
                <w:rFonts w:ascii="宋体" w:hAnsi="宋体" w:eastAsia="宋体" w:cs="宋体"/>
                <w:color w:val="0C0C0C"/>
                <w:spacing w:val="-1"/>
                <w:highlight w:val="none"/>
              </w:rPr>
            </w:pPr>
            <w:r>
              <w:rPr>
                <w:rFonts w:ascii="宋体" w:hAnsi="宋体" w:eastAsia="宋体" w:cs="宋体"/>
                <w:color w:val="0C0C0C"/>
                <w:spacing w:val="-1"/>
                <w:highlight w:val="none"/>
              </w:rPr>
              <w:t>监督</w:t>
            </w:r>
          </w:p>
        </w:tc>
        <w:tc>
          <w:tcPr>
            <w:tcW w:w="7414" w:type="dxa"/>
          </w:tcPr>
          <w:p>
            <w:pPr>
              <w:pStyle w:val="42"/>
              <w:widowControl w:val="0"/>
              <w:kinsoku/>
              <w:adjustRightInd/>
              <w:snapToGrid/>
              <w:spacing w:line="360" w:lineRule="exact"/>
              <w:textAlignment w:val="auto"/>
              <w:rPr>
                <w:highlight w:val="none"/>
              </w:rPr>
            </w:pPr>
            <w:r>
              <w:rPr>
                <w:highlight w:val="none"/>
              </w:rPr>
              <w:t>本项目的招标投标活动及其相关当事人应当接受有管辖权的招标投标行政监督部门依法实施的监督。</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0" w:hRule="atLeast"/>
        </w:trPr>
        <w:tc>
          <w:tcPr>
            <w:tcW w:w="823" w:type="dxa"/>
            <w:vAlign w:val="center"/>
          </w:tcPr>
          <w:p>
            <w:pPr>
              <w:spacing w:before="69" w:line="185" w:lineRule="auto"/>
              <w:jc w:val="center"/>
              <w:rPr>
                <w:rFonts w:hint="default" w:ascii="宋体" w:hAnsi="宋体" w:eastAsia="宋体" w:cs="宋体"/>
                <w:spacing w:val="-3"/>
                <w:highlight w:val="none"/>
                <w:lang w:val="en-US" w:eastAsia="zh-CN"/>
              </w:rPr>
            </w:pPr>
            <w:r>
              <w:rPr>
                <w:rFonts w:hint="eastAsia" w:ascii="宋体" w:hAnsi="宋体" w:eastAsia="宋体" w:cs="宋体"/>
                <w:spacing w:val="-3"/>
                <w:highlight w:val="none"/>
                <w:lang w:val="en-US" w:eastAsia="zh-CN"/>
              </w:rPr>
              <w:t>37</w:t>
            </w:r>
          </w:p>
        </w:tc>
        <w:tc>
          <w:tcPr>
            <w:tcW w:w="2013" w:type="dxa"/>
            <w:vAlign w:val="center"/>
          </w:tcPr>
          <w:p>
            <w:pPr>
              <w:spacing w:before="69" w:line="288" w:lineRule="auto"/>
              <w:ind w:right="186"/>
              <w:jc w:val="center"/>
              <w:rPr>
                <w:rFonts w:ascii="宋体" w:hAnsi="宋体" w:eastAsia="宋体" w:cs="宋体"/>
                <w:color w:val="0C0C0C"/>
                <w:spacing w:val="-1"/>
                <w:highlight w:val="none"/>
              </w:rPr>
            </w:pPr>
            <w:r>
              <w:rPr>
                <w:rFonts w:ascii="宋体" w:hAnsi="宋体" w:eastAsia="宋体" w:cs="宋体"/>
                <w:color w:val="0C0C0C"/>
                <w:spacing w:val="-1"/>
                <w:highlight w:val="none"/>
              </w:rPr>
              <w:t>解释权</w:t>
            </w:r>
          </w:p>
        </w:tc>
        <w:tc>
          <w:tcPr>
            <w:tcW w:w="7414" w:type="dxa"/>
          </w:tcPr>
          <w:p>
            <w:pPr>
              <w:pStyle w:val="42"/>
              <w:widowControl w:val="0"/>
              <w:kinsoku/>
              <w:adjustRightInd/>
              <w:snapToGrid/>
              <w:spacing w:line="360" w:lineRule="exact"/>
              <w:textAlignment w:val="auto"/>
              <w:rPr>
                <w:highlight w:val="none"/>
              </w:rPr>
            </w:pPr>
            <w:r>
              <w:rPr>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人须知、评标办法、投标文件格式的先后顺序解释；同组成文件中就同一事项的规定或约定不一致的，以编排顺序在后者为准；同一组成文件不同版本之间有不一致的，以形成时间在后者为准。按本款前述规定仍不能形成结论的，由招标人负责解释。</w:t>
            </w:r>
            <w:r>
              <w:rPr>
                <w:rFonts w:hint="eastAsia"/>
                <w:highlight w:val="none"/>
              </w:rPr>
              <w:t>在评标过程中，若招标文件中就同一内容，有表达不一致的情形，且潜在投标人在招标文件规定的提出异议和澄清的时间内未提出异议或其他澄清要求的，则由评标委员会按照有利于招标人的方向理解。</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823" w:type="dxa"/>
            <w:vAlign w:val="center"/>
          </w:tcPr>
          <w:p>
            <w:pPr>
              <w:spacing w:before="69" w:line="185" w:lineRule="auto"/>
              <w:jc w:val="center"/>
              <w:rPr>
                <w:rFonts w:hint="default" w:ascii="宋体" w:hAnsi="宋体" w:eastAsia="宋体" w:cs="宋体"/>
                <w:spacing w:val="-3"/>
                <w:highlight w:val="none"/>
                <w:lang w:val="en-US" w:eastAsia="zh-CN"/>
              </w:rPr>
            </w:pPr>
            <w:r>
              <w:rPr>
                <w:rFonts w:hint="eastAsia" w:ascii="宋体" w:hAnsi="宋体" w:eastAsia="宋体" w:cs="宋体"/>
                <w:spacing w:val="-3"/>
                <w:highlight w:val="none"/>
                <w:lang w:val="en-US" w:eastAsia="zh-CN"/>
              </w:rPr>
              <w:t>38</w:t>
            </w:r>
          </w:p>
        </w:tc>
        <w:tc>
          <w:tcPr>
            <w:tcW w:w="2013" w:type="dxa"/>
          </w:tcPr>
          <w:p>
            <w:pPr>
              <w:spacing w:before="69" w:line="288" w:lineRule="auto"/>
              <w:ind w:right="186"/>
              <w:jc w:val="center"/>
              <w:rPr>
                <w:rFonts w:ascii="宋体" w:hAnsi="宋体" w:eastAsia="宋体" w:cs="宋体"/>
                <w:color w:val="0C0C0C"/>
                <w:spacing w:val="-1"/>
                <w:highlight w:val="none"/>
              </w:rPr>
            </w:pPr>
            <w:r>
              <w:rPr>
                <w:rFonts w:ascii="宋体" w:hAnsi="宋体" w:eastAsia="宋体" w:cs="宋体"/>
                <w:color w:val="0C0C0C"/>
                <w:spacing w:val="-1"/>
                <w:highlight w:val="none"/>
              </w:rPr>
              <w:t>投标人提出问题的截止时间</w:t>
            </w:r>
          </w:p>
        </w:tc>
        <w:tc>
          <w:tcPr>
            <w:tcW w:w="7414" w:type="dxa"/>
          </w:tcPr>
          <w:p>
            <w:pPr>
              <w:pStyle w:val="42"/>
              <w:widowControl w:val="0"/>
              <w:kinsoku/>
              <w:adjustRightInd/>
              <w:snapToGrid/>
              <w:spacing w:line="360" w:lineRule="exact"/>
              <w:textAlignment w:val="auto"/>
              <w:rPr>
                <w:highlight w:val="none"/>
              </w:rPr>
            </w:pPr>
            <w:r>
              <w:rPr>
                <w:highlight w:val="none"/>
              </w:rPr>
              <w:t>递交投标文件的截止之日15日前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823" w:type="dxa"/>
            <w:vAlign w:val="center"/>
          </w:tcPr>
          <w:p>
            <w:pPr>
              <w:spacing w:before="69" w:line="185" w:lineRule="auto"/>
              <w:jc w:val="center"/>
              <w:rPr>
                <w:rFonts w:hint="default" w:ascii="宋体" w:hAnsi="宋体" w:eastAsia="宋体" w:cs="宋体"/>
                <w:spacing w:val="-3"/>
                <w:highlight w:val="none"/>
                <w:lang w:val="en-US" w:eastAsia="zh-CN"/>
              </w:rPr>
            </w:pPr>
            <w:r>
              <w:rPr>
                <w:rFonts w:hint="eastAsia" w:ascii="宋体" w:hAnsi="宋体" w:eastAsia="宋体" w:cs="宋体"/>
                <w:spacing w:val="-3"/>
                <w:highlight w:val="none"/>
                <w:lang w:val="en-US" w:eastAsia="zh-CN"/>
              </w:rPr>
              <w:t>39</w:t>
            </w:r>
          </w:p>
        </w:tc>
        <w:tc>
          <w:tcPr>
            <w:tcW w:w="2013" w:type="dxa"/>
            <w:vAlign w:val="center"/>
          </w:tcPr>
          <w:p>
            <w:pPr>
              <w:spacing w:before="69" w:line="288" w:lineRule="auto"/>
              <w:ind w:right="186"/>
              <w:jc w:val="center"/>
              <w:rPr>
                <w:rFonts w:ascii="宋体" w:hAnsi="宋体" w:eastAsia="宋体" w:cs="宋体"/>
                <w:color w:val="0C0C0C"/>
                <w:spacing w:val="-1"/>
                <w:highlight w:val="none"/>
              </w:rPr>
            </w:pPr>
            <w:r>
              <w:rPr>
                <w:rFonts w:ascii="宋体" w:hAnsi="宋体" w:eastAsia="宋体" w:cs="宋体"/>
                <w:color w:val="0C0C0C"/>
                <w:spacing w:val="-1"/>
                <w:highlight w:val="none"/>
              </w:rPr>
              <w:t>其他说明</w:t>
            </w:r>
          </w:p>
        </w:tc>
        <w:tc>
          <w:tcPr>
            <w:tcW w:w="7414" w:type="dxa"/>
          </w:tcPr>
          <w:p>
            <w:pPr>
              <w:pStyle w:val="42"/>
              <w:widowControl w:val="0"/>
              <w:kinsoku/>
              <w:adjustRightInd/>
              <w:snapToGrid/>
              <w:spacing w:line="360" w:lineRule="exact"/>
              <w:textAlignment w:val="auto"/>
              <w:rPr>
                <w:highlight w:val="none"/>
              </w:rPr>
            </w:pPr>
            <w:r>
              <w:rPr>
                <w:highlight w:val="none"/>
              </w:rPr>
              <w:t>“招标人”与“采购人”，“投标人”与“供应商”按照同一意思理解。</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823" w:type="dxa"/>
            <w:vAlign w:val="center"/>
          </w:tcPr>
          <w:p>
            <w:pPr>
              <w:spacing w:before="69" w:line="185" w:lineRule="auto"/>
              <w:jc w:val="center"/>
              <w:rPr>
                <w:rFonts w:hint="default" w:ascii="宋体" w:hAnsi="宋体" w:eastAsia="宋体" w:cs="宋体"/>
                <w:spacing w:val="-3"/>
                <w:highlight w:val="none"/>
                <w:lang w:val="en-US" w:eastAsia="zh-CN"/>
              </w:rPr>
            </w:pPr>
            <w:r>
              <w:rPr>
                <w:rFonts w:hint="eastAsia" w:ascii="宋体" w:hAnsi="宋体" w:eastAsia="宋体" w:cs="宋体"/>
                <w:spacing w:val="-3"/>
                <w:highlight w:val="none"/>
                <w:lang w:val="en-US" w:eastAsia="zh-CN"/>
              </w:rPr>
              <w:t>40</w:t>
            </w:r>
          </w:p>
        </w:tc>
        <w:tc>
          <w:tcPr>
            <w:tcW w:w="2013" w:type="dxa"/>
            <w:vAlign w:val="center"/>
          </w:tcPr>
          <w:p>
            <w:pPr>
              <w:spacing w:before="69" w:line="288" w:lineRule="auto"/>
              <w:ind w:right="186"/>
              <w:jc w:val="center"/>
              <w:rPr>
                <w:rFonts w:ascii="宋体" w:hAnsi="宋体" w:eastAsia="宋体" w:cs="宋体"/>
                <w:snapToGrid w:val="0"/>
                <w:color w:val="000000"/>
                <w:sz w:val="21"/>
                <w:szCs w:val="21"/>
                <w:highlight w:val="none"/>
                <w:lang w:val="en-US" w:eastAsia="zh-CN" w:bidi="ar-SA"/>
              </w:rPr>
            </w:pPr>
            <w:r>
              <w:rPr>
                <w:rFonts w:ascii="宋体" w:hAnsi="宋体" w:eastAsia="宋体" w:cs="宋体"/>
                <w:snapToGrid w:val="0"/>
                <w:color w:val="000000"/>
                <w:sz w:val="21"/>
                <w:szCs w:val="21"/>
                <w:highlight w:val="none"/>
                <w:lang w:val="en-US" w:eastAsia="zh-CN" w:bidi="ar-SA"/>
              </w:rPr>
              <w:t>招标代理服务费</w:t>
            </w:r>
          </w:p>
        </w:tc>
        <w:tc>
          <w:tcPr>
            <w:tcW w:w="7414" w:type="dxa"/>
            <w:vAlign w:val="center"/>
          </w:tcPr>
          <w:p>
            <w:pPr>
              <w:keepNext w:val="0"/>
              <w:keepLines w:val="0"/>
              <w:pageBreakBefore w:val="0"/>
              <w:widowControl w:val="0"/>
              <w:kinsoku/>
              <w:overflowPunct/>
              <w:topLinePunct w:val="0"/>
              <w:bidi w:val="0"/>
              <w:snapToGrid/>
              <w:spacing w:line="360" w:lineRule="exact"/>
              <w:ind w:left="0" w:leftChars="0" w:firstLine="0" w:firstLineChars="0"/>
              <w:jc w:val="left"/>
              <w:textAlignment w:val="auto"/>
              <w:rPr>
                <w:rFonts w:ascii="宋体" w:hAnsi="宋体" w:eastAsia="宋体" w:cs="宋体"/>
                <w:snapToGrid w:val="0"/>
                <w:color w:val="000000"/>
                <w:sz w:val="21"/>
                <w:szCs w:val="21"/>
                <w:highlight w:val="none"/>
                <w:lang w:val="en-US" w:eastAsia="zh-CN" w:bidi="ar-SA"/>
              </w:rPr>
            </w:pPr>
            <w:r>
              <w:rPr>
                <w:rFonts w:hint="eastAsia" w:ascii="宋体" w:hAnsi="宋体" w:eastAsia="宋体" w:cs="宋体"/>
                <w:snapToGrid w:val="0"/>
                <w:color w:val="000000"/>
                <w:sz w:val="21"/>
                <w:szCs w:val="21"/>
                <w:highlight w:val="none"/>
                <w:lang w:val="en-US" w:eastAsia="zh-CN" w:bidi="ar-SA"/>
              </w:rPr>
              <w:t>按照豫招协【2023】002号文规定之招标代理服务收费计算标准，向中标、成交供应商收取</w:t>
            </w:r>
            <w:r>
              <w:rPr>
                <w:rFonts w:ascii="宋体" w:hAnsi="宋体" w:eastAsia="宋体" w:cs="宋体"/>
                <w:snapToGrid w:val="0"/>
                <w:color w:val="000000"/>
                <w:sz w:val="21"/>
                <w:szCs w:val="21"/>
                <w:highlight w:val="none"/>
                <w:lang w:val="en-US" w:eastAsia="zh-CN" w:bidi="ar-SA"/>
              </w:rPr>
              <w:t xml:space="preserve"> </w:t>
            </w:r>
          </w:p>
        </w:tc>
      </w:tr>
    </w:tbl>
    <w:p>
      <w:pPr>
        <w:rPr>
          <w:highlight w:val="none"/>
        </w:rPr>
        <w:sectPr>
          <w:headerReference r:id="rId6" w:type="default"/>
          <w:footerReference r:id="rId7" w:type="default"/>
          <w:pgSz w:w="11907" w:h="16839"/>
          <w:pgMar w:top="1476" w:right="931" w:bottom="1226" w:left="933" w:header="873" w:footer="958" w:gutter="0"/>
          <w:pgNumType w:fmt="numberInDash" w:start="1"/>
          <w:cols w:space="720" w:num="1"/>
        </w:sectPr>
      </w:pPr>
    </w:p>
    <w:p>
      <w:pPr>
        <w:spacing w:before="101" w:line="225" w:lineRule="auto"/>
        <w:jc w:val="center"/>
        <w:outlineLvl w:val="0"/>
        <w:rPr>
          <w:rFonts w:asciiTheme="minorEastAsia" w:hAnsiTheme="minorEastAsia" w:eastAsiaTheme="minorEastAsia" w:cstheme="minorEastAsia"/>
          <w:b/>
          <w:bCs/>
          <w:sz w:val="31"/>
          <w:szCs w:val="31"/>
          <w:highlight w:val="none"/>
        </w:rPr>
      </w:pPr>
      <w:bookmarkStart w:id="2" w:name="_Toc18565"/>
      <w:r>
        <w:rPr>
          <w:rFonts w:hint="eastAsia" w:asciiTheme="minorEastAsia" w:hAnsiTheme="minorEastAsia" w:eastAsiaTheme="minorEastAsia" w:cstheme="minorEastAsia"/>
          <w:b/>
          <w:bCs/>
          <w:spacing w:val="18"/>
          <w:sz w:val="31"/>
          <w:szCs w:val="31"/>
          <w:highlight w:val="none"/>
        </w:rPr>
        <w:t>第</w:t>
      </w:r>
      <w:r>
        <w:rPr>
          <w:rFonts w:hint="eastAsia" w:asciiTheme="minorEastAsia" w:hAnsiTheme="minorEastAsia" w:eastAsiaTheme="minorEastAsia" w:cstheme="minorEastAsia"/>
          <w:b/>
          <w:bCs/>
          <w:spacing w:val="9"/>
          <w:sz w:val="31"/>
          <w:szCs w:val="31"/>
          <w:highlight w:val="none"/>
        </w:rPr>
        <w:t>三部分</w:t>
      </w:r>
      <w:r>
        <w:rPr>
          <w:rFonts w:hint="eastAsia" w:asciiTheme="minorEastAsia" w:hAnsiTheme="minorEastAsia" w:eastAsiaTheme="minorEastAsia" w:cstheme="minorEastAsia"/>
          <w:b/>
          <w:bCs/>
          <w:spacing w:val="9"/>
          <w:sz w:val="31"/>
          <w:szCs w:val="31"/>
          <w:highlight w:val="none"/>
          <w:lang w:val="en-US" w:eastAsia="zh-CN"/>
        </w:rPr>
        <w:t xml:space="preserve"> </w:t>
      </w:r>
      <w:r>
        <w:rPr>
          <w:rFonts w:hint="eastAsia" w:asciiTheme="minorEastAsia" w:hAnsiTheme="minorEastAsia" w:eastAsiaTheme="minorEastAsia" w:cstheme="minorEastAsia"/>
          <w:b/>
          <w:bCs/>
          <w:spacing w:val="9"/>
          <w:sz w:val="31"/>
          <w:szCs w:val="31"/>
          <w:highlight w:val="none"/>
        </w:rPr>
        <w:t>投标人须知正文部分</w:t>
      </w:r>
      <w:bookmarkEnd w:id="2"/>
    </w:p>
    <w:p>
      <w:pPr>
        <w:spacing w:line="262" w:lineRule="auto"/>
        <w:rPr>
          <w:rFonts w:asciiTheme="minorEastAsia" w:hAnsiTheme="minorEastAsia" w:eastAsiaTheme="minorEastAsia" w:cstheme="minorEastAsia"/>
          <w:highlight w:val="none"/>
        </w:rPr>
      </w:pPr>
    </w:p>
    <w:p>
      <w:pPr>
        <w:spacing w:line="360" w:lineRule="auto"/>
        <w:ind w:firstLine="480" w:firstLineChars="200"/>
        <w:jc w:val="both"/>
        <w:outlineLvl w:val="9"/>
        <w:rPr>
          <w:rFonts w:ascii="宋体" w:hAnsi="宋体" w:eastAsia="宋体" w:cs="宋体"/>
          <w:sz w:val="24"/>
          <w:szCs w:val="24"/>
          <w:highlight w:val="none"/>
        </w:rPr>
      </w:pPr>
      <w:r>
        <w:rPr>
          <w:rFonts w:hint="eastAsia" w:ascii="宋体" w:hAnsi="宋体" w:eastAsia="宋体" w:cs="宋体"/>
          <w:sz w:val="24"/>
          <w:szCs w:val="24"/>
          <w:highlight w:val="none"/>
        </w:rPr>
        <w:t>一、总则</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适用法律</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本次招标采购适用的主要法律法规为《中华人民共和国政府采购法》、《中华人民共和国</w:t>
      </w:r>
      <w:r>
        <w:rPr>
          <w:rFonts w:hint="eastAsia" w:ascii="宋体" w:hAnsi="宋体" w:eastAsia="宋体" w:cs="宋体"/>
          <w:sz w:val="24"/>
          <w:szCs w:val="24"/>
          <w:highlight w:val="none"/>
          <w:lang w:val="en-US" w:eastAsia="zh-CN"/>
        </w:rPr>
        <w:t>民法典</w:t>
      </w:r>
      <w:r>
        <w:rPr>
          <w:rFonts w:hint="eastAsia" w:ascii="宋体" w:hAnsi="宋体" w:eastAsia="宋体" w:cs="宋体"/>
          <w:sz w:val="24"/>
          <w:szCs w:val="24"/>
          <w:highlight w:val="none"/>
        </w:rPr>
        <w:t>》、《中华人民共和国政府采购法实施条例》等。</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1.2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定义</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.1 “采购人(招标人)”：指本项目采购单位；</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.2 “代理机构”：指受采购人委托的有代理资质的第三方机构；</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.3 “供应商(投标人)”系指向招标采购单位提交投标文件的供应商；</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.4 “中标人(成交人)”系指被确定为承接本项目并负责其实施的投标人(供应商)；</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.5“货物”系指供应商按招标文件要求，须向采购人提供的货物内容及相应资料；包括手册及其它有关技术资料；</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.6“服务”指招标文件中规定的供应商须承担的服务内容。</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合格的货物和服务：</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供应商须提供符合国家质量标准，相关行业强制执行标准的全新货物及采购人要求的与采购货物相配套的技术服务。</w:t>
      </w:r>
    </w:p>
    <w:p>
      <w:pPr>
        <w:spacing w:line="360" w:lineRule="auto"/>
        <w:ind w:firstLine="476" w:firstLineChars="200"/>
        <w:jc w:val="both"/>
        <w:rPr>
          <w:rFonts w:ascii="宋体" w:hAnsi="宋体" w:eastAsia="宋体" w:cs="宋体"/>
          <w:sz w:val="24"/>
          <w:szCs w:val="24"/>
          <w:highlight w:val="none"/>
        </w:rPr>
      </w:pPr>
      <w:r>
        <w:rPr>
          <w:rFonts w:hint="eastAsia" w:ascii="宋体" w:hAnsi="宋体" w:eastAsia="宋体" w:cs="宋体"/>
          <w:spacing w:val="-1"/>
          <w:sz w:val="24"/>
          <w:szCs w:val="24"/>
          <w:highlight w:val="none"/>
        </w:rPr>
        <w:t>1.</w:t>
      </w:r>
      <w:r>
        <w:rPr>
          <w:rFonts w:hint="eastAsia" w:ascii="宋体" w:hAnsi="宋体" w:eastAsia="宋体" w:cs="宋体"/>
          <w:spacing w:val="-1"/>
          <w:sz w:val="24"/>
          <w:szCs w:val="24"/>
          <w:highlight w:val="none"/>
          <w:lang w:val="en-US" w:eastAsia="zh-CN"/>
        </w:rPr>
        <w:t>4、</w:t>
      </w:r>
      <w:r>
        <w:rPr>
          <w:rFonts w:hint="eastAsia" w:ascii="宋体" w:hAnsi="宋体" w:eastAsia="宋体" w:cs="宋体"/>
          <w:spacing w:val="-1"/>
          <w:sz w:val="24"/>
          <w:szCs w:val="24"/>
          <w:highlight w:val="none"/>
        </w:rPr>
        <w:t>投标人应具</w:t>
      </w:r>
      <w:r>
        <w:rPr>
          <w:rFonts w:hint="eastAsia" w:ascii="宋体" w:hAnsi="宋体" w:eastAsia="宋体" w:cs="宋体"/>
          <w:sz w:val="24"/>
          <w:szCs w:val="24"/>
          <w:highlight w:val="none"/>
        </w:rPr>
        <w:t>备的条件：见投标人须知前附表</w:t>
      </w:r>
    </w:p>
    <w:p>
      <w:pPr>
        <w:spacing w:line="360" w:lineRule="auto"/>
        <w:ind w:firstLine="476" w:firstLineChars="200"/>
        <w:jc w:val="both"/>
        <w:rPr>
          <w:rFonts w:ascii="宋体" w:hAnsi="宋体" w:eastAsia="宋体" w:cs="宋体"/>
          <w:sz w:val="24"/>
          <w:szCs w:val="24"/>
          <w:highlight w:val="none"/>
        </w:rPr>
      </w:pPr>
      <w:r>
        <w:rPr>
          <w:rFonts w:hint="eastAsia" w:ascii="宋体" w:hAnsi="宋体" w:eastAsia="宋体" w:cs="宋体"/>
          <w:spacing w:val="-1"/>
          <w:sz w:val="24"/>
          <w:szCs w:val="24"/>
          <w:highlight w:val="none"/>
        </w:rPr>
        <w:t>1.</w:t>
      </w:r>
      <w:r>
        <w:rPr>
          <w:rFonts w:hint="eastAsia" w:ascii="宋体" w:hAnsi="宋体" w:eastAsia="宋体" w:cs="宋体"/>
          <w:spacing w:val="-1"/>
          <w:sz w:val="24"/>
          <w:szCs w:val="24"/>
          <w:highlight w:val="none"/>
          <w:lang w:val="en-US" w:eastAsia="zh-CN"/>
        </w:rPr>
        <w:t>5、</w:t>
      </w:r>
      <w:r>
        <w:rPr>
          <w:rFonts w:hint="eastAsia" w:ascii="宋体" w:hAnsi="宋体" w:eastAsia="宋体" w:cs="宋体"/>
          <w:spacing w:val="-1"/>
          <w:sz w:val="24"/>
          <w:szCs w:val="24"/>
          <w:highlight w:val="none"/>
        </w:rPr>
        <w:t>投标人不</w:t>
      </w:r>
      <w:r>
        <w:rPr>
          <w:rFonts w:hint="eastAsia" w:ascii="宋体" w:hAnsi="宋体" w:eastAsia="宋体" w:cs="宋体"/>
          <w:sz w:val="24"/>
          <w:szCs w:val="24"/>
          <w:highlight w:val="none"/>
        </w:rPr>
        <w:t>得存在下列情形之一</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.1 为招标人不具有独立法人资格的附属机构(单位) ；</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.2 为本项目前期准备提供咨询服务的；</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.3 为本项目提供招标代理服务的；</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.4 被责令停业的；</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.5 被暂停或取消投标资格的；</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.6 财产被接管或冻结的；</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.7 在最近三年内有骗取中标或严重违约或重大质量问题的。</w:t>
      </w:r>
    </w:p>
    <w:p>
      <w:pPr>
        <w:spacing w:line="360" w:lineRule="auto"/>
        <w:ind w:firstLine="472" w:firstLineChars="200"/>
        <w:jc w:val="both"/>
        <w:rPr>
          <w:rFonts w:ascii="宋体" w:hAnsi="宋体" w:eastAsia="宋体" w:cs="宋体"/>
          <w:sz w:val="24"/>
          <w:szCs w:val="24"/>
          <w:highlight w:val="none"/>
        </w:rPr>
      </w:pPr>
      <w:r>
        <w:rPr>
          <w:rFonts w:hint="eastAsia" w:ascii="宋体" w:hAnsi="宋体" w:eastAsia="宋体" w:cs="宋体"/>
          <w:spacing w:val="-2"/>
          <w:sz w:val="24"/>
          <w:szCs w:val="24"/>
          <w:highlight w:val="none"/>
        </w:rPr>
        <w:t>1.</w:t>
      </w:r>
      <w:r>
        <w:rPr>
          <w:rFonts w:hint="eastAsia" w:ascii="宋体" w:hAnsi="宋体" w:eastAsia="宋体" w:cs="宋体"/>
          <w:spacing w:val="-2"/>
          <w:sz w:val="24"/>
          <w:szCs w:val="24"/>
          <w:highlight w:val="none"/>
          <w:lang w:val="en-US" w:eastAsia="zh-CN"/>
        </w:rPr>
        <w:t>6、</w:t>
      </w:r>
      <w:r>
        <w:rPr>
          <w:rFonts w:hint="eastAsia" w:ascii="宋体" w:hAnsi="宋体" w:eastAsia="宋体" w:cs="宋体"/>
          <w:spacing w:val="-2"/>
          <w:sz w:val="24"/>
          <w:szCs w:val="24"/>
          <w:highlight w:val="none"/>
        </w:rPr>
        <w:t>费</w:t>
      </w:r>
      <w:r>
        <w:rPr>
          <w:rFonts w:hint="eastAsia" w:ascii="宋体" w:hAnsi="宋体" w:eastAsia="宋体" w:cs="宋体"/>
          <w:spacing w:val="-1"/>
          <w:sz w:val="24"/>
          <w:szCs w:val="24"/>
          <w:highlight w:val="none"/>
        </w:rPr>
        <w:t>用承担</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投标人准备和参加投标活动发生的一切费用自理，不论投标结果如何，招标人概不负责。</w:t>
      </w:r>
    </w:p>
    <w:p>
      <w:pPr>
        <w:spacing w:line="360" w:lineRule="auto"/>
        <w:ind w:firstLine="464" w:firstLineChars="200"/>
        <w:jc w:val="both"/>
        <w:rPr>
          <w:rFonts w:ascii="宋体" w:hAnsi="宋体" w:eastAsia="宋体" w:cs="宋体"/>
          <w:sz w:val="24"/>
          <w:szCs w:val="24"/>
          <w:highlight w:val="none"/>
        </w:rPr>
      </w:pPr>
      <w:r>
        <w:rPr>
          <w:rFonts w:hint="eastAsia" w:ascii="宋体" w:hAnsi="宋体" w:eastAsia="宋体" w:cs="宋体"/>
          <w:spacing w:val="-4"/>
          <w:sz w:val="24"/>
          <w:szCs w:val="24"/>
          <w:highlight w:val="none"/>
        </w:rPr>
        <w:t>1.</w:t>
      </w:r>
      <w:r>
        <w:rPr>
          <w:rFonts w:hint="eastAsia" w:ascii="宋体" w:hAnsi="宋体" w:eastAsia="宋体" w:cs="宋体"/>
          <w:spacing w:val="-2"/>
          <w:sz w:val="24"/>
          <w:szCs w:val="24"/>
          <w:highlight w:val="none"/>
          <w:lang w:val="en-US" w:eastAsia="zh-CN"/>
        </w:rPr>
        <w:t>7、</w:t>
      </w:r>
      <w:r>
        <w:rPr>
          <w:rFonts w:hint="eastAsia" w:ascii="宋体" w:hAnsi="宋体" w:eastAsia="宋体" w:cs="宋体"/>
          <w:spacing w:val="-2"/>
          <w:sz w:val="24"/>
          <w:szCs w:val="24"/>
          <w:highlight w:val="none"/>
        </w:rPr>
        <w:t>保密</w:t>
      </w:r>
    </w:p>
    <w:p>
      <w:pPr>
        <w:spacing w:line="360" w:lineRule="auto"/>
        <w:ind w:firstLine="476" w:firstLineChars="200"/>
        <w:jc w:val="both"/>
        <w:rPr>
          <w:rFonts w:ascii="宋体" w:hAnsi="宋体" w:eastAsia="宋体" w:cs="宋体"/>
          <w:sz w:val="24"/>
          <w:szCs w:val="24"/>
          <w:highlight w:val="none"/>
        </w:rPr>
      </w:pPr>
      <w:r>
        <w:rPr>
          <w:rFonts w:hint="eastAsia" w:ascii="宋体" w:hAnsi="宋体" w:eastAsia="宋体" w:cs="宋体"/>
          <w:spacing w:val="-1"/>
          <w:sz w:val="24"/>
          <w:szCs w:val="24"/>
          <w:highlight w:val="none"/>
        </w:rPr>
        <w:t>参与</w:t>
      </w:r>
      <w:r>
        <w:rPr>
          <w:rFonts w:hint="eastAsia" w:ascii="宋体" w:hAnsi="宋体" w:eastAsia="宋体" w:cs="宋体"/>
          <w:sz w:val="24"/>
          <w:szCs w:val="24"/>
          <w:highlight w:val="none"/>
        </w:rPr>
        <w:t>招标投标活动的各方应对招标文件和投标文件中的商业和技术等秘密保密，违者应对由此造成的</w:t>
      </w:r>
      <w:r>
        <w:rPr>
          <w:rFonts w:hint="eastAsia" w:ascii="宋体" w:hAnsi="宋体" w:eastAsia="宋体" w:cs="宋体"/>
          <w:spacing w:val="-4"/>
          <w:sz w:val="24"/>
          <w:szCs w:val="24"/>
          <w:highlight w:val="none"/>
        </w:rPr>
        <w:t>后果</w:t>
      </w:r>
      <w:r>
        <w:rPr>
          <w:rFonts w:hint="eastAsia" w:ascii="宋体" w:hAnsi="宋体" w:eastAsia="宋体" w:cs="宋体"/>
          <w:spacing w:val="-2"/>
          <w:sz w:val="24"/>
          <w:szCs w:val="24"/>
          <w:highlight w:val="none"/>
        </w:rPr>
        <w:t>承担法律责任。</w:t>
      </w:r>
    </w:p>
    <w:p>
      <w:pPr>
        <w:spacing w:line="360" w:lineRule="auto"/>
        <w:ind w:firstLine="472" w:firstLineChars="200"/>
        <w:jc w:val="both"/>
        <w:rPr>
          <w:rFonts w:ascii="宋体" w:hAnsi="宋体" w:eastAsia="宋体" w:cs="宋体"/>
          <w:sz w:val="24"/>
          <w:szCs w:val="24"/>
          <w:highlight w:val="none"/>
        </w:rPr>
      </w:pPr>
      <w:r>
        <w:rPr>
          <w:rFonts w:hint="eastAsia" w:ascii="宋体" w:hAnsi="宋体" w:eastAsia="宋体" w:cs="宋体"/>
          <w:spacing w:val="-2"/>
          <w:sz w:val="24"/>
          <w:szCs w:val="24"/>
          <w:highlight w:val="none"/>
        </w:rPr>
        <w:t>1.</w:t>
      </w:r>
      <w:r>
        <w:rPr>
          <w:rFonts w:hint="eastAsia" w:ascii="宋体" w:hAnsi="宋体" w:eastAsia="宋体" w:cs="宋体"/>
          <w:spacing w:val="-2"/>
          <w:sz w:val="24"/>
          <w:szCs w:val="24"/>
          <w:highlight w:val="none"/>
          <w:lang w:val="en-US" w:eastAsia="zh-CN"/>
        </w:rPr>
        <w:t>8、</w:t>
      </w:r>
      <w:r>
        <w:rPr>
          <w:rFonts w:hint="eastAsia" w:ascii="宋体" w:hAnsi="宋体" w:eastAsia="宋体" w:cs="宋体"/>
          <w:spacing w:val="-2"/>
          <w:sz w:val="24"/>
          <w:szCs w:val="24"/>
          <w:highlight w:val="none"/>
        </w:rPr>
        <w:t>语言文字</w:t>
      </w:r>
    </w:p>
    <w:p>
      <w:pPr>
        <w:spacing w:line="360" w:lineRule="auto"/>
        <w:ind w:firstLine="456" w:firstLineChars="200"/>
        <w:jc w:val="both"/>
        <w:rPr>
          <w:rFonts w:ascii="宋体" w:hAnsi="宋体" w:eastAsia="宋体" w:cs="宋体"/>
          <w:sz w:val="24"/>
          <w:szCs w:val="24"/>
          <w:highlight w:val="none"/>
        </w:rPr>
      </w:pPr>
      <w:r>
        <w:rPr>
          <w:rFonts w:hint="eastAsia" w:ascii="宋体" w:hAnsi="宋体" w:eastAsia="宋体" w:cs="宋体"/>
          <w:spacing w:val="-6"/>
          <w:sz w:val="24"/>
          <w:szCs w:val="24"/>
          <w:highlight w:val="none"/>
        </w:rPr>
        <w:t>除专用术语</w:t>
      </w:r>
      <w:r>
        <w:rPr>
          <w:rFonts w:hint="eastAsia" w:ascii="宋体" w:hAnsi="宋体" w:eastAsia="宋体" w:cs="宋体"/>
          <w:spacing w:val="-4"/>
          <w:sz w:val="24"/>
          <w:szCs w:val="24"/>
          <w:highlight w:val="none"/>
        </w:rPr>
        <w:t>外</w:t>
      </w:r>
      <w:r>
        <w:rPr>
          <w:rFonts w:hint="eastAsia" w:ascii="宋体" w:hAnsi="宋体" w:eastAsia="宋体" w:cs="宋体"/>
          <w:spacing w:val="-3"/>
          <w:sz w:val="24"/>
          <w:szCs w:val="24"/>
          <w:highlight w:val="none"/>
        </w:rPr>
        <w:t>，与招标投标有关的语言均使用中文。必要时专用术语应附有中文注释。</w:t>
      </w:r>
    </w:p>
    <w:p>
      <w:pPr>
        <w:spacing w:line="360" w:lineRule="auto"/>
        <w:ind w:firstLine="468" w:firstLineChars="200"/>
        <w:jc w:val="both"/>
        <w:rPr>
          <w:rFonts w:ascii="宋体" w:hAnsi="宋体" w:eastAsia="宋体" w:cs="宋体"/>
          <w:sz w:val="24"/>
          <w:szCs w:val="24"/>
          <w:highlight w:val="none"/>
        </w:rPr>
      </w:pPr>
      <w:r>
        <w:rPr>
          <w:rFonts w:hint="eastAsia" w:ascii="宋体" w:hAnsi="宋体" w:eastAsia="宋体" w:cs="宋体"/>
          <w:spacing w:val="-3"/>
          <w:sz w:val="24"/>
          <w:szCs w:val="24"/>
          <w:highlight w:val="none"/>
        </w:rPr>
        <w:t>1</w:t>
      </w:r>
      <w:r>
        <w:rPr>
          <w:rFonts w:hint="eastAsia" w:ascii="宋体" w:hAnsi="宋体" w:eastAsia="宋体" w:cs="宋体"/>
          <w:spacing w:val="-2"/>
          <w:sz w:val="24"/>
          <w:szCs w:val="24"/>
          <w:highlight w:val="none"/>
        </w:rPr>
        <w:t>.</w:t>
      </w:r>
      <w:r>
        <w:rPr>
          <w:rFonts w:hint="eastAsia" w:ascii="宋体" w:hAnsi="宋体" w:eastAsia="宋体" w:cs="宋体"/>
          <w:spacing w:val="-2"/>
          <w:sz w:val="24"/>
          <w:szCs w:val="24"/>
          <w:highlight w:val="none"/>
          <w:lang w:val="en-US" w:eastAsia="zh-CN"/>
        </w:rPr>
        <w:t>9、</w:t>
      </w:r>
      <w:r>
        <w:rPr>
          <w:rFonts w:hint="eastAsia" w:ascii="宋体" w:hAnsi="宋体" w:eastAsia="宋体" w:cs="宋体"/>
          <w:spacing w:val="-2"/>
          <w:sz w:val="24"/>
          <w:szCs w:val="24"/>
          <w:highlight w:val="none"/>
        </w:rPr>
        <w:t>计量单位</w:t>
      </w:r>
    </w:p>
    <w:p>
      <w:pPr>
        <w:spacing w:line="360" w:lineRule="auto"/>
        <w:ind w:firstLine="476" w:firstLineChars="200"/>
        <w:jc w:val="both"/>
        <w:rPr>
          <w:rFonts w:ascii="宋体" w:hAnsi="宋体" w:eastAsia="宋体" w:cs="宋体"/>
          <w:sz w:val="24"/>
          <w:szCs w:val="24"/>
          <w:highlight w:val="none"/>
        </w:rPr>
      </w:pPr>
      <w:r>
        <w:rPr>
          <w:rFonts w:hint="eastAsia" w:ascii="宋体" w:hAnsi="宋体" w:eastAsia="宋体" w:cs="宋体"/>
          <w:spacing w:val="-1"/>
          <w:sz w:val="24"/>
          <w:szCs w:val="24"/>
          <w:highlight w:val="none"/>
        </w:rPr>
        <w:t>所有计</w:t>
      </w:r>
      <w:r>
        <w:rPr>
          <w:rFonts w:hint="eastAsia" w:ascii="宋体" w:hAnsi="宋体" w:eastAsia="宋体" w:cs="宋体"/>
          <w:sz w:val="24"/>
          <w:szCs w:val="24"/>
          <w:highlight w:val="none"/>
        </w:rPr>
        <w:t>量均采用中华人民共和国法定计量单位。</w:t>
      </w:r>
    </w:p>
    <w:p>
      <w:pPr>
        <w:spacing w:line="360" w:lineRule="auto"/>
        <w:ind w:firstLine="472" w:firstLineChars="200"/>
        <w:jc w:val="both"/>
        <w:rPr>
          <w:rFonts w:ascii="宋体" w:hAnsi="宋体" w:eastAsia="宋体" w:cs="宋体"/>
          <w:sz w:val="24"/>
          <w:szCs w:val="24"/>
          <w:highlight w:val="none"/>
        </w:rPr>
      </w:pPr>
      <w:r>
        <w:rPr>
          <w:rFonts w:hint="eastAsia" w:ascii="宋体" w:hAnsi="宋体" w:eastAsia="宋体" w:cs="宋体"/>
          <w:spacing w:val="-2"/>
          <w:sz w:val="24"/>
          <w:szCs w:val="24"/>
          <w:highlight w:val="none"/>
        </w:rPr>
        <w:t>1.</w:t>
      </w:r>
      <w:r>
        <w:rPr>
          <w:rFonts w:hint="eastAsia" w:ascii="宋体" w:hAnsi="宋体" w:eastAsia="宋体" w:cs="宋体"/>
          <w:spacing w:val="-2"/>
          <w:sz w:val="24"/>
          <w:szCs w:val="24"/>
          <w:highlight w:val="none"/>
          <w:lang w:val="en-US" w:eastAsia="zh-CN"/>
        </w:rPr>
        <w:t>10、</w:t>
      </w:r>
      <w:r>
        <w:rPr>
          <w:rFonts w:hint="eastAsia" w:ascii="宋体" w:hAnsi="宋体" w:eastAsia="宋体" w:cs="宋体"/>
          <w:spacing w:val="-2"/>
          <w:sz w:val="24"/>
          <w:szCs w:val="24"/>
          <w:highlight w:val="none"/>
        </w:rPr>
        <w:t>踏勘现场</w:t>
      </w:r>
    </w:p>
    <w:p>
      <w:pPr>
        <w:spacing w:line="360" w:lineRule="auto"/>
        <w:ind w:firstLine="472" w:firstLineChars="200"/>
        <w:jc w:val="both"/>
        <w:rPr>
          <w:rFonts w:ascii="宋体" w:hAnsi="宋体" w:eastAsia="宋体" w:cs="宋体"/>
          <w:sz w:val="24"/>
          <w:szCs w:val="24"/>
          <w:highlight w:val="none"/>
        </w:rPr>
      </w:pPr>
      <w:r>
        <w:rPr>
          <w:rFonts w:hint="eastAsia" w:ascii="宋体" w:hAnsi="宋体" w:eastAsia="宋体" w:cs="宋体"/>
          <w:spacing w:val="-2"/>
          <w:sz w:val="24"/>
          <w:szCs w:val="24"/>
          <w:highlight w:val="none"/>
        </w:rPr>
        <w:t>本项目不组织现场踏勘</w:t>
      </w:r>
      <w:r>
        <w:rPr>
          <w:rFonts w:hint="eastAsia" w:ascii="宋体" w:hAnsi="宋体" w:eastAsia="宋体" w:cs="宋体"/>
          <w:spacing w:val="-1"/>
          <w:sz w:val="24"/>
          <w:szCs w:val="24"/>
          <w:highlight w:val="none"/>
        </w:rPr>
        <w:t>。</w:t>
      </w:r>
    </w:p>
    <w:p>
      <w:pPr>
        <w:spacing w:line="360" w:lineRule="auto"/>
        <w:ind w:firstLine="472" w:firstLineChars="200"/>
        <w:jc w:val="both"/>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1.1</w:t>
      </w:r>
      <w:r>
        <w:rPr>
          <w:rFonts w:hint="eastAsia" w:ascii="宋体" w:hAnsi="宋体" w:eastAsia="宋体" w:cs="宋体"/>
          <w:spacing w:val="-2"/>
          <w:sz w:val="24"/>
          <w:szCs w:val="24"/>
          <w:highlight w:val="none"/>
          <w:lang w:val="en-US" w:eastAsia="zh-CN"/>
        </w:rPr>
        <w:t>1、</w:t>
      </w:r>
      <w:r>
        <w:rPr>
          <w:rFonts w:hint="eastAsia" w:ascii="宋体" w:hAnsi="宋体" w:eastAsia="宋体" w:cs="宋体"/>
          <w:sz w:val="24"/>
          <w:szCs w:val="24"/>
          <w:highlight w:val="none"/>
        </w:rPr>
        <w:t>投标预备会</w:t>
      </w:r>
    </w:p>
    <w:p>
      <w:pPr>
        <w:spacing w:line="36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本项目不召开预备会。</w:t>
      </w:r>
    </w:p>
    <w:p>
      <w:pPr>
        <w:spacing w:line="36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1.1</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分包</w:t>
      </w:r>
    </w:p>
    <w:p>
      <w:pPr>
        <w:spacing w:line="36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本项目不接受任何分包。</w:t>
      </w:r>
    </w:p>
    <w:p>
      <w:pPr>
        <w:spacing w:line="36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1.1</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偏离</w:t>
      </w:r>
    </w:p>
    <w:p>
      <w:pPr>
        <w:spacing w:line="36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投标文件对招标文件的全部偏差，均应在投标文件的商务和技术偏差表中列明。</w:t>
      </w:r>
    </w:p>
    <w:p>
      <w:pPr>
        <w:spacing w:line="36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二、招标文件</w:t>
      </w:r>
    </w:p>
    <w:p>
      <w:pPr>
        <w:spacing w:line="360" w:lineRule="auto"/>
        <w:ind w:firstLine="476" w:firstLineChars="200"/>
        <w:jc w:val="both"/>
        <w:rPr>
          <w:rFonts w:ascii="宋体" w:hAnsi="宋体" w:eastAsia="宋体" w:cs="宋体"/>
          <w:sz w:val="24"/>
          <w:szCs w:val="24"/>
          <w:highlight w:val="none"/>
        </w:rPr>
      </w:pPr>
      <w:r>
        <w:rPr>
          <w:rFonts w:hint="eastAsia" w:ascii="宋体" w:hAnsi="宋体" w:eastAsia="宋体" w:cs="宋体"/>
          <w:spacing w:val="-1"/>
          <w:sz w:val="24"/>
          <w:szCs w:val="24"/>
          <w:highlight w:val="none"/>
        </w:rPr>
        <w:t>2</w:t>
      </w: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招标文件构成</w:t>
      </w:r>
    </w:p>
    <w:p>
      <w:pPr>
        <w:spacing w:line="360" w:lineRule="auto"/>
        <w:ind w:firstLine="476"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要求提供的货物和服务、招标过程、合同条件和技术要求在招标文件中均有说明。招标文件的内容如下：</w:t>
      </w:r>
    </w:p>
    <w:p>
      <w:pPr>
        <w:spacing w:line="360" w:lineRule="auto"/>
        <w:ind w:firstLine="476"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第一部分</w:t>
      </w:r>
      <w:r>
        <w:rPr>
          <w:rFonts w:hint="eastAsia" w:ascii="宋体" w:hAnsi="宋体" w:eastAsia="宋体" w:cs="宋体"/>
          <w:spacing w:val="-1"/>
          <w:sz w:val="24"/>
          <w:szCs w:val="24"/>
          <w:highlight w:val="none"/>
          <w:lang w:val="en-US" w:eastAsia="zh-CN"/>
        </w:rPr>
        <w:t xml:space="preserve"> </w:t>
      </w:r>
      <w:r>
        <w:rPr>
          <w:rFonts w:hint="eastAsia" w:ascii="宋体" w:hAnsi="宋体" w:eastAsia="宋体" w:cs="宋体"/>
          <w:spacing w:val="-1"/>
          <w:sz w:val="24"/>
          <w:szCs w:val="24"/>
          <w:highlight w:val="none"/>
        </w:rPr>
        <w:t>招标公告</w:t>
      </w:r>
    </w:p>
    <w:p>
      <w:pPr>
        <w:spacing w:line="360" w:lineRule="auto"/>
        <w:ind w:firstLine="476"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第二部分</w:t>
      </w:r>
      <w:r>
        <w:rPr>
          <w:rFonts w:hint="eastAsia" w:ascii="宋体" w:hAnsi="宋体" w:eastAsia="宋体" w:cs="宋体"/>
          <w:spacing w:val="-1"/>
          <w:sz w:val="24"/>
          <w:szCs w:val="24"/>
          <w:highlight w:val="none"/>
          <w:lang w:val="en-US" w:eastAsia="zh-CN"/>
        </w:rPr>
        <w:t xml:space="preserve"> </w:t>
      </w:r>
      <w:r>
        <w:rPr>
          <w:rFonts w:hint="eastAsia" w:ascii="宋体" w:hAnsi="宋体" w:eastAsia="宋体" w:cs="宋体"/>
          <w:spacing w:val="-1"/>
          <w:sz w:val="24"/>
          <w:szCs w:val="24"/>
          <w:highlight w:val="none"/>
        </w:rPr>
        <w:t>投标人须知</w:t>
      </w:r>
    </w:p>
    <w:p>
      <w:pPr>
        <w:spacing w:line="360" w:lineRule="auto"/>
        <w:ind w:firstLine="476"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第三部分</w:t>
      </w:r>
      <w:r>
        <w:rPr>
          <w:rFonts w:hint="eastAsia" w:ascii="宋体" w:hAnsi="宋体" w:eastAsia="宋体" w:cs="宋体"/>
          <w:spacing w:val="-1"/>
          <w:sz w:val="24"/>
          <w:szCs w:val="24"/>
          <w:highlight w:val="none"/>
          <w:lang w:val="en-US" w:eastAsia="zh-CN"/>
        </w:rPr>
        <w:t xml:space="preserve"> </w:t>
      </w:r>
      <w:r>
        <w:rPr>
          <w:rFonts w:hint="eastAsia" w:ascii="宋体" w:hAnsi="宋体" w:eastAsia="宋体" w:cs="宋体"/>
          <w:spacing w:val="-1"/>
          <w:sz w:val="24"/>
          <w:szCs w:val="24"/>
          <w:highlight w:val="none"/>
        </w:rPr>
        <w:t>投标人须知正文部分</w:t>
      </w:r>
    </w:p>
    <w:p>
      <w:pPr>
        <w:spacing w:line="360" w:lineRule="auto"/>
        <w:ind w:firstLine="476" w:firstLineChars="200"/>
        <w:jc w:val="both"/>
        <w:rPr>
          <w:rFonts w:eastAsia="宋体"/>
          <w:highlight w:val="none"/>
        </w:rPr>
      </w:pPr>
      <w:r>
        <w:rPr>
          <w:rFonts w:hint="eastAsia" w:ascii="宋体" w:hAnsi="宋体" w:eastAsia="宋体" w:cs="宋体"/>
          <w:spacing w:val="-1"/>
          <w:sz w:val="24"/>
          <w:szCs w:val="24"/>
          <w:highlight w:val="none"/>
        </w:rPr>
        <w:t>第四部分 项目采购内容及技术要求</w:t>
      </w:r>
    </w:p>
    <w:p>
      <w:pPr>
        <w:spacing w:line="360" w:lineRule="auto"/>
        <w:ind w:firstLine="476" w:firstLineChars="200"/>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rPr>
        <w:t>第五部分</w:t>
      </w:r>
      <w:r>
        <w:rPr>
          <w:rFonts w:hint="eastAsia" w:ascii="宋体" w:hAnsi="宋体" w:eastAsia="宋体" w:cs="宋体"/>
          <w:spacing w:val="-1"/>
          <w:sz w:val="24"/>
          <w:szCs w:val="24"/>
          <w:highlight w:val="none"/>
          <w:lang w:val="en-US" w:eastAsia="zh-CN"/>
        </w:rPr>
        <w:t xml:space="preserve"> </w:t>
      </w:r>
      <w:r>
        <w:rPr>
          <w:rFonts w:hint="eastAsia" w:ascii="宋体" w:hAnsi="宋体" w:eastAsia="宋体" w:cs="宋体"/>
          <w:spacing w:val="-1"/>
          <w:sz w:val="24"/>
          <w:szCs w:val="24"/>
          <w:highlight w:val="none"/>
        </w:rPr>
        <w:t>合同</w:t>
      </w:r>
      <w:r>
        <w:rPr>
          <w:rFonts w:hint="eastAsia" w:ascii="宋体" w:hAnsi="宋体" w:eastAsia="宋体" w:cs="宋体"/>
          <w:spacing w:val="-1"/>
          <w:sz w:val="24"/>
          <w:szCs w:val="24"/>
          <w:highlight w:val="none"/>
          <w:lang w:eastAsia="zh-CN"/>
        </w:rPr>
        <w:t>格式</w:t>
      </w:r>
    </w:p>
    <w:p>
      <w:pPr>
        <w:spacing w:line="360" w:lineRule="auto"/>
        <w:ind w:firstLine="476"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第六部分</w:t>
      </w:r>
      <w:r>
        <w:rPr>
          <w:rFonts w:hint="eastAsia" w:ascii="宋体" w:hAnsi="宋体" w:eastAsia="宋体" w:cs="宋体"/>
          <w:spacing w:val="-1"/>
          <w:sz w:val="24"/>
          <w:szCs w:val="24"/>
          <w:highlight w:val="none"/>
          <w:lang w:val="en-US" w:eastAsia="zh-CN"/>
        </w:rPr>
        <w:t xml:space="preserve"> </w:t>
      </w:r>
      <w:r>
        <w:rPr>
          <w:rFonts w:hint="eastAsia" w:ascii="宋体" w:hAnsi="宋体" w:eastAsia="宋体" w:cs="宋体"/>
          <w:spacing w:val="-1"/>
          <w:sz w:val="24"/>
          <w:szCs w:val="24"/>
          <w:highlight w:val="none"/>
        </w:rPr>
        <w:t>标投标文件格式</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2.2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招标文件的澄清</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2.2.1 投标人应仔细阅读和检查招标文件的全部内容。如发现缺页或附件不全或者有其他疑问，应及时向招标人(或代理机构)提出，以便补齐。如有疑问，</w:t>
      </w:r>
      <w:r>
        <w:rPr>
          <w:rFonts w:ascii="宋体" w:hAnsi="宋体" w:eastAsia="宋体" w:cs="宋体"/>
          <w:sz w:val="24"/>
          <w:szCs w:val="24"/>
          <w:highlight w:val="none"/>
        </w:rPr>
        <w:t>应按</w:t>
      </w:r>
      <w:r>
        <w:rPr>
          <w:rFonts w:hint="eastAsia" w:ascii="宋体" w:hAnsi="宋体" w:eastAsia="宋体" w:cs="宋体"/>
          <w:sz w:val="24"/>
          <w:szCs w:val="24"/>
          <w:highlight w:val="none"/>
          <w:lang w:eastAsia="zh-CN"/>
        </w:rPr>
        <w:t>投标人</w:t>
      </w:r>
      <w:r>
        <w:rPr>
          <w:rFonts w:ascii="宋体" w:hAnsi="宋体" w:eastAsia="宋体" w:cs="宋体"/>
          <w:sz w:val="24"/>
          <w:szCs w:val="24"/>
          <w:highlight w:val="none"/>
        </w:rPr>
        <w:t>须知前附表规定的时间</w:t>
      </w:r>
      <w:r>
        <w:rPr>
          <w:rFonts w:hint="eastAsia" w:ascii="宋体" w:hAnsi="宋体" w:eastAsia="宋体" w:cs="宋体"/>
          <w:sz w:val="24"/>
          <w:szCs w:val="24"/>
          <w:highlight w:val="none"/>
        </w:rPr>
        <w:t>以书面形式(加盖单位公章且法人签字)由法定代表人或其原授权代表携带企业营业执照副本(原件)及本人身份证件(原件)向招标人和招标代理机构提出(邮件、传真件不予受理)，要求招标人(或代理机构)对招标文件予以澄清。投标人在规定时间内未对招标文件提出澄清要求，视为投标人全部认同招标文件。</w:t>
      </w:r>
    </w:p>
    <w:p>
      <w:pPr>
        <w:spacing w:line="360" w:lineRule="auto"/>
        <w:ind w:firstLine="480" w:firstLineChars="200"/>
        <w:jc w:val="both"/>
        <w:rPr>
          <w:rFonts w:hint="eastAsia" w:ascii="宋体" w:hAnsi="宋体" w:eastAsia="宋体" w:cs="宋体"/>
          <w:sz w:val="24"/>
          <w:szCs w:val="24"/>
          <w:highlight w:val="none"/>
        </w:rPr>
        <w:sectPr>
          <w:footerReference r:id="rId8" w:type="default"/>
          <w:pgSz w:w="11906" w:h="16839"/>
          <w:pgMar w:top="986" w:right="1246" w:bottom="856" w:left="1418" w:header="711" w:footer="683" w:gutter="0"/>
          <w:pgNumType w:fmt="numberInDash"/>
          <w:cols w:space="720" w:num="1"/>
        </w:sectPr>
      </w:pPr>
    </w:p>
    <w:p>
      <w:pPr>
        <w:spacing w:line="36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2.2.2 招标文件的澄清将在投标人须知前附表规定的投标截止时间15天前以公告形式通知投标人，但不指明澄清问题的来源。澄清发出的时间距投标截止时间不足 15 日的，并且澄清内容可能影响投标文件编制的，将相应延长投标截止时间。</w:t>
      </w:r>
    </w:p>
    <w:p>
      <w:pPr>
        <w:spacing w:line="36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招标文件的修改</w:t>
      </w:r>
    </w:p>
    <w:p>
      <w:pPr>
        <w:spacing w:line="36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在投标截止时间15天前，招标人可以书面形式修改招标文件，并以公告形式通知投标人。</w:t>
      </w:r>
    </w:p>
    <w:p>
      <w:pPr>
        <w:spacing w:line="36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质疑</w:t>
      </w:r>
    </w:p>
    <w:p>
      <w:pPr>
        <w:spacing w:line="36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潜在供应商已依法获取其可质疑的采购文件的，可以对该文件提出质疑。对采购文件提出质疑的，应当在获取采购文件或者采购文件公告期限届满之日起7个工作日内提出，供应商在法定质疑期内一次性提出针对同一采购程序环节的质疑。质疑函须按照财政部发布的质疑函范本格式提交，不符合格式要求的将被拒绝接收。</w:t>
      </w:r>
    </w:p>
    <w:p>
      <w:pPr>
        <w:spacing w:line="36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采购人、采购代理机构不得拒收质疑供应商在法定质疑期内发出的质疑函，应当在收到质疑函后7个工作日内作出答复，并以书面形式通知质疑供应商和其他有关供应商。具体参照中华人民共和国财政部令第94号--《政府采购质疑和投诉办法》。超出法定质疑期的、重复提出的、分次提出的或内容、形式不符合《政府采购质疑和投诉办法》的，质疑供应商将依法承担不利后果。</w:t>
      </w:r>
    </w:p>
    <w:p>
      <w:pPr>
        <w:spacing w:line="360" w:lineRule="auto"/>
        <w:ind w:firstLine="476" w:firstLineChars="200"/>
        <w:jc w:val="both"/>
        <w:outlineLvl w:val="9"/>
        <w:rPr>
          <w:rFonts w:ascii="宋体" w:hAnsi="宋体" w:eastAsia="宋体" w:cs="宋体"/>
          <w:sz w:val="24"/>
          <w:szCs w:val="24"/>
          <w:highlight w:val="none"/>
        </w:rPr>
      </w:pPr>
      <w:r>
        <w:rPr>
          <w:rFonts w:hint="eastAsia" w:ascii="宋体" w:hAnsi="宋体" w:eastAsia="宋体" w:cs="宋体"/>
          <w:spacing w:val="-1"/>
          <w:sz w:val="24"/>
          <w:szCs w:val="24"/>
          <w:highlight w:val="none"/>
        </w:rPr>
        <w:t>三</w:t>
      </w:r>
      <w:r>
        <w:rPr>
          <w:rFonts w:hint="eastAsia" w:ascii="宋体" w:hAnsi="宋体" w:eastAsia="宋体" w:cs="宋体"/>
          <w:sz w:val="24"/>
          <w:szCs w:val="24"/>
          <w:highlight w:val="none"/>
        </w:rPr>
        <w:t>、投标文件</w:t>
      </w:r>
    </w:p>
    <w:p>
      <w:pPr>
        <w:spacing w:line="360" w:lineRule="auto"/>
        <w:ind w:firstLine="476"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3.1</w:t>
      </w:r>
      <w:r>
        <w:rPr>
          <w:rFonts w:hint="eastAsia" w:ascii="宋体" w:hAnsi="宋体" w:eastAsia="宋体" w:cs="宋体"/>
          <w:spacing w:val="-1"/>
          <w:sz w:val="24"/>
          <w:szCs w:val="24"/>
          <w:highlight w:val="none"/>
          <w:lang w:eastAsia="zh-CN"/>
        </w:rPr>
        <w:t>、</w:t>
      </w:r>
      <w:r>
        <w:rPr>
          <w:rFonts w:hint="eastAsia" w:ascii="宋体" w:hAnsi="宋体" w:eastAsia="宋体" w:cs="宋体"/>
          <w:spacing w:val="-1"/>
          <w:sz w:val="24"/>
          <w:szCs w:val="24"/>
          <w:highlight w:val="none"/>
        </w:rPr>
        <w:t>投标的语言</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投标人提交的投标文件以及投标人与招标人就有关投标的所有来往函电均应使用中文书写。</w:t>
      </w:r>
    </w:p>
    <w:p>
      <w:pPr>
        <w:spacing w:line="360" w:lineRule="auto"/>
        <w:ind w:firstLine="476"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3.2</w:t>
      </w:r>
      <w:r>
        <w:rPr>
          <w:rFonts w:hint="eastAsia" w:ascii="宋体" w:hAnsi="宋体" w:eastAsia="宋体" w:cs="宋体"/>
          <w:spacing w:val="-1"/>
          <w:sz w:val="24"/>
          <w:szCs w:val="24"/>
          <w:highlight w:val="none"/>
          <w:lang w:eastAsia="zh-CN"/>
        </w:rPr>
        <w:t>、</w:t>
      </w:r>
      <w:r>
        <w:rPr>
          <w:rFonts w:hint="eastAsia" w:ascii="宋体" w:hAnsi="宋体" w:eastAsia="宋体" w:cs="宋体"/>
          <w:spacing w:val="-1"/>
          <w:sz w:val="24"/>
          <w:szCs w:val="24"/>
          <w:highlight w:val="none"/>
        </w:rPr>
        <w:t>投标文件构成</w:t>
      </w:r>
    </w:p>
    <w:p>
      <w:pPr>
        <w:spacing w:line="360" w:lineRule="auto"/>
        <w:ind w:firstLine="476"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投标人编写的投标文件应包括下列内容(不限于)：</w:t>
      </w:r>
    </w:p>
    <w:p>
      <w:pPr>
        <w:spacing w:line="360" w:lineRule="auto"/>
        <w:ind w:firstLine="476" w:firstLineChars="200"/>
        <w:jc w:val="both"/>
        <w:rPr>
          <w:rFonts w:hint="default"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详见招标文件“第六部分 投标文件格式”</w:t>
      </w:r>
    </w:p>
    <w:p>
      <w:pPr>
        <w:spacing w:line="360" w:lineRule="auto"/>
        <w:ind w:firstLine="476"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3.3</w:t>
      </w:r>
      <w:r>
        <w:rPr>
          <w:rFonts w:hint="eastAsia" w:ascii="宋体" w:hAnsi="宋体" w:eastAsia="宋体" w:cs="宋体"/>
          <w:spacing w:val="-1"/>
          <w:sz w:val="24"/>
          <w:szCs w:val="24"/>
          <w:highlight w:val="none"/>
          <w:lang w:eastAsia="zh-CN"/>
        </w:rPr>
        <w:t>、</w:t>
      </w:r>
      <w:r>
        <w:rPr>
          <w:rFonts w:hint="eastAsia" w:ascii="宋体" w:hAnsi="宋体" w:eastAsia="宋体" w:cs="宋体"/>
          <w:spacing w:val="-1"/>
          <w:sz w:val="24"/>
          <w:szCs w:val="24"/>
          <w:highlight w:val="none"/>
        </w:rPr>
        <w:t>投标文件的编制</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3.3.1 投标文件应按招标文件提供的“投标文件格式”进行编写，如有必要，可以增加附页，作为投标文件的组成部分。其中，投标文件中的开标一览表在满足招标文件实质性要求的基础上，可以提出比招标文件要求更有利于招标人的承诺。</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3.3.2 投标文件应当对招标文件有关</w:t>
      </w:r>
      <w:r>
        <w:rPr>
          <w:rFonts w:hint="eastAsia" w:ascii="宋体" w:hAnsi="宋体" w:eastAsia="宋体" w:cs="宋体"/>
          <w:sz w:val="24"/>
          <w:szCs w:val="24"/>
          <w:highlight w:val="none"/>
          <w:lang w:val="en-US" w:eastAsia="zh-CN"/>
        </w:rPr>
        <w:t>供货期</w:t>
      </w:r>
      <w:r>
        <w:rPr>
          <w:rFonts w:hint="eastAsia" w:ascii="宋体" w:hAnsi="宋体" w:eastAsia="宋体" w:cs="宋体"/>
          <w:sz w:val="24"/>
          <w:szCs w:val="24"/>
          <w:highlight w:val="none"/>
        </w:rPr>
        <w:t>、投标有效期、质量要求、技术标准和要求、招标范围等实质性内容作出响应。</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3.3.3 投标文件电子签章的具体要求见投标人须知前附表。</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3.3.4 投标文件份数详见投标人须知前附表。</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3.3.5 不允许递交备选投标方案。</w:t>
      </w:r>
    </w:p>
    <w:p>
      <w:pPr>
        <w:spacing w:line="360" w:lineRule="auto"/>
        <w:ind w:firstLine="476" w:firstLineChars="200"/>
        <w:jc w:val="both"/>
        <w:rPr>
          <w:rFonts w:hint="eastAsia" w:ascii="宋体" w:hAnsi="宋体" w:eastAsia="宋体" w:cs="宋体"/>
          <w:spacing w:val="-1"/>
          <w:sz w:val="24"/>
          <w:szCs w:val="24"/>
          <w:highlight w:val="none"/>
        </w:rPr>
        <w:sectPr>
          <w:footerReference r:id="rId9" w:type="default"/>
          <w:pgSz w:w="11906" w:h="16839"/>
          <w:pgMar w:top="986" w:right="1246" w:bottom="856" w:left="1418" w:header="711" w:footer="683" w:gutter="0"/>
          <w:pgNumType w:fmt="numberInDash"/>
          <w:cols w:space="720" w:num="1"/>
        </w:sectPr>
      </w:pPr>
    </w:p>
    <w:p>
      <w:pPr>
        <w:spacing w:line="360" w:lineRule="auto"/>
        <w:ind w:firstLine="476" w:firstLineChars="200"/>
        <w:jc w:val="both"/>
        <w:rPr>
          <w:rFonts w:ascii="宋体" w:hAnsi="宋体" w:eastAsia="宋体" w:cs="宋体"/>
          <w:sz w:val="24"/>
          <w:szCs w:val="24"/>
          <w:highlight w:val="none"/>
        </w:rPr>
      </w:pPr>
      <w:r>
        <w:rPr>
          <w:rFonts w:hint="eastAsia" w:ascii="宋体" w:hAnsi="宋体" w:eastAsia="宋体" w:cs="宋体"/>
          <w:spacing w:val="-1"/>
          <w:sz w:val="24"/>
          <w:szCs w:val="24"/>
          <w:highlight w:val="none"/>
        </w:rPr>
        <w:t>3.4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投标报价</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3.4.1 投标人根据招标人提供的有关资料、招标文件及招标文件补充答疑，结合本项目实际情况和市场行情自主合理报价,投标人在预算价的基础上确定投标报价，投标报价不得低于企业实际成本。招标文件中的全部内容，如有不明</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3.4.2 本次投标报价为采购范围内固定总价方式。投标报价包括全部费用，应计算的项目若无计取，则视为包含在报价内。</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3.4.3 投标报价应包含全部货物及服务正式交付使用所发生的一切费用。</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3.4.4 如投标人报价表中的大写金额和小写金额不一致的，以大写金额为准；总金额与单价金额不一致的，以单价金额为准。全部报价均以人民币为计量币种，并以人民币进行结算。</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3.4.5 投标人应仔细审阅确的，须在答疑时以书面形式提出，由招标人明确；否则视为投标人在投标报价中已完善计入。</w:t>
      </w:r>
    </w:p>
    <w:p>
      <w:pPr>
        <w:spacing w:line="360" w:lineRule="auto"/>
        <w:ind w:firstLine="476" w:firstLineChars="200"/>
        <w:jc w:val="both"/>
        <w:rPr>
          <w:rFonts w:ascii="宋体" w:hAnsi="宋体" w:eastAsia="宋体" w:cs="宋体"/>
          <w:sz w:val="24"/>
          <w:szCs w:val="24"/>
          <w:highlight w:val="none"/>
        </w:rPr>
      </w:pPr>
      <w:r>
        <w:rPr>
          <w:rFonts w:hint="eastAsia" w:ascii="宋体" w:hAnsi="宋体" w:eastAsia="宋体" w:cs="宋体"/>
          <w:spacing w:val="-1"/>
          <w:sz w:val="24"/>
          <w:szCs w:val="24"/>
          <w:highlight w:val="none"/>
        </w:rPr>
        <w:t>3.5</w:t>
      </w:r>
      <w:r>
        <w:rPr>
          <w:rFonts w:hint="eastAsia" w:ascii="宋体" w:hAnsi="宋体" w:eastAsia="宋体" w:cs="宋体"/>
          <w:spacing w:val="-1"/>
          <w:sz w:val="24"/>
          <w:szCs w:val="24"/>
          <w:highlight w:val="none"/>
          <w:lang w:eastAsia="zh-CN"/>
        </w:rPr>
        <w:t>、</w:t>
      </w:r>
      <w:r>
        <w:rPr>
          <w:rFonts w:hint="eastAsia" w:ascii="宋体" w:hAnsi="宋体" w:eastAsia="宋体" w:cs="宋体"/>
          <w:sz w:val="24"/>
          <w:szCs w:val="24"/>
          <w:highlight w:val="none"/>
        </w:rPr>
        <w:t>投标保证金</w:t>
      </w:r>
    </w:p>
    <w:p>
      <w:pPr>
        <w:spacing w:line="360" w:lineRule="auto"/>
        <w:ind w:firstLine="476" w:firstLineChars="200"/>
        <w:jc w:val="both"/>
        <w:rPr>
          <w:rFonts w:ascii="宋体" w:hAnsi="宋体" w:eastAsia="宋体" w:cs="宋体"/>
          <w:sz w:val="24"/>
          <w:szCs w:val="24"/>
          <w:highlight w:val="none"/>
        </w:rPr>
      </w:pPr>
      <w:r>
        <w:rPr>
          <w:rFonts w:hint="eastAsia" w:ascii="宋体" w:hAnsi="宋体" w:eastAsia="宋体" w:cs="宋体"/>
          <w:spacing w:val="-1"/>
          <w:sz w:val="24"/>
          <w:szCs w:val="24"/>
          <w:highlight w:val="none"/>
        </w:rPr>
        <w:t>本项</w:t>
      </w:r>
      <w:r>
        <w:rPr>
          <w:rFonts w:hint="eastAsia" w:ascii="宋体" w:hAnsi="宋体" w:eastAsia="宋体" w:cs="宋体"/>
          <w:sz w:val="24"/>
          <w:szCs w:val="24"/>
          <w:highlight w:val="none"/>
        </w:rPr>
        <w:t>目不收取投标保证金。</w:t>
      </w:r>
    </w:p>
    <w:p>
      <w:pPr>
        <w:spacing w:line="360" w:lineRule="auto"/>
        <w:ind w:firstLine="476" w:firstLineChars="200"/>
        <w:jc w:val="both"/>
        <w:rPr>
          <w:rFonts w:ascii="宋体" w:hAnsi="宋体" w:eastAsia="宋体" w:cs="宋体"/>
          <w:sz w:val="24"/>
          <w:szCs w:val="24"/>
          <w:highlight w:val="none"/>
        </w:rPr>
      </w:pPr>
      <w:r>
        <w:rPr>
          <w:rFonts w:hint="eastAsia" w:ascii="宋体" w:hAnsi="宋体" w:eastAsia="宋体" w:cs="宋体"/>
          <w:spacing w:val="-1"/>
          <w:sz w:val="24"/>
          <w:szCs w:val="24"/>
          <w:highlight w:val="none"/>
        </w:rPr>
        <w:t>3.6</w:t>
      </w:r>
      <w:r>
        <w:rPr>
          <w:rFonts w:hint="eastAsia" w:ascii="宋体" w:hAnsi="宋体" w:eastAsia="宋体" w:cs="宋体"/>
          <w:spacing w:val="-1"/>
          <w:sz w:val="24"/>
          <w:szCs w:val="24"/>
          <w:highlight w:val="none"/>
          <w:lang w:eastAsia="zh-CN"/>
        </w:rPr>
        <w:t>、</w:t>
      </w:r>
      <w:r>
        <w:rPr>
          <w:rFonts w:hint="eastAsia" w:ascii="宋体" w:hAnsi="宋体" w:eastAsia="宋体" w:cs="宋体"/>
          <w:spacing w:val="-1"/>
          <w:sz w:val="24"/>
          <w:szCs w:val="24"/>
          <w:highlight w:val="none"/>
        </w:rPr>
        <w:t>投标</w:t>
      </w:r>
      <w:r>
        <w:rPr>
          <w:rFonts w:hint="eastAsia" w:ascii="宋体" w:hAnsi="宋体" w:eastAsia="宋体" w:cs="宋体"/>
          <w:sz w:val="24"/>
          <w:szCs w:val="24"/>
          <w:highlight w:val="none"/>
        </w:rPr>
        <w:t>有效期</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3.6.1 投标有效期为投标截止之日起60天。</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3.6.2 如遇特殊情况，招标方可在投标有效期期满前，要求供应商延长其投标有效期。供应商可以拒绝或同意上述要求，延长有效期的要求与答复均为书面形式。不同意上述要求的供应商将视为自动放弃投标。</w:t>
      </w:r>
    </w:p>
    <w:p>
      <w:pPr>
        <w:spacing w:line="360" w:lineRule="auto"/>
        <w:ind w:firstLine="456" w:firstLineChars="200"/>
        <w:jc w:val="both"/>
        <w:outlineLvl w:val="9"/>
        <w:rPr>
          <w:rFonts w:ascii="宋体" w:hAnsi="宋体" w:eastAsia="宋体" w:cs="宋体"/>
          <w:sz w:val="24"/>
          <w:szCs w:val="24"/>
          <w:highlight w:val="none"/>
        </w:rPr>
      </w:pPr>
      <w:r>
        <w:rPr>
          <w:rFonts w:hint="eastAsia" w:ascii="宋体" w:hAnsi="宋体" w:eastAsia="宋体" w:cs="宋体"/>
          <w:spacing w:val="-6"/>
          <w:sz w:val="24"/>
          <w:szCs w:val="24"/>
          <w:highlight w:val="none"/>
        </w:rPr>
        <w:t>四</w:t>
      </w:r>
      <w:r>
        <w:rPr>
          <w:rFonts w:hint="eastAsia" w:ascii="宋体" w:hAnsi="宋体" w:eastAsia="宋体" w:cs="宋体"/>
          <w:spacing w:val="-4"/>
          <w:sz w:val="24"/>
          <w:szCs w:val="24"/>
          <w:highlight w:val="none"/>
        </w:rPr>
        <w:t>、投标</w:t>
      </w:r>
    </w:p>
    <w:p>
      <w:pPr>
        <w:spacing w:line="360" w:lineRule="auto"/>
        <w:ind w:firstLine="484" w:firstLineChars="200"/>
        <w:jc w:val="both"/>
        <w:rPr>
          <w:rFonts w:ascii="宋体" w:hAnsi="宋体" w:eastAsia="宋体" w:cs="宋体"/>
          <w:sz w:val="24"/>
          <w:szCs w:val="24"/>
          <w:highlight w:val="none"/>
        </w:rPr>
      </w:pPr>
      <w:r>
        <w:rPr>
          <w:rFonts w:hint="eastAsia" w:ascii="宋体" w:hAnsi="宋体" w:eastAsia="宋体" w:cs="宋体"/>
          <w:color w:val="0C0C0C"/>
          <w:spacing w:val="1"/>
          <w:sz w:val="24"/>
          <w:szCs w:val="24"/>
          <w:highlight w:val="none"/>
        </w:rPr>
        <w:t>4.1</w:t>
      </w:r>
      <w:r>
        <w:rPr>
          <w:rFonts w:hint="eastAsia" w:ascii="宋体" w:hAnsi="宋体" w:eastAsia="宋体" w:cs="宋体"/>
          <w:color w:val="0C0C0C"/>
          <w:spacing w:val="1"/>
          <w:sz w:val="24"/>
          <w:szCs w:val="24"/>
          <w:highlight w:val="none"/>
          <w:lang w:eastAsia="zh-CN"/>
        </w:rPr>
        <w:t>、</w:t>
      </w:r>
      <w:r>
        <w:rPr>
          <w:rFonts w:hint="eastAsia" w:ascii="宋体" w:hAnsi="宋体" w:eastAsia="宋体" w:cs="宋体"/>
          <w:color w:val="0C0C0C"/>
          <w:sz w:val="24"/>
          <w:szCs w:val="24"/>
          <w:highlight w:val="none"/>
        </w:rPr>
        <w:t>投标文件的递交</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4.1.1 电子投标文件备份 U 盘的要求:见投标人须知前附表。</w:t>
      </w:r>
    </w:p>
    <w:p>
      <w:pPr>
        <w:spacing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4.1.2 电子投标文件的递交：见投标人须知前附表。</w:t>
      </w:r>
    </w:p>
    <w:p>
      <w:pPr>
        <w:spacing w:line="360" w:lineRule="auto"/>
        <w:ind w:firstLine="484" w:firstLineChars="200"/>
        <w:jc w:val="both"/>
        <w:rPr>
          <w:rFonts w:ascii="宋体" w:hAnsi="宋体" w:eastAsia="宋体" w:cs="宋体"/>
          <w:sz w:val="24"/>
          <w:szCs w:val="24"/>
          <w:highlight w:val="none"/>
        </w:rPr>
      </w:pPr>
      <w:r>
        <w:rPr>
          <w:rFonts w:hint="eastAsia" w:ascii="宋体" w:hAnsi="宋体" w:eastAsia="宋体" w:cs="宋体"/>
          <w:color w:val="0C0C0C"/>
          <w:spacing w:val="1"/>
          <w:sz w:val="24"/>
          <w:szCs w:val="24"/>
          <w:highlight w:val="none"/>
        </w:rPr>
        <w:t>4.2</w:t>
      </w:r>
      <w:r>
        <w:rPr>
          <w:rFonts w:hint="eastAsia" w:ascii="宋体" w:hAnsi="宋体" w:eastAsia="宋体" w:cs="宋体"/>
          <w:color w:val="0C0C0C"/>
          <w:spacing w:val="1"/>
          <w:sz w:val="24"/>
          <w:szCs w:val="24"/>
          <w:highlight w:val="none"/>
          <w:lang w:eastAsia="zh-CN"/>
        </w:rPr>
        <w:t>、</w:t>
      </w:r>
      <w:r>
        <w:rPr>
          <w:rFonts w:hint="eastAsia" w:ascii="宋体" w:hAnsi="宋体" w:eastAsia="宋体" w:cs="宋体"/>
          <w:color w:val="0C0C0C"/>
          <w:spacing w:val="1"/>
          <w:sz w:val="24"/>
          <w:szCs w:val="24"/>
          <w:highlight w:val="none"/>
        </w:rPr>
        <w:t>电子投</w:t>
      </w:r>
      <w:r>
        <w:rPr>
          <w:rFonts w:hint="eastAsia" w:ascii="宋体" w:hAnsi="宋体" w:eastAsia="宋体" w:cs="宋体"/>
          <w:color w:val="0C0C0C"/>
          <w:sz w:val="24"/>
          <w:szCs w:val="24"/>
          <w:highlight w:val="none"/>
        </w:rPr>
        <w:t>标文件的修改与撤回</w:t>
      </w:r>
    </w:p>
    <w:p>
      <w:pPr>
        <w:spacing w:line="360" w:lineRule="auto"/>
        <w:ind w:firstLine="476" w:firstLineChars="200"/>
        <w:jc w:val="both"/>
        <w:rPr>
          <w:rFonts w:ascii="宋体" w:hAnsi="宋体" w:eastAsia="宋体" w:cs="宋体"/>
          <w:sz w:val="24"/>
          <w:szCs w:val="24"/>
          <w:highlight w:val="none"/>
        </w:rPr>
      </w:pPr>
      <w:r>
        <w:rPr>
          <w:rFonts w:hint="eastAsia" w:ascii="宋体" w:hAnsi="宋体" w:eastAsia="宋体" w:cs="宋体"/>
          <w:color w:val="0C0C0C"/>
          <w:spacing w:val="-1"/>
          <w:sz w:val="24"/>
          <w:szCs w:val="24"/>
          <w:highlight w:val="none"/>
        </w:rPr>
        <w:t>4.2.1 投标人可以在投标截止期之前修改电子</w:t>
      </w:r>
      <w:r>
        <w:rPr>
          <w:rFonts w:hint="eastAsia" w:ascii="宋体" w:hAnsi="宋体" w:eastAsia="宋体" w:cs="宋体"/>
          <w:color w:val="0C0C0C"/>
          <w:sz w:val="24"/>
          <w:szCs w:val="24"/>
          <w:highlight w:val="none"/>
        </w:rPr>
        <w:t>投标文件。</w:t>
      </w:r>
    </w:p>
    <w:p>
      <w:pPr>
        <w:spacing w:line="360" w:lineRule="auto"/>
        <w:ind w:firstLine="476" w:firstLineChars="200"/>
        <w:jc w:val="both"/>
        <w:rPr>
          <w:rFonts w:ascii="宋体" w:hAnsi="宋体" w:eastAsia="宋体" w:cs="宋体"/>
          <w:sz w:val="24"/>
          <w:szCs w:val="24"/>
          <w:highlight w:val="none"/>
        </w:rPr>
      </w:pPr>
      <w:r>
        <w:rPr>
          <w:rFonts w:hint="eastAsia" w:ascii="宋体" w:hAnsi="宋体" w:eastAsia="宋体" w:cs="宋体"/>
          <w:color w:val="0C0C0C"/>
          <w:spacing w:val="-1"/>
          <w:sz w:val="24"/>
          <w:szCs w:val="24"/>
          <w:highlight w:val="none"/>
        </w:rPr>
        <w:t>4.2.2 在投标截止期后不能修改及撤回其电子</w:t>
      </w:r>
      <w:r>
        <w:rPr>
          <w:rFonts w:hint="eastAsia" w:ascii="宋体" w:hAnsi="宋体" w:eastAsia="宋体" w:cs="宋体"/>
          <w:color w:val="0C0C0C"/>
          <w:sz w:val="24"/>
          <w:szCs w:val="24"/>
          <w:highlight w:val="none"/>
        </w:rPr>
        <w:t>投标文件。</w:t>
      </w:r>
    </w:p>
    <w:p>
      <w:pPr>
        <w:spacing w:line="360" w:lineRule="auto"/>
        <w:ind w:firstLine="476" w:firstLineChars="200"/>
        <w:jc w:val="both"/>
        <w:outlineLvl w:val="9"/>
        <w:rPr>
          <w:rFonts w:ascii="宋体" w:hAnsi="宋体" w:eastAsia="宋体" w:cs="宋体"/>
          <w:sz w:val="24"/>
          <w:szCs w:val="24"/>
          <w:highlight w:val="none"/>
        </w:rPr>
      </w:pPr>
      <w:r>
        <w:rPr>
          <w:rFonts w:hint="eastAsia" w:ascii="宋体" w:hAnsi="宋体" w:eastAsia="宋体" w:cs="宋体"/>
          <w:spacing w:val="-1"/>
          <w:sz w:val="24"/>
          <w:szCs w:val="24"/>
          <w:highlight w:val="none"/>
        </w:rPr>
        <w:t>五、开</w:t>
      </w:r>
      <w:r>
        <w:rPr>
          <w:rFonts w:hint="eastAsia" w:ascii="宋体" w:hAnsi="宋体" w:eastAsia="宋体" w:cs="宋体"/>
          <w:sz w:val="24"/>
          <w:szCs w:val="24"/>
          <w:highlight w:val="none"/>
        </w:rPr>
        <w:t>标与评标</w:t>
      </w:r>
    </w:p>
    <w:p>
      <w:pPr>
        <w:spacing w:line="360" w:lineRule="auto"/>
        <w:ind w:firstLine="476" w:firstLineChars="200"/>
        <w:jc w:val="both"/>
        <w:rPr>
          <w:rFonts w:ascii="宋体" w:hAnsi="宋体" w:eastAsia="宋体" w:cs="宋体"/>
          <w:sz w:val="24"/>
          <w:szCs w:val="24"/>
          <w:highlight w:val="none"/>
        </w:rPr>
      </w:pPr>
      <w:r>
        <w:rPr>
          <w:rFonts w:hint="eastAsia" w:ascii="宋体" w:hAnsi="宋体" w:eastAsia="宋体" w:cs="宋体"/>
          <w:spacing w:val="-1"/>
          <w:sz w:val="24"/>
          <w:szCs w:val="24"/>
          <w:highlight w:val="none"/>
        </w:rPr>
        <w:t>5.</w:t>
      </w: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开标时间及地点</w:t>
      </w:r>
    </w:p>
    <w:p>
      <w:pPr>
        <w:spacing w:line="360" w:lineRule="auto"/>
        <w:ind w:firstLine="476" w:firstLineChars="200"/>
        <w:jc w:val="both"/>
        <w:rPr>
          <w:rFonts w:ascii="宋体" w:hAnsi="宋体" w:eastAsia="宋体" w:cs="宋体"/>
          <w:color w:val="0C0C0C"/>
          <w:spacing w:val="-1"/>
          <w:sz w:val="24"/>
          <w:szCs w:val="24"/>
          <w:highlight w:val="none"/>
        </w:rPr>
      </w:pPr>
      <w:r>
        <w:rPr>
          <w:rFonts w:hint="eastAsia" w:ascii="宋体" w:hAnsi="宋体" w:eastAsia="宋体" w:cs="宋体"/>
          <w:color w:val="0C0C0C"/>
          <w:spacing w:val="-1"/>
          <w:sz w:val="24"/>
          <w:szCs w:val="24"/>
          <w:highlight w:val="none"/>
        </w:rPr>
        <w:t>5.1.1 开标时间：详见投标人须知前附表</w:t>
      </w:r>
    </w:p>
    <w:p>
      <w:pPr>
        <w:spacing w:line="360" w:lineRule="auto"/>
        <w:ind w:firstLine="476" w:firstLineChars="200"/>
        <w:jc w:val="both"/>
        <w:rPr>
          <w:rFonts w:ascii="宋体" w:hAnsi="宋体" w:eastAsia="宋体" w:cs="宋体"/>
          <w:color w:val="0C0C0C"/>
          <w:spacing w:val="-1"/>
          <w:sz w:val="24"/>
          <w:szCs w:val="24"/>
          <w:highlight w:val="none"/>
        </w:rPr>
      </w:pPr>
      <w:r>
        <w:rPr>
          <w:rFonts w:hint="eastAsia" w:ascii="宋体" w:hAnsi="宋体" w:eastAsia="宋体" w:cs="宋体"/>
          <w:color w:val="0C0C0C"/>
          <w:spacing w:val="-1"/>
          <w:sz w:val="24"/>
          <w:szCs w:val="24"/>
          <w:highlight w:val="none"/>
        </w:rPr>
        <w:t>5.1.2 开标地点：详见投标人须知前附表</w:t>
      </w:r>
    </w:p>
    <w:p>
      <w:pPr>
        <w:spacing w:line="360" w:lineRule="auto"/>
        <w:ind w:firstLine="476" w:firstLineChars="200"/>
        <w:jc w:val="both"/>
        <w:rPr>
          <w:rFonts w:hint="eastAsia" w:ascii="宋体" w:hAnsi="宋体" w:eastAsia="宋体" w:cs="宋体"/>
          <w:color w:val="0C0C0C"/>
          <w:spacing w:val="-1"/>
          <w:sz w:val="24"/>
          <w:szCs w:val="24"/>
          <w:highlight w:val="none"/>
          <w:lang w:eastAsia="zh-CN"/>
        </w:rPr>
      </w:pPr>
      <w:r>
        <w:rPr>
          <w:rFonts w:hint="eastAsia" w:ascii="宋体" w:hAnsi="宋体" w:eastAsia="宋体" w:cs="宋体"/>
          <w:color w:val="0C0C0C"/>
          <w:spacing w:val="-1"/>
          <w:sz w:val="24"/>
          <w:szCs w:val="24"/>
          <w:highlight w:val="none"/>
        </w:rPr>
        <w:t>5.1.3 供应商应派法定代表人或授权委托人持本公司 CA 数字证书可在不见面开标大厅中参加开标会议</w:t>
      </w:r>
      <w:r>
        <w:rPr>
          <w:rFonts w:hint="eastAsia" w:ascii="宋体" w:hAnsi="宋体" w:eastAsia="宋体" w:cs="宋体"/>
          <w:color w:val="0C0C0C"/>
          <w:spacing w:val="-1"/>
          <w:sz w:val="24"/>
          <w:szCs w:val="24"/>
          <w:highlight w:val="none"/>
          <w:lang w:eastAsia="zh-CN"/>
        </w:rPr>
        <w:t>。</w:t>
      </w:r>
    </w:p>
    <w:p>
      <w:pPr>
        <w:spacing w:line="360" w:lineRule="auto"/>
        <w:ind w:firstLine="476" w:firstLineChars="200"/>
        <w:jc w:val="both"/>
        <w:rPr>
          <w:rFonts w:hint="eastAsia" w:ascii="宋体" w:hAnsi="宋体" w:eastAsia="宋体" w:cs="宋体"/>
          <w:color w:val="0C0C0C"/>
          <w:sz w:val="24"/>
          <w:szCs w:val="24"/>
          <w:highlight w:val="none"/>
        </w:rPr>
      </w:pPr>
      <w:r>
        <w:rPr>
          <w:rFonts w:hint="eastAsia" w:ascii="宋体" w:hAnsi="宋体" w:eastAsia="宋体" w:cs="宋体"/>
          <w:color w:val="0C0C0C"/>
          <w:spacing w:val="-1"/>
          <w:sz w:val="24"/>
          <w:szCs w:val="24"/>
          <w:highlight w:val="none"/>
        </w:rPr>
        <w:t>5.2</w:t>
      </w:r>
      <w:r>
        <w:rPr>
          <w:rFonts w:hint="eastAsia" w:ascii="宋体" w:hAnsi="宋体" w:eastAsia="宋体" w:cs="宋体"/>
          <w:color w:val="0C0C0C"/>
          <w:spacing w:val="-1"/>
          <w:sz w:val="24"/>
          <w:szCs w:val="24"/>
          <w:highlight w:val="none"/>
          <w:lang w:eastAsia="zh-CN"/>
        </w:rPr>
        <w:t>、</w:t>
      </w:r>
      <w:r>
        <w:rPr>
          <w:rFonts w:hint="eastAsia" w:ascii="宋体" w:hAnsi="宋体" w:eastAsia="宋体" w:cs="宋体"/>
          <w:color w:val="0C0C0C"/>
          <w:sz w:val="24"/>
          <w:szCs w:val="24"/>
          <w:highlight w:val="none"/>
        </w:rPr>
        <w:t>开标程序</w:t>
      </w:r>
    </w:p>
    <w:p>
      <w:pPr>
        <w:spacing w:line="360" w:lineRule="auto"/>
        <w:ind w:firstLine="480" w:firstLineChars="200"/>
        <w:jc w:val="both"/>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5.2.1、投标人代表持本单位 CA 数字证书提前登录不见面开标系统。</w:t>
      </w:r>
    </w:p>
    <w:p>
      <w:pPr>
        <w:spacing w:line="360" w:lineRule="auto"/>
        <w:ind w:firstLine="480" w:firstLineChars="200"/>
        <w:jc w:val="both"/>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5.2.2、开标时间到，在线公布投标人、招标人代表、监标人等有关名单。</w:t>
      </w:r>
    </w:p>
    <w:p>
      <w:pPr>
        <w:spacing w:line="360" w:lineRule="auto"/>
        <w:ind w:firstLine="480" w:firstLineChars="200"/>
        <w:jc w:val="both"/>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5.2.3、开标顺序：按电子投标文件到达交易系统的先后顺序，分标段进行开标。</w:t>
      </w:r>
    </w:p>
    <w:p>
      <w:pPr>
        <w:spacing w:line="360" w:lineRule="auto"/>
        <w:ind w:firstLine="480" w:firstLineChars="200"/>
        <w:jc w:val="both"/>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5.2.4、投标单位在线确认开标结果，在规定时限内</w:t>
      </w:r>
      <w:r>
        <w:rPr>
          <w:rFonts w:hint="eastAsia" w:ascii="宋体" w:hAnsi="宋体" w:eastAsia="宋体" w:cs="宋体"/>
          <w:color w:val="0C0C0C"/>
          <w:sz w:val="24"/>
          <w:szCs w:val="24"/>
          <w:highlight w:val="none"/>
          <w:lang w:eastAsia="zh-CN"/>
        </w:rPr>
        <w:t>（</w:t>
      </w:r>
      <w:r>
        <w:rPr>
          <w:rFonts w:hint="eastAsia" w:ascii="宋体" w:hAnsi="宋体" w:eastAsia="宋体" w:cs="宋体"/>
          <w:color w:val="0C0C0C"/>
          <w:sz w:val="24"/>
          <w:szCs w:val="24"/>
          <w:highlight w:val="none"/>
          <w:lang w:val="en-US" w:eastAsia="zh-CN"/>
        </w:rPr>
        <w:t>30分钟内</w:t>
      </w:r>
      <w:r>
        <w:rPr>
          <w:rFonts w:hint="eastAsia" w:ascii="宋体" w:hAnsi="宋体" w:eastAsia="宋体" w:cs="宋体"/>
          <w:color w:val="0C0C0C"/>
          <w:sz w:val="24"/>
          <w:szCs w:val="24"/>
          <w:highlight w:val="none"/>
          <w:lang w:eastAsia="zh-CN"/>
        </w:rPr>
        <w:t>）</w:t>
      </w:r>
      <w:r>
        <w:rPr>
          <w:rFonts w:hint="eastAsia" w:ascii="宋体" w:hAnsi="宋体" w:eastAsia="宋体" w:cs="宋体"/>
          <w:color w:val="0C0C0C"/>
          <w:sz w:val="24"/>
          <w:szCs w:val="24"/>
          <w:highlight w:val="none"/>
        </w:rPr>
        <w:t>未作确认的视为默认开标结果。采购人代表、监督人、记录人等有关人员在开标记录上签字确认。</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5.2.</w:t>
      </w:r>
      <w:r>
        <w:rPr>
          <w:rFonts w:hint="eastAsia" w:ascii="宋体" w:hAnsi="宋体" w:eastAsia="宋体" w:cs="宋体"/>
          <w:color w:val="0C0C0C"/>
          <w:sz w:val="24"/>
          <w:szCs w:val="24"/>
          <w:highlight w:val="none"/>
          <w:lang w:val="en-US" w:eastAsia="zh-CN"/>
        </w:rPr>
        <w:t>5</w:t>
      </w:r>
      <w:r>
        <w:rPr>
          <w:rFonts w:hint="eastAsia" w:ascii="宋体" w:hAnsi="宋体" w:eastAsia="宋体" w:cs="宋体"/>
          <w:color w:val="0C0C0C"/>
          <w:sz w:val="24"/>
          <w:szCs w:val="24"/>
          <w:highlight w:val="none"/>
        </w:rPr>
        <w:t>、代理机构在开标结束后将招标文件和有效电子投标文件导入评标系统。</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5.2.</w:t>
      </w:r>
      <w:r>
        <w:rPr>
          <w:rFonts w:hint="eastAsia" w:ascii="宋体" w:hAnsi="宋体" w:eastAsia="宋体" w:cs="宋体"/>
          <w:color w:val="0C0C0C"/>
          <w:sz w:val="24"/>
          <w:szCs w:val="24"/>
          <w:highlight w:val="none"/>
          <w:lang w:val="en-US" w:eastAsia="zh-CN"/>
        </w:rPr>
        <w:t>6</w:t>
      </w:r>
      <w:r>
        <w:rPr>
          <w:rFonts w:hint="eastAsia" w:ascii="宋体" w:hAnsi="宋体" w:eastAsia="宋体" w:cs="宋体"/>
          <w:color w:val="0C0C0C"/>
          <w:sz w:val="24"/>
          <w:szCs w:val="24"/>
          <w:highlight w:val="none"/>
        </w:rPr>
        <w:t>、评标委员会将审查每一份投标文件是否对招标文件提出的所有实质性要求和条件作出响应。未能在实质上响应的投标，将作为无效标处理。实质上未响应是指：</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(1) 未按招标文件规定签章的；</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(2) 未按招标文件规定的格式填写，内容不完整或无法辨认的；</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(3) 投标人资格条件不符合国家规定和招标文件要求的；</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(4) 违反国家强制性标准的；</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(5) 投标文件附有招标人不能接受的条件的；</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(6) 对同一标段递交内容不同的投标文件(一标多投)，或在一份投标文件中对同一标段报有两个(含两个)以上报价的；</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(7) 以他人名义投标、串通投标、弄虚作假的；</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(8) 投标人名称、组织机构等重要人员与报名时不一致的；</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(9) 超出招标文件规定及违反国家有关规定的；</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(10) 投标报价高出本标段最高投标限价的；</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(11) 招标文件规定的其它情况。</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5.2.</w:t>
      </w:r>
      <w:r>
        <w:rPr>
          <w:rFonts w:hint="eastAsia" w:ascii="宋体" w:hAnsi="宋体" w:eastAsia="宋体" w:cs="宋体"/>
          <w:color w:val="0C0C0C"/>
          <w:sz w:val="24"/>
          <w:szCs w:val="24"/>
          <w:highlight w:val="none"/>
          <w:lang w:val="en-US" w:eastAsia="zh-CN"/>
        </w:rPr>
        <w:t>7</w:t>
      </w:r>
      <w:r>
        <w:rPr>
          <w:rFonts w:hint="eastAsia" w:ascii="宋体" w:hAnsi="宋体" w:eastAsia="宋体" w:cs="宋体"/>
          <w:color w:val="0C0C0C"/>
          <w:sz w:val="24"/>
          <w:szCs w:val="24"/>
          <w:highlight w:val="none"/>
        </w:rPr>
        <w:t>、评标和决标过程的保密</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开标后至招标人公布中标结果之前，有关投标文件的检查、澄清、评比和定标等信息对与本过程无关的投标人及其他人员保密。投标人不应对招标人或有关人员施加影响和试图获取评标信息，违者导致被取消中标资格。</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5.2.</w:t>
      </w:r>
      <w:r>
        <w:rPr>
          <w:rFonts w:hint="eastAsia" w:ascii="宋体" w:hAnsi="宋体" w:eastAsia="宋体" w:cs="宋体"/>
          <w:color w:val="0C0C0C"/>
          <w:sz w:val="24"/>
          <w:szCs w:val="24"/>
          <w:highlight w:val="none"/>
          <w:lang w:val="en-US" w:eastAsia="zh-CN"/>
        </w:rPr>
        <w:t>8</w:t>
      </w:r>
      <w:r>
        <w:rPr>
          <w:rFonts w:hint="eastAsia" w:ascii="宋体" w:hAnsi="宋体" w:eastAsia="宋体" w:cs="宋体"/>
          <w:color w:val="0C0C0C"/>
          <w:sz w:val="24"/>
          <w:szCs w:val="24"/>
          <w:highlight w:val="none"/>
        </w:rPr>
        <w:t>、投标文件的澄清</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(1) 为了有助于投标文件的检查和评审，招标人可以单独要求投标人澄清其投标文件。招标的澄清要求和投标人的答复均应采用书面形式。除了规定改正算术错误外，投标人不得修改投标报价和投标文件中的其它实质性内容。</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(2) 投标人以书面形式澄清的问题，需由投标人法定代表人或其委托代理人签字确认后作为投标文件的组成部分，提交一式两份。投标人未按评标委员会的澄清要求进行澄清的，评标委员会可以不对其投标文件继续评审。</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5.2.</w:t>
      </w:r>
      <w:r>
        <w:rPr>
          <w:rFonts w:hint="eastAsia" w:ascii="宋体" w:hAnsi="宋体" w:eastAsia="宋体" w:cs="宋体"/>
          <w:color w:val="0C0C0C"/>
          <w:sz w:val="24"/>
          <w:szCs w:val="24"/>
          <w:highlight w:val="none"/>
          <w:lang w:val="en-US" w:eastAsia="zh-CN"/>
        </w:rPr>
        <w:t>9</w:t>
      </w:r>
      <w:r>
        <w:rPr>
          <w:rFonts w:hint="eastAsia" w:ascii="宋体" w:hAnsi="宋体" w:eastAsia="宋体" w:cs="宋体"/>
          <w:color w:val="0C0C0C"/>
          <w:sz w:val="24"/>
          <w:szCs w:val="24"/>
          <w:highlight w:val="none"/>
        </w:rPr>
        <w:t>、投标文件的检查和响应性评定</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(1) 在评审时，招标人将首先审定投标文件是否在实质上影响了招标文件的要求。招标人对投标响应性的鉴定将基于投标文件的本身内容。</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(2) 实质上响应招标文件要求的投标文件应该与招标文件所有条款、条件和规范相符，无重大偏关或保留。所谓重大偏差和保留是指：</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①、对投标范围和内容有实质性的偏离；</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②、对设备质量或使用性能产生不利影响；</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③、对合同中规定的双方的权利和义务作实质性的修改；</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④、纠正这种偏差或保留，将会对其他响应要求的投标人竞争产生不公正的影响。</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5.2.</w:t>
      </w:r>
      <w:r>
        <w:rPr>
          <w:rFonts w:hint="eastAsia" w:ascii="宋体" w:hAnsi="宋体" w:eastAsia="宋体" w:cs="宋体"/>
          <w:color w:val="0C0C0C"/>
          <w:sz w:val="24"/>
          <w:szCs w:val="24"/>
          <w:highlight w:val="none"/>
          <w:lang w:val="en-US" w:eastAsia="zh-CN"/>
        </w:rPr>
        <w:t>10</w:t>
      </w:r>
      <w:r>
        <w:rPr>
          <w:rFonts w:hint="eastAsia" w:ascii="宋体" w:hAnsi="宋体" w:eastAsia="宋体" w:cs="宋体"/>
          <w:color w:val="0C0C0C"/>
          <w:sz w:val="24"/>
          <w:szCs w:val="24"/>
          <w:highlight w:val="none"/>
        </w:rPr>
        <w:t>、如果投标文件实质上没有响应招标文件的要求，招标人将予以拒绝。也不再允许投标人改正或撤回这些不符合要求的偏差与保留。</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5.2.1</w:t>
      </w:r>
      <w:r>
        <w:rPr>
          <w:rFonts w:hint="eastAsia" w:ascii="宋体" w:hAnsi="宋体" w:eastAsia="宋体" w:cs="宋体"/>
          <w:color w:val="0C0C0C"/>
          <w:sz w:val="24"/>
          <w:szCs w:val="24"/>
          <w:highlight w:val="none"/>
          <w:lang w:val="en-US" w:eastAsia="zh-CN"/>
        </w:rPr>
        <w:t>1</w:t>
      </w:r>
      <w:r>
        <w:rPr>
          <w:rFonts w:hint="eastAsia" w:ascii="宋体" w:hAnsi="宋体" w:eastAsia="宋体" w:cs="宋体"/>
          <w:color w:val="0C0C0C"/>
          <w:sz w:val="24"/>
          <w:szCs w:val="24"/>
          <w:highlight w:val="none"/>
        </w:rPr>
        <w:t>、在评标过程中评标委员会发现投标人以他人的名义投标、串通投标、以行贿手段谋取中标或者以其他弄虚作假方式投标的，该投标人的投标文件作无效标处理。</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5.2.1</w:t>
      </w:r>
      <w:r>
        <w:rPr>
          <w:rFonts w:hint="eastAsia" w:ascii="宋体" w:hAnsi="宋体" w:eastAsia="宋体" w:cs="宋体"/>
          <w:color w:val="0C0C0C"/>
          <w:sz w:val="24"/>
          <w:szCs w:val="24"/>
          <w:highlight w:val="none"/>
          <w:lang w:val="en-US" w:eastAsia="zh-CN"/>
        </w:rPr>
        <w:t>2</w:t>
      </w:r>
      <w:r>
        <w:rPr>
          <w:rFonts w:hint="eastAsia" w:ascii="宋体" w:hAnsi="宋体" w:eastAsia="宋体" w:cs="宋体"/>
          <w:color w:val="0C0C0C"/>
          <w:sz w:val="24"/>
          <w:szCs w:val="24"/>
          <w:highlight w:val="none"/>
        </w:rPr>
        <w:t>、在评标过程中，评标委员会发现投标人的报价明显低于其他投标报价或者明显高于最高限价，使得其投标报价可能低于其个别成本的，将要求该投标人作出书面说明并提供相关证明资料。投标人不能合理说明或者不能提供相关证明材料的，由评标委员会认定投标人以低于成本报价竞标，其投标文件按无效处理。</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5.2.1</w:t>
      </w:r>
      <w:r>
        <w:rPr>
          <w:rFonts w:hint="eastAsia" w:ascii="宋体" w:hAnsi="宋体" w:eastAsia="宋体" w:cs="宋体"/>
          <w:color w:val="0C0C0C"/>
          <w:sz w:val="24"/>
          <w:szCs w:val="24"/>
          <w:highlight w:val="none"/>
          <w:lang w:val="en-US" w:eastAsia="zh-CN"/>
        </w:rPr>
        <w:t>3</w:t>
      </w:r>
      <w:r>
        <w:rPr>
          <w:rFonts w:hint="eastAsia" w:ascii="宋体" w:hAnsi="宋体" w:eastAsia="宋体" w:cs="宋体"/>
          <w:color w:val="0C0C0C"/>
          <w:sz w:val="24"/>
          <w:szCs w:val="24"/>
          <w:highlight w:val="none"/>
        </w:rPr>
        <w:t xml:space="preserve"> 投标人资格条件不符合国家有关规定和招标文件要求的，或者拒不按照要求对投标文件进行澄清、说明或者补正的，评标委员会将否决其投标。</w:t>
      </w:r>
    </w:p>
    <w:p>
      <w:pPr>
        <w:spacing w:line="360" w:lineRule="auto"/>
        <w:ind w:firstLine="476" w:firstLineChars="200"/>
        <w:jc w:val="both"/>
        <w:rPr>
          <w:rFonts w:ascii="宋体" w:hAnsi="宋体" w:eastAsia="宋体" w:cs="宋体"/>
          <w:sz w:val="24"/>
          <w:szCs w:val="24"/>
          <w:highlight w:val="none"/>
        </w:rPr>
      </w:pPr>
      <w:r>
        <w:rPr>
          <w:rFonts w:hint="eastAsia" w:ascii="宋体" w:hAnsi="宋体" w:eastAsia="宋体" w:cs="宋体"/>
          <w:color w:val="0C0C0C"/>
          <w:spacing w:val="-1"/>
          <w:sz w:val="24"/>
          <w:szCs w:val="24"/>
          <w:highlight w:val="none"/>
        </w:rPr>
        <w:t>5.3</w:t>
      </w:r>
      <w:r>
        <w:rPr>
          <w:rFonts w:hint="eastAsia" w:ascii="宋体" w:hAnsi="宋体" w:eastAsia="宋体" w:cs="宋体"/>
          <w:color w:val="0C0C0C"/>
          <w:spacing w:val="-1"/>
          <w:sz w:val="24"/>
          <w:szCs w:val="24"/>
          <w:highlight w:val="none"/>
          <w:lang w:eastAsia="zh-CN"/>
        </w:rPr>
        <w:t>、</w:t>
      </w:r>
      <w:r>
        <w:rPr>
          <w:rFonts w:hint="eastAsia" w:ascii="宋体" w:hAnsi="宋体" w:eastAsia="宋体" w:cs="宋体"/>
          <w:color w:val="0C0C0C"/>
          <w:sz w:val="24"/>
          <w:szCs w:val="24"/>
          <w:highlight w:val="none"/>
        </w:rPr>
        <w:t>开标异议</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投标人对开标有异议的，应当在开标现场提出，招标人当场作出答复，并制作记录。</w:t>
      </w:r>
    </w:p>
    <w:p>
      <w:pPr>
        <w:spacing w:line="360" w:lineRule="auto"/>
        <w:ind w:firstLine="476" w:firstLineChars="200"/>
        <w:jc w:val="both"/>
        <w:rPr>
          <w:rFonts w:ascii="宋体" w:hAnsi="宋体" w:eastAsia="宋体" w:cs="宋体"/>
          <w:sz w:val="24"/>
          <w:szCs w:val="24"/>
          <w:highlight w:val="none"/>
        </w:rPr>
      </w:pPr>
      <w:r>
        <w:rPr>
          <w:rFonts w:hint="eastAsia" w:ascii="宋体" w:hAnsi="宋体" w:eastAsia="宋体" w:cs="宋体"/>
          <w:color w:val="0C0C0C"/>
          <w:spacing w:val="-1"/>
          <w:sz w:val="24"/>
          <w:szCs w:val="24"/>
          <w:highlight w:val="none"/>
        </w:rPr>
        <w:t>6.</w:t>
      </w:r>
      <w:r>
        <w:rPr>
          <w:rFonts w:hint="eastAsia" w:ascii="宋体" w:hAnsi="宋体" w:eastAsia="宋体" w:cs="宋体"/>
          <w:color w:val="0C0C0C"/>
          <w:sz w:val="24"/>
          <w:szCs w:val="24"/>
          <w:highlight w:val="none"/>
        </w:rPr>
        <w:t>评标</w:t>
      </w:r>
    </w:p>
    <w:p>
      <w:pPr>
        <w:spacing w:line="360" w:lineRule="auto"/>
        <w:ind w:firstLine="476" w:firstLineChars="200"/>
        <w:jc w:val="both"/>
        <w:rPr>
          <w:rFonts w:ascii="宋体" w:hAnsi="宋体" w:eastAsia="宋体" w:cs="宋体"/>
          <w:sz w:val="24"/>
          <w:szCs w:val="24"/>
          <w:highlight w:val="none"/>
        </w:rPr>
      </w:pPr>
      <w:r>
        <w:rPr>
          <w:rFonts w:hint="eastAsia" w:ascii="宋体" w:hAnsi="宋体" w:eastAsia="宋体" w:cs="宋体"/>
          <w:color w:val="0C0C0C"/>
          <w:spacing w:val="-1"/>
          <w:sz w:val="24"/>
          <w:szCs w:val="24"/>
          <w:highlight w:val="none"/>
        </w:rPr>
        <w:t>6</w:t>
      </w:r>
      <w:r>
        <w:rPr>
          <w:rFonts w:hint="eastAsia" w:ascii="宋体" w:hAnsi="宋体" w:eastAsia="宋体" w:cs="宋体"/>
          <w:color w:val="0C0C0C"/>
          <w:sz w:val="24"/>
          <w:szCs w:val="24"/>
          <w:highlight w:val="none"/>
        </w:rPr>
        <w:t>.1</w:t>
      </w:r>
      <w:r>
        <w:rPr>
          <w:rFonts w:hint="eastAsia" w:ascii="宋体" w:hAnsi="宋体" w:eastAsia="宋体" w:cs="宋体"/>
          <w:color w:val="0C0C0C"/>
          <w:sz w:val="24"/>
          <w:szCs w:val="24"/>
          <w:highlight w:val="none"/>
          <w:lang w:eastAsia="zh-CN"/>
        </w:rPr>
        <w:t>、</w:t>
      </w:r>
      <w:r>
        <w:rPr>
          <w:rFonts w:hint="eastAsia" w:ascii="宋体" w:hAnsi="宋体" w:eastAsia="宋体" w:cs="宋体"/>
          <w:color w:val="0C0C0C"/>
          <w:sz w:val="24"/>
          <w:szCs w:val="24"/>
          <w:highlight w:val="none"/>
        </w:rPr>
        <w:t>评标委员会</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6.1.1 评标由招标人依法组建的评标委员会负责。评标委员会由招标人代表，以及有关技术、经济等方面的专家组成。评标委员会成员人数以及技术、经济等方面专家的确定方式见投标人须知前附表。</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6.1.2 评标委员会成员有下列情形之一的，应当回避：</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(1) 投标人或投标人主要负责人的近亲属；</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(2) 项目主管部门或者行政监督部门的人员；</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(3) 与投标人有经济利益关系；</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(4)曾因在招标、评标以及其他与招标投标有关活动中从事违法行为而受过行政处罚或刑事处罚的；</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(5) 与投标人有其他利害关系。</w:t>
      </w:r>
    </w:p>
    <w:p>
      <w:pPr>
        <w:spacing w:line="360" w:lineRule="auto"/>
        <w:ind w:firstLine="476" w:firstLineChars="200"/>
        <w:jc w:val="both"/>
        <w:rPr>
          <w:rFonts w:ascii="宋体" w:hAnsi="宋体" w:eastAsia="宋体" w:cs="宋体"/>
          <w:sz w:val="24"/>
          <w:szCs w:val="24"/>
          <w:highlight w:val="none"/>
        </w:rPr>
      </w:pPr>
      <w:r>
        <w:rPr>
          <w:rFonts w:hint="eastAsia" w:ascii="宋体" w:hAnsi="宋体" w:eastAsia="宋体" w:cs="宋体"/>
          <w:color w:val="0C0C0C"/>
          <w:spacing w:val="-1"/>
          <w:sz w:val="24"/>
          <w:szCs w:val="24"/>
          <w:highlight w:val="none"/>
        </w:rPr>
        <w:t>6.</w:t>
      </w:r>
      <w:r>
        <w:rPr>
          <w:rFonts w:hint="eastAsia" w:ascii="宋体" w:hAnsi="宋体" w:eastAsia="宋体" w:cs="宋体"/>
          <w:color w:val="0C0C0C"/>
          <w:sz w:val="24"/>
          <w:szCs w:val="24"/>
          <w:highlight w:val="none"/>
        </w:rPr>
        <w:t>2评标原则</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评标活动遵循公平、公正、科学和择优的原则。</w:t>
      </w:r>
    </w:p>
    <w:p>
      <w:pPr>
        <w:spacing w:line="360" w:lineRule="auto"/>
        <w:ind w:firstLine="476" w:firstLineChars="200"/>
        <w:jc w:val="both"/>
        <w:rPr>
          <w:rFonts w:hint="eastAsia" w:ascii="宋体" w:hAnsi="宋体" w:eastAsia="宋体" w:cs="宋体"/>
          <w:color w:val="0C0C0C"/>
          <w:sz w:val="24"/>
          <w:szCs w:val="24"/>
          <w:highlight w:val="none"/>
        </w:rPr>
      </w:pPr>
      <w:r>
        <w:rPr>
          <w:rFonts w:hint="eastAsia" w:ascii="宋体" w:hAnsi="宋体" w:eastAsia="宋体" w:cs="宋体"/>
          <w:color w:val="0C0C0C"/>
          <w:spacing w:val="-1"/>
          <w:sz w:val="24"/>
          <w:szCs w:val="24"/>
          <w:highlight w:val="none"/>
        </w:rPr>
        <w:t>6.3</w:t>
      </w:r>
      <w:r>
        <w:rPr>
          <w:rFonts w:hint="eastAsia" w:ascii="宋体" w:hAnsi="宋体" w:eastAsia="宋体" w:cs="宋体"/>
          <w:color w:val="0C0C0C"/>
          <w:spacing w:val="-1"/>
          <w:sz w:val="24"/>
          <w:szCs w:val="24"/>
          <w:highlight w:val="none"/>
          <w:lang w:eastAsia="zh-CN"/>
        </w:rPr>
        <w:t>、</w:t>
      </w:r>
      <w:r>
        <w:rPr>
          <w:rFonts w:hint="eastAsia" w:ascii="宋体" w:hAnsi="宋体" w:eastAsia="宋体" w:cs="宋体"/>
          <w:color w:val="0C0C0C"/>
          <w:sz w:val="24"/>
          <w:szCs w:val="24"/>
          <w:highlight w:val="none"/>
        </w:rPr>
        <w:t>评标</w:t>
      </w:r>
    </w:p>
    <w:p>
      <w:pPr>
        <w:spacing w:line="360" w:lineRule="auto"/>
        <w:ind w:firstLine="480" w:firstLineChars="200"/>
        <w:jc w:val="both"/>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评标委员会按照“评标办法”规定的方法、评审因素、标准和程序对投标文件进行评审。“评标办法”没有规定的方法、评审因素和标准，不作为评标依据。</w:t>
      </w:r>
    </w:p>
    <w:p>
      <w:pPr>
        <w:spacing w:line="360" w:lineRule="auto"/>
        <w:ind w:firstLine="480" w:firstLineChars="200"/>
        <w:jc w:val="both"/>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7.合同授予</w:t>
      </w:r>
    </w:p>
    <w:p>
      <w:pPr>
        <w:spacing w:line="360" w:lineRule="auto"/>
        <w:ind w:firstLine="480" w:firstLineChars="200"/>
        <w:jc w:val="both"/>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7.1</w:t>
      </w:r>
      <w:r>
        <w:rPr>
          <w:rFonts w:hint="eastAsia" w:ascii="宋体" w:hAnsi="宋体" w:eastAsia="宋体" w:cs="宋体"/>
          <w:color w:val="0C0C0C"/>
          <w:sz w:val="24"/>
          <w:szCs w:val="24"/>
          <w:highlight w:val="none"/>
          <w:lang w:eastAsia="zh-CN"/>
        </w:rPr>
        <w:t>、</w:t>
      </w:r>
      <w:r>
        <w:rPr>
          <w:rFonts w:hint="eastAsia" w:ascii="宋体" w:hAnsi="宋体" w:eastAsia="宋体" w:cs="宋体"/>
          <w:color w:val="0C0C0C"/>
          <w:sz w:val="24"/>
          <w:szCs w:val="24"/>
          <w:highlight w:val="none"/>
        </w:rPr>
        <w:t xml:space="preserve">定标原则 </w:t>
      </w:r>
    </w:p>
    <w:p>
      <w:pPr>
        <w:spacing w:line="360" w:lineRule="auto"/>
        <w:ind w:firstLine="480" w:firstLineChars="200"/>
        <w:jc w:val="both"/>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根据《中华人民共和国政府采购法》的规定，评标委员会应推荐得分最高的为第一中标候选人。若供应商评审得分相同的，推荐报价较低的投标人为第一中标候选人。若投标报价也相等的，按技术得分高者为第一中标候选人。 </w:t>
      </w:r>
    </w:p>
    <w:p>
      <w:pPr>
        <w:spacing w:line="360" w:lineRule="auto"/>
        <w:ind w:firstLine="480" w:firstLineChars="200"/>
        <w:jc w:val="both"/>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7.2</w:t>
      </w:r>
      <w:r>
        <w:rPr>
          <w:rFonts w:hint="eastAsia" w:ascii="宋体" w:hAnsi="宋体" w:eastAsia="宋体" w:cs="宋体"/>
          <w:color w:val="0C0C0C"/>
          <w:sz w:val="24"/>
          <w:szCs w:val="24"/>
          <w:highlight w:val="none"/>
          <w:lang w:eastAsia="zh-CN"/>
        </w:rPr>
        <w:t>、</w:t>
      </w:r>
      <w:r>
        <w:rPr>
          <w:rFonts w:hint="eastAsia" w:ascii="宋体" w:hAnsi="宋体" w:eastAsia="宋体" w:cs="宋体"/>
          <w:color w:val="0C0C0C"/>
          <w:sz w:val="24"/>
          <w:szCs w:val="24"/>
          <w:highlight w:val="none"/>
        </w:rPr>
        <w:t xml:space="preserve">定标 </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7.2.1 通过对各投标文件进行详细评审并完成评分后，向采购人提交书面评标报告。评标报告中按照投标文件最终得分由高到低进行排序，并向采购人推荐3名作为中标候选人。 </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7.2.2 采购人对评标小组推荐的</w:t>
      </w:r>
      <w:r>
        <w:rPr>
          <w:rFonts w:hint="eastAsia" w:ascii="宋体" w:hAnsi="宋体" w:eastAsia="宋体" w:cs="宋体"/>
          <w:sz w:val="24"/>
          <w:szCs w:val="24"/>
          <w:highlight w:val="none"/>
        </w:rPr>
        <w:t>中标</w:t>
      </w:r>
      <w:r>
        <w:rPr>
          <w:rFonts w:hint="eastAsia" w:ascii="宋体" w:hAnsi="宋体" w:eastAsia="宋体" w:cs="宋体"/>
          <w:color w:val="0C0C0C"/>
          <w:sz w:val="24"/>
          <w:szCs w:val="24"/>
          <w:highlight w:val="none"/>
        </w:rPr>
        <w:t>候选人进行选择，原则上第一名</w:t>
      </w:r>
      <w:r>
        <w:rPr>
          <w:rFonts w:hint="eastAsia" w:ascii="宋体" w:hAnsi="宋体" w:eastAsia="宋体" w:cs="宋体"/>
          <w:sz w:val="24"/>
          <w:szCs w:val="24"/>
          <w:highlight w:val="none"/>
        </w:rPr>
        <w:t>中标</w:t>
      </w:r>
      <w:r>
        <w:rPr>
          <w:rFonts w:hint="eastAsia" w:ascii="宋体" w:hAnsi="宋体" w:eastAsia="宋体" w:cs="宋体"/>
          <w:color w:val="0C0C0C"/>
          <w:sz w:val="24"/>
          <w:szCs w:val="24"/>
          <w:highlight w:val="none"/>
        </w:rPr>
        <w:t xml:space="preserve">，如第一名提出不能履行合同或者放弃中标资格，向下顺延确定一名中标人。 </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7.2.3 当送达的投标文件不足3份或评标结果全为无效标时；及经过评审，若所有的供应商均未能通过符合性审查，招标方可在取得采购监督人同意后宣布本次招标失败，并通知各供应商。采购人根据相关规定重新组织招标。 </w:t>
      </w:r>
    </w:p>
    <w:p>
      <w:pPr>
        <w:spacing w:line="360" w:lineRule="auto"/>
        <w:ind w:firstLine="484" w:firstLineChars="200"/>
        <w:jc w:val="both"/>
        <w:rPr>
          <w:rFonts w:ascii="宋体" w:hAnsi="宋体" w:eastAsia="宋体" w:cs="宋体"/>
          <w:color w:val="0C0C0C"/>
          <w:spacing w:val="1"/>
          <w:sz w:val="24"/>
          <w:szCs w:val="24"/>
          <w:highlight w:val="none"/>
        </w:rPr>
      </w:pPr>
      <w:r>
        <w:rPr>
          <w:rFonts w:hint="eastAsia" w:ascii="宋体" w:hAnsi="宋体" w:eastAsia="宋体" w:cs="宋体"/>
          <w:color w:val="0C0C0C"/>
          <w:spacing w:val="1"/>
          <w:sz w:val="24"/>
          <w:szCs w:val="24"/>
          <w:highlight w:val="none"/>
        </w:rPr>
        <w:t>7.3</w:t>
      </w:r>
      <w:r>
        <w:rPr>
          <w:rFonts w:hint="eastAsia" w:ascii="宋体" w:hAnsi="宋体" w:eastAsia="宋体" w:cs="宋体"/>
          <w:color w:val="0C0C0C"/>
          <w:spacing w:val="1"/>
          <w:sz w:val="24"/>
          <w:szCs w:val="24"/>
          <w:highlight w:val="none"/>
          <w:lang w:eastAsia="zh-CN"/>
        </w:rPr>
        <w:t>、</w:t>
      </w:r>
      <w:r>
        <w:rPr>
          <w:rFonts w:hint="eastAsia" w:ascii="宋体" w:hAnsi="宋体" w:eastAsia="宋体" w:cs="宋体"/>
          <w:color w:val="0C0C0C"/>
          <w:spacing w:val="1"/>
          <w:sz w:val="24"/>
          <w:szCs w:val="24"/>
          <w:highlight w:val="none"/>
        </w:rPr>
        <w:t xml:space="preserve">其他 </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7.3.1 除投标报价外的其他项内容的评审首先由评标小组的各成员自主打分，汇总时在自主打分的记分结果中，进行算术平均，以算术平均值作为该项的最终加、减分值。 </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7.3.2 计分按四舍五入取至小数点后二位。 </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7.3.3 在评标过程中，如发现本办法中条款与供应商须知中相关条款不一致，以本办法中的相关条款为准。 </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7.3.4 供应商必须对所提供资料的真实性负责，被推荐为</w:t>
      </w:r>
      <w:r>
        <w:rPr>
          <w:rFonts w:hint="eastAsia" w:ascii="宋体" w:hAnsi="宋体" w:eastAsia="宋体" w:cs="宋体"/>
          <w:sz w:val="24"/>
          <w:szCs w:val="24"/>
          <w:highlight w:val="none"/>
        </w:rPr>
        <w:t>中标</w:t>
      </w:r>
      <w:r>
        <w:rPr>
          <w:rFonts w:hint="eastAsia" w:ascii="宋体" w:hAnsi="宋体" w:eastAsia="宋体" w:cs="宋体"/>
          <w:color w:val="0C0C0C"/>
          <w:sz w:val="24"/>
          <w:szCs w:val="24"/>
          <w:highlight w:val="none"/>
        </w:rPr>
        <w:t xml:space="preserve">候选人后，经采购人证实为提供虚假证明材料骗取中标的，除取消其中标资格外，还应赔偿采购人及代理机构的相关损失。 </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7.3.5 无论供应商</w:t>
      </w:r>
      <w:r>
        <w:rPr>
          <w:rFonts w:hint="eastAsia" w:ascii="宋体" w:hAnsi="宋体" w:eastAsia="宋体" w:cs="宋体"/>
          <w:sz w:val="24"/>
          <w:szCs w:val="24"/>
          <w:highlight w:val="none"/>
        </w:rPr>
        <w:t>中标</w:t>
      </w:r>
      <w:r>
        <w:rPr>
          <w:rFonts w:hint="eastAsia" w:ascii="宋体" w:hAnsi="宋体" w:eastAsia="宋体" w:cs="宋体"/>
          <w:color w:val="0C0C0C"/>
          <w:sz w:val="24"/>
          <w:szCs w:val="24"/>
          <w:highlight w:val="none"/>
        </w:rPr>
        <w:t xml:space="preserve">与否，评标委员会、采购人、采购代理机构和有关监督部门就评标过程中涉及的有关内容和细节均不予以解释、澄清和透露，否则当事人应承担相应的后果。 </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7.3.6 本办法仅适用于</w:t>
      </w:r>
      <w:r>
        <w:rPr>
          <w:rFonts w:hint="eastAsia" w:ascii="宋体" w:hAnsi="宋体" w:eastAsia="宋体" w:cs="宋体"/>
          <w:color w:val="0C0C0C"/>
          <w:sz w:val="24"/>
          <w:szCs w:val="24"/>
          <w:highlight w:val="none"/>
          <w:lang w:val="en-US" w:eastAsia="zh-CN"/>
        </w:rPr>
        <w:t>本项目</w:t>
      </w:r>
      <w:r>
        <w:rPr>
          <w:rFonts w:hint="eastAsia" w:ascii="宋体" w:hAnsi="宋体" w:eastAsia="宋体" w:cs="宋体"/>
          <w:color w:val="0C0C0C"/>
          <w:sz w:val="24"/>
          <w:szCs w:val="24"/>
          <w:highlight w:val="none"/>
        </w:rPr>
        <w:t xml:space="preserve">的招标工作。 </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7.3.7 本招标文件未尽事宜按现行招标投标的有关法律法规和规定执行。如投标单位在本次投标活动中有违反相关法律法规的将根据相关法律法规和规定对其进行处罚。 </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7.3.8 本招标文件时根据国家有关规定和参照国际惯例编制，解释权属采购人。 </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7.4</w:t>
      </w:r>
      <w:r>
        <w:rPr>
          <w:rFonts w:hint="eastAsia" w:ascii="宋体" w:hAnsi="宋体" w:eastAsia="宋体" w:cs="宋体"/>
          <w:color w:val="0C0C0C"/>
          <w:sz w:val="24"/>
          <w:szCs w:val="24"/>
          <w:highlight w:val="none"/>
          <w:lang w:eastAsia="zh-CN"/>
        </w:rPr>
        <w:t>、</w:t>
      </w:r>
      <w:r>
        <w:rPr>
          <w:rFonts w:hint="eastAsia" w:ascii="宋体" w:hAnsi="宋体" w:eastAsia="宋体" w:cs="宋体"/>
          <w:color w:val="0C0C0C"/>
          <w:sz w:val="24"/>
          <w:szCs w:val="24"/>
          <w:highlight w:val="none"/>
        </w:rPr>
        <w:t xml:space="preserve">中标通知 </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7.4.1 中标供应商确定后，由招标方向其签发《中标通知书》。 </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7.4.2 《中标通知书》将作为签订合同的重要依据，对采购人与中标供应商具有法律效力。 </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7.5</w:t>
      </w:r>
      <w:r>
        <w:rPr>
          <w:rFonts w:hint="eastAsia" w:ascii="宋体" w:hAnsi="宋体" w:eastAsia="宋体" w:cs="宋体"/>
          <w:color w:val="0C0C0C"/>
          <w:sz w:val="24"/>
          <w:szCs w:val="24"/>
          <w:highlight w:val="none"/>
          <w:lang w:eastAsia="zh-CN"/>
        </w:rPr>
        <w:t>、</w:t>
      </w:r>
      <w:r>
        <w:rPr>
          <w:rFonts w:hint="eastAsia" w:ascii="宋体" w:hAnsi="宋体" w:eastAsia="宋体" w:cs="宋体"/>
          <w:color w:val="0C0C0C"/>
          <w:sz w:val="24"/>
          <w:szCs w:val="24"/>
          <w:highlight w:val="none"/>
        </w:rPr>
        <w:t xml:space="preserve">签订合同 </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7.5.1 、招标人和中标人应当自中标通知书发出之日起</w:t>
      </w:r>
      <w:r>
        <w:rPr>
          <w:rFonts w:hint="eastAsia" w:ascii="宋体" w:hAnsi="宋体" w:eastAsia="宋体" w:cs="宋体"/>
          <w:color w:val="0C0C0C"/>
          <w:sz w:val="24"/>
          <w:szCs w:val="24"/>
          <w:highlight w:val="none"/>
          <w:lang w:val="en-US" w:eastAsia="zh-CN"/>
        </w:rPr>
        <w:t>1</w:t>
      </w:r>
      <w:r>
        <w:rPr>
          <w:rFonts w:hint="eastAsia" w:ascii="宋体" w:hAnsi="宋体" w:eastAsia="宋体" w:cs="宋体"/>
          <w:color w:val="0C0C0C"/>
          <w:sz w:val="24"/>
          <w:szCs w:val="24"/>
          <w:highlight w:val="none"/>
        </w:rPr>
        <w:t>个工作</w:t>
      </w:r>
      <w:r>
        <w:rPr>
          <w:rFonts w:ascii="宋体" w:hAnsi="宋体" w:eastAsia="宋体" w:cs="宋体"/>
          <w:color w:val="0C0C0C"/>
          <w:sz w:val="24"/>
          <w:szCs w:val="24"/>
          <w:highlight w:val="none"/>
        </w:rPr>
        <w:t>日内</w:t>
      </w:r>
      <w:r>
        <w:rPr>
          <w:rFonts w:hint="eastAsia" w:ascii="宋体" w:hAnsi="宋体" w:eastAsia="宋体" w:cs="宋体"/>
          <w:color w:val="0C0C0C"/>
          <w:sz w:val="24"/>
          <w:szCs w:val="24"/>
          <w:highlight w:val="none"/>
        </w:rPr>
        <w:t>，根据招标文件和中标人的投标文件订立书面合同。中标人无正当理由拒签合同的，招标人取消其中标资格，给招标人造成的损失，中标人还应予以赔偿。</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7.5.2 招标文件、投标文件、供应商在开标过程中的补充确认材料以及《</w:t>
      </w:r>
      <w:r>
        <w:rPr>
          <w:rFonts w:hint="eastAsia" w:ascii="宋体" w:hAnsi="宋体" w:eastAsia="宋体" w:cs="宋体"/>
          <w:sz w:val="24"/>
          <w:szCs w:val="24"/>
          <w:highlight w:val="none"/>
        </w:rPr>
        <w:t>中标</w:t>
      </w:r>
      <w:r>
        <w:rPr>
          <w:rFonts w:hint="eastAsia" w:ascii="宋体" w:hAnsi="宋体" w:eastAsia="宋体" w:cs="宋体"/>
          <w:color w:val="0C0C0C"/>
          <w:sz w:val="24"/>
          <w:szCs w:val="24"/>
          <w:highlight w:val="none"/>
        </w:rPr>
        <w:t xml:space="preserve">通知书》，均作为合同签订的依据。 </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7.5.3 如果中标人不按其响应性文件承诺和招标文件要求签订合同，招标方将取消其中标资格，并另定中标供应商。 </w:t>
      </w:r>
    </w:p>
    <w:p>
      <w:pPr>
        <w:spacing w:line="360" w:lineRule="auto"/>
        <w:ind w:firstLine="480" w:firstLineChars="200"/>
        <w:jc w:val="both"/>
        <w:rPr>
          <w:rFonts w:hint="eastAsia" w:ascii="宋体" w:hAnsi="宋体" w:eastAsia="宋体" w:cs="宋体"/>
          <w:color w:val="0C0C0C"/>
          <w:sz w:val="24"/>
          <w:szCs w:val="24"/>
          <w:highlight w:val="none"/>
          <w:lang w:val="en-US" w:eastAsia="zh-CN"/>
        </w:rPr>
      </w:pPr>
      <w:r>
        <w:rPr>
          <w:rFonts w:hint="eastAsia" w:ascii="宋体" w:hAnsi="宋体" w:eastAsia="宋体" w:cs="宋体"/>
          <w:color w:val="0C0C0C"/>
          <w:sz w:val="24"/>
          <w:szCs w:val="24"/>
          <w:highlight w:val="none"/>
        </w:rPr>
        <w:t>7.6</w:t>
      </w:r>
      <w:r>
        <w:rPr>
          <w:rFonts w:hint="eastAsia" w:ascii="宋体" w:hAnsi="宋体" w:eastAsia="宋体" w:cs="宋体"/>
          <w:color w:val="0C0C0C"/>
          <w:sz w:val="24"/>
          <w:szCs w:val="24"/>
          <w:highlight w:val="none"/>
          <w:lang w:eastAsia="zh-CN"/>
        </w:rPr>
        <w:t>、</w:t>
      </w:r>
      <w:r>
        <w:rPr>
          <w:rFonts w:hint="eastAsia" w:ascii="宋体" w:hAnsi="宋体" w:eastAsia="宋体" w:cs="宋体"/>
          <w:color w:val="0C0C0C"/>
          <w:sz w:val="24"/>
          <w:szCs w:val="24"/>
          <w:highlight w:val="none"/>
        </w:rPr>
        <w:t>履约保证金：</w:t>
      </w:r>
      <w:r>
        <w:rPr>
          <w:rFonts w:hint="eastAsia" w:ascii="宋体" w:hAnsi="宋体" w:eastAsia="宋体" w:cs="宋体"/>
          <w:color w:val="0C0C0C"/>
          <w:sz w:val="24"/>
          <w:szCs w:val="24"/>
          <w:highlight w:val="none"/>
          <w:lang w:val="en-US" w:eastAsia="zh-CN"/>
        </w:rPr>
        <w:t>无</w:t>
      </w:r>
    </w:p>
    <w:p>
      <w:pPr>
        <w:spacing w:line="360" w:lineRule="auto"/>
        <w:ind w:firstLine="480" w:firstLineChars="200"/>
        <w:jc w:val="both"/>
        <w:rPr>
          <w:rFonts w:hint="eastAsia" w:ascii="宋体" w:hAnsi="宋体" w:eastAsia="宋体" w:cs="宋体"/>
          <w:color w:val="0C0C0C"/>
          <w:sz w:val="24"/>
          <w:szCs w:val="24"/>
          <w:highlight w:val="none"/>
          <w:lang w:val="en-US" w:eastAsia="zh-CN"/>
        </w:rPr>
      </w:pPr>
      <w:r>
        <w:rPr>
          <w:rFonts w:hint="eastAsia" w:ascii="宋体" w:hAnsi="宋体" w:eastAsia="宋体" w:cs="宋体"/>
          <w:color w:val="0C0C0C"/>
          <w:sz w:val="24"/>
          <w:szCs w:val="24"/>
          <w:highlight w:val="none"/>
          <w:lang w:val="en-US" w:eastAsia="zh-CN"/>
        </w:rPr>
        <w:t>8、</w:t>
      </w:r>
      <w:r>
        <w:rPr>
          <w:rFonts w:hint="eastAsia" w:ascii="宋体" w:hAnsi="宋体" w:eastAsia="宋体" w:cs="宋体"/>
          <w:b/>
          <w:bCs/>
          <w:color w:val="0C0C0C"/>
          <w:sz w:val="24"/>
          <w:szCs w:val="24"/>
          <w:highlight w:val="none"/>
          <w:lang w:val="en-US" w:eastAsia="zh-CN"/>
        </w:rPr>
        <w:t>合同备案</w:t>
      </w:r>
    </w:p>
    <w:p>
      <w:pPr>
        <w:spacing w:line="360" w:lineRule="auto"/>
        <w:ind w:firstLine="482" w:firstLineChars="200"/>
        <w:jc w:val="both"/>
        <w:rPr>
          <w:rFonts w:hint="eastAsia" w:ascii="宋体" w:hAnsi="宋体" w:eastAsia="宋体" w:cs="宋体"/>
          <w:color w:val="0C0C0C"/>
          <w:sz w:val="24"/>
          <w:szCs w:val="24"/>
          <w:highlight w:val="none"/>
          <w:lang w:val="en-US" w:eastAsia="zh-CN"/>
        </w:rPr>
      </w:pPr>
      <w:r>
        <w:rPr>
          <w:rFonts w:hint="eastAsia" w:ascii="宋体" w:hAnsi="宋体" w:eastAsia="宋体" w:cs="宋体"/>
          <w:b/>
          <w:bCs/>
          <w:color w:val="0C0C0C"/>
          <w:sz w:val="24"/>
          <w:szCs w:val="24"/>
          <w:highlight w:val="none"/>
          <w:lang w:val="en-US" w:eastAsia="zh-CN"/>
        </w:rPr>
        <w:t xml:space="preserve">8.1 </w:t>
      </w:r>
      <w:r>
        <w:rPr>
          <w:rFonts w:hint="eastAsia" w:ascii="宋体" w:hAnsi="宋体" w:eastAsia="宋体" w:cs="宋体"/>
          <w:color w:val="0C0C0C"/>
          <w:sz w:val="24"/>
          <w:szCs w:val="24"/>
          <w:highlight w:val="none"/>
          <w:lang w:val="en-US" w:eastAsia="zh-CN"/>
        </w:rPr>
        <w:t>政府采购合同签订之日起1个工作日内，供应商应当配合采购人办理合同备案并公示，登录河南省电子化政府采购系统“合同管理”模块，填写合同基本信息，并上传政府采购合同、中标(成交)通知书。</w:t>
      </w:r>
    </w:p>
    <w:p>
      <w:pPr>
        <w:spacing w:line="360" w:lineRule="auto"/>
        <w:ind w:firstLine="482" w:firstLineChars="200"/>
        <w:jc w:val="both"/>
        <w:rPr>
          <w:rFonts w:hint="eastAsia" w:ascii="宋体" w:hAnsi="宋体" w:eastAsia="宋体" w:cs="宋体"/>
          <w:color w:val="0C0C0C"/>
          <w:sz w:val="24"/>
          <w:szCs w:val="24"/>
          <w:highlight w:val="none"/>
          <w:lang w:val="en-US" w:eastAsia="zh-CN"/>
        </w:rPr>
      </w:pPr>
      <w:r>
        <w:rPr>
          <w:rFonts w:hint="eastAsia" w:ascii="宋体" w:hAnsi="宋体" w:eastAsia="宋体" w:cs="宋体"/>
          <w:b/>
          <w:bCs/>
          <w:color w:val="0C0C0C"/>
          <w:sz w:val="24"/>
          <w:szCs w:val="24"/>
          <w:highlight w:val="none"/>
          <w:lang w:val="en-US" w:eastAsia="zh-CN"/>
        </w:rPr>
        <w:t>8.2</w:t>
      </w:r>
      <w:r>
        <w:rPr>
          <w:rFonts w:hint="eastAsia" w:ascii="宋体" w:hAnsi="宋体" w:eastAsia="宋体" w:cs="宋体"/>
          <w:color w:val="0C0C0C"/>
          <w:sz w:val="24"/>
          <w:szCs w:val="24"/>
          <w:highlight w:val="none"/>
          <w:lang w:val="en-US" w:eastAsia="zh-CN"/>
        </w:rPr>
        <w:t xml:space="preserve"> 政府采购合同公告备案是法定要求，供应商应当配合采购人及时履行备案手续</w:t>
      </w:r>
    </w:p>
    <w:p>
      <w:pPr>
        <w:spacing w:line="360" w:lineRule="auto"/>
        <w:ind w:firstLine="480" w:firstLineChars="200"/>
        <w:jc w:val="both"/>
        <w:rPr>
          <w:rFonts w:hint="eastAsia" w:ascii="宋体" w:hAnsi="宋体" w:eastAsia="宋体" w:cs="宋体"/>
          <w:color w:val="0C0C0C"/>
          <w:sz w:val="24"/>
          <w:szCs w:val="24"/>
          <w:highlight w:val="none"/>
          <w:lang w:val="en-US" w:eastAsia="zh-CN"/>
        </w:rPr>
      </w:pPr>
      <w:r>
        <w:rPr>
          <w:rFonts w:hint="eastAsia" w:ascii="宋体" w:hAnsi="宋体" w:eastAsia="宋体" w:cs="宋体"/>
          <w:color w:val="0C0C0C"/>
          <w:sz w:val="24"/>
          <w:szCs w:val="24"/>
          <w:highlight w:val="none"/>
          <w:lang w:val="en-US" w:eastAsia="zh-CN"/>
        </w:rPr>
        <w:t>9.纪律和监督</w:t>
      </w:r>
    </w:p>
    <w:p>
      <w:pPr>
        <w:spacing w:line="360" w:lineRule="auto"/>
        <w:ind w:firstLine="480" w:firstLineChars="200"/>
        <w:jc w:val="both"/>
        <w:rPr>
          <w:rFonts w:hint="eastAsia" w:ascii="宋体" w:hAnsi="宋体" w:eastAsia="宋体" w:cs="宋体"/>
          <w:color w:val="0C0C0C"/>
          <w:sz w:val="24"/>
          <w:szCs w:val="24"/>
          <w:highlight w:val="none"/>
          <w:lang w:val="en-US" w:eastAsia="zh-CN"/>
        </w:rPr>
      </w:pPr>
      <w:r>
        <w:rPr>
          <w:rFonts w:hint="eastAsia" w:ascii="宋体" w:hAnsi="宋体" w:eastAsia="宋体" w:cs="宋体"/>
          <w:color w:val="0C0C0C"/>
          <w:sz w:val="24"/>
          <w:szCs w:val="24"/>
          <w:highlight w:val="none"/>
          <w:lang w:val="en-US" w:eastAsia="zh-CN"/>
        </w:rPr>
        <w:t>9.1、对招标人的纪律要求</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招标人不得泄漏招标投标活动中应当保密的情况和资料，不得与投标人串通损害国家利益、社会公共利益或者他人合法权益。</w:t>
      </w:r>
    </w:p>
    <w:p>
      <w:pPr>
        <w:spacing w:line="360" w:lineRule="auto"/>
        <w:ind w:firstLine="484" w:firstLineChars="200"/>
        <w:jc w:val="both"/>
        <w:rPr>
          <w:rFonts w:ascii="宋体" w:hAnsi="宋体" w:eastAsia="宋体" w:cs="宋体"/>
          <w:sz w:val="24"/>
          <w:szCs w:val="24"/>
          <w:highlight w:val="none"/>
        </w:rPr>
      </w:pPr>
      <w:r>
        <w:rPr>
          <w:rFonts w:hint="eastAsia" w:ascii="宋体" w:hAnsi="宋体" w:eastAsia="宋体" w:cs="宋体"/>
          <w:color w:val="0C0C0C"/>
          <w:spacing w:val="1"/>
          <w:sz w:val="24"/>
          <w:szCs w:val="24"/>
          <w:highlight w:val="none"/>
          <w:lang w:val="en-US" w:eastAsia="zh-CN"/>
        </w:rPr>
        <w:t>9</w:t>
      </w:r>
      <w:r>
        <w:rPr>
          <w:rFonts w:hint="eastAsia" w:ascii="宋体" w:hAnsi="宋体" w:eastAsia="宋体" w:cs="宋体"/>
          <w:color w:val="0C0C0C"/>
          <w:spacing w:val="1"/>
          <w:sz w:val="24"/>
          <w:szCs w:val="24"/>
          <w:highlight w:val="none"/>
        </w:rPr>
        <w:t>.2</w:t>
      </w:r>
      <w:r>
        <w:rPr>
          <w:rFonts w:hint="eastAsia" w:ascii="宋体" w:hAnsi="宋体" w:eastAsia="宋体" w:cs="宋体"/>
          <w:color w:val="0C0C0C"/>
          <w:spacing w:val="1"/>
          <w:sz w:val="24"/>
          <w:szCs w:val="24"/>
          <w:highlight w:val="none"/>
          <w:lang w:eastAsia="zh-CN"/>
        </w:rPr>
        <w:t>、</w:t>
      </w:r>
      <w:r>
        <w:rPr>
          <w:rFonts w:hint="eastAsia" w:ascii="宋体" w:hAnsi="宋体" w:eastAsia="宋体" w:cs="宋体"/>
          <w:color w:val="0C0C0C"/>
          <w:sz w:val="24"/>
          <w:szCs w:val="24"/>
          <w:highlight w:val="none"/>
        </w:rPr>
        <w:t>对投标人的纪律要求</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spacing w:line="360" w:lineRule="auto"/>
        <w:ind w:firstLine="484" w:firstLineChars="200"/>
        <w:jc w:val="both"/>
        <w:rPr>
          <w:rFonts w:ascii="宋体" w:hAnsi="宋体" w:eastAsia="宋体" w:cs="宋体"/>
          <w:sz w:val="24"/>
          <w:szCs w:val="24"/>
          <w:highlight w:val="none"/>
        </w:rPr>
      </w:pPr>
      <w:r>
        <w:rPr>
          <w:rFonts w:hint="eastAsia" w:ascii="宋体" w:hAnsi="宋体" w:eastAsia="宋体" w:cs="宋体"/>
          <w:color w:val="0C0C0C"/>
          <w:spacing w:val="1"/>
          <w:sz w:val="24"/>
          <w:szCs w:val="24"/>
          <w:highlight w:val="none"/>
          <w:lang w:val="en-US" w:eastAsia="zh-CN"/>
        </w:rPr>
        <w:t>9</w:t>
      </w:r>
      <w:r>
        <w:rPr>
          <w:rFonts w:hint="eastAsia" w:ascii="宋体" w:hAnsi="宋体" w:eastAsia="宋体" w:cs="宋体"/>
          <w:color w:val="0C0C0C"/>
          <w:spacing w:val="1"/>
          <w:sz w:val="24"/>
          <w:szCs w:val="24"/>
          <w:highlight w:val="none"/>
        </w:rPr>
        <w:t>.3</w:t>
      </w:r>
      <w:r>
        <w:rPr>
          <w:rFonts w:hint="eastAsia" w:ascii="宋体" w:hAnsi="宋体" w:eastAsia="宋体" w:cs="宋体"/>
          <w:color w:val="0C0C0C"/>
          <w:spacing w:val="1"/>
          <w:sz w:val="24"/>
          <w:szCs w:val="24"/>
          <w:highlight w:val="none"/>
          <w:lang w:eastAsia="zh-CN"/>
        </w:rPr>
        <w:t>、</w:t>
      </w:r>
      <w:r>
        <w:rPr>
          <w:rFonts w:hint="eastAsia" w:ascii="宋体" w:hAnsi="宋体" w:eastAsia="宋体" w:cs="宋体"/>
          <w:color w:val="0C0C0C"/>
          <w:spacing w:val="1"/>
          <w:sz w:val="24"/>
          <w:szCs w:val="24"/>
          <w:highlight w:val="none"/>
        </w:rPr>
        <w:t>对评标</w:t>
      </w:r>
      <w:r>
        <w:rPr>
          <w:rFonts w:hint="eastAsia" w:ascii="宋体" w:hAnsi="宋体" w:eastAsia="宋体" w:cs="宋体"/>
          <w:color w:val="0C0C0C"/>
          <w:sz w:val="24"/>
          <w:szCs w:val="24"/>
          <w:highlight w:val="none"/>
        </w:rPr>
        <w:t>委员会成员的纪律要求</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评标办法”没有规定的评审因素和标准进行评标。</w:t>
      </w:r>
    </w:p>
    <w:p>
      <w:pPr>
        <w:spacing w:line="360" w:lineRule="auto"/>
        <w:ind w:firstLine="484" w:firstLineChars="200"/>
        <w:jc w:val="both"/>
        <w:rPr>
          <w:rFonts w:ascii="宋体" w:hAnsi="宋体" w:eastAsia="宋体" w:cs="宋体"/>
          <w:color w:val="0C0C0C"/>
          <w:sz w:val="24"/>
          <w:szCs w:val="24"/>
          <w:highlight w:val="none"/>
        </w:rPr>
      </w:pPr>
      <w:r>
        <w:rPr>
          <w:rFonts w:hint="eastAsia" w:ascii="宋体" w:hAnsi="宋体" w:eastAsia="宋体" w:cs="宋体"/>
          <w:color w:val="0C0C0C"/>
          <w:spacing w:val="1"/>
          <w:sz w:val="24"/>
          <w:szCs w:val="24"/>
          <w:highlight w:val="none"/>
          <w:lang w:val="en-US" w:eastAsia="zh-CN"/>
        </w:rPr>
        <w:t>9</w:t>
      </w:r>
      <w:r>
        <w:rPr>
          <w:rFonts w:hint="eastAsia" w:ascii="宋体" w:hAnsi="宋体" w:eastAsia="宋体" w:cs="宋体"/>
          <w:color w:val="0C0C0C"/>
          <w:spacing w:val="1"/>
          <w:sz w:val="24"/>
          <w:szCs w:val="24"/>
          <w:highlight w:val="none"/>
        </w:rPr>
        <w:t>.</w:t>
      </w:r>
      <w:r>
        <w:rPr>
          <w:rFonts w:hint="eastAsia" w:ascii="宋体" w:hAnsi="宋体" w:eastAsia="宋体" w:cs="宋体"/>
          <w:color w:val="0C0C0C"/>
          <w:sz w:val="24"/>
          <w:szCs w:val="24"/>
          <w:highlight w:val="none"/>
        </w:rPr>
        <w:t>4</w:t>
      </w:r>
      <w:r>
        <w:rPr>
          <w:rFonts w:hint="eastAsia" w:ascii="宋体" w:hAnsi="宋体" w:eastAsia="宋体" w:cs="宋体"/>
          <w:color w:val="0C0C0C"/>
          <w:sz w:val="24"/>
          <w:szCs w:val="24"/>
          <w:highlight w:val="none"/>
          <w:lang w:eastAsia="zh-CN"/>
        </w:rPr>
        <w:t>、</w:t>
      </w:r>
      <w:r>
        <w:rPr>
          <w:rFonts w:hint="eastAsia" w:ascii="宋体" w:hAnsi="宋体" w:eastAsia="宋体" w:cs="宋体"/>
          <w:color w:val="0C0C0C"/>
          <w:sz w:val="24"/>
          <w:szCs w:val="24"/>
          <w:highlight w:val="none"/>
        </w:rPr>
        <w:t>对与评标活动有关的工作人员的纪律要求</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与评标活动有关的工作人员不得收受他人的财物或者其他好处，不得向他人透漏对投标文件的评审和 比较、中标候选人的推荐情况以及评标有关的其他情况。在评标活动中，与评标活动有关的工作人员不得擅离职守，影响评标程序正常进行。</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lang w:val="en-US" w:eastAsia="zh-CN"/>
        </w:rPr>
        <w:t>9</w:t>
      </w:r>
      <w:r>
        <w:rPr>
          <w:rFonts w:hint="eastAsia" w:ascii="宋体" w:hAnsi="宋体" w:eastAsia="宋体" w:cs="宋体"/>
          <w:color w:val="0C0C0C"/>
          <w:sz w:val="24"/>
          <w:szCs w:val="24"/>
          <w:highlight w:val="none"/>
        </w:rPr>
        <w:t>.5</w:t>
      </w:r>
      <w:r>
        <w:rPr>
          <w:rFonts w:hint="eastAsia" w:ascii="宋体" w:hAnsi="宋体" w:eastAsia="宋体" w:cs="宋体"/>
          <w:color w:val="0C0C0C"/>
          <w:sz w:val="24"/>
          <w:szCs w:val="24"/>
          <w:highlight w:val="none"/>
          <w:lang w:eastAsia="zh-CN"/>
        </w:rPr>
        <w:t>、</w:t>
      </w:r>
      <w:r>
        <w:rPr>
          <w:rFonts w:hint="eastAsia" w:ascii="宋体" w:hAnsi="宋体" w:eastAsia="宋体" w:cs="宋体"/>
          <w:color w:val="0C0C0C"/>
          <w:sz w:val="24"/>
          <w:szCs w:val="24"/>
          <w:highlight w:val="none"/>
        </w:rPr>
        <w:t>投诉</w:t>
      </w:r>
    </w:p>
    <w:p>
      <w:pPr>
        <w:spacing w:line="360" w:lineRule="auto"/>
        <w:ind w:firstLine="480" w:firstLineChars="200"/>
        <w:jc w:val="both"/>
        <w:rPr>
          <w:rFonts w:ascii="宋体" w:hAnsi="宋体" w:eastAsia="宋体" w:cs="宋体"/>
          <w:color w:val="0C0C0C"/>
          <w:sz w:val="24"/>
          <w:szCs w:val="24"/>
          <w:highlight w:val="none"/>
        </w:rPr>
      </w:pPr>
      <w:r>
        <w:rPr>
          <w:rFonts w:hint="eastAsia" w:ascii="宋体" w:hAnsi="宋体" w:eastAsia="宋体" w:cs="宋体"/>
          <w:color w:val="0C0C0C"/>
          <w:sz w:val="24"/>
          <w:szCs w:val="24"/>
          <w:highlight w:val="none"/>
        </w:rPr>
        <w:t>投标人和其他利害关系人认为本次招标活动违反法律、法规和规章规定的，有权向有关行政监督部门投诉。</w:t>
      </w:r>
    </w:p>
    <w:p>
      <w:pPr>
        <w:spacing w:line="360" w:lineRule="auto"/>
        <w:ind w:firstLine="468" w:firstLineChars="200"/>
        <w:jc w:val="both"/>
        <w:rPr>
          <w:rFonts w:ascii="宋体" w:hAnsi="宋体" w:eastAsia="宋体" w:cs="宋体"/>
          <w:sz w:val="24"/>
          <w:szCs w:val="24"/>
          <w:highlight w:val="none"/>
        </w:rPr>
      </w:pPr>
      <w:r>
        <w:rPr>
          <w:rFonts w:hint="eastAsia" w:ascii="宋体" w:hAnsi="宋体" w:eastAsia="宋体" w:cs="宋体"/>
          <w:color w:val="0C0C0C"/>
          <w:spacing w:val="-3"/>
          <w:sz w:val="24"/>
          <w:szCs w:val="24"/>
          <w:highlight w:val="none"/>
          <w:lang w:val="en-US" w:eastAsia="zh-CN"/>
        </w:rPr>
        <w:t>10</w:t>
      </w:r>
      <w:r>
        <w:rPr>
          <w:rFonts w:hint="eastAsia" w:ascii="宋体" w:hAnsi="宋体" w:eastAsia="宋体" w:cs="宋体"/>
          <w:color w:val="0C0C0C"/>
          <w:spacing w:val="-3"/>
          <w:sz w:val="24"/>
          <w:szCs w:val="24"/>
          <w:highlight w:val="none"/>
        </w:rPr>
        <w:t>.需要补充的其他内容：</w:t>
      </w:r>
    </w:p>
    <w:p>
      <w:pPr>
        <w:spacing w:line="360" w:lineRule="auto"/>
        <w:ind w:firstLine="476" w:firstLineChars="200"/>
        <w:jc w:val="both"/>
        <w:rPr>
          <w:rFonts w:ascii="宋体" w:hAnsi="宋体" w:eastAsia="宋体" w:cs="宋体"/>
          <w:sz w:val="24"/>
          <w:szCs w:val="24"/>
          <w:highlight w:val="none"/>
        </w:rPr>
      </w:pPr>
      <w:r>
        <w:rPr>
          <w:rFonts w:hint="eastAsia" w:ascii="宋体" w:hAnsi="宋体" w:eastAsia="宋体" w:cs="宋体"/>
          <w:color w:val="0C0C0C"/>
          <w:spacing w:val="-1"/>
          <w:sz w:val="24"/>
          <w:szCs w:val="24"/>
          <w:highlight w:val="none"/>
        </w:rPr>
        <w:t>见投标人须知前附</w:t>
      </w:r>
      <w:r>
        <w:rPr>
          <w:rFonts w:hint="eastAsia" w:ascii="宋体" w:hAnsi="宋体" w:eastAsia="宋体" w:cs="宋体"/>
          <w:color w:val="0C0C0C"/>
          <w:sz w:val="24"/>
          <w:szCs w:val="24"/>
          <w:highlight w:val="none"/>
        </w:rPr>
        <w:t>表。</w:t>
      </w:r>
    </w:p>
    <w:p>
      <w:pPr>
        <w:spacing w:line="360" w:lineRule="auto"/>
        <w:ind w:firstLine="464" w:firstLineChars="200"/>
        <w:jc w:val="both"/>
        <w:rPr>
          <w:rFonts w:ascii="宋体" w:hAnsi="宋体" w:eastAsia="宋体" w:cs="宋体"/>
          <w:sz w:val="24"/>
          <w:szCs w:val="24"/>
          <w:highlight w:val="none"/>
        </w:rPr>
      </w:pPr>
      <w:r>
        <w:rPr>
          <w:rFonts w:hint="eastAsia" w:ascii="宋体" w:hAnsi="宋体" w:eastAsia="宋体" w:cs="宋体"/>
          <w:color w:val="0C0C0C"/>
          <w:spacing w:val="-4"/>
          <w:sz w:val="24"/>
          <w:szCs w:val="24"/>
          <w:highlight w:val="none"/>
          <w:lang w:val="en-US" w:eastAsia="zh-CN"/>
        </w:rPr>
        <w:t>11</w:t>
      </w:r>
      <w:r>
        <w:rPr>
          <w:rFonts w:hint="eastAsia" w:ascii="宋体" w:hAnsi="宋体" w:eastAsia="宋体" w:cs="宋体"/>
          <w:color w:val="0C0C0C"/>
          <w:spacing w:val="-3"/>
          <w:sz w:val="24"/>
          <w:szCs w:val="24"/>
          <w:highlight w:val="none"/>
        </w:rPr>
        <w:t>．</w:t>
      </w:r>
      <w:r>
        <w:rPr>
          <w:rFonts w:hint="eastAsia" w:ascii="宋体" w:hAnsi="宋体" w:eastAsia="宋体" w:cs="宋体"/>
          <w:color w:val="0C0C0C"/>
          <w:spacing w:val="-2"/>
          <w:sz w:val="24"/>
          <w:szCs w:val="24"/>
          <w:highlight w:val="none"/>
        </w:rPr>
        <w:t>电子招标投标</w:t>
      </w:r>
    </w:p>
    <w:p>
      <w:pPr>
        <w:spacing w:line="360" w:lineRule="auto"/>
        <w:ind w:firstLine="488" w:firstLineChars="200"/>
        <w:jc w:val="both"/>
        <w:rPr>
          <w:rFonts w:hint="eastAsia" w:ascii="宋体" w:hAnsi="宋体" w:eastAsia="宋体" w:cs="宋体"/>
          <w:color w:val="0C0C0C"/>
          <w:spacing w:val="-9"/>
          <w:sz w:val="24"/>
          <w:szCs w:val="24"/>
          <w:highlight w:val="none"/>
        </w:rPr>
      </w:pPr>
      <w:r>
        <w:rPr>
          <w:rFonts w:hint="eastAsia" w:ascii="宋体" w:hAnsi="宋体" w:eastAsia="宋体" w:cs="宋体"/>
          <w:color w:val="0C0C0C"/>
          <w:spacing w:val="2"/>
          <w:sz w:val="24"/>
          <w:szCs w:val="24"/>
          <w:highlight w:val="none"/>
        </w:rPr>
        <w:t>采用电子招标投标，对投标文件的编制、密封和标记、递交、开标等的具体要求，见投标</w:t>
      </w:r>
      <w:r>
        <w:rPr>
          <w:rFonts w:hint="eastAsia" w:ascii="宋体" w:hAnsi="宋体" w:eastAsia="宋体" w:cs="宋体"/>
          <w:color w:val="0C0C0C"/>
          <w:spacing w:val="1"/>
          <w:sz w:val="24"/>
          <w:szCs w:val="24"/>
          <w:highlight w:val="none"/>
        </w:rPr>
        <w:t>人</w:t>
      </w:r>
      <w:r>
        <w:rPr>
          <w:rFonts w:hint="eastAsia" w:ascii="宋体" w:hAnsi="宋体" w:eastAsia="宋体" w:cs="宋体"/>
          <w:color w:val="0C0C0C"/>
          <w:sz w:val="24"/>
          <w:szCs w:val="24"/>
          <w:highlight w:val="none"/>
        </w:rPr>
        <w:t>须知前附</w:t>
      </w:r>
      <w:r>
        <w:rPr>
          <w:rFonts w:hint="eastAsia" w:ascii="宋体" w:hAnsi="宋体" w:eastAsia="宋体" w:cs="宋体"/>
          <w:color w:val="0C0C0C"/>
          <w:spacing w:val="-10"/>
          <w:sz w:val="24"/>
          <w:szCs w:val="24"/>
          <w:highlight w:val="none"/>
        </w:rPr>
        <w:t>表</w:t>
      </w:r>
      <w:r>
        <w:rPr>
          <w:rFonts w:hint="eastAsia" w:ascii="宋体" w:hAnsi="宋体" w:eastAsia="宋体" w:cs="宋体"/>
          <w:color w:val="0C0C0C"/>
          <w:spacing w:val="-9"/>
          <w:sz w:val="24"/>
          <w:szCs w:val="24"/>
          <w:highlight w:val="none"/>
        </w:rPr>
        <w:t>。</w:t>
      </w:r>
    </w:p>
    <w:p>
      <w:pPr>
        <w:rPr>
          <w:rFonts w:hint="eastAsia" w:ascii="宋体" w:hAnsi="宋体" w:eastAsia="宋体" w:cs="宋体"/>
          <w:color w:val="0C0C0C"/>
          <w:spacing w:val="-9"/>
          <w:sz w:val="24"/>
          <w:szCs w:val="24"/>
          <w:highlight w:val="none"/>
        </w:rPr>
      </w:pPr>
      <w:r>
        <w:rPr>
          <w:rFonts w:hint="eastAsia" w:ascii="宋体" w:hAnsi="宋体" w:eastAsia="宋体" w:cs="宋体"/>
          <w:color w:val="0C0C0C"/>
          <w:spacing w:val="-9"/>
          <w:sz w:val="24"/>
          <w:szCs w:val="24"/>
          <w:highlight w:val="none"/>
        </w:rPr>
        <w:br w:type="page"/>
      </w:r>
    </w:p>
    <w:p>
      <w:pPr>
        <w:spacing w:line="360" w:lineRule="auto"/>
        <w:ind w:firstLine="444" w:firstLineChars="200"/>
        <w:jc w:val="both"/>
        <w:rPr>
          <w:rFonts w:hint="eastAsia" w:ascii="宋体" w:hAnsi="宋体" w:eastAsia="宋体" w:cs="宋体"/>
          <w:color w:val="0C0C0C"/>
          <w:spacing w:val="-9"/>
          <w:sz w:val="24"/>
          <w:szCs w:val="24"/>
          <w:highlight w:val="none"/>
        </w:rPr>
      </w:pPr>
    </w:p>
    <w:p>
      <w:pPr>
        <w:spacing w:line="360" w:lineRule="auto"/>
        <w:ind w:firstLine="466" w:firstLineChars="200"/>
        <w:jc w:val="both"/>
        <w:outlineLvl w:val="9"/>
        <w:rPr>
          <w:rFonts w:ascii="宋体" w:hAnsi="宋体" w:eastAsia="宋体" w:cs="宋体"/>
          <w:b/>
          <w:bCs/>
          <w:color w:val="0C0C0C"/>
          <w:spacing w:val="-4"/>
          <w:sz w:val="24"/>
          <w:szCs w:val="24"/>
          <w:highlight w:val="none"/>
        </w:rPr>
      </w:pPr>
      <w:r>
        <w:rPr>
          <w:rFonts w:hint="eastAsia" w:ascii="宋体" w:hAnsi="宋体" w:eastAsia="宋体" w:cs="宋体"/>
          <w:b/>
          <w:bCs/>
          <w:color w:val="0C0C0C"/>
          <w:spacing w:val="-4"/>
          <w:sz w:val="24"/>
          <w:szCs w:val="24"/>
          <w:highlight w:val="none"/>
        </w:rPr>
        <w:t>六、评标办法(综合评分法)</w:t>
      </w:r>
    </w:p>
    <w:p>
      <w:pPr>
        <w:spacing w:line="360" w:lineRule="auto"/>
        <w:ind w:firstLine="466" w:firstLineChars="200"/>
        <w:jc w:val="both"/>
        <w:rPr>
          <w:rFonts w:ascii="宋体" w:hAnsi="宋体" w:eastAsia="宋体" w:cs="宋体"/>
          <w:b/>
          <w:bCs/>
          <w:color w:val="0C0C0C"/>
          <w:spacing w:val="-4"/>
          <w:sz w:val="24"/>
          <w:szCs w:val="24"/>
          <w:highlight w:val="none"/>
        </w:rPr>
      </w:pPr>
      <w:r>
        <w:rPr>
          <w:rFonts w:hint="eastAsia" w:ascii="宋体" w:hAnsi="宋体" w:eastAsia="宋体" w:cs="宋体"/>
          <w:b/>
          <w:bCs/>
          <w:color w:val="0C0C0C"/>
          <w:spacing w:val="-4"/>
          <w:sz w:val="24"/>
          <w:szCs w:val="24"/>
          <w:highlight w:val="none"/>
        </w:rPr>
        <w:t>评标办法前附表</w:t>
      </w:r>
    </w:p>
    <w:p>
      <w:pPr>
        <w:spacing w:line="25" w:lineRule="exact"/>
        <w:rPr>
          <w:highlight w:val="none"/>
        </w:rPr>
      </w:pPr>
    </w:p>
    <w:tbl>
      <w:tblPr>
        <w:tblStyle w:val="22"/>
        <w:tblpPr w:leftFromText="180" w:rightFromText="180" w:vertAnchor="text" w:tblpX="10964" w:tblpY="-1278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885" w:type="dxa"/>
          </w:tcPr>
          <w:p>
            <w:pPr>
              <w:widowControl w:val="0"/>
              <w:jc w:val="both"/>
              <w:rPr>
                <w:highlight w:val="none"/>
                <w:vertAlign w:val="baseline"/>
              </w:rPr>
            </w:pPr>
          </w:p>
        </w:tc>
      </w:tr>
    </w:tbl>
    <w:tbl>
      <w:tblPr>
        <w:tblStyle w:val="22"/>
        <w:tblpPr w:leftFromText="180" w:rightFromText="180" w:vertAnchor="text" w:tblpX="10964" w:tblpY="-1277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0"/>
        <w:gridCol w:w="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45" w:type="dxa"/>
          <w:trHeight w:val="30" w:hRule="atLeast"/>
        </w:trPr>
        <w:tc>
          <w:tcPr>
            <w:tcW w:w="1900" w:type="dxa"/>
          </w:tcPr>
          <w:p>
            <w:pPr>
              <w:widowControl w:val="0"/>
              <w:jc w:val="both"/>
              <w:rPr>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 w:hRule="atLeast"/>
        </w:trPr>
        <w:tc>
          <w:tcPr>
            <w:tcW w:w="1945" w:type="dxa"/>
            <w:gridSpan w:val="2"/>
          </w:tcPr>
          <w:p>
            <w:pPr>
              <w:widowControl w:val="0"/>
              <w:jc w:val="both"/>
              <w:rPr>
                <w:highlight w:val="none"/>
                <w:vertAlign w:val="baseline"/>
              </w:rPr>
            </w:pPr>
          </w:p>
        </w:tc>
      </w:tr>
    </w:tbl>
    <w:tbl>
      <w:tblPr>
        <w:tblStyle w:val="22"/>
        <w:tblpPr w:leftFromText="180" w:rightFromText="180" w:vertAnchor="text" w:tblpX="10964" w:tblpY="-1046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 w:hRule="atLeast"/>
        </w:trPr>
        <w:tc>
          <w:tcPr>
            <w:tcW w:w="3070" w:type="dxa"/>
          </w:tcPr>
          <w:p>
            <w:pPr>
              <w:widowControl w:val="0"/>
              <w:spacing w:line="25" w:lineRule="exact"/>
              <w:jc w:val="both"/>
              <w:rPr>
                <w:highlight w:val="none"/>
                <w:vertAlign w:val="baseline"/>
              </w:rPr>
            </w:pPr>
          </w:p>
        </w:tc>
      </w:tr>
    </w:tbl>
    <w:p>
      <w:pPr>
        <w:spacing w:line="91" w:lineRule="auto"/>
        <w:rPr>
          <w:rFonts w:ascii="Arial"/>
          <w:sz w:val="2"/>
          <w:highlight w:val="none"/>
        </w:rPr>
      </w:pPr>
    </w:p>
    <w:tbl>
      <w:tblPr>
        <w:tblStyle w:val="22"/>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0"/>
        <w:gridCol w:w="1051"/>
        <w:gridCol w:w="1992"/>
        <w:gridCol w:w="351"/>
        <w:gridCol w:w="121"/>
        <w:gridCol w:w="4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1" w:type="dxa"/>
            <w:gridSpan w:val="2"/>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条款号</w:t>
            </w:r>
          </w:p>
        </w:tc>
        <w:tc>
          <w:tcPr>
            <w:tcW w:w="2343" w:type="dxa"/>
            <w:gridSpan w:val="2"/>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评审因素</w:t>
            </w:r>
          </w:p>
        </w:tc>
        <w:tc>
          <w:tcPr>
            <w:tcW w:w="4647" w:type="dxa"/>
            <w:gridSpan w:val="2"/>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91" w:type="dxa"/>
            <w:gridSpan w:val="6"/>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vertAlign w:val="baseline"/>
                <w:lang w:val="en-US"/>
              </w:rPr>
            </w:pPr>
            <w:r>
              <w:rPr>
                <w:rFonts w:hint="eastAsia" w:ascii="宋体" w:hAnsi="宋体" w:eastAsia="宋体" w:cs="宋体"/>
                <w:b/>
                <w:bCs/>
                <w:color w:val="000000"/>
                <w:kern w:val="0"/>
                <w:sz w:val="21"/>
                <w:szCs w:val="21"/>
                <w:highlight w:val="none"/>
                <w:lang w:val="en-US" w:eastAsia="zh-CN" w:bidi="ar"/>
              </w:rPr>
              <w:t>2.1 初步评审标准: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1150" w:type="dxa"/>
            <w:vMerge w:val="restart"/>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2.1.1</w:t>
            </w:r>
          </w:p>
        </w:tc>
        <w:tc>
          <w:tcPr>
            <w:tcW w:w="1051" w:type="dxa"/>
            <w:vMerge w:val="restart"/>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default" w:ascii="宋体" w:hAnsi="宋体" w:eastAsia="宋体" w:cs="宋体"/>
                <w:sz w:val="21"/>
                <w:szCs w:val="21"/>
                <w:highlight w:val="none"/>
                <w:vertAlign w:val="baseline"/>
                <w:lang w:val="en-US"/>
              </w:rPr>
            </w:pPr>
            <w:r>
              <w:rPr>
                <w:rFonts w:hint="eastAsia" w:ascii="宋体" w:hAnsi="宋体" w:eastAsia="宋体" w:cs="宋体"/>
                <w:color w:val="000000"/>
                <w:kern w:val="0"/>
                <w:sz w:val="21"/>
                <w:szCs w:val="21"/>
                <w:highlight w:val="none"/>
                <w:lang w:val="en-US" w:eastAsia="zh-CN" w:bidi="ar"/>
              </w:rPr>
              <w:t>形式评审</w:t>
            </w:r>
          </w:p>
        </w:tc>
        <w:tc>
          <w:tcPr>
            <w:tcW w:w="2464" w:type="dxa"/>
            <w:gridSpan w:val="3"/>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供应商名称</w:t>
            </w:r>
          </w:p>
        </w:tc>
        <w:tc>
          <w:tcPr>
            <w:tcW w:w="4526" w:type="dxa"/>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与企业法人营业执照一致</w:t>
            </w:r>
            <w:r>
              <w:rPr>
                <w:rFonts w:hint="eastAsia" w:ascii="宋体" w:hAnsi="宋体" w:eastAsia="宋体" w:cs="宋体"/>
                <w:b/>
                <w:bCs/>
                <w:color w:val="000000"/>
                <w:kern w:val="0"/>
                <w:sz w:val="21"/>
                <w:szCs w:val="21"/>
                <w:highlight w:val="none"/>
                <w:lang w:val="en-US" w:eastAsia="zh-CN" w:bidi="ar"/>
              </w:rPr>
              <w:t>（以供应商</w:t>
            </w:r>
            <w:r>
              <w:rPr>
                <w:rFonts w:hint="eastAsia" w:cs="宋体"/>
                <w:b/>
                <w:bCs/>
                <w:color w:val="000000"/>
                <w:kern w:val="0"/>
                <w:sz w:val="21"/>
                <w:szCs w:val="21"/>
                <w:highlight w:val="none"/>
                <w:lang w:val="en-US" w:eastAsia="zh-CN" w:bidi="ar"/>
              </w:rPr>
              <w:t>南阳市公共资源交易中心</w:t>
            </w:r>
            <w:r>
              <w:rPr>
                <w:rFonts w:hint="eastAsia" w:ascii="宋体" w:hAnsi="宋体" w:eastAsia="宋体" w:cs="宋体"/>
                <w:b/>
                <w:bCs/>
                <w:color w:val="000000"/>
                <w:kern w:val="0"/>
                <w:sz w:val="21"/>
                <w:szCs w:val="21"/>
                <w:highlight w:val="none"/>
                <w:lang w:val="en-US" w:eastAsia="zh-CN" w:bidi="ar"/>
              </w:rPr>
              <w:t xml:space="preserve">企业诚信库“基本信息”中上传的原件扫描件为准）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1150"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rPr>
            </w:pPr>
          </w:p>
        </w:tc>
        <w:tc>
          <w:tcPr>
            <w:tcW w:w="1051"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rPr>
            </w:pPr>
          </w:p>
        </w:tc>
        <w:tc>
          <w:tcPr>
            <w:tcW w:w="2464" w:type="dxa"/>
            <w:gridSpan w:val="3"/>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cs="宋体"/>
                <w:color w:val="000000"/>
                <w:kern w:val="0"/>
                <w:sz w:val="21"/>
                <w:szCs w:val="21"/>
                <w:highlight w:val="none"/>
                <w:lang w:val="en-US" w:eastAsia="zh-CN" w:bidi="ar"/>
              </w:rPr>
              <w:t>投标</w:t>
            </w:r>
            <w:r>
              <w:rPr>
                <w:rFonts w:hint="eastAsia" w:ascii="宋体" w:hAnsi="宋体" w:eastAsia="宋体" w:cs="宋体"/>
                <w:color w:val="000000"/>
                <w:kern w:val="0"/>
                <w:sz w:val="21"/>
                <w:szCs w:val="21"/>
                <w:highlight w:val="none"/>
                <w:lang w:val="en-US" w:eastAsia="zh-CN" w:bidi="ar"/>
              </w:rPr>
              <w:t>性文件签字盖章</w:t>
            </w:r>
          </w:p>
        </w:tc>
        <w:tc>
          <w:tcPr>
            <w:tcW w:w="4526" w:type="dxa"/>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按照</w:t>
            </w:r>
            <w:r>
              <w:rPr>
                <w:rFonts w:hint="eastAsia" w:cs="宋体"/>
                <w:color w:val="000000"/>
                <w:kern w:val="0"/>
                <w:sz w:val="21"/>
                <w:szCs w:val="21"/>
                <w:highlight w:val="none"/>
                <w:lang w:val="en-US" w:eastAsia="zh-CN" w:bidi="ar"/>
              </w:rPr>
              <w:t>招标</w:t>
            </w:r>
            <w:r>
              <w:rPr>
                <w:rFonts w:hint="eastAsia" w:ascii="宋体" w:hAnsi="宋体" w:eastAsia="宋体" w:cs="宋体"/>
                <w:color w:val="000000"/>
                <w:kern w:val="0"/>
                <w:sz w:val="21"/>
                <w:szCs w:val="21"/>
                <w:highlight w:val="none"/>
                <w:lang w:val="en-US" w:eastAsia="zh-CN" w:bidi="ar"/>
              </w:rPr>
              <w:t>文件要求签字盖章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1150"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p>
        </w:tc>
        <w:tc>
          <w:tcPr>
            <w:tcW w:w="1051"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p>
        </w:tc>
        <w:tc>
          <w:tcPr>
            <w:tcW w:w="2464" w:type="dxa"/>
            <w:gridSpan w:val="3"/>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报价唯一</w:t>
            </w:r>
          </w:p>
        </w:tc>
        <w:tc>
          <w:tcPr>
            <w:tcW w:w="4526" w:type="dxa"/>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 xml:space="preserve">只有一个有效报价且不超过最高限价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1150"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p>
        </w:tc>
        <w:tc>
          <w:tcPr>
            <w:tcW w:w="1051"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p>
        </w:tc>
        <w:tc>
          <w:tcPr>
            <w:tcW w:w="2464" w:type="dxa"/>
            <w:gridSpan w:val="3"/>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cs="宋体"/>
                <w:color w:val="000000"/>
                <w:kern w:val="0"/>
                <w:sz w:val="21"/>
                <w:szCs w:val="21"/>
                <w:highlight w:val="none"/>
                <w:lang w:val="en-US" w:eastAsia="zh-CN" w:bidi="ar"/>
              </w:rPr>
              <w:t>投标</w:t>
            </w:r>
            <w:r>
              <w:rPr>
                <w:rFonts w:hint="eastAsia" w:ascii="宋体" w:hAnsi="宋体" w:eastAsia="宋体" w:cs="宋体"/>
                <w:color w:val="000000"/>
                <w:kern w:val="0"/>
                <w:sz w:val="21"/>
                <w:szCs w:val="21"/>
                <w:highlight w:val="none"/>
                <w:lang w:val="en-US" w:eastAsia="zh-CN" w:bidi="ar"/>
              </w:rPr>
              <w:t>性文件格式</w:t>
            </w:r>
          </w:p>
        </w:tc>
        <w:tc>
          <w:tcPr>
            <w:tcW w:w="4526" w:type="dxa"/>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 xml:space="preserve">符合第六部分“投标文件格式”的要求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50" w:type="dxa"/>
            <w:vMerge w:val="restart"/>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2.1.2</w:t>
            </w:r>
          </w:p>
        </w:tc>
        <w:tc>
          <w:tcPr>
            <w:tcW w:w="1051" w:type="dxa"/>
            <w:vMerge w:val="restart"/>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资格评审</w:t>
            </w:r>
          </w:p>
        </w:tc>
        <w:tc>
          <w:tcPr>
            <w:tcW w:w="2464" w:type="dxa"/>
            <w:gridSpan w:val="3"/>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资质要求</w:t>
            </w:r>
          </w:p>
        </w:tc>
        <w:tc>
          <w:tcPr>
            <w:tcW w:w="4526" w:type="dxa"/>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详见</w:t>
            </w:r>
            <w:r>
              <w:rPr>
                <w:rFonts w:hint="eastAsia" w:cs="宋体"/>
                <w:color w:val="000000"/>
                <w:kern w:val="0"/>
                <w:sz w:val="21"/>
                <w:szCs w:val="21"/>
                <w:highlight w:val="none"/>
                <w:lang w:val="en-US" w:eastAsia="zh-CN" w:bidi="ar"/>
              </w:rPr>
              <w:t>招标</w:t>
            </w:r>
            <w:r>
              <w:rPr>
                <w:rFonts w:hint="eastAsia" w:ascii="宋体" w:hAnsi="宋体" w:eastAsia="宋体" w:cs="宋体"/>
                <w:color w:val="000000"/>
                <w:kern w:val="0"/>
                <w:sz w:val="21"/>
                <w:szCs w:val="21"/>
                <w:highlight w:val="none"/>
                <w:lang w:val="en-US" w:eastAsia="zh-CN" w:bidi="ar"/>
              </w:rPr>
              <w:t>公告中“二、</w:t>
            </w:r>
            <w:r>
              <w:rPr>
                <w:rFonts w:hint="eastAsia" w:ascii="宋体" w:hAnsi="宋体" w:eastAsia="宋体" w:cs="宋体"/>
                <w:b/>
                <w:bCs/>
                <w:color w:val="000000"/>
                <w:kern w:val="0"/>
                <w:sz w:val="21"/>
                <w:szCs w:val="21"/>
                <w:highlight w:val="none"/>
                <w:lang w:val="en-US" w:eastAsia="zh-CN" w:bidi="ar"/>
              </w:rPr>
              <w:t>申请人资格要求</w:t>
            </w:r>
            <w:r>
              <w:rPr>
                <w:rFonts w:hint="eastAsia" w:ascii="宋体" w:hAnsi="宋体" w:eastAsia="宋体" w:cs="宋体"/>
                <w:color w:val="000000"/>
                <w:kern w:val="0"/>
                <w:sz w:val="21"/>
                <w:szCs w:val="21"/>
                <w:highlight w:val="none"/>
                <w:lang w:val="en-US" w:eastAsia="zh-CN" w:bidi="ar"/>
              </w:rPr>
              <w:t>”</w:t>
            </w:r>
            <w:r>
              <w:rPr>
                <w:rFonts w:hint="eastAsia" w:ascii="宋体" w:hAnsi="宋体" w:eastAsia="宋体" w:cs="宋体"/>
                <w:b/>
                <w:bCs/>
                <w:color w:val="000000"/>
                <w:kern w:val="0"/>
                <w:sz w:val="21"/>
                <w:szCs w:val="21"/>
                <w:highlight w:val="none"/>
                <w:lang w:val="en-US" w:eastAsia="zh-CN" w:bidi="ar"/>
              </w:rPr>
              <w:t>（以供应商</w:t>
            </w:r>
            <w:r>
              <w:rPr>
                <w:rFonts w:hint="eastAsia" w:cs="宋体"/>
                <w:b/>
                <w:bCs/>
                <w:color w:val="000000"/>
                <w:kern w:val="0"/>
                <w:sz w:val="21"/>
                <w:szCs w:val="21"/>
                <w:highlight w:val="none"/>
                <w:lang w:val="en-US" w:eastAsia="zh-CN" w:bidi="ar"/>
              </w:rPr>
              <w:t>南阳市公共资源交易中心</w:t>
            </w:r>
            <w:r>
              <w:rPr>
                <w:rFonts w:hint="eastAsia" w:ascii="宋体" w:hAnsi="宋体" w:eastAsia="宋体" w:cs="宋体"/>
                <w:b/>
                <w:bCs/>
                <w:color w:val="000000"/>
                <w:kern w:val="0"/>
                <w:sz w:val="21"/>
                <w:szCs w:val="21"/>
                <w:highlight w:val="none"/>
                <w:lang w:val="en-US" w:eastAsia="zh-CN" w:bidi="ar"/>
              </w:rPr>
              <w:t xml:space="preserve">企业企业诚信库“投标所需的其他材料”中上传的原件扫描件为准）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50"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rPr>
            </w:pPr>
          </w:p>
        </w:tc>
        <w:tc>
          <w:tcPr>
            <w:tcW w:w="1051"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rPr>
            </w:pPr>
          </w:p>
        </w:tc>
        <w:tc>
          <w:tcPr>
            <w:tcW w:w="2464" w:type="dxa"/>
            <w:gridSpan w:val="3"/>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信用查询</w:t>
            </w:r>
          </w:p>
        </w:tc>
        <w:tc>
          <w:tcPr>
            <w:tcW w:w="4526" w:type="dxa"/>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详见</w:t>
            </w:r>
            <w:r>
              <w:rPr>
                <w:rFonts w:hint="eastAsia" w:cs="宋体"/>
                <w:color w:val="000000"/>
                <w:kern w:val="0"/>
                <w:sz w:val="21"/>
                <w:szCs w:val="21"/>
                <w:highlight w:val="none"/>
                <w:lang w:val="en-US" w:eastAsia="zh-CN" w:bidi="ar"/>
              </w:rPr>
              <w:t>招标</w:t>
            </w:r>
            <w:r>
              <w:rPr>
                <w:rFonts w:hint="eastAsia" w:ascii="宋体" w:hAnsi="宋体" w:eastAsia="宋体" w:cs="宋体"/>
                <w:color w:val="000000"/>
                <w:kern w:val="0"/>
                <w:sz w:val="21"/>
                <w:szCs w:val="21"/>
                <w:highlight w:val="none"/>
                <w:lang w:val="en-US" w:eastAsia="zh-CN" w:bidi="ar"/>
              </w:rPr>
              <w:t>公告中“二、</w:t>
            </w:r>
            <w:r>
              <w:rPr>
                <w:rFonts w:hint="eastAsia" w:ascii="宋体" w:hAnsi="宋体" w:eastAsia="宋体" w:cs="宋体"/>
                <w:b/>
                <w:bCs/>
                <w:color w:val="000000"/>
                <w:kern w:val="0"/>
                <w:sz w:val="21"/>
                <w:szCs w:val="21"/>
                <w:highlight w:val="none"/>
                <w:lang w:val="en-US" w:eastAsia="zh-CN" w:bidi="ar"/>
              </w:rPr>
              <w:t>申请人资格要求</w:t>
            </w:r>
            <w:r>
              <w:rPr>
                <w:rFonts w:hint="eastAsia" w:ascii="宋体" w:hAnsi="宋体" w:eastAsia="宋体" w:cs="宋体"/>
                <w:color w:val="000000"/>
                <w:kern w:val="0"/>
                <w:sz w:val="21"/>
                <w:szCs w:val="21"/>
                <w:highlight w:val="none"/>
                <w:lang w:val="en-US" w:eastAsia="zh-CN" w:bidi="ar"/>
              </w:rPr>
              <w:t>”</w:t>
            </w:r>
            <w:r>
              <w:rPr>
                <w:rFonts w:hint="eastAsia" w:ascii="宋体" w:hAnsi="宋体" w:eastAsia="宋体" w:cs="宋体"/>
                <w:b/>
                <w:bCs/>
                <w:color w:val="000000"/>
                <w:kern w:val="0"/>
                <w:sz w:val="21"/>
                <w:szCs w:val="21"/>
                <w:highlight w:val="none"/>
                <w:lang w:val="en-US" w:eastAsia="zh-CN" w:bidi="ar"/>
              </w:rPr>
              <w:t>（以供应商</w:t>
            </w:r>
            <w:r>
              <w:rPr>
                <w:rFonts w:hint="eastAsia" w:cs="宋体"/>
                <w:b/>
                <w:bCs/>
                <w:color w:val="000000"/>
                <w:kern w:val="0"/>
                <w:sz w:val="21"/>
                <w:szCs w:val="21"/>
                <w:highlight w:val="none"/>
                <w:lang w:val="en-US" w:eastAsia="zh-CN" w:bidi="ar"/>
              </w:rPr>
              <w:t>南阳市公共资源交易中心</w:t>
            </w:r>
            <w:r>
              <w:rPr>
                <w:rFonts w:hint="eastAsia" w:ascii="宋体" w:hAnsi="宋体" w:eastAsia="宋体" w:cs="宋体"/>
                <w:b/>
                <w:bCs/>
                <w:color w:val="000000"/>
                <w:kern w:val="0"/>
                <w:sz w:val="21"/>
                <w:szCs w:val="21"/>
                <w:highlight w:val="none"/>
                <w:lang w:val="en-US" w:eastAsia="zh-CN" w:bidi="ar"/>
              </w:rPr>
              <w:t>企业企业诚信库“投标所需的其他材料”中上传的原件扫描件为准）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50"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p>
        </w:tc>
        <w:tc>
          <w:tcPr>
            <w:tcW w:w="1051"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p>
        </w:tc>
        <w:tc>
          <w:tcPr>
            <w:tcW w:w="2464" w:type="dxa"/>
            <w:gridSpan w:val="3"/>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其他要求</w:t>
            </w:r>
          </w:p>
        </w:tc>
        <w:tc>
          <w:tcPr>
            <w:tcW w:w="4526" w:type="dxa"/>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详见</w:t>
            </w:r>
            <w:r>
              <w:rPr>
                <w:rFonts w:hint="eastAsia" w:cs="宋体"/>
                <w:color w:val="000000"/>
                <w:kern w:val="0"/>
                <w:sz w:val="21"/>
                <w:szCs w:val="21"/>
                <w:highlight w:val="none"/>
                <w:lang w:val="en-US" w:eastAsia="zh-CN" w:bidi="ar"/>
              </w:rPr>
              <w:t>招标</w:t>
            </w:r>
            <w:r>
              <w:rPr>
                <w:rFonts w:hint="eastAsia" w:ascii="宋体" w:hAnsi="宋体" w:eastAsia="宋体" w:cs="宋体"/>
                <w:color w:val="000000"/>
                <w:kern w:val="0"/>
                <w:sz w:val="21"/>
                <w:szCs w:val="21"/>
                <w:highlight w:val="none"/>
                <w:lang w:val="en-US" w:eastAsia="zh-CN" w:bidi="ar"/>
              </w:rPr>
              <w:t>公告中“二、</w:t>
            </w:r>
            <w:r>
              <w:rPr>
                <w:rFonts w:hint="eastAsia" w:ascii="宋体" w:hAnsi="宋体" w:eastAsia="宋体" w:cs="宋体"/>
                <w:b/>
                <w:bCs/>
                <w:color w:val="000000"/>
                <w:kern w:val="0"/>
                <w:sz w:val="21"/>
                <w:szCs w:val="21"/>
                <w:highlight w:val="none"/>
                <w:lang w:val="en-US" w:eastAsia="zh-CN" w:bidi="ar"/>
              </w:rPr>
              <w:t>申请人资格要求</w:t>
            </w:r>
            <w:r>
              <w:rPr>
                <w:rFonts w:hint="eastAsia" w:ascii="宋体" w:hAnsi="宋体" w:eastAsia="宋体" w:cs="宋体"/>
                <w:color w:val="000000"/>
                <w:kern w:val="0"/>
                <w:sz w:val="21"/>
                <w:szCs w:val="21"/>
                <w:highlight w:val="none"/>
                <w:lang w:val="en-US" w:eastAsia="zh-CN" w:bidi="ar"/>
              </w:rPr>
              <w:t>”</w:t>
            </w:r>
            <w:r>
              <w:rPr>
                <w:rFonts w:hint="eastAsia" w:ascii="宋体" w:hAnsi="宋体" w:eastAsia="宋体" w:cs="宋体"/>
                <w:b/>
                <w:bCs/>
                <w:color w:val="000000"/>
                <w:kern w:val="0"/>
                <w:sz w:val="21"/>
                <w:szCs w:val="21"/>
                <w:highlight w:val="none"/>
                <w:lang w:val="en-US" w:eastAsia="zh-CN" w:bidi="ar"/>
              </w:rPr>
              <w:t>（以供应商</w:t>
            </w:r>
            <w:r>
              <w:rPr>
                <w:rFonts w:hint="eastAsia" w:cs="宋体"/>
                <w:b/>
                <w:bCs/>
                <w:color w:val="000000"/>
                <w:kern w:val="0"/>
                <w:sz w:val="21"/>
                <w:szCs w:val="21"/>
                <w:highlight w:val="none"/>
                <w:lang w:val="en-US" w:eastAsia="zh-CN" w:bidi="ar"/>
              </w:rPr>
              <w:t>南阳市公共资源交易中心</w:t>
            </w:r>
            <w:r>
              <w:rPr>
                <w:rFonts w:hint="eastAsia" w:ascii="宋体" w:hAnsi="宋体" w:eastAsia="宋体" w:cs="宋体"/>
                <w:b/>
                <w:bCs/>
                <w:color w:val="000000"/>
                <w:kern w:val="0"/>
                <w:sz w:val="21"/>
                <w:szCs w:val="21"/>
                <w:highlight w:val="none"/>
                <w:lang w:val="en-US" w:eastAsia="zh-CN" w:bidi="ar"/>
              </w:rPr>
              <w:t xml:space="preserve">企业企业诚信库“投标所需的其他材料”中上传的原件扫描件为准）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 w:hRule="atLeast"/>
          <w:jc w:val="center"/>
        </w:trPr>
        <w:tc>
          <w:tcPr>
            <w:tcW w:w="1150" w:type="dxa"/>
            <w:vMerge w:val="continue"/>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p>
        </w:tc>
        <w:tc>
          <w:tcPr>
            <w:tcW w:w="1051" w:type="dxa"/>
            <w:vMerge w:val="continue"/>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p>
        </w:tc>
        <w:tc>
          <w:tcPr>
            <w:tcW w:w="2464" w:type="dxa"/>
            <w:gridSpan w:val="3"/>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服务内容</w:t>
            </w:r>
          </w:p>
        </w:tc>
        <w:tc>
          <w:tcPr>
            <w:tcW w:w="4526" w:type="dxa"/>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符合第二部分“供应商须知前附表”</w:t>
            </w:r>
            <w:r>
              <w:rPr>
                <w:rFonts w:hint="eastAsia" w:cs="宋体"/>
                <w:color w:val="000000"/>
                <w:kern w:val="0"/>
                <w:sz w:val="21"/>
                <w:szCs w:val="21"/>
                <w:highlight w:val="none"/>
                <w:lang w:val="en-US" w:eastAsia="zh-CN" w:bidi="ar"/>
              </w:rPr>
              <w:t xml:space="preserve"> </w:t>
            </w:r>
            <w:r>
              <w:rPr>
                <w:rFonts w:hint="eastAsia" w:ascii="宋体" w:hAnsi="宋体" w:eastAsia="宋体" w:cs="宋体"/>
                <w:color w:val="000000"/>
                <w:kern w:val="0"/>
                <w:sz w:val="21"/>
                <w:szCs w:val="21"/>
                <w:highlight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 w:hRule="atLeast"/>
          <w:jc w:val="center"/>
        </w:trPr>
        <w:tc>
          <w:tcPr>
            <w:tcW w:w="1150"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rPr>
            </w:pPr>
          </w:p>
        </w:tc>
        <w:tc>
          <w:tcPr>
            <w:tcW w:w="1051"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rPr>
            </w:pPr>
          </w:p>
        </w:tc>
        <w:tc>
          <w:tcPr>
            <w:tcW w:w="2464" w:type="dxa"/>
            <w:gridSpan w:val="3"/>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default" w:ascii="宋体" w:hAnsi="宋体" w:eastAsia="宋体" w:cs="宋体"/>
                <w:sz w:val="21"/>
                <w:szCs w:val="21"/>
                <w:highlight w:val="none"/>
                <w:vertAlign w:val="baseline"/>
                <w:lang w:val="en-US"/>
              </w:rPr>
            </w:pPr>
            <w:r>
              <w:rPr>
                <w:rFonts w:hint="eastAsia" w:ascii="宋体" w:hAnsi="宋体" w:eastAsia="宋体" w:cs="宋体"/>
                <w:color w:val="000000"/>
                <w:kern w:val="0"/>
                <w:sz w:val="21"/>
                <w:szCs w:val="21"/>
                <w:highlight w:val="none"/>
                <w:lang w:val="en-US" w:eastAsia="zh-CN" w:bidi="ar"/>
              </w:rPr>
              <w:t>服务期限</w:t>
            </w:r>
          </w:p>
        </w:tc>
        <w:tc>
          <w:tcPr>
            <w:tcW w:w="4526" w:type="dxa"/>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符合第二部分“供应商须知前附表”</w:t>
            </w:r>
            <w:r>
              <w:rPr>
                <w:rFonts w:hint="eastAsia" w:cs="宋体"/>
                <w:color w:val="000000"/>
                <w:kern w:val="0"/>
                <w:sz w:val="21"/>
                <w:szCs w:val="21"/>
                <w:highlight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 w:hRule="atLeast"/>
          <w:jc w:val="center"/>
        </w:trPr>
        <w:tc>
          <w:tcPr>
            <w:tcW w:w="1150"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p>
        </w:tc>
        <w:tc>
          <w:tcPr>
            <w:tcW w:w="1051"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p>
        </w:tc>
        <w:tc>
          <w:tcPr>
            <w:tcW w:w="2464" w:type="dxa"/>
            <w:gridSpan w:val="3"/>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质量要求</w:t>
            </w:r>
          </w:p>
        </w:tc>
        <w:tc>
          <w:tcPr>
            <w:tcW w:w="4526" w:type="dxa"/>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符合第二部分“供应商须知前附表”</w:t>
            </w:r>
            <w:r>
              <w:rPr>
                <w:rFonts w:hint="eastAsia" w:cs="宋体"/>
                <w:color w:val="000000"/>
                <w:kern w:val="0"/>
                <w:sz w:val="21"/>
                <w:szCs w:val="21"/>
                <w:highlight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150"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p>
        </w:tc>
        <w:tc>
          <w:tcPr>
            <w:tcW w:w="1051"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p>
        </w:tc>
        <w:tc>
          <w:tcPr>
            <w:tcW w:w="2464" w:type="dxa"/>
            <w:gridSpan w:val="3"/>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cs="宋体"/>
                <w:color w:val="000000"/>
                <w:kern w:val="0"/>
                <w:sz w:val="21"/>
                <w:szCs w:val="21"/>
                <w:highlight w:val="none"/>
                <w:lang w:val="en-US" w:eastAsia="zh-CN" w:bidi="ar"/>
              </w:rPr>
              <w:t>招标</w:t>
            </w:r>
            <w:r>
              <w:rPr>
                <w:rFonts w:hint="eastAsia" w:ascii="宋体" w:hAnsi="宋体" w:eastAsia="宋体" w:cs="宋体"/>
                <w:color w:val="000000"/>
                <w:kern w:val="0"/>
                <w:sz w:val="21"/>
                <w:szCs w:val="21"/>
                <w:highlight w:val="none"/>
                <w:lang w:val="en-US" w:eastAsia="zh-CN" w:bidi="ar"/>
              </w:rPr>
              <w:t>有效期</w:t>
            </w:r>
          </w:p>
        </w:tc>
        <w:tc>
          <w:tcPr>
            <w:tcW w:w="4526" w:type="dxa"/>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符合第二部分“供应商须知前附表”</w:t>
            </w:r>
            <w:r>
              <w:rPr>
                <w:rFonts w:hint="eastAsia" w:cs="宋体"/>
                <w:color w:val="000000"/>
                <w:kern w:val="0"/>
                <w:sz w:val="21"/>
                <w:szCs w:val="21"/>
                <w:highlight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 w:hRule="atLeast"/>
          <w:jc w:val="center"/>
        </w:trPr>
        <w:tc>
          <w:tcPr>
            <w:tcW w:w="1150"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p>
        </w:tc>
        <w:tc>
          <w:tcPr>
            <w:tcW w:w="1051"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p>
        </w:tc>
        <w:tc>
          <w:tcPr>
            <w:tcW w:w="2464" w:type="dxa"/>
            <w:gridSpan w:val="3"/>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实质性</w:t>
            </w:r>
            <w:r>
              <w:rPr>
                <w:rFonts w:hint="eastAsia" w:cs="宋体"/>
                <w:color w:val="000000"/>
                <w:kern w:val="0"/>
                <w:sz w:val="21"/>
                <w:szCs w:val="21"/>
                <w:highlight w:val="none"/>
                <w:lang w:val="en-US" w:eastAsia="zh-CN" w:bidi="ar"/>
              </w:rPr>
              <w:t>投标</w:t>
            </w:r>
          </w:p>
        </w:tc>
        <w:tc>
          <w:tcPr>
            <w:tcW w:w="4526" w:type="dxa"/>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vertAlign w:val="baseline"/>
              </w:rPr>
            </w:pPr>
            <w:r>
              <w:rPr>
                <w:rFonts w:hint="eastAsia" w:cs="宋体"/>
                <w:color w:val="000000"/>
                <w:kern w:val="0"/>
                <w:sz w:val="21"/>
                <w:szCs w:val="21"/>
                <w:highlight w:val="none"/>
                <w:lang w:val="en-US" w:eastAsia="zh-CN" w:bidi="ar"/>
              </w:rPr>
              <w:t>投标招标</w:t>
            </w:r>
            <w:r>
              <w:rPr>
                <w:rFonts w:hint="eastAsia" w:ascii="宋体" w:hAnsi="宋体" w:eastAsia="宋体" w:cs="宋体"/>
                <w:color w:val="000000"/>
                <w:kern w:val="0"/>
                <w:sz w:val="21"/>
                <w:szCs w:val="21"/>
                <w:highlight w:val="none"/>
                <w:lang w:val="en-US" w:eastAsia="zh-CN" w:bidi="ar"/>
              </w:rPr>
              <w:t xml:space="preserve">文件实质性要求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91" w:type="dxa"/>
            <w:gridSpan w:val="6"/>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vertAlign w:val="baseline"/>
              </w:rPr>
            </w:pPr>
            <w:r>
              <w:rPr>
                <w:rFonts w:hint="eastAsia" w:cs="宋体"/>
                <w:b/>
                <w:bCs/>
                <w:color w:val="000000"/>
                <w:kern w:val="0"/>
                <w:sz w:val="21"/>
                <w:szCs w:val="21"/>
                <w:highlight w:val="none"/>
                <w:lang w:val="en-US" w:eastAsia="zh-CN" w:bidi="ar"/>
              </w:rPr>
              <w:t>招标</w:t>
            </w:r>
            <w:r>
              <w:rPr>
                <w:rFonts w:hint="eastAsia" w:ascii="宋体" w:hAnsi="宋体" w:eastAsia="宋体" w:cs="宋体"/>
                <w:b/>
                <w:bCs/>
                <w:color w:val="000000"/>
                <w:kern w:val="0"/>
                <w:sz w:val="21"/>
                <w:szCs w:val="21"/>
                <w:highlight w:val="none"/>
                <w:lang w:val="en-US" w:eastAsia="zh-CN" w:bidi="ar"/>
              </w:rPr>
              <w:t>过程中投标人应按照</w:t>
            </w:r>
            <w:r>
              <w:rPr>
                <w:rFonts w:hint="eastAsia" w:cs="宋体"/>
                <w:b/>
                <w:bCs/>
                <w:color w:val="000000"/>
                <w:kern w:val="0"/>
                <w:sz w:val="21"/>
                <w:szCs w:val="21"/>
                <w:highlight w:val="none"/>
                <w:lang w:val="en-US" w:eastAsia="zh-CN" w:bidi="ar"/>
              </w:rPr>
              <w:t>招标</w:t>
            </w:r>
            <w:r>
              <w:rPr>
                <w:rFonts w:hint="eastAsia" w:ascii="宋体" w:hAnsi="宋体" w:eastAsia="宋体" w:cs="宋体"/>
                <w:b/>
                <w:bCs/>
                <w:color w:val="000000"/>
                <w:kern w:val="0"/>
                <w:sz w:val="21"/>
                <w:szCs w:val="21"/>
                <w:highlight w:val="none"/>
                <w:lang w:val="en-US" w:eastAsia="zh-CN" w:bidi="ar"/>
              </w:rPr>
              <w:t>文件要求在供应商南阳市公共资源交易中心诚信库中提供</w:t>
            </w:r>
            <w:r>
              <w:rPr>
                <w:rFonts w:hint="eastAsia" w:cs="宋体"/>
                <w:b/>
                <w:bCs/>
                <w:color w:val="000000"/>
                <w:kern w:val="0"/>
                <w:sz w:val="21"/>
                <w:szCs w:val="21"/>
                <w:highlight w:val="none"/>
                <w:lang w:val="en-US" w:eastAsia="zh-CN" w:bidi="ar"/>
              </w:rPr>
              <w:t>投标</w:t>
            </w:r>
            <w:r>
              <w:rPr>
                <w:rFonts w:hint="eastAsia" w:ascii="宋体" w:hAnsi="宋体" w:eastAsia="宋体" w:cs="宋体"/>
                <w:b/>
                <w:bCs/>
                <w:color w:val="000000"/>
                <w:kern w:val="0"/>
                <w:sz w:val="21"/>
                <w:szCs w:val="21"/>
                <w:highlight w:val="none"/>
                <w:lang w:val="en-US" w:eastAsia="zh-CN" w:bidi="ar"/>
              </w:rPr>
              <w:t xml:space="preserve">性文件中要求的有关证明和证件的扫描件，以便评审时核验。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91" w:type="dxa"/>
            <w:gridSpan w:val="6"/>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vertAlign w:val="baseline"/>
              </w:rPr>
            </w:pPr>
            <w:r>
              <w:rPr>
                <w:rFonts w:hint="eastAsia" w:cs="宋体"/>
                <w:color w:val="000000"/>
                <w:kern w:val="0"/>
                <w:sz w:val="21"/>
                <w:szCs w:val="21"/>
                <w:highlight w:val="none"/>
                <w:lang w:val="en-US" w:eastAsia="zh-CN" w:bidi="ar"/>
              </w:rPr>
              <w:t>招标</w:t>
            </w:r>
            <w:r>
              <w:rPr>
                <w:rFonts w:hint="eastAsia" w:ascii="宋体" w:hAnsi="宋体" w:eastAsia="宋体" w:cs="宋体"/>
                <w:color w:val="000000"/>
                <w:kern w:val="0"/>
                <w:sz w:val="21"/>
                <w:szCs w:val="21"/>
                <w:highlight w:val="none"/>
                <w:lang w:val="en-US" w:eastAsia="zh-CN" w:bidi="ar"/>
              </w:rPr>
              <w:t xml:space="preserve">评分办法：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条款号</w:t>
            </w:r>
          </w:p>
        </w:tc>
        <w:tc>
          <w:tcPr>
            <w:tcW w:w="1051" w:type="dxa"/>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lang w:val="en-US" w:eastAsia="zh-CN" w:bidi="ar"/>
              </w:rPr>
              <w:t>综合因素</w:t>
            </w:r>
          </w:p>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条款内容</w:t>
            </w:r>
          </w:p>
        </w:tc>
        <w:tc>
          <w:tcPr>
            <w:tcW w:w="6990" w:type="dxa"/>
            <w:gridSpan w:val="4"/>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综合因素编列内容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91" w:type="dxa"/>
            <w:gridSpan w:val="6"/>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vertAlign w:val="baseline"/>
              </w:rPr>
            </w:pPr>
            <w:r>
              <w:rPr>
                <w:rFonts w:hint="eastAsia" w:ascii="宋体" w:hAnsi="宋体" w:eastAsia="宋体" w:cs="宋体"/>
                <w:b/>
                <w:bCs/>
                <w:color w:val="000000"/>
                <w:kern w:val="0"/>
                <w:sz w:val="24"/>
                <w:szCs w:val="24"/>
                <w:highlight w:val="none"/>
                <w:lang w:val="en-US" w:eastAsia="zh-CN" w:bidi="ar"/>
              </w:rPr>
              <w:t xml:space="preserve">2.2 详细评审（综合计分法分值构成与评分标准）：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2.2.1</w:t>
            </w:r>
          </w:p>
        </w:tc>
        <w:tc>
          <w:tcPr>
            <w:tcW w:w="1051" w:type="dxa"/>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lang w:val="en-US" w:eastAsia="zh-CN" w:bidi="ar"/>
              </w:rPr>
              <w:t>分值构成</w:t>
            </w:r>
          </w:p>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(总分100分)</w:t>
            </w:r>
          </w:p>
        </w:tc>
        <w:tc>
          <w:tcPr>
            <w:tcW w:w="6990" w:type="dxa"/>
            <w:gridSpan w:val="4"/>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lang w:val="en-US" w:eastAsia="zh-CN" w:bidi="ar"/>
              </w:rPr>
              <w:t>（1）</w:t>
            </w:r>
            <w:r>
              <w:rPr>
                <w:rFonts w:hint="eastAsia" w:cs="宋体"/>
                <w:color w:val="000000"/>
                <w:kern w:val="0"/>
                <w:sz w:val="21"/>
                <w:szCs w:val="21"/>
                <w:highlight w:val="none"/>
                <w:lang w:val="en-US" w:eastAsia="zh-CN" w:bidi="ar"/>
              </w:rPr>
              <w:t>招标</w:t>
            </w:r>
            <w:r>
              <w:rPr>
                <w:rFonts w:hint="eastAsia" w:ascii="宋体" w:hAnsi="宋体" w:eastAsia="宋体" w:cs="宋体"/>
                <w:color w:val="000000"/>
                <w:kern w:val="0"/>
                <w:sz w:val="21"/>
                <w:szCs w:val="21"/>
                <w:highlight w:val="none"/>
                <w:lang w:val="en-US" w:eastAsia="zh-CN" w:bidi="ar"/>
              </w:rPr>
              <w:t xml:space="preserve">报价：15 分 </w:t>
            </w:r>
          </w:p>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lang w:val="en-US" w:eastAsia="zh-CN" w:bidi="ar"/>
              </w:rPr>
              <w:t xml:space="preserve">（2）商务标部分：40 分 </w:t>
            </w:r>
          </w:p>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 xml:space="preserve">（3）技术标部分：45 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2.2.2</w:t>
            </w:r>
          </w:p>
        </w:tc>
        <w:tc>
          <w:tcPr>
            <w:tcW w:w="1051" w:type="dxa"/>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cs="宋体"/>
                <w:color w:val="000000"/>
                <w:kern w:val="0"/>
                <w:sz w:val="21"/>
                <w:szCs w:val="21"/>
                <w:highlight w:val="none"/>
                <w:lang w:val="en-US" w:eastAsia="zh-CN" w:bidi="ar"/>
              </w:rPr>
              <w:t>招标</w:t>
            </w:r>
            <w:r>
              <w:rPr>
                <w:rFonts w:hint="eastAsia" w:ascii="宋体" w:hAnsi="宋体" w:eastAsia="宋体" w:cs="宋体"/>
                <w:color w:val="000000"/>
                <w:kern w:val="0"/>
                <w:sz w:val="21"/>
                <w:szCs w:val="21"/>
                <w:highlight w:val="none"/>
                <w:lang w:val="en-US" w:eastAsia="zh-CN" w:bidi="ar"/>
              </w:rPr>
              <w:t>基准价</w:t>
            </w:r>
          </w:p>
        </w:tc>
        <w:tc>
          <w:tcPr>
            <w:tcW w:w="6990" w:type="dxa"/>
            <w:gridSpan w:val="4"/>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满足</w:t>
            </w:r>
            <w:r>
              <w:rPr>
                <w:rFonts w:hint="eastAsia" w:cs="宋体"/>
                <w:color w:val="000000"/>
                <w:kern w:val="0"/>
                <w:sz w:val="21"/>
                <w:szCs w:val="21"/>
                <w:highlight w:val="none"/>
                <w:lang w:val="en-US" w:eastAsia="zh-CN" w:bidi="ar"/>
              </w:rPr>
              <w:t>招标</w:t>
            </w:r>
            <w:r>
              <w:rPr>
                <w:rFonts w:hint="eastAsia" w:ascii="宋体" w:hAnsi="宋体" w:eastAsia="宋体" w:cs="宋体"/>
                <w:color w:val="000000"/>
                <w:kern w:val="0"/>
                <w:sz w:val="21"/>
                <w:szCs w:val="21"/>
                <w:highlight w:val="none"/>
                <w:lang w:val="en-US" w:eastAsia="zh-CN" w:bidi="ar"/>
              </w:rPr>
              <w:t>文件要求且最终</w:t>
            </w:r>
            <w:r>
              <w:rPr>
                <w:rFonts w:hint="eastAsia" w:cs="宋体"/>
                <w:color w:val="000000"/>
                <w:kern w:val="0"/>
                <w:sz w:val="21"/>
                <w:szCs w:val="21"/>
                <w:highlight w:val="none"/>
                <w:lang w:val="en-US" w:eastAsia="zh-CN" w:bidi="ar"/>
              </w:rPr>
              <w:t>招标</w:t>
            </w:r>
            <w:r>
              <w:rPr>
                <w:rFonts w:hint="eastAsia" w:ascii="宋体" w:hAnsi="宋体" w:eastAsia="宋体" w:cs="宋体"/>
                <w:color w:val="000000"/>
                <w:kern w:val="0"/>
                <w:sz w:val="21"/>
                <w:szCs w:val="21"/>
                <w:highlight w:val="none"/>
                <w:lang w:val="en-US" w:eastAsia="zh-CN" w:bidi="ar"/>
              </w:rPr>
              <w:t>报价最低的</w:t>
            </w:r>
            <w:r>
              <w:rPr>
                <w:rFonts w:hint="eastAsia" w:cs="宋体"/>
                <w:color w:val="000000"/>
                <w:kern w:val="0"/>
                <w:sz w:val="21"/>
                <w:szCs w:val="21"/>
                <w:highlight w:val="none"/>
                <w:lang w:val="en-US" w:eastAsia="zh-CN" w:bidi="ar"/>
              </w:rPr>
              <w:t>招标投标</w:t>
            </w:r>
            <w:r>
              <w:rPr>
                <w:rFonts w:hint="eastAsia" w:ascii="宋体" w:hAnsi="宋体" w:eastAsia="宋体" w:cs="宋体"/>
                <w:color w:val="000000"/>
                <w:kern w:val="0"/>
                <w:sz w:val="21"/>
                <w:szCs w:val="21"/>
                <w:highlight w:val="none"/>
                <w:lang w:val="en-US" w:eastAsia="zh-CN" w:bidi="ar"/>
              </w:rPr>
              <w:t>人的最终</w:t>
            </w:r>
            <w:r>
              <w:rPr>
                <w:rFonts w:hint="eastAsia" w:cs="宋体"/>
                <w:color w:val="000000"/>
                <w:kern w:val="0"/>
                <w:sz w:val="21"/>
                <w:szCs w:val="21"/>
                <w:highlight w:val="none"/>
                <w:lang w:val="en-US" w:eastAsia="zh-CN" w:bidi="ar"/>
              </w:rPr>
              <w:t>招标</w:t>
            </w:r>
            <w:r>
              <w:rPr>
                <w:rFonts w:hint="eastAsia" w:ascii="宋体" w:hAnsi="宋体" w:eastAsia="宋体" w:cs="宋体"/>
                <w:color w:val="000000"/>
                <w:kern w:val="0"/>
                <w:sz w:val="21"/>
                <w:szCs w:val="21"/>
                <w:highlight w:val="none"/>
                <w:lang w:val="en-US" w:eastAsia="zh-CN" w:bidi="ar"/>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lang w:val="en-US" w:eastAsia="zh-CN" w:bidi="ar"/>
              </w:rPr>
              <w:t>2.2.3</w:t>
            </w:r>
          </w:p>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p>
        </w:tc>
        <w:tc>
          <w:tcPr>
            <w:tcW w:w="1051" w:type="dxa"/>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rPr>
            </w:pPr>
            <w:r>
              <w:rPr>
                <w:rFonts w:hint="eastAsia" w:cs="宋体"/>
                <w:color w:val="000000"/>
                <w:kern w:val="0"/>
                <w:sz w:val="21"/>
                <w:szCs w:val="21"/>
                <w:highlight w:val="none"/>
                <w:lang w:val="en-US" w:eastAsia="zh-CN" w:bidi="ar"/>
              </w:rPr>
              <w:t>投标</w:t>
            </w:r>
            <w:r>
              <w:rPr>
                <w:rFonts w:hint="eastAsia" w:ascii="宋体" w:hAnsi="宋体" w:eastAsia="宋体" w:cs="宋体"/>
                <w:color w:val="000000"/>
                <w:kern w:val="0"/>
                <w:sz w:val="21"/>
                <w:szCs w:val="21"/>
                <w:highlight w:val="none"/>
                <w:lang w:val="en-US" w:eastAsia="zh-CN" w:bidi="ar"/>
              </w:rPr>
              <w:t>报价</w:t>
            </w:r>
          </w:p>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（15分）</w:t>
            </w:r>
          </w:p>
        </w:tc>
        <w:tc>
          <w:tcPr>
            <w:tcW w:w="6990" w:type="dxa"/>
            <w:gridSpan w:val="4"/>
          </w:tcPr>
          <w:p>
            <w:pPr>
              <w:pStyle w:val="42"/>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right="0" w:firstLine="0" w:firstLineChars="0"/>
              <w:jc w:val="left"/>
              <w:textAlignment w:val="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采用低价优先法计算，即满足招标文件要求且投标价格最低的投标报价为评标基准价，其价格分为满分。其他供应商的价格分统一按照下列公式计算： 投标报价得分=（评标基准价/投标报价）×15 ；</w:t>
            </w:r>
          </w:p>
          <w:p>
            <w:pPr>
              <w:pStyle w:val="42"/>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right="0" w:firstLine="0" w:firstLineChars="0"/>
              <w:jc w:val="left"/>
              <w:textAlignment w:val="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价格优惠说明： </w:t>
            </w:r>
          </w:p>
          <w:p>
            <w:pPr>
              <w:pStyle w:val="42"/>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right="0" w:firstLine="0" w:firstLineChars="0"/>
              <w:jc w:val="left"/>
              <w:textAlignment w:val="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1、为贯彻落实《政府采购促进中小企业发展管理办法》财库〔2020〕46号，本项目鼓励中小企业参与，中小型企业须提交《中小企业声明函》原件（声明函格式详见附件）。</w:t>
            </w:r>
          </w:p>
          <w:p>
            <w:pPr>
              <w:pStyle w:val="42"/>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right="0" w:firstLine="0" w:firstLineChars="0"/>
              <w:jc w:val="left"/>
              <w:textAlignment w:val="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2、中小企业划型标准以工信部联企业〔2011〕300 号《工业和信息化部国家统计局国家发展和改革委财政部关于印发中小企业划型标准规定的通知》及《政府采购促进中小企业发展管理办法》财库〔2020〕46号为依据。 </w:t>
            </w:r>
          </w:p>
          <w:p>
            <w:pPr>
              <w:pStyle w:val="42"/>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right="0" w:firstLine="0" w:firstLineChars="0"/>
              <w:jc w:val="left"/>
              <w:textAlignment w:val="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3、评审时给予小型和微型企业20%的价格扣除，用扣除后的价格参与评审。即小微型企业优惠后报价=投标报价*（1-20%）。</w:t>
            </w:r>
          </w:p>
          <w:p>
            <w:pPr>
              <w:pStyle w:val="42"/>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right="0" w:firstLine="0" w:firstLineChars="0"/>
              <w:jc w:val="left"/>
              <w:textAlignment w:val="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4、监狱企业及残疾人福利性单位视同小微企业。 </w:t>
            </w:r>
          </w:p>
          <w:p>
            <w:pPr>
              <w:pStyle w:val="42"/>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right="0" w:firstLine="0" w:firstLineChars="0"/>
              <w:jc w:val="left"/>
              <w:textAlignment w:val="auto"/>
              <w:rPr>
                <w:rFonts w:hint="eastAsia" w:ascii="宋体" w:hAnsi="宋体" w:eastAsia="宋体" w:cs="宋体"/>
                <w:sz w:val="21"/>
                <w:szCs w:val="21"/>
                <w:highlight w:val="none"/>
                <w:vertAlign w:val="baseline"/>
              </w:rPr>
            </w:pPr>
            <w:r>
              <w:rPr>
                <w:rFonts w:hint="eastAsia" w:ascii="宋体" w:hAnsi="宋体" w:eastAsia="宋体" w:cs="宋体"/>
                <w:spacing w:val="0"/>
                <w:sz w:val="21"/>
                <w:szCs w:val="21"/>
                <w:highlight w:val="none"/>
              </w:rPr>
              <w:t>没有提供有效材料的投标人将被视为不接受投标总价的扣除，用原投标总价参与评审。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jc w:val="center"/>
        </w:trPr>
        <w:tc>
          <w:tcPr>
            <w:tcW w:w="1150" w:type="dxa"/>
            <w:vMerge w:val="restart"/>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2.2.4</w:t>
            </w:r>
          </w:p>
        </w:tc>
        <w:tc>
          <w:tcPr>
            <w:tcW w:w="1051" w:type="dxa"/>
            <w:vMerge w:val="restart"/>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lang w:val="en-US" w:eastAsia="zh-CN" w:bidi="ar"/>
              </w:rPr>
              <w:t>商务标部分</w:t>
            </w:r>
          </w:p>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（40分）</w:t>
            </w:r>
          </w:p>
        </w:tc>
        <w:tc>
          <w:tcPr>
            <w:tcW w:w="199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企业业绩</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（10分）</w:t>
            </w:r>
          </w:p>
        </w:tc>
        <w:tc>
          <w:tcPr>
            <w:tcW w:w="4998"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供应商提供2019年1月1日以来相同或类似项目业绩，在满足资格要求的基础上，每多提供一份业绩加2分，最多加10分（投标文件中应同时附中标公告（政府采购相关网站中标公告的下载网页并注明网址）、中标通知书扫描件、项目承包合同文本扫描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jc w:val="center"/>
        </w:trPr>
        <w:tc>
          <w:tcPr>
            <w:tcW w:w="1150" w:type="dxa"/>
            <w:vMerge w:val="continue"/>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color w:val="000000"/>
                <w:kern w:val="0"/>
                <w:sz w:val="21"/>
                <w:szCs w:val="21"/>
                <w:highlight w:val="none"/>
                <w:lang w:val="en-US" w:eastAsia="zh-CN" w:bidi="ar"/>
              </w:rPr>
            </w:pPr>
          </w:p>
        </w:tc>
        <w:tc>
          <w:tcPr>
            <w:tcW w:w="1051" w:type="dxa"/>
            <w:vMerge w:val="continue"/>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color w:val="000000"/>
                <w:kern w:val="0"/>
                <w:sz w:val="21"/>
                <w:szCs w:val="21"/>
                <w:highlight w:val="none"/>
                <w:lang w:val="en-US" w:eastAsia="zh-CN" w:bidi="ar"/>
              </w:rPr>
            </w:pPr>
          </w:p>
        </w:tc>
        <w:tc>
          <w:tcPr>
            <w:tcW w:w="199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管理体系（满分3分）</w:t>
            </w:r>
          </w:p>
        </w:tc>
        <w:tc>
          <w:tcPr>
            <w:tcW w:w="4998"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提供ISO9001质量管理体系认证证书、ISO14001环境管理体系认证证书，OHSAS18001职业健康安全管理体系认证证书，三证齐全且认证范围含有“道路清扫；垃圾收集运输；”的得3分,需提供证书及该证书在中国国家认证认可监督管理委员会(http：//www.cnca.gov.cn)或中国合格评定国家认可委员会(https：//www.cnas.org.cn)网站网页界面并注明网址，否则不得分。评标过程中如发现供应商提供的证书中信息与网页信息不一致的，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jc w:val="center"/>
        </w:trPr>
        <w:tc>
          <w:tcPr>
            <w:tcW w:w="1150" w:type="dxa"/>
            <w:vMerge w:val="continue"/>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color w:val="000000"/>
                <w:kern w:val="0"/>
                <w:sz w:val="21"/>
                <w:szCs w:val="21"/>
                <w:highlight w:val="none"/>
                <w:lang w:val="en-US" w:eastAsia="zh-CN" w:bidi="ar"/>
              </w:rPr>
            </w:pPr>
          </w:p>
        </w:tc>
        <w:tc>
          <w:tcPr>
            <w:tcW w:w="1051" w:type="dxa"/>
            <w:vMerge w:val="continue"/>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color w:val="000000"/>
                <w:kern w:val="0"/>
                <w:sz w:val="21"/>
                <w:szCs w:val="21"/>
                <w:highlight w:val="none"/>
                <w:lang w:val="en-US" w:eastAsia="zh-CN" w:bidi="ar"/>
              </w:rPr>
            </w:pPr>
          </w:p>
        </w:tc>
        <w:tc>
          <w:tcPr>
            <w:tcW w:w="199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信用评价（满分5分）</w:t>
            </w:r>
          </w:p>
        </w:tc>
        <w:tc>
          <w:tcPr>
            <w:tcW w:w="4998"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2019年以来取得信用协会或机构颁发的信用等级AAA级企业得5分，AA级企业的得3分，A级企业的得1分。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jc w:val="center"/>
        </w:trPr>
        <w:tc>
          <w:tcPr>
            <w:tcW w:w="1150" w:type="dxa"/>
            <w:vMerge w:val="continue"/>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color w:val="000000"/>
                <w:kern w:val="0"/>
                <w:sz w:val="21"/>
                <w:szCs w:val="21"/>
                <w:highlight w:val="none"/>
                <w:lang w:val="en-US" w:eastAsia="zh-CN" w:bidi="ar"/>
              </w:rPr>
            </w:pPr>
          </w:p>
        </w:tc>
        <w:tc>
          <w:tcPr>
            <w:tcW w:w="1051" w:type="dxa"/>
            <w:vMerge w:val="continue"/>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color w:val="000000"/>
                <w:kern w:val="0"/>
                <w:sz w:val="21"/>
                <w:szCs w:val="21"/>
                <w:highlight w:val="none"/>
                <w:lang w:val="en-US" w:eastAsia="zh-CN" w:bidi="ar"/>
              </w:rPr>
            </w:pPr>
          </w:p>
        </w:tc>
        <w:tc>
          <w:tcPr>
            <w:tcW w:w="199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自有作业车辆（满分10分）</w:t>
            </w:r>
          </w:p>
        </w:tc>
        <w:tc>
          <w:tcPr>
            <w:tcW w:w="4998"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1、供应商自有产权的垃圾车（后装压缩式垃圾车或垃圾清运车或自卸式垃圾车）每提供1辆得1分，满分3分；</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2、供应商自有产权的扫路车（洗扫车或机扫车）每提供1辆得1分，满分3分；</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3、供应商自有产权的水车（洒水车或清洗车或（雾炮车）多功能抑尘车）每多提供1辆得1分，满分2分；</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4、供应商自有产权的路面养护车，每多提供1辆得1分，满分2分；</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（须提供设备的正式发票，车辆行驶证及车辆登记证且以上证件所注明的所有人为中标人，否则不得分）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jc w:val="center"/>
        </w:trPr>
        <w:tc>
          <w:tcPr>
            <w:tcW w:w="1150" w:type="dxa"/>
            <w:vMerge w:val="continue"/>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color w:val="000000"/>
                <w:kern w:val="0"/>
                <w:sz w:val="21"/>
                <w:szCs w:val="21"/>
                <w:highlight w:val="none"/>
                <w:lang w:val="en-US" w:eastAsia="zh-CN" w:bidi="ar"/>
              </w:rPr>
            </w:pPr>
          </w:p>
        </w:tc>
        <w:tc>
          <w:tcPr>
            <w:tcW w:w="1051" w:type="dxa"/>
            <w:vMerge w:val="continue"/>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color w:val="000000"/>
                <w:kern w:val="0"/>
                <w:sz w:val="21"/>
                <w:szCs w:val="21"/>
                <w:highlight w:val="none"/>
                <w:lang w:val="en-US" w:eastAsia="zh-CN" w:bidi="ar"/>
              </w:rPr>
            </w:pPr>
          </w:p>
        </w:tc>
        <w:tc>
          <w:tcPr>
            <w:tcW w:w="199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人员组成（满分12分）</w:t>
            </w:r>
          </w:p>
        </w:tc>
        <w:tc>
          <w:tcPr>
            <w:tcW w:w="4998"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在管理岗位上，符合以下要求的（投标文件中须附项目管理人员相关证明材料扫描件）：</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1、项目管理人员具有环境卫生类的作业项目负责人（经理）岗位资格证书，每有1人得1.5 分，最多得3分；</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2、项目管理人员具有清扫保洁工程师或清洁管理师的每有1人得1 分，最多得3分；</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3、项目管理人员具有垃圾分类工程师或垃圾分类项目经理岗位资格证书的每有1人得1分，最多得 6分。</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注：以上证书须由省级及以上行业部门或协会颁发，员工须为投标单位自有，同时提供投标截止日期（不含当月）前连续半年供应商为持证人员缴纳的由社保部门出具的社保缴纳证明材料扫描件，投标文件中附相关证明材料扫描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1150" w:type="dxa"/>
            <w:vMerge w:val="restart"/>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2.2.5</w:t>
            </w:r>
          </w:p>
        </w:tc>
        <w:tc>
          <w:tcPr>
            <w:tcW w:w="1051" w:type="dxa"/>
            <w:vMerge w:val="restart"/>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lang w:val="en-US" w:eastAsia="zh-CN" w:bidi="ar"/>
              </w:rPr>
              <w:t>技术标部分</w:t>
            </w:r>
          </w:p>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r>
              <w:rPr>
                <w:rFonts w:hint="eastAsia" w:ascii="宋体" w:hAnsi="宋体" w:eastAsia="宋体" w:cs="宋体"/>
                <w:color w:val="000000"/>
                <w:kern w:val="0"/>
                <w:sz w:val="21"/>
                <w:szCs w:val="21"/>
                <w:highlight w:val="none"/>
                <w:lang w:val="en-US" w:eastAsia="zh-CN" w:bidi="ar"/>
              </w:rPr>
              <w:t>（45分）</w:t>
            </w:r>
          </w:p>
        </w:tc>
        <w:tc>
          <w:tcPr>
            <w:tcW w:w="199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物资、设备、车辆配置情况（5分）</w:t>
            </w:r>
          </w:p>
        </w:tc>
        <w:tc>
          <w:tcPr>
            <w:tcW w:w="4998"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供应商拟投入的项目物资、设备、车辆配置情况必须100%按投标承诺配备，鼓励配置新能源环卫车辆、使用先进洗扫工艺和作业方法，根据供应商提供的设备、车辆、其他环卫设施的配置方案等方面横向对比。</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内容详实，考虑周全，方案科学、合理，具有非常好的针对性、适用性、可操作性和可扩展性得5分</w:t>
            </w:r>
          </w:p>
          <w:p>
            <w:pPr>
              <w:pStyle w:val="20"/>
              <w:widowControl w:val="0"/>
              <w:ind w:left="0" w:leftChars="0" w:firstLine="0" w:firstLineChars="0"/>
              <w:jc w:val="both"/>
              <w:rPr>
                <w:rFonts w:hint="eastAsia"/>
                <w:highlight w:val="none"/>
                <w:lang w:val="en-US" w:eastAsia="zh-CN"/>
              </w:rPr>
            </w:pPr>
            <w:r>
              <w:rPr>
                <w:rFonts w:hint="default"/>
                <w:highlight w:val="none"/>
                <w:lang w:val="en-US" w:eastAsia="zh-CN"/>
              </w:rPr>
              <w:t>内容完整，基本考虑周全，方案基本科学、合理、具有较好的针对性、适用性、可操作性和可扩展性</w:t>
            </w:r>
            <w:r>
              <w:rPr>
                <w:rFonts w:hint="eastAsia"/>
                <w:highlight w:val="none"/>
                <w:lang w:val="en-US" w:eastAsia="zh-CN"/>
              </w:rPr>
              <w:t>得3分</w:t>
            </w:r>
          </w:p>
          <w:p>
            <w:pPr>
              <w:pStyle w:val="20"/>
              <w:widowControl w:val="0"/>
              <w:ind w:left="0" w:leftChars="0" w:firstLine="0" w:firstLineChars="0"/>
              <w:jc w:val="both"/>
              <w:rPr>
                <w:rFonts w:hint="default"/>
                <w:highlight w:val="none"/>
                <w:lang w:val="en-US" w:eastAsia="zh-CN"/>
              </w:rPr>
            </w:pPr>
            <w:r>
              <w:rPr>
                <w:rFonts w:hint="default"/>
                <w:highlight w:val="none"/>
                <w:lang w:val="en-US" w:eastAsia="zh-CN"/>
              </w:rPr>
              <w:t>内容基本完整，方案在科学、合理性方面一般，针对性、适用性、可操作性和可扩展性不强，虽然能够基本满足服务项目的需要，但有很多方面需要进一步完善甚至重新考虑</w:t>
            </w:r>
            <w:r>
              <w:rPr>
                <w:rFonts w:hint="eastAsia"/>
                <w:highlight w:val="none"/>
                <w:lang w:val="en-US" w:eastAsia="zh-CN"/>
              </w:rPr>
              <w:t>得1分</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150"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lang w:val="en-US" w:eastAsia="zh-CN"/>
              </w:rPr>
            </w:pPr>
          </w:p>
        </w:tc>
        <w:tc>
          <w:tcPr>
            <w:tcW w:w="1051" w:type="dxa"/>
            <w:vMerge w:val="continue"/>
            <w:vAlign w:val="center"/>
          </w:tcPr>
          <w:p>
            <w:pPr>
              <w:keepNext w:val="0"/>
              <w:keepLines w:val="0"/>
              <w:pageBreakBefore w:val="0"/>
              <w:widowControl/>
              <w:suppressLineNumbers w:val="0"/>
              <w:kinsoku/>
              <w:wordWrap/>
              <w:overflowPunct/>
              <w:topLinePunct w:val="0"/>
              <w:autoSpaceDE w:val="0"/>
              <w:autoSpaceDN w:val="0"/>
              <w:bidi w:val="0"/>
              <w:adjustRightInd/>
              <w:snapToGrid/>
              <w:spacing w:before="0" w:line="360" w:lineRule="exact"/>
              <w:ind w:left="0" w:right="0" w:firstLine="0" w:firstLineChars="0"/>
              <w:jc w:val="center"/>
              <w:textAlignment w:val="auto"/>
              <w:rPr>
                <w:rFonts w:hint="eastAsia" w:ascii="宋体" w:hAnsi="宋体" w:eastAsia="宋体" w:cs="宋体"/>
                <w:sz w:val="21"/>
                <w:szCs w:val="21"/>
                <w:highlight w:val="none"/>
                <w:vertAlign w:val="baseline"/>
              </w:rPr>
            </w:pPr>
          </w:p>
        </w:tc>
        <w:tc>
          <w:tcPr>
            <w:tcW w:w="199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管理服务整体方案（6分）</w:t>
            </w:r>
          </w:p>
        </w:tc>
        <w:tc>
          <w:tcPr>
            <w:tcW w:w="4998"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方案制定详细，根据唐河县的实际情况，从服务方案科学合理性、可操作性，管理制度是否齐全，制定应急处置方案等方面比较</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内容详实，考虑周全，方案科学、合理，具有非常好的针对性、适用性、可操作性和可扩展性得6分</w:t>
            </w:r>
          </w:p>
          <w:p>
            <w:pPr>
              <w:pStyle w:val="20"/>
              <w:widowControl w:val="0"/>
              <w:ind w:left="0" w:leftChars="0" w:firstLine="0" w:firstLineChars="0"/>
              <w:jc w:val="both"/>
              <w:rPr>
                <w:rFonts w:hint="default"/>
                <w:highlight w:val="none"/>
                <w:lang w:val="en-US" w:eastAsia="zh-CN"/>
              </w:rPr>
            </w:pPr>
          </w:p>
          <w:p>
            <w:pPr>
              <w:pStyle w:val="20"/>
              <w:widowControl w:val="0"/>
              <w:ind w:left="0" w:leftChars="0" w:firstLine="0" w:firstLineChars="0"/>
              <w:jc w:val="both"/>
              <w:rPr>
                <w:rFonts w:hint="eastAsia"/>
                <w:highlight w:val="none"/>
                <w:lang w:val="en-US" w:eastAsia="zh-CN"/>
              </w:rPr>
            </w:pPr>
            <w:r>
              <w:rPr>
                <w:rFonts w:hint="default"/>
                <w:highlight w:val="none"/>
                <w:lang w:val="en-US" w:eastAsia="zh-CN"/>
              </w:rPr>
              <w:t>内容完整，基本考虑周全，方案基本科学、合理、具有较好的针对性、适用性、可操作性和可扩展性</w:t>
            </w:r>
            <w:r>
              <w:rPr>
                <w:rFonts w:hint="eastAsia"/>
                <w:highlight w:val="none"/>
                <w:lang w:val="en-US" w:eastAsia="zh-CN"/>
              </w:rPr>
              <w:t>得3分</w:t>
            </w:r>
          </w:p>
          <w:p>
            <w:pPr>
              <w:pStyle w:val="20"/>
              <w:widowControl w:val="0"/>
              <w:ind w:left="0" w:leftChars="0" w:firstLine="0" w:firstLineChars="0"/>
              <w:jc w:val="both"/>
              <w:rPr>
                <w:rFonts w:hint="default"/>
                <w:highlight w:val="none"/>
                <w:lang w:val="en-US" w:eastAsia="zh-CN"/>
              </w:rPr>
            </w:pPr>
            <w:r>
              <w:rPr>
                <w:rFonts w:hint="default"/>
                <w:highlight w:val="none"/>
                <w:lang w:val="en-US" w:eastAsia="zh-CN"/>
              </w:rPr>
              <w:t>内容基本完整，方案在科学、合理性方面一般，针对性、适用性、可操作性和可扩展性不强，虽然能够基本满足服务项目的需要，但有很多方面需要进一步完善甚至重新考虑</w:t>
            </w:r>
            <w:r>
              <w:rPr>
                <w:rFonts w:hint="eastAsia"/>
                <w:highlight w:val="none"/>
                <w:lang w:val="en-US" w:eastAsia="zh-CN"/>
              </w:rPr>
              <w:t>得1分</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1150"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rPr>
            </w:pPr>
          </w:p>
        </w:tc>
        <w:tc>
          <w:tcPr>
            <w:tcW w:w="1051"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rPr>
            </w:pPr>
          </w:p>
        </w:tc>
        <w:tc>
          <w:tcPr>
            <w:tcW w:w="199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智能化管理方案（5分）</w:t>
            </w:r>
          </w:p>
        </w:tc>
        <w:tc>
          <w:tcPr>
            <w:tcW w:w="4998"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制定智能化管理方案，业务管理与信息化技术的实用性。</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内容详实，考虑周全，方案科学、合理，具有非常好的针对性、适用性、可操作性和可扩展性得5分</w:t>
            </w:r>
          </w:p>
          <w:p>
            <w:pPr>
              <w:pStyle w:val="20"/>
              <w:widowControl w:val="0"/>
              <w:ind w:left="0" w:leftChars="0" w:firstLine="0" w:firstLineChars="0"/>
              <w:jc w:val="both"/>
              <w:rPr>
                <w:rFonts w:hint="default"/>
                <w:highlight w:val="none"/>
                <w:lang w:val="en-US" w:eastAsia="zh-CN"/>
              </w:rPr>
            </w:pPr>
          </w:p>
          <w:p>
            <w:pPr>
              <w:pStyle w:val="20"/>
              <w:widowControl w:val="0"/>
              <w:ind w:left="0" w:leftChars="0" w:firstLine="0" w:firstLineChars="0"/>
              <w:jc w:val="both"/>
              <w:rPr>
                <w:rFonts w:hint="eastAsia"/>
                <w:highlight w:val="none"/>
                <w:lang w:val="en-US" w:eastAsia="zh-CN"/>
              </w:rPr>
            </w:pPr>
            <w:r>
              <w:rPr>
                <w:rFonts w:hint="default"/>
                <w:highlight w:val="none"/>
                <w:lang w:val="en-US" w:eastAsia="zh-CN"/>
              </w:rPr>
              <w:t>内容完整，基本考虑周全，方案基本科学、合理、具有较好的针对性、适用性、可操作性和可扩展性</w:t>
            </w:r>
            <w:r>
              <w:rPr>
                <w:rFonts w:hint="eastAsia"/>
                <w:highlight w:val="none"/>
                <w:lang w:val="en-US" w:eastAsia="zh-CN"/>
              </w:rPr>
              <w:t>得3分</w:t>
            </w:r>
          </w:p>
          <w:p>
            <w:pPr>
              <w:pStyle w:val="20"/>
              <w:widowControl w:val="0"/>
              <w:ind w:left="0" w:leftChars="0" w:firstLine="0" w:firstLineChars="0"/>
              <w:jc w:val="both"/>
              <w:rPr>
                <w:rFonts w:hint="default"/>
                <w:highlight w:val="none"/>
                <w:lang w:val="en-US" w:eastAsia="zh-CN"/>
              </w:rPr>
            </w:pPr>
            <w:r>
              <w:rPr>
                <w:rFonts w:hint="default"/>
                <w:highlight w:val="none"/>
                <w:lang w:val="en-US" w:eastAsia="zh-CN"/>
              </w:rPr>
              <w:t>内容基本完整，方案在科学、合理性方面一般，针对性、适用性、可操作性和可扩展性不强，虽然能够基本满足服务项目的需要，但有很多方面需要进一步完善甚至重新考虑</w:t>
            </w:r>
            <w:r>
              <w:rPr>
                <w:rFonts w:hint="eastAsia"/>
                <w:highlight w:val="none"/>
                <w:lang w:val="en-US" w:eastAsia="zh-CN"/>
              </w:rPr>
              <w:t>得1分</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宋体" w:hAnsi="宋体" w:eastAsia="宋体" w:cs="宋体"/>
                <w:snapToGrid w:val="0"/>
                <w:color w:val="000000"/>
                <w:spacing w:val="0"/>
                <w:kern w:val="0"/>
                <w:sz w:val="21"/>
                <w:szCs w:val="21"/>
                <w:highlight w:val="none"/>
                <w:lang w:val="en-US" w:eastAsia="zh-CN"/>
              </w:rPr>
            </w:pPr>
            <w:r>
              <w:rPr>
                <w:rFonts w:hint="eastAsia"/>
                <w:highlight w:val="none"/>
                <w:lang w:val="en-US" w:eastAsia="zh-CN"/>
              </w:rPr>
              <w:t>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50"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rPr>
            </w:pPr>
          </w:p>
        </w:tc>
        <w:tc>
          <w:tcPr>
            <w:tcW w:w="1051"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rPr>
            </w:pPr>
          </w:p>
        </w:tc>
        <w:tc>
          <w:tcPr>
            <w:tcW w:w="199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作业组织方案和作业流程（6分）</w:t>
            </w:r>
          </w:p>
        </w:tc>
        <w:tc>
          <w:tcPr>
            <w:tcW w:w="4998"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横向对比各供应商的作业组织方案和作业流程，从方案的可行性、作业流程的合理性等方面比较。</w:t>
            </w:r>
          </w:p>
          <w:p>
            <w:pPr>
              <w:pStyle w:val="20"/>
              <w:widowControl w:val="0"/>
              <w:jc w:val="both"/>
              <w:rPr>
                <w:rFonts w:hint="eastAsia"/>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内容详实，考虑周全，方案科学、合理，具有非常好的针对性、适用性、可操作性和可扩展性得6分</w:t>
            </w:r>
          </w:p>
          <w:p>
            <w:pPr>
              <w:pStyle w:val="20"/>
              <w:widowControl w:val="0"/>
              <w:ind w:left="0" w:leftChars="0" w:firstLine="0" w:firstLineChars="0"/>
              <w:jc w:val="both"/>
              <w:rPr>
                <w:rFonts w:hint="default"/>
                <w:highlight w:val="none"/>
                <w:lang w:val="en-US" w:eastAsia="zh-CN"/>
              </w:rPr>
            </w:pPr>
          </w:p>
          <w:p>
            <w:pPr>
              <w:pStyle w:val="20"/>
              <w:widowControl w:val="0"/>
              <w:ind w:left="0" w:leftChars="0" w:firstLine="0" w:firstLineChars="0"/>
              <w:jc w:val="both"/>
              <w:rPr>
                <w:rFonts w:hint="eastAsia"/>
                <w:highlight w:val="none"/>
                <w:lang w:val="en-US" w:eastAsia="zh-CN"/>
              </w:rPr>
            </w:pPr>
            <w:r>
              <w:rPr>
                <w:rFonts w:hint="default"/>
                <w:highlight w:val="none"/>
                <w:lang w:val="en-US" w:eastAsia="zh-CN"/>
              </w:rPr>
              <w:t>内容完整，基本考虑周全，方案基本科学、合理、具有较好的针对性、适用性、可操作性和可扩展性</w:t>
            </w:r>
            <w:r>
              <w:rPr>
                <w:rFonts w:hint="eastAsia"/>
                <w:highlight w:val="none"/>
                <w:lang w:val="en-US" w:eastAsia="zh-CN"/>
              </w:rPr>
              <w:t>得3分</w:t>
            </w:r>
          </w:p>
          <w:p>
            <w:pPr>
              <w:pStyle w:val="20"/>
              <w:widowControl w:val="0"/>
              <w:ind w:left="0" w:leftChars="0" w:firstLine="0" w:firstLineChars="0"/>
              <w:jc w:val="both"/>
              <w:rPr>
                <w:rFonts w:hint="default"/>
                <w:highlight w:val="none"/>
                <w:lang w:val="en-US" w:eastAsia="zh-CN"/>
              </w:rPr>
            </w:pPr>
            <w:r>
              <w:rPr>
                <w:rFonts w:hint="default"/>
                <w:highlight w:val="none"/>
                <w:lang w:val="en-US" w:eastAsia="zh-CN"/>
              </w:rPr>
              <w:t>内容基本完整，方案在科学、合理性方面一般，针对性、适用性、可操作性和可扩展性不强，虽然能够基本满足服务项目的需要，但有很多方面需要进一步完善甚至重新考虑</w:t>
            </w:r>
            <w:r>
              <w:rPr>
                <w:rFonts w:hint="eastAsia"/>
                <w:highlight w:val="none"/>
                <w:lang w:val="en-US" w:eastAsia="zh-CN"/>
              </w:rPr>
              <w:t>得1分</w:t>
            </w:r>
          </w:p>
          <w:p>
            <w:pPr>
              <w:pStyle w:val="20"/>
              <w:widowControl w:val="0"/>
              <w:jc w:val="both"/>
              <w:rPr>
                <w:rFonts w:hint="eastAsia"/>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缺项不得分。（0-6分）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150"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rPr>
            </w:pPr>
          </w:p>
        </w:tc>
        <w:tc>
          <w:tcPr>
            <w:tcW w:w="1051"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rPr>
            </w:pPr>
          </w:p>
        </w:tc>
        <w:tc>
          <w:tcPr>
            <w:tcW w:w="199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重大突发事件和保障任务应急预案（6分）</w:t>
            </w:r>
          </w:p>
        </w:tc>
        <w:tc>
          <w:tcPr>
            <w:tcW w:w="4998"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对比保障措施、应急服务响应时间、应急设备保障、重大或突发事件的人员配合、控制失误及其他相关服务等，评审小组根据应急预案的科学合理性、完整性打分</w:t>
            </w:r>
          </w:p>
          <w:p>
            <w:pPr>
              <w:pStyle w:val="20"/>
              <w:widowControl w:val="0"/>
              <w:jc w:val="both"/>
              <w:rPr>
                <w:rFonts w:hint="eastAsia"/>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内容详实，考虑周全，方案科学、合理，具有非常好的针对性、适用性、可操作性和可扩展性得6分</w:t>
            </w:r>
          </w:p>
          <w:p>
            <w:pPr>
              <w:pStyle w:val="20"/>
              <w:widowControl w:val="0"/>
              <w:ind w:left="0" w:leftChars="0" w:firstLine="0" w:firstLineChars="0"/>
              <w:jc w:val="both"/>
              <w:rPr>
                <w:rFonts w:hint="default"/>
                <w:highlight w:val="none"/>
                <w:lang w:val="en-US" w:eastAsia="zh-CN"/>
              </w:rPr>
            </w:pPr>
          </w:p>
          <w:p>
            <w:pPr>
              <w:pStyle w:val="20"/>
              <w:widowControl w:val="0"/>
              <w:ind w:left="0" w:leftChars="0" w:firstLine="0" w:firstLineChars="0"/>
              <w:jc w:val="both"/>
              <w:rPr>
                <w:rFonts w:hint="eastAsia"/>
                <w:highlight w:val="none"/>
                <w:lang w:val="en-US" w:eastAsia="zh-CN"/>
              </w:rPr>
            </w:pPr>
            <w:r>
              <w:rPr>
                <w:rFonts w:hint="default"/>
                <w:highlight w:val="none"/>
                <w:lang w:val="en-US" w:eastAsia="zh-CN"/>
              </w:rPr>
              <w:t>内容完整，基本考虑周全，方案基本科学、合理、具有较好的针对性、适用性、可操作性和可扩展性</w:t>
            </w:r>
            <w:r>
              <w:rPr>
                <w:rFonts w:hint="eastAsia"/>
                <w:highlight w:val="none"/>
                <w:lang w:val="en-US" w:eastAsia="zh-CN"/>
              </w:rPr>
              <w:t>得3分</w:t>
            </w:r>
          </w:p>
          <w:p>
            <w:pPr>
              <w:pStyle w:val="20"/>
              <w:widowControl w:val="0"/>
              <w:ind w:left="0" w:leftChars="0" w:firstLine="0" w:firstLineChars="0"/>
              <w:jc w:val="both"/>
              <w:rPr>
                <w:rFonts w:hint="default"/>
                <w:highlight w:val="none"/>
                <w:lang w:val="en-US" w:eastAsia="zh-CN"/>
              </w:rPr>
            </w:pPr>
            <w:r>
              <w:rPr>
                <w:rFonts w:hint="default"/>
                <w:highlight w:val="none"/>
                <w:lang w:val="en-US" w:eastAsia="zh-CN"/>
              </w:rPr>
              <w:t>内容基本完整，方案在科学、合理性方面一般，针对性、适用性、可操作性和可扩展性不强，虽然能够基本满足服务项目的需要，但有很多方面需要进一步完善甚至重新考虑</w:t>
            </w:r>
            <w:r>
              <w:rPr>
                <w:rFonts w:hint="eastAsia"/>
                <w:highlight w:val="none"/>
                <w:lang w:val="en-US" w:eastAsia="zh-CN"/>
              </w:rPr>
              <w:t>得1分</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150"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rPr>
            </w:pPr>
          </w:p>
        </w:tc>
        <w:tc>
          <w:tcPr>
            <w:tcW w:w="1051"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rPr>
            </w:pPr>
          </w:p>
        </w:tc>
        <w:tc>
          <w:tcPr>
            <w:tcW w:w="199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人员配置方案（5分）</w:t>
            </w:r>
          </w:p>
        </w:tc>
        <w:tc>
          <w:tcPr>
            <w:tcW w:w="4998"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从供应商拟投入本项目的管理人员和服务人员的配置情况，考核机制设立，班次安排情况等方面综合评比。</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内容详实，考虑周全，方案科学、合理，具有非常好的针对性、适用性、可操作性和可扩展性得5分</w:t>
            </w:r>
          </w:p>
          <w:p>
            <w:pPr>
              <w:pStyle w:val="20"/>
              <w:widowControl w:val="0"/>
              <w:ind w:left="0" w:leftChars="0" w:firstLine="0" w:firstLineChars="0"/>
              <w:jc w:val="both"/>
              <w:rPr>
                <w:rFonts w:hint="default"/>
                <w:highlight w:val="none"/>
                <w:lang w:val="en-US" w:eastAsia="zh-CN"/>
              </w:rPr>
            </w:pPr>
          </w:p>
          <w:p>
            <w:pPr>
              <w:pStyle w:val="20"/>
              <w:widowControl w:val="0"/>
              <w:ind w:left="0" w:leftChars="0" w:firstLine="0" w:firstLineChars="0"/>
              <w:jc w:val="both"/>
              <w:rPr>
                <w:rFonts w:hint="eastAsia"/>
                <w:highlight w:val="none"/>
                <w:lang w:val="en-US" w:eastAsia="zh-CN"/>
              </w:rPr>
            </w:pPr>
            <w:r>
              <w:rPr>
                <w:rFonts w:hint="default"/>
                <w:highlight w:val="none"/>
                <w:lang w:val="en-US" w:eastAsia="zh-CN"/>
              </w:rPr>
              <w:t>内容完整，基本考虑周全，方案基本科学、合理、具有较好的针对性、适用性、可操作性和可扩展性</w:t>
            </w:r>
            <w:r>
              <w:rPr>
                <w:rFonts w:hint="eastAsia"/>
                <w:highlight w:val="none"/>
                <w:lang w:val="en-US" w:eastAsia="zh-CN"/>
              </w:rPr>
              <w:t>得3分</w:t>
            </w:r>
          </w:p>
          <w:p>
            <w:pPr>
              <w:pStyle w:val="20"/>
              <w:widowControl w:val="0"/>
              <w:ind w:left="0" w:leftChars="0" w:firstLine="0" w:firstLineChars="0"/>
              <w:jc w:val="both"/>
              <w:rPr>
                <w:rFonts w:hint="default"/>
                <w:highlight w:val="none"/>
                <w:lang w:val="en-US" w:eastAsia="zh-CN"/>
              </w:rPr>
            </w:pPr>
            <w:r>
              <w:rPr>
                <w:rFonts w:hint="default"/>
                <w:highlight w:val="none"/>
                <w:lang w:val="en-US" w:eastAsia="zh-CN"/>
              </w:rPr>
              <w:t>内容基本完整，方案在科学、合理性方面一般，针对性、适用性、可操作性和可扩展性不强，虽然能够基本满足服务项目的需要，但有很多方面需要进一步完善甚至重新考虑</w:t>
            </w:r>
            <w:r>
              <w:rPr>
                <w:rFonts w:hint="eastAsia"/>
                <w:highlight w:val="none"/>
                <w:lang w:val="en-US" w:eastAsia="zh-CN"/>
              </w:rPr>
              <w:t>得1分</w:t>
            </w:r>
          </w:p>
          <w:p>
            <w:pPr>
              <w:pStyle w:val="20"/>
              <w:widowControl w:val="0"/>
              <w:jc w:val="both"/>
              <w:rPr>
                <w:rFonts w:hint="eastAsia"/>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150"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rPr>
            </w:pPr>
          </w:p>
        </w:tc>
        <w:tc>
          <w:tcPr>
            <w:tcW w:w="1051"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rPr>
            </w:pPr>
          </w:p>
        </w:tc>
        <w:tc>
          <w:tcPr>
            <w:tcW w:w="199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服务承诺（12分）</w:t>
            </w:r>
          </w:p>
        </w:tc>
        <w:tc>
          <w:tcPr>
            <w:tcW w:w="4998"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供应商承诺：提供合理、可行、科学、符合本项目需求的服务方案，安全作业和文明作业，以及供应商做出的保障对公共设施、市容市貌的服务承诺。</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内容详实，考虑周全，方案科学、合理，具有非常好的针对性、适用性、可操作性和可扩展性得4分</w:t>
            </w:r>
          </w:p>
          <w:p>
            <w:pPr>
              <w:pStyle w:val="20"/>
              <w:widowControl w:val="0"/>
              <w:ind w:left="0" w:leftChars="0" w:firstLine="0" w:firstLineChars="0"/>
              <w:jc w:val="both"/>
              <w:rPr>
                <w:rFonts w:hint="default"/>
                <w:highlight w:val="none"/>
                <w:lang w:val="en-US" w:eastAsia="zh-CN"/>
              </w:rPr>
            </w:pPr>
          </w:p>
          <w:p>
            <w:pPr>
              <w:pStyle w:val="20"/>
              <w:widowControl w:val="0"/>
              <w:ind w:left="0" w:leftChars="0" w:firstLine="0" w:firstLineChars="0"/>
              <w:jc w:val="both"/>
              <w:rPr>
                <w:rFonts w:hint="eastAsia"/>
                <w:highlight w:val="none"/>
                <w:lang w:val="en-US" w:eastAsia="zh-CN"/>
              </w:rPr>
            </w:pPr>
            <w:r>
              <w:rPr>
                <w:rFonts w:hint="default"/>
                <w:highlight w:val="none"/>
                <w:lang w:val="en-US" w:eastAsia="zh-CN"/>
              </w:rPr>
              <w:t>内容完整，基本考虑周全，方案基本科学、合理、具有较好的针对性、适用性、可操作性和可扩展性</w:t>
            </w:r>
            <w:r>
              <w:rPr>
                <w:rFonts w:hint="eastAsia"/>
                <w:highlight w:val="none"/>
                <w:lang w:val="en-US" w:eastAsia="zh-CN"/>
              </w:rPr>
              <w:t>得2分</w:t>
            </w:r>
          </w:p>
          <w:p>
            <w:pPr>
              <w:pStyle w:val="20"/>
              <w:widowControl w:val="0"/>
              <w:ind w:left="0" w:leftChars="0" w:firstLine="0" w:firstLineChars="0"/>
              <w:jc w:val="both"/>
              <w:rPr>
                <w:rFonts w:hint="default"/>
                <w:highlight w:val="none"/>
                <w:lang w:val="en-US" w:eastAsia="zh-CN"/>
              </w:rPr>
            </w:pPr>
            <w:r>
              <w:rPr>
                <w:rFonts w:hint="default"/>
                <w:highlight w:val="none"/>
                <w:lang w:val="en-US" w:eastAsia="zh-CN"/>
              </w:rPr>
              <w:t>内容基本完整，方案在科学、合理性方面一般，针对性、适用性、可操作性和可扩展性不强，虽然能够基本满足服务项目的需要，但有很多方面需要进一步完善甚至重新考虑</w:t>
            </w:r>
            <w:r>
              <w:rPr>
                <w:rFonts w:hint="eastAsia"/>
                <w:highlight w:val="none"/>
                <w:lang w:val="en-US" w:eastAsia="zh-CN"/>
              </w:rPr>
              <w:t>得1分</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150"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rPr>
            </w:pPr>
          </w:p>
        </w:tc>
        <w:tc>
          <w:tcPr>
            <w:tcW w:w="1051"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rPr>
            </w:pPr>
          </w:p>
        </w:tc>
        <w:tc>
          <w:tcPr>
            <w:tcW w:w="199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p>
        </w:tc>
        <w:tc>
          <w:tcPr>
            <w:tcW w:w="4998"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供应商承诺：针对当地天气等实际情况、重大接待任务、重大节假日或活动等特殊情况，给予主动地、积极的配合，快速响应，依据采购人要求做到快速到岗。</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内容详实，考虑周全，方案科学、合理，具有非常好的针对性、适用性、可操作性和可扩展性得4分</w:t>
            </w:r>
          </w:p>
          <w:p>
            <w:pPr>
              <w:pStyle w:val="20"/>
              <w:widowControl w:val="0"/>
              <w:ind w:left="0" w:leftChars="0" w:firstLine="0" w:firstLineChars="0"/>
              <w:jc w:val="both"/>
              <w:rPr>
                <w:rFonts w:hint="default"/>
                <w:highlight w:val="none"/>
                <w:lang w:val="en-US" w:eastAsia="zh-CN"/>
              </w:rPr>
            </w:pPr>
          </w:p>
          <w:p>
            <w:pPr>
              <w:pStyle w:val="20"/>
              <w:widowControl w:val="0"/>
              <w:ind w:left="0" w:leftChars="0" w:firstLine="0" w:firstLineChars="0"/>
              <w:jc w:val="both"/>
              <w:rPr>
                <w:rFonts w:hint="eastAsia"/>
                <w:highlight w:val="none"/>
                <w:lang w:val="en-US" w:eastAsia="zh-CN"/>
              </w:rPr>
            </w:pPr>
            <w:r>
              <w:rPr>
                <w:rFonts w:hint="default"/>
                <w:highlight w:val="none"/>
                <w:lang w:val="en-US" w:eastAsia="zh-CN"/>
              </w:rPr>
              <w:t>内容完整，基本考虑周全，方案基本科学、合理、具有较好的针对性、适用性、可操作性和可扩展性</w:t>
            </w:r>
            <w:r>
              <w:rPr>
                <w:rFonts w:hint="eastAsia"/>
                <w:highlight w:val="none"/>
                <w:lang w:val="en-US" w:eastAsia="zh-CN"/>
              </w:rPr>
              <w:t>得2分</w:t>
            </w:r>
          </w:p>
          <w:p>
            <w:pPr>
              <w:pStyle w:val="20"/>
              <w:widowControl w:val="0"/>
              <w:ind w:left="0" w:leftChars="0" w:firstLine="0" w:firstLineChars="0"/>
              <w:jc w:val="both"/>
              <w:rPr>
                <w:rFonts w:hint="default"/>
                <w:highlight w:val="none"/>
                <w:lang w:val="en-US" w:eastAsia="zh-CN"/>
              </w:rPr>
            </w:pPr>
            <w:r>
              <w:rPr>
                <w:rFonts w:hint="default"/>
                <w:highlight w:val="none"/>
                <w:lang w:val="en-US" w:eastAsia="zh-CN"/>
              </w:rPr>
              <w:t>内容基本完整，方案在科学、合理性方面一般，针对性、适用性、可操作性和可扩展性不强，虽然能够基本满足服务项目的需要，但有很多方面需要进一步完善甚至重新考虑</w:t>
            </w:r>
            <w:r>
              <w:rPr>
                <w:rFonts w:hint="eastAsia"/>
                <w:highlight w:val="none"/>
                <w:lang w:val="en-US" w:eastAsia="zh-CN"/>
              </w:rPr>
              <w:t>得1分</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150"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rPr>
            </w:pPr>
          </w:p>
        </w:tc>
        <w:tc>
          <w:tcPr>
            <w:tcW w:w="1051"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rPr>
            </w:pPr>
          </w:p>
        </w:tc>
        <w:tc>
          <w:tcPr>
            <w:tcW w:w="199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p>
        </w:tc>
        <w:tc>
          <w:tcPr>
            <w:tcW w:w="4998"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其他有利于采购人的承诺。</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内容详实，考虑周全，方案科学、合理，具有非常好的针对性、适用性、可操作性和可扩展性得4分</w:t>
            </w:r>
          </w:p>
          <w:p>
            <w:pPr>
              <w:pStyle w:val="20"/>
              <w:widowControl w:val="0"/>
              <w:ind w:left="0" w:leftChars="0" w:firstLine="0" w:firstLineChars="0"/>
              <w:jc w:val="both"/>
              <w:rPr>
                <w:rFonts w:hint="default"/>
                <w:highlight w:val="none"/>
                <w:lang w:val="en-US" w:eastAsia="zh-CN"/>
              </w:rPr>
            </w:pPr>
          </w:p>
          <w:p>
            <w:pPr>
              <w:pStyle w:val="20"/>
              <w:widowControl w:val="0"/>
              <w:ind w:left="0" w:leftChars="0" w:firstLine="0" w:firstLineChars="0"/>
              <w:jc w:val="both"/>
              <w:rPr>
                <w:rFonts w:hint="eastAsia"/>
                <w:highlight w:val="none"/>
                <w:lang w:val="en-US" w:eastAsia="zh-CN"/>
              </w:rPr>
            </w:pPr>
            <w:r>
              <w:rPr>
                <w:rFonts w:hint="default"/>
                <w:highlight w:val="none"/>
                <w:lang w:val="en-US" w:eastAsia="zh-CN"/>
              </w:rPr>
              <w:t>内容完整，基本考虑周全，方案基本科学、合理、具有较好的针对性、适用性、可操作性和可扩展性</w:t>
            </w:r>
            <w:r>
              <w:rPr>
                <w:rFonts w:hint="eastAsia"/>
                <w:highlight w:val="none"/>
                <w:lang w:val="en-US" w:eastAsia="zh-CN"/>
              </w:rPr>
              <w:t>得2分</w:t>
            </w:r>
          </w:p>
          <w:p>
            <w:pPr>
              <w:pStyle w:val="20"/>
              <w:widowControl w:val="0"/>
              <w:ind w:left="0" w:leftChars="0" w:firstLine="0" w:firstLineChars="0"/>
              <w:jc w:val="both"/>
              <w:rPr>
                <w:rFonts w:hint="default"/>
                <w:highlight w:val="none"/>
                <w:lang w:val="en-US" w:eastAsia="zh-CN"/>
              </w:rPr>
            </w:pPr>
            <w:r>
              <w:rPr>
                <w:rFonts w:hint="default"/>
                <w:highlight w:val="none"/>
                <w:lang w:val="en-US" w:eastAsia="zh-CN"/>
              </w:rPr>
              <w:t>内容基本完整，方案在科学、合理性方面一般，针对性、适用性、可操作性和可扩展性不强，虽然能够基本满足服务项目的需要，但有很多方面需要进一步完善甚至重新考虑</w:t>
            </w:r>
            <w:r>
              <w:rPr>
                <w:rFonts w:hint="eastAsia"/>
                <w:highlight w:val="none"/>
                <w:lang w:val="en-US" w:eastAsia="zh-CN"/>
              </w:rPr>
              <w:t>得1分</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150"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rPr>
            </w:pPr>
          </w:p>
        </w:tc>
        <w:tc>
          <w:tcPr>
            <w:tcW w:w="1051" w:type="dxa"/>
            <w:vMerge w:val="continue"/>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60" w:lineRule="exact"/>
              <w:ind w:left="0" w:right="0" w:firstLine="0" w:firstLineChars="0"/>
              <w:jc w:val="left"/>
              <w:textAlignment w:val="auto"/>
              <w:rPr>
                <w:rFonts w:hint="eastAsia" w:ascii="宋体" w:hAnsi="宋体" w:eastAsia="宋体" w:cs="宋体"/>
                <w:sz w:val="21"/>
                <w:szCs w:val="21"/>
                <w:highlight w:val="none"/>
              </w:rPr>
            </w:pPr>
          </w:p>
        </w:tc>
        <w:tc>
          <w:tcPr>
            <w:tcW w:w="6990" w:type="dxa"/>
            <w:gridSpan w:val="4"/>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napToGrid w:val="0"/>
                <w:color w:val="000000"/>
                <w:spacing w:val="0"/>
                <w:kern w:val="0"/>
                <w:sz w:val="21"/>
                <w:szCs w:val="21"/>
                <w:highlight w:val="none"/>
                <w:lang w:val="en-US" w:eastAsia="zh-CN"/>
              </w:rPr>
            </w:pPr>
            <w:r>
              <w:rPr>
                <w:rFonts w:hint="eastAsia" w:ascii="宋体" w:hAnsi="宋体" w:eastAsia="宋体" w:cs="宋体"/>
                <w:snapToGrid w:val="0"/>
                <w:color w:val="000000"/>
                <w:spacing w:val="0"/>
                <w:kern w:val="0"/>
                <w:sz w:val="21"/>
                <w:szCs w:val="21"/>
                <w:highlight w:val="none"/>
                <w:lang w:val="en-US" w:eastAsia="zh-CN"/>
              </w:rPr>
              <w:t>上述各分项内容如缺项，相应项目得分为0。</w:t>
            </w:r>
          </w:p>
        </w:tc>
      </w:tr>
    </w:tbl>
    <w:p>
      <w:pPr>
        <w:spacing w:line="360" w:lineRule="auto"/>
        <w:jc w:val="both"/>
        <w:rPr>
          <w:rFonts w:hint="eastAsia" w:ascii="宋体" w:hAnsi="宋体" w:eastAsia="宋体" w:cs="宋体"/>
          <w:spacing w:val="1"/>
          <w:sz w:val="24"/>
          <w:szCs w:val="24"/>
          <w:highlight w:val="none"/>
        </w:rPr>
      </w:pPr>
    </w:p>
    <w:p>
      <w:pPr>
        <w:spacing w:line="360" w:lineRule="auto"/>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1.评标方法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本次评标采用综合评分法。评标小组对满足招标文件实质性要求的投标文件，按照本章规定的评分标准进行打分，并按得分由高到低顺序推荐中标候选人。综合评分相等时，以投标报价低的优先；投标报价也相等的，按技术得分高者为第一中标候选人。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2.评审标准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1）初步评审标准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（1)</w:t>
      </w:r>
      <w:r>
        <w:rPr>
          <w:rFonts w:hint="eastAsia" w:ascii="宋体" w:hAnsi="宋体" w:eastAsia="宋体" w:cs="宋体"/>
          <w:spacing w:val="1"/>
          <w:sz w:val="24"/>
          <w:szCs w:val="24"/>
          <w:highlight w:val="none"/>
          <w:lang w:val="en-US" w:eastAsia="zh-CN"/>
        </w:rPr>
        <w:t>形式评审标准</w:t>
      </w:r>
      <w:r>
        <w:rPr>
          <w:rFonts w:hint="eastAsia" w:ascii="宋体" w:hAnsi="宋体" w:eastAsia="宋体" w:cs="宋体"/>
          <w:spacing w:val="1"/>
          <w:sz w:val="24"/>
          <w:szCs w:val="24"/>
          <w:highlight w:val="none"/>
        </w:rPr>
        <w:t xml:space="preserve">：见评标办法前附表；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（2)资格评审标准：见评标办法前附表；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（3)响应性评审标准：见评标办法前附表。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（4）符合下列条件的投标文件，其投标将被否决，不再进入详细的评审阶段；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●投标文件未按规定编写，未按要求加盖单位电子签章或法定代表人或被授权委托人签字或盖章的；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●投标文件无报价，报价出现负数或投标报价高于采购控制价的；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●投标文件附有采购人不能接受的条件的；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●有关法律、法规规章规定的其他情况。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2）分值构成与评分标准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（1)分值构成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a投标报价：见评标办法前附表；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b商务标：见评标办法前附表；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c技术标：见评标办法前附表。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（2）投标基准价计算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a招标基准价计算方法：见评标办法前附表；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b评标报价评审方法：见评标办法前附表。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（3)评分标准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a投标报价评分标准：见评标办法前附表；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b商务标评分标准：见评标办法前附表；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c技术标评分标准：见评标办法前附表。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（4）最终得分的确定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a.供应商最终得分=投标报价部分得分+商务标部分得分+技术标部分得分；</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b评标小组完成对投标报价、商务标和技术标的汇总后，取平均值作为该供应商的最终得分；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c最终得分计算分值保留两位小数。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3、投标文件的澄清和补正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1) 在评标过程中，评标小组可以书面形式要求供应商对所提交投标文件中不明确的内容进行书面澄清或说明，或者对细微偏差进行补正。评标小组不接受供应商主动提出的澄清、说明或补正；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2）澄清、说明和补正不得改变响应文件的实质性内容（算术性错误修正的除外）。供应商的书面澄清、说明和补正属于投标文件的组成部分；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3）评标小组对供应商提交的澄清、说明或补正有疑问的，可以要求供应商进一步澄清、说明或补正，直至满足评标小组的要求。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4、解决争议的办法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出现争议时，双方可协商解决，不能达成一致意见时，可通过诉讼方式由采购人所在地法院裁决。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1）重新招标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有下列情形之一的，采购人将重新招标：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(l）投标截止时间止，投标供应商少于3个的；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(2）经评标小组评审后否决所有投标的。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2）不再招标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重新招标后投标供应商仍少于3个或者所有投标被否决的，属于必须审批或核准的建设项目，经原审批或核准部门批准后不再进行招标。 </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5、</w:t>
      </w:r>
      <w:r>
        <w:rPr>
          <w:rFonts w:hint="eastAsia" w:ascii="宋体" w:hAnsi="宋体" w:eastAsia="宋体" w:cs="宋体"/>
          <w:spacing w:val="1"/>
          <w:sz w:val="24"/>
          <w:szCs w:val="24"/>
          <w:highlight w:val="none"/>
          <w:lang w:val="en-US" w:eastAsia="zh-CN"/>
        </w:rPr>
        <w:t>质疑</w:t>
      </w:r>
      <w:r>
        <w:rPr>
          <w:rFonts w:hint="eastAsia" w:ascii="宋体" w:hAnsi="宋体" w:eastAsia="宋体" w:cs="宋体"/>
          <w:spacing w:val="1"/>
          <w:sz w:val="24"/>
          <w:szCs w:val="24"/>
          <w:highlight w:val="none"/>
        </w:rPr>
        <w:t xml:space="preserve"> </w:t>
      </w:r>
    </w:p>
    <w:p>
      <w:pPr>
        <w:spacing w:line="360" w:lineRule="auto"/>
        <w:ind w:firstLine="484" w:firstLineChars="200"/>
        <w:jc w:val="both"/>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各有关当事人对中标结果有异议的，可以在中标公告发布之日起七个工作日内，按照《中华人民共和国财政部令第94号--政府采购质疑和投诉办法》规定的程序，以书面形式同时向采购人和采购代理机构提出质疑(加盖单位公章且法人签字)，由法定代表人或其原授权代表携带企业营业执照原件（复印件加盖公章）及本人身份证件（原件）一并提交（邮寄、传真件不予受理），并以质疑函接收日期作为受理时间。逾期提交或未按照要求提交的质疑函将不予受理。供应商保证提出的质疑内容和相应证明材料的真实性及来源的合法性，并承担相应的法律责任。</w:t>
      </w:r>
    </w:p>
    <w:p>
      <w:pPr>
        <w:spacing w:line="360" w:lineRule="auto"/>
        <w:ind w:firstLine="484" w:firstLineChars="200"/>
        <w:jc w:val="both"/>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6、投诉</w:t>
      </w:r>
    </w:p>
    <w:p>
      <w:pPr>
        <w:spacing w:line="360" w:lineRule="auto"/>
        <w:ind w:firstLine="484" w:firstLineChars="200"/>
        <w:jc w:val="both"/>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质疑供应商对采购人、采购代理机构的答复不满意，或者采购人、采购代理机构未在规定时间内作出答复的，可以在答复期满后15个工作日内向财政部门提起投诉。具体参照中华人民共和国财政部令第94号--《政府采购质疑和投诉办法》。</w:t>
      </w:r>
    </w:p>
    <w:p>
      <w:pPr>
        <w:spacing w:line="360" w:lineRule="auto"/>
        <w:ind w:firstLine="484" w:firstLineChars="200"/>
        <w:jc w:val="both"/>
        <w:rPr>
          <w:rFonts w:ascii="宋体" w:hAnsi="宋体" w:eastAsia="宋体" w:cs="宋体"/>
          <w:spacing w:val="1"/>
          <w:sz w:val="24"/>
          <w:szCs w:val="24"/>
          <w:highlight w:val="none"/>
        </w:rPr>
      </w:pPr>
      <w:r>
        <w:rPr>
          <w:rFonts w:hint="eastAsia" w:ascii="宋体" w:hAnsi="宋体" w:eastAsia="宋体" w:cs="宋体"/>
          <w:spacing w:val="1"/>
          <w:sz w:val="24"/>
          <w:szCs w:val="24"/>
          <w:highlight w:val="none"/>
          <w:lang w:val="en-US" w:eastAsia="zh-CN"/>
        </w:rPr>
        <w:t>7</w:t>
      </w:r>
      <w:r>
        <w:rPr>
          <w:rFonts w:hint="eastAsia" w:ascii="宋体" w:hAnsi="宋体" w:eastAsia="宋体" w:cs="宋体"/>
          <w:spacing w:val="1"/>
          <w:sz w:val="24"/>
          <w:szCs w:val="24"/>
          <w:highlight w:val="none"/>
        </w:rPr>
        <w:t xml:space="preserve">、未尽事宜，按国家有关规定执行。 </w:t>
      </w:r>
    </w:p>
    <w:p>
      <w:pPr>
        <w:spacing w:line="360" w:lineRule="auto"/>
        <w:ind w:firstLine="484" w:firstLineChars="200"/>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val="en-US" w:eastAsia="zh-CN"/>
        </w:rPr>
        <w:t>8</w:t>
      </w:r>
      <w:r>
        <w:rPr>
          <w:rFonts w:hint="eastAsia" w:ascii="宋体" w:hAnsi="宋体" w:eastAsia="宋体" w:cs="宋体"/>
          <w:spacing w:val="1"/>
          <w:sz w:val="24"/>
          <w:szCs w:val="24"/>
          <w:highlight w:val="none"/>
        </w:rPr>
        <w:t>、本招标文件的解释权属采购人。</w:t>
      </w:r>
    </w:p>
    <w:p>
      <w:pPr>
        <w:pStyle w:val="7"/>
        <w:rPr>
          <w:rFonts w:hint="eastAsia"/>
          <w:highlight w:val="none"/>
          <w:lang w:eastAsia="zh-CN"/>
        </w:rPr>
      </w:pPr>
    </w:p>
    <w:p>
      <w:pPr>
        <w:jc w:val="center"/>
        <w:rPr>
          <w:rFonts w:hint="eastAsia" w:ascii="宋体" w:hAnsi="宋体" w:eastAsia="宋体" w:cs="宋体"/>
          <w:b/>
          <w:bCs/>
          <w:spacing w:val="1"/>
          <w:sz w:val="32"/>
          <w:szCs w:val="32"/>
          <w:highlight w:val="none"/>
          <w:lang w:val="en-US" w:eastAsia="zh-CN"/>
        </w:rPr>
      </w:pPr>
      <w:r>
        <w:rPr>
          <w:rFonts w:hint="eastAsia" w:ascii="宋体" w:hAnsi="宋体" w:eastAsia="宋体" w:cs="宋体"/>
          <w:spacing w:val="1"/>
          <w:sz w:val="24"/>
          <w:szCs w:val="24"/>
          <w:highlight w:val="none"/>
        </w:rPr>
        <w:br w:type="page"/>
      </w:r>
    </w:p>
    <w:p>
      <w:pPr>
        <w:pStyle w:val="37"/>
        <w:rPr>
          <w:rFonts w:hint="eastAsia"/>
        </w:rPr>
      </w:pPr>
    </w:p>
    <w:p>
      <w:pPr>
        <w:numPr>
          <w:ilvl w:val="0"/>
          <w:numId w:val="1"/>
        </w:numPr>
        <w:spacing w:before="101" w:line="360" w:lineRule="auto"/>
        <w:jc w:val="center"/>
        <w:outlineLvl w:val="0"/>
        <w:rPr>
          <w:rFonts w:hint="eastAsia" w:asciiTheme="minorEastAsia" w:hAnsiTheme="minorEastAsia" w:eastAsiaTheme="minorEastAsia" w:cstheme="minorEastAsia"/>
          <w:b/>
          <w:bCs/>
          <w:spacing w:val="18"/>
          <w:sz w:val="31"/>
          <w:szCs w:val="31"/>
          <w:highlight w:val="none"/>
        </w:rPr>
      </w:pPr>
      <w:r>
        <w:rPr>
          <w:rFonts w:hint="eastAsia" w:asciiTheme="minorEastAsia" w:hAnsiTheme="minorEastAsia" w:eastAsiaTheme="minorEastAsia" w:cstheme="minorEastAsia"/>
          <w:b/>
          <w:bCs/>
          <w:spacing w:val="18"/>
          <w:sz w:val="31"/>
          <w:szCs w:val="31"/>
          <w:highlight w:val="none"/>
          <w:lang w:val="en-US" w:eastAsia="zh-CN"/>
        </w:rPr>
        <w:t xml:space="preserve"> </w:t>
      </w:r>
      <w:bookmarkStart w:id="3" w:name="_Toc25946"/>
      <w:r>
        <w:rPr>
          <w:rFonts w:hint="eastAsia" w:asciiTheme="minorEastAsia" w:hAnsiTheme="minorEastAsia" w:eastAsiaTheme="minorEastAsia" w:cstheme="minorEastAsia"/>
          <w:b/>
          <w:bCs/>
          <w:spacing w:val="18"/>
          <w:sz w:val="31"/>
          <w:szCs w:val="31"/>
          <w:highlight w:val="none"/>
          <w:lang w:val="en-US" w:eastAsia="zh-CN"/>
        </w:rPr>
        <w:t>服务内容及要求</w:t>
      </w:r>
      <w:bookmarkEnd w:id="3"/>
    </w:p>
    <w:p>
      <w:pPr>
        <w:pStyle w:val="3"/>
        <w:bidi w:val="0"/>
        <w:rPr>
          <w:rFonts w:hint="default"/>
          <w:highlight w:val="none"/>
          <w:lang w:val="en-US" w:eastAsia="zh-CN"/>
        </w:rPr>
      </w:pPr>
      <w:bookmarkStart w:id="4" w:name="_Toc16289"/>
      <w:r>
        <w:rPr>
          <w:rFonts w:hint="eastAsia"/>
          <w:highlight w:val="none"/>
          <w:lang w:val="en-US" w:eastAsia="zh-CN"/>
        </w:rPr>
        <w:t>（一）服务内容及要求</w:t>
      </w:r>
      <w:bookmarkEnd w:id="4"/>
    </w:p>
    <w:p>
      <w:pPr>
        <w:spacing w:line="360" w:lineRule="auto"/>
        <w:ind w:firstLine="484" w:firstLineChars="200"/>
        <w:jc w:val="both"/>
        <w:rPr>
          <w:rFonts w:hint="default" w:ascii="宋体" w:hAnsi="宋体" w:eastAsia="宋体" w:cs="宋体"/>
          <w:spacing w:val="1"/>
          <w:sz w:val="24"/>
          <w:szCs w:val="24"/>
          <w:lang w:val="en-US" w:eastAsia="zh-CN"/>
        </w:rPr>
      </w:pPr>
      <w:r>
        <w:rPr>
          <w:rFonts w:hint="default" w:ascii="宋体" w:hAnsi="宋体" w:eastAsia="宋体" w:cs="宋体"/>
          <w:spacing w:val="1"/>
          <w:sz w:val="24"/>
          <w:szCs w:val="24"/>
          <w:lang w:val="en-US" w:eastAsia="zh-CN"/>
        </w:rPr>
        <w:t>按照县政府工作安排，根据城区环卫作业服务工作实际，目前，城区环卫市场化作业均已合同到期，为更好的推进城区环卫作业服务，提高环境卫生质量，同时尽快完善新一轮环卫作业服务招标相关手续，依据唐财预审[2023]177 号评审报告，现申请对</w:t>
      </w:r>
      <w:r>
        <w:rPr>
          <w:rFonts w:hint="eastAsia" w:cs="宋体"/>
          <w:spacing w:val="1"/>
          <w:sz w:val="24"/>
          <w:szCs w:val="24"/>
          <w:lang w:val="en-US" w:eastAsia="zh-CN"/>
        </w:rPr>
        <w:t>东</w:t>
      </w:r>
      <w:r>
        <w:rPr>
          <w:rFonts w:hint="default" w:ascii="宋体" w:hAnsi="宋体" w:eastAsia="宋体" w:cs="宋体"/>
          <w:spacing w:val="1"/>
          <w:sz w:val="24"/>
          <w:szCs w:val="24"/>
          <w:lang w:val="en-US" w:eastAsia="zh-CN"/>
        </w:rPr>
        <w:t>城区环卫作业进行招标</w:t>
      </w:r>
      <w:r>
        <w:rPr>
          <w:rFonts w:hint="eastAsia" w:cs="宋体"/>
          <w:spacing w:val="1"/>
          <w:sz w:val="24"/>
          <w:szCs w:val="24"/>
          <w:lang w:val="en-US" w:eastAsia="zh-CN"/>
        </w:rPr>
        <w:t>，</w:t>
      </w:r>
      <w:r>
        <w:rPr>
          <w:rFonts w:hint="eastAsia" w:ascii="宋体" w:hAnsi="宋体" w:eastAsia="宋体" w:cs="宋体"/>
          <w:spacing w:val="1"/>
          <w:sz w:val="24"/>
          <w:szCs w:val="24"/>
          <w:lang w:val="en-US" w:eastAsia="zh-CN"/>
        </w:rPr>
        <w:t>服务内容为：</w:t>
      </w:r>
      <w:r>
        <w:rPr>
          <w:rFonts w:hint="eastAsia" w:asciiTheme="minorEastAsia" w:hAnsiTheme="minorEastAsia" w:eastAsiaTheme="minorEastAsia"/>
          <w:sz w:val="24"/>
          <w:szCs w:val="24"/>
          <w:lang w:val="en-US" w:eastAsia="zh-CN"/>
        </w:rPr>
        <w:t>唐河县城区道路的环卫作业，新春路以东(含新春路 ):东至镍都路、南至老澧水路、西至新春路(含新春路)、北至上海大道(不含上海大道），道路面积为：</w:t>
      </w:r>
      <w:r>
        <w:rPr>
          <w:rFonts w:hint="eastAsia" w:asciiTheme="minorEastAsia" w:hAnsiTheme="minorEastAsia"/>
          <w:sz w:val="24"/>
          <w:szCs w:val="24"/>
          <w:lang w:val="en-US" w:eastAsia="zh-CN"/>
        </w:rPr>
        <w:t>2363309.615</w:t>
      </w:r>
      <w:r>
        <w:rPr>
          <w:rFonts w:hint="eastAsia" w:asciiTheme="minorEastAsia" w:hAnsiTheme="minorEastAsia" w:eastAsiaTheme="minorEastAsia"/>
          <w:sz w:val="24"/>
          <w:szCs w:val="24"/>
          <w:lang w:val="en-US" w:eastAsia="zh-CN"/>
        </w:rPr>
        <w:t>㎡。</w:t>
      </w:r>
    </w:p>
    <w:p>
      <w:pPr>
        <w:spacing w:line="360" w:lineRule="auto"/>
        <w:ind w:firstLine="484" w:firstLineChars="200"/>
        <w:jc w:val="both"/>
        <w:rPr>
          <w:rFonts w:hint="default" w:ascii="宋体" w:hAnsi="宋体" w:eastAsia="宋体" w:cs="宋体"/>
          <w:spacing w:val="1"/>
          <w:sz w:val="24"/>
          <w:szCs w:val="24"/>
          <w:lang w:val="en-US" w:eastAsia="zh-CN"/>
        </w:rPr>
      </w:pPr>
      <w:r>
        <w:rPr>
          <w:rFonts w:hint="default" w:ascii="宋体" w:hAnsi="宋体" w:eastAsia="宋体" w:cs="宋体"/>
          <w:spacing w:val="1"/>
          <w:sz w:val="24"/>
          <w:szCs w:val="24"/>
          <w:lang w:val="en-US" w:eastAsia="zh-CN"/>
        </w:rPr>
        <w:t>服务招标范围如下</w:t>
      </w:r>
      <w:r>
        <w:rPr>
          <w:rFonts w:hint="eastAsia" w:ascii="宋体" w:hAnsi="宋体" w:eastAsia="宋体" w:cs="宋体"/>
          <w:spacing w:val="1"/>
          <w:sz w:val="24"/>
          <w:szCs w:val="24"/>
          <w:lang w:val="en-US" w:eastAsia="zh-CN"/>
        </w:rPr>
        <w:t>：</w:t>
      </w:r>
    </w:p>
    <w:p>
      <w:pPr>
        <w:pStyle w:val="20"/>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pacing w:val="1"/>
          <w:sz w:val="24"/>
          <w:szCs w:val="24"/>
          <w:lang w:val="en-US" w:eastAsia="zh-CN" w:bidi="ar-SA"/>
        </w:rPr>
      </w:pPr>
      <w:r>
        <w:rPr>
          <w:rFonts w:hint="eastAsia" w:ascii="宋体" w:hAnsi="宋体" w:eastAsia="宋体" w:cs="宋体"/>
          <w:spacing w:val="1"/>
          <w:sz w:val="24"/>
          <w:szCs w:val="24"/>
          <w:lang w:val="en-US" w:eastAsia="zh-CN" w:bidi="ar-SA"/>
        </w:rPr>
        <w:t>唐河县城区道路的环卫作业，新春路以东(含新春路 ):东至镍都路、南至老澧水路、西至新春路(含新春路)、北至上海大道(不含上海大道），道路面积为：2363309.615㎡。</w:t>
      </w:r>
    </w:p>
    <w:p>
      <w:pPr>
        <w:pStyle w:val="2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其他要求：</w:t>
      </w:r>
    </w:p>
    <w:p>
      <w:pPr>
        <w:pStyle w:val="20"/>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1、各辖区背角小巷，小区垃圾收集清理</w:t>
      </w:r>
    </w:p>
    <w:p>
      <w:pPr>
        <w:pStyle w:val="20"/>
        <w:numPr>
          <w:ilvl w:val="0"/>
          <w:numId w:val="2"/>
        </w:numPr>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垃圾收集车要求全密闭</w:t>
      </w:r>
    </w:p>
    <w:p>
      <w:pPr>
        <w:pStyle w:val="20"/>
        <w:numPr>
          <w:ilvl w:val="0"/>
          <w:numId w:val="2"/>
        </w:numPr>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快速保洁车要求全密闭</w:t>
      </w:r>
    </w:p>
    <w:p>
      <w:pPr>
        <w:pStyle w:val="20"/>
        <w:numPr>
          <w:ilvl w:val="0"/>
          <w:numId w:val="2"/>
        </w:numPr>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小广告清理至少5人</w:t>
      </w:r>
    </w:p>
    <w:p>
      <w:pPr>
        <w:pStyle w:val="20"/>
        <w:numPr>
          <w:ilvl w:val="0"/>
          <w:numId w:val="2"/>
        </w:numPr>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除雪车一辆</w:t>
      </w:r>
    </w:p>
    <w:p>
      <w:pPr>
        <w:pStyle w:val="20"/>
        <w:numPr>
          <w:ilvl w:val="0"/>
          <w:numId w:val="2"/>
        </w:numPr>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高压冲洗车至少2台（每周一次）</w:t>
      </w:r>
    </w:p>
    <w:p>
      <w:pPr>
        <w:pStyle w:val="20"/>
        <w:numPr>
          <w:ilvl w:val="0"/>
          <w:numId w:val="2"/>
        </w:numPr>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洒水车每个区各6台</w:t>
      </w:r>
    </w:p>
    <w:p>
      <w:pPr>
        <w:spacing w:line="360" w:lineRule="auto"/>
        <w:ind w:firstLine="480" w:firstLineChars="200"/>
        <w:jc w:val="both"/>
        <w:rPr>
          <w:rFonts w:hint="eastAsia" w:asciiTheme="minorEastAsia" w:hAnsiTheme="minorEastAsia" w:eastAsiaTheme="minorEastAsia"/>
          <w:sz w:val="24"/>
          <w:szCs w:val="24"/>
          <w:highlight w:val="none"/>
          <w:lang w:val="en-US" w:eastAsia="zh-CN"/>
        </w:rPr>
      </w:pPr>
    </w:p>
    <w:p>
      <w:pPr>
        <w:spacing w:line="360" w:lineRule="auto"/>
        <w:ind w:firstLine="480" w:firstLineChars="200"/>
        <w:jc w:val="both"/>
        <w:rPr>
          <w:rFonts w:hint="eastAsia" w:asciiTheme="minorEastAsia" w:hAnsiTheme="minorEastAsia" w:eastAsiaTheme="minorEastAsia"/>
          <w:sz w:val="24"/>
          <w:szCs w:val="24"/>
          <w:highlight w:val="none"/>
          <w:lang w:val="en-US" w:eastAsia="zh-CN"/>
        </w:rPr>
      </w:pPr>
    </w:p>
    <w:p>
      <w:pPr>
        <w:rPr>
          <w:rFonts w:ascii="宋体" w:hAnsi="宋体" w:eastAsia="宋体" w:cs="宋体"/>
          <w:b/>
          <w:bCs/>
          <w:spacing w:val="15"/>
          <w:sz w:val="31"/>
          <w:szCs w:val="31"/>
          <w:highlight w:val="none"/>
        </w:rPr>
        <w:sectPr>
          <w:headerReference r:id="rId10" w:type="default"/>
          <w:footerReference r:id="rId11" w:type="default"/>
          <w:pgSz w:w="11907" w:h="16839"/>
          <w:pgMar w:top="1476" w:right="1049" w:bottom="1226" w:left="1051" w:header="1155" w:footer="958" w:gutter="0"/>
          <w:pgNumType w:fmt="numberInDash"/>
          <w:cols w:space="720" w:num="1"/>
        </w:sectPr>
      </w:pPr>
    </w:p>
    <w:tbl>
      <w:tblPr>
        <w:tblStyle w:val="21"/>
        <w:tblW w:w="13520"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1552"/>
        <w:gridCol w:w="8835"/>
        <w:gridCol w:w="732"/>
        <w:gridCol w:w="732"/>
        <w:gridCol w:w="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13520" w:type="dxa"/>
            <w:gridSpan w:val="6"/>
            <w:tcBorders>
              <w:top w:val="nil"/>
              <w:left w:val="nil"/>
              <w:bottom w:val="single" w:color="auto" w:sz="4" w:space="0"/>
              <w:right w:val="nil"/>
            </w:tcBorders>
            <w:noWrap w:val="0"/>
            <w:vAlign w:val="center"/>
          </w:tcPr>
          <w:p>
            <w:pPr>
              <w:widowControl/>
              <w:rPr>
                <w:rFonts w:ascii="??" w:hAnsi="??" w:cs="宋体"/>
                <w:b/>
                <w:bCs/>
                <w:kern w:val="0"/>
                <w:sz w:val="32"/>
                <w:szCs w:val="32"/>
                <w:highlight w:val="none"/>
              </w:rPr>
            </w:pPr>
            <w:r>
              <w:rPr>
                <w:rFonts w:ascii="??" w:hAnsi="??" w:cs="宋体"/>
                <w:b/>
                <w:bCs/>
                <w:kern w:val="0"/>
                <w:sz w:val="32"/>
                <w:szCs w:val="32"/>
                <w:highlight w:val="none"/>
              </w:rPr>
              <w:t>所需费用方案清单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733" w:type="dxa"/>
            <w:tcBorders>
              <w:top w:val="single" w:color="auto" w:sz="4" w:space="0"/>
            </w:tcBorders>
            <w:noWrap/>
            <w:textDirection w:val="tbRlV"/>
            <w:vAlign w:val="center"/>
          </w:tcPr>
          <w:p>
            <w:pPr>
              <w:widowControl/>
              <w:jc w:val="center"/>
              <w:rPr>
                <w:rFonts w:ascii="??" w:hAnsi="??" w:cs="宋体"/>
                <w:kern w:val="0"/>
                <w:sz w:val="24"/>
                <w:szCs w:val="24"/>
                <w:highlight w:val="none"/>
              </w:rPr>
            </w:pPr>
            <w:r>
              <w:rPr>
                <w:rFonts w:ascii="??" w:hAnsi="??" w:cs="宋体"/>
                <w:kern w:val="0"/>
                <w:sz w:val="24"/>
                <w:szCs w:val="24"/>
                <w:highlight w:val="none"/>
              </w:rPr>
              <w:t>序号</w:t>
            </w:r>
          </w:p>
        </w:tc>
        <w:tc>
          <w:tcPr>
            <w:tcW w:w="1552" w:type="dxa"/>
            <w:tcBorders>
              <w:top w:val="single" w:color="auto" w:sz="4" w:space="0"/>
            </w:tcBorders>
            <w:noWrap/>
            <w:vAlign w:val="center"/>
          </w:tcPr>
          <w:p>
            <w:pPr>
              <w:widowControl/>
              <w:jc w:val="center"/>
              <w:rPr>
                <w:rFonts w:ascii="??" w:hAnsi="??" w:cs="宋体"/>
                <w:kern w:val="0"/>
                <w:sz w:val="24"/>
                <w:szCs w:val="24"/>
                <w:highlight w:val="none"/>
              </w:rPr>
            </w:pPr>
            <w:r>
              <w:rPr>
                <w:rFonts w:ascii="??" w:hAnsi="??" w:cs="宋体"/>
                <w:kern w:val="0"/>
                <w:sz w:val="24"/>
                <w:szCs w:val="24"/>
                <w:highlight w:val="none"/>
              </w:rPr>
              <w:t>费用名称</w:t>
            </w:r>
          </w:p>
        </w:tc>
        <w:tc>
          <w:tcPr>
            <w:tcW w:w="8835" w:type="dxa"/>
            <w:tcBorders>
              <w:top w:val="single" w:color="auto" w:sz="4" w:space="0"/>
            </w:tcBorders>
            <w:noWrap/>
            <w:vAlign w:val="center"/>
          </w:tcPr>
          <w:p>
            <w:pPr>
              <w:widowControl/>
              <w:jc w:val="center"/>
              <w:rPr>
                <w:rFonts w:ascii="??" w:hAnsi="??" w:cs="宋体"/>
                <w:kern w:val="0"/>
                <w:sz w:val="24"/>
                <w:szCs w:val="24"/>
                <w:highlight w:val="none"/>
              </w:rPr>
            </w:pPr>
            <w:r>
              <w:rPr>
                <w:rFonts w:ascii="??" w:hAnsi="??" w:cs="宋体"/>
                <w:kern w:val="0"/>
                <w:sz w:val="24"/>
                <w:szCs w:val="24"/>
                <w:highlight w:val="none"/>
              </w:rPr>
              <w:t>费用说明</w:t>
            </w:r>
          </w:p>
        </w:tc>
        <w:tc>
          <w:tcPr>
            <w:tcW w:w="732" w:type="dxa"/>
            <w:tcBorders>
              <w:top w:val="single" w:color="auto" w:sz="4" w:space="0"/>
            </w:tcBorders>
            <w:noWrap/>
            <w:textDirection w:val="tbRlV"/>
            <w:vAlign w:val="center"/>
          </w:tcPr>
          <w:p>
            <w:pPr>
              <w:widowControl/>
              <w:jc w:val="center"/>
              <w:rPr>
                <w:rFonts w:ascii="??" w:hAnsi="??" w:cs="宋体"/>
                <w:kern w:val="0"/>
                <w:sz w:val="24"/>
                <w:szCs w:val="24"/>
                <w:highlight w:val="none"/>
              </w:rPr>
            </w:pPr>
            <w:r>
              <w:rPr>
                <w:rFonts w:ascii="??" w:hAnsi="??" w:cs="宋体"/>
                <w:kern w:val="0"/>
                <w:sz w:val="24"/>
                <w:szCs w:val="24"/>
                <w:highlight w:val="none"/>
              </w:rPr>
              <w:t>单位</w:t>
            </w:r>
          </w:p>
        </w:tc>
        <w:tc>
          <w:tcPr>
            <w:tcW w:w="732" w:type="dxa"/>
            <w:tcBorders>
              <w:top w:val="single" w:color="auto" w:sz="4" w:space="0"/>
            </w:tcBorders>
            <w:noWrap/>
            <w:textDirection w:val="tbRlV"/>
            <w:vAlign w:val="center"/>
          </w:tcPr>
          <w:p>
            <w:pPr>
              <w:widowControl/>
              <w:jc w:val="center"/>
              <w:rPr>
                <w:rFonts w:ascii="??" w:hAnsi="??" w:cs="宋体"/>
                <w:kern w:val="0"/>
                <w:sz w:val="24"/>
                <w:szCs w:val="24"/>
                <w:highlight w:val="none"/>
              </w:rPr>
            </w:pPr>
            <w:r>
              <w:rPr>
                <w:rFonts w:ascii="??" w:hAnsi="??" w:cs="宋体"/>
                <w:kern w:val="0"/>
                <w:sz w:val="24"/>
                <w:szCs w:val="24"/>
                <w:highlight w:val="none"/>
              </w:rPr>
              <w:t>数量</w:t>
            </w:r>
          </w:p>
        </w:tc>
        <w:tc>
          <w:tcPr>
            <w:tcW w:w="936" w:type="dxa"/>
            <w:tcBorders>
              <w:top w:val="single" w:color="auto" w:sz="4" w:space="0"/>
            </w:tcBorders>
            <w:noWrap/>
            <w:vAlign w:val="center"/>
          </w:tcPr>
          <w:p>
            <w:pPr>
              <w:widowControl/>
              <w:jc w:val="center"/>
              <w:rPr>
                <w:rFonts w:ascii="??" w:hAnsi="??" w:cs="宋体"/>
                <w:kern w:val="0"/>
                <w:sz w:val="24"/>
                <w:szCs w:val="24"/>
                <w:highlight w:val="none"/>
              </w:rPr>
            </w:pPr>
            <w:r>
              <w:rPr>
                <w:rFonts w:hint="eastAsia" w:ascii="??" w:hAnsi="??" w:cs="宋体"/>
                <w:kern w:val="0"/>
                <w:sz w:val="24"/>
                <w:szCs w:val="24"/>
                <w:highlight w:val="none"/>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trPr>
        <w:tc>
          <w:tcPr>
            <w:tcW w:w="733" w:type="dxa"/>
            <w:noWrap/>
            <w:vAlign w:val="center"/>
          </w:tcPr>
          <w:p>
            <w:pPr>
              <w:widowControl/>
              <w:jc w:val="center"/>
              <w:rPr>
                <w:rFonts w:ascii="??" w:hAnsi="??" w:cs="宋体"/>
                <w:kern w:val="0"/>
                <w:sz w:val="22"/>
                <w:highlight w:val="none"/>
              </w:rPr>
            </w:pPr>
            <w:r>
              <w:rPr>
                <w:rFonts w:ascii="??" w:hAnsi="??" w:cs="宋体"/>
                <w:kern w:val="0"/>
                <w:sz w:val="22"/>
                <w:highlight w:val="none"/>
              </w:rPr>
              <w:t>1</w:t>
            </w:r>
          </w:p>
        </w:tc>
        <w:tc>
          <w:tcPr>
            <w:tcW w:w="1552" w:type="dxa"/>
            <w:noWrap w:val="0"/>
            <w:vAlign w:val="center"/>
          </w:tcPr>
          <w:p>
            <w:pPr>
              <w:widowControl/>
              <w:jc w:val="center"/>
              <w:rPr>
                <w:rFonts w:ascii="??" w:hAnsi="??" w:cs="宋体"/>
                <w:kern w:val="0"/>
                <w:sz w:val="22"/>
                <w:highlight w:val="none"/>
              </w:rPr>
            </w:pPr>
            <w:r>
              <w:rPr>
                <w:rFonts w:ascii="??" w:hAnsi="??" w:cs="宋体"/>
                <w:kern w:val="0"/>
                <w:sz w:val="22"/>
                <w:highlight w:val="none"/>
              </w:rPr>
              <w:t>道路清扫保洁人员费用</w:t>
            </w:r>
          </w:p>
        </w:tc>
        <w:tc>
          <w:tcPr>
            <w:tcW w:w="8835" w:type="dxa"/>
            <w:noWrap w:val="0"/>
            <w:vAlign w:val="center"/>
          </w:tcPr>
          <w:p>
            <w:pPr>
              <w:widowControl/>
              <w:jc w:val="left"/>
              <w:rPr>
                <w:rFonts w:hint="eastAsia" w:ascii="??" w:hAnsi="??" w:eastAsia="宋体" w:cs="宋体"/>
                <w:kern w:val="0"/>
                <w:sz w:val="22"/>
                <w:highlight w:val="none"/>
                <w:lang w:eastAsia="zh-CN"/>
              </w:rPr>
            </w:pPr>
            <w:r>
              <w:rPr>
                <w:rFonts w:ascii="??" w:hAnsi="??" w:cs="宋体"/>
                <w:kern w:val="0"/>
                <w:sz w:val="22"/>
                <w:highlight w:val="none"/>
              </w:rPr>
              <w:t>1、路面无积存泥沙，路面现本色，无积水、无油渍、无口香糖、无裸露垃圾、无果皮塑料袋、无烟头纸屑、无废弃物，人行道边无杂草；按照环保要求以克论净。</w:t>
            </w:r>
          </w:p>
          <w:p>
            <w:pPr>
              <w:widowControl/>
              <w:jc w:val="left"/>
              <w:rPr>
                <w:rFonts w:hint="eastAsia" w:ascii="??" w:hAnsi="??" w:eastAsia="宋体" w:cs="宋体"/>
                <w:kern w:val="0"/>
                <w:sz w:val="22"/>
                <w:highlight w:val="none"/>
                <w:lang w:eastAsia="zh-CN"/>
              </w:rPr>
            </w:pPr>
            <w:r>
              <w:rPr>
                <w:rFonts w:ascii="??" w:hAnsi="??" w:cs="宋体"/>
                <w:kern w:val="0"/>
                <w:sz w:val="22"/>
                <w:highlight w:val="none"/>
              </w:rPr>
              <w:t>2、含一线环卫作业人员缴纳团体意外保险；</w:t>
            </w:r>
          </w:p>
          <w:p>
            <w:pPr>
              <w:widowControl/>
              <w:jc w:val="left"/>
              <w:rPr>
                <w:rFonts w:hint="eastAsia" w:ascii="??" w:hAnsi="??" w:eastAsia="宋体" w:cs="宋体"/>
                <w:kern w:val="0"/>
                <w:sz w:val="22"/>
                <w:highlight w:val="none"/>
                <w:lang w:eastAsia="zh-CN"/>
              </w:rPr>
            </w:pPr>
            <w:r>
              <w:rPr>
                <w:rFonts w:ascii="??" w:hAnsi="??" w:cs="宋体"/>
                <w:kern w:val="0"/>
                <w:sz w:val="22"/>
                <w:highlight w:val="none"/>
              </w:rPr>
              <w:t>3、含劳保用品，包括洗衣粉、消毒液、手套等物品；</w:t>
            </w:r>
          </w:p>
          <w:p>
            <w:pPr>
              <w:widowControl/>
              <w:jc w:val="left"/>
              <w:rPr>
                <w:rFonts w:hint="eastAsia" w:ascii="??" w:hAnsi="??" w:eastAsia="宋体" w:cs="宋体"/>
                <w:kern w:val="0"/>
                <w:sz w:val="22"/>
                <w:highlight w:val="none"/>
                <w:lang w:eastAsia="zh-CN"/>
              </w:rPr>
            </w:pPr>
            <w:r>
              <w:rPr>
                <w:rFonts w:ascii="??" w:hAnsi="??" w:cs="宋体"/>
                <w:kern w:val="0"/>
                <w:sz w:val="22"/>
                <w:highlight w:val="none"/>
              </w:rPr>
              <w:t>4、含环卫节、中秋节、春节的福利费用；</w:t>
            </w:r>
          </w:p>
          <w:p>
            <w:pPr>
              <w:widowControl/>
              <w:jc w:val="left"/>
              <w:rPr>
                <w:rFonts w:hint="eastAsia" w:ascii="??" w:hAnsi="??" w:eastAsia="宋体" w:cs="宋体"/>
                <w:kern w:val="0"/>
                <w:sz w:val="22"/>
                <w:highlight w:val="none"/>
                <w:lang w:eastAsia="zh-CN"/>
              </w:rPr>
            </w:pPr>
            <w:r>
              <w:rPr>
                <w:rFonts w:ascii="??" w:hAnsi="??" w:cs="宋体"/>
                <w:kern w:val="0"/>
                <w:sz w:val="22"/>
                <w:highlight w:val="none"/>
              </w:rPr>
              <w:t>5、所有人员配备统一标准的环卫三轮车，劳动工具及环卫服装等费用。</w:t>
            </w:r>
          </w:p>
          <w:p>
            <w:pPr>
              <w:widowControl/>
              <w:jc w:val="left"/>
              <w:rPr>
                <w:rFonts w:ascii="??" w:hAnsi="??" w:cs="宋体"/>
                <w:kern w:val="0"/>
                <w:sz w:val="22"/>
                <w:highlight w:val="none"/>
              </w:rPr>
            </w:pPr>
            <w:r>
              <w:rPr>
                <w:rFonts w:ascii="??" w:hAnsi="??" w:cs="宋体"/>
                <w:kern w:val="0"/>
                <w:sz w:val="22"/>
                <w:highlight w:val="none"/>
              </w:rPr>
              <w:t>6、标准参考《河南省城市环境卫生作业劳动定额》、《河南省城市环境卫生作业经费定额》</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项</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1</w:t>
            </w:r>
          </w:p>
        </w:tc>
        <w:tc>
          <w:tcPr>
            <w:tcW w:w="936" w:type="dxa"/>
            <w:noWrap/>
            <w:vAlign w:val="center"/>
          </w:tcPr>
          <w:p>
            <w:pPr>
              <w:widowControl/>
              <w:jc w:val="center"/>
              <w:rPr>
                <w:rFonts w:ascii="??" w:hAnsi="??" w:cs="宋体"/>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7" w:hRule="atLeast"/>
        </w:trPr>
        <w:tc>
          <w:tcPr>
            <w:tcW w:w="733" w:type="dxa"/>
            <w:noWrap/>
            <w:vAlign w:val="center"/>
          </w:tcPr>
          <w:p>
            <w:pPr>
              <w:widowControl/>
              <w:jc w:val="center"/>
              <w:rPr>
                <w:rFonts w:ascii="??" w:hAnsi="??" w:cs="宋体"/>
                <w:kern w:val="0"/>
                <w:sz w:val="22"/>
                <w:highlight w:val="none"/>
              </w:rPr>
            </w:pPr>
            <w:r>
              <w:rPr>
                <w:rFonts w:ascii="??" w:hAnsi="??" w:cs="宋体"/>
                <w:kern w:val="0"/>
                <w:sz w:val="22"/>
                <w:highlight w:val="none"/>
              </w:rPr>
              <w:t>2</w:t>
            </w:r>
          </w:p>
        </w:tc>
        <w:tc>
          <w:tcPr>
            <w:tcW w:w="1552" w:type="dxa"/>
            <w:noWrap w:val="0"/>
            <w:vAlign w:val="center"/>
          </w:tcPr>
          <w:p>
            <w:pPr>
              <w:widowControl/>
              <w:jc w:val="center"/>
              <w:rPr>
                <w:rFonts w:ascii="??" w:hAnsi="??" w:cs="宋体"/>
                <w:kern w:val="0"/>
                <w:sz w:val="22"/>
                <w:highlight w:val="none"/>
              </w:rPr>
            </w:pPr>
            <w:r>
              <w:rPr>
                <w:rFonts w:ascii="??" w:hAnsi="??" w:cs="宋体"/>
                <w:kern w:val="0"/>
                <w:sz w:val="22"/>
                <w:highlight w:val="none"/>
              </w:rPr>
              <w:t>机械化清扫费用</w:t>
            </w:r>
          </w:p>
        </w:tc>
        <w:tc>
          <w:tcPr>
            <w:tcW w:w="8835" w:type="dxa"/>
            <w:noWrap w:val="0"/>
            <w:vAlign w:val="center"/>
          </w:tcPr>
          <w:p>
            <w:pPr>
              <w:widowControl/>
              <w:jc w:val="left"/>
              <w:rPr>
                <w:rFonts w:hint="eastAsia" w:ascii="??" w:hAnsi="??" w:eastAsia="宋体" w:cs="宋体"/>
                <w:kern w:val="0"/>
                <w:sz w:val="22"/>
                <w:highlight w:val="none"/>
                <w:lang w:eastAsia="zh-CN"/>
              </w:rPr>
            </w:pPr>
            <w:r>
              <w:rPr>
                <w:rFonts w:ascii="??" w:hAnsi="??" w:cs="宋体"/>
                <w:kern w:val="0"/>
                <w:sz w:val="22"/>
                <w:highlight w:val="none"/>
              </w:rPr>
              <w:t>1、按照环保要求机械清扫每日3次；作业过程中不扬尘、不漏垃圾、清扫后路缘石无存积泥沙，地面干净整洁无污物；道路机械化作业率达到100%；</w:t>
            </w:r>
          </w:p>
          <w:p>
            <w:pPr>
              <w:widowControl/>
              <w:jc w:val="left"/>
              <w:rPr>
                <w:rFonts w:hint="eastAsia" w:ascii="??" w:hAnsi="??" w:eastAsia="宋体" w:cs="宋体"/>
                <w:kern w:val="0"/>
                <w:sz w:val="22"/>
                <w:highlight w:val="none"/>
                <w:lang w:eastAsia="zh-CN"/>
              </w:rPr>
            </w:pPr>
            <w:r>
              <w:rPr>
                <w:rFonts w:ascii="??" w:hAnsi="??" w:cs="宋体"/>
                <w:kern w:val="0"/>
                <w:sz w:val="22"/>
                <w:highlight w:val="none"/>
              </w:rPr>
              <w:t>2、包括车辆折旧费用、车辆消耗费用、车辆维修保养费用、车辆年检及保险费用；</w:t>
            </w:r>
          </w:p>
          <w:p>
            <w:pPr>
              <w:widowControl/>
              <w:jc w:val="left"/>
              <w:rPr>
                <w:rFonts w:hint="eastAsia" w:ascii="??" w:hAnsi="??" w:eastAsia="宋体" w:cs="宋体"/>
                <w:kern w:val="0"/>
                <w:sz w:val="22"/>
                <w:highlight w:val="none"/>
                <w:lang w:eastAsia="zh-CN"/>
              </w:rPr>
            </w:pPr>
            <w:r>
              <w:rPr>
                <w:rFonts w:ascii="??" w:hAnsi="??" w:cs="宋体"/>
                <w:kern w:val="0"/>
                <w:sz w:val="22"/>
                <w:highlight w:val="none"/>
              </w:rPr>
              <w:t>3、含一线环卫作业人员缴纳团体意外险、司机人员费用、劳保用品，包括洗衣粉、消毒液、手套等物品；环卫节、中秋节、春节的福利费用、环卫服装等。</w:t>
            </w:r>
          </w:p>
          <w:p>
            <w:pPr>
              <w:widowControl/>
              <w:jc w:val="left"/>
              <w:rPr>
                <w:rFonts w:ascii="??" w:hAnsi="??" w:cs="宋体"/>
                <w:kern w:val="0"/>
                <w:sz w:val="22"/>
                <w:highlight w:val="none"/>
              </w:rPr>
            </w:pPr>
            <w:r>
              <w:rPr>
                <w:rFonts w:ascii="??" w:hAnsi="??" w:cs="宋体"/>
                <w:kern w:val="0"/>
                <w:sz w:val="22"/>
                <w:highlight w:val="none"/>
              </w:rPr>
              <w:t>4、标准参考《河南省城市环境卫生作业劳动定额》、《河南省城市环境卫生作业经费定额》《城市房屋建筑和市政基础设施工程及道路扬尘污染防治标准》</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项</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1</w:t>
            </w:r>
          </w:p>
        </w:tc>
        <w:tc>
          <w:tcPr>
            <w:tcW w:w="936" w:type="dxa"/>
            <w:noWrap/>
            <w:vAlign w:val="center"/>
          </w:tcPr>
          <w:p>
            <w:pPr>
              <w:widowControl/>
              <w:jc w:val="center"/>
              <w:rPr>
                <w:rFonts w:ascii="??" w:hAnsi="??" w:cs="宋体"/>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7" w:hRule="atLeast"/>
        </w:trPr>
        <w:tc>
          <w:tcPr>
            <w:tcW w:w="733" w:type="dxa"/>
            <w:noWrap/>
            <w:vAlign w:val="center"/>
          </w:tcPr>
          <w:p>
            <w:pPr>
              <w:widowControl/>
              <w:jc w:val="center"/>
              <w:rPr>
                <w:rFonts w:ascii="??" w:hAnsi="??" w:cs="宋体"/>
                <w:kern w:val="0"/>
                <w:sz w:val="22"/>
                <w:highlight w:val="none"/>
              </w:rPr>
            </w:pPr>
            <w:r>
              <w:rPr>
                <w:rFonts w:ascii="??" w:hAnsi="??" w:cs="宋体"/>
                <w:kern w:val="0"/>
                <w:sz w:val="22"/>
                <w:highlight w:val="none"/>
              </w:rPr>
              <w:t>3</w:t>
            </w:r>
          </w:p>
        </w:tc>
        <w:tc>
          <w:tcPr>
            <w:tcW w:w="1552" w:type="dxa"/>
            <w:noWrap w:val="0"/>
            <w:vAlign w:val="center"/>
          </w:tcPr>
          <w:p>
            <w:pPr>
              <w:widowControl/>
              <w:jc w:val="center"/>
              <w:rPr>
                <w:rFonts w:ascii="??" w:hAnsi="??" w:cs="宋体"/>
                <w:kern w:val="0"/>
                <w:sz w:val="22"/>
                <w:highlight w:val="none"/>
              </w:rPr>
            </w:pPr>
            <w:r>
              <w:rPr>
                <w:rFonts w:ascii="??" w:hAnsi="??" w:cs="宋体"/>
                <w:kern w:val="0"/>
                <w:sz w:val="22"/>
                <w:highlight w:val="none"/>
              </w:rPr>
              <w:t>机械化冲洗、洒水费用</w:t>
            </w:r>
          </w:p>
        </w:tc>
        <w:tc>
          <w:tcPr>
            <w:tcW w:w="8835" w:type="dxa"/>
            <w:noWrap w:val="0"/>
            <w:vAlign w:val="center"/>
          </w:tcPr>
          <w:p>
            <w:pPr>
              <w:widowControl/>
              <w:jc w:val="left"/>
              <w:rPr>
                <w:rFonts w:hint="eastAsia" w:ascii="??" w:hAnsi="??" w:eastAsia="宋体" w:cs="宋体"/>
                <w:kern w:val="0"/>
                <w:sz w:val="22"/>
                <w:highlight w:val="none"/>
                <w:lang w:eastAsia="zh-CN"/>
              </w:rPr>
            </w:pPr>
            <w:r>
              <w:rPr>
                <w:rFonts w:ascii="??" w:hAnsi="??" w:cs="宋体"/>
                <w:kern w:val="0"/>
                <w:sz w:val="22"/>
                <w:highlight w:val="none"/>
              </w:rPr>
              <w:t>1、按照环保要求每日洒水10次，含隔离护栏清洗；</w:t>
            </w:r>
          </w:p>
          <w:p>
            <w:pPr>
              <w:widowControl/>
              <w:jc w:val="left"/>
              <w:rPr>
                <w:rFonts w:hint="eastAsia" w:ascii="??" w:hAnsi="??" w:eastAsia="宋体" w:cs="宋体"/>
                <w:kern w:val="0"/>
                <w:sz w:val="22"/>
                <w:highlight w:val="none"/>
                <w:lang w:eastAsia="zh-CN"/>
              </w:rPr>
            </w:pPr>
            <w:r>
              <w:rPr>
                <w:rFonts w:ascii="??" w:hAnsi="??" w:cs="宋体"/>
                <w:kern w:val="0"/>
                <w:sz w:val="22"/>
                <w:highlight w:val="none"/>
              </w:rPr>
              <w:t>2、包含车辆折旧费用、车辆消耗费用、车辆维修保养费用、车辆年检及保险费用；</w:t>
            </w:r>
          </w:p>
          <w:p>
            <w:pPr>
              <w:widowControl/>
              <w:jc w:val="left"/>
              <w:rPr>
                <w:rFonts w:hint="eastAsia" w:ascii="??" w:hAnsi="??" w:eastAsia="宋体" w:cs="宋体"/>
                <w:kern w:val="0"/>
                <w:sz w:val="22"/>
                <w:highlight w:val="none"/>
                <w:lang w:eastAsia="zh-CN"/>
              </w:rPr>
            </w:pPr>
            <w:r>
              <w:rPr>
                <w:rFonts w:ascii="??" w:hAnsi="??" w:cs="宋体"/>
                <w:kern w:val="0"/>
                <w:sz w:val="22"/>
                <w:highlight w:val="none"/>
              </w:rPr>
              <w:t>3、含一线环卫作业人员缴纳团体意外险、司机人员费用、劳保用品，包括洗衣粉、消毒液、手套等物品；环卫节、中秋节、春节的福利费用、环卫服装等。</w:t>
            </w:r>
          </w:p>
          <w:p>
            <w:pPr>
              <w:widowControl/>
              <w:jc w:val="left"/>
              <w:rPr>
                <w:rFonts w:hint="eastAsia" w:ascii="??" w:hAnsi="??" w:eastAsia="宋体" w:cs="宋体"/>
                <w:kern w:val="0"/>
                <w:sz w:val="22"/>
                <w:highlight w:val="none"/>
                <w:lang w:eastAsia="zh-CN"/>
              </w:rPr>
            </w:pPr>
            <w:r>
              <w:rPr>
                <w:rFonts w:ascii="??" w:hAnsi="??" w:cs="宋体"/>
                <w:kern w:val="0"/>
                <w:sz w:val="22"/>
                <w:highlight w:val="none"/>
              </w:rPr>
              <w:t>4、包括环卫车辆作业用水、中转站用水等</w:t>
            </w:r>
          </w:p>
          <w:p>
            <w:pPr>
              <w:widowControl/>
              <w:jc w:val="left"/>
              <w:rPr>
                <w:rFonts w:ascii="??" w:hAnsi="??" w:cs="宋体"/>
                <w:kern w:val="0"/>
                <w:sz w:val="22"/>
                <w:highlight w:val="none"/>
              </w:rPr>
            </w:pPr>
            <w:r>
              <w:rPr>
                <w:rFonts w:ascii="??" w:hAnsi="??" w:cs="宋体"/>
                <w:kern w:val="0"/>
                <w:sz w:val="22"/>
                <w:highlight w:val="none"/>
              </w:rPr>
              <w:t>5、标准参考《河南省城市环境卫生作业劳动定额》、《河南省城市环境卫生作业经费定额》《城市房屋建筑和市政基础设施工程及道路扬尘污染防治标准》</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项</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1</w:t>
            </w:r>
          </w:p>
        </w:tc>
        <w:tc>
          <w:tcPr>
            <w:tcW w:w="936" w:type="dxa"/>
            <w:noWrap/>
            <w:vAlign w:val="center"/>
          </w:tcPr>
          <w:p>
            <w:pPr>
              <w:widowControl/>
              <w:jc w:val="center"/>
              <w:rPr>
                <w:rFonts w:ascii="??" w:hAnsi="??" w:cs="宋体"/>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0" w:hRule="atLeast"/>
        </w:trPr>
        <w:tc>
          <w:tcPr>
            <w:tcW w:w="733" w:type="dxa"/>
            <w:noWrap/>
            <w:vAlign w:val="center"/>
          </w:tcPr>
          <w:p>
            <w:pPr>
              <w:widowControl/>
              <w:jc w:val="center"/>
              <w:rPr>
                <w:rFonts w:ascii="??" w:hAnsi="??" w:cs="宋体"/>
                <w:kern w:val="0"/>
                <w:sz w:val="22"/>
                <w:highlight w:val="none"/>
              </w:rPr>
            </w:pPr>
            <w:r>
              <w:rPr>
                <w:rFonts w:ascii="??" w:hAnsi="??" w:cs="宋体"/>
                <w:kern w:val="0"/>
                <w:sz w:val="22"/>
                <w:highlight w:val="none"/>
              </w:rPr>
              <w:t>4</w:t>
            </w:r>
          </w:p>
        </w:tc>
        <w:tc>
          <w:tcPr>
            <w:tcW w:w="1552" w:type="dxa"/>
            <w:noWrap w:val="0"/>
            <w:vAlign w:val="center"/>
          </w:tcPr>
          <w:p>
            <w:pPr>
              <w:widowControl/>
              <w:jc w:val="center"/>
              <w:rPr>
                <w:rFonts w:ascii="??" w:hAnsi="??" w:cs="宋体"/>
                <w:kern w:val="0"/>
                <w:sz w:val="22"/>
                <w:highlight w:val="none"/>
              </w:rPr>
            </w:pPr>
            <w:r>
              <w:rPr>
                <w:rFonts w:ascii="??" w:hAnsi="??" w:cs="宋体"/>
                <w:kern w:val="0"/>
                <w:sz w:val="22"/>
                <w:highlight w:val="none"/>
              </w:rPr>
              <w:t>垃圾收集清运费用</w:t>
            </w:r>
          </w:p>
        </w:tc>
        <w:tc>
          <w:tcPr>
            <w:tcW w:w="8835" w:type="dxa"/>
            <w:noWrap w:val="0"/>
            <w:vAlign w:val="center"/>
          </w:tcPr>
          <w:p>
            <w:pPr>
              <w:widowControl/>
              <w:jc w:val="left"/>
              <w:rPr>
                <w:rFonts w:hint="eastAsia" w:ascii="??" w:hAnsi="??" w:eastAsia="宋体" w:cs="宋体"/>
                <w:kern w:val="0"/>
                <w:sz w:val="22"/>
                <w:highlight w:val="none"/>
                <w:lang w:eastAsia="zh-CN"/>
              </w:rPr>
            </w:pPr>
            <w:r>
              <w:rPr>
                <w:rFonts w:ascii="??" w:hAnsi="??" w:cs="宋体"/>
                <w:kern w:val="0"/>
                <w:sz w:val="22"/>
                <w:highlight w:val="none"/>
              </w:rPr>
              <w:t>1、按环保要求标准对生活垃圾实行入户收集清运。</w:t>
            </w:r>
          </w:p>
          <w:p>
            <w:pPr>
              <w:widowControl/>
              <w:jc w:val="left"/>
              <w:rPr>
                <w:rFonts w:hint="eastAsia" w:ascii="??" w:hAnsi="??" w:eastAsia="宋体" w:cs="宋体"/>
                <w:kern w:val="0"/>
                <w:sz w:val="22"/>
                <w:highlight w:val="none"/>
                <w:lang w:eastAsia="zh-CN"/>
              </w:rPr>
            </w:pPr>
            <w:r>
              <w:rPr>
                <w:rFonts w:ascii="??" w:hAnsi="??" w:cs="宋体"/>
                <w:kern w:val="0"/>
                <w:sz w:val="22"/>
                <w:highlight w:val="none"/>
              </w:rPr>
              <w:t>2、包含车辆折旧费用、车辆消耗用、车辆维修保养费用、车辆年检及保险费用；</w:t>
            </w:r>
          </w:p>
          <w:p>
            <w:pPr>
              <w:widowControl/>
              <w:jc w:val="left"/>
              <w:rPr>
                <w:rFonts w:hint="eastAsia" w:ascii="??" w:hAnsi="??" w:eastAsia="宋体" w:cs="宋体"/>
                <w:kern w:val="0"/>
                <w:sz w:val="22"/>
                <w:highlight w:val="none"/>
                <w:lang w:eastAsia="zh-CN"/>
              </w:rPr>
            </w:pPr>
            <w:r>
              <w:rPr>
                <w:rFonts w:ascii="??" w:hAnsi="??" w:cs="宋体"/>
                <w:kern w:val="0"/>
                <w:sz w:val="22"/>
                <w:highlight w:val="none"/>
              </w:rPr>
              <w:t>3、含一线环卫作业人员缴纳团体意外险、司机人员费用、劳保用品，包括洗衣粉、消毒液、手套等物品；环卫节、中秋节、春节的福利费用、环卫服装等。</w:t>
            </w:r>
          </w:p>
          <w:p>
            <w:pPr>
              <w:widowControl/>
              <w:jc w:val="left"/>
              <w:rPr>
                <w:rFonts w:ascii="??" w:hAnsi="??" w:cs="宋体"/>
                <w:kern w:val="0"/>
                <w:sz w:val="22"/>
                <w:highlight w:val="none"/>
              </w:rPr>
            </w:pPr>
            <w:r>
              <w:rPr>
                <w:rFonts w:ascii="??" w:hAnsi="??" w:cs="宋体"/>
                <w:kern w:val="0"/>
                <w:sz w:val="22"/>
                <w:highlight w:val="none"/>
              </w:rPr>
              <w:t>4、标准参考《河南省城市环境卫生作业劳动定额》、《河南省城市环境卫生作业经费定额》</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项</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1</w:t>
            </w:r>
          </w:p>
        </w:tc>
        <w:tc>
          <w:tcPr>
            <w:tcW w:w="936" w:type="dxa"/>
            <w:noWrap/>
            <w:vAlign w:val="center"/>
          </w:tcPr>
          <w:p>
            <w:pPr>
              <w:widowControl/>
              <w:jc w:val="center"/>
              <w:rPr>
                <w:rFonts w:ascii="??" w:hAnsi="??" w:cs="宋体"/>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8" w:hRule="atLeast"/>
        </w:trPr>
        <w:tc>
          <w:tcPr>
            <w:tcW w:w="733" w:type="dxa"/>
            <w:noWrap/>
            <w:vAlign w:val="center"/>
          </w:tcPr>
          <w:p>
            <w:pPr>
              <w:widowControl/>
              <w:jc w:val="center"/>
              <w:rPr>
                <w:rFonts w:ascii="??" w:hAnsi="??" w:cs="宋体"/>
                <w:kern w:val="0"/>
                <w:sz w:val="22"/>
                <w:highlight w:val="none"/>
              </w:rPr>
            </w:pPr>
            <w:r>
              <w:rPr>
                <w:rFonts w:ascii="??" w:hAnsi="??" w:cs="宋体"/>
                <w:kern w:val="0"/>
                <w:sz w:val="22"/>
                <w:highlight w:val="none"/>
              </w:rPr>
              <w:t>5</w:t>
            </w:r>
          </w:p>
        </w:tc>
        <w:tc>
          <w:tcPr>
            <w:tcW w:w="1552" w:type="dxa"/>
            <w:noWrap w:val="0"/>
            <w:vAlign w:val="center"/>
          </w:tcPr>
          <w:p>
            <w:pPr>
              <w:widowControl/>
              <w:jc w:val="center"/>
              <w:rPr>
                <w:rFonts w:ascii="??" w:hAnsi="??" w:cs="宋体"/>
                <w:kern w:val="0"/>
                <w:sz w:val="22"/>
                <w:highlight w:val="none"/>
              </w:rPr>
            </w:pPr>
            <w:r>
              <w:rPr>
                <w:rFonts w:ascii="??" w:hAnsi="??" w:cs="宋体"/>
                <w:kern w:val="0"/>
                <w:sz w:val="22"/>
                <w:highlight w:val="none"/>
              </w:rPr>
              <w:t>中转</w:t>
            </w:r>
            <w:r>
              <w:rPr>
                <w:rFonts w:hint="eastAsia" w:ascii="??" w:hAnsi="??" w:eastAsia="宋体" w:cs="宋体"/>
                <w:kern w:val="0"/>
                <w:sz w:val="22"/>
                <w:highlight w:val="none"/>
                <w:lang w:val="en-US" w:eastAsia="zh-CN"/>
              </w:rPr>
              <w:t>箱</w:t>
            </w:r>
            <w:r>
              <w:rPr>
                <w:rFonts w:ascii="??" w:hAnsi="??" w:cs="宋体"/>
                <w:kern w:val="0"/>
                <w:sz w:val="22"/>
                <w:highlight w:val="none"/>
              </w:rPr>
              <w:t>管理费用</w:t>
            </w:r>
          </w:p>
        </w:tc>
        <w:tc>
          <w:tcPr>
            <w:tcW w:w="8835" w:type="dxa"/>
            <w:noWrap w:val="0"/>
            <w:vAlign w:val="center"/>
          </w:tcPr>
          <w:p>
            <w:pPr>
              <w:widowControl/>
              <w:jc w:val="left"/>
              <w:rPr>
                <w:rFonts w:hint="eastAsia" w:ascii="??" w:hAnsi="??" w:eastAsia="宋体" w:cs="宋体"/>
                <w:kern w:val="0"/>
                <w:sz w:val="22"/>
                <w:highlight w:val="none"/>
                <w:lang w:eastAsia="zh-CN"/>
              </w:rPr>
            </w:pPr>
            <w:r>
              <w:rPr>
                <w:rFonts w:hint="eastAsia" w:ascii="??" w:hAnsi="??" w:eastAsia="宋体" w:cs="宋体"/>
                <w:kern w:val="0"/>
                <w:sz w:val="22"/>
                <w:highlight w:val="none"/>
                <w:lang w:val="en-US" w:eastAsia="zh-CN"/>
              </w:rPr>
              <w:t>1</w:t>
            </w:r>
            <w:r>
              <w:rPr>
                <w:rFonts w:ascii="??" w:hAnsi="??" w:cs="宋体"/>
                <w:kern w:val="0"/>
                <w:sz w:val="22"/>
                <w:highlight w:val="none"/>
              </w:rPr>
              <w:t>、中转箱的管理费用；</w:t>
            </w:r>
          </w:p>
          <w:p>
            <w:pPr>
              <w:widowControl/>
              <w:jc w:val="left"/>
              <w:rPr>
                <w:rFonts w:hint="eastAsia" w:ascii="??" w:hAnsi="??" w:eastAsia="宋体" w:cs="宋体"/>
                <w:kern w:val="0"/>
                <w:sz w:val="22"/>
                <w:highlight w:val="none"/>
                <w:lang w:eastAsia="zh-CN"/>
              </w:rPr>
            </w:pPr>
            <w:r>
              <w:rPr>
                <w:rFonts w:ascii="??" w:hAnsi="??" w:cs="宋体"/>
                <w:kern w:val="0"/>
                <w:sz w:val="22"/>
                <w:highlight w:val="none"/>
              </w:rPr>
              <w:t>含一线环卫作业人员缴纳团体意外险、司机人员费用、劳保用品，包括洗衣粉、消毒液、手套等物品；环卫节、中秋节、春节的福利费用、环卫服装等。</w:t>
            </w:r>
          </w:p>
          <w:p>
            <w:pPr>
              <w:widowControl/>
              <w:jc w:val="left"/>
              <w:rPr>
                <w:rFonts w:ascii="??" w:hAnsi="??" w:cs="宋体"/>
                <w:kern w:val="0"/>
                <w:sz w:val="22"/>
                <w:highlight w:val="none"/>
              </w:rPr>
            </w:pPr>
            <w:r>
              <w:rPr>
                <w:rFonts w:hint="eastAsia" w:ascii="??" w:hAnsi="??" w:eastAsia="宋体" w:cs="宋体"/>
                <w:kern w:val="0"/>
                <w:sz w:val="22"/>
                <w:highlight w:val="none"/>
                <w:lang w:val="en-US" w:eastAsia="zh-CN"/>
              </w:rPr>
              <w:t>2</w:t>
            </w:r>
            <w:r>
              <w:rPr>
                <w:rFonts w:ascii="??" w:hAnsi="??" w:cs="宋体"/>
                <w:kern w:val="0"/>
                <w:sz w:val="22"/>
                <w:highlight w:val="none"/>
              </w:rPr>
              <w:t>、标准参考《河南省城市环境卫生作业劳动定额》、《河南省城市环境卫生作业经费定额》</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项</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1</w:t>
            </w:r>
          </w:p>
        </w:tc>
        <w:tc>
          <w:tcPr>
            <w:tcW w:w="936" w:type="dxa"/>
            <w:noWrap/>
            <w:vAlign w:val="center"/>
          </w:tcPr>
          <w:p>
            <w:pPr>
              <w:widowControl/>
              <w:jc w:val="center"/>
              <w:rPr>
                <w:rFonts w:ascii="??" w:hAnsi="??" w:cs="宋体"/>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733" w:type="dxa"/>
            <w:noWrap/>
            <w:vAlign w:val="center"/>
          </w:tcPr>
          <w:p>
            <w:pPr>
              <w:widowControl/>
              <w:jc w:val="center"/>
              <w:rPr>
                <w:rFonts w:ascii="??" w:hAnsi="??" w:cs="宋体"/>
                <w:kern w:val="0"/>
                <w:sz w:val="22"/>
                <w:highlight w:val="none"/>
              </w:rPr>
            </w:pPr>
            <w:r>
              <w:rPr>
                <w:rFonts w:ascii="??" w:hAnsi="??" w:cs="宋体"/>
                <w:kern w:val="0"/>
                <w:sz w:val="22"/>
                <w:highlight w:val="none"/>
              </w:rPr>
              <w:t>6</w:t>
            </w:r>
          </w:p>
        </w:tc>
        <w:tc>
          <w:tcPr>
            <w:tcW w:w="1552" w:type="dxa"/>
            <w:noWrap w:val="0"/>
            <w:vAlign w:val="center"/>
          </w:tcPr>
          <w:p>
            <w:pPr>
              <w:widowControl/>
              <w:jc w:val="center"/>
              <w:rPr>
                <w:rFonts w:ascii="??" w:hAnsi="??" w:cs="宋体"/>
                <w:kern w:val="0"/>
                <w:sz w:val="22"/>
                <w:highlight w:val="none"/>
              </w:rPr>
            </w:pPr>
            <w:r>
              <w:rPr>
                <w:rFonts w:ascii="??" w:hAnsi="??" w:cs="宋体"/>
                <w:kern w:val="0"/>
                <w:sz w:val="22"/>
                <w:highlight w:val="none"/>
              </w:rPr>
              <w:t>管理人员费用</w:t>
            </w:r>
            <w:r>
              <w:rPr>
                <w:rFonts w:hint="eastAsia" w:ascii="??" w:hAnsi="??" w:cs="宋体"/>
                <w:kern w:val="0"/>
                <w:sz w:val="22"/>
                <w:highlight w:val="none"/>
              </w:rPr>
              <w:t>（包含在</w:t>
            </w:r>
            <w:r>
              <w:rPr>
                <w:rFonts w:ascii="??" w:hAnsi="??" w:cs="宋体"/>
                <w:kern w:val="0"/>
                <w:sz w:val="22"/>
                <w:highlight w:val="none"/>
              </w:rPr>
              <w:t>企业管理费用</w:t>
            </w:r>
            <w:r>
              <w:rPr>
                <w:rFonts w:hint="eastAsia" w:ascii="??" w:hAnsi="??" w:cs="宋体"/>
                <w:kern w:val="0"/>
                <w:sz w:val="22"/>
                <w:highlight w:val="none"/>
              </w:rPr>
              <w:t>中）</w:t>
            </w:r>
          </w:p>
        </w:tc>
        <w:tc>
          <w:tcPr>
            <w:tcW w:w="8835" w:type="dxa"/>
            <w:noWrap w:val="0"/>
            <w:vAlign w:val="center"/>
          </w:tcPr>
          <w:p>
            <w:pPr>
              <w:widowControl/>
              <w:jc w:val="left"/>
              <w:rPr>
                <w:rFonts w:hint="eastAsia" w:ascii="??" w:hAnsi="??" w:eastAsia="宋体" w:cs="宋体"/>
                <w:kern w:val="0"/>
                <w:sz w:val="22"/>
                <w:highlight w:val="none"/>
                <w:lang w:eastAsia="zh-CN"/>
              </w:rPr>
            </w:pPr>
            <w:r>
              <w:rPr>
                <w:rFonts w:ascii="??" w:hAnsi="??" w:cs="宋体"/>
                <w:kern w:val="0"/>
                <w:sz w:val="22"/>
                <w:highlight w:val="none"/>
              </w:rPr>
              <w:t>1、含管理人员工资、社保、福利</w:t>
            </w:r>
          </w:p>
          <w:p>
            <w:pPr>
              <w:widowControl/>
              <w:jc w:val="left"/>
              <w:rPr>
                <w:rFonts w:hint="eastAsia" w:ascii="??" w:hAnsi="??" w:eastAsia="宋体" w:cs="宋体"/>
                <w:kern w:val="0"/>
                <w:sz w:val="22"/>
                <w:highlight w:val="none"/>
                <w:lang w:eastAsia="zh-CN"/>
              </w:rPr>
            </w:pPr>
            <w:r>
              <w:rPr>
                <w:rFonts w:ascii="??" w:hAnsi="??" w:cs="宋体"/>
                <w:kern w:val="0"/>
                <w:sz w:val="22"/>
                <w:highlight w:val="none"/>
              </w:rPr>
              <w:t>2、含办公费用、车辆配备数字化监控设备使用及服务费及应急费用；</w:t>
            </w:r>
          </w:p>
          <w:p>
            <w:pPr>
              <w:widowControl/>
              <w:jc w:val="left"/>
              <w:rPr>
                <w:rFonts w:ascii="??" w:hAnsi="??" w:cs="宋体"/>
                <w:kern w:val="0"/>
                <w:sz w:val="22"/>
                <w:highlight w:val="none"/>
              </w:rPr>
            </w:pPr>
            <w:r>
              <w:rPr>
                <w:rFonts w:ascii="??" w:hAnsi="??" w:cs="宋体"/>
                <w:kern w:val="0"/>
                <w:sz w:val="22"/>
                <w:highlight w:val="none"/>
              </w:rPr>
              <w:t>3、标准参考《河南省城市环境卫生作业经费定额》</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项</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1</w:t>
            </w:r>
          </w:p>
        </w:tc>
        <w:tc>
          <w:tcPr>
            <w:tcW w:w="936" w:type="dxa"/>
            <w:noWrap/>
            <w:vAlign w:val="center"/>
          </w:tcPr>
          <w:p>
            <w:pPr>
              <w:widowControl/>
              <w:jc w:val="center"/>
              <w:rPr>
                <w:rFonts w:ascii="??" w:hAnsi="??" w:cs="宋体"/>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33" w:type="dxa"/>
            <w:noWrap/>
            <w:vAlign w:val="center"/>
          </w:tcPr>
          <w:p>
            <w:pPr>
              <w:widowControl/>
              <w:jc w:val="center"/>
              <w:rPr>
                <w:rFonts w:ascii="??" w:hAnsi="??" w:cs="宋体"/>
                <w:kern w:val="0"/>
                <w:sz w:val="22"/>
                <w:highlight w:val="none"/>
              </w:rPr>
            </w:pPr>
            <w:r>
              <w:rPr>
                <w:rFonts w:ascii="??" w:hAnsi="??" w:cs="宋体"/>
                <w:kern w:val="0"/>
                <w:sz w:val="22"/>
                <w:highlight w:val="none"/>
              </w:rPr>
              <w:t>7</w:t>
            </w:r>
          </w:p>
        </w:tc>
        <w:tc>
          <w:tcPr>
            <w:tcW w:w="1552" w:type="dxa"/>
            <w:noWrap w:val="0"/>
            <w:vAlign w:val="center"/>
          </w:tcPr>
          <w:p>
            <w:pPr>
              <w:widowControl/>
              <w:jc w:val="center"/>
              <w:rPr>
                <w:rFonts w:ascii="??" w:hAnsi="??" w:cs="宋体"/>
                <w:kern w:val="0"/>
                <w:sz w:val="22"/>
                <w:highlight w:val="none"/>
              </w:rPr>
            </w:pPr>
            <w:r>
              <w:rPr>
                <w:rFonts w:ascii="??" w:hAnsi="??" w:cs="宋体"/>
                <w:kern w:val="0"/>
                <w:sz w:val="22"/>
                <w:highlight w:val="none"/>
              </w:rPr>
              <w:t>辖区内清理小广告费用</w:t>
            </w:r>
          </w:p>
        </w:tc>
        <w:tc>
          <w:tcPr>
            <w:tcW w:w="8835" w:type="dxa"/>
            <w:noWrap w:val="0"/>
            <w:vAlign w:val="center"/>
          </w:tcPr>
          <w:p>
            <w:pPr>
              <w:widowControl/>
              <w:jc w:val="left"/>
              <w:rPr>
                <w:rFonts w:hint="eastAsia" w:ascii="??" w:hAnsi="??" w:eastAsia="宋体" w:cs="宋体"/>
                <w:kern w:val="0"/>
                <w:sz w:val="22"/>
                <w:highlight w:val="none"/>
                <w:lang w:val="en-US" w:eastAsia="zh-CN"/>
              </w:rPr>
            </w:pPr>
            <w:r>
              <w:rPr>
                <w:rFonts w:ascii="??" w:hAnsi="??" w:cs="宋体"/>
                <w:kern w:val="0"/>
                <w:sz w:val="22"/>
                <w:highlight w:val="none"/>
              </w:rPr>
              <w:t>包括标段范围内所有道路两侧建筑物、公共设施上可视范围内各类小广告、牛皮癣等不文明张贴物</w:t>
            </w:r>
            <w:r>
              <w:rPr>
                <w:rFonts w:hint="eastAsia" w:ascii="??" w:hAnsi="??" w:eastAsia="宋体" w:cs="宋体"/>
                <w:kern w:val="0"/>
                <w:sz w:val="22"/>
                <w:highlight w:val="none"/>
                <w:lang w:eastAsia="zh-CN"/>
              </w:rPr>
              <w:t>。</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项</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1</w:t>
            </w:r>
          </w:p>
        </w:tc>
        <w:tc>
          <w:tcPr>
            <w:tcW w:w="936" w:type="dxa"/>
            <w:noWrap/>
            <w:vAlign w:val="center"/>
          </w:tcPr>
          <w:p>
            <w:pPr>
              <w:widowControl/>
              <w:jc w:val="center"/>
              <w:rPr>
                <w:rFonts w:ascii="??" w:hAnsi="??" w:cs="宋体"/>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33" w:type="dxa"/>
            <w:noWrap/>
            <w:vAlign w:val="center"/>
          </w:tcPr>
          <w:p>
            <w:pPr>
              <w:widowControl/>
              <w:jc w:val="center"/>
              <w:rPr>
                <w:rFonts w:ascii="??" w:hAnsi="??" w:cs="宋体"/>
                <w:kern w:val="0"/>
                <w:sz w:val="22"/>
                <w:highlight w:val="none"/>
              </w:rPr>
            </w:pPr>
            <w:r>
              <w:rPr>
                <w:rFonts w:ascii="??" w:hAnsi="??" w:cs="宋体"/>
                <w:kern w:val="0"/>
                <w:sz w:val="22"/>
                <w:highlight w:val="none"/>
              </w:rPr>
              <w:t>8</w:t>
            </w:r>
          </w:p>
        </w:tc>
        <w:tc>
          <w:tcPr>
            <w:tcW w:w="1552" w:type="dxa"/>
            <w:noWrap w:val="0"/>
            <w:vAlign w:val="center"/>
          </w:tcPr>
          <w:p>
            <w:pPr>
              <w:widowControl/>
              <w:jc w:val="center"/>
              <w:rPr>
                <w:rFonts w:ascii="??" w:hAnsi="??" w:cs="宋体"/>
                <w:kern w:val="0"/>
                <w:sz w:val="22"/>
                <w:highlight w:val="none"/>
              </w:rPr>
            </w:pPr>
            <w:r>
              <w:rPr>
                <w:rFonts w:ascii="??" w:hAnsi="??" w:cs="宋体"/>
                <w:kern w:val="0"/>
                <w:sz w:val="22"/>
                <w:highlight w:val="none"/>
              </w:rPr>
              <w:t>突发事件应急保障、除雪。</w:t>
            </w:r>
          </w:p>
        </w:tc>
        <w:tc>
          <w:tcPr>
            <w:tcW w:w="8835" w:type="dxa"/>
            <w:noWrap w:val="0"/>
            <w:vAlign w:val="center"/>
          </w:tcPr>
          <w:p>
            <w:pPr>
              <w:widowControl/>
              <w:jc w:val="left"/>
              <w:rPr>
                <w:rFonts w:ascii="??" w:hAnsi="??" w:cs="宋体"/>
                <w:kern w:val="0"/>
                <w:sz w:val="22"/>
                <w:highlight w:val="none"/>
              </w:rPr>
            </w:pPr>
            <w:r>
              <w:rPr>
                <w:rFonts w:ascii="??" w:hAnsi="??" w:cs="宋体"/>
                <w:kern w:val="0"/>
                <w:sz w:val="22"/>
                <w:highlight w:val="none"/>
              </w:rPr>
              <w:t>突发事件应急保障用铲车、机动预备人员费用；预备3T除雪盐用于融雪、配备3个可拆卸式除雪铲；</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项</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1</w:t>
            </w:r>
          </w:p>
        </w:tc>
        <w:tc>
          <w:tcPr>
            <w:tcW w:w="936" w:type="dxa"/>
            <w:noWrap/>
            <w:vAlign w:val="center"/>
          </w:tcPr>
          <w:p>
            <w:pPr>
              <w:widowControl/>
              <w:jc w:val="center"/>
              <w:rPr>
                <w:rFonts w:ascii="??" w:hAnsi="??" w:cs="宋体"/>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33" w:type="dxa"/>
            <w:noWrap/>
            <w:vAlign w:val="center"/>
          </w:tcPr>
          <w:p>
            <w:pPr>
              <w:widowControl/>
              <w:jc w:val="center"/>
              <w:rPr>
                <w:rFonts w:ascii="??" w:hAnsi="??" w:cs="宋体"/>
                <w:kern w:val="0"/>
                <w:sz w:val="22"/>
                <w:highlight w:val="none"/>
              </w:rPr>
            </w:pPr>
            <w:r>
              <w:rPr>
                <w:rFonts w:hint="eastAsia" w:ascii="??" w:hAnsi="??" w:cs="宋体"/>
                <w:kern w:val="0"/>
                <w:sz w:val="22"/>
                <w:highlight w:val="none"/>
              </w:rPr>
              <w:t>9</w:t>
            </w:r>
          </w:p>
        </w:tc>
        <w:tc>
          <w:tcPr>
            <w:tcW w:w="1552" w:type="dxa"/>
            <w:noWrap w:val="0"/>
            <w:vAlign w:val="center"/>
          </w:tcPr>
          <w:p>
            <w:pPr>
              <w:widowControl/>
              <w:jc w:val="center"/>
              <w:rPr>
                <w:rFonts w:ascii="??" w:hAnsi="??" w:cs="宋体"/>
                <w:kern w:val="0"/>
                <w:sz w:val="22"/>
                <w:highlight w:val="none"/>
              </w:rPr>
            </w:pPr>
            <w:r>
              <w:rPr>
                <w:rFonts w:ascii="??" w:hAnsi="??" w:cs="宋体"/>
                <w:kern w:val="0"/>
                <w:sz w:val="22"/>
                <w:highlight w:val="none"/>
              </w:rPr>
              <w:t>直接费小计</w:t>
            </w:r>
          </w:p>
        </w:tc>
        <w:tc>
          <w:tcPr>
            <w:tcW w:w="8835" w:type="dxa"/>
            <w:noWrap w:val="0"/>
            <w:vAlign w:val="center"/>
          </w:tcPr>
          <w:p>
            <w:pPr>
              <w:widowControl/>
              <w:jc w:val="center"/>
              <w:rPr>
                <w:rFonts w:ascii="??" w:hAnsi="??" w:cs="宋体"/>
                <w:kern w:val="0"/>
                <w:sz w:val="22"/>
                <w:highlight w:val="none"/>
              </w:rPr>
            </w:pPr>
            <w:r>
              <w:rPr>
                <w:rFonts w:ascii="??" w:hAnsi="??" w:cs="宋体"/>
                <w:kern w:val="0"/>
                <w:sz w:val="22"/>
                <w:highlight w:val="none"/>
              </w:rPr>
              <w:t>1+2+3+4+5+6+7</w:t>
            </w:r>
            <w:r>
              <w:rPr>
                <w:rFonts w:hint="eastAsia" w:ascii="??" w:hAnsi="??" w:cs="宋体"/>
                <w:kern w:val="0"/>
                <w:sz w:val="22"/>
                <w:highlight w:val="none"/>
              </w:rPr>
              <w:t>+8</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项</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1</w:t>
            </w:r>
          </w:p>
        </w:tc>
        <w:tc>
          <w:tcPr>
            <w:tcW w:w="936" w:type="dxa"/>
            <w:noWrap/>
            <w:vAlign w:val="center"/>
          </w:tcPr>
          <w:p>
            <w:pPr>
              <w:widowControl/>
              <w:jc w:val="center"/>
              <w:rPr>
                <w:rFonts w:ascii="??" w:hAnsi="??" w:cs="宋体"/>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33" w:type="dxa"/>
            <w:noWrap/>
            <w:vAlign w:val="center"/>
          </w:tcPr>
          <w:p>
            <w:pPr>
              <w:widowControl/>
              <w:jc w:val="center"/>
              <w:rPr>
                <w:rFonts w:ascii="??" w:hAnsi="??" w:cs="宋体"/>
                <w:kern w:val="0"/>
                <w:sz w:val="22"/>
                <w:highlight w:val="none"/>
              </w:rPr>
            </w:pPr>
            <w:r>
              <w:rPr>
                <w:rFonts w:hint="eastAsia" w:ascii="??" w:hAnsi="??" w:cs="宋体"/>
                <w:kern w:val="0"/>
                <w:sz w:val="22"/>
                <w:highlight w:val="none"/>
              </w:rPr>
              <w:t>10</w:t>
            </w:r>
          </w:p>
        </w:tc>
        <w:tc>
          <w:tcPr>
            <w:tcW w:w="1552" w:type="dxa"/>
            <w:noWrap/>
            <w:vAlign w:val="center"/>
          </w:tcPr>
          <w:p>
            <w:pPr>
              <w:widowControl/>
              <w:jc w:val="center"/>
              <w:rPr>
                <w:rFonts w:ascii="??" w:hAnsi="??" w:cs="宋体"/>
                <w:kern w:val="0"/>
                <w:sz w:val="22"/>
                <w:highlight w:val="none"/>
              </w:rPr>
            </w:pPr>
            <w:r>
              <w:rPr>
                <w:rFonts w:ascii="??" w:hAnsi="??" w:cs="宋体"/>
                <w:kern w:val="0"/>
                <w:sz w:val="22"/>
                <w:highlight w:val="none"/>
              </w:rPr>
              <w:t>企业管理费用</w:t>
            </w:r>
          </w:p>
        </w:tc>
        <w:tc>
          <w:tcPr>
            <w:tcW w:w="8835" w:type="dxa"/>
            <w:noWrap/>
            <w:vAlign w:val="center"/>
          </w:tcPr>
          <w:p>
            <w:pPr>
              <w:widowControl/>
              <w:jc w:val="center"/>
              <w:rPr>
                <w:rFonts w:ascii="??" w:hAnsi="??" w:cs="宋体"/>
                <w:kern w:val="0"/>
                <w:sz w:val="22"/>
                <w:highlight w:val="none"/>
              </w:rPr>
            </w:pPr>
            <w:r>
              <w:rPr>
                <w:rFonts w:ascii="??" w:hAnsi="??" w:cs="宋体"/>
                <w:kern w:val="0"/>
                <w:sz w:val="22"/>
                <w:highlight w:val="none"/>
              </w:rPr>
              <w:t>　</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项</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1</w:t>
            </w:r>
          </w:p>
        </w:tc>
        <w:tc>
          <w:tcPr>
            <w:tcW w:w="936" w:type="dxa"/>
            <w:noWrap/>
            <w:vAlign w:val="center"/>
          </w:tcPr>
          <w:p>
            <w:pPr>
              <w:widowControl/>
              <w:jc w:val="center"/>
              <w:rPr>
                <w:rFonts w:ascii="??" w:hAnsi="??" w:cs="宋体"/>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33" w:type="dxa"/>
            <w:noWrap/>
            <w:vAlign w:val="center"/>
          </w:tcPr>
          <w:p>
            <w:pPr>
              <w:widowControl/>
              <w:jc w:val="center"/>
              <w:rPr>
                <w:rFonts w:ascii="??" w:hAnsi="??" w:cs="宋体"/>
                <w:kern w:val="0"/>
                <w:sz w:val="22"/>
                <w:highlight w:val="none"/>
              </w:rPr>
            </w:pPr>
            <w:r>
              <w:rPr>
                <w:rFonts w:ascii="??" w:hAnsi="??" w:cs="宋体"/>
                <w:kern w:val="0"/>
                <w:sz w:val="22"/>
                <w:highlight w:val="none"/>
              </w:rPr>
              <w:t>1</w:t>
            </w:r>
            <w:r>
              <w:rPr>
                <w:rFonts w:hint="eastAsia" w:ascii="??" w:hAnsi="??" w:cs="宋体"/>
                <w:kern w:val="0"/>
                <w:sz w:val="22"/>
                <w:highlight w:val="none"/>
              </w:rPr>
              <w:t>1</w:t>
            </w:r>
          </w:p>
        </w:tc>
        <w:tc>
          <w:tcPr>
            <w:tcW w:w="1552" w:type="dxa"/>
            <w:noWrap/>
            <w:vAlign w:val="center"/>
          </w:tcPr>
          <w:p>
            <w:pPr>
              <w:widowControl/>
              <w:jc w:val="center"/>
              <w:rPr>
                <w:rFonts w:ascii="??" w:hAnsi="??" w:cs="宋体"/>
                <w:kern w:val="0"/>
                <w:sz w:val="22"/>
                <w:highlight w:val="none"/>
              </w:rPr>
            </w:pPr>
            <w:r>
              <w:rPr>
                <w:rFonts w:ascii="??" w:hAnsi="??" w:cs="宋体"/>
                <w:kern w:val="0"/>
                <w:sz w:val="22"/>
                <w:highlight w:val="none"/>
              </w:rPr>
              <w:t>利润</w:t>
            </w:r>
          </w:p>
        </w:tc>
        <w:tc>
          <w:tcPr>
            <w:tcW w:w="8835" w:type="dxa"/>
            <w:noWrap/>
            <w:vAlign w:val="center"/>
          </w:tcPr>
          <w:p>
            <w:pPr>
              <w:widowControl/>
              <w:jc w:val="center"/>
              <w:rPr>
                <w:rFonts w:ascii="??" w:hAnsi="??" w:cs="宋体"/>
                <w:kern w:val="0"/>
                <w:sz w:val="22"/>
                <w:highlight w:val="none"/>
              </w:rPr>
            </w:pPr>
            <w:r>
              <w:rPr>
                <w:rFonts w:ascii="??" w:hAnsi="??" w:cs="宋体"/>
                <w:kern w:val="0"/>
                <w:sz w:val="22"/>
                <w:highlight w:val="none"/>
              </w:rPr>
              <w:t>　</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项</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1</w:t>
            </w:r>
          </w:p>
        </w:tc>
        <w:tc>
          <w:tcPr>
            <w:tcW w:w="936" w:type="dxa"/>
            <w:noWrap/>
            <w:vAlign w:val="center"/>
          </w:tcPr>
          <w:p>
            <w:pPr>
              <w:widowControl/>
              <w:jc w:val="center"/>
              <w:rPr>
                <w:rFonts w:ascii="??" w:hAnsi="??" w:cs="宋体"/>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33" w:type="dxa"/>
            <w:noWrap/>
            <w:vAlign w:val="center"/>
          </w:tcPr>
          <w:p>
            <w:pPr>
              <w:widowControl/>
              <w:jc w:val="center"/>
              <w:rPr>
                <w:rFonts w:ascii="??" w:hAnsi="??" w:cs="宋体"/>
                <w:kern w:val="0"/>
                <w:sz w:val="22"/>
                <w:highlight w:val="none"/>
              </w:rPr>
            </w:pPr>
            <w:r>
              <w:rPr>
                <w:rFonts w:ascii="??" w:hAnsi="??" w:cs="宋体"/>
                <w:kern w:val="0"/>
                <w:sz w:val="22"/>
                <w:highlight w:val="none"/>
              </w:rPr>
              <w:t>1</w:t>
            </w:r>
            <w:r>
              <w:rPr>
                <w:rFonts w:hint="eastAsia" w:ascii="??" w:hAnsi="??" w:cs="宋体"/>
                <w:kern w:val="0"/>
                <w:sz w:val="22"/>
                <w:highlight w:val="none"/>
              </w:rPr>
              <w:t>2</w:t>
            </w:r>
          </w:p>
        </w:tc>
        <w:tc>
          <w:tcPr>
            <w:tcW w:w="1552" w:type="dxa"/>
            <w:noWrap/>
            <w:vAlign w:val="center"/>
          </w:tcPr>
          <w:p>
            <w:pPr>
              <w:widowControl/>
              <w:jc w:val="center"/>
              <w:rPr>
                <w:rFonts w:ascii="??" w:hAnsi="??" w:cs="宋体"/>
                <w:kern w:val="0"/>
                <w:sz w:val="22"/>
                <w:highlight w:val="none"/>
              </w:rPr>
            </w:pPr>
            <w:r>
              <w:rPr>
                <w:rFonts w:ascii="??" w:hAnsi="??" w:cs="宋体"/>
                <w:kern w:val="0"/>
                <w:sz w:val="22"/>
                <w:highlight w:val="none"/>
              </w:rPr>
              <w:t>税金</w:t>
            </w:r>
          </w:p>
        </w:tc>
        <w:tc>
          <w:tcPr>
            <w:tcW w:w="8835" w:type="dxa"/>
            <w:noWrap/>
            <w:vAlign w:val="center"/>
          </w:tcPr>
          <w:p>
            <w:pPr>
              <w:widowControl/>
              <w:jc w:val="center"/>
              <w:rPr>
                <w:rFonts w:ascii="??" w:hAnsi="??" w:cs="宋体"/>
                <w:kern w:val="0"/>
                <w:sz w:val="22"/>
                <w:highlight w:val="none"/>
              </w:rPr>
            </w:pPr>
            <w:r>
              <w:rPr>
                <w:rFonts w:ascii="??" w:hAnsi="??" w:cs="宋体"/>
                <w:kern w:val="0"/>
                <w:sz w:val="22"/>
                <w:highlight w:val="none"/>
              </w:rPr>
              <w:t>　</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项</w:t>
            </w:r>
          </w:p>
        </w:tc>
        <w:tc>
          <w:tcPr>
            <w:tcW w:w="732" w:type="dxa"/>
            <w:noWrap/>
            <w:vAlign w:val="center"/>
          </w:tcPr>
          <w:p>
            <w:pPr>
              <w:widowControl/>
              <w:jc w:val="center"/>
              <w:rPr>
                <w:rFonts w:ascii="??" w:hAnsi="??" w:cs="宋体"/>
                <w:kern w:val="0"/>
                <w:sz w:val="18"/>
                <w:szCs w:val="18"/>
                <w:highlight w:val="none"/>
              </w:rPr>
            </w:pPr>
            <w:r>
              <w:rPr>
                <w:rFonts w:ascii="??" w:hAnsi="??" w:cs="宋体"/>
                <w:kern w:val="0"/>
                <w:sz w:val="18"/>
                <w:szCs w:val="18"/>
                <w:highlight w:val="none"/>
              </w:rPr>
              <w:t>1</w:t>
            </w:r>
          </w:p>
        </w:tc>
        <w:tc>
          <w:tcPr>
            <w:tcW w:w="936" w:type="dxa"/>
            <w:noWrap/>
            <w:vAlign w:val="center"/>
          </w:tcPr>
          <w:p>
            <w:pPr>
              <w:widowControl/>
              <w:jc w:val="center"/>
              <w:rPr>
                <w:rFonts w:ascii="??" w:hAnsi="??" w:cs="宋体"/>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33" w:type="dxa"/>
            <w:noWrap/>
            <w:vAlign w:val="center"/>
          </w:tcPr>
          <w:p>
            <w:pPr>
              <w:widowControl/>
              <w:jc w:val="center"/>
              <w:rPr>
                <w:rFonts w:ascii="??" w:hAnsi="??" w:cs="宋体"/>
                <w:kern w:val="0"/>
                <w:sz w:val="22"/>
                <w:highlight w:val="none"/>
              </w:rPr>
            </w:pPr>
            <w:r>
              <w:rPr>
                <w:rFonts w:ascii="??" w:hAnsi="??" w:cs="宋体"/>
                <w:kern w:val="0"/>
                <w:sz w:val="22"/>
                <w:highlight w:val="none"/>
              </w:rPr>
              <w:t>1</w:t>
            </w:r>
            <w:r>
              <w:rPr>
                <w:rFonts w:hint="eastAsia" w:ascii="??" w:hAnsi="??" w:cs="宋体"/>
                <w:kern w:val="0"/>
                <w:sz w:val="22"/>
                <w:highlight w:val="none"/>
              </w:rPr>
              <w:t>3</w:t>
            </w:r>
          </w:p>
        </w:tc>
        <w:tc>
          <w:tcPr>
            <w:tcW w:w="1552" w:type="dxa"/>
            <w:noWrap/>
            <w:vAlign w:val="center"/>
          </w:tcPr>
          <w:p>
            <w:pPr>
              <w:widowControl/>
              <w:jc w:val="center"/>
              <w:rPr>
                <w:rFonts w:ascii="??" w:hAnsi="??" w:cs="宋体"/>
                <w:b/>
                <w:bCs/>
                <w:kern w:val="0"/>
                <w:sz w:val="22"/>
                <w:highlight w:val="none"/>
              </w:rPr>
            </w:pPr>
            <w:r>
              <w:rPr>
                <w:rFonts w:ascii="??" w:hAnsi="??" w:cs="宋体"/>
                <w:b/>
                <w:bCs/>
                <w:kern w:val="0"/>
                <w:sz w:val="22"/>
                <w:highlight w:val="none"/>
              </w:rPr>
              <w:t>合计</w:t>
            </w:r>
          </w:p>
        </w:tc>
        <w:tc>
          <w:tcPr>
            <w:tcW w:w="8835" w:type="dxa"/>
            <w:noWrap/>
            <w:vAlign w:val="center"/>
          </w:tcPr>
          <w:p>
            <w:pPr>
              <w:widowControl/>
              <w:jc w:val="center"/>
              <w:rPr>
                <w:rFonts w:ascii="??" w:hAnsi="??" w:cs="宋体"/>
                <w:kern w:val="0"/>
                <w:sz w:val="22"/>
                <w:highlight w:val="none"/>
              </w:rPr>
            </w:pPr>
            <w:r>
              <w:rPr>
                <w:rFonts w:ascii="??" w:hAnsi="??" w:cs="宋体"/>
                <w:kern w:val="0"/>
                <w:sz w:val="22"/>
                <w:highlight w:val="none"/>
              </w:rPr>
              <w:t>　</w:t>
            </w:r>
          </w:p>
        </w:tc>
        <w:tc>
          <w:tcPr>
            <w:tcW w:w="732" w:type="dxa"/>
            <w:noWrap/>
            <w:vAlign w:val="center"/>
          </w:tcPr>
          <w:p>
            <w:pPr>
              <w:widowControl/>
              <w:jc w:val="center"/>
              <w:rPr>
                <w:rFonts w:ascii="??" w:hAnsi="??" w:cs="宋体"/>
                <w:kern w:val="0"/>
                <w:sz w:val="22"/>
                <w:highlight w:val="none"/>
              </w:rPr>
            </w:pPr>
            <w:r>
              <w:rPr>
                <w:rFonts w:ascii="??" w:hAnsi="??" w:cs="宋体"/>
                <w:kern w:val="0"/>
                <w:sz w:val="22"/>
                <w:highlight w:val="none"/>
              </w:rPr>
              <w:t>项</w:t>
            </w:r>
          </w:p>
        </w:tc>
        <w:tc>
          <w:tcPr>
            <w:tcW w:w="732" w:type="dxa"/>
            <w:noWrap/>
            <w:vAlign w:val="center"/>
          </w:tcPr>
          <w:p>
            <w:pPr>
              <w:widowControl/>
              <w:jc w:val="center"/>
              <w:rPr>
                <w:rFonts w:ascii="??" w:hAnsi="??" w:cs="宋体"/>
                <w:kern w:val="0"/>
                <w:sz w:val="18"/>
                <w:szCs w:val="18"/>
                <w:highlight w:val="none"/>
              </w:rPr>
            </w:pPr>
            <w:r>
              <w:rPr>
                <w:rFonts w:ascii="??" w:hAnsi="??" w:cs="宋体"/>
                <w:kern w:val="0"/>
                <w:sz w:val="18"/>
                <w:szCs w:val="18"/>
                <w:highlight w:val="none"/>
              </w:rPr>
              <w:t>1</w:t>
            </w:r>
          </w:p>
        </w:tc>
        <w:tc>
          <w:tcPr>
            <w:tcW w:w="936" w:type="dxa"/>
            <w:noWrap/>
            <w:vAlign w:val="center"/>
          </w:tcPr>
          <w:p>
            <w:pPr>
              <w:widowControl/>
              <w:jc w:val="center"/>
              <w:rPr>
                <w:rFonts w:ascii="??" w:hAnsi="??" w:cs="宋体"/>
                <w:kern w:val="0"/>
                <w:sz w:val="22"/>
                <w:highlight w:val="none"/>
              </w:rPr>
            </w:pPr>
          </w:p>
        </w:tc>
      </w:tr>
    </w:tbl>
    <w:p>
      <w:pPr>
        <w:rPr>
          <w:rFonts w:ascii="宋体" w:hAnsi="宋体" w:eastAsia="宋体" w:cs="宋体"/>
          <w:b/>
          <w:bCs/>
          <w:spacing w:val="15"/>
          <w:sz w:val="31"/>
          <w:szCs w:val="31"/>
          <w:highlight w:val="none"/>
        </w:rPr>
        <w:sectPr>
          <w:pgSz w:w="16839" w:h="11907" w:orient="landscape"/>
          <w:pgMar w:top="1051" w:right="1476" w:bottom="1049" w:left="1226" w:header="1155" w:footer="958" w:gutter="0"/>
          <w:pgNumType w:fmt="numberInDash"/>
          <w:cols w:space="720" w:num="1"/>
        </w:sectPr>
      </w:pPr>
    </w:p>
    <w:tbl>
      <w:tblPr>
        <w:tblStyle w:val="21"/>
        <w:tblW w:w="915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6"/>
        <w:gridCol w:w="1815"/>
        <w:gridCol w:w="1756"/>
        <w:gridCol w:w="1710"/>
        <w:gridCol w:w="1710"/>
        <w:gridCol w:w="15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00" w:hRule="atLeast"/>
        </w:trPr>
        <w:tc>
          <w:tcPr>
            <w:tcW w:w="9151"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东城区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道路清扫、保洁人员费用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费用项目名称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计量单位（人）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单价（元/年）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w:t>
            </w: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一线环卫作业人员工资</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580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包含清理小广告5人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w:t>
            </w: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垃圾收集工作人员工资</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50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w:t>
            </w: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一线环卫作业人员团体意外险</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630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w:t>
            </w: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劳保用品</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630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5</w:t>
            </w: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劳动工具</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630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6</w:t>
            </w: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作业人员服装费用</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630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3套工作服+4件反光背心/年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7</w:t>
            </w: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环卫三轮车费用</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630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8</w:t>
            </w: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垃圾收集车费用</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50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9</w:t>
            </w: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小计</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bl>
    <w:p>
      <w:pPr>
        <w:rPr>
          <w:rFonts w:ascii="宋体" w:hAnsi="宋体" w:eastAsia="宋体" w:cs="宋体"/>
          <w:b/>
          <w:bCs/>
          <w:spacing w:val="15"/>
          <w:sz w:val="31"/>
          <w:szCs w:val="31"/>
          <w:highlight w:val="none"/>
        </w:rPr>
      </w:pPr>
    </w:p>
    <w:p>
      <w:pPr>
        <w:rPr>
          <w:rFonts w:ascii="宋体" w:hAnsi="宋体" w:eastAsia="宋体" w:cs="宋体"/>
          <w:b/>
          <w:bCs/>
          <w:spacing w:val="15"/>
          <w:sz w:val="31"/>
          <w:szCs w:val="31"/>
          <w:highlight w:val="none"/>
        </w:rPr>
      </w:pPr>
    </w:p>
    <w:p>
      <w:pPr>
        <w:pStyle w:val="20"/>
        <w:rPr>
          <w:highlight w:val="none"/>
        </w:rPr>
      </w:pPr>
    </w:p>
    <w:p>
      <w:pPr>
        <w:rPr>
          <w:rFonts w:ascii="宋体" w:hAnsi="宋体" w:eastAsia="宋体" w:cs="宋体"/>
          <w:b/>
          <w:bCs/>
          <w:spacing w:val="15"/>
          <w:sz w:val="31"/>
          <w:szCs w:val="31"/>
          <w:highlight w:val="none"/>
        </w:rPr>
      </w:pPr>
    </w:p>
    <w:p>
      <w:pPr>
        <w:rPr>
          <w:rFonts w:ascii="宋体" w:hAnsi="宋体" w:eastAsia="宋体" w:cs="宋体"/>
          <w:b/>
          <w:bCs/>
          <w:spacing w:val="15"/>
          <w:sz w:val="31"/>
          <w:szCs w:val="31"/>
          <w:highlight w:val="none"/>
        </w:rPr>
      </w:pPr>
      <w:r>
        <w:rPr>
          <w:rFonts w:ascii="宋体" w:hAnsi="宋体" w:eastAsia="宋体" w:cs="宋体"/>
          <w:b/>
          <w:bCs/>
          <w:spacing w:val="15"/>
          <w:sz w:val="31"/>
          <w:szCs w:val="31"/>
          <w:highlight w:val="none"/>
        </w:rPr>
        <w:br w:type="page"/>
      </w:r>
    </w:p>
    <w:tbl>
      <w:tblPr>
        <w:tblStyle w:val="21"/>
        <w:tblW w:w="95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6"/>
        <w:gridCol w:w="1935"/>
        <w:gridCol w:w="1756"/>
        <w:gridCol w:w="1646"/>
        <w:gridCol w:w="1455"/>
        <w:gridCol w:w="20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25" w:type="dxa"/>
            <w:gridSpan w:val="6"/>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东城区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机械化清扫、冲洗、洒水车费用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费用项目名称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计量单位（人）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单价（元/年）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合计</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w:t>
            </w: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司机工资</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14</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w:t>
            </w: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小型勾臂车司机工资</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7</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w:t>
            </w: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一线环卫作业人员团体意外险</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21</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w:t>
            </w: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劳保用品</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21</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5</w:t>
            </w: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小型勾臂车</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7</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6</w:t>
            </w: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作业人员服装费用</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21</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7</w:t>
            </w: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护栏清洗车</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含水费（每周清洗一次）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8</w:t>
            </w: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洒水车</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6</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含水费（含雪铲）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9</w:t>
            </w: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高压冲洗车</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含水费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10</w:t>
            </w: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大型洗扫车费用</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5</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含水费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11</w:t>
            </w: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抑尘雾炮车</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含水费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12</w:t>
            </w: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中转箱</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100</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13</w:t>
            </w: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小计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bl>
    <w:p>
      <w:pPr>
        <w:pStyle w:val="37"/>
        <w:sectPr>
          <w:pgSz w:w="11907" w:h="16839"/>
          <w:pgMar w:top="1476" w:right="1049" w:bottom="1226" w:left="1051" w:header="1155" w:footer="958" w:gutter="0"/>
          <w:pgNumType w:fmt="numberInDash"/>
          <w:cols w:space="720" w:num="1"/>
        </w:sectPr>
      </w:pPr>
    </w:p>
    <w:tbl>
      <w:tblPr>
        <w:tblStyle w:val="21"/>
        <w:tblpPr w:leftFromText="180" w:rightFromText="180" w:vertAnchor="text" w:horzAnchor="page" w:tblpXSpec="center" w:tblpY="912"/>
        <w:tblOverlap w:val="never"/>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4"/>
        <w:gridCol w:w="1959"/>
        <w:gridCol w:w="3050"/>
        <w:gridCol w:w="888"/>
        <w:gridCol w:w="883"/>
        <w:gridCol w:w="1056"/>
        <w:gridCol w:w="883"/>
        <w:gridCol w:w="1176"/>
        <w:gridCol w:w="1072"/>
        <w:gridCol w:w="1536"/>
        <w:gridCol w:w="12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5000" w:type="pct"/>
            <w:gridSpan w:val="11"/>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snapToGrid w:val="0"/>
                <w:color w:val="000000"/>
                <w:kern w:val="0"/>
                <w:sz w:val="40"/>
                <w:szCs w:val="40"/>
                <w:u w:val="none"/>
                <w:lang w:val="en-US" w:eastAsia="zh-CN" w:bidi="ar"/>
              </w:rPr>
              <w:t xml:space="preserve">   东区道路面积统计表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22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黑体" w:hAnsi="宋体" w:eastAsia="黑体" w:cs="黑体"/>
                <w:i w:val="0"/>
                <w:iCs w:val="0"/>
                <w:color w:val="000000"/>
                <w:sz w:val="28"/>
                <w:szCs w:val="28"/>
                <w:u w:val="none"/>
              </w:rPr>
            </w:pPr>
            <w:r>
              <w:rPr>
                <w:rFonts w:hint="eastAsia" w:ascii="黑体" w:hAnsi="宋体" w:eastAsia="黑体" w:cs="黑体"/>
                <w:i w:val="0"/>
                <w:iCs w:val="0"/>
                <w:snapToGrid w:val="0"/>
                <w:color w:val="000000"/>
                <w:kern w:val="0"/>
                <w:sz w:val="28"/>
                <w:szCs w:val="28"/>
                <w:u w:val="none"/>
                <w:lang w:val="en-US" w:eastAsia="zh-CN" w:bidi="ar"/>
              </w:rPr>
              <w:t>序号</w:t>
            </w:r>
          </w:p>
        </w:tc>
        <w:tc>
          <w:tcPr>
            <w:tcW w:w="71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snapToGrid w:val="0"/>
                <w:color w:val="000000"/>
                <w:kern w:val="0"/>
                <w:sz w:val="28"/>
                <w:szCs w:val="28"/>
                <w:u w:val="none"/>
                <w:lang w:val="en-US" w:eastAsia="zh-CN" w:bidi="ar"/>
              </w:rPr>
              <w:t>路  名</w:t>
            </w:r>
          </w:p>
        </w:tc>
        <w:tc>
          <w:tcPr>
            <w:tcW w:w="109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snapToGrid w:val="0"/>
                <w:color w:val="000000"/>
                <w:kern w:val="0"/>
                <w:sz w:val="28"/>
                <w:szCs w:val="28"/>
                <w:u w:val="none"/>
                <w:lang w:val="en-US" w:eastAsia="zh-CN" w:bidi="ar"/>
              </w:rPr>
              <w:t>起  止</w:t>
            </w:r>
          </w:p>
        </w:tc>
        <w:tc>
          <w:tcPr>
            <w:tcW w:w="10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snapToGrid w:val="0"/>
                <w:color w:val="000000"/>
                <w:kern w:val="0"/>
                <w:sz w:val="28"/>
                <w:szCs w:val="28"/>
                <w:u w:val="none"/>
                <w:lang w:val="en-US" w:eastAsia="zh-CN" w:bidi="ar"/>
              </w:rPr>
              <w:t>主路面</w:t>
            </w:r>
          </w:p>
        </w:tc>
        <w:tc>
          <w:tcPr>
            <w:tcW w:w="108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snapToGrid w:val="0"/>
                <w:color w:val="000000"/>
                <w:kern w:val="0"/>
                <w:sz w:val="28"/>
                <w:szCs w:val="28"/>
                <w:u w:val="none"/>
                <w:lang w:val="en-US" w:eastAsia="zh-CN" w:bidi="ar"/>
              </w:rPr>
              <w:t>人行道面积</w:t>
            </w:r>
          </w:p>
        </w:tc>
        <w:tc>
          <w:tcPr>
            <w:tcW w:w="4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snapToGrid w:val="0"/>
                <w:color w:val="000000"/>
                <w:kern w:val="0"/>
                <w:sz w:val="28"/>
                <w:szCs w:val="28"/>
                <w:u w:val="none"/>
                <w:lang w:val="en-US" w:eastAsia="zh-CN" w:bidi="ar"/>
              </w:rPr>
            </w:pPr>
            <w:r>
              <w:rPr>
                <w:rFonts w:hint="eastAsia" w:ascii="黑体" w:hAnsi="宋体" w:eastAsia="黑体" w:cs="黑体"/>
                <w:i w:val="0"/>
                <w:iCs w:val="0"/>
                <w:snapToGrid w:val="0"/>
                <w:color w:val="000000"/>
                <w:kern w:val="0"/>
                <w:sz w:val="28"/>
                <w:szCs w:val="28"/>
                <w:u w:val="none"/>
                <w:lang w:val="en-US" w:eastAsia="zh-CN" w:bidi="ar"/>
              </w:rPr>
              <w:t>总面积</w:t>
            </w:r>
          </w:p>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snapToGrid w:val="0"/>
                <w:color w:val="000000"/>
                <w:kern w:val="0"/>
                <w:sz w:val="28"/>
                <w:szCs w:val="28"/>
                <w:u w:val="none"/>
                <w:lang w:val="en-US" w:eastAsia="zh-CN" w:bidi="ar"/>
              </w:rPr>
              <w:t>（㎡）</w:t>
            </w:r>
          </w:p>
        </w:tc>
        <w:tc>
          <w:tcPr>
            <w:tcW w:w="3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snapToGrid w:val="0"/>
                <w:color w:val="000000"/>
                <w:kern w:val="0"/>
                <w:sz w:val="28"/>
                <w:szCs w:val="2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2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i w:val="0"/>
                <w:iCs w:val="0"/>
                <w:color w:val="000000"/>
                <w:sz w:val="28"/>
                <w:szCs w:val="28"/>
                <w:u w:val="none"/>
              </w:rPr>
            </w:pPr>
          </w:p>
        </w:tc>
        <w:tc>
          <w:tcPr>
            <w:tcW w:w="7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8"/>
                <w:szCs w:val="28"/>
                <w:u w:val="none"/>
              </w:rPr>
            </w:pPr>
          </w:p>
        </w:tc>
        <w:tc>
          <w:tcPr>
            <w:tcW w:w="109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i w:val="0"/>
                <w:iCs w:val="0"/>
                <w:color w:val="000000"/>
                <w:sz w:val="28"/>
                <w:szCs w:val="2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snapToGrid w:val="0"/>
                <w:color w:val="000000"/>
                <w:kern w:val="0"/>
                <w:sz w:val="28"/>
                <w:szCs w:val="28"/>
                <w:u w:val="none"/>
                <w:lang w:val="en-US" w:eastAsia="zh-CN" w:bidi="ar"/>
              </w:rPr>
              <w:t>长（m)</w:t>
            </w:r>
          </w:p>
        </w:tc>
        <w:tc>
          <w:tcPr>
            <w:tcW w:w="3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snapToGrid w:val="0"/>
                <w:color w:val="000000"/>
                <w:kern w:val="0"/>
                <w:sz w:val="28"/>
                <w:szCs w:val="28"/>
                <w:u w:val="none"/>
                <w:lang w:val="en-US" w:eastAsia="zh-CN" w:bidi="ar"/>
              </w:rPr>
              <w:t>宽（m)</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snapToGrid w:val="0"/>
                <w:color w:val="000000"/>
                <w:kern w:val="0"/>
                <w:sz w:val="28"/>
                <w:szCs w:val="28"/>
                <w:u w:val="none"/>
                <w:lang w:val="en-US" w:eastAsia="zh-CN" w:bidi="ar"/>
              </w:rPr>
              <w:t>面积（㎡）</w:t>
            </w:r>
          </w:p>
        </w:tc>
        <w:tc>
          <w:tcPr>
            <w:tcW w:w="3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snapToGrid w:val="0"/>
                <w:color w:val="000000"/>
                <w:kern w:val="0"/>
                <w:sz w:val="28"/>
                <w:szCs w:val="28"/>
                <w:u w:val="none"/>
                <w:lang w:val="en-US" w:eastAsia="zh-CN" w:bidi="ar"/>
              </w:rPr>
              <w:t>长（m)</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snapToGrid w:val="0"/>
                <w:color w:val="000000"/>
                <w:kern w:val="0"/>
                <w:sz w:val="28"/>
                <w:szCs w:val="28"/>
                <w:u w:val="none"/>
                <w:lang w:val="en-US" w:eastAsia="zh-CN" w:bidi="ar"/>
              </w:rPr>
              <w:t>宽（m)</w:t>
            </w: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snapToGrid w:val="0"/>
                <w:color w:val="000000"/>
                <w:kern w:val="0"/>
                <w:sz w:val="28"/>
                <w:szCs w:val="28"/>
                <w:u w:val="none"/>
                <w:lang w:val="en-US" w:eastAsia="zh-CN" w:bidi="ar"/>
              </w:rPr>
              <w:t>面积（㎡）</w:t>
            </w:r>
          </w:p>
        </w:tc>
        <w:tc>
          <w:tcPr>
            <w:tcW w:w="4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i w:val="0"/>
                <w:iCs w:val="0"/>
                <w:color w:val="000000"/>
                <w:sz w:val="28"/>
                <w:szCs w:val="28"/>
                <w:u w:val="none"/>
              </w:rPr>
            </w:pPr>
          </w:p>
        </w:tc>
        <w:tc>
          <w:tcPr>
            <w:tcW w:w="3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飞凤路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新春路至星江路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1570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37490</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文化路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新春路至文峰路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820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4740</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解放路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新春路至星江路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2790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33335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星江路至旭升路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38560</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黉学路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新春路至文峰路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850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10801</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职专路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通达路至星江路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820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22526</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通达路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建设路至星江路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2000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32285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林业局路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通达路至文峰路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330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4486.5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疾控中心南路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星江路以西</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280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3500</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建设路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新春路至星江路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2770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53332.5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星江路至基地口</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57277</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石碑道</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新春路至星港鑫苑门口</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1977</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11</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银化路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新春路至文峰路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1280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7935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文峰路至星江路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15142</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李季路、银化路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旭升路至银化路至建设路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985</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13120</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商贸南路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新春路至文峰路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1000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6450</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文峰路至廖源路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3511.5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13</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唐师南路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文化路至解放路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290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3632.5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14</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星江路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上海大道至建设路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6530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76800</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建设路至北京大道</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52240</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北京大道至澧水路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82997.55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15</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文峰路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飞凤路至建设路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4050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39567.5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建设路至北京大道</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55860</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北京大道至工业路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20936.4</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16</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旭升路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上海大道至建设路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5470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67390</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建设路至友兰大道</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24750</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友兰大道至兴达路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48232.4</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17</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文峰广场南路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文峰路至星江路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520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10340</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18</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友兰大道</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新春路至旭升路（公主路）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2530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65805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19</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北京大道</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新春路至旭升路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2490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102088</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廖源路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建设路至北京大道</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1700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34947.5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北京大道至铁路桥</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9856</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21</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花园东路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文峰路至星江路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576</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11240</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22</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三八路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新春路至谢源路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370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4387.5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23</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唐州路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北京大道至友兰大道</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587</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11710</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24</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谢源路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友兰大道至北京大道</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963</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16248.5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北京大道至铁路桥</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6825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25</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港馨鑫苑路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星港鑫苑门口至建设路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150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906</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26</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唐飞路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工业路至盛居路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434</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6976.4</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27</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盛居路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新春路至旭升路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2492</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34416</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28</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盛鼎路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伏牛路至兴达路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537</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16540.4</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29</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友兰大道</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旭升路至公主路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13000</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30</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兴达路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盛鼎路至镍都路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6110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203052.2</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31</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拱文路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星江路至火车站</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277</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3724</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32</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泗州路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火车站至北京大道</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251</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10937</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33</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澧水路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新春路至星江路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1670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93431.2</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34</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日月潭路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工业路至伏牛路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445</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13571.75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35</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阿里山路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工业路至油城路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1170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14259</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36</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油城路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阿里山路至高雄路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775</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6810</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37</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高雄路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工业路至油城路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927</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10989.25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38</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栀香路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兴达路至312国道</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904</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41174.5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39</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河顺路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工业路至兴达路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569</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12485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40</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台北路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工业路至油城路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1040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28063.8</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41</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唐升路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工业路至友兰大道</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598</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8803.4</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42</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镍都路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工业路至兴达路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560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20615.2</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43</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伏牛路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新春路至和顺路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5240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107496.55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44</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河川路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工业路至友兰大道</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367</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3056</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45</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工业路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新春路至友兰大道</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7110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85587.4</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46</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新春路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飞凤路至北京大道</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7180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56834.835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北京大道至澧水路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54149.55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47</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建设东路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600</w:t>
            </w:r>
          </w:p>
        </w:tc>
        <w:tc>
          <w:tcPr>
            <w:tcW w:w="3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24</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14400</w:t>
            </w:r>
          </w:p>
        </w:tc>
        <w:tc>
          <w:tcPr>
            <w:tcW w:w="3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30</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18000</w:t>
            </w: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32400</w:t>
            </w:r>
          </w:p>
        </w:tc>
        <w:tc>
          <w:tcPr>
            <w:tcW w:w="38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48</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石柱山路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1000</w:t>
            </w:r>
          </w:p>
        </w:tc>
        <w:tc>
          <w:tcPr>
            <w:tcW w:w="3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13</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13000</w:t>
            </w:r>
          </w:p>
        </w:tc>
        <w:tc>
          <w:tcPr>
            <w:tcW w:w="3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10000</w:t>
            </w: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23000</w:t>
            </w:r>
          </w:p>
        </w:tc>
        <w:tc>
          <w:tcPr>
            <w:tcW w:w="38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49</w:t>
            </w:r>
          </w:p>
        </w:tc>
        <w:tc>
          <w:tcPr>
            <w:tcW w:w="7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谢源路</w:t>
            </w:r>
          </w:p>
        </w:tc>
        <w:tc>
          <w:tcPr>
            <w:tcW w:w="10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盛居路与郑庄铁路桥</w:t>
            </w:r>
          </w:p>
        </w:tc>
        <w:tc>
          <w:tcPr>
            <w:tcW w:w="3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323.9</w:t>
            </w:r>
          </w:p>
        </w:tc>
        <w:tc>
          <w:tcPr>
            <w:tcW w:w="33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w:t>
            </w:r>
          </w:p>
        </w:tc>
        <w:tc>
          <w:tcPr>
            <w:tcW w:w="3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2591.2</w:t>
            </w:r>
          </w:p>
        </w:tc>
        <w:tc>
          <w:tcPr>
            <w:tcW w:w="33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4.2</w:t>
            </w:r>
          </w:p>
        </w:tc>
        <w:tc>
          <w:tcPr>
            <w:tcW w:w="35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1360.38</w:t>
            </w:r>
          </w:p>
        </w:tc>
        <w:tc>
          <w:tcPr>
            <w:tcW w:w="40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3951.58</w:t>
            </w:r>
          </w:p>
        </w:tc>
        <w:tc>
          <w:tcPr>
            <w:tcW w:w="3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c>
          <w:tcPr>
            <w:tcW w:w="7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花园路</w:t>
            </w:r>
          </w:p>
        </w:tc>
        <w:tc>
          <w:tcPr>
            <w:tcW w:w="10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谢源路至文峰路</w:t>
            </w:r>
          </w:p>
        </w:tc>
        <w:tc>
          <w:tcPr>
            <w:tcW w:w="3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336.2</w:t>
            </w:r>
          </w:p>
        </w:tc>
        <w:tc>
          <w:tcPr>
            <w:tcW w:w="33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15.1</w:t>
            </w:r>
          </w:p>
        </w:tc>
        <w:tc>
          <w:tcPr>
            <w:tcW w:w="3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5076.62</w:t>
            </w:r>
          </w:p>
        </w:tc>
        <w:tc>
          <w:tcPr>
            <w:tcW w:w="33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5.6</w:t>
            </w:r>
          </w:p>
        </w:tc>
        <w:tc>
          <w:tcPr>
            <w:tcW w:w="35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1882.72</w:t>
            </w:r>
          </w:p>
        </w:tc>
        <w:tc>
          <w:tcPr>
            <w:tcW w:w="40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6959.34</w:t>
            </w:r>
          </w:p>
        </w:tc>
        <w:tc>
          <w:tcPr>
            <w:tcW w:w="3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51</w:t>
            </w:r>
          </w:p>
        </w:tc>
        <w:tc>
          <w:tcPr>
            <w:tcW w:w="7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花园路</w:t>
            </w:r>
          </w:p>
        </w:tc>
        <w:tc>
          <w:tcPr>
            <w:tcW w:w="10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文峰路至星江路</w:t>
            </w:r>
          </w:p>
        </w:tc>
        <w:tc>
          <w:tcPr>
            <w:tcW w:w="3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565.2</w:t>
            </w:r>
          </w:p>
        </w:tc>
        <w:tc>
          <w:tcPr>
            <w:tcW w:w="33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11.6</w:t>
            </w:r>
          </w:p>
        </w:tc>
        <w:tc>
          <w:tcPr>
            <w:tcW w:w="3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6556.32</w:t>
            </w:r>
          </w:p>
        </w:tc>
        <w:tc>
          <w:tcPr>
            <w:tcW w:w="33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7.5</w:t>
            </w:r>
          </w:p>
        </w:tc>
        <w:tc>
          <w:tcPr>
            <w:tcW w:w="35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4239</w:t>
            </w:r>
          </w:p>
        </w:tc>
        <w:tc>
          <w:tcPr>
            <w:tcW w:w="40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10795.32</w:t>
            </w:r>
          </w:p>
        </w:tc>
        <w:tc>
          <w:tcPr>
            <w:tcW w:w="3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52</w:t>
            </w:r>
          </w:p>
        </w:tc>
        <w:tc>
          <w:tcPr>
            <w:tcW w:w="7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创业家园</w:t>
            </w:r>
          </w:p>
        </w:tc>
        <w:tc>
          <w:tcPr>
            <w:tcW w:w="10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南北区间路</w:t>
            </w:r>
          </w:p>
        </w:tc>
        <w:tc>
          <w:tcPr>
            <w:tcW w:w="3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455</w:t>
            </w:r>
          </w:p>
        </w:tc>
        <w:tc>
          <w:tcPr>
            <w:tcW w:w="33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12.1</w:t>
            </w:r>
          </w:p>
        </w:tc>
        <w:tc>
          <w:tcPr>
            <w:tcW w:w="3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5505.5</w:t>
            </w:r>
          </w:p>
        </w:tc>
        <w:tc>
          <w:tcPr>
            <w:tcW w:w="33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7.6</w:t>
            </w:r>
          </w:p>
        </w:tc>
        <w:tc>
          <w:tcPr>
            <w:tcW w:w="35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3458</w:t>
            </w:r>
          </w:p>
        </w:tc>
        <w:tc>
          <w:tcPr>
            <w:tcW w:w="40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8963.5</w:t>
            </w:r>
          </w:p>
        </w:tc>
        <w:tc>
          <w:tcPr>
            <w:tcW w:w="3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53</w:t>
            </w:r>
          </w:p>
        </w:tc>
        <w:tc>
          <w:tcPr>
            <w:tcW w:w="71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日月潭路</w:t>
            </w:r>
          </w:p>
        </w:tc>
        <w:tc>
          <w:tcPr>
            <w:tcW w:w="109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工业路以北至路东变压器</w:t>
            </w:r>
          </w:p>
        </w:tc>
        <w:tc>
          <w:tcPr>
            <w:tcW w:w="3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106</w:t>
            </w:r>
          </w:p>
        </w:tc>
        <w:tc>
          <w:tcPr>
            <w:tcW w:w="33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30</w:t>
            </w:r>
          </w:p>
        </w:tc>
        <w:tc>
          <w:tcPr>
            <w:tcW w:w="3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3180</w:t>
            </w:r>
          </w:p>
        </w:tc>
        <w:tc>
          <w:tcPr>
            <w:tcW w:w="33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9.7</w:t>
            </w:r>
          </w:p>
        </w:tc>
        <w:tc>
          <w:tcPr>
            <w:tcW w:w="35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1028.2</w:t>
            </w:r>
          </w:p>
        </w:tc>
        <w:tc>
          <w:tcPr>
            <w:tcW w:w="40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4208.2</w:t>
            </w:r>
          </w:p>
        </w:tc>
        <w:tc>
          <w:tcPr>
            <w:tcW w:w="3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71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109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126.2</w:t>
            </w:r>
          </w:p>
        </w:tc>
        <w:tc>
          <w:tcPr>
            <w:tcW w:w="33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w:t>
            </w:r>
          </w:p>
        </w:tc>
        <w:tc>
          <w:tcPr>
            <w:tcW w:w="3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2524</w:t>
            </w:r>
          </w:p>
        </w:tc>
        <w:tc>
          <w:tcPr>
            <w:tcW w:w="33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9.7</w:t>
            </w:r>
          </w:p>
        </w:tc>
        <w:tc>
          <w:tcPr>
            <w:tcW w:w="35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1224.14</w:t>
            </w:r>
          </w:p>
        </w:tc>
        <w:tc>
          <w:tcPr>
            <w:tcW w:w="40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3748.14</w:t>
            </w:r>
          </w:p>
        </w:tc>
        <w:tc>
          <w:tcPr>
            <w:tcW w:w="3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71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109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伏牛路至工业路</w:t>
            </w:r>
          </w:p>
        </w:tc>
        <w:tc>
          <w:tcPr>
            <w:tcW w:w="3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110</w:t>
            </w:r>
          </w:p>
        </w:tc>
        <w:tc>
          <w:tcPr>
            <w:tcW w:w="33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32</w:t>
            </w:r>
          </w:p>
        </w:tc>
        <w:tc>
          <w:tcPr>
            <w:tcW w:w="3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3520</w:t>
            </w:r>
          </w:p>
        </w:tc>
        <w:tc>
          <w:tcPr>
            <w:tcW w:w="33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7.6</w:t>
            </w:r>
          </w:p>
        </w:tc>
        <w:tc>
          <w:tcPr>
            <w:tcW w:w="35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836</w:t>
            </w:r>
          </w:p>
        </w:tc>
        <w:tc>
          <w:tcPr>
            <w:tcW w:w="40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4356</w:t>
            </w:r>
          </w:p>
        </w:tc>
        <w:tc>
          <w:tcPr>
            <w:tcW w:w="3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71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109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322</w:t>
            </w:r>
          </w:p>
        </w:tc>
        <w:tc>
          <w:tcPr>
            <w:tcW w:w="3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22</w:t>
            </w:r>
          </w:p>
        </w:tc>
        <w:tc>
          <w:tcPr>
            <w:tcW w:w="33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7084</w:t>
            </w:r>
          </w:p>
        </w:tc>
        <w:tc>
          <w:tcPr>
            <w:tcW w:w="3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7.6</w:t>
            </w:r>
          </w:p>
        </w:tc>
        <w:tc>
          <w:tcPr>
            <w:tcW w:w="3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2447.2</w:t>
            </w:r>
          </w:p>
        </w:tc>
        <w:tc>
          <w:tcPr>
            <w:tcW w:w="40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9531.2</w:t>
            </w:r>
          </w:p>
        </w:tc>
        <w:tc>
          <w:tcPr>
            <w:tcW w:w="3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54</w:t>
            </w:r>
          </w:p>
        </w:tc>
        <w:tc>
          <w:tcPr>
            <w:tcW w:w="7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镍都路</w:t>
            </w:r>
          </w:p>
        </w:tc>
        <w:tc>
          <w:tcPr>
            <w:tcW w:w="10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伏牛路至北端头</w:t>
            </w:r>
          </w:p>
        </w:tc>
        <w:tc>
          <w:tcPr>
            <w:tcW w:w="3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838</w:t>
            </w:r>
          </w:p>
        </w:tc>
        <w:tc>
          <w:tcPr>
            <w:tcW w:w="33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29.5</w:t>
            </w:r>
          </w:p>
        </w:tc>
        <w:tc>
          <w:tcPr>
            <w:tcW w:w="3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24721</w:t>
            </w:r>
          </w:p>
        </w:tc>
        <w:tc>
          <w:tcPr>
            <w:tcW w:w="33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w:t>
            </w:r>
          </w:p>
        </w:tc>
        <w:tc>
          <w:tcPr>
            <w:tcW w:w="35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5028</w:t>
            </w:r>
          </w:p>
        </w:tc>
        <w:tc>
          <w:tcPr>
            <w:tcW w:w="40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21737</w:t>
            </w:r>
          </w:p>
        </w:tc>
        <w:tc>
          <w:tcPr>
            <w:tcW w:w="3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扣除花坛长283米宽8米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55</w:t>
            </w:r>
          </w:p>
        </w:tc>
        <w:tc>
          <w:tcPr>
            <w:tcW w:w="71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新春路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飞凤路至友兰大道</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2288</w:t>
            </w:r>
          </w:p>
        </w:tc>
        <w:tc>
          <w:tcPr>
            <w:tcW w:w="3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27456</w:t>
            </w:r>
          </w:p>
        </w:tc>
        <w:tc>
          <w:tcPr>
            <w:tcW w:w="3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15810.08</w:t>
            </w:r>
          </w:p>
        </w:tc>
        <w:tc>
          <w:tcPr>
            <w:tcW w:w="40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4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56834.8</w:t>
            </w:r>
          </w:p>
        </w:tc>
        <w:tc>
          <w:tcPr>
            <w:tcW w:w="389"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新增新春路西侧132754.35㎡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7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友兰大道至北京大道</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613</w:t>
            </w:r>
          </w:p>
        </w:tc>
        <w:tc>
          <w:tcPr>
            <w:tcW w:w="3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12.5</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7662.5</w:t>
            </w:r>
          </w:p>
        </w:tc>
        <w:tc>
          <w:tcPr>
            <w:tcW w:w="3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5906.255</w:t>
            </w:r>
          </w:p>
        </w:tc>
        <w:tc>
          <w:tcPr>
            <w:tcW w:w="40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4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8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7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北京大道至澧水路</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54149.55</w:t>
            </w:r>
          </w:p>
        </w:tc>
        <w:tc>
          <w:tcPr>
            <w:tcW w:w="38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7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飞凤路至上海大道</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580</w:t>
            </w:r>
          </w:p>
        </w:tc>
        <w:tc>
          <w:tcPr>
            <w:tcW w:w="3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14</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8120</w:t>
            </w:r>
          </w:p>
        </w:tc>
        <w:tc>
          <w:tcPr>
            <w:tcW w:w="3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3400</w:t>
            </w: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11520</w:t>
            </w:r>
          </w:p>
        </w:tc>
        <w:tc>
          <w:tcPr>
            <w:tcW w:w="38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c>
          <w:tcPr>
            <w:tcW w:w="7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上海大道至五里河</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12.5</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6250</w:t>
            </w:r>
          </w:p>
        </w:tc>
        <w:tc>
          <w:tcPr>
            <w:tcW w:w="3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4000</w:t>
            </w:r>
          </w:p>
        </w:tc>
        <w:tc>
          <w:tcPr>
            <w:tcW w:w="40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10250</w:t>
            </w:r>
          </w:p>
        </w:tc>
        <w:tc>
          <w:tcPr>
            <w:tcW w:w="38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56</w:t>
            </w:r>
          </w:p>
        </w:tc>
        <w:tc>
          <w:tcPr>
            <w:tcW w:w="7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秦晋路西段</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新春路-文峰路延伸段</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640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15</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9600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w:t>
            </w: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5760</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15360</w:t>
            </w:r>
          </w:p>
        </w:tc>
        <w:tc>
          <w:tcPr>
            <w:tcW w:w="3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2021年已评审道路面积44592.6㎡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57</w:t>
            </w:r>
          </w:p>
        </w:tc>
        <w:tc>
          <w:tcPr>
            <w:tcW w:w="7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秦晋路东段</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星江路-北尽头</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565</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16</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9040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8.2</w:t>
            </w: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4633</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13673</w:t>
            </w:r>
          </w:p>
        </w:tc>
        <w:tc>
          <w:tcPr>
            <w:tcW w:w="3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58</w:t>
            </w:r>
          </w:p>
        </w:tc>
        <w:tc>
          <w:tcPr>
            <w:tcW w:w="71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文峰路延伸段</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秦晋路-上海大道</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300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23</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6900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18</w:t>
            </w: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5400</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12300</w:t>
            </w:r>
          </w:p>
        </w:tc>
        <w:tc>
          <w:tcPr>
            <w:tcW w:w="3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2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7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东侧辅道</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131</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18</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2358</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0</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2358</w:t>
            </w:r>
          </w:p>
        </w:tc>
        <w:tc>
          <w:tcPr>
            <w:tcW w:w="3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2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7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西侧辅导</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46</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7.8</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358.8</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11.8</w:t>
            </w: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542.8</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901.6</w:t>
            </w:r>
          </w:p>
        </w:tc>
        <w:tc>
          <w:tcPr>
            <w:tcW w:w="3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59</w:t>
            </w:r>
          </w:p>
        </w:tc>
        <w:tc>
          <w:tcPr>
            <w:tcW w:w="7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谢源北路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飞凤路--上海大道</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700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18</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12600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700</w:t>
            </w: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7000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19600</w:t>
            </w:r>
          </w:p>
        </w:tc>
        <w:tc>
          <w:tcPr>
            <w:tcW w:w="389" w:type="pct"/>
            <w:vMerge w:val="restart"/>
            <w:tcBorders>
              <w:top w:val="nil"/>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2023年新增道路面积117110.6㎡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22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60</w:t>
            </w:r>
          </w:p>
        </w:tc>
        <w:tc>
          <w:tcPr>
            <w:tcW w:w="71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廖源路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解放路--通达路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330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18</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5940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5940</w:t>
            </w:r>
          </w:p>
        </w:tc>
        <w:tc>
          <w:tcPr>
            <w:tcW w:w="389" w:type="pct"/>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22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7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解放路-簧学路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240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18</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4320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4320</w:t>
            </w:r>
          </w:p>
        </w:tc>
        <w:tc>
          <w:tcPr>
            <w:tcW w:w="389" w:type="pct"/>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221" w:type="pc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w:t>
            </w:r>
          </w:p>
        </w:tc>
        <w:tc>
          <w:tcPr>
            <w:tcW w:w="7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花园路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星江路-唐州路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370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18</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6660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370</w:t>
            </w: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2960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9620</w:t>
            </w:r>
          </w:p>
        </w:tc>
        <w:tc>
          <w:tcPr>
            <w:tcW w:w="389" w:type="pct"/>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221" w:type="pc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62</w:t>
            </w:r>
          </w:p>
        </w:tc>
        <w:tc>
          <w:tcPr>
            <w:tcW w:w="7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唐飞路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 xml:space="preserve">兴达路--断头路  </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275</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23</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6325</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6325</w:t>
            </w:r>
          </w:p>
        </w:tc>
        <w:tc>
          <w:tcPr>
            <w:tcW w:w="389" w:type="pct"/>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221" w:type="pc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63</w:t>
            </w:r>
          </w:p>
        </w:tc>
        <w:tc>
          <w:tcPr>
            <w:tcW w:w="7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廖源路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通达路-飞凤路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444</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6.5</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2886</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2886</w:t>
            </w:r>
          </w:p>
        </w:tc>
        <w:tc>
          <w:tcPr>
            <w:tcW w:w="389" w:type="pct"/>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221" w:type="pc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64</w:t>
            </w:r>
          </w:p>
        </w:tc>
        <w:tc>
          <w:tcPr>
            <w:tcW w:w="7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文化路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文峰路-廖源路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144</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1008</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1008</w:t>
            </w:r>
          </w:p>
        </w:tc>
        <w:tc>
          <w:tcPr>
            <w:tcW w:w="389" w:type="pct"/>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221" w:type="pc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65</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三小南校区西侧区间路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黉学路-解放路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1600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1600</w:t>
            </w:r>
          </w:p>
        </w:tc>
        <w:tc>
          <w:tcPr>
            <w:tcW w:w="389" w:type="pct"/>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22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66</w:t>
            </w:r>
          </w:p>
        </w:tc>
        <w:tc>
          <w:tcPr>
            <w:tcW w:w="71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谢源路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铁路桥一盛居路</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308</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3080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616</w:t>
            </w: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2.1</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1293.6</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4373.6</w:t>
            </w:r>
          </w:p>
        </w:tc>
        <w:tc>
          <w:tcPr>
            <w:tcW w:w="389" w:type="pct"/>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22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7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友兰大道-金唐花园</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255</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2550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510</w:t>
            </w: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5.1</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2601</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5151</w:t>
            </w:r>
          </w:p>
        </w:tc>
        <w:tc>
          <w:tcPr>
            <w:tcW w:w="389" w:type="pct"/>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67</w:t>
            </w:r>
          </w:p>
        </w:tc>
        <w:tc>
          <w:tcPr>
            <w:tcW w:w="71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金唐花园路</w:t>
            </w:r>
          </w:p>
        </w:tc>
        <w:tc>
          <w:tcPr>
            <w:tcW w:w="109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新春路-谢源路</w:t>
            </w:r>
          </w:p>
        </w:tc>
        <w:tc>
          <w:tcPr>
            <w:tcW w:w="33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320</w:t>
            </w:r>
          </w:p>
        </w:tc>
        <w:tc>
          <w:tcPr>
            <w:tcW w:w="3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6.3</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2016</w:t>
            </w:r>
          </w:p>
        </w:tc>
        <w:tc>
          <w:tcPr>
            <w:tcW w:w="3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640</w:t>
            </w:r>
          </w:p>
        </w:tc>
        <w:tc>
          <w:tcPr>
            <w:tcW w:w="3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1920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3936</w:t>
            </w:r>
          </w:p>
        </w:tc>
        <w:tc>
          <w:tcPr>
            <w:tcW w:w="389" w:type="pct"/>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22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68</w:t>
            </w:r>
          </w:p>
        </w:tc>
        <w:tc>
          <w:tcPr>
            <w:tcW w:w="710"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拱文路</w:t>
            </w:r>
          </w:p>
        </w:tc>
        <w:tc>
          <w:tcPr>
            <w:tcW w:w="10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文峰路-星江路（路南人行道）</w:t>
            </w:r>
          </w:p>
        </w:tc>
        <w:tc>
          <w:tcPr>
            <w:tcW w:w="33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560</w:t>
            </w:r>
          </w:p>
        </w:tc>
        <w:tc>
          <w:tcPr>
            <w:tcW w:w="3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23</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12880</w:t>
            </w:r>
          </w:p>
        </w:tc>
        <w:tc>
          <w:tcPr>
            <w:tcW w:w="3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560</w:t>
            </w:r>
          </w:p>
        </w:tc>
        <w:tc>
          <w:tcPr>
            <w:tcW w:w="3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3416</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16296</w:t>
            </w:r>
          </w:p>
        </w:tc>
        <w:tc>
          <w:tcPr>
            <w:tcW w:w="389" w:type="pct"/>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22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710"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文峰路-星江路（路北人行道）</w:t>
            </w:r>
          </w:p>
        </w:tc>
        <w:tc>
          <w:tcPr>
            <w:tcW w:w="33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0</w:t>
            </w:r>
          </w:p>
        </w:tc>
        <w:tc>
          <w:tcPr>
            <w:tcW w:w="3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420</w:t>
            </w:r>
          </w:p>
        </w:tc>
        <w:tc>
          <w:tcPr>
            <w:tcW w:w="3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3780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3780</w:t>
            </w:r>
          </w:p>
        </w:tc>
        <w:tc>
          <w:tcPr>
            <w:tcW w:w="389" w:type="pct"/>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22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710"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文峰路-星江路（路北人行道）</w:t>
            </w:r>
          </w:p>
        </w:tc>
        <w:tc>
          <w:tcPr>
            <w:tcW w:w="33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0</w:t>
            </w:r>
          </w:p>
        </w:tc>
        <w:tc>
          <w:tcPr>
            <w:tcW w:w="3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140</w:t>
            </w:r>
          </w:p>
        </w:tc>
        <w:tc>
          <w:tcPr>
            <w:tcW w:w="3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4.1</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574</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574</w:t>
            </w:r>
          </w:p>
        </w:tc>
        <w:tc>
          <w:tcPr>
            <w:tcW w:w="389" w:type="pct"/>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22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69</w:t>
            </w:r>
          </w:p>
        </w:tc>
        <w:tc>
          <w:tcPr>
            <w:tcW w:w="710"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银花东路</w:t>
            </w:r>
          </w:p>
        </w:tc>
        <w:tc>
          <w:tcPr>
            <w:tcW w:w="10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李季路-公主路（路北道牙）</w:t>
            </w:r>
          </w:p>
        </w:tc>
        <w:tc>
          <w:tcPr>
            <w:tcW w:w="33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398</w:t>
            </w:r>
          </w:p>
        </w:tc>
        <w:tc>
          <w:tcPr>
            <w:tcW w:w="3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21.4</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8517.2</w:t>
            </w:r>
          </w:p>
        </w:tc>
        <w:tc>
          <w:tcPr>
            <w:tcW w:w="3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398</w:t>
            </w:r>
          </w:p>
        </w:tc>
        <w:tc>
          <w:tcPr>
            <w:tcW w:w="3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6.6</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2626.8</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11144</w:t>
            </w:r>
          </w:p>
        </w:tc>
        <w:tc>
          <w:tcPr>
            <w:tcW w:w="389" w:type="pct"/>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22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710"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李季路-公主路（路南道牙）</w:t>
            </w:r>
          </w:p>
        </w:tc>
        <w:tc>
          <w:tcPr>
            <w:tcW w:w="33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i w:val="0"/>
                <w:iCs w:val="0"/>
                <w:color w:val="000000"/>
                <w:sz w:val="24"/>
                <w:szCs w:val="24"/>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i w:val="0"/>
                <w:iCs w:val="0"/>
                <w:color w:val="000000"/>
                <w:sz w:val="24"/>
                <w:szCs w:val="24"/>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0</w:t>
            </w:r>
          </w:p>
        </w:tc>
        <w:tc>
          <w:tcPr>
            <w:tcW w:w="3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248</w:t>
            </w:r>
          </w:p>
        </w:tc>
        <w:tc>
          <w:tcPr>
            <w:tcW w:w="3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14.7</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3645.6</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3645.6</w:t>
            </w:r>
          </w:p>
        </w:tc>
        <w:tc>
          <w:tcPr>
            <w:tcW w:w="389" w:type="pct"/>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22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710"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i w:val="0"/>
                <w:iCs w:val="0"/>
                <w:color w:val="000000"/>
                <w:sz w:val="24"/>
                <w:szCs w:val="24"/>
                <w:u w:val="none"/>
              </w:rPr>
            </w:pPr>
          </w:p>
        </w:tc>
        <w:tc>
          <w:tcPr>
            <w:tcW w:w="10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星江路--李季路</w:t>
            </w:r>
          </w:p>
        </w:tc>
        <w:tc>
          <w:tcPr>
            <w:tcW w:w="33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618</w:t>
            </w:r>
          </w:p>
        </w:tc>
        <w:tc>
          <w:tcPr>
            <w:tcW w:w="3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12.3</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7601.4</w:t>
            </w:r>
          </w:p>
        </w:tc>
        <w:tc>
          <w:tcPr>
            <w:tcW w:w="3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7601.4</w:t>
            </w:r>
          </w:p>
        </w:tc>
        <w:tc>
          <w:tcPr>
            <w:tcW w:w="389" w:type="pct"/>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70</w:t>
            </w:r>
          </w:p>
        </w:tc>
        <w:tc>
          <w:tcPr>
            <w:tcW w:w="7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创业家园东西路</w:t>
            </w:r>
          </w:p>
        </w:tc>
        <w:tc>
          <w:tcPr>
            <w:tcW w:w="10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创业家园A区东隔墙向西至公主南路</w:t>
            </w:r>
          </w:p>
        </w:tc>
        <w:tc>
          <w:tcPr>
            <w:tcW w:w="3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490</w:t>
            </w:r>
          </w:p>
        </w:tc>
        <w:tc>
          <w:tcPr>
            <w:tcW w:w="33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13</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6370</w:t>
            </w:r>
          </w:p>
        </w:tc>
        <w:tc>
          <w:tcPr>
            <w:tcW w:w="33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490</w:t>
            </w:r>
          </w:p>
        </w:tc>
        <w:tc>
          <w:tcPr>
            <w:tcW w:w="35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2940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9310</w:t>
            </w:r>
          </w:p>
        </w:tc>
        <w:tc>
          <w:tcPr>
            <w:tcW w:w="389" w:type="pct"/>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3032"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说明：增加新春路西侧面积、去掉上海大道面积</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总计</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2363309.615</w:t>
            </w:r>
          </w:p>
        </w:tc>
        <w:tc>
          <w:tcPr>
            <w:tcW w:w="3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bl>
    <w:p>
      <w:pPr>
        <w:jc w:val="center"/>
        <w:rPr>
          <w:rFonts w:hint="eastAsia" w:ascii="宋体" w:hAnsi="宋体" w:eastAsia="宋体" w:cs="宋体"/>
          <w:b/>
          <w:bCs/>
          <w:spacing w:val="15"/>
          <w:sz w:val="31"/>
          <w:szCs w:val="31"/>
          <w:highlight w:val="none"/>
          <w:lang w:eastAsia="zh-CN"/>
        </w:rPr>
      </w:pPr>
    </w:p>
    <w:p>
      <w:pPr>
        <w:pStyle w:val="37"/>
        <w:rPr>
          <w:rFonts w:hint="eastAsia"/>
          <w:lang w:eastAsia="zh-CN"/>
        </w:rPr>
      </w:pPr>
    </w:p>
    <w:p>
      <w:pPr>
        <w:pStyle w:val="20"/>
        <w:rPr>
          <w:rFonts w:ascii="宋体" w:hAnsi="宋体" w:eastAsia="宋体" w:cs="宋体"/>
          <w:b/>
          <w:bCs/>
          <w:spacing w:val="15"/>
          <w:sz w:val="31"/>
          <w:szCs w:val="31"/>
          <w:highlight w:val="none"/>
        </w:rPr>
      </w:pPr>
    </w:p>
    <w:p>
      <w:pPr>
        <w:pStyle w:val="20"/>
        <w:rPr>
          <w:rFonts w:ascii="宋体" w:hAnsi="宋体" w:eastAsia="宋体" w:cs="宋体"/>
          <w:b/>
          <w:bCs/>
          <w:spacing w:val="15"/>
          <w:sz w:val="31"/>
          <w:szCs w:val="31"/>
          <w:highlight w:val="none"/>
        </w:rPr>
        <w:sectPr>
          <w:pgSz w:w="16839" w:h="11907" w:orient="landscape"/>
          <w:pgMar w:top="1051" w:right="1476" w:bottom="1049" w:left="1226" w:header="1155" w:footer="958" w:gutter="0"/>
          <w:pgNumType w:fmt="numberInDash"/>
          <w:cols w:space="720" w:num="1"/>
        </w:sectPr>
      </w:pPr>
    </w:p>
    <w:p>
      <w:pPr>
        <w:jc w:val="center"/>
        <w:outlineLvl w:val="9"/>
        <w:rPr>
          <w:color w:val="000000"/>
          <w:highlight w:val="none"/>
        </w:rPr>
      </w:pPr>
      <w:r>
        <w:rPr>
          <w:rFonts w:hint="eastAsia"/>
          <w:b/>
          <w:bCs/>
          <w:color w:val="000000"/>
          <w:sz w:val="28"/>
          <w:szCs w:val="28"/>
          <w:highlight w:val="none"/>
        </w:rPr>
        <w:t>唐河县政府采购合同融资告知函</w:t>
      </w:r>
    </w:p>
    <w:p>
      <w:pPr>
        <w:ind w:firstLine="420" w:firstLineChars="200"/>
        <w:outlineLvl w:val="9"/>
        <w:rPr>
          <w:color w:val="000000"/>
          <w:sz w:val="21"/>
          <w:szCs w:val="21"/>
          <w:highlight w:val="none"/>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9"/>
        <w:rPr>
          <w:color w:val="000000"/>
          <w:sz w:val="24"/>
          <w:szCs w:val="24"/>
          <w:highlight w:val="none"/>
        </w:rPr>
      </w:pPr>
      <w:r>
        <w:rPr>
          <w:rFonts w:hint="eastAsia"/>
          <w:color w:val="000000"/>
          <w:sz w:val="24"/>
          <w:szCs w:val="24"/>
          <w:highlight w:val="none"/>
        </w:rPr>
        <w:t>各供应商：</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9"/>
        <w:rPr>
          <w:color w:val="000000"/>
          <w:sz w:val="24"/>
          <w:szCs w:val="24"/>
          <w:highlight w:val="none"/>
        </w:rPr>
      </w:pPr>
      <w:r>
        <w:rPr>
          <w:rFonts w:hint="eastAsia"/>
          <w:color w:val="000000"/>
          <w:sz w:val="24"/>
          <w:szCs w:val="24"/>
          <w:highlight w:val="none"/>
        </w:rPr>
        <w:t>欢迎贵公司参与河南省政府采购活动！</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9"/>
        <w:rPr>
          <w:color w:val="000000"/>
          <w:sz w:val="24"/>
          <w:szCs w:val="24"/>
          <w:highlight w:val="none"/>
        </w:rPr>
      </w:pPr>
      <w:r>
        <w:rPr>
          <w:rFonts w:hint="eastAsia"/>
          <w:color w:val="000000"/>
          <w:sz w:val="24"/>
          <w:szCs w:val="24"/>
          <w:highlight w:val="none"/>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9"/>
        <w:rPr>
          <w:color w:val="000000"/>
          <w:sz w:val="24"/>
          <w:szCs w:val="24"/>
          <w:highlight w:val="none"/>
        </w:rPr>
      </w:pPr>
      <w:r>
        <w:rPr>
          <w:rFonts w:hint="eastAsia"/>
          <w:color w:val="000000"/>
          <w:sz w:val="24"/>
          <w:szCs w:val="24"/>
          <w:highlight w:val="none"/>
        </w:rPr>
        <w:t>贷款渠道和提供贷款的金融机构，可在河南省政府采购网“河南省政府采购合同融资平台”查询联系。</w:t>
      </w:r>
    </w:p>
    <w:p>
      <w:pPr>
        <w:jc w:val="center"/>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br w:type="page"/>
      </w:r>
    </w:p>
    <w:p>
      <w:pPr>
        <w:jc w:val="center"/>
        <w:rPr>
          <w:rFonts w:hint="eastAsia" w:ascii="宋体" w:hAnsi="宋体" w:eastAsia="宋体" w:cs="宋体"/>
          <w:spacing w:val="1"/>
          <w:sz w:val="24"/>
          <w:szCs w:val="24"/>
          <w:highlight w:val="none"/>
        </w:rPr>
      </w:pPr>
    </w:p>
    <w:p>
      <w:pPr>
        <w:jc w:val="center"/>
        <w:rPr>
          <w:rFonts w:hint="eastAsia" w:ascii="宋体" w:hAnsi="宋体" w:eastAsia="宋体" w:cs="宋体"/>
          <w:b/>
          <w:bCs/>
          <w:spacing w:val="1"/>
          <w:sz w:val="32"/>
          <w:szCs w:val="32"/>
          <w:highlight w:val="none"/>
          <w:lang w:val="en-US" w:eastAsia="zh-CN"/>
        </w:rPr>
      </w:pPr>
      <w:r>
        <w:rPr>
          <w:rFonts w:hint="eastAsia" w:ascii="宋体" w:hAnsi="宋体" w:eastAsia="宋体" w:cs="宋体"/>
          <w:b/>
          <w:bCs/>
          <w:spacing w:val="1"/>
          <w:sz w:val="32"/>
          <w:szCs w:val="32"/>
          <w:highlight w:val="none"/>
          <w:lang w:val="en-US" w:eastAsia="zh-CN"/>
        </w:rPr>
        <w:t>告知函</w:t>
      </w:r>
    </w:p>
    <w:p>
      <w:pPr>
        <w:jc w:val="center"/>
        <w:rPr>
          <w:rFonts w:hint="eastAsia" w:ascii="宋体" w:hAnsi="宋体" w:eastAsia="宋体" w:cs="宋体"/>
          <w:b/>
          <w:bCs/>
          <w:spacing w:val="15"/>
          <w:sz w:val="31"/>
          <w:szCs w:val="31"/>
          <w:highlight w:val="none"/>
          <w:lang w:eastAsia="zh-CN"/>
        </w:rPr>
      </w:pPr>
      <w:r>
        <w:rPr>
          <w:rFonts w:hint="eastAsia" w:ascii="宋体" w:hAnsi="宋体" w:eastAsia="宋体" w:cs="宋体"/>
          <w:b/>
          <w:bCs/>
          <w:spacing w:val="15"/>
          <w:sz w:val="31"/>
          <w:szCs w:val="31"/>
          <w:highlight w:val="none"/>
          <w:lang w:eastAsia="zh-CN"/>
        </w:rPr>
        <w:drawing>
          <wp:inline distT="0" distB="0" distL="114300" distR="114300">
            <wp:extent cx="5017135" cy="7047865"/>
            <wp:effectExtent l="0" t="0" r="12065" b="635"/>
            <wp:docPr id="3" name="图片 3" descr="79b1ef7f62fc5b2b42283f244077f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79b1ef7f62fc5b2b42283f244077f00"/>
                    <pic:cNvPicPr>
                      <a:picLocks noChangeAspect="1"/>
                    </pic:cNvPicPr>
                  </pic:nvPicPr>
                  <pic:blipFill>
                    <a:blip r:embed="rId17"/>
                    <a:stretch>
                      <a:fillRect/>
                    </a:stretch>
                  </pic:blipFill>
                  <pic:spPr>
                    <a:xfrm>
                      <a:off x="0" y="0"/>
                      <a:ext cx="5017135" cy="7047865"/>
                    </a:xfrm>
                    <a:prstGeom prst="rect">
                      <a:avLst/>
                    </a:prstGeom>
                  </pic:spPr>
                </pic:pic>
              </a:graphicData>
            </a:graphic>
          </wp:inline>
        </w:drawing>
      </w:r>
      <w:r>
        <w:rPr>
          <w:rFonts w:hint="eastAsia" w:ascii="宋体" w:hAnsi="宋体" w:eastAsia="宋体" w:cs="宋体"/>
          <w:b/>
          <w:bCs/>
          <w:spacing w:val="15"/>
          <w:sz w:val="31"/>
          <w:szCs w:val="31"/>
          <w:highlight w:val="none"/>
          <w:lang w:eastAsia="zh-CN"/>
        </w:rPr>
        <w:br w:type="page"/>
      </w:r>
    </w:p>
    <w:p>
      <w:pPr>
        <w:pStyle w:val="37"/>
        <w:rPr>
          <w:rFonts w:hint="eastAsia"/>
          <w:lang w:eastAsia="zh-CN"/>
        </w:rPr>
      </w:pPr>
    </w:p>
    <w:p>
      <w:pPr>
        <w:pStyle w:val="37"/>
        <w:rPr>
          <w:rFonts w:hint="eastAsia"/>
          <w:lang w:eastAsia="zh-CN"/>
        </w:rPr>
      </w:pPr>
    </w:p>
    <w:p>
      <w:pPr>
        <w:jc w:val="center"/>
        <w:rPr>
          <w:rFonts w:ascii="宋体" w:hAnsi="宋体" w:eastAsia="宋体" w:cs="宋体"/>
          <w:b/>
          <w:bCs/>
          <w:sz w:val="31"/>
          <w:szCs w:val="31"/>
          <w:highlight w:val="none"/>
        </w:rPr>
      </w:pPr>
      <w:r>
        <w:rPr>
          <w:rFonts w:ascii="宋体" w:hAnsi="宋体" w:eastAsia="宋体" w:cs="宋体"/>
          <w:b/>
          <w:bCs/>
          <w:spacing w:val="15"/>
          <w:sz w:val="31"/>
          <w:szCs w:val="31"/>
          <w:highlight w:val="none"/>
        </w:rPr>
        <w:t>第</w:t>
      </w:r>
      <w:r>
        <w:rPr>
          <w:rFonts w:hint="eastAsia" w:ascii="宋体" w:hAnsi="宋体" w:eastAsia="宋体" w:cs="宋体"/>
          <w:b/>
          <w:bCs/>
          <w:spacing w:val="8"/>
          <w:sz w:val="31"/>
          <w:szCs w:val="31"/>
          <w:highlight w:val="none"/>
        </w:rPr>
        <w:t>五</w:t>
      </w:r>
      <w:r>
        <w:rPr>
          <w:rFonts w:ascii="宋体" w:hAnsi="宋体" w:eastAsia="宋体" w:cs="宋体"/>
          <w:b/>
          <w:bCs/>
          <w:spacing w:val="8"/>
          <w:sz w:val="31"/>
          <w:szCs w:val="31"/>
          <w:highlight w:val="none"/>
        </w:rPr>
        <w:t>部分</w:t>
      </w:r>
      <w:r>
        <w:rPr>
          <w:rFonts w:hint="eastAsia" w:ascii="宋体" w:hAnsi="宋体" w:eastAsia="宋体" w:cs="宋体"/>
          <w:b/>
          <w:bCs/>
          <w:spacing w:val="8"/>
          <w:sz w:val="31"/>
          <w:szCs w:val="31"/>
          <w:highlight w:val="none"/>
          <w:lang w:val="en-US" w:eastAsia="zh-CN"/>
        </w:rPr>
        <w:t xml:space="preserve"> </w:t>
      </w:r>
      <w:r>
        <w:rPr>
          <w:rFonts w:ascii="宋体" w:hAnsi="宋体" w:eastAsia="宋体" w:cs="宋体"/>
          <w:b/>
          <w:bCs/>
          <w:spacing w:val="8"/>
          <w:sz w:val="31"/>
          <w:szCs w:val="31"/>
          <w:highlight w:val="none"/>
        </w:rPr>
        <w:t>合同格式</w:t>
      </w:r>
    </w:p>
    <w:p>
      <w:pPr>
        <w:keepNext w:val="0"/>
        <w:keepLines w:val="0"/>
        <w:pageBreakBefore w:val="0"/>
        <w:widowControl w:val="0"/>
        <w:kinsoku/>
        <w:wordWrap/>
        <w:overflowPunct/>
        <w:topLinePunct w:val="0"/>
        <w:autoSpaceDE w:val="0"/>
        <w:autoSpaceDN w:val="0"/>
        <w:bidi w:val="0"/>
        <w:adjustRightInd/>
        <w:snapToGrid/>
        <w:spacing w:line="360" w:lineRule="auto"/>
        <w:ind w:firstLine="640" w:firstLineChars="200"/>
        <w:jc w:val="center"/>
        <w:textAlignment w:val="auto"/>
        <w:rPr>
          <w:rFonts w:hint="eastAsia"/>
          <w:b/>
          <w:sz w:val="32"/>
          <w:szCs w:val="32"/>
          <w:highlight w:val="none"/>
        </w:rPr>
      </w:pPr>
      <w:r>
        <w:rPr>
          <w:rFonts w:hint="eastAsia"/>
          <w:b/>
          <w:sz w:val="32"/>
          <w:szCs w:val="32"/>
          <w:highlight w:val="none"/>
        </w:rPr>
        <w:t>（仅供参考 以签订正式合同时为准）</w:t>
      </w:r>
    </w:p>
    <w:p>
      <w:pPr>
        <w:widowControl w:val="0"/>
        <w:kinsoku/>
        <w:adjustRightInd/>
        <w:snapToGrid/>
        <w:spacing w:line="360" w:lineRule="auto"/>
        <w:ind w:firstLine="480" w:firstLineChars="200"/>
        <w:jc w:val="both"/>
        <w:textAlignment w:val="auto"/>
        <w:rPr>
          <w:sz w:val="24"/>
          <w:highlight w:val="none"/>
        </w:rPr>
      </w:pPr>
      <w:r>
        <w:rPr>
          <w:rFonts w:hint="eastAsia"/>
          <w:sz w:val="24"/>
          <w:highlight w:val="none"/>
        </w:rPr>
        <w:t>《中华人民共和国招标投标法》、《中华人民共和国政府采购法》和其他法律、法规的规定，并按照公正、平等、自愿、诚实信用的原则，同意按照以下条款和条件，签署本合同。</w:t>
      </w:r>
    </w:p>
    <w:p>
      <w:pPr>
        <w:widowControl w:val="0"/>
        <w:kinsoku/>
        <w:adjustRightInd/>
        <w:snapToGrid/>
        <w:spacing w:line="360" w:lineRule="auto"/>
        <w:ind w:firstLine="480" w:firstLineChars="200"/>
        <w:jc w:val="both"/>
        <w:textAlignment w:val="auto"/>
        <w:rPr>
          <w:sz w:val="24"/>
          <w:highlight w:val="none"/>
        </w:rPr>
      </w:pPr>
      <w:bookmarkStart w:id="5" w:name="_Toc22466_WPSOffice_Level2"/>
      <w:r>
        <w:rPr>
          <w:rFonts w:hint="eastAsia"/>
          <w:sz w:val="24"/>
          <w:highlight w:val="none"/>
        </w:rPr>
        <w:t>合同文件</w:t>
      </w:r>
      <w:bookmarkEnd w:id="5"/>
    </w:p>
    <w:p>
      <w:pPr>
        <w:widowControl w:val="0"/>
        <w:kinsoku/>
        <w:adjustRightInd/>
        <w:snapToGrid/>
        <w:spacing w:line="360" w:lineRule="auto"/>
        <w:ind w:firstLine="480" w:firstLineChars="200"/>
        <w:jc w:val="both"/>
        <w:textAlignment w:val="auto"/>
        <w:rPr>
          <w:sz w:val="24"/>
          <w:highlight w:val="none"/>
        </w:rPr>
      </w:pPr>
      <w:bookmarkStart w:id="6" w:name="_Toc25689"/>
      <w:bookmarkStart w:id="7" w:name="_Toc20611"/>
      <w:r>
        <w:rPr>
          <w:rFonts w:hint="eastAsia"/>
          <w:sz w:val="24"/>
          <w:highlight w:val="none"/>
        </w:rPr>
        <w:t>本合同所附下列文件是构成本合同不可分割的部分：</w:t>
      </w:r>
      <w:bookmarkEnd w:id="6"/>
      <w:bookmarkEnd w:id="7"/>
    </w:p>
    <w:p>
      <w:pPr>
        <w:widowControl w:val="0"/>
        <w:kinsoku/>
        <w:adjustRightInd/>
        <w:snapToGrid/>
        <w:spacing w:line="360" w:lineRule="auto"/>
        <w:ind w:firstLine="480" w:firstLineChars="200"/>
        <w:jc w:val="both"/>
        <w:textAlignment w:val="auto"/>
        <w:rPr>
          <w:sz w:val="24"/>
          <w:highlight w:val="none"/>
        </w:rPr>
      </w:pPr>
      <w:bookmarkStart w:id="8" w:name="_Toc25255"/>
      <w:bookmarkStart w:id="9" w:name="_Toc12304"/>
      <w:r>
        <w:rPr>
          <w:rFonts w:hint="eastAsia"/>
          <w:sz w:val="24"/>
          <w:highlight w:val="none"/>
        </w:rPr>
        <w:t>（一）本项目招标文件</w:t>
      </w:r>
      <w:bookmarkEnd w:id="8"/>
      <w:bookmarkEnd w:id="9"/>
    </w:p>
    <w:p>
      <w:pPr>
        <w:widowControl w:val="0"/>
        <w:kinsoku/>
        <w:adjustRightInd/>
        <w:snapToGrid/>
        <w:spacing w:line="360" w:lineRule="auto"/>
        <w:ind w:firstLine="480" w:firstLineChars="200"/>
        <w:jc w:val="both"/>
        <w:textAlignment w:val="auto"/>
        <w:rPr>
          <w:sz w:val="24"/>
          <w:highlight w:val="none"/>
        </w:rPr>
      </w:pPr>
      <w:bookmarkStart w:id="10" w:name="_Toc3310"/>
      <w:bookmarkStart w:id="11" w:name="_Toc8524"/>
      <w:r>
        <w:rPr>
          <w:rFonts w:hint="eastAsia"/>
          <w:sz w:val="24"/>
          <w:highlight w:val="none"/>
        </w:rPr>
        <w:t>（二）供应商的投标文件</w:t>
      </w:r>
      <w:bookmarkEnd w:id="10"/>
      <w:bookmarkEnd w:id="11"/>
    </w:p>
    <w:p>
      <w:pPr>
        <w:widowControl w:val="0"/>
        <w:kinsoku/>
        <w:adjustRightInd/>
        <w:snapToGrid/>
        <w:spacing w:line="360" w:lineRule="auto"/>
        <w:ind w:firstLine="480" w:firstLineChars="200"/>
        <w:jc w:val="both"/>
        <w:textAlignment w:val="auto"/>
        <w:rPr>
          <w:sz w:val="24"/>
          <w:highlight w:val="none"/>
        </w:rPr>
      </w:pPr>
      <w:bookmarkStart w:id="12" w:name="_Toc13552"/>
      <w:bookmarkStart w:id="13" w:name="_Toc11043"/>
      <w:r>
        <w:rPr>
          <w:rFonts w:hint="eastAsia"/>
          <w:sz w:val="24"/>
          <w:highlight w:val="none"/>
        </w:rPr>
        <w:t>（三）合同格式、合同条款</w:t>
      </w:r>
      <w:bookmarkEnd w:id="12"/>
      <w:bookmarkEnd w:id="13"/>
    </w:p>
    <w:p>
      <w:pPr>
        <w:widowControl w:val="0"/>
        <w:kinsoku/>
        <w:adjustRightInd/>
        <w:snapToGrid/>
        <w:spacing w:line="360" w:lineRule="auto"/>
        <w:ind w:firstLine="480" w:firstLineChars="200"/>
        <w:jc w:val="both"/>
        <w:textAlignment w:val="auto"/>
        <w:rPr>
          <w:sz w:val="24"/>
          <w:highlight w:val="none"/>
        </w:rPr>
      </w:pPr>
      <w:bookmarkStart w:id="14" w:name="_Toc3434"/>
      <w:bookmarkStart w:id="15" w:name="_Toc17684"/>
      <w:r>
        <w:rPr>
          <w:rFonts w:hint="eastAsia"/>
          <w:sz w:val="24"/>
          <w:highlight w:val="none"/>
        </w:rPr>
        <w:t>（四）中标人在评标过程中做出的有关澄清、说明或者补正文件</w:t>
      </w:r>
      <w:bookmarkEnd w:id="14"/>
      <w:bookmarkEnd w:id="15"/>
    </w:p>
    <w:p>
      <w:pPr>
        <w:widowControl w:val="0"/>
        <w:kinsoku/>
        <w:adjustRightInd/>
        <w:snapToGrid/>
        <w:spacing w:line="360" w:lineRule="auto"/>
        <w:ind w:firstLine="480" w:firstLineChars="200"/>
        <w:jc w:val="both"/>
        <w:textAlignment w:val="auto"/>
        <w:rPr>
          <w:sz w:val="24"/>
          <w:highlight w:val="none"/>
        </w:rPr>
      </w:pPr>
      <w:bookmarkStart w:id="16" w:name="_Toc24029"/>
      <w:bookmarkStart w:id="17" w:name="_Toc17949"/>
      <w:r>
        <w:rPr>
          <w:rFonts w:hint="eastAsia"/>
          <w:sz w:val="24"/>
          <w:highlight w:val="none"/>
        </w:rPr>
        <w:t>（五）</w:t>
      </w:r>
      <w:r>
        <w:rPr>
          <w:rFonts w:hint="eastAsia" w:ascii="宋体" w:hAnsi="宋体" w:eastAsia="宋体" w:cs="宋体"/>
          <w:sz w:val="24"/>
          <w:szCs w:val="24"/>
          <w:highlight w:val="none"/>
        </w:rPr>
        <w:t>中标</w:t>
      </w:r>
      <w:r>
        <w:rPr>
          <w:rFonts w:hint="eastAsia"/>
          <w:sz w:val="24"/>
          <w:highlight w:val="none"/>
        </w:rPr>
        <w:t>通知书</w:t>
      </w:r>
      <w:bookmarkEnd w:id="16"/>
      <w:bookmarkEnd w:id="17"/>
    </w:p>
    <w:p>
      <w:pPr>
        <w:widowControl w:val="0"/>
        <w:kinsoku/>
        <w:adjustRightInd/>
        <w:snapToGrid/>
        <w:spacing w:line="360" w:lineRule="auto"/>
        <w:ind w:firstLine="480" w:firstLineChars="200"/>
        <w:jc w:val="both"/>
        <w:textAlignment w:val="auto"/>
        <w:rPr>
          <w:sz w:val="24"/>
          <w:highlight w:val="none"/>
        </w:rPr>
      </w:pPr>
      <w:bookmarkStart w:id="18" w:name="_Toc25248"/>
      <w:bookmarkStart w:id="19" w:name="_Toc4313"/>
      <w:r>
        <w:rPr>
          <w:rFonts w:hint="eastAsia"/>
          <w:sz w:val="24"/>
          <w:highlight w:val="none"/>
        </w:rPr>
        <w:t>（六）本合同附件</w:t>
      </w:r>
      <w:bookmarkEnd w:id="18"/>
      <w:bookmarkEnd w:id="19"/>
    </w:p>
    <w:p>
      <w:pPr>
        <w:widowControl w:val="0"/>
        <w:kinsoku/>
        <w:adjustRightInd/>
        <w:snapToGrid/>
        <w:spacing w:line="360" w:lineRule="auto"/>
        <w:ind w:firstLine="480" w:firstLineChars="200"/>
        <w:jc w:val="both"/>
        <w:textAlignment w:val="auto"/>
        <w:rPr>
          <w:sz w:val="24"/>
          <w:highlight w:val="none"/>
        </w:rPr>
      </w:pPr>
      <w:bookmarkStart w:id="20" w:name="_Toc24717"/>
      <w:bookmarkStart w:id="21" w:name="_Toc7727"/>
      <w:bookmarkStart w:id="22" w:name="_Toc13630_WPSOffice_Level2"/>
      <w:r>
        <w:rPr>
          <w:rFonts w:hint="eastAsia"/>
          <w:sz w:val="24"/>
          <w:highlight w:val="none"/>
        </w:rPr>
        <w:t>二、合同的范围和条件</w:t>
      </w:r>
      <w:bookmarkEnd w:id="20"/>
      <w:bookmarkEnd w:id="21"/>
      <w:bookmarkEnd w:id="22"/>
    </w:p>
    <w:p>
      <w:pPr>
        <w:widowControl w:val="0"/>
        <w:kinsoku/>
        <w:adjustRightInd/>
        <w:snapToGrid/>
        <w:spacing w:line="360" w:lineRule="auto"/>
        <w:ind w:firstLine="480" w:firstLineChars="200"/>
        <w:jc w:val="both"/>
        <w:textAlignment w:val="auto"/>
        <w:rPr>
          <w:sz w:val="24"/>
          <w:highlight w:val="none"/>
        </w:rPr>
      </w:pPr>
      <w:r>
        <w:rPr>
          <w:rFonts w:hint="eastAsia"/>
          <w:sz w:val="24"/>
          <w:highlight w:val="none"/>
        </w:rPr>
        <w:t>本合同的范围和条件应与上述合同文件的规定相一致。</w:t>
      </w:r>
    </w:p>
    <w:p>
      <w:pPr>
        <w:widowControl w:val="0"/>
        <w:kinsoku/>
        <w:adjustRightInd/>
        <w:snapToGrid/>
        <w:spacing w:line="360" w:lineRule="auto"/>
        <w:ind w:firstLine="480" w:firstLineChars="200"/>
        <w:jc w:val="both"/>
        <w:textAlignment w:val="auto"/>
        <w:rPr>
          <w:sz w:val="24"/>
          <w:highlight w:val="none"/>
        </w:rPr>
      </w:pPr>
      <w:bookmarkStart w:id="23" w:name="_Toc21864"/>
      <w:bookmarkStart w:id="24" w:name="_Toc15521_WPSOffice_Level2"/>
      <w:bookmarkStart w:id="25" w:name="_Toc18794"/>
      <w:r>
        <w:rPr>
          <w:rFonts w:hint="eastAsia"/>
          <w:sz w:val="24"/>
          <w:highlight w:val="none"/>
        </w:rPr>
        <w:t>三、合同金额</w:t>
      </w:r>
      <w:bookmarkEnd w:id="23"/>
      <w:bookmarkEnd w:id="24"/>
      <w:bookmarkEnd w:id="25"/>
    </w:p>
    <w:p>
      <w:pPr>
        <w:widowControl w:val="0"/>
        <w:kinsoku/>
        <w:adjustRightInd/>
        <w:snapToGrid/>
        <w:spacing w:line="360" w:lineRule="auto"/>
        <w:ind w:firstLine="480" w:firstLineChars="200"/>
        <w:jc w:val="both"/>
        <w:textAlignment w:val="auto"/>
        <w:rPr>
          <w:sz w:val="24"/>
          <w:highlight w:val="none"/>
        </w:rPr>
      </w:pPr>
      <w:bookmarkStart w:id="26" w:name="_Toc12265"/>
      <w:bookmarkStart w:id="27" w:name="_Toc15284"/>
      <w:r>
        <w:rPr>
          <w:rFonts w:hint="eastAsia"/>
          <w:sz w:val="24"/>
          <w:highlight w:val="none"/>
        </w:rPr>
        <w:t xml:space="preserve">合同总金额：人民币： </w:t>
      </w:r>
      <w:r>
        <w:rPr>
          <w:rFonts w:hint="eastAsia"/>
          <w:sz w:val="24"/>
          <w:highlight w:val="none"/>
        </w:rPr>
        <w:tab/>
      </w:r>
      <w:r>
        <w:rPr>
          <w:rFonts w:hint="eastAsia"/>
          <w:sz w:val="24"/>
          <w:highlight w:val="none"/>
        </w:rPr>
        <w:t xml:space="preserve">元（大写） 人民币： </w:t>
      </w:r>
      <w:r>
        <w:rPr>
          <w:rFonts w:hint="eastAsia"/>
          <w:sz w:val="24"/>
          <w:highlight w:val="none"/>
        </w:rPr>
        <w:tab/>
      </w:r>
      <w:r>
        <w:rPr>
          <w:rFonts w:hint="eastAsia"/>
          <w:sz w:val="24"/>
          <w:highlight w:val="none"/>
        </w:rPr>
        <w:t>元（小写）</w:t>
      </w:r>
      <w:bookmarkEnd w:id="26"/>
      <w:bookmarkEnd w:id="27"/>
    </w:p>
    <w:p>
      <w:pPr>
        <w:widowControl w:val="0"/>
        <w:kinsoku/>
        <w:adjustRightInd/>
        <w:snapToGrid/>
        <w:spacing w:line="360" w:lineRule="auto"/>
        <w:ind w:firstLine="480" w:firstLineChars="200"/>
        <w:jc w:val="both"/>
        <w:textAlignment w:val="auto"/>
        <w:rPr>
          <w:sz w:val="24"/>
          <w:highlight w:val="none"/>
        </w:rPr>
      </w:pPr>
      <w:bookmarkStart w:id="28" w:name="_Toc26017_WPSOffice_Level2"/>
      <w:r>
        <w:rPr>
          <w:rFonts w:hint="eastAsia"/>
          <w:sz w:val="24"/>
          <w:highlight w:val="none"/>
        </w:rPr>
        <w:t>质量要求：</w:t>
      </w:r>
      <w:bookmarkEnd w:id="28"/>
    </w:p>
    <w:p>
      <w:pPr>
        <w:widowControl w:val="0"/>
        <w:kinsoku/>
        <w:adjustRightInd/>
        <w:snapToGrid/>
        <w:spacing w:line="360" w:lineRule="auto"/>
        <w:ind w:firstLine="480" w:firstLineChars="200"/>
        <w:jc w:val="both"/>
        <w:textAlignment w:val="auto"/>
        <w:rPr>
          <w:sz w:val="24"/>
          <w:highlight w:val="none"/>
        </w:rPr>
      </w:pPr>
      <w:bookmarkStart w:id="29" w:name="_Toc4377_WPSOffice_Level2"/>
      <w:r>
        <w:rPr>
          <w:rFonts w:hint="eastAsia"/>
          <w:sz w:val="24"/>
          <w:highlight w:val="none"/>
        </w:rPr>
        <w:t>付款方式</w:t>
      </w:r>
      <w:bookmarkEnd w:id="29"/>
    </w:p>
    <w:p>
      <w:pPr>
        <w:widowControl w:val="0"/>
        <w:kinsoku/>
        <w:adjustRightInd/>
        <w:snapToGrid/>
        <w:spacing w:line="360" w:lineRule="auto"/>
        <w:ind w:firstLine="480" w:firstLineChars="200"/>
        <w:jc w:val="both"/>
        <w:textAlignment w:val="auto"/>
        <w:rPr>
          <w:sz w:val="24"/>
          <w:highlight w:val="none"/>
        </w:rPr>
      </w:pPr>
      <w:r>
        <w:rPr>
          <w:rFonts w:hint="eastAsia"/>
          <w:sz w:val="24"/>
          <w:highlight w:val="none"/>
        </w:rPr>
        <w:t>付款方式：</w:t>
      </w:r>
    </w:p>
    <w:p>
      <w:pPr>
        <w:widowControl w:val="0"/>
        <w:kinsoku/>
        <w:adjustRightInd/>
        <w:snapToGrid/>
        <w:spacing w:line="360" w:lineRule="auto"/>
        <w:ind w:firstLine="480" w:firstLineChars="200"/>
        <w:jc w:val="both"/>
        <w:textAlignment w:val="auto"/>
        <w:rPr>
          <w:sz w:val="24"/>
          <w:highlight w:val="none"/>
        </w:rPr>
      </w:pPr>
      <w:bookmarkStart w:id="30" w:name="_Toc12155_WPSOffice_Level2"/>
      <w:r>
        <w:rPr>
          <w:rFonts w:hint="eastAsia"/>
          <w:sz w:val="24"/>
          <w:highlight w:val="none"/>
        </w:rPr>
        <w:t>服务日期、地点</w:t>
      </w:r>
      <w:bookmarkEnd w:id="30"/>
    </w:p>
    <w:p>
      <w:pPr>
        <w:widowControl w:val="0"/>
        <w:kinsoku/>
        <w:adjustRightInd/>
        <w:snapToGrid/>
        <w:spacing w:line="360" w:lineRule="auto"/>
        <w:ind w:firstLine="480" w:firstLineChars="200"/>
        <w:jc w:val="both"/>
        <w:textAlignment w:val="auto"/>
        <w:rPr>
          <w:sz w:val="24"/>
          <w:highlight w:val="none"/>
        </w:rPr>
      </w:pPr>
      <w:r>
        <w:rPr>
          <w:rFonts w:hint="eastAsia"/>
          <w:sz w:val="24"/>
          <w:highlight w:val="none"/>
        </w:rPr>
        <w:t xml:space="preserve">服务时间：于 </w:t>
      </w:r>
      <w:r>
        <w:rPr>
          <w:rFonts w:hint="eastAsia"/>
          <w:sz w:val="24"/>
          <w:highlight w:val="none"/>
        </w:rPr>
        <w:tab/>
      </w:r>
      <w:r>
        <w:rPr>
          <w:rFonts w:hint="eastAsia"/>
          <w:sz w:val="24"/>
          <w:highlight w:val="none"/>
        </w:rPr>
        <w:t xml:space="preserve">年 </w:t>
      </w:r>
      <w:r>
        <w:rPr>
          <w:rFonts w:hint="eastAsia"/>
          <w:sz w:val="24"/>
          <w:highlight w:val="none"/>
        </w:rPr>
        <w:tab/>
      </w:r>
      <w:r>
        <w:rPr>
          <w:rFonts w:hint="eastAsia"/>
          <w:sz w:val="24"/>
          <w:highlight w:val="none"/>
        </w:rPr>
        <w:t xml:space="preserve">月 </w:t>
      </w:r>
      <w:r>
        <w:rPr>
          <w:rFonts w:hint="eastAsia"/>
          <w:sz w:val="24"/>
          <w:highlight w:val="none"/>
        </w:rPr>
        <w:tab/>
      </w:r>
      <w:r>
        <w:rPr>
          <w:rFonts w:hint="eastAsia"/>
          <w:sz w:val="24"/>
          <w:highlight w:val="none"/>
        </w:rPr>
        <w:t>日以前完成。</w:t>
      </w:r>
    </w:p>
    <w:p>
      <w:pPr>
        <w:widowControl w:val="0"/>
        <w:kinsoku/>
        <w:adjustRightInd/>
        <w:snapToGrid/>
        <w:spacing w:line="360" w:lineRule="auto"/>
        <w:ind w:firstLine="480" w:firstLineChars="200"/>
        <w:jc w:val="both"/>
        <w:textAlignment w:val="auto"/>
        <w:rPr>
          <w:sz w:val="24"/>
          <w:highlight w:val="none"/>
        </w:rPr>
      </w:pPr>
      <w:r>
        <w:rPr>
          <w:rFonts w:hint="eastAsia"/>
          <w:sz w:val="24"/>
          <w:highlight w:val="none"/>
        </w:rPr>
        <w:t>地点：甲方指定地点。</w:t>
      </w:r>
    </w:p>
    <w:p>
      <w:pPr>
        <w:widowControl w:val="0"/>
        <w:kinsoku/>
        <w:adjustRightInd/>
        <w:snapToGrid/>
        <w:spacing w:line="360" w:lineRule="auto"/>
        <w:ind w:firstLine="480" w:firstLineChars="200"/>
        <w:jc w:val="both"/>
        <w:textAlignment w:val="auto"/>
        <w:rPr>
          <w:sz w:val="24"/>
          <w:highlight w:val="none"/>
        </w:rPr>
      </w:pPr>
      <w:bookmarkStart w:id="31" w:name="_Toc30055_WPSOffice_Level2"/>
      <w:r>
        <w:rPr>
          <w:rFonts w:hint="eastAsia"/>
          <w:sz w:val="24"/>
          <w:highlight w:val="none"/>
        </w:rPr>
        <w:t>合同保存</w:t>
      </w:r>
      <w:bookmarkEnd w:id="31"/>
    </w:p>
    <w:p>
      <w:pPr>
        <w:widowControl w:val="0"/>
        <w:kinsoku/>
        <w:adjustRightInd/>
        <w:snapToGrid/>
        <w:spacing w:line="360" w:lineRule="auto"/>
        <w:ind w:firstLine="480" w:firstLineChars="200"/>
        <w:jc w:val="both"/>
        <w:textAlignment w:val="auto"/>
        <w:rPr>
          <w:sz w:val="24"/>
          <w:highlight w:val="none"/>
        </w:rPr>
      </w:pPr>
      <w:r>
        <w:rPr>
          <w:rFonts w:hint="eastAsia"/>
          <w:sz w:val="24"/>
          <w:highlight w:val="none"/>
        </w:rPr>
        <w:t xml:space="preserve">本合同一式 </w:t>
      </w:r>
      <w:r>
        <w:rPr>
          <w:rFonts w:hint="eastAsia"/>
          <w:sz w:val="24"/>
          <w:highlight w:val="none"/>
        </w:rPr>
        <w:tab/>
      </w:r>
      <w:r>
        <w:rPr>
          <w:rFonts w:hint="eastAsia"/>
          <w:sz w:val="24"/>
          <w:highlight w:val="none"/>
        </w:rPr>
        <w:t xml:space="preserve">份，甲方 </w:t>
      </w:r>
      <w:r>
        <w:rPr>
          <w:rFonts w:hint="eastAsia"/>
          <w:sz w:val="24"/>
          <w:highlight w:val="none"/>
        </w:rPr>
        <w:tab/>
      </w:r>
      <w:r>
        <w:rPr>
          <w:rFonts w:hint="eastAsia"/>
          <w:sz w:val="24"/>
          <w:highlight w:val="none"/>
        </w:rPr>
        <w:t xml:space="preserve">份，乙方 </w:t>
      </w:r>
      <w:r>
        <w:rPr>
          <w:rFonts w:hint="eastAsia"/>
          <w:sz w:val="24"/>
          <w:highlight w:val="none"/>
        </w:rPr>
        <w:tab/>
      </w:r>
      <w:r>
        <w:rPr>
          <w:rFonts w:hint="eastAsia"/>
          <w:sz w:val="24"/>
          <w:highlight w:val="none"/>
        </w:rPr>
        <w:t xml:space="preserve">份，采购代理机构 </w:t>
      </w:r>
      <w:r>
        <w:rPr>
          <w:rFonts w:hint="eastAsia"/>
          <w:sz w:val="24"/>
          <w:highlight w:val="none"/>
        </w:rPr>
        <w:tab/>
      </w:r>
      <w:r>
        <w:rPr>
          <w:rFonts w:hint="eastAsia"/>
          <w:sz w:val="24"/>
          <w:highlight w:val="none"/>
        </w:rPr>
        <w:t>份。</w:t>
      </w:r>
    </w:p>
    <w:p>
      <w:pPr>
        <w:widowControl w:val="0"/>
        <w:kinsoku/>
        <w:adjustRightInd/>
        <w:snapToGrid/>
        <w:spacing w:line="360" w:lineRule="auto"/>
        <w:ind w:firstLine="480" w:firstLineChars="200"/>
        <w:jc w:val="both"/>
        <w:textAlignment w:val="auto"/>
        <w:rPr>
          <w:sz w:val="24"/>
          <w:highlight w:val="none"/>
        </w:rPr>
      </w:pPr>
      <w:bookmarkStart w:id="32" w:name="_Toc30238_WPSOffice_Level2"/>
      <w:r>
        <w:rPr>
          <w:rFonts w:hint="eastAsia"/>
          <w:sz w:val="24"/>
          <w:highlight w:val="none"/>
        </w:rPr>
        <w:t>违约条款</w:t>
      </w:r>
      <w:bookmarkEnd w:id="32"/>
    </w:p>
    <w:p>
      <w:pPr>
        <w:widowControl w:val="0"/>
        <w:kinsoku/>
        <w:adjustRightInd/>
        <w:snapToGrid/>
        <w:spacing w:line="360" w:lineRule="auto"/>
        <w:ind w:firstLine="480" w:firstLineChars="200"/>
        <w:jc w:val="both"/>
        <w:textAlignment w:val="auto"/>
        <w:rPr>
          <w:sz w:val="24"/>
          <w:highlight w:val="none"/>
        </w:rPr>
      </w:pPr>
      <w:r>
        <w:rPr>
          <w:rFonts w:hint="eastAsia"/>
          <w:sz w:val="24"/>
          <w:highlight w:val="none"/>
        </w:rPr>
        <w:t>（1）合同一方违约，违约方向对方支付违约金，违约金额为中标金额的 10%。乙方违约， 直接从进度款或履约保金中扣除；甲方违约，从合同款项中扣除。</w:t>
      </w:r>
    </w:p>
    <w:p>
      <w:pPr>
        <w:widowControl w:val="0"/>
        <w:kinsoku/>
        <w:adjustRightInd/>
        <w:snapToGrid/>
        <w:spacing w:line="360" w:lineRule="auto"/>
        <w:ind w:firstLine="480" w:firstLineChars="200"/>
        <w:jc w:val="both"/>
        <w:textAlignment w:val="auto"/>
        <w:rPr>
          <w:sz w:val="24"/>
          <w:highlight w:val="none"/>
        </w:rPr>
      </w:pPr>
      <w:bookmarkStart w:id="33" w:name="_Toc8155"/>
      <w:bookmarkStart w:id="34" w:name="_Toc1630"/>
      <w:r>
        <w:rPr>
          <w:rFonts w:hint="eastAsia"/>
          <w:sz w:val="24"/>
          <w:highlight w:val="none"/>
        </w:rPr>
        <w:t>（2）乙方给用户造成的实际损失高于违约金的，乙方应给用户对高出违约金的部分予以赔偿。</w:t>
      </w:r>
      <w:bookmarkEnd w:id="33"/>
      <w:bookmarkEnd w:id="34"/>
    </w:p>
    <w:p>
      <w:pPr>
        <w:widowControl w:val="0"/>
        <w:kinsoku/>
        <w:adjustRightInd/>
        <w:snapToGrid/>
        <w:spacing w:line="360" w:lineRule="auto"/>
        <w:ind w:firstLine="480" w:firstLineChars="200"/>
        <w:jc w:val="both"/>
        <w:textAlignment w:val="auto"/>
        <w:rPr>
          <w:sz w:val="24"/>
          <w:highlight w:val="none"/>
        </w:rPr>
      </w:pPr>
      <w:bookmarkStart w:id="35" w:name="_Toc23941"/>
      <w:bookmarkStart w:id="36" w:name="_Toc15751"/>
      <w:r>
        <w:rPr>
          <w:rFonts w:hint="eastAsia"/>
          <w:sz w:val="24"/>
          <w:highlight w:val="none"/>
        </w:rPr>
        <w:t>（3）乙方迟延履行合同、不完全履行合同或提供的服务不符合招标文件的要求，除支付违约金外，仍应实际履行合同或重新提供符合要求的服务。</w:t>
      </w:r>
      <w:bookmarkEnd w:id="35"/>
      <w:bookmarkEnd w:id="36"/>
    </w:p>
    <w:p>
      <w:pPr>
        <w:widowControl w:val="0"/>
        <w:kinsoku/>
        <w:adjustRightInd/>
        <w:snapToGrid/>
        <w:spacing w:line="360" w:lineRule="auto"/>
        <w:ind w:firstLine="480" w:firstLineChars="200"/>
        <w:jc w:val="both"/>
        <w:textAlignment w:val="auto"/>
        <w:rPr>
          <w:sz w:val="24"/>
          <w:highlight w:val="none"/>
        </w:rPr>
      </w:pPr>
      <w:bookmarkStart w:id="37" w:name="_Toc25387"/>
      <w:bookmarkStart w:id="38" w:name="_Toc21648"/>
      <w:r>
        <w:rPr>
          <w:rFonts w:hint="eastAsia"/>
          <w:sz w:val="24"/>
          <w:highlight w:val="none"/>
        </w:rPr>
        <w:t>（4）由于乙方原因造成的延期，每延期一天，需支付甲方损失为合同总价款的 1‰。</w:t>
      </w:r>
      <w:bookmarkEnd w:id="37"/>
      <w:bookmarkEnd w:id="38"/>
    </w:p>
    <w:p>
      <w:pPr>
        <w:widowControl w:val="0"/>
        <w:kinsoku/>
        <w:adjustRightInd/>
        <w:snapToGrid/>
        <w:spacing w:line="360" w:lineRule="auto"/>
        <w:ind w:firstLine="480" w:firstLineChars="200"/>
        <w:jc w:val="both"/>
        <w:textAlignment w:val="auto"/>
        <w:rPr>
          <w:sz w:val="24"/>
          <w:highlight w:val="none"/>
        </w:rPr>
      </w:pPr>
      <w:bookmarkStart w:id="39" w:name="_Toc8408"/>
      <w:bookmarkStart w:id="40" w:name="_Toc5115"/>
      <w:r>
        <w:rPr>
          <w:rFonts w:hint="eastAsia"/>
          <w:sz w:val="24"/>
          <w:highlight w:val="none"/>
        </w:rPr>
        <w:t>（5）甲方和乙方若需签订补充协议，补充协议与该合同具有同等法律效力。</w:t>
      </w:r>
      <w:bookmarkEnd w:id="39"/>
      <w:bookmarkEnd w:id="40"/>
    </w:p>
    <w:p>
      <w:pPr>
        <w:widowControl w:val="0"/>
        <w:kinsoku/>
        <w:adjustRightInd/>
        <w:snapToGrid/>
        <w:spacing w:line="360" w:lineRule="auto"/>
        <w:ind w:firstLine="480" w:firstLineChars="200"/>
        <w:jc w:val="both"/>
        <w:textAlignment w:val="auto"/>
        <w:rPr>
          <w:sz w:val="24"/>
          <w:highlight w:val="none"/>
        </w:rPr>
      </w:pPr>
      <w:bookmarkStart w:id="41" w:name="_Toc27685"/>
      <w:bookmarkStart w:id="42" w:name="_Toc2579"/>
      <w:r>
        <w:rPr>
          <w:rFonts w:hint="eastAsia"/>
          <w:sz w:val="24"/>
          <w:highlight w:val="none"/>
        </w:rPr>
        <w:t>（6）其它未尽事宜，以《中华人民共和国</w:t>
      </w:r>
      <w:r>
        <w:rPr>
          <w:rFonts w:hint="eastAsia" w:eastAsia="宋体"/>
          <w:sz w:val="24"/>
          <w:highlight w:val="none"/>
          <w:lang w:val="en-US" w:eastAsia="zh-CN"/>
        </w:rPr>
        <w:t>民法典</w:t>
      </w:r>
      <w:r>
        <w:rPr>
          <w:rFonts w:hint="eastAsia"/>
          <w:sz w:val="24"/>
          <w:highlight w:val="none"/>
        </w:rPr>
        <w:t>》规定为准。 九、合同生效及其它</w:t>
      </w:r>
      <w:bookmarkEnd w:id="41"/>
      <w:bookmarkEnd w:id="42"/>
    </w:p>
    <w:p>
      <w:pPr>
        <w:widowControl w:val="0"/>
        <w:kinsoku/>
        <w:adjustRightInd/>
        <w:snapToGrid/>
        <w:spacing w:line="360" w:lineRule="auto"/>
        <w:ind w:firstLine="480" w:firstLineChars="200"/>
        <w:jc w:val="both"/>
        <w:textAlignment w:val="auto"/>
        <w:rPr>
          <w:sz w:val="24"/>
          <w:highlight w:val="none"/>
        </w:rPr>
      </w:pPr>
      <w:bookmarkStart w:id="43" w:name="_Toc27824"/>
      <w:bookmarkStart w:id="44" w:name="_Toc1264"/>
      <w:r>
        <w:rPr>
          <w:rFonts w:hint="eastAsia"/>
          <w:sz w:val="24"/>
          <w:highlight w:val="none"/>
        </w:rPr>
        <w:t>（1）合同签订后供需双方即直接产生权利与义务的关系，合同执行过程中出现的问题应按照《合同法》的规定办理；在合同履行过程中，双方如有争议，经协商无效，任何一方可向需方所在地人民法院提起诉讼。</w:t>
      </w:r>
      <w:bookmarkEnd w:id="43"/>
      <w:bookmarkEnd w:id="44"/>
    </w:p>
    <w:p>
      <w:pPr>
        <w:widowControl w:val="0"/>
        <w:kinsoku/>
        <w:adjustRightInd/>
        <w:snapToGrid/>
        <w:spacing w:line="360" w:lineRule="auto"/>
        <w:ind w:firstLine="480" w:firstLineChars="200"/>
        <w:jc w:val="both"/>
        <w:textAlignment w:val="auto"/>
        <w:rPr>
          <w:sz w:val="24"/>
          <w:highlight w:val="none"/>
        </w:rPr>
      </w:pPr>
      <w:bookmarkStart w:id="45" w:name="_Toc13678"/>
      <w:bookmarkStart w:id="46" w:name="_Toc20058"/>
      <w:r>
        <w:rPr>
          <w:rFonts w:hint="eastAsia"/>
          <w:sz w:val="24"/>
          <w:highlight w:val="none"/>
        </w:rPr>
        <w:t>（2）合同在执行过程中出现的未尽事宜，双方在不违背本合同和招标文件的原则下协商解决，协商结果以书面形式盖章记录在案，作为本合同的附件，与本合同具有同等效力。</w:t>
      </w:r>
      <w:bookmarkEnd w:id="45"/>
      <w:bookmarkEnd w:id="46"/>
    </w:p>
    <w:p>
      <w:pPr>
        <w:spacing w:line="360" w:lineRule="auto"/>
        <w:jc w:val="both"/>
        <w:outlineLvl w:val="9"/>
        <w:rPr>
          <w:sz w:val="24"/>
          <w:highlight w:val="none"/>
        </w:rPr>
      </w:pPr>
    </w:p>
    <w:p>
      <w:pPr>
        <w:widowControl w:val="0"/>
        <w:kinsoku/>
        <w:adjustRightInd/>
        <w:snapToGrid/>
        <w:spacing w:line="360" w:lineRule="auto"/>
        <w:jc w:val="both"/>
        <w:textAlignment w:val="auto"/>
        <w:rPr>
          <w:sz w:val="24"/>
          <w:highlight w:val="none"/>
        </w:rPr>
      </w:pPr>
      <w:bookmarkStart w:id="47" w:name="_Toc26378"/>
      <w:bookmarkStart w:id="48" w:name="_Toc3081_WPSOffice_Level2"/>
      <w:bookmarkStart w:id="49" w:name="_Toc10619_WPSOffice_Level2"/>
      <w:bookmarkStart w:id="50" w:name="_Toc29610_WPSOffice_Level2"/>
      <w:bookmarkStart w:id="51" w:name="_Toc20805_WPSOffice_Level2"/>
      <w:bookmarkStart w:id="52" w:name="_Toc4045"/>
      <w:bookmarkStart w:id="53" w:name="_Toc13056_WPSOffice_Level2"/>
      <w:bookmarkStart w:id="54" w:name="_Toc16421_WPSOffice_Level2"/>
      <w:bookmarkStart w:id="55" w:name="_Toc7032_WPSOffice_Level1"/>
      <w:r>
        <w:rPr>
          <w:rFonts w:hint="eastAsia"/>
          <w:sz w:val="24"/>
          <w:highlight w:val="none"/>
        </w:rPr>
        <w:t>甲</w:t>
      </w:r>
      <w:r>
        <w:rPr>
          <w:rFonts w:hint="eastAsia"/>
          <w:sz w:val="24"/>
          <w:highlight w:val="none"/>
        </w:rPr>
        <w:tab/>
      </w:r>
      <w:r>
        <w:rPr>
          <w:rFonts w:hint="eastAsia"/>
          <w:sz w:val="24"/>
          <w:highlight w:val="none"/>
        </w:rPr>
        <w:t>方（公章）：</w:t>
      </w:r>
      <w:r>
        <w:rPr>
          <w:rFonts w:hint="eastAsia"/>
          <w:sz w:val="24"/>
          <w:highlight w:val="none"/>
        </w:rPr>
        <w:tab/>
      </w:r>
      <w:r>
        <w:rPr>
          <w:rFonts w:hint="eastAsia" w:eastAsia="宋体"/>
          <w:sz w:val="24"/>
          <w:highlight w:val="none"/>
          <w:lang w:val="en-US" w:eastAsia="zh-CN"/>
        </w:rPr>
        <w:t xml:space="preserve">                                   </w:t>
      </w:r>
      <w:r>
        <w:rPr>
          <w:rFonts w:hint="eastAsia"/>
          <w:sz w:val="24"/>
          <w:highlight w:val="none"/>
        </w:rPr>
        <w:t>乙</w:t>
      </w:r>
      <w:r>
        <w:rPr>
          <w:rFonts w:hint="eastAsia"/>
          <w:sz w:val="24"/>
          <w:highlight w:val="none"/>
        </w:rPr>
        <w:tab/>
      </w:r>
      <w:r>
        <w:rPr>
          <w:rFonts w:hint="eastAsia"/>
          <w:sz w:val="24"/>
          <w:highlight w:val="none"/>
        </w:rPr>
        <w:t>方（公章）：</w:t>
      </w:r>
      <w:bookmarkEnd w:id="47"/>
      <w:bookmarkEnd w:id="48"/>
      <w:bookmarkEnd w:id="49"/>
      <w:bookmarkEnd w:id="50"/>
      <w:bookmarkEnd w:id="51"/>
      <w:bookmarkEnd w:id="52"/>
      <w:bookmarkEnd w:id="53"/>
      <w:bookmarkEnd w:id="54"/>
      <w:bookmarkEnd w:id="55"/>
    </w:p>
    <w:p>
      <w:pPr>
        <w:widowControl w:val="0"/>
        <w:kinsoku/>
        <w:adjustRightInd/>
        <w:snapToGrid/>
        <w:spacing w:line="360" w:lineRule="auto"/>
        <w:jc w:val="both"/>
        <w:textAlignment w:val="auto"/>
        <w:rPr>
          <w:sz w:val="24"/>
          <w:highlight w:val="none"/>
        </w:rPr>
      </w:pPr>
      <w:bookmarkStart w:id="56" w:name="_Toc11748"/>
      <w:bookmarkStart w:id="57" w:name="_Toc20300"/>
      <w:r>
        <w:rPr>
          <w:rFonts w:hint="eastAsia"/>
          <w:sz w:val="24"/>
          <w:highlight w:val="none"/>
        </w:rPr>
        <w:t>法定代表人或授权代理人：（签字）</w:t>
      </w:r>
      <w:r>
        <w:rPr>
          <w:rFonts w:hint="eastAsia"/>
          <w:sz w:val="24"/>
          <w:highlight w:val="none"/>
        </w:rPr>
        <w:tab/>
      </w:r>
      <w:r>
        <w:rPr>
          <w:rFonts w:hint="eastAsia" w:eastAsia="宋体"/>
          <w:sz w:val="24"/>
          <w:highlight w:val="none"/>
          <w:lang w:val="en-US" w:eastAsia="zh-CN"/>
        </w:rPr>
        <w:t xml:space="preserve">    </w:t>
      </w:r>
      <w:r>
        <w:rPr>
          <w:rFonts w:hint="eastAsia"/>
          <w:sz w:val="24"/>
          <w:highlight w:val="none"/>
        </w:rPr>
        <w:t>法定代表人或授权代理人：（签字）</w:t>
      </w:r>
      <w:bookmarkEnd w:id="56"/>
      <w:bookmarkEnd w:id="57"/>
    </w:p>
    <w:p>
      <w:pPr>
        <w:widowControl w:val="0"/>
        <w:kinsoku/>
        <w:adjustRightInd/>
        <w:snapToGrid/>
        <w:spacing w:line="360" w:lineRule="auto"/>
        <w:jc w:val="both"/>
        <w:textAlignment w:val="auto"/>
        <w:rPr>
          <w:sz w:val="24"/>
          <w:highlight w:val="none"/>
        </w:rPr>
      </w:pPr>
      <w:bookmarkStart w:id="58" w:name="_Toc11893"/>
      <w:bookmarkStart w:id="59" w:name="_Toc2236"/>
      <w:r>
        <w:rPr>
          <w:rFonts w:hint="eastAsia"/>
          <w:sz w:val="24"/>
          <w:highlight w:val="none"/>
        </w:rPr>
        <w:t>开户单位：</w:t>
      </w:r>
      <w:r>
        <w:rPr>
          <w:rFonts w:hint="eastAsia" w:eastAsia="宋体"/>
          <w:sz w:val="24"/>
          <w:highlight w:val="none"/>
          <w:lang w:val="en-US" w:eastAsia="zh-CN"/>
        </w:rPr>
        <w:t xml:space="preserve">                                                 </w:t>
      </w:r>
      <w:r>
        <w:rPr>
          <w:rFonts w:hint="eastAsia"/>
          <w:sz w:val="24"/>
          <w:highlight w:val="none"/>
        </w:rPr>
        <w:t>开户单位：</w:t>
      </w:r>
      <w:bookmarkEnd w:id="58"/>
      <w:bookmarkEnd w:id="59"/>
    </w:p>
    <w:p>
      <w:pPr>
        <w:widowControl w:val="0"/>
        <w:kinsoku/>
        <w:adjustRightInd/>
        <w:snapToGrid/>
        <w:spacing w:line="360" w:lineRule="auto"/>
        <w:jc w:val="both"/>
        <w:textAlignment w:val="auto"/>
        <w:rPr>
          <w:sz w:val="24"/>
          <w:highlight w:val="none"/>
        </w:rPr>
      </w:pPr>
      <w:bookmarkStart w:id="60" w:name="_Toc25263"/>
      <w:bookmarkStart w:id="61" w:name="_Toc31863"/>
      <w:r>
        <w:rPr>
          <w:rFonts w:hint="eastAsia"/>
          <w:sz w:val="24"/>
          <w:highlight w:val="none"/>
        </w:rPr>
        <w:t>开户银行：</w:t>
      </w:r>
      <w:r>
        <w:rPr>
          <w:rFonts w:hint="eastAsia" w:eastAsia="宋体"/>
          <w:sz w:val="24"/>
          <w:highlight w:val="none"/>
          <w:lang w:val="en-US" w:eastAsia="zh-CN"/>
        </w:rPr>
        <w:t xml:space="preserve">                                                 </w:t>
      </w:r>
      <w:r>
        <w:rPr>
          <w:rFonts w:hint="eastAsia"/>
          <w:sz w:val="24"/>
          <w:highlight w:val="none"/>
        </w:rPr>
        <w:t>开户银行：</w:t>
      </w:r>
      <w:bookmarkEnd w:id="60"/>
      <w:bookmarkEnd w:id="61"/>
    </w:p>
    <w:p>
      <w:pPr>
        <w:widowControl w:val="0"/>
        <w:kinsoku/>
        <w:adjustRightInd/>
        <w:snapToGrid/>
        <w:spacing w:line="360" w:lineRule="auto"/>
        <w:jc w:val="both"/>
        <w:textAlignment w:val="auto"/>
        <w:rPr>
          <w:sz w:val="24"/>
          <w:highlight w:val="none"/>
        </w:rPr>
      </w:pPr>
      <w:bookmarkStart w:id="62" w:name="_Toc27472"/>
      <w:bookmarkStart w:id="63" w:name="_Toc17067"/>
      <w:r>
        <w:rPr>
          <w:rFonts w:hint="eastAsia"/>
          <w:sz w:val="24"/>
          <w:highlight w:val="none"/>
        </w:rPr>
        <w:t>帐</w:t>
      </w:r>
      <w:r>
        <w:rPr>
          <w:rFonts w:hint="eastAsia"/>
          <w:sz w:val="24"/>
          <w:highlight w:val="none"/>
        </w:rPr>
        <w:tab/>
      </w:r>
      <w:r>
        <w:rPr>
          <w:rFonts w:hint="eastAsia"/>
          <w:sz w:val="24"/>
          <w:highlight w:val="none"/>
        </w:rPr>
        <w:t>号：</w:t>
      </w:r>
      <w:r>
        <w:rPr>
          <w:rFonts w:hint="eastAsia"/>
          <w:sz w:val="24"/>
          <w:highlight w:val="none"/>
        </w:rPr>
        <w:tab/>
      </w:r>
      <w:r>
        <w:rPr>
          <w:rFonts w:hint="eastAsia" w:eastAsia="宋体"/>
          <w:sz w:val="24"/>
          <w:highlight w:val="none"/>
          <w:lang w:val="en-US" w:eastAsia="zh-CN"/>
        </w:rPr>
        <w:t xml:space="preserve">                                                </w:t>
      </w:r>
      <w:r>
        <w:rPr>
          <w:rFonts w:hint="eastAsia"/>
          <w:sz w:val="24"/>
          <w:highlight w:val="none"/>
        </w:rPr>
        <w:t>帐</w:t>
      </w:r>
      <w:r>
        <w:rPr>
          <w:rFonts w:hint="eastAsia"/>
          <w:sz w:val="24"/>
          <w:highlight w:val="none"/>
        </w:rPr>
        <w:tab/>
      </w:r>
      <w:r>
        <w:rPr>
          <w:rFonts w:hint="eastAsia"/>
          <w:sz w:val="24"/>
          <w:highlight w:val="none"/>
        </w:rPr>
        <w:t>号：</w:t>
      </w:r>
      <w:bookmarkEnd w:id="62"/>
      <w:bookmarkEnd w:id="63"/>
    </w:p>
    <w:p>
      <w:pPr>
        <w:widowControl w:val="0"/>
        <w:kinsoku/>
        <w:adjustRightInd/>
        <w:snapToGrid/>
        <w:spacing w:line="360" w:lineRule="auto"/>
        <w:jc w:val="both"/>
        <w:textAlignment w:val="auto"/>
        <w:rPr>
          <w:sz w:val="24"/>
          <w:highlight w:val="none"/>
        </w:rPr>
      </w:pPr>
      <w:bookmarkStart w:id="64" w:name="_Toc19503"/>
      <w:bookmarkStart w:id="65" w:name="_Toc18260"/>
      <w:r>
        <w:rPr>
          <w:rFonts w:hint="eastAsia"/>
          <w:sz w:val="24"/>
          <w:highlight w:val="none"/>
        </w:rPr>
        <w:t>地</w:t>
      </w:r>
      <w:r>
        <w:rPr>
          <w:rFonts w:hint="eastAsia"/>
          <w:sz w:val="24"/>
          <w:highlight w:val="none"/>
        </w:rPr>
        <w:tab/>
      </w:r>
      <w:r>
        <w:rPr>
          <w:rFonts w:hint="eastAsia"/>
          <w:sz w:val="24"/>
          <w:highlight w:val="none"/>
        </w:rPr>
        <w:t>址：</w:t>
      </w:r>
      <w:r>
        <w:rPr>
          <w:rFonts w:hint="eastAsia"/>
          <w:sz w:val="24"/>
          <w:highlight w:val="none"/>
        </w:rPr>
        <w:tab/>
      </w:r>
      <w:r>
        <w:rPr>
          <w:rFonts w:hint="eastAsia" w:eastAsia="宋体"/>
          <w:sz w:val="24"/>
          <w:highlight w:val="none"/>
          <w:lang w:val="en-US" w:eastAsia="zh-CN"/>
        </w:rPr>
        <w:t xml:space="preserve">                                                </w:t>
      </w:r>
      <w:r>
        <w:rPr>
          <w:rFonts w:hint="eastAsia"/>
          <w:sz w:val="24"/>
          <w:highlight w:val="none"/>
        </w:rPr>
        <w:t>地</w:t>
      </w:r>
      <w:r>
        <w:rPr>
          <w:rFonts w:hint="eastAsia"/>
          <w:sz w:val="24"/>
          <w:highlight w:val="none"/>
        </w:rPr>
        <w:tab/>
      </w:r>
      <w:r>
        <w:rPr>
          <w:rFonts w:hint="eastAsia"/>
          <w:sz w:val="24"/>
          <w:highlight w:val="none"/>
        </w:rPr>
        <w:t>址：</w:t>
      </w:r>
      <w:bookmarkEnd w:id="64"/>
      <w:bookmarkEnd w:id="65"/>
    </w:p>
    <w:p>
      <w:pPr>
        <w:widowControl w:val="0"/>
        <w:kinsoku/>
        <w:adjustRightInd/>
        <w:snapToGrid/>
        <w:spacing w:line="360" w:lineRule="auto"/>
        <w:jc w:val="both"/>
        <w:textAlignment w:val="auto"/>
        <w:rPr>
          <w:sz w:val="24"/>
          <w:highlight w:val="none"/>
        </w:rPr>
      </w:pPr>
      <w:bookmarkStart w:id="66" w:name="_Toc15291"/>
      <w:bookmarkStart w:id="67" w:name="_Toc16058"/>
      <w:r>
        <w:rPr>
          <w:rFonts w:hint="eastAsia"/>
          <w:sz w:val="24"/>
          <w:highlight w:val="none"/>
        </w:rPr>
        <w:t>电</w:t>
      </w:r>
      <w:r>
        <w:rPr>
          <w:rFonts w:hint="eastAsia"/>
          <w:sz w:val="24"/>
          <w:highlight w:val="none"/>
        </w:rPr>
        <w:tab/>
      </w:r>
      <w:r>
        <w:rPr>
          <w:rFonts w:hint="eastAsia"/>
          <w:sz w:val="24"/>
          <w:highlight w:val="none"/>
        </w:rPr>
        <w:t>话：</w:t>
      </w:r>
      <w:r>
        <w:rPr>
          <w:rFonts w:hint="eastAsia"/>
          <w:sz w:val="24"/>
          <w:highlight w:val="none"/>
        </w:rPr>
        <w:tab/>
      </w:r>
      <w:r>
        <w:rPr>
          <w:rFonts w:hint="eastAsia" w:eastAsia="宋体"/>
          <w:sz w:val="24"/>
          <w:highlight w:val="none"/>
          <w:lang w:val="en-US" w:eastAsia="zh-CN"/>
        </w:rPr>
        <w:t xml:space="preserve">                                               </w:t>
      </w:r>
      <w:r>
        <w:rPr>
          <w:rFonts w:hint="eastAsia"/>
          <w:sz w:val="24"/>
          <w:highlight w:val="none"/>
        </w:rPr>
        <w:t>电</w:t>
      </w:r>
      <w:r>
        <w:rPr>
          <w:rFonts w:hint="eastAsia"/>
          <w:sz w:val="24"/>
          <w:highlight w:val="none"/>
        </w:rPr>
        <w:tab/>
      </w:r>
      <w:r>
        <w:rPr>
          <w:rFonts w:hint="eastAsia"/>
          <w:sz w:val="24"/>
          <w:highlight w:val="none"/>
        </w:rPr>
        <w:t>话：</w:t>
      </w:r>
      <w:bookmarkEnd w:id="66"/>
      <w:bookmarkEnd w:id="67"/>
    </w:p>
    <w:p>
      <w:pPr>
        <w:widowControl w:val="0"/>
        <w:kinsoku/>
        <w:adjustRightInd/>
        <w:snapToGrid/>
        <w:spacing w:line="360" w:lineRule="auto"/>
        <w:jc w:val="both"/>
        <w:textAlignment w:val="auto"/>
        <w:rPr>
          <w:sz w:val="24"/>
          <w:highlight w:val="none"/>
        </w:rPr>
      </w:pPr>
      <w:bookmarkStart w:id="68" w:name="_Toc22352"/>
      <w:bookmarkStart w:id="69" w:name="_Toc32463"/>
      <w:r>
        <w:rPr>
          <w:rFonts w:hint="eastAsia"/>
          <w:sz w:val="24"/>
          <w:highlight w:val="none"/>
        </w:rPr>
        <w:t>签订时间：</w:t>
      </w:r>
      <w:r>
        <w:rPr>
          <w:rFonts w:hint="eastAsia" w:eastAsia="宋体"/>
          <w:sz w:val="24"/>
          <w:highlight w:val="none"/>
          <w:lang w:val="en-US" w:eastAsia="zh-CN"/>
        </w:rPr>
        <w:t xml:space="preserve">                                                </w:t>
      </w:r>
      <w:r>
        <w:rPr>
          <w:rFonts w:hint="eastAsia"/>
          <w:sz w:val="24"/>
          <w:highlight w:val="none"/>
        </w:rPr>
        <w:t>签订时间：</w:t>
      </w:r>
      <w:bookmarkEnd w:id="68"/>
      <w:bookmarkEnd w:id="69"/>
    </w:p>
    <w:p>
      <w:pPr>
        <w:rPr>
          <w:sz w:val="24"/>
          <w:highlight w:val="none"/>
        </w:rPr>
      </w:pPr>
      <w:r>
        <w:rPr>
          <w:sz w:val="24"/>
          <w:highlight w:val="none"/>
        </w:rPr>
        <w:br w:type="page"/>
      </w:r>
    </w:p>
    <w:p>
      <w:pPr>
        <w:spacing w:before="101" w:line="225" w:lineRule="auto"/>
        <w:jc w:val="center"/>
        <w:outlineLvl w:val="0"/>
        <w:rPr>
          <w:rFonts w:ascii="宋体" w:hAnsi="宋体" w:eastAsia="宋体" w:cs="宋体"/>
          <w:b/>
          <w:bCs/>
          <w:sz w:val="31"/>
          <w:szCs w:val="31"/>
          <w:highlight w:val="none"/>
        </w:rPr>
      </w:pPr>
      <w:bookmarkStart w:id="70" w:name="_Toc21291"/>
      <w:r>
        <w:rPr>
          <w:rFonts w:ascii="宋体" w:hAnsi="宋体" w:eastAsia="宋体" w:cs="宋体"/>
          <w:b/>
          <w:bCs/>
          <w:spacing w:val="10"/>
          <w:sz w:val="31"/>
          <w:szCs w:val="31"/>
          <w:highlight w:val="none"/>
        </w:rPr>
        <w:t>第</w:t>
      </w:r>
      <w:r>
        <w:rPr>
          <w:rFonts w:hint="eastAsia" w:ascii="宋体" w:hAnsi="宋体" w:eastAsia="宋体" w:cs="宋体"/>
          <w:b/>
          <w:bCs/>
          <w:spacing w:val="9"/>
          <w:sz w:val="31"/>
          <w:szCs w:val="31"/>
          <w:highlight w:val="none"/>
        </w:rPr>
        <w:t>六</w:t>
      </w:r>
      <w:r>
        <w:rPr>
          <w:rFonts w:ascii="宋体" w:hAnsi="宋体" w:eastAsia="宋体" w:cs="宋体"/>
          <w:b/>
          <w:bCs/>
          <w:spacing w:val="9"/>
          <w:sz w:val="31"/>
          <w:szCs w:val="31"/>
          <w:highlight w:val="none"/>
        </w:rPr>
        <w:t>部分</w:t>
      </w:r>
      <w:r>
        <w:rPr>
          <w:rFonts w:hint="eastAsia" w:ascii="宋体" w:hAnsi="宋体" w:eastAsia="宋体" w:cs="宋体"/>
          <w:b/>
          <w:bCs/>
          <w:spacing w:val="9"/>
          <w:sz w:val="31"/>
          <w:szCs w:val="31"/>
          <w:highlight w:val="none"/>
          <w:lang w:val="en-US" w:eastAsia="zh-CN"/>
        </w:rPr>
        <w:t xml:space="preserve"> </w:t>
      </w:r>
      <w:r>
        <w:rPr>
          <w:rFonts w:ascii="宋体" w:hAnsi="宋体" w:eastAsia="宋体" w:cs="宋体"/>
          <w:b/>
          <w:bCs/>
          <w:spacing w:val="9"/>
          <w:sz w:val="31"/>
          <w:szCs w:val="31"/>
          <w:highlight w:val="none"/>
        </w:rPr>
        <w:t>投标文件格式</w:t>
      </w:r>
      <w:bookmarkEnd w:id="70"/>
    </w:p>
    <w:p>
      <w:pPr>
        <w:spacing w:line="274" w:lineRule="auto"/>
        <w:rPr>
          <w:highlight w:val="none"/>
        </w:rPr>
      </w:pPr>
    </w:p>
    <w:p>
      <w:pPr>
        <w:spacing w:before="78" w:line="220" w:lineRule="auto"/>
        <w:ind w:left="41"/>
        <w:rPr>
          <w:rFonts w:ascii="宋体" w:hAnsi="宋体" w:eastAsia="宋体" w:cs="宋体"/>
          <w:sz w:val="24"/>
          <w:szCs w:val="24"/>
          <w:highlight w:val="none"/>
        </w:rPr>
      </w:pPr>
      <w:r>
        <w:rPr>
          <w:rFonts w:ascii="宋体" w:hAnsi="宋体" w:eastAsia="宋体" w:cs="宋体"/>
          <w:spacing w:val="-2"/>
          <w:sz w:val="24"/>
          <w:szCs w:val="24"/>
          <w:highlight w:val="none"/>
        </w:rPr>
        <w:t>投标文</w:t>
      </w:r>
      <w:r>
        <w:rPr>
          <w:rFonts w:ascii="宋体" w:hAnsi="宋体" w:eastAsia="宋体" w:cs="宋体"/>
          <w:spacing w:val="-1"/>
          <w:sz w:val="24"/>
          <w:szCs w:val="24"/>
          <w:highlight w:val="none"/>
        </w:rPr>
        <w:t>件封面格式</w:t>
      </w:r>
    </w:p>
    <w:p>
      <w:pPr>
        <w:spacing w:line="248" w:lineRule="auto"/>
        <w:rPr>
          <w:highlight w:val="none"/>
        </w:rPr>
      </w:pPr>
    </w:p>
    <w:p>
      <w:pPr>
        <w:spacing w:line="248" w:lineRule="auto"/>
        <w:rPr>
          <w:highlight w:val="none"/>
        </w:rPr>
      </w:pPr>
    </w:p>
    <w:p>
      <w:pPr>
        <w:spacing w:line="249" w:lineRule="auto"/>
        <w:rPr>
          <w:highlight w:val="none"/>
        </w:rPr>
      </w:pPr>
    </w:p>
    <w:p>
      <w:pPr>
        <w:spacing w:line="249" w:lineRule="auto"/>
        <w:rPr>
          <w:highlight w:val="none"/>
        </w:rPr>
      </w:pPr>
    </w:p>
    <w:p>
      <w:pPr>
        <w:tabs>
          <w:tab w:val="left" w:pos="6732"/>
        </w:tabs>
        <w:spacing w:before="130" w:line="221" w:lineRule="auto"/>
        <w:ind w:left="2292"/>
        <w:rPr>
          <w:rFonts w:ascii="宋体" w:hAnsi="宋体" w:eastAsia="宋体" w:cs="宋体"/>
          <w:sz w:val="40"/>
          <w:szCs w:val="40"/>
          <w:highlight w:val="none"/>
        </w:rPr>
      </w:pPr>
      <w:r>
        <w:rPr>
          <w:rFonts w:ascii="宋体" w:hAnsi="宋体" w:eastAsia="宋体" w:cs="宋体"/>
          <w:sz w:val="40"/>
          <w:szCs w:val="40"/>
          <w:highlight w:val="none"/>
          <w:u w:val="single"/>
        </w:rPr>
        <w:tab/>
      </w:r>
      <w:r>
        <w:rPr>
          <w:rFonts w:ascii="宋体" w:hAnsi="宋体" w:eastAsia="宋体" w:cs="宋体"/>
          <w:spacing w:val="-5"/>
          <w:sz w:val="40"/>
          <w:szCs w:val="40"/>
          <w:highlight w:val="none"/>
        </w:rPr>
        <w:t>项目</w:t>
      </w:r>
    </w:p>
    <w:p>
      <w:pPr>
        <w:spacing w:line="265" w:lineRule="auto"/>
        <w:rPr>
          <w:highlight w:val="none"/>
        </w:rPr>
      </w:pPr>
    </w:p>
    <w:p>
      <w:pPr>
        <w:spacing w:line="265" w:lineRule="auto"/>
        <w:rPr>
          <w:highlight w:val="none"/>
        </w:rPr>
      </w:pPr>
    </w:p>
    <w:p>
      <w:pPr>
        <w:spacing w:line="265" w:lineRule="auto"/>
        <w:rPr>
          <w:highlight w:val="none"/>
        </w:rPr>
      </w:pPr>
    </w:p>
    <w:p>
      <w:pPr>
        <w:spacing w:line="265" w:lineRule="auto"/>
        <w:rPr>
          <w:highlight w:val="none"/>
        </w:rPr>
      </w:pPr>
    </w:p>
    <w:p>
      <w:pPr>
        <w:spacing w:line="265" w:lineRule="auto"/>
        <w:rPr>
          <w:highlight w:val="none"/>
        </w:rPr>
      </w:pPr>
    </w:p>
    <w:p>
      <w:pPr>
        <w:spacing w:line="265" w:lineRule="auto"/>
        <w:rPr>
          <w:highlight w:val="none"/>
        </w:rPr>
      </w:pPr>
    </w:p>
    <w:p>
      <w:pPr>
        <w:spacing w:line="265" w:lineRule="auto"/>
        <w:rPr>
          <w:highlight w:val="none"/>
        </w:rPr>
      </w:pPr>
    </w:p>
    <w:p>
      <w:pPr>
        <w:spacing w:line="265" w:lineRule="auto"/>
        <w:rPr>
          <w:highlight w:val="none"/>
        </w:rPr>
      </w:pPr>
    </w:p>
    <w:p>
      <w:pPr>
        <w:spacing w:line="266" w:lineRule="auto"/>
        <w:rPr>
          <w:highlight w:val="none"/>
        </w:rPr>
      </w:pPr>
    </w:p>
    <w:p>
      <w:pPr>
        <w:spacing w:before="234" w:line="220" w:lineRule="auto"/>
        <w:ind w:left="3498"/>
        <w:rPr>
          <w:rFonts w:ascii="宋体" w:hAnsi="宋体" w:eastAsia="宋体" w:cs="宋体"/>
          <w:sz w:val="72"/>
          <w:szCs w:val="72"/>
          <w:highlight w:val="none"/>
        </w:rPr>
      </w:pPr>
      <w:r>
        <w:rPr>
          <w:rFonts w:ascii="宋体" w:hAnsi="宋体" w:eastAsia="宋体" w:cs="宋体"/>
          <w:spacing w:val="-7"/>
          <w:sz w:val="72"/>
          <w:szCs w:val="72"/>
          <w:highlight w:val="none"/>
        </w:rPr>
        <w:t>投标文件</w:t>
      </w:r>
    </w:p>
    <w:p>
      <w:pPr>
        <w:spacing w:before="168" w:line="219" w:lineRule="auto"/>
        <w:ind w:left="4310"/>
        <w:rPr>
          <w:rFonts w:ascii="宋体" w:hAnsi="宋体" w:eastAsia="宋体" w:cs="宋体"/>
          <w:spacing w:val="-10"/>
          <w:sz w:val="24"/>
          <w:szCs w:val="24"/>
          <w:highlight w:val="none"/>
        </w:rPr>
      </w:pPr>
    </w:p>
    <w:p>
      <w:pPr>
        <w:spacing w:before="168" w:line="219" w:lineRule="auto"/>
        <w:ind w:firstLine="4290" w:firstLineChars="1950"/>
        <w:rPr>
          <w:rFonts w:ascii="宋体" w:hAnsi="宋体" w:eastAsia="宋体" w:cs="宋体"/>
          <w:sz w:val="24"/>
          <w:szCs w:val="24"/>
          <w:highlight w:val="none"/>
        </w:rPr>
      </w:pPr>
      <w:r>
        <w:rPr>
          <w:rFonts w:hint="eastAsia" w:ascii="宋体" w:hAnsi="宋体" w:eastAsia="宋体" w:cs="宋体"/>
          <w:spacing w:val="-10"/>
          <w:sz w:val="24"/>
          <w:szCs w:val="24"/>
          <w:highlight w:val="none"/>
        </w:rPr>
        <w:t>项目</w:t>
      </w:r>
      <w:r>
        <w:rPr>
          <w:rFonts w:ascii="宋体" w:hAnsi="宋体" w:eastAsia="宋体" w:cs="宋体"/>
          <w:spacing w:val="-9"/>
          <w:sz w:val="24"/>
          <w:szCs w:val="24"/>
          <w:highlight w:val="none"/>
        </w:rPr>
        <w:t>编号：</w:t>
      </w:r>
    </w:p>
    <w:p>
      <w:pPr>
        <w:spacing w:line="249" w:lineRule="auto"/>
        <w:rPr>
          <w:highlight w:val="none"/>
        </w:rPr>
      </w:pPr>
    </w:p>
    <w:p>
      <w:pPr>
        <w:spacing w:line="249" w:lineRule="auto"/>
        <w:rPr>
          <w:rFonts w:eastAsiaTheme="minorEastAsia"/>
          <w:highlight w:val="none"/>
        </w:rPr>
      </w:pPr>
      <w:r>
        <w:rPr>
          <w:rFonts w:hint="eastAsia" w:eastAsiaTheme="minorEastAsia"/>
          <w:highlight w:val="none"/>
        </w:rPr>
        <w:t xml:space="preserve">                                                                      </w:t>
      </w:r>
    </w:p>
    <w:p>
      <w:pPr>
        <w:spacing w:line="249" w:lineRule="auto"/>
        <w:rPr>
          <w:highlight w:val="none"/>
        </w:rPr>
      </w:pPr>
    </w:p>
    <w:p>
      <w:pPr>
        <w:spacing w:line="249" w:lineRule="auto"/>
        <w:rPr>
          <w:highlight w:val="none"/>
        </w:rPr>
      </w:pPr>
    </w:p>
    <w:p>
      <w:pPr>
        <w:spacing w:line="249" w:lineRule="auto"/>
        <w:rPr>
          <w:highlight w:val="none"/>
        </w:rPr>
      </w:pPr>
    </w:p>
    <w:p>
      <w:pPr>
        <w:spacing w:line="249" w:lineRule="auto"/>
        <w:rPr>
          <w:highlight w:val="none"/>
        </w:rPr>
      </w:pPr>
    </w:p>
    <w:p>
      <w:pPr>
        <w:spacing w:line="250" w:lineRule="auto"/>
        <w:rPr>
          <w:highlight w:val="none"/>
        </w:rPr>
      </w:pPr>
    </w:p>
    <w:p>
      <w:pPr>
        <w:spacing w:line="250" w:lineRule="auto"/>
        <w:rPr>
          <w:highlight w:val="none"/>
        </w:rPr>
      </w:pPr>
    </w:p>
    <w:p>
      <w:pPr>
        <w:spacing w:line="250" w:lineRule="auto"/>
        <w:rPr>
          <w:highlight w:val="none"/>
        </w:rPr>
      </w:pPr>
    </w:p>
    <w:p>
      <w:pPr>
        <w:spacing w:before="91" w:line="219" w:lineRule="auto"/>
        <w:ind w:left="3236"/>
        <w:rPr>
          <w:rFonts w:ascii="宋体" w:hAnsi="宋体" w:eastAsia="宋体" w:cs="宋体"/>
          <w:sz w:val="28"/>
          <w:szCs w:val="28"/>
          <w:highlight w:val="none"/>
        </w:rPr>
      </w:pPr>
      <w:r>
        <w:rPr>
          <w:rFonts w:ascii="宋体" w:hAnsi="宋体" w:eastAsia="宋体" w:cs="宋体"/>
          <w:spacing w:val="17"/>
          <w:sz w:val="28"/>
          <w:szCs w:val="28"/>
          <w:highlight w:val="none"/>
        </w:rPr>
        <w:t>投</w:t>
      </w:r>
      <w:r>
        <w:rPr>
          <w:rFonts w:ascii="宋体" w:hAnsi="宋体" w:eastAsia="宋体" w:cs="宋体"/>
          <w:spacing w:val="10"/>
          <w:sz w:val="28"/>
          <w:szCs w:val="28"/>
          <w:highlight w:val="none"/>
        </w:rPr>
        <w:t>标人名称：(电子签章)</w:t>
      </w:r>
    </w:p>
    <w:p>
      <w:pPr>
        <w:spacing w:line="373" w:lineRule="auto"/>
        <w:rPr>
          <w:highlight w:val="none"/>
        </w:rPr>
      </w:pPr>
    </w:p>
    <w:p>
      <w:pPr>
        <w:spacing w:before="92" w:line="219" w:lineRule="auto"/>
        <w:ind w:left="2002"/>
        <w:rPr>
          <w:rFonts w:ascii="宋体" w:hAnsi="宋体" w:eastAsia="宋体" w:cs="宋体"/>
          <w:sz w:val="28"/>
          <w:szCs w:val="28"/>
          <w:highlight w:val="none"/>
        </w:rPr>
      </w:pPr>
      <w:r>
        <w:rPr>
          <w:rFonts w:ascii="宋体" w:hAnsi="宋体" w:eastAsia="宋体" w:cs="宋体"/>
          <w:spacing w:val="12"/>
          <w:sz w:val="28"/>
          <w:szCs w:val="28"/>
          <w:highlight w:val="none"/>
        </w:rPr>
        <w:t>法定</w:t>
      </w:r>
      <w:r>
        <w:rPr>
          <w:rFonts w:ascii="宋体" w:hAnsi="宋体" w:eastAsia="宋体" w:cs="宋体"/>
          <w:spacing w:val="8"/>
          <w:sz w:val="28"/>
          <w:szCs w:val="28"/>
          <w:highlight w:val="none"/>
        </w:rPr>
        <w:t>代</w:t>
      </w:r>
      <w:r>
        <w:rPr>
          <w:rFonts w:ascii="宋体" w:hAnsi="宋体" w:eastAsia="宋体" w:cs="宋体"/>
          <w:spacing w:val="6"/>
          <w:sz w:val="28"/>
          <w:szCs w:val="28"/>
          <w:highlight w:val="none"/>
        </w:rPr>
        <w:t>表人或其委托代理人：(电子签章)</w:t>
      </w:r>
    </w:p>
    <w:p>
      <w:pPr>
        <w:spacing w:line="373" w:lineRule="auto"/>
        <w:rPr>
          <w:highlight w:val="none"/>
        </w:rPr>
      </w:pPr>
    </w:p>
    <w:p>
      <w:pPr>
        <w:spacing w:before="91" w:line="220" w:lineRule="auto"/>
        <w:ind w:left="3934"/>
        <w:rPr>
          <w:rFonts w:ascii="宋体" w:hAnsi="宋体" w:eastAsia="宋体" w:cs="宋体"/>
          <w:sz w:val="28"/>
          <w:szCs w:val="28"/>
          <w:highlight w:val="none"/>
        </w:rPr>
      </w:pPr>
      <w:r>
        <w:rPr>
          <w:rFonts w:ascii="宋体" w:hAnsi="宋体" w:eastAsia="宋体" w:cs="宋体"/>
          <w:spacing w:val="8"/>
          <w:sz w:val="28"/>
          <w:szCs w:val="28"/>
          <w:highlight w:val="none"/>
        </w:rPr>
        <w:t>年</w:t>
      </w:r>
      <w:r>
        <w:rPr>
          <w:rFonts w:ascii="宋体" w:hAnsi="宋体" w:eastAsia="宋体" w:cs="宋体"/>
          <w:spacing w:val="4"/>
          <w:sz w:val="28"/>
          <w:szCs w:val="28"/>
          <w:highlight w:val="none"/>
        </w:rPr>
        <w:t xml:space="preserve">   月    日</w:t>
      </w:r>
    </w:p>
    <w:p>
      <w:pPr>
        <w:rPr>
          <w:highlight w:val="none"/>
        </w:rPr>
        <w:sectPr>
          <w:pgSz w:w="11907" w:h="16839"/>
          <w:pgMar w:top="1476" w:right="1049" w:bottom="1226" w:left="1051" w:header="1155" w:footer="958" w:gutter="0"/>
          <w:pgNumType w:fmt="numberInDash"/>
          <w:cols w:space="720" w:num="1"/>
        </w:sectPr>
      </w:pPr>
    </w:p>
    <w:p>
      <w:pPr>
        <w:spacing w:line="275" w:lineRule="auto"/>
        <w:rPr>
          <w:highlight w:val="none"/>
        </w:rPr>
      </w:pPr>
    </w:p>
    <w:p>
      <w:pPr>
        <w:keepNext w:val="0"/>
        <w:keepLines w:val="0"/>
        <w:pageBreakBefore w:val="0"/>
        <w:wordWrap/>
        <w:overflowPunct/>
        <w:topLinePunct w:val="0"/>
        <w:autoSpaceDE w:val="0"/>
        <w:autoSpaceDN w:val="0"/>
        <w:bidi w:val="0"/>
        <w:spacing w:line="360" w:lineRule="auto"/>
        <w:outlineLvl w:val="9"/>
        <w:rPr>
          <w:rFonts w:hint="eastAsia" w:ascii="宋体" w:hAnsi="宋体" w:eastAsia="宋体"/>
          <w:b/>
          <w:bCs/>
          <w:color w:val="000000"/>
          <w:sz w:val="28"/>
          <w:szCs w:val="28"/>
          <w:highlight w:val="none"/>
        </w:rPr>
      </w:pPr>
      <w:r>
        <w:rPr>
          <w:rFonts w:hint="eastAsia" w:ascii="宋体" w:hAnsi="宋体" w:eastAsia="宋体"/>
          <w:b/>
          <w:bCs/>
          <w:color w:val="000000"/>
          <w:sz w:val="28"/>
          <w:szCs w:val="28"/>
          <w:highlight w:val="none"/>
        </w:rPr>
        <w:t>一、投 标 函</w:t>
      </w:r>
    </w:p>
    <w:p>
      <w:pPr>
        <w:keepNext w:val="0"/>
        <w:keepLines w:val="0"/>
        <w:pageBreakBefore w:val="0"/>
        <w:wordWrap/>
        <w:overflowPunct/>
        <w:topLinePunct w:val="0"/>
        <w:autoSpaceDE w:val="0"/>
        <w:autoSpaceDN w:val="0"/>
        <w:bidi w:val="0"/>
        <w:spacing w:line="360" w:lineRule="auto"/>
        <w:outlineLvl w:val="9"/>
        <w:rPr>
          <w:rFonts w:hint="eastAsia" w:ascii="宋体" w:hAnsi="宋体" w:eastAsia="宋体"/>
          <w:b/>
          <w:bCs/>
          <w:color w:val="000000"/>
          <w:sz w:val="28"/>
          <w:szCs w:val="28"/>
          <w:highlight w:val="none"/>
        </w:rPr>
      </w:pPr>
      <w:r>
        <w:rPr>
          <w:rFonts w:hint="eastAsia" w:ascii="宋体" w:hAnsi="宋体" w:eastAsia="宋体"/>
          <w:b/>
          <w:bCs/>
          <w:color w:val="000000"/>
          <w:sz w:val="28"/>
          <w:szCs w:val="28"/>
          <w:highlight w:val="none"/>
        </w:rPr>
        <w:t>（一）投标函</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（采购人名称）</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1.我方已仔细研究了</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rPr>
        <w:t>（项目名称）招标文件的全部内容，愿意以</w:t>
      </w:r>
      <w:r>
        <w:rPr>
          <w:rFonts w:hint="eastAsia" w:ascii="宋体" w:hAnsi="宋体" w:eastAsia="宋体"/>
          <w:color w:val="000000"/>
          <w:sz w:val="24"/>
          <w:szCs w:val="24"/>
          <w:highlight w:val="none"/>
          <w:lang w:eastAsia="zh-CN"/>
        </w:rPr>
        <w:t>服务期限</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rPr>
        <w:t>，质量标准</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rPr>
        <w:t>，按合同约定完成工作。</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9"/>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2</w:t>
      </w:r>
      <w:r>
        <w:rPr>
          <w:rFonts w:ascii="宋体" w:hAnsi="宋体" w:eastAsia="宋体"/>
          <w:color w:val="000000"/>
          <w:sz w:val="24"/>
          <w:szCs w:val="24"/>
          <w:highlight w:val="none"/>
        </w:rPr>
        <w:t>．我方承诺在招标文件规定的投标有效期内不撤销投标文件。</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9"/>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3</w:t>
      </w:r>
      <w:r>
        <w:rPr>
          <w:rFonts w:ascii="宋体" w:hAnsi="宋体" w:eastAsia="宋体"/>
          <w:color w:val="000000"/>
          <w:sz w:val="24"/>
          <w:szCs w:val="24"/>
          <w:highlight w:val="none"/>
        </w:rPr>
        <w:t>．如我方中标，我方承诺：</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（1）在收到中标通知书后，在中标通知书规定的期限内与你方签订合同；</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（2）在签订合同时不向你方提出附加条件；</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（3）在合同约定的期限内完成合同规定的全部义务。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9"/>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4</w:t>
      </w:r>
      <w:r>
        <w:rPr>
          <w:rFonts w:ascii="宋体" w:hAnsi="宋体" w:eastAsia="宋体"/>
          <w:color w:val="000000"/>
          <w:sz w:val="24"/>
          <w:szCs w:val="24"/>
          <w:highlight w:val="none"/>
        </w:rPr>
        <w:t>．我方在此声明，所递交的投标文件及有关资料内容完整、真实和准确，完全响应招标文件要求。</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9"/>
        <w:rPr>
          <w:rFonts w:ascii="宋体" w:hAnsi="宋体" w:eastAsia="宋体"/>
          <w:color w:val="000000"/>
          <w:sz w:val="24"/>
          <w:szCs w:val="24"/>
          <w:highlight w:val="none"/>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供应商：</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rPr>
        <w:t>（</w:t>
      </w:r>
      <w:r>
        <w:rPr>
          <w:rFonts w:hint="eastAsia" w:ascii="宋体" w:hAnsi="宋体" w:eastAsia="宋体"/>
          <w:color w:val="000000"/>
          <w:sz w:val="24"/>
          <w:szCs w:val="24"/>
          <w:highlight w:val="none"/>
        </w:rPr>
        <w:t>电子签章</w:t>
      </w:r>
      <w:r>
        <w:rPr>
          <w:rFonts w:ascii="宋体" w:hAnsi="宋体" w:eastAsia="宋体"/>
          <w:color w:val="000000"/>
          <w:sz w:val="24"/>
          <w:szCs w:val="24"/>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法定代表人或其委托代理人：</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rPr>
        <w:t>（</w:t>
      </w:r>
      <w:r>
        <w:rPr>
          <w:rFonts w:hint="eastAsia" w:ascii="宋体" w:hAnsi="宋体" w:eastAsia="宋体"/>
          <w:color w:val="000000"/>
          <w:sz w:val="24"/>
          <w:szCs w:val="24"/>
          <w:highlight w:val="none"/>
        </w:rPr>
        <w:t>电子签章</w:t>
      </w:r>
      <w:r>
        <w:rPr>
          <w:rFonts w:ascii="宋体" w:hAnsi="宋体" w:eastAsia="宋体"/>
          <w:color w:val="000000"/>
          <w:sz w:val="24"/>
          <w:szCs w:val="24"/>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 xml:space="preserve">年 </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月 </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日</w:t>
      </w:r>
    </w:p>
    <w:p>
      <w:pPr>
        <w:widowControl/>
        <w:spacing w:line="240" w:lineRule="auto"/>
        <w:jc w:val="left"/>
        <w:outlineLvl w:val="9"/>
        <w:rPr>
          <w:rFonts w:ascii="宋体" w:hAnsi="宋体" w:eastAsia="宋体"/>
          <w:color w:val="000000"/>
          <w:highlight w:val="none"/>
        </w:rPr>
      </w:pPr>
      <w:r>
        <w:rPr>
          <w:rFonts w:ascii="宋体" w:hAnsi="宋体" w:eastAsia="宋体"/>
          <w:color w:val="000000"/>
          <w:highlight w:val="none"/>
        </w:rPr>
        <w:br w:type="page"/>
      </w:r>
    </w:p>
    <w:p>
      <w:pPr>
        <w:keepNext w:val="0"/>
        <w:keepLines w:val="0"/>
        <w:pageBreakBefore w:val="0"/>
        <w:wordWrap/>
        <w:overflowPunct/>
        <w:topLinePunct w:val="0"/>
        <w:autoSpaceDE w:val="0"/>
        <w:autoSpaceDN w:val="0"/>
        <w:bidi w:val="0"/>
        <w:spacing w:line="360" w:lineRule="auto"/>
        <w:outlineLvl w:val="9"/>
        <w:rPr>
          <w:rFonts w:hint="eastAsia" w:ascii="宋体" w:hAnsi="宋体" w:eastAsia="宋体"/>
          <w:b/>
          <w:bCs/>
          <w:color w:val="000000"/>
          <w:sz w:val="28"/>
          <w:szCs w:val="28"/>
          <w:highlight w:val="none"/>
        </w:rPr>
      </w:pPr>
      <w:r>
        <w:rPr>
          <w:rFonts w:hint="eastAsia" w:ascii="宋体" w:hAnsi="宋体" w:eastAsia="宋体"/>
          <w:b/>
          <w:bCs/>
          <w:color w:val="000000"/>
          <w:sz w:val="28"/>
          <w:szCs w:val="28"/>
          <w:highlight w:val="none"/>
        </w:rPr>
        <w:t>（二）投标函附录</w:t>
      </w:r>
    </w:p>
    <w:tbl>
      <w:tblPr>
        <w:tblStyle w:val="21"/>
        <w:tblpPr w:leftFromText="180" w:rightFromText="180" w:vertAnchor="text" w:horzAnchor="page" w:tblpX="1298" w:tblpY="795"/>
        <w:tblOverlap w:val="never"/>
        <w:tblW w:w="94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77"/>
        <w:gridCol w:w="65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58" w:hRule="atLeast"/>
        </w:trPr>
        <w:tc>
          <w:tcPr>
            <w:tcW w:w="2877" w:type="dxa"/>
            <w:noWrap w:val="0"/>
            <w:vAlign w:val="center"/>
          </w:tcPr>
          <w:p>
            <w:pPr>
              <w:pStyle w:val="42"/>
              <w:keepNext w:val="0"/>
              <w:keepLines w:val="0"/>
              <w:pageBreakBefore w:val="0"/>
              <w:widowControl w:val="0"/>
              <w:kinsoku/>
              <w:wordWrap/>
              <w:overflowPunct/>
              <w:topLinePunct w:val="0"/>
              <w:autoSpaceDE w:val="0"/>
              <w:autoSpaceDN w:val="0"/>
              <w:bidi w:val="0"/>
              <w:adjustRightInd/>
              <w:snapToGrid/>
              <w:spacing w:before="0"/>
              <w:ind w:left="0" w:right="0"/>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6552" w:type="dxa"/>
            <w:noWrap w:val="0"/>
            <w:vAlign w:val="top"/>
          </w:tcPr>
          <w:p>
            <w:pPr>
              <w:pStyle w:val="42"/>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outlineLvl w:val="9"/>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4" w:hRule="atLeast"/>
        </w:trPr>
        <w:tc>
          <w:tcPr>
            <w:tcW w:w="2877" w:type="dxa"/>
            <w:noWrap w:val="0"/>
            <w:vAlign w:val="center"/>
          </w:tcPr>
          <w:p>
            <w:pPr>
              <w:pStyle w:val="42"/>
              <w:keepNext w:val="0"/>
              <w:keepLines w:val="0"/>
              <w:pageBreakBefore w:val="0"/>
              <w:widowControl w:val="0"/>
              <w:kinsoku/>
              <w:wordWrap/>
              <w:overflowPunct/>
              <w:topLinePunct w:val="0"/>
              <w:autoSpaceDE w:val="0"/>
              <w:autoSpaceDN w:val="0"/>
              <w:bidi w:val="0"/>
              <w:adjustRightInd/>
              <w:snapToGrid/>
              <w:spacing w:before="0"/>
              <w:ind w:left="0" w:right="0"/>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w:t>
            </w:r>
          </w:p>
        </w:tc>
        <w:tc>
          <w:tcPr>
            <w:tcW w:w="6552" w:type="dxa"/>
            <w:noWrap w:val="0"/>
            <w:vAlign w:val="top"/>
          </w:tcPr>
          <w:p>
            <w:pPr>
              <w:pStyle w:val="42"/>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outlineLvl w:val="9"/>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2877" w:type="dxa"/>
            <w:noWrap w:val="0"/>
            <w:vAlign w:val="center"/>
          </w:tcPr>
          <w:p>
            <w:pPr>
              <w:pStyle w:val="42"/>
              <w:keepNext w:val="0"/>
              <w:keepLines w:val="0"/>
              <w:pageBreakBefore w:val="0"/>
              <w:widowControl w:val="0"/>
              <w:kinsoku/>
              <w:wordWrap/>
              <w:overflowPunct/>
              <w:topLinePunct w:val="0"/>
              <w:autoSpaceDE w:val="0"/>
              <w:autoSpaceDN w:val="0"/>
              <w:bidi w:val="0"/>
              <w:adjustRightInd/>
              <w:snapToGrid/>
              <w:spacing w:before="0"/>
              <w:ind w:left="0" w:right="0"/>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报价</w:t>
            </w:r>
          </w:p>
        </w:tc>
        <w:tc>
          <w:tcPr>
            <w:tcW w:w="6552" w:type="dxa"/>
            <w:noWrap w:val="0"/>
            <w:vAlign w:val="top"/>
          </w:tcPr>
          <w:p>
            <w:pPr>
              <w:pStyle w:val="42"/>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outlineLvl w:val="9"/>
              <w:rPr>
                <w:rFonts w:hint="eastAsia" w:ascii="宋体" w:hAnsi="宋体" w:eastAsia="宋体" w:cs="宋体"/>
                <w:b/>
                <w:sz w:val="24"/>
                <w:szCs w:val="24"/>
                <w:highlight w:val="none"/>
              </w:rPr>
            </w:pPr>
          </w:p>
          <w:p>
            <w:pPr>
              <w:pStyle w:val="42"/>
              <w:keepNext w:val="0"/>
              <w:keepLines w:val="0"/>
              <w:pageBreakBefore w:val="0"/>
              <w:widowControl w:val="0"/>
              <w:tabs>
                <w:tab w:val="left" w:pos="2104"/>
              </w:tabs>
              <w:kinsoku/>
              <w:wordWrap/>
              <w:overflowPunct/>
              <w:topLinePunct w:val="0"/>
              <w:autoSpaceDE w:val="0"/>
              <w:autoSpaceDN w:val="0"/>
              <w:bidi w:val="0"/>
              <w:adjustRightInd/>
              <w:snapToGrid/>
              <w:spacing w:before="0"/>
              <w:ind w:left="0" w:right="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大写：</w:t>
            </w:r>
            <w:r>
              <w:rPr>
                <w:rFonts w:hint="eastAsia" w:ascii="宋体" w:hAnsi="宋体" w:eastAsia="宋体" w:cs="宋体"/>
                <w:sz w:val="24"/>
                <w:szCs w:val="24"/>
                <w:highlight w:val="none"/>
              </w:rPr>
              <w:tab/>
            </w:r>
            <w:r>
              <w:rPr>
                <w:rFonts w:hint="eastAsia" w:ascii="宋体" w:hAnsi="宋体" w:eastAsia="宋体" w:cs="宋体"/>
                <w:sz w:val="24"/>
                <w:szCs w:val="24"/>
                <w:highlight w:val="none"/>
              </w:rPr>
              <w:t>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6" w:hRule="atLeast"/>
        </w:trPr>
        <w:tc>
          <w:tcPr>
            <w:tcW w:w="2877" w:type="dxa"/>
            <w:noWrap w:val="0"/>
            <w:vAlign w:val="center"/>
          </w:tcPr>
          <w:p>
            <w:pPr>
              <w:pStyle w:val="42"/>
              <w:keepNext w:val="0"/>
              <w:keepLines w:val="0"/>
              <w:pageBreakBefore w:val="0"/>
              <w:widowControl w:val="0"/>
              <w:kinsoku/>
              <w:wordWrap/>
              <w:overflowPunct/>
              <w:topLinePunct w:val="0"/>
              <w:autoSpaceDE w:val="0"/>
              <w:autoSpaceDN w:val="0"/>
              <w:bidi w:val="0"/>
              <w:adjustRightInd/>
              <w:snapToGrid/>
              <w:spacing w:before="0"/>
              <w:ind w:left="0" w:right="0"/>
              <w:jc w:val="center"/>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服务期限</w:t>
            </w:r>
          </w:p>
        </w:tc>
        <w:tc>
          <w:tcPr>
            <w:tcW w:w="6552" w:type="dxa"/>
            <w:noWrap w:val="0"/>
            <w:vAlign w:val="top"/>
          </w:tcPr>
          <w:p>
            <w:pPr>
              <w:pStyle w:val="42"/>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outlineLvl w:val="9"/>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2877" w:type="dxa"/>
            <w:noWrap w:val="0"/>
            <w:vAlign w:val="center"/>
          </w:tcPr>
          <w:p>
            <w:pPr>
              <w:pStyle w:val="42"/>
              <w:keepNext w:val="0"/>
              <w:keepLines w:val="0"/>
              <w:pageBreakBefore w:val="0"/>
              <w:widowControl w:val="0"/>
              <w:kinsoku/>
              <w:wordWrap/>
              <w:overflowPunct/>
              <w:topLinePunct w:val="0"/>
              <w:autoSpaceDE w:val="0"/>
              <w:autoSpaceDN w:val="0"/>
              <w:bidi w:val="0"/>
              <w:adjustRightInd/>
              <w:snapToGrid/>
              <w:spacing w:before="0"/>
              <w:ind w:left="0" w:right="0"/>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地点</w:t>
            </w:r>
          </w:p>
        </w:tc>
        <w:tc>
          <w:tcPr>
            <w:tcW w:w="6552" w:type="dxa"/>
            <w:noWrap w:val="0"/>
            <w:vAlign w:val="top"/>
          </w:tcPr>
          <w:p>
            <w:pPr>
              <w:pStyle w:val="42"/>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outlineLvl w:val="9"/>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6" w:hRule="atLeast"/>
        </w:trPr>
        <w:tc>
          <w:tcPr>
            <w:tcW w:w="2877" w:type="dxa"/>
            <w:noWrap w:val="0"/>
            <w:vAlign w:val="center"/>
          </w:tcPr>
          <w:p>
            <w:pPr>
              <w:pStyle w:val="42"/>
              <w:keepNext w:val="0"/>
              <w:keepLines w:val="0"/>
              <w:pageBreakBefore w:val="0"/>
              <w:widowControl w:val="0"/>
              <w:kinsoku/>
              <w:wordWrap/>
              <w:overflowPunct/>
              <w:topLinePunct w:val="0"/>
              <w:autoSpaceDE w:val="0"/>
              <w:autoSpaceDN w:val="0"/>
              <w:bidi w:val="0"/>
              <w:adjustRightInd/>
              <w:snapToGrid/>
              <w:spacing w:before="0"/>
              <w:ind w:left="0" w:right="0"/>
              <w:jc w:val="center"/>
              <w:textAlignment w:val="auto"/>
              <w:outlineLvl w:val="9"/>
              <w:rPr>
                <w:rFonts w:hint="eastAsia" w:ascii="宋体" w:hAnsi="宋体" w:eastAsia="宋体" w:cs="宋体"/>
                <w:sz w:val="24"/>
                <w:szCs w:val="24"/>
                <w:highlight w:val="none"/>
              </w:rPr>
            </w:pPr>
            <w:r>
              <w:rPr>
                <w:rFonts w:ascii="宋体" w:hAnsi="宋体" w:eastAsia="宋体"/>
                <w:color w:val="000000"/>
                <w:sz w:val="24"/>
                <w:szCs w:val="24"/>
                <w:highlight w:val="none"/>
              </w:rPr>
              <w:t>质量标准</w:t>
            </w:r>
          </w:p>
        </w:tc>
        <w:tc>
          <w:tcPr>
            <w:tcW w:w="6552" w:type="dxa"/>
            <w:noWrap w:val="0"/>
            <w:vAlign w:val="top"/>
          </w:tcPr>
          <w:p>
            <w:pPr>
              <w:pStyle w:val="42"/>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outlineLvl w:val="9"/>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572" w:hRule="atLeast"/>
        </w:trPr>
        <w:tc>
          <w:tcPr>
            <w:tcW w:w="2877" w:type="dxa"/>
            <w:noWrap w:val="0"/>
            <w:vAlign w:val="center"/>
          </w:tcPr>
          <w:p>
            <w:pPr>
              <w:pStyle w:val="42"/>
              <w:keepNext w:val="0"/>
              <w:keepLines w:val="0"/>
              <w:pageBreakBefore w:val="0"/>
              <w:widowControl w:val="0"/>
              <w:kinsoku/>
              <w:wordWrap/>
              <w:overflowPunct/>
              <w:topLinePunct w:val="0"/>
              <w:autoSpaceDE w:val="0"/>
              <w:autoSpaceDN w:val="0"/>
              <w:bidi w:val="0"/>
              <w:adjustRightInd/>
              <w:snapToGrid/>
              <w:spacing w:before="0"/>
              <w:ind w:left="0" w:right="0"/>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其他说明</w:t>
            </w:r>
          </w:p>
        </w:tc>
        <w:tc>
          <w:tcPr>
            <w:tcW w:w="6552" w:type="dxa"/>
            <w:noWrap w:val="0"/>
            <w:vAlign w:val="top"/>
          </w:tcPr>
          <w:p>
            <w:pPr>
              <w:pStyle w:val="42"/>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outlineLvl w:val="9"/>
              <w:rPr>
                <w:rFonts w:hint="eastAsia" w:ascii="宋体" w:hAnsi="宋体" w:eastAsia="宋体" w:cs="宋体"/>
                <w:sz w:val="24"/>
                <w:szCs w:val="24"/>
                <w:highlight w:val="none"/>
              </w:rPr>
            </w:pPr>
          </w:p>
        </w:tc>
      </w:tr>
    </w:tbl>
    <w:p>
      <w:pPr>
        <w:outlineLvl w:val="9"/>
        <w:rPr>
          <w:rFonts w:ascii="宋体" w:hAnsi="宋体" w:eastAsia="宋体"/>
          <w:color w:val="000000"/>
          <w:highlight w:val="none"/>
        </w:rPr>
      </w:pP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p>
    <w:p>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供应商（</w:t>
      </w:r>
      <w:r>
        <w:rPr>
          <w:rFonts w:hint="eastAsia" w:ascii="宋体" w:hAnsi="宋体" w:eastAsia="宋体"/>
          <w:color w:val="000000"/>
          <w:sz w:val="24"/>
          <w:szCs w:val="24"/>
          <w:highlight w:val="none"/>
        </w:rPr>
        <w:t>电子签章</w:t>
      </w:r>
      <w:r>
        <w:rPr>
          <w:rFonts w:ascii="宋体" w:hAnsi="宋体" w:eastAsia="宋体"/>
          <w:color w:val="000000"/>
          <w:sz w:val="24"/>
          <w:szCs w:val="24"/>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法定代表人或授权代表人（</w:t>
      </w:r>
      <w:r>
        <w:rPr>
          <w:rFonts w:hint="eastAsia" w:ascii="宋体" w:hAnsi="宋体" w:eastAsia="宋体"/>
          <w:color w:val="000000"/>
          <w:sz w:val="24"/>
          <w:szCs w:val="24"/>
          <w:highlight w:val="none"/>
        </w:rPr>
        <w:t>电子签章</w:t>
      </w:r>
      <w:r>
        <w:rPr>
          <w:rFonts w:ascii="宋体" w:hAnsi="宋体" w:eastAsia="宋体"/>
          <w:color w:val="000000"/>
          <w:sz w:val="24"/>
          <w:szCs w:val="24"/>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 xml:space="preserve">年 </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月 </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日</w:t>
      </w:r>
    </w:p>
    <w:p>
      <w:pPr>
        <w:outlineLvl w:val="9"/>
        <w:rPr>
          <w:rFonts w:ascii="宋体" w:hAnsi="宋体" w:eastAsia="宋体"/>
          <w:color w:val="000000"/>
          <w:sz w:val="21"/>
          <w:szCs w:val="21"/>
          <w:highlight w:val="none"/>
        </w:rPr>
      </w:pPr>
    </w:p>
    <w:p>
      <w:pPr>
        <w:widowControl/>
        <w:spacing w:line="240" w:lineRule="auto"/>
        <w:jc w:val="left"/>
        <w:outlineLvl w:val="9"/>
        <w:rPr>
          <w:rFonts w:ascii="宋体" w:hAnsi="宋体" w:eastAsia="宋体"/>
          <w:color w:val="000000"/>
          <w:sz w:val="22"/>
          <w:highlight w:val="none"/>
        </w:rPr>
      </w:pPr>
      <w:r>
        <w:rPr>
          <w:rFonts w:ascii="宋体" w:hAnsi="宋体" w:eastAsia="宋体"/>
          <w:color w:val="000000"/>
          <w:sz w:val="22"/>
          <w:highlight w:val="none"/>
        </w:rPr>
        <w:br w:type="page"/>
      </w:r>
    </w:p>
    <w:p>
      <w:pPr>
        <w:keepNext w:val="0"/>
        <w:keepLines w:val="0"/>
        <w:pageBreakBefore w:val="0"/>
        <w:wordWrap/>
        <w:overflowPunct/>
        <w:topLinePunct w:val="0"/>
        <w:autoSpaceDE w:val="0"/>
        <w:autoSpaceDN w:val="0"/>
        <w:bidi w:val="0"/>
        <w:spacing w:line="360" w:lineRule="auto"/>
        <w:outlineLvl w:val="9"/>
        <w:rPr>
          <w:rFonts w:hint="eastAsia" w:ascii="宋体" w:hAnsi="宋体" w:eastAsia="宋体"/>
          <w:b/>
          <w:bCs/>
          <w:color w:val="000000"/>
          <w:sz w:val="28"/>
          <w:szCs w:val="28"/>
          <w:highlight w:val="none"/>
        </w:rPr>
      </w:pPr>
      <w:r>
        <w:rPr>
          <w:rFonts w:hint="eastAsia" w:ascii="宋体" w:hAnsi="宋体" w:eastAsia="宋体"/>
          <w:b/>
          <w:bCs/>
          <w:color w:val="000000"/>
          <w:sz w:val="28"/>
          <w:szCs w:val="28"/>
          <w:highlight w:val="none"/>
        </w:rPr>
        <w:t>二、法定代表人身份证明</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供应商名称：</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单位性质：</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 xml:space="preserve">地 </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址：</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成立时间：</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 年 </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月 </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日</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经营期限：</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 xml:space="preserve">姓名： </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性别：</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 年龄： </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职务：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系</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rPr>
        <w:t>（供应商单位名称）的法定代表人。</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特此证明。</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附：法定代表人身份证复印件。</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供应商：</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电子签章</w:t>
      </w:r>
      <w:r>
        <w:rPr>
          <w:rFonts w:ascii="宋体" w:hAnsi="宋体" w:eastAsia="宋体"/>
          <w:color w:val="000000"/>
          <w:sz w:val="24"/>
          <w:szCs w:val="24"/>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 xml:space="preserve">年 </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月</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 日</w:t>
      </w:r>
    </w:p>
    <w:p>
      <w:pPr>
        <w:outlineLvl w:val="9"/>
        <w:rPr>
          <w:rFonts w:ascii="宋体" w:hAnsi="宋体" w:eastAsia="宋体"/>
          <w:color w:val="000000"/>
          <w:sz w:val="21"/>
          <w:szCs w:val="21"/>
          <w:highlight w:val="none"/>
        </w:rPr>
      </w:pPr>
    </w:p>
    <w:p>
      <w:pPr>
        <w:outlineLvl w:val="9"/>
        <w:rPr>
          <w:rFonts w:ascii="宋体" w:hAnsi="宋体" w:eastAsia="宋体"/>
          <w:color w:val="000000"/>
          <w:sz w:val="21"/>
          <w:szCs w:val="21"/>
          <w:highlight w:val="none"/>
        </w:rPr>
      </w:pPr>
    </w:p>
    <w:p>
      <w:pPr>
        <w:widowControl/>
        <w:spacing w:line="240" w:lineRule="auto"/>
        <w:jc w:val="left"/>
        <w:outlineLvl w:val="9"/>
        <w:rPr>
          <w:rFonts w:ascii="宋体" w:hAnsi="宋体" w:eastAsia="宋体"/>
          <w:color w:val="000000"/>
          <w:sz w:val="22"/>
          <w:highlight w:val="none"/>
        </w:rPr>
      </w:pPr>
      <w:r>
        <w:rPr>
          <w:rFonts w:ascii="宋体" w:hAnsi="宋体" w:eastAsia="宋体"/>
          <w:color w:val="000000"/>
          <w:sz w:val="22"/>
          <w:highlight w:val="none"/>
        </w:rPr>
        <w:br w:type="page"/>
      </w:r>
    </w:p>
    <w:p>
      <w:pPr>
        <w:keepNext w:val="0"/>
        <w:keepLines w:val="0"/>
        <w:pageBreakBefore w:val="0"/>
        <w:wordWrap/>
        <w:overflowPunct/>
        <w:topLinePunct w:val="0"/>
        <w:autoSpaceDE w:val="0"/>
        <w:autoSpaceDN w:val="0"/>
        <w:bidi w:val="0"/>
        <w:spacing w:line="360" w:lineRule="auto"/>
        <w:outlineLvl w:val="9"/>
        <w:rPr>
          <w:rFonts w:hint="eastAsia" w:ascii="宋体" w:hAnsi="宋体" w:eastAsia="宋体"/>
          <w:b/>
          <w:bCs/>
          <w:color w:val="000000"/>
          <w:sz w:val="28"/>
          <w:szCs w:val="28"/>
          <w:highlight w:val="none"/>
        </w:rPr>
      </w:pPr>
      <w:r>
        <w:rPr>
          <w:rFonts w:hint="eastAsia" w:ascii="宋体" w:hAnsi="宋体" w:eastAsia="宋体"/>
          <w:b/>
          <w:bCs/>
          <w:color w:val="000000"/>
          <w:sz w:val="28"/>
          <w:szCs w:val="28"/>
          <w:highlight w:val="none"/>
        </w:rPr>
        <w:t>三、授权委托书</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本人</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rPr>
        <w:t>（姓名）系</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rPr>
        <w:t>（供应商名称）的法定代表人，现委托</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rPr>
        <w:t>（姓名）为我方代理人。代理人根据授权，以我方名义签署、澄清、说明、补正、递交、撤回、修改（项目名称）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（标段）</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rPr>
        <w:t>投标文件、签订合同和处理有关事宜，其法律后果由我方承担。</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委托期限：</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代理人无转委托权。</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附：法定代表人身份证和代理人身份证复印件</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供应商：</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w:t>
      </w:r>
      <w:r>
        <w:rPr>
          <w:rFonts w:hint="eastAsia" w:ascii="宋体" w:hAnsi="宋体" w:eastAsia="宋体"/>
          <w:color w:val="000000"/>
          <w:sz w:val="24"/>
          <w:szCs w:val="24"/>
          <w:highlight w:val="none"/>
        </w:rPr>
        <w:t>电子签章</w:t>
      </w:r>
      <w:r>
        <w:rPr>
          <w:rFonts w:ascii="宋体" w:hAnsi="宋体" w:eastAsia="宋体"/>
          <w:color w:val="000000"/>
          <w:sz w:val="24"/>
          <w:szCs w:val="24"/>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法定代表人：</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rPr>
        <w:t>（</w:t>
      </w:r>
      <w:r>
        <w:rPr>
          <w:rFonts w:hint="eastAsia" w:ascii="宋体" w:hAnsi="宋体" w:eastAsia="宋体"/>
          <w:color w:val="000000"/>
          <w:sz w:val="24"/>
          <w:szCs w:val="24"/>
          <w:highlight w:val="none"/>
        </w:rPr>
        <w:t>电子签章</w:t>
      </w:r>
      <w:r>
        <w:rPr>
          <w:rFonts w:ascii="宋体" w:hAnsi="宋体" w:eastAsia="宋体"/>
          <w:color w:val="000000"/>
          <w:sz w:val="24"/>
          <w:szCs w:val="24"/>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身份证号码：</w:t>
      </w:r>
      <w:r>
        <w:rPr>
          <w:rFonts w:hint="eastAsia" w:ascii="宋体" w:hAnsi="宋体" w:eastAsia="宋体"/>
          <w:color w:val="000000"/>
          <w:sz w:val="24"/>
          <w:szCs w:val="24"/>
          <w:highlight w:val="none"/>
          <w:u w:val="single"/>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委托代理人：</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rPr>
        <w:t>（</w:t>
      </w:r>
      <w:r>
        <w:rPr>
          <w:rFonts w:hint="eastAsia" w:ascii="宋体" w:hAnsi="宋体" w:eastAsia="宋体"/>
          <w:color w:val="000000"/>
          <w:sz w:val="24"/>
          <w:szCs w:val="24"/>
          <w:highlight w:val="none"/>
        </w:rPr>
        <w:t>签字或盖章</w:t>
      </w:r>
      <w:r>
        <w:rPr>
          <w:rFonts w:ascii="宋体" w:hAnsi="宋体" w:eastAsia="宋体"/>
          <w:color w:val="000000"/>
          <w:sz w:val="24"/>
          <w:szCs w:val="24"/>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身份证号码：</w:t>
      </w:r>
      <w:r>
        <w:rPr>
          <w:rFonts w:hint="eastAsia" w:ascii="宋体" w:hAnsi="宋体" w:eastAsia="宋体"/>
          <w:color w:val="000000"/>
          <w:sz w:val="24"/>
          <w:szCs w:val="24"/>
          <w:highlight w:val="none"/>
          <w:u w:val="single"/>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年</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 月 </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日</w:t>
      </w:r>
    </w:p>
    <w:p>
      <w:pPr>
        <w:outlineLvl w:val="9"/>
        <w:rPr>
          <w:rFonts w:ascii="宋体" w:hAnsi="宋体" w:eastAsia="宋体"/>
          <w:color w:val="000000"/>
          <w:sz w:val="22"/>
          <w:highlight w:val="none"/>
        </w:rPr>
      </w:pPr>
    </w:p>
    <w:p>
      <w:pPr>
        <w:outlineLvl w:val="9"/>
        <w:rPr>
          <w:rFonts w:ascii="宋体" w:hAnsi="宋体" w:eastAsia="宋体"/>
          <w:color w:val="000000"/>
          <w:sz w:val="21"/>
          <w:szCs w:val="21"/>
          <w:highlight w:val="none"/>
        </w:rPr>
      </w:pPr>
    </w:p>
    <w:p>
      <w:pPr>
        <w:outlineLvl w:val="9"/>
        <w:rPr>
          <w:rFonts w:ascii="宋体" w:hAnsi="宋体" w:eastAsia="宋体"/>
          <w:color w:val="000000"/>
          <w:sz w:val="21"/>
          <w:szCs w:val="21"/>
          <w:highlight w:val="none"/>
        </w:rPr>
      </w:pPr>
    </w:p>
    <w:p>
      <w:pPr>
        <w:widowControl/>
        <w:spacing w:line="240" w:lineRule="auto"/>
        <w:jc w:val="left"/>
        <w:outlineLvl w:val="9"/>
        <w:rPr>
          <w:rFonts w:ascii="宋体" w:hAnsi="宋体" w:eastAsia="宋体"/>
          <w:color w:val="000000"/>
          <w:sz w:val="22"/>
          <w:highlight w:val="none"/>
        </w:rPr>
      </w:pPr>
      <w:r>
        <w:rPr>
          <w:rFonts w:ascii="宋体" w:hAnsi="宋体" w:eastAsia="宋体"/>
          <w:color w:val="000000"/>
          <w:sz w:val="22"/>
          <w:highlight w:val="none"/>
        </w:rPr>
        <w:br w:type="page"/>
      </w:r>
    </w:p>
    <w:p>
      <w:pPr>
        <w:jc w:val="center"/>
        <w:rPr>
          <w:b/>
          <w:bCs/>
          <w:w w:val="95"/>
          <w:sz w:val="36"/>
          <w:szCs w:val="36"/>
          <w:highlight w:val="none"/>
        </w:rPr>
      </w:pPr>
      <w:r>
        <w:rPr>
          <w:b/>
          <w:bCs/>
          <w:w w:val="95"/>
          <w:sz w:val="36"/>
          <w:szCs w:val="36"/>
          <w:highlight w:val="none"/>
        </w:rPr>
        <w:t>四、技术标部分</w:t>
      </w:r>
    </w:p>
    <w:p>
      <w:pPr>
        <w:pStyle w:val="7"/>
        <w:spacing w:before="2"/>
        <w:rPr>
          <w:b/>
          <w:sz w:val="24"/>
          <w:highlight w:val="none"/>
        </w:rPr>
      </w:pPr>
    </w:p>
    <w:p>
      <w:pPr>
        <w:pStyle w:val="7"/>
        <w:ind w:right="13"/>
        <w:jc w:val="center"/>
        <w:rPr>
          <w:highlight w:val="none"/>
        </w:rPr>
      </w:pPr>
      <w:r>
        <w:rPr>
          <w:highlight w:val="none"/>
        </w:rPr>
        <w:t>（格式自拟）</w:t>
      </w: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pStyle w:val="38"/>
        <w:rPr>
          <w:rFonts w:hint="eastAsia"/>
          <w:b/>
          <w:bCs/>
          <w:w w:val="95"/>
          <w:sz w:val="36"/>
          <w:szCs w:val="36"/>
          <w:highlight w:val="none"/>
          <w:lang w:val="en-US" w:eastAsia="zh-CN"/>
        </w:rPr>
      </w:pPr>
    </w:p>
    <w:p>
      <w:pPr>
        <w:pStyle w:val="38"/>
        <w:rPr>
          <w:rFonts w:hint="eastAsia"/>
          <w:b/>
          <w:bCs/>
          <w:w w:val="95"/>
          <w:sz w:val="36"/>
          <w:szCs w:val="36"/>
          <w:highlight w:val="none"/>
          <w:lang w:val="en-US" w:eastAsia="zh-CN"/>
        </w:rPr>
      </w:pPr>
    </w:p>
    <w:p>
      <w:pPr>
        <w:pStyle w:val="38"/>
        <w:rPr>
          <w:rFonts w:hint="eastAsia"/>
          <w:b/>
          <w:bCs/>
          <w:w w:val="95"/>
          <w:sz w:val="36"/>
          <w:szCs w:val="36"/>
          <w:highlight w:val="none"/>
          <w:lang w:val="en-US" w:eastAsia="zh-CN"/>
        </w:rPr>
      </w:pPr>
    </w:p>
    <w:p>
      <w:pPr>
        <w:pStyle w:val="38"/>
        <w:rPr>
          <w:rFonts w:hint="eastAsia"/>
          <w:b/>
          <w:bCs/>
          <w:w w:val="95"/>
          <w:sz w:val="36"/>
          <w:szCs w:val="36"/>
          <w:highlight w:val="none"/>
          <w:lang w:val="en-US" w:eastAsia="zh-CN"/>
        </w:rPr>
      </w:pPr>
    </w:p>
    <w:p>
      <w:pPr>
        <w:pStyle w:val="38"/>
        <w:rPr>
          <w:rFonts w:hint="eastAsia"/>
          <w:b/>
          <w:bCs/>
          <w:w w:val="95"/>
          <w:sz w:val="36"/>
          <w:szCs w:val="36"/>
          <w:highlight w:val="none"/>
          <w:lang w:val="en-US" w:eastAsia="zh-CN"/>
        </w:rPr>
      </w:pPr>
    </w:p>
    <w:p>
      <w:pPr>
        <w:pStyle w:val="38"/>
        <w:rPr>
          <w:rFonts w:hint="eastAsia"/>
          <w:b/>
          <w:bCs/>
          <w:w w:val="95"/>
          <w:sz w:val="36"/>
          <w:szCs w:val="36"/>
          <w:highlight w:val="none"/>
          <w:lang w:val="en-US" w:eastAsia="zh-CN"/>
        </w:rPr>
      </w:pPr>
    </w:p>
    <w:p>
      <w:pPr>
        <w:jc w:val="center"/>
        <w:outlineLvl w:val="9"/>
        <w:rPr>
          <w:b/>
          <w:bCs/>
          <w:w w:val="95"/>
          <w:sz w:val="36"/>
          <w:szCs w:val="36"/>
          <w:highlight w:val="none"/>
        </w:rPr>
      </w:pPr>
      <w:r>
        <w:rPr>
          <w:b/>
          <w:bCs/>
          <w:w w:val="95"/>
          <w:sz w:val="36"/>
          <w:szCs w:val="36"/>
          <w:highlight w:val="none"/>
        </w:rPr>
        <w:t>五、供应商类似业绩</w:t>
      </w:r>
    </w:p>
    <w:p>
      <w:pPr>
        <w:pStyle w:val="38"/>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rFonts w:hint="eastAsia"/>
          <w:b/>
          <w:bCs/>
          <w:w w:val="95"/>
          <w:sz w:val="36"/>
          <w:szCs w:val="36"/>
          <w:highlight w:val="none"/>
          <w:lang w:val="en-US" w:eastAsia="zh-CN"/>
        </w:rPr>
      </w:pPr>
    </w:p>
    <w:p>
      <w:pPr>
        <w:jc w:val="center"/>
        <w:rPr>
          <w:b/>
          <w:bCs/>
          <w:w w:val="95"/>
          <w:sz w:val="36"/>
          <w:szCs w:val="36"/>
          <w:highlight w:val="none"/>
        </w:rPr>
      </w:pPr>
      <w:r>
        <w:rPr>
          <w:rFonts w:hint="eastAsia" w:eastAsia="宋体"/>
          <w:b/>
          <w:bCs/>
          <w:w w:val="95"/>
          <w:sz w:val="36"/>
          <w:szCs w:val="36"/>
          <w:highlight w:val="none"/>
          <w:lang w:eastAsia="zh-CN"/>
        </w:rPr>
        <w:t>六</w:t>
      </w:r>
      <w:r>
        <w:rPr>
          <w:b/>
          <w:bCs/>
          <w:w w:val="95"/>
          <w:sz w:val="36"/>
          <w:szCs w:val="36"/>
          <w:highlight w:val="none"/>
        </w:rPr>
        <w:t>、供应商基本情况表</w:t>
      </w:r>
    </w:p>
    <w:p>
      <w:pPr>
        <w:pStyle w:val="7"/>
        <w:rPr>
          <w:rFonts w:asciiTheme="minorEastAsia" w:hAnsiTheme="minorEastAsia" w:eastAsiaTheme="minorEastAsia" w:cstheme="minorEastAsia"/>
          <w:sz w:val="24"/>
          <w:szCs w:val="24"/>
          <w:highlight w:val="none"/>
        </w:rPr>
      </w:pPr>
    </w:p>
    <w:p>
      <w:pPr>
        <w:pStyle w:val="7"/>
        <w:spacing w:before="9"/>
        <w:rPr>
          <w:rFonts w:asciiTheme="minorEastAsia" w:hAnsiTheme="minorEastAsia" w:eastAsiaTheme="minorEastAsia" w:cstheme="minorEastAsia"/>
          <w:sz w:val="24"/>
          <w:szCs w:val="24"/>
          <w:highlight w:val="none"/>
        </w:rPr>
      </w:pPr>
    </w:p>
    <w:tbl>
      <w:tblPr>
        <w:tblStyle w:val="21"/>
        <w:tblW w:w="0" w:type="auto"/>
        <w:tblInd w:w="2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0"/>
        <w:gridCol w:w="1180"/>
        <w:gridCol w:w="2953"/>
        <w:gridCol w:w="1217"/>
        <w:gridCol w:w="22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1980" w:type="dxa"/>
          </w:tcPr>
          <w:p>
            <w:pPr>
              <w:pStyle w:val="42"/>
              <w:spacing w:before="104"/>
              <w:ind w:left="233" w:right="223"/>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供应商名称</w:t>
            </w:r>
          </w:p>
        </w:tc>
        <w:tc>
          <w:tcPr>
            <w:tcW w:w="7550" w:type="dxa"/>
            <w:gridSpan w:val="4"/>
          </w:tcPr>
          <w:p>
            <w:pPr>
              <w:pStyle w:val="42"/>
              <w:jc w:val="center"/>
              <w:rPr>
                <w:rFonts w:asciiTheme="minorEastAsia" w:hAnsiTheme="minorEastAsia" w:eastAsiaTheme="minorEastAsia" w:cstheme="minorEastAsia"/>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1980" w:type="dxa"/>
          </w:tcPr>
          <w:p>
            <w:pPr>
              <w:pStyle w:val="42"/>
              <w:spacing w:before="22"/>
              <w:ind w:left="233" w:right="223"/>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注册地址</w:t>
            </w:r>
          </w:p>
        </w:tc>
        <w:tc>
          <w:tcPr>
            <w:tcW w:w="4133" w:type="dxa"/>
            <w:gridSpan w:val="2"/>
          </w:tcPr>
          <w:p>
            <w:pPr>
              <w:pStyle w:val="42"/>
              <w:jc w:val="center"/>
              <w:rPr>
                <w:rFonts w:asciiTheme="minorEastAsia" w:hAnsiTheme="minorEastAsia" w:eastAsiaTheme="minorEastAsia" w:cstheme="minorEastAsia"/>
                <w:sz w:val="24"/>
                <w:szCs w:val="24"/>
                <w:highlight w:val="none"/>
              </w:rPr>
            </w:pPr>
          </w:p>
        </w:tc>
        <w:tc>
          <w:tcPr>
            <w:tcW w:w="1217" w:type="dxa"/>
            <w:vAlign w:val="center"/>
          </w:tcPr>
          <w:p>
            <w:pPr>
              <w:pStyle w:val="42"/>
              <w:spacing w:before="22"/>
              <w:ind w:left="107" w:right="9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邮政编码</w:t>
            </w:r>
          </w:p>
        </w:tc>
        <w:tc>
          <w:tcPr>
            <w:tcW w:w="2200" w:type="dxa"/>
          </w:tcPr>
          <w:p>
            <w:pPr>
              <w:pStyle w:val="42"/>
              <w:jc w:val="center"/>
              <w:rPr>
                <w:rFonts w:asciiTheme="minorEastAsia" w:hAnsiTheme="minorEastAsia" w:eastAsiaTheme="minorEastAsia" w:cstheme="minorEastAsia"/>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1980" w:type="dxa"/>
            <w:vMerge w:val="restart"/>
            <w:vAlign w:val="center"/>
          </w:tcPr>
          <w:p>
            <w:pPr>
              <w:pStyle w:val="42"/>
              <w:spacing w:before="152"/>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联系方式</w:t>
            </w:r>
          </w:p>
        </w:tc>
        <w:tc>
          <w:tcPr>
            <w:tcW w:w="1180" w:type="dxa"/>
            <w:vAlign w:val="center"/>
          </w:tcPr>
          <w:p>
            <w:pPr>
              <w:pStyle w:val="42"/>
              <w:spacing w:before="97"/>
              <w:ind w:left="205" w:right="193"/>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联系人</w:t>
            </w:r>
          </w:p>
        </w:tc>
        <w:tc>
          <w:tcPr>
            <w:tcW w:w="2953" w:type="dxa"/>
          </w:tcPr>
          <w:p>
            <w:pPr>
              <w:pStyle w:val="42"/>
              <w:jc w:val="center"/>
              <w:rPr>
                <w:rFonts w:asciiTheme="minorEastAsia" w:hAnsiTheme="minorEastAsia" w:eastAsiaTheme="minorEastAsia" w:cstheme="minorEastAsia"/>
                <w:sz w:val="24"/>
                <w:szCs w:val="24"/>
                <w:highlight w:val="none"/>
              </w:rPr>
            </w:pPr>
          </w:p>
        </w:tc>
        <w:tc>
          <w:tcPr>
            <w:tcW w:w="1217" w:type="dxa"/>
            <w:vAlign w:val="center"/>
          </w:tcPr>
          <w:p>
            <w:pPr>
              <w:pStyle w:val="42"/>
              <w:spacing w:before="97"/>
              <w:ind w:left="104" w:right="9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电话</w:t>
            </w:r>
          </w:p>
        </w:tc>
        <w:tc>
          <w:tcPr>
            <w:tcW w:w="2200" w:type="dxa"/>
          </w:tcPr>
          <w:p>
            <w:pPr>
              <w:pStyle w:val="42"/>
              <w:jc w:val="center"/>
              <w:rPr>
                <w:rFonts w:asciiTheme="minorEastAsia" w:hAnsiTheme="minorEastAsia" w:eastAsiaTheme="minorEastAsia" w:cstheme="minorEastAsia"/>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1980" w:type="dxa"/>
            <w:vMerge w:val="continue"/>
            <w:tcBorders>
              <w:top w:val="nil"/>
            </w:tcBorders>
          </w:tcPr>
          <w:p>
            <w:pPr>
              <w:jc w:val="center"/>
              <w:rPr>
                <w:rFonts w:asciiTheme="minorEastAsia" w:hAnsiTheme="minorEastAsia" w:eastAsiaTheme="minorEastAsia" w:cstheme="minorEastAsia"/>
                <w:sz w:val="24"/>
                <w:szCs w:val="24"/>
                <w:highlight w:val="none"/>
              </w:rPr>
            </w:pPr>
          </w:p>
        </w:tc>
        <w:tc>
          <w:tcPr>
            <w:tcW w:w="1180" w:type="dxa"/>
            <w:vAlign w:val="center"/>
          </w:tcPr>
          <w:p>
            <w:pPr>
              <w:pStyle w:val="42"/>
              <w:spacing w:before="104"/>
              <w:ind w:left="205" w:right="193"/>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传真</w:t>
            </w:r>
          </w:p>
        </w:tc>
        <w:tc>
          <w:tcPr>
            <w:tcW w:w="2953" w:type="dxa"/>
          </w:tcPr>
          <w:p>
            <w:pPr>
              <w:pStyle w:val="42"/>
              <w:jc w:val="center"/>
              <w:rPr>
                <w:rFonts w:asciiTheme="minorEastAsia" w:hAnsiTheme="minorEastAsia" w:eastAsiaTheme="minorEastAsia" w:cstheme="minorEastAsia"/>
                <w:sz w:val="24"/>
                <w:szCs w:val="24"/>
                <w:highlight w:val="none"/>
              </w:rPr>
            </w:pPr>
          </w:p>
        </w:tc>
        <w:tc>
          <w:tcPr>
            <w:tcW w:w="1217" w:type="dxa"/>
            <w:vAlign w:val="center"/>
          </w:tcPr>
          <w:p>
            <w:pPr>
              <w:pStyle w:val="42"/>
              <w:spacing w:before="104"/>
              <w:ind w:left="104" w:right="9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网址</w:t>
            </w:r>
          </w:p>
        </w:tc>
        <w:tc>
          <w:tcPr>
            <w:tcW w:w="2200" w:type="dxa"/>
          </w:tcPr>
          <w:p>
            <w:pPr>
              <w:pStyle w:val="42"/>
              <w:jc w:val="center"/>
              <w:rPr>
                <w:rFonts w:asciiTheme="minorEastAsia" w:hAnsiTheme="minorEastAsia" w:eastAsiaTheme="minorEastAsia" w:cstheme="minorEastAsia"/>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1980" w:type="dxa"/>
          </w:tcPr>
          <w:p>
            <w:pPr>
              <w:pStyle w:val="42"/>
              <w:spacing w:before="102"/>
              <w:ind w:left="233" w:right="223"/>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组织结构</w:t>
            </w:r>
          </w:p>
        </w:tc>
        <w:tc>
          <w:tcPr>
            <w:tcW w:w="7550" w:type="dxa"/>
            <w:gridSpan w:val="4"/>
            <w:vAlign w:val="center"/>
          </w:tcPr>
          <w:p>
            <w:pPr>
              <w:pStyle w:val="42"/>
              <w:jc w:val="center"/>
              <w:rPr>
                <w:rFonts w:asciiTheme="minorEastAsia" w:hAnsiTheme="minorEastAsia" w:eastAsiaTheme="minorEastAsia" w:cstheme="minorEastAsia"/>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trPr>
        <w:tc>
          <w:tcPr>
            <w:tcW w:w="1980" w:type="dxa"/>
          </w:tcPr>
          <w:p>
            <w:pPr>
              <w:pStyle w:val="42"/>
              <w:spacing w:before="99"/>
              <w:ind w:left="233" w:right="223"/>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法定代表人</w:t>
            </w:r>
          </w:p>
        </w:tc>
        <w:tc>
          <w:tcPr>
            <w:tcW w:w="1180" w:type="dxa"/>
          </w:tcPr>
          <w:p>
            <w:pPr>
              <w:pStyle w:val="42"/>
              <w:spacing w:before="99"/>
              <w:ind w:left="205" w:right="193"/>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姓名</w:t>
            </w:r>
          </w:p>
        </w:tc>
        <w:tc>
          <w:tcPr>
            <w:tcW w:w="2953" w:type="dxa"/>
          </w:tcPr>
          <w:p>
            <w:pPr>
              <w:pStyle w:val="42"/>
              <w:jc w:val="center"/>
              <w:rPr>
                <w:rFonts w:asciiTheme="minorEastAsia" w:hAnsiTheme="minorEastAsia" w:eastAsiaTheme="minorEastAsia" w:cstheme="minorEastAsia"/>
                <w:sz w:val="24"/>
                <w:szCs w:val="24"/>
                <w:highlight w:val="none"/>
              </w:rPr>
            </w:pPr>
          </w:p>
        </w:tc>
        <w:tc>
          <w:tcPr>
            <w:tcW w:w="1217" w:type="dxa"/>
            <w:vAlign w:val="center"/>
          </w:tcPr>
          <w:p>
            <w:pPr>
              <w:pStyle w:val="42"/>
              <w:spacing w:before="99"/>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电话</w:t>
            </w:r>
          </w:p>
        </w:tc>
        <w:tc>
          <w:tcPr>
            <w:tcW w:w="2200" w:type="dxa"/>
          </w:tcPr>
          <w:p>
            <w:pPr>
              <w:pStyle w:val="42"/>
              <w:jc w:val="center"/>
              <w:rPr>
                <w:rFonts w:asciiTheme="minorEastAsia" w:hAnsiTheme="minorEastAsia" w:eastAsiaTheme="minorEastAsia" w:cstheme="minorEastAsia"/>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trPr>
        <w:tc>
          <w:tcPr>
            <w:tcW w:w="1980" w:type="dxa"/>
          </w:tcPr>
          <w:p>
            <w:pPr>
              <w:pStyle w:val="42"/>
              <w:spacing w:before="104"/>
              <w:ind w:left="233" w:right="223"/>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成立时间</w:t>
            </w:r>
          </w:p>
        </w:tc>
        <w:tc>
          <w:tcPr>
            <w:tcW w:w="4133" w:type="dxa"/>
            <w:gridSpan w:val="2"/>
          </w:tcPr>
          <w:p>
            <w:pPr>
              <w:pStyle w:val="42"/>
              <w:jc w:val="center"/>
              <w:rPr>
                <w:rFonts w:asciiTheme="minorEastAsia" w:hAnsiTheme="minorEastAsia" w:eastAsiaTheme="minorEastAsia" w:cstheme="minorEastAsia"/>
                <w:sz w:val="24"/>
                <w:szCs w:val="24"/>
                <w:highlight w:val="none"/>
              </w:rPr>
            </w:pPr>
          </w:p>
        </w:tc>
        <w:tc>
          <w:tcPr>
            <w:tcW w:w="3417" w:type="dxa"/>
            <w:gridSpan w:val="2"/>
          </w:tcPr>
          <w:p>
            <w:pPr>
              <w:pStyle w:val="42"/>
              <w:spacing w:before="104"/>
              <w:ind w:right="1674"/>
              <w:jc w:val="both"/>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员工总人数：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1980" w:type="dxa"/>
          </w:tcPr>
          <w:p>
            <w:pPr>
              <w:pStyle w:val="42"/>
              <w:spacing w:before="178"/>
              <w:ind w:left="233" w:right="223"/>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营业执照号</w:t>
            </w:r>
          </w:p>
        </w:tc>
        <w:tc>
          <w:tcPr>
            <w:tcW w:w="7550" w:type="dxa"/>
            <w:gridSpan w:val="4"/>
          </w:tcPr>
          <w:p>
            <w:pPr>
              <w:pStyle w:val="42"/>
              <w:jc w:val="center"/>
              <w:rPr>
                <w:rFonts w:asciiTheme="minorEastAsia" w:hAnsiTheme="minorEastAsia" w:eastAsiaTheme="minorEastAsia" w:cstheme="minorEastAsia"/>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1980" w:type="dxa"/>
          </w:tcPr>
          <w:p>
            <w:pPr>
              <w:pStyle w:val="42"/>
              <w:spacing w:before="109"/>
              <w:ind w:left="233" w:right="223"/>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注册资金</w:t>
            </w:r>
          </w:p>
        </w:tc>
        <w:tc>
          <w:tcPr>
            <w:tcW w:w="7550" w:type="dxa"/>
            <w:gridSpan w:val="4"/>
          </w:tcPr>
          <w:p>
            <w:pPr>
              <w:pStyle w:val="42"/>
              <w:jc w:val="center"/>
              <w:rPr>
                <w:rFonts w:asciiTheme="minorEastAsia" w:hAnsiTheme="minorEastAsia" w:eastAsiaTheme="minorEastAsia" w:cstheme="minorEastAsia"/>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2" w:hRule="atLeast"/>
        </w:trPr>
        <w:tc>
          <w:tcPr>
            <w:tcW w:w="1980" w:type="dxa"/>
          </w:tcPr>
          <w:p>
            <w:pPr>
              <w:pStyle w:val="42"/>
              <w:spacing w:before="178"/>
              <w:ind w:left="233" w:right="223"/>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开户银行</w:t>
            </w:r>
          </w:p>
        </w:tc>
        <w:tc>
          <w:tcPr>
            <w:tcW w:w="7550" w:type="dxa"/>
            <w:gridSpan w:val="4"/>
          </w:tcPr>
          <w:p>
            <w:pPr>
              <w:pStyle w:val="42"/>
              <w:jc w:val="center"/>
              <w:rPr>
                <w:rFonts w:asciiTheme="minorEastAsia" w:hAnsiTheme="minorEastAsia" w:eastAsiaTheme="minorEastAsia" w:cstheme="minorEastAsia"/>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1980" w:type="dxa"/>
          </w:tcPr>
          <w:p>
            <w:pPr>
              <w:pStyle w:val="42"/>
              <w:spacing w:before="104"/>
              <w:ind w:left="235" w:right="223"/>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账号</w:t>
            </w:r>
          </w:p>
        </w:tc>
        <w:tc>
          <w:tcPr>
            <w:tcW w:w="7550" w:type="dxa"/>
            <w:gridSpan w:val="4"/>
          </w:tcPr>
          <w:p>
            <w:pPr>
              <w:pStyle w:val="42"/>
              <w:jc w:val="center"/>
              <w:rPr>
                <w:rFonts w:asciiTheme="minorEastAsia" w:hAnsiTheme="minorEastAsia" w:eastAsiaTheme="minorEastAsia" w:cstheme="minorEastAsia"/>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7" w:hRule="atLeast"/>
        </w:trPr>
        <w:tc>
          <w:tcPr>
            <w:tcW w:w="1980" w:type="dxa"/>
            <w:vAlign w:val="center"/>
          </w:tcPr>
          <w:p>
            <w:pPr>
              <w:pStyle w:val="42"/>
              <w:ind w:right="223"/>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经营范围备注</w:t>
            </w:r>
          </w:p>
        </w:tc>
        <w:tc>
          <w:tcPr>
            <w:tcW w:w="7550" w:type="dxa"/>
            <w:gridSpan w:val="4"/>
          </w:tcPr>
          <w:p>
            <w:pPr>
              <w:pStyle w:val="42"/>
              <w:jc w:val="center"/>
              <w:rPr>
                <w:rFonts w:asciiTheme="minorEastAsia" w:hAnsiTheme="minorEastAsia" w:eastAsiaTheme="minorEastAsia" w:cstheme="minorEastAsia"/>
                <w:sz w:val="24"/>
                <w:szCs w:val="24"/>
                <w:highlight w:val="none"/>
              </w:rPr>
            </w:pPr>
          </w:p>
        </w:tc>
      </w:tr>
    </w:tbl>
    <w:p>
      <w:pPr>
        <w:spacing w:before="6" w:line="362" w:lineRule="auto"/>
        <w:ind w:left="220" w:right="236"/>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（附企业营业执照，税务登记证或者三证合一的营业执照、资质证书等相关证件的复印件，并</w:t>
      </w:r>
      <w:r>
        <w:rPr>
          <w:rFonts w:hint="eastAsia" w:asciiTheme="minorEastAsia" w:hAnsiTheme="minorEastAsia" w:eastAsiaTheme="minorEastAsia" w:cstheme="minorEastAsia"/>
          <w:sz w:val="24"/>
          <w:szCs w:val="24"/>
          <w:highlight w:val="none"/>
        </w:rPr>
        <w:t>加盖单位公章）</w:t>
      </w:r>
    </w:p>
    <w:p>
      <w:pPr>
        <w:spacing w:line="362" w:lineRule="auto"/>
        <w:rPr>
          <w:rFonts w:asciiTheme="minorEastAsia" w:hAnsiTheme="minorEastAsia" w:eastAsiaTheme="minorEastAsia" w:cstheme="minorEastAsia"/>
          <w:sz w:val="24"/>
          <w:szCs w:val="24"/>
          <w:highlight w:val="none"/>
        </w:rPr>
      </w:pPr>
    </w:p>
    <w:p>
      <w:pPr>
        <w:pStyle w:val="38"/>
        <w:rPr>
          <w:rFonts w:asciiTheme="minorEastAsia" w:hAnsiTheme="minorEastAsia" w:eastAsiaTheme="minorEastAsia" w:cstheme="minorEastAsia"/>
          <w:sz w:val="24"/>
          <w:szCs w:val="24"/>
          <w:highlight w:val="none"/>
        </w:rPr>
      </w:pPr>
    </w:p>
    <w:p>
      <w:pPr>
        <w:pStyle w:val="38"/>
        <w:rPr>
          <w:rFonts w:asciiTheme="minorEastAsia" w:hAnsiTheme="minorEastAsia" w:eastAsiaTheme="minorEastAsia" w:cstheme="minorEastAsia"/>
          <w:sz w:val="24"/>
          <w:szCs w:val="24"/>
          <w:highlight w:val="none"/>
        </w:rPr>
      </w:pPr>
    </w:p>
    <w:p>
      <w:pPr>
        <w:pStyle w:val="38"/>
        <w:rPr>
          <w:rFonts w:asciiTheme="minorEastAsia" w:hAnsiTheme="minorEastAsia" w:eastAsiaTheme="minorEastAsia" w:cstheme="minorEastAsia"/>
          <w:sz w:val="24"/>
          <w:szCs w:val="24"/>
          <w:highlight w:val="none"/>
        </w:rPr>
      </w:pPr>
    </w:p>
    <w:p>
      <w:pPr>
        <w:pStyle w:val="38"/>
        <w:rPr>
          <w:rFonts w:asciiTheme="minorEastAsia" w:hAnsiTheme="minorEastAsia" w:eastAsiaTheme="minorEastAsia" w:cstheme="minorEastAsia"/>
          <w:sz w:val="24"/>
          <w:szCs w:val="24"/>
          <w:highlight w:val="none"/>
        </w:rPr>
      </w:pPr>
    </w:p>
    <w:p>
      <w:pPr>
        <w:pStyle w:val="38"/>
        <w:rPr>
          <w:rFonts w:asciiTheme="minorEastAsia" w:hAnsiTheme="minorEastAsia" w:eastAsiaTheme="minorEastAsia" w:cstheme="minorEastAsia"/>
          <w:sz w:val="24"/>
          <w:szCs w:val="24"/>
          <w:highlight w:val="none"/>
        </w:rPr>
      </w:pPr>
    </w:p>
    <w:p>
      <w:pPr>
        <w:pStyle w:val="38"/>
        <w:rPr>
          <w:rFonts w:asciiTheme="minorEastAsia" w:hAnsiTheme="minorEastAsia" w:eastAsiaTheme="minorEastAsia" w:cstheme="minorEastAsia"/>
          <w:sz w:val="24"/>
          <w:szCs w:val="24"/>
          <w:highlight w:val="none"/>
        </w:rPr>
      </w:pPr>
    </w:p>
    <w:p>
      <w:pPr>
        <w:pStyle w:val="38"/>
        <w:rPr>
          <w:rFonts w:asciiTheme="minorEastAsia" w:hAnsiTheme="minorEastAsia" w:eastAsiaTheme="minorEastAsia" w:cstheme="minorEastAsia"/>
          <w:sz w:val="24"/>
          <w:szCs w:val="24"/>
          <w:highlight w:val="none"/>
        </w:rPr>
      </w:pPr>
    </w:p>
    <w:p>
      <w:pPr>
        <w:pStyle w:val="38"/>
        <w:rPr>
          <w:rFonts w:asciiTheme="minorEastAsia" w:hAnsiTheme="minorEastAsia" w:eastAsiaTheme="minorEastAsia" w:cstheme="minorEastAsia"/>
          <w:sz w:val="24"/>
          <w:szCs w:val="24"/>
          <w:highlight w:val="none"/>
        </w:rPr>
      </w:pPr>
    </w:p>
    <w:p>
      <w:pPr>
        <w:pStyle w:val="38"/>
        <w:rPr>
          <w:rFonts w:asciiTheme="minorEastAsia" w:hAnsiTheme="minorEastAsia" w:eastAsiaTheme="minorEastAsia" w:cstheme="minorEastAsia"/>
          <w:sz w:val="24"/>
          <w:szCs w:val="24"/>
          <w:highlight w:val="none"/>
        </w:rPr>
      </w:pPr>
    </w:p>
    <w:p>
      <w:pPr>
        <w:pStyle w:val="38"/>
        <w:rPr>
          <w:rFonts w:asciiTheme="minorEastAsia" w:hAnsiTheme="minorEastAsia" w:eastAsiaTheme="minorEastAsia" w:cstheme="minorEastAsia"/>
          <w:sz w:val="24"/>
          <w:szCs w:val="24"/>
          <w:highlight w:val="none"/>
        </w:rPr>
      </w:pPr>
    </w:p>
    <w:p>
      <w:pPr>
        <w:pStyle w:val="38"/>
        <w:rPr>
          <w:rFonts w:asciiTheme="minorEastAsia" w:hAnsiTheme="minorEastAsia" w:eastAsiaTheme="minorEastAsia" w:cstheme="minorEastAsia"/>
          <w:sz w:val="24"/>
          <w:szCs w:val="24"/>
          <w:highlight w:val="none"/>
        </w:rPr>
      </w:pPr>
    </w:p>
    <w:p>
      <w:pPr>
        <w:jc w:val="center"/>
        <w:rPr>
          <w:rFonts w:hint="eastAsia" w:ascii="宋体" w:hAnsi="宋体" w:eastAsia="宋体" w:cs="宋体"/>
          <w:b/>
          <w:bCs/>
          <w:w w:val="95"/>
          <w:sz w:val="36"/>
          <w:szCs w:val="36"/>
          <w:highlight w:val="none"/>
          <w:lang w:val="en-US" w:eastAsia="zh-CN"/>
        </w:rPr>
      </w:pPr>
    </w:p>
    <w:p>
      <w:pPr>
        <w:jc w:val="center"/>
        <w:rPr>
          <w:rFonts w:hint="eastAsia" w:ascii="宋体" w:hAnsi="宋体" w:eastAsia="宋体" w:cs="宋体"/>
          <w:b/>
          <w:bCs/>
          <w:w w:val="95"/>
          <w:sz w:val="36"/>
          <w:szCs w:val="36"/>
          <w:highlight w:val="none"/>
          <w:lang w:val="en-US" w:eastAsia="zh-CN"/>
        </w:rPr>
      </w:pPr>
      <w:r>
        <w:rPr>
          <w:rFonts w:hint="eastAsia" w:ascii="宋体" w:hAnsi="宋体" w:eastAsia="宋体" w:cs="宋体"/>
          <w:b/>
          <w:bCs/>
          <w:w w:val="95"/>
          <w:sz w:val="36"/>
          <w:szCs w:val="36"/>
          <w:highlight w:val="none"/>
          <w:lang w:val="en-US" w:eastAsia="zh-CN"/>
        </w:rPr>
        <w:t>七、项目管理机构</w:t>
      </w:r>
    </w:p>
    <w:p>
      <w:pPr>
        <w:jc w:val="center"/>
        <w:rPr>
          <w:rFonts w:hint="eastAsia" w:ascii="宋体" w:hAnsi="宋体" w:eastAsia="宋体" w:cs="宋体"/>
          <w:b/>
          <w:bCs/>
          <w:w w:val="95"/>
          <w:sz w:val="36"/>
          <w:szCs w:val="36"/>
          <w:highlight w:val="none"/>
          <w:lang w:val="en-US" w:eastAsia="zh-CN"/>
        </w:rPr>
      </w:pPr>
      <w:r>
        <w:rPr>
          <w:rFonts w:hint="eastAsia" w:ascii="宋体" w:hAnsi="宋体" w:eastAsia="宋体" w:cs="宋体"/>
          <w:b/>
          <w:bCs/>
          <w:w w:val="95"/>
          <w:sz w:val="36"/>
          <w:szCs w:val="36"/>
          <w:highlight w:val="none"/>
          <w:lang w:val="en-US" w:eastAsia="zh-CN"/>
        </w:rPr>
        <w:t>( 一) 项目管理机构组成表</w:t>
      </w:r>
    </w:p>
    <w:p>
      <w:pPr>
        <w:rPr>
          <w:highlight w:val="none"/>
        </w:rPr>
      </w:pPr>
    </w:p>
    <w:p>
      <w:pPr>
        <w:rPr>
          <w:highlight w:val="none"/>
        </w:rPr>
      </w:pPr>
    </w:p>
    <w:p>
      <w:pPr>
        <w:spacing w:line="52" w:lineRule="exact"/>
        <w:rPr>
          <w:highlight w:val="none"/>
        </w:rPr>
      </w:pPr>
    </w:p>
    <w:tbl>
      <w:tblPr>
        <w:tblStyle w:val="41"/>
        <w:tblW w:w="9131" w:type="dxa"/>
        <w:tblInd w:w="25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7"/>
        <w:gridCol w:w="988"/>
        <w:gridCol w:w="1048"/>
        <w:gridCol w:w="1262"/>
        <w:gridCol w:w="892"/>
        <w:gridCol w:w="1077"/>
        <w:gridCol w:w="1914"/>
        <w:gridCol w:w="104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907" w:type="dxa"/>
            <w:vMerge w:val="restart"/>
            <w:tcBorders>
              <w:bottom w:val="nil"/>
            </w:tcBorders>
            <w:vAlign w:val="top"/>
          </w:tcPr>
          <w:p>
            <w:pPr>
              <w:spacing w:line="448" w:lineRule="auto"/>
              <w:rPr>
                <w:rFonts w:ascii="Arial"/>
                <w:sz w:val="21"/>
                <w:highlight w:val="none"/>
              </w:rPr>
            </w:pPr>
          </w:p>
          <w:p>
            <w:pPr>
              <w:spacing w:before="65" w:line="228" w:lineRule="auto"/>
              <w:ind w:left="248"/>
              <w:rPr>
                <w:rFonts w:ascii="宋体" w:hAnsi="宋体" w:eastAsia="宋体" w:cs="宋体"/>
                <w:sz w:val="20"/>
                <w:szCs w:val="20"/>
                <w:highlight w:val="none"/>
              </w:rPr>
            </w:pPr>
            <w:r>
              <w:rPr>
                <w:rFonts w:ascii="宋体" w:hAnsi="宋体" w:eastAsia="宋体" w:cs="宋体"/>
                <w:spacing w:val="4"/>
                <w:sz w:val="20"/>
                <w:szCs w:val="20"/>
                <w:highlight w:val="none"/>
              </w:rPr>
              <w:t>职务</w:t>
            </w:r>
          </w:p>
        </w:tc>
        <w:tc>
          <w:tcPr>
            <w:tcW w:w="988" w:type="dxa"/>
            <w:vMerge w:val="restart"/>
            <w:tcBorders>
              <w:bottom w:val="nil"/>
            </w:tcBorders>
            <w:vAlign w:val="top"/>
          </w:tcPr>
          <w:p>
            <w:pPr>
              <w:spacing w:line="448" w:lineRule="auto"/>
              <w:rPr>
                <w:rFonts w:ascii="Arial"/>
                <w:sz w:val="21"/>
                <w:highlight w:val="none"/>
              </w:rPr>
            </w:pPr>
          </w:p>
          <w:p>
            <w:pPr>
              <w:spacing w:before="65" w:line="228" w:lineRule="auto"/>
              <w:ind w:left="284"/>
              <w:rPr>
                <w:rFonts w:ascii="宋体" w:hAnsi="宋体" w:eastAsia="宋体" w:cs="宋体"/>
                <w:sz w:val="20"/>
                <w:szCs w:val="20"/>
                <w:highlight w:val="none"/>
              </w:rPr>
            </w:pPr>
            <w:r>
              <w:rPr>
                <w:rFonts w:ascii="宋体" w:hAnsi="宋体" w:eastAsia="宋体" w:cs="宋体"/>
                <w:spacing w:val="5"/>
                <w:sz w:val="20"/>
                <w:szCs w:val="20"/>
                <w:highlight w:val="none"/>
              </w:rPr>
              <w:t>姓</w:t>
            </w:r>
            <w:r>
              <w:rPr>
                <w:rFonts w:ascii="宋体" w:hAnsi="宋体" w:eastAsia="宋体" w:cs="宋体"/>
                <w:spacing w:val="4"/>
                <w:sz w:val="20"/>
                <w:szCs w:val="20"/>
                <w:highlight w:val="none"/>
              </w:rPr>
              <w:t>名</w:t>
            </w:r>
          </w:p>
        </w:tc>
        <w:tc>
          <w:tcPr>
            <w:tcW w:w="1048" w:type="dxa"/>
            <w:vMerge w:val="restart"/>
            <w:tcBorders>
              <w:bottom w:val="nil"/>
            </w:tcBorders>
            <w:vAlign w:val="top"/>
          </w:tcPr>
          <w:p>
            <w:pPr>
              <w:spacing w:line="448" w:lineRule="auto"/>
              <w:rPr>
                <w:rFonts w:ascii="Arial"/>
                <w:sz w:val="21"/>
                <w:highlight w:val="none"/>
              </w:rPr>
            </w:pPr>
          </w:p>
          <w:p>
            <w:pPr>
              <w:spacing w:before="65" w:line="230" w:lineRule="auto"/>
              <w:ind w:left="316"/>
              <w:rPr>
                <w:rFonts w:ascii="宋体" w:hAnsi="宋体" w:eastAsia="宋体" w:cs="宋体"/>
                <w:sz w:val="20"/>
                <w:szCs w:val="20"/>
                <w:highlight w:val="none"/>
              </w:rPr>
            </w:pPr>
            <w:r>
              <w:rPr>
                <w:rFonts w:ascii="宋体" w:hAnsi="宋体" w:eastAsia="宋体" w:cs="宋体"/>
                <w:spacing w:val="4"/>
                <w:sz w:val="20"/>
                <w:szCs w:val="20"/>
                <w:highlight w:val="none"/>
              </w:rPr>
              <w:t>职称</w:t>
            </w:r>
          </w:p>
        </w:tc>
        <w:tc>
          <w:tcPr>
            <w:tcW w:w="3231" w:type="dxa"/>
            <w:gridSpan w:val="3"/>
            <w:vAlign w:val="top"/>
          </w:tcPr>
          <w:p>
            <w:pPr>
              <w:spacing w:before="204" w:line="226" w:lineRule="auto"/>
              <w:ind w:left="1209"/>
              <w:rPr>
                <w:rFonts w:ascii="宋体" w:hAnsi="宋体" w:eastAsia="宋体" w:cs="宋体"/>
                <w:sz w:val="20"/>
                <w:szCs w:val="20"/>
                <w:highlight w:val="none"/>
              </w:rPr>
            </w:pPr>
            <w:r>
              <w:rPr>
                <w:rFonts w:ascii="宋体" w:hAnsi="宋体" w:eastAsia="宋体" w:cs="宋体"/>
                <w:spacing w:val="5"/>
                <w:sz w:val="20"/>
                <w:szCs w:val="20"/>
                <w:highlight w:val="none"/>
              </w:rPr>
              <w:t>资格证书</w:t>
            </w:r>
          </w:p>
        </w:tc>
        <w:tc>
          <w:tcPr>
            <w:tcW w:w="1914" w:type="dxa"/>
            <w:vMerge w:val="restart"/>
            <w:tcBorders>
              <w:bottom w:val="nil"/>
            </w:tcBorders>
            <w:vAlign w:val="top"/>
          </w:tcPr>
          <w:p>
            <w:pPr>
              <w:spacing w:before="284" w:line="368" w:lineRule="auto"/>
              <w:ind w:left="544" w:right="326" w:hanging="203"/>
              <w:rPr>
                <w:rFonts w:ascii="宋体" w:hAnsi="宋体" w:eastAsia="宋体" w:cs="宋体"/>
                <w:sz w:val="20"/>
                <w:szCs w:val="20"/>
                <w:highlight w:val="none"/>
              </w:rPr>
            </w:pPr>
            <w:r>
              <w:rPr>
                <w:rFonts w:ascii="宋体" w:hAnsi="宋体" w:eastAsia="宋体" w:cs="宋体"/>
                <w:spacing w:val="7"/>
                <w:sz w:val="20"/>
                <w:szCs w:val="20"/>
                <w:highlight w:val="none"/>
              </w:rPr>
              <w:t>负责过的主</w:t>
            </w:r>
            <w:r>
              <w:rPr>
                <w:rFonts w:ascii="宋体" w:hAnsi="宋体" w:eastAsia="宋体" w:cs="宋体"/>
                <w:spacing w:val="6"/>
                <w:sz w:val="20"/>
                <w:szCs w:val="20"/>
                <w:highlight w:val="none"/>
              </w:rPr>
              <w:t>要</w:t>
            </w:r>
            <w:r>
              <w:rPr>
                <w:rFonts w:ascii="宋体" w:hAnsi="宋体" w:eastAsia="宋体" w:cs="宋体"/>
                <w:sz w:val="20"/>
                <w:szCs w:val="20"/>
                <w:highlight w:val="none"/>
              </w:rPr>
              <w:t xml:space="preserve"> </w:t>
            </w:r>
            <w:r>
              <w:rPr>
                <w:rFonts w:ascii="宋体" w:hAnsi="宋体" w:eastAsia="宋体" w:cs="宋体"/>
                <w:spacing w:val="9"/>
                <w:sz w:val="20"/>
                <w:szCs w:val="20"/>
                <w:highlight w:val="none"/>
              </w:rPr>
              <w:t>工</w:t>
            </w:r>
            <w:r>
              <w:rPr>
                <w:rFonts w:ascii="宋体" w:hAnsi="宋体" w:eastAsia="宋体" w:cs="宋体"/>
                <w:spacing w:val="6"/>
                <w:sz w:val="20"/>
                <w:szCs w:val="20"/>
                <w:highlight w:val="none"/>
              </w:rPr>
              <w:t>程名称</w:t>
            </w:r>
          </w:p>
        </w:tc>
        <w:tc>
          <w:tcPr>
            <w:tcW w:w="1043" w:type="dxa"/>
            <w:vMerge w:val="restart"/>
            <w:tcBorders>
              <w:bottom w:val="nil"/>
            </w:tcBorders>
            <w:vAlign w:val="top"/>
          </w:tcPr>
          <w:p>
            <w:pPr>
              <w:spacing w:line="448" w:lineRule="auto"/>
              <w:rPr>
                <w:rFonts w:ascii="Arial"/>
                <w:sz w:val="21"/>
                <w:highlight w:val="none"/>
              </w:rPr>
            </w:pPr>
          </w:p>
          <w:p>
            <w:pPr>
              <w:spacing w:before="65" w:line="229" w:lineRule="auto"/>
              <w:ind w:left="317"/>
              <w:rPr>
                <w:rFonts w:ascii="宋体" w:hAnsi="宋体" w:eastAsia="宋体" w:cs="宋体"/>
                <w:sz w:val="20"/>
                <w:szCs w:val="20"/>
                <w:highlight w:val="none"/>
              </w:rPr>
            </w:pPr>
            <w:r>
              <w:rPr>
                <w:rFonts w:ascii="宋体" w:hAnsi="宋体" w:eastAsia="宋体" w:cs="宋体"/>
                <w:spacing w:val="4"/>
                <w:sz w:val="20"/>
                <w:szCs w:val="20"/>
                <w:highlight w:val="none"/>
              </w:rPr>
              <w:t>备</w:t>
            </w:r>
            <w:r>
              <w:rPr>
                <w:rFonts w:ascii="宋体" w:hAnsi="宋体" w:eastAsia="宋体" w:cs="宋体"/>
                <w:spacing w:val="3"/>
                <w:sz w:val="20"/>
                <w:szCs w:val="20"/>
                <w:highlight w:val="none"/>
              </w:rPr>
              <w:t>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907" w:type="dxa"/>
            <w:vMerge w:val="continue"/>
            <w:tcBorders>
              <w:top w:val="nil"/>
            </w:tcBorders>
            <w:vAlign w:val="top"/>
          </w:tcPr>
          <w:p>
            <w:pPr>
              <w:rPr>
                <w:rFonts w:ascii="Arial"/>
                <w:sz w:val="21"/>
                <w:highlight w:val="none"/>
              </w:rPr>
            </w:pPr>
          </w:p>
        </w:tc>
        <w:tc>
          <w:tcPr>
            <w:tcW w:w="988" w:type="dxa"/>
            <w:vMerge w:val="continue"/>
            <w:tcBorders>
              <w:top w:val="nil"/>
            </w:tcBorders>
            <w:vAlign w:val="top"/>
          </w:tcPr>
          <w:p>
            <w:pPr>
              <w:rPr>
                <w:rFonts w:ascii="Arial"/>
                <w:sz w:val="21"/>
                <w:highlight w:val="none"/>
              </w:rPr>
            </w:pPr>
          </w:p>
        </w:tc>
        <w:tc>
          <w:tcPr>
            <w:tcW w:w="1048" w:type="dxa"/>
            <w:vMerge w:val="continue"/>
            <w:tcBorders>
              <w:top w:val="nil"/>
            </w:tcBorders>
            <w:vAlign w:val="top"/>
          </w:tcPr>
          <w:p>
            <w:pPr>
              <w:rPr>
                <w:rFonts w:ascii="Arial"/>
                <w:sz w:val="21"/>
                <w:highlight w:val="none"/>
              </w:rPr>
            </w:pPr>
          </w:p>
        </w:tc>
        <w:tc>
          <w:tcPr>
            <w:tcW w:w="1262" w:type="dxa"/>
            <w:vAlign w:val="top"/>
          </w:tcPr>
          <w:p>
            <w:pPr>
              <w:spacing w:before="200" w:line="227" w:lineRule="auto"/>
              <w:ind w:left="213"/>
              <w:rPr>
                <w:rFonts w:ascii="宋体" w:hAnsi="宋体" w:eastAsia="宋体" w:cs="宋体"/>
                <w:sz w:val="20"/>
                <w:szCs w:val="20"/>
                <w:highlight w:val="none"/>
              </w:rPr>
            </w:pPr>
            <w:r>
              <w:rPr>
                <w:rFonts w:ascii="宋体" w:hAnsi="宋体" w:eastAsia="宋体" w:cs="宋体"/>
                <w:spacing w:val="8"/>
                <w:sz w:val="20"/>
                <w:szCs w:val="20"/>
                <w:highlight w:val="none"/>
              </w:rPr>
              <w:t>证</w:t>
            </w:r>
            <w:r>
              <w:rPr>
                <w:rFonts w:ascii="宋体" w:hAnsi="宋体" w:eastAsia="宋体" w:cs="宋体"/>
                <w:spacing w:val="7"/>
                <w:sz w:val="20"/>
                <w:szCs w:val="20"/>
                <w:highlight w:val="none"/>
              </w:rPr>
              <w:t>书名称</w:t>
            </w:r>
          </w:p>
        </w:tc>
        <w:tc>
          <w:tcPr>
            <w:tcW w:w="892" w:type="dxa"/>
            <w:vAlign w:val="top"/>
          </w:tcPr>
          <w:p>
            <w:pPr>
              <w:spacing w:before="200" w:line="228" w:lineRule="auto"/>
              <w:ind w:left="243"/>
              <w:rPr>
                <w:rFonts w:ascii="宋体" w:hAnsi="宋体" w:eastAsia="宋体" w:cs="宋体"/>
                <w:sz w:val="20"/>
                <w:szCs w:val="20"/>
                <w:highlight w:val="none"/>
              </w:rPr>
            </w:pPr>
            <w:r>
              <w:rPr>
                <w:rFonts w:ascii="宋体" w:hAnsi="宋体" w:eastAsia="宋体" w:cs="宋体"/>
                <w:spacing w:val="3"/>
                <w:sz w:val="20"/>
                <w:szCs w:val="20"/>
                <w:highlight w:val="none"/>
              </w:rPr>
              <w:t>级别</w:t>
            </w:r>
          </w:p>
        </w:tc>
        <w:tc>
          <w:tcPr>
            <w:tcW w:w="1077" w:type="dxa"/>
            <w:vAlign w:val="top"/>
          </w:tcPr>
          <w:p>
            <w:pPr>
              <w:spacing w:before="200" w:line="226" w:lineRule="auto"/>
              <w:ind w:left="333"/>
              <w:rPr>
                <w:rFonts w:ascii="宋体" w:hAnsi="宋体" w:eastAsia="宋体" w:cs="宋体"/>
                <w:sz w:val="20"/>
                <w:szCs w:val="20"/>
                <w:highlight w:val="none"/>
              </w:rPr>
            </w:pPr>
            <w:r>
              <w:rPr>
                <w:rFonts w:ascii="宋体" w:hAnsi="宋体" w:eastAsia="宋体" w:cs="宋体"/>
                <w:spacing w:val="4"/>
                <w:sz w:val="20"/>
                <w:szCs w:val="20"/>
                <w:highlight w:val="none"/>
              </w:rPr>
              <w:t>专业</w:t>
            </w:r>
          </w:p>
        </w:tc>
        <w:tc>
          <w:tcPr>
            <w:tcW w:w="1914" w:type="dxa"/>
            <w:vMerge w:val="continue"/>
            <w:tcBorders>
              <w:top w:val="nil"/>
            </w:tcBorders>
            <w:vAlign w:val="top"/>
          </w:tcPr>
          <w:p>
            <w:pPr>
              <w:rPr>
                <w:rFonts w:ascii="Arial"/>
                <w:sz w:val="21"/>
                <w:highlight w:val="none"/>
              </w:rPr>
            </w:pPr>
          </w:p>
        </w:tc>
        <w:tc>
          <w:tcPr>
            <w:tcW w:w="1043" w:type="dxa"/>
            <w:vMerge w:val="continue"/>
            <w:tcBorders>
              <w:top w:val="nil"/>
            </w:tcBorders>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907" w:type="dxa"/>
            <w:vAlign w:val="top"/>
          </w:tcPr>
          <w:p>
            <w:pPr>
              <w:rPr>
                <w:rFonts w:ascii="Arial"/>
                <w:sz w:val="21"/>
                <w:highlight w:val="none"/>
              </w:rPr>
            </w:pPr>
          </w:p>
        </w:tc>
        <w:tc>
          <w:tcPr>
            <w:tcW w:w="988" w:type="dxa"/>
            <w:vAlign w:val="top"/>
          </w:tcPr>
          <w:p>
            <w:pPr>
              <w:rPr>
                <w:rFonts w:ascii="Arial"/>
                <w:sz w:val="21"/>
                <w:highlight w:val="none"/>
              </w:rPr>
            </w:pPr>
          </w:p>
        </w:tc>
        <w:tc>
          <w:tcPr>
            <w:tcW w:w="1048" w:type="dxa"/>
            <w:vAlign w:val="top"/>
          </w:tcPr>
          <w:p>
            <w:pPr>
              <w:rPr>
                <w:rFonts w:ascii="Arial"/>
                <w:sz w:val="21"/>
                <w:highlight w:val="none"/>
              </w:rPr>
            </w:pPr>
          </w:p>
        </w:tc>
        <w:tc>
          <w:tcPr>
            <w:tcW w:w="1262" w:type="dxa"/>
            <w:vAlign w:val="top"/>
          </w:tcPr>
          <w:p>
            <w:pPr>
              <w:rPr>
                <w:rFonts w:ascii="Arial"/>
                <w:sz w:val="21"/>
                <w:highlight w:val="none"/>
              </w:rPr>
            </w:pPr>
          </w:p>
        </w:tc>
        <w:tc>
          <w:tcPr>
            <w:tcW w:w="892" w:type="dxa"/>
            <w:vAlign w:val="top"/>
          </w:tcPr>
          <w:p>
            <w:pPr>
              <w:rPr>
                <w:rFonts w:ascii="Arial"/>
                <w:sz w:val="21"/>
                <w:highlight w:val="none"/>
              </w:rPr>
            </w:pPr>
          </w:p>
        </w:tc>
        <w:tc>
          <w:tcPr>
            <w:tcW w:w="1077" w:type="dxa"/>
            <w:vAlign w:val="top"/>
          </w:tcPr>
          <w:p>
            <w:pPr>
              <w:rPr>
                <w:rFonts w:ascii="Arial"/>
                <w:sz w:val="21"/>
                <w:highlight w:val="none"/>
              </w:rPr>
            </w:pPr>
          </w:p>
        </w:tc>
        <w:tc>
          <w:tcPr>
            <w:tcW w:w="1914" w:type="dxa"/>
            <w:vAlign w:val="top"/>
          </w:tcPr>
          <w:p>
            <w:pPr>
              <w:rPr>
                <w:rFonts w:ascii="Arial"/>
                <w:sz w:val="21"/>
                <w:highlight w:val="none"/>
              </w:rPr>
            </w:pPr>
          </w:p>
        </w:tc>
        <w:tc>
          <w:tcPr>
            <w:tcW w:w="1043"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95" w:hRule="atLeast"/>
        </w:trPr>
        <w:tc>
          <w:tcPr>
            <w:tcW w:w="907" w:type="dxa"/>
            <w:vAlign w:val="top"/>
          </w:tcPr>
          <w:p>
            <w:pPr>
              <w:rPr>
                <w:rFonts w:ascii="Arial"/>
                <w:sz w:val="21"/>
                <w:highlight w:val="none"/>
              </w:rPr>
            </w:pPr>
          </w:p>
        </w:tc>
        <w:tc>
          <w:tcPr>
            <w:tcW w:w="988" w:type="dxa"/>
            <w:vAlign w:val="top"/>
          </w:tcPr>
          <w:p>
            <w:pPr>
              <w:rPr>
                <w:rFonts w:ascii="Arial"/>
                <w:sz w:val="21"/>
                <w:highlight w:val="none"/>
              </w:rPr>
            </w:pPr>
          </w:p>
        </w:tc>
        <w:tc>
          <w:tcPr>
            <w:tcW w:w="1048" w:type="dxa"/>
            <w:vAlign w:val="top"/>
          </w:tcPr>
          <w:p>
            <w:pPr>
              <w:rPr>
                <w:rFonts w:ascii="Arial"/>
                <w:sz w:val="21"/>
                <w:highlight w:val="none"/>
              </w:rPr>
            </w:pPr>
          </w:p>
        </w:tc>
        <w:tc>
          <w:tcPr>
            <w:tcW w:w="1262" w:type="dxa"/>
            <w:vAlign w:val="top"/>
          </w:tcPr>
          <w:p>
            <w:pPr>
              <w:rPr>
                <w:rFonts w:ascii="Arial"/>
                <w:sz w:val="21"/>
                <w:highlight w:val="none"/>
              </w:rPr>
            </w:pPr>
          </w:p>
        </w:tc>
        <w:tc>
          <w:tcPr>
            <w:tcW w:w="892" w:type="dxa"/>
            <w:vAlign w:val="top"/>
          </w:tcPr>
          <w:p>
            <w:pPr>
              <w:rPr>
                <w:rFonts w:ascii="Arial"/>
                <w:sz w:val="21"/>
                <w:highlight w:val="none"/>
              </w:rPr>
            </w:pPr>
          </w:p>
        </w:tc>
        <w:tc>
          <w:tcPr>
            <w:tcW w:w="1077" w:type="dxa"/>
            <w:vAlign w:val="top"/>
          </w:tcPr>
          <w:p>
            <w:pPr>
              <w:rPr>
                <w:rFonts w:ascii="Arial"/>
                <w:sz w:val="21"/>
                <w:highlight w:val="none"/>
              </w:rPr>
            </w:pPr>
          </w:p>
        </w:tc>
        <w:tc>
          <w:tcPr>
            <w:tcW w:w="1914" w:type="dxa"/>
            <w:vAlign w:val="top"/>
          </w:tcPr>
          <w:p>
            <w:pPr>
              <w:rPr>
                <w:rFonts w:ascii="Arial"/>
                <w:sz w:val="21"/>
                <w:highlight w:val="none"/>
              </w:rPr>
            </w:pPr>
          </w:p>
        </w:tc>
        <w:tc>
          <w:tcPr>
            <w:tcW w:w="1043"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907" w:type="dxa"/>
            <w:vAlign w:val="top"/>
          </w:tcPr>
          <w:p>
            <w:pPr>
              <w:rPr>
                <w:rFonts w:ascii="Arial"/>
                <w:sz w:val="21"/>
                <w:highlight w:val="none"/>
              </w:rPr>
            </w:pPr>
          </w:p>
        </w:tc>
        <w:tc>
          <w:tcPr>
            <w:tcW w:w="988" w:type="dxa"/>
            <w:vAlign w:val="top"/>
          </w:tcPr>
          <w:p>
            <w:pPr>
              <w:rPr>
                <w:rFonts w:ascii="Arial"/>
                <w:sz w:val="21"/>
                <w:highlight w:val="none"/>
              </w:rPr>
            </w:pPr>
          </w:p>
        </w:tc>
        <w:tc>
          <w:tcPr>
            <w:tcW w:w="1048" w:type="dxa"/>
            <w:vAlign w:val="top"/>
          </w:tcPr>
          <w:p>
            <w:pPr>
              <w:rPr>
                <w:rFonts w:ascii="Arial"/>
                <w:sz w:val="21"/>
                <w:highlight w:val="none"/>
              </w:rPr>
            </w:pPr>
          </w:p>
        </w:tc>
        <w:tc>
          <w:tcPr>
            <w:tcW w:w="1262" w:type="dxa"/>
            <w:vAlign w:val="top"/>
          </w:tcPr>
          <w:p>
            <w:pPr>
              <w:rPr>
                <w:rFonts w:ascii="Arial"/>
                <w:sz w:val="21"/>
                <w:highlight w:val="none"/>
              </w:rPr>
            </w:pPr>
          </w:p>
        </w:tc>
        <w:tc>
          <w:tcPr>
            <w:tcW w:w="892" w:type="dxa"/>
            <w:vAlign w:val="top"/>
          </w:tcPr>
          <w:p>
            <w:pPr>
              <w:rPr>
                <w:rFonts w:ascii="Arial"/>
                <w:sz w:val="21"/>
                <w:highlight w:val="none"/>
              </w:rPr>
            </w:pPr>
          </w:p>
        </w:tc>
        <w:tc>
          <w:tcPr>
            <w:tcW w:w="1077" w:type="dxa"/>
            <w:vAlign w:val="top"/>
          </w:tcPr>
          <w:p>
            <w:pPr>
              <w:rPr>
                <w:rFonts w:ascii="Arial"/>
                <w:sz w:val="21"/>
                <w:highlight w:val="none"/>
              </w:rPr>
            </w:pPr>
          </w:p>
        </w:tc>
        <w:tc>
          <w:tcPr>
            <w:tcW w:w="1914" w:type="dxa"/>
            <w:vAlign w:val="top"/>
          </w:tcPr>
          <w:p>
            <w:pPr>
              <w:rPr>
                <w:rFonts w:ascii="Arial"/>
                <w:sz w:val="21"/>
                <w:highlight w:val="none"/>
              </w:rPr>
            </w:pPr>
          </w:p>
        </w:tc>
        <w:tc>
          <w:tcPr>
            <w:tcW w:w="1043"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92" w:hRule="atLeast"/>
        </w:trPr>
        <w:tc>
          <w:tcPr>
            <w:tcW w:w="907" w:type="dxa"/>
            <w:vAlign w:val="top"/>
          </w:tcPr>
          <w:p>
            <w:pPr>
              <w:rPr>
                <w:rFonts w:ascii="Arial"/>
                <w:sz w:val="21"/>
                <w:highlight w:val="none"/>
              </w:rPr>
            </w:pPr>
          </w:p>
        </w:tc>
        <w:tc>
          <w:tcPr>
            <w:tcW w:w="988" w:type="dxa"/>
            <w:vAlign w:val="top"/>
          </w:tcPr>
          <w:p>
            <w:pPr>
              <w:rPr>
                <w:rFonts w:ascii="Arial"/>
                <w:sz w:val="21"/>
                <w:highlight w:val="none"/>
              </w:rPr>
            </w:pPr>
          </w:p>
        </w:tc>
        <w:tc>
          <w:tcPr>
            <w:tcW w:w="1048" w:type="dxa"/>
            <w:vAlign w:val="top"/>
          </w:tcPr>
          <w:p>
            <w:pPr>
              <w:rPr>
                <w:rFonts w:ascii="Arial"/>
                <w:sz w:val="21"/>
                <w:highlight w:val="none"/>
              </w:rPr>
            </w:pPr>
          </w:p>
        </w:tc>
        <w:tc>
          <w:tcPr>
            <w:tcW w:w="1262" w:type="dxa"/>
            <w:vAlign w:val="top"/>
          </w:tcPr>
          <w:p>
            <w:pPr>
              <w:rPr>
                <w:rFonts w:ascii="Arial"/>
                <w:sz w:val="21"/>
                <w:highlight w:val="none"/>
              </w:rPr>
            </w:pPr>
          </w:p>
        </w:tc>
        <w:tc>
          <w:tcPr>
            <w:tcW w:w="892" w:type="dxa"/>
            <w:vAlign w:val="top"/>
          </w:tcPr>
          <w:p>
            <w:pPr>
              <w:rPr>
                <w:rFonts w:ascii="Arial"/>
                <w:sz w:val="21"/>
                <w:highlight w:val="none"/>
              </w:rPr>
            </w:pPr>
          </w:p>
        </w:tc>
        <w:tc>
          <w:tcPr>
            <w:tcW w:w="1077" w:type="dxa"/>
            <w:vAlign w:val="top"/>
          </w:tcPr>
          <w:p>
            <w:pPr>
              <w:rPr>
                <w:rFonts w:ascii="Arial"/>
                <w:sz w:val="21"/>
                <w:highlight w:val="none"/>
              </w:rPr>
            </w:pPr>
          </w:p>
        </w:tc>
        <w:tc>
          <w:tcPr>
            <w:tcW w:w="1914" w:type="dxa"/>
            <w:vAlign w:val="top"/>
          </w:tcPr>
          <w:p>
            <w:pPr>
              <w:rPr>
                <w:rFonts w:ascii="Arial"/>
                <w:sz w:val="21"/>
                <w:highlight w:val="none"/>
              </w:rPr>
            </w:pPr>
          </w:p>
        </w:tc>
        <w:tc>
          <w:tcPr>
            <w:tcW w:w="1043"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95" w:hRule="atLeast"/>
        </w:trPr>
        <w:tc>
          <w:tcPr>
            <w:tcW w:w="907" w:type="dxa"/>
            <w:vAlign w:val="top"/>
          </w:tcPr>
          <w:p>
            <w:pPr>
              <w:rPr>
                <w:rFonts w:ascii="Arial"/>
                <w:sz w:val="21"/>
                <w:highlight w:val="none"/>
              </w:rPr>
            </w:pPr>
          </w:p>
        </w:tc>
        <w:tc>
          <w:tcPr>
            <w:tcW w:w="988" w:type="dxa"/>
            <w:vAlign w:val="top"/>
          </w:tcPr>
          <w:p>
            <w:pPr>
              <w:rPr>
                <w:rFonts w:ascii="Arial"/>
                <w:sz w:val="21"/>
                <w:highlight w:val="none"/>
              </w:rPr>
            </w:pPr>
          </w:p>
        </w:tc>
        <w:tc>
          <w:tcPr>
            <w:tcW w:w="1048" w:type="dxa"/>
            <w:vAlign w:val="top"/>
          </w:tcPr>
          <w:p>
            <w:pPr>
              <w:rPr>
                <w:rFonts w:ascii="Arial"/>
                <w:sz w:val="21"/>
                <w:highlight w:val="none"/>
              </w:rPr>
            </w:pPr>
          </w:p>
        </w:tc>
        <w:tc>
          <w:tcPr>
            <w:tcW w:w="1262" w:type="dxa"/>
            <w:vAlign w:val="top"/>
          </w:tcPr>
          <w:p>
            <w:pPr>
              <w:rPr>
                <w:rFonts w:ascii="Arial"/>
                <w:sz w:val="21"/>
                <w:highlight w:val="none"/>
              </w:rPr>
            </w:pPr>
          </w:p>
        </w:tc>
        <w:tc>
          <w:tcPr>
            <w:tcW w:w="892" w:type="dxa"/>
            <w:vAlign w:val="top"/>
          </w:tcPr>
          <w:p>
            <w:pPr>
              <w:rPr>
                <w:rFonts w:ascii="Arial"/>
                <w:sz w:val="21"/>
                <w:highlight w:val="none"/>
              </w:rPr>
            </w:pPr>
          </w:p>
        </w:tc>
        <w:tc>
          <w:tcPr>
            <w:tcW w:w="1077" w:type="dxa"/>
            <w:vAlign w:val="top"/>
          </w:tcPr>
          <w:p>
            <w:pPr>
              <w:rPr>
                <w:rFonts w:ascii="Arial"/>
                <w:sz w:val="21"/>
                <w:highlight w:val="none"/>
              </w:rPr>
            </w:pPr>
          </w:p>
        </w:tc>
        <w:tc>
          <w:tcPr>
            <w:tcW w:w="1914" w:type="dxa"/>
            <w:vAlign w:val="top"/>
          </w:tcPr>
          <w:p>
            <w:pPr>
              <w:rPr>
                <w:rFonts w:ascii="Arial"/>
                <w:sz w:val="21"/>
                <w:highlight w:val="none"/>
              </w:rPr>
            </w:pPr>
          </w:p>
        </w:tc>
        <w:tc>
          <w:tcPr>
            <w:tcW w:w="1043"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907" w:type="dxa"/>
            <w:vAlign w:val="top"/>
          </w:tcPr>
          <w:p>
            <w:pPr>
              <w:rPr>
                <w:rFonts w:ascii="Arial"/>
                <w:sz w:val="21"/>
                <w:highlight w:val="none"/>
              </w:rPr>
            </w:pPr>
          </w:p>
        </w:tc>
        <w:tc>
          <w:tcPr>
            <w:tcW w:w="988" w:type="dxa"/>
            <w:vAlign w:val="top"/>
          </w:tcPr>
          <w:p>
            <w:pPr>
              <w:rPr>
                <w:rFonts w:ascii="Arial"/>
                <w:sz w:val="21"/>
                <w:highlight w:val="none"/>
              </w:rPr>
            </w:pPr>
          </w:p>
        </w:tc>
        <w:tc>
          <w:tcPr>
            <w:tcW w:w="1048" w:type="dxa"/>
            <w:vAlign w:val="top"/>
          </w:tcPr>
          <w:p>
            <w:pPr>
              <w:rPr>
                <w:rFonts w:ascii="Arial"/>
                <w:sz w:val="21"/>
                <w:highlight w:val="none"/>
              </w:rPr>
            </w:pPr>
          </w:p>
        </w:tc>
        <w:tc>
          <w:tcPr>
            <w:tcW w:w="1262" w:type="dxa"/>
            <w:vAlign w:val="top"/>
          </w:tcPr>
          <w:p>
            <w:pPr>
              <w:rPr>
                <w:rFonts w:ascii="Arial"/>
                <w:sz w:val="21"/>
                <w:highlight w:val="none"/>
              </w:rPr>
            </w:pPr>
          </w:p>
        </w:tc>
        <w:tc>
          <w:tcPr>
            <w:tcW w:w="892" w:type="dxa"/>
            <w:vAlign w:val="top"/>
          </w:tcPr>
          <w:p>
            <w:pPr>
              <w:rPr>
                <w:rFonts w:ascii="Arial"/>
                <w:sz w:val="21"/>
                <w:highlight w:val="none"/>
              </w:rPr>
            </w:pPr>
          </w:p>
        </w:tc>
        <w:tc>
          <w:tcPr>
            <w:tcW w:w="1077" w:type="dxa"/>
            <w:vAlign w:val="top"/>
          </w:tcPr>
          <w:p>
            <w:pPr>
              <w:rPr>
                <w:rFonts w:ascii="Arial"/>
                <w:sz w:val="21"/>
                <w:highlight w:val="none"/>
              </w:rPr>
            </w:pPr>
          </w:p>
        </w:tc>
        <w:tc>
          <w:tcPr>
            <w:tcW w:w="1914" w:type="dxa"/>
            <w:vAlign w:val="top"/>
          </w:tcPr>
          <w:p>
            <w:pPr>
              <w:rPr>
                <w:rFonts w:ascii="Arial"/>
                <w:sz w:val="21"/>
                <w:highlight w:val="none"/>
              </w:rPr>
            </w:pPr>
          </w:p>
        </w:tc>
        <w:tc>
          <w:tcPr>
            <w:tcW w:w="1043"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92" w:hRule="atLeast"/>
        </w:trPr>
        <w:tc>
          <w:tcPr>
            <w:tcW w:w="907" w:type="dxa"/>
            <w:vAlign w:val="top"/>
          </w:tcPr>
          <w:p>
            <w:pPr>
              <w:rPr>
                <w:rFonts w:ascii="Arial"/>
                <w:sz w:val="21"/>
                <w:highlight w:val="none"/>
              </w:rPr>
            </w:pPr>
          </w:p>
        </w:tc>
        <w:tc>
          <w:tcPr>
            <w:tcW w:w="988" w:type="dxa"/>
            <w:vAlign w:val="top"/>
          </w:tcPr>
          <w:p>
            <w:pPr>
              <w:rPr>
                <w:rFonts w:ascii="Arial"/>
                <w:sz w:val="21"/>
                <w:highlight w:val="none"/>
              </w:rPr>
            </w:pPr>
          </w:p>
        </w:tc>
        <w:tc>
          <w:tcPr>
            <w:tcW w:w="1048" w:type="dxa"/>
            <w:vAlign w:val="top"/>
          </w:tcPr>
          <w:p>
            <w:pPr>
              <w:rPr>
                <w:rFonts w:ascii="Arial"/>
                <w:sz w:val="21"/>
                <w:highlight w:val="none"/>
              </w:rPr>
            </w:pPr>
          </w:p>
        </w:tc>
        <w:tc>
          <w:tcPr>
            <w:tcW w:w="1262" w:type="dxa"/>
            <w:vAlign w:val="top"/>
          </w:tcPr>
          <w:p>
            <w:pPr>
              <w:rPr>
                <w:rFonts w:ascii="Arial"/>
                <w:sz w:val="21"/>
                <w:highlight w:val="none"/>
              </w:rPr>
            </w:pPr>
          </w:p>
        </w:tc>
        <w:tc>
          <w:tcPr>
            <w:tcW w:w="892" w:type="dxa"/>
            <w:vAlign w:val="top"/>
          </w:tcPr>
          <w:p>
            <w:pPr>
              <w:rPr>
                <w:rFonts w:ascii="Arial"/>
                <w:sz w:val="21"/>
                <w:highlight w:val="none"/>
              </w:rPr>
            </w:pPr>
          </w:p>
        </w:tc>
        <w:tc>
          <w:tcPr>
            <w:tcW w:w="1077" w:type="dxa"/>
            <w:vAlign w:val="top"/>
          </w:tcPr>
          <w:p>
            <w:pPr>
              <w:rPr>
                <w:rFonts w:ascii="Arial"/>
                <w:sz w:val="21"/>
                <w:highlight w:val="none"/>
              </w:rPr>
            </w:pPr>
          </w:p>
        </w:tc>
        <w:tc>
          <w:tcPr>
            <w:tcW w:w="1914" w:type="dxa"/>
            <w:vAlign w:val="top"/>
          </w:tcPr>
          <w:p>
            <w:pPr>
              <w:rPr>
                <w:rFonts w:ascii="Arial"/>
                <w:sz w:val="21"/>
                <w:highlight w:val="none"/>
              </w:rPr>
            </w:pPr>
          </w:p>
        </w:tc>
        <w:tc>
          <w:tcPr>
            <w:tcW w:w="1043"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907" w:type="dxa"/>
            <w:vAlign w:val="top"/>
          </w:tcPr>
          <w:p>
            <w:pPr>
              <w:rPr>
                <w:rFonts w:ascii="Arial"/>
                <w:sz w:val="21"/>
                <w:highlight w:val="none"/>
              </w:rPr>
            </w:pPr>
          </w:p>
        </w:tc>
        <w:tc>
          <w:tcPr>
            <w:tcW w:w="988" w:type="dxa"/>
            <w:vAlign w:val="top"/>
          </w:tcPr>
          <w:p>
            <w:pPr>
              <w:rPr>
                <w:rFonts w:ascii="Arial"/>
                <w:sz w:val="21"/>
                <w:highlight w:val="none"/>
              </w:rPr>
            </w:pPr>
          </w:p>
        </w:tc>
        <w:tc>
          <w:tcPr>
            <w:tcW w:w="1048" w:type="dxa"/>
            <w:vAlign w:val="top"/>
          </w:tcPr>
          <w:p>
            <w:pPr>
              <w:rPr>
                <w:rFonts w:ascii="Arial"/>
                <w:sz w:val="21"/>
                <w:highlight w:val="none"/>
              </w:rPr>
            </w:pPr>
          </w:p>
        </w:tc>
        <w:tc>
          <w:tcPr>
            <w:tcW w:w="1262" w:type="dxa"/>
            <w:vAlign w:val="top"/>
          </w:tcPr>
          <w:p>
            <w:pPr>
              <w:rPr>
                <w:rFonts w:ascii="Arial"/>
                <w:sz w:val="21"/>
                <w:highlight w:val="none"/>
              </w:rPr>
            </w:pPr>
          </w:p>
        </w:tc>
        <w:tc>
          <w:tcPr>
            <w:tcW w:w="892" w:type="dxa"/>
            <w:vAlign w:val="top"/>
          </w:tcPr>
          <w:p>
            <w:pPr>
              <w:rPr>
                <w:rFonts w:ascii="Arial"/>
                <w:sz w:val="21"/>
                <w:highlight w:val="none"/>
              </w:rPr>
            </w:pPr>
          </w:p>
        </w:tc>
        <w:tc>
          <w:tcPr>
            <w:tcW w:w="1077" w:type="dxa"/>
            <w:vAlign w:val="top"/>
          </w:tcPr>
          <w:p>
            <w:pPr>
              <w:rPr>
                <w:rFonts w:ascii="Arial"/>
                <w:sz w:val="21"/>
                <w:highlight w:val="none"/>
              </w:rPr>
            </w:pPr>
          </w:p>
        </w:tc>
        <w:tc>
          <w:tcPr>
            <w:tcW w:w="1914" w:type="dxa"/>
            <w:vAlign w:val="top"/>
          </w:tcPr>
          <w:p>
            <w:pPr>
              <w:rPr>
                <w:rFonts w:ascii="Arial"/>
                <w:sz w:val="21"/>
                <w:highlight w:val="none"/>
              </w:rPr>
            </w:pPr>
          </w:p>
        </w:tc>
        <w:tc>
          <w:tcPr>
            <w:tcW w:w="1043"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907" w:type="dxa"/>
            <w:vAlign w:val="top"/>
          </w:tcPr>
          <w:p>
            <w:pPr>
              <w:rPr>
                <w:rFonts w:ascii="Arial"/>
                <w:sz w:val="21"/>
                <w:highlight w:val="none"/>
              </w:rPr>
            </w:pPr>
          </w:p>
        </w:tc>
        <w:tc>
          <w:tcPr>
            <w:tcW w:w="988" w:type="dxa"/>
            <w:vAlign w:val="top"/>
          </w:tcPr>
          <w:p>
            <w:pPr>
              <w:rPr>
                <w:rFonts w:ascii="Arial"/>
                <w:sz w:val="21"/>
                <w:highlight w:val="none"/>
              </w:rPr>
            </w:pPr>
          </w:p>
        </w:tc>
        <w:tc>
          <w:tcPr>
            <w:tcW w:w="1048" w:type="dxa"/>
            <w:vAlign w:val="top"/>
          </w:tcPr>
          <w:p>
            <w:pPr>
              <w:rPr>
                <w:rFonts w:ascii="Arial"/>
                <w:sz w:val="21"/>
                <w:highlight w:val="none"/>
              </w:rPr>
            </w:pPr>
          </w:p>
        </w:tc>
        <w:tc>
          <w:tcPr>
            <w:tcW w:w="1262" w:type="dxa"/>
            <w:vAlign w:val="top"/>
          </w:tcPr>
          <w:p>
            <w:pPr>
              <w:rPr>
                <w:rFonts w:ascii="Arial"/>
                <w:sz w:val="21"/>
                <w:highlight w:val="none"/>
              </w:rPr>
            </w:pPr>
          </w:p>
        </w:tc>
        <w:tc>
          <w:tcPr>
            <w:tcW w:w="892" w:type="dxa"/>
            <w:vAlign w:val="top"/>
          </w:tcPr>
          <w:p>
            <w:pPr>
              <w:rPr>
                <w:rFonts w:ascii="Arial"/>
                <w:sz w:val="21"/>
                <w:highlight w:val="none"/>
              </w:rPr>
            </w:pPr>
          </w:p>
        </w:tc>
        <w:tc>
          <w:tcPr>
            <w:tcW w:w="1077" w:type="dxa"/>
            <w:vAlign w:val="top"/>
          </w:tcPr>
          <w:p>
            <w:pPr>
              <w:rPr>
                <w:rFonts w:ascii="Arial"/>
                <w:sz w:val="21"/>
                <w:highlight w:val="none"/>
              </w:rPr>
            </w:pPr>
          </w:p>
        </w:tc>
        <w:tc>
          <w:tcPr>
            <w:tcW w:w="1914" w:type="dxa"/>
            <w:vAlign w:val="top"/>
          </w:tcPr>
          <w:p>
            <w:pPr>
              <w:rPr>
                <w:rFonts w:ascii="Arial"/>
                <w:sz w:val="21"/>
                <w:highlight w:val="none"/>
              </w:rPr>
            </w:pPr>
          </w:p>
        </w:tc>
        <w:tc>
          <w:tcPr>
            <w:tcW w:w="1043"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95" w:hRule="atLeast"/>
        </w:trPr>
        <w:tc>
          <w:tcPr>
            <w:tcW w:w="907" w:type="dxa"/>
            <w:vAlign w:val="top"/>
          </w:tcPr>
          <w:p>
            <w:pPr>
              <w:rPr>
                <w:rFonts w:ascii="Arial"/>
                <w:sz w:val="21"/>
                <w:highlight w:val="none"/>
              </w:rPr>
            </w:pPr>
          </w:p>
        </w:tc>
        <w:tc>
          <w:tcPr>
            <w:tcW w:w="988" w:type="dxa"/>
            <w:vAlign w:val="top"/>
          </w:tcPr>
          <w:p>
            <w:pPr>
              <w:rPr>
                <w:rFonts w:ascii="Arial"/>
                <w:sz w:val="21"/>
                <w:highlight w:val="none"/>
              </w:rPr>
            </w:pPr>
          </w:p>
        </w:tc>
        <w:tc>
          <w:tcPr>
            <w:tcW w:w="1048" w:type="dxa"/>
            <w:vAlign w:val="top"/>
          </w:tcPr>
          <w:p>
            <w:pPr>
              <w:rPr>
                <w:rFonts w:ascii="Arial"/>
                <w:sz w:val="21"/>
                <w:highlight w:val="none"/>
              </w:rPr>
            </w:pPr>
          </w:p>
        </w:tc>
        <w:tc>
          <w:tcPr>
            <w:tcW w:w="1262" w:type="dxa"/>
            <w:vAlign w:val="top"/>
          </w:tcPr>
          <w:p>
            <w:pPr>
              <w:rPr>
                <w:rFonts w:ascii="Arial"/>
                <w:sz w:val="21"/>
                <w:highlight w:val="none"/>
              </w:rPr>
            </w:pPr>
          </w:p>
        </w:tc>
        <w:tc>
          <w:tcPr>
            <w:tcW w:w="892" w:type="dxa"/>
            <w:vAlign w:val="top"/>
          </w:tcPr>
          <w:p>
            <w:pPr>
              <w:rPr>
                <w:rFonts w:ascii="Arial"/>
                <w:sz w:val="21"/>
                <w:highlight w:val="none"/>
              </w:rPr>
            </w:pPr>
          </w:p>
        </w:tc>
        <w:tc>
          <w:tcPr>
            <w:tcW w:w="1077" w:type="dxa"/>
            <w:vAlign w:val="top"/>
          </w:tcPr>
          <w:p>
            <w:pPr>
              <w:rPr>
                <w:rFonts w:ascii="Arial"/>
                <w:sz w:val="21"/>
                <w:highlight w:val="none"/>
              </w:rPr>
            </w:pPr>
          </w:p>
        </w:tc>
        <w:tc>
          <w:tcPr>
            <w:tcW w:w="1914" w:type="dxa"/>
            <w:vAlign w:val="top"/>
          </w:tcPr>
          <w:p>
            <w:pPr>
              <w:rPr>
                <w:rFonts w:ascii="Arial"/>
                <w:sz w:val="21"/>
                <w:highlight w:val="none"/>
              </w:rPr>
            </w:pPr>
          </w:p>
        </w:tc>
        <w:tc>
          <w:tcPr>
            <w:tcW w:w="1043"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907" w:type="dxa"/>
            <w:vAlign w:val="top"/>
          </w:tcPr>
          <w:p>
            <w:pPr>
              <w:rPr>
                <w:rFonts w:ascii="Arial"/>
                <w:sz w:val="21"/>
                <w:highlight w:val="none"/>
              </w:rPr>
            </w:pPr>
          </w:p>
        </w:tc>
        <w:tc>
          <w:tcPr>
            <w:tcW w:w="988" w:type="dxa"/>
            <w:vAlign w:val="top"/>
          </w:tcPr>
          <w:p>
            <w:pPr>
              <w:rPr>
                <w:rFonts w:ascii="Arial"/>
                <w:sz w:val="21"/>
                <w:highlight w:val="none"/>
              </w:rPr>
            </w:pPr>
          </w:p>
        </w:tc>
        <w:tc>
          <w:tcPr>
            <w:tcW w:w="1048" w:type="dxa"/>
            <w:vAlign w:val="top"/>
          </w:tcPr>
          <w:p>
            <w:pPr>
              <w:rPr>
                <w:rFonts w:ascii="Arial"/>
                <w:sz w:val="21"/>
                <w:highlight w:val="none"/>
              </w:rPr>
            </w:pPr>
          </w:p>
        </w:tc>
        <w:tc>
          <w:tcPr>
            <w:tcW w:w="1262" w:type="dxa"/>
            <w:vAlign w:val="top"/>
          </w:tcPr>
          <w:p>
            <w:pPr>
              <w:rPr>
                <w:rFonts w:ascii="Arial"/>
                <w:sz w:val="21"/>
                <w:highlight w:val="none"/>
              </w:rPr>
            </w:pPr>
          </w:p>
        </w:tc>
        <w:tc>
          <w:tcPr>
            <w:tcW w:w="892" w:type="dxa"/>
            <w:vAlign w:val="top"/>
          </w:tcPr>
          <w:p>
            <w:pPr>
              <w:rPr>
                <w:rFonts w:ascii="Arial"/>
                <w:sz w:val="21"/>
                <w:highlight w:val="none"/>
              </w:rPr>
            </w:pPr>
          </w:p>
        </w:tc>
        <w:tc>
          <w:tcPr>
            <w:tcW w:w="1077" w:type="dxa"/>
            <w:vAlign w:val="top"/>
          </w:tcPr>
          <w:p>
            <w:pPr>
              <w:rPr>
                <w:rFonts w:ascii="Arial"/>
                <w:sz w:val="21"/>
                <w:highlight w:val="none"/>
              </w:rPr>
            </w:pPr>
          </w:p>
        </w:tc>
        <w:tc>
          <w:tcPr>
            <w:tcW w:w="1914" w:type="dxa"/>
            <w:vAlign w:val="top"/>
          </w:tcPr>
          <w:p>
            <w:pPr>
              <w:rPr>
                <w:rFonts w:ascii="Arial"/>
                <w:sz w:val="21"/>
                <w:highlight w:val="none"/>
              </w:rPr>
            </w:pPr>
          </w:p>
        </w:tc>
        <w:tc>
          <w:tcPr>
            <w:tcW w:w="1043"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907" w:type="dxa"/>
            <w:vAlign w:val="top"/>
          </w:tcPr>
          <w:p>
            <w:pPr>
              <w:rPr>
                <w:rFonts w:ascii="Arial"/>
                <w:sz w:val="21"/>
                <w:highlight w:val="none"/>
              </w:rPr>
            </w:pPr>
          </w:p>
        </w:tc>
        <w:tc>
          <w:tcPr>
            <w:tcW w:w="988" w:type="dxa"/>
            <w:vAlign w:val="top"/>
          </w:tcPr>
          <w:p>
            <w:pPr>
              <w:rPr>
                <w:rFonts w:ascii="Arial"/>
                <w:sz w:val="21"/>
                <w:highlight w:val="none"/>
              </w:rPr>
            </w:pPr>
          </w:p>
        </w:tc>
        <w:tc>
          <w:tcPr>
            <w:tcW w:w="1048" w:type="dxa"/>
            <w:vAlign w:val="top"/>
          </w:tcPr>
          <w:p>
            <w:pPr>
              <w:rPr>
                <w:rFonts w:ascii="Arial"/>
                <w:sz w:val="21"/>
                <w:highlight w:val="none"/>
              </w:rPr>
            </w:pPr>
          </w:p>
        </w:tc>
        <w:tc>
          <w:tcPr>
            <w:tcW w:w="1262" w:type="dxa"/>
            <w:vAlign w:val="top"/>
          </w:tcPr>
          <w:p>
            <w:pPr>
              <w:rPr>
                <w:rFonts w:ascii="Arial"/>
                <w:sz w:val="21"/>
                <w:highlight w:val="none"/>
              </w:rPr>
            </w:pPr>
          </w:p>
        </w:tc>
        <w:tc>
          <w:tcPr>
            <w:tcW w:w="892" w:type="dxa"/>
            <w:vAlign w:val="top"/>
          </w:tcPr>
          <w:p>
            <w:pPr>
              <w:rPr>
                <w:rFonts w:ascii="Arial"/>
                <w:sz w:val="21"/>
                <w:highlight w:val="none"/>
              </w:rPr>
            </w:pPr>
          </w:p>
        </w:tc>
        <w:tc>
          <w:tcPr>
            <w:tcW w:w="1077" w:type="dxa"/>
            <w:vAlign w:val="top"/>
          </w:tcPr>
          <w:p>
            <w:pPr>
              <w:rPr>
                <w:rFonts w:ascii="Arial"/>
                <w:sz w:val="21"/>
                <w:highlight w:val="none"/>
              </w:rPr>
            </w:pPr>
          </w:p>
        </w:tc>
        <w:tc>
          <w:tcPr>
            <w:tcW w:w="1914" w:type="dxa"/>
            <w:vAlign w:val="top"/>
          </w:tcPr>
          <w:p>
            <w:pPr>
              <w:rPr>
                <w:rFonts w:ascii="Arial"/>
                <w:sz w:val="21"/>
                <w:highlight w:val="none"/>
              </w:rPr>
            </w:pPr>
          </w:p>
        </w:tc>
        <w:tc>
          <w:tcPr>
            <w:tcW w:w="1043"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907" w:type="dxa"/>
            <w:vAlign w:val="top"/>
          </w:tcPr>
          <w:p>
            <w:pPr>
              <w:rPr>
                <w:rFonts w:ascii="Arial"/>
                <w:sz w:val="21"/>
                <w:highlight w:val="none"/>
              </w:rPr>
            </w:pPr>
          </w:p>
        </w:tc>
        <w:tc>
          <w:tcPr>
            <w:tcW w:w="988" w:type="dxa"/>
            <w:vAlign w:val="top"/>
          </w:tcPr>
          <w:p>
            <w:pPr>
              <w:rPr>
                <w:rFonts w:ascii="Arial"/>
                <w:sz w:val="21"/>
                <w:highlight w:val="none"/>
              </w:rPr>
            </w:pPr>
          </w:p>
        </w:tc>
        <w:tc>
          <w:tcPr>
            <w:tcW w:w="1048" w:type="dxa"/>
            <w:vAlign w:val="top"/>
          </w:tcPr>
          <w:p>
            <w:pPr>
              <w:rPr>
                <w:rFonts w:ascii="Arial"/>
                <w:sz w:val="21"/>
                <w:highlight w:val="none"/>
              </w:rPr>
            </w:pPr>
          </w:p>
        </w:tc>
        <w:tc>
          <w:tcPr>
            <w:tcW w:w="1262" w:type="dxa"/>
            <w:vAlign w:val="top"/>
          </w:tcPr>
          <w:p>
            <w:pPr>
              <w:rPr>
                <w:rFonts w:ascii="Arial"/>
                <w:sz w:val="21"/>
                <w:highlight w:val="none"/>
              </w:rPr>
            </w:pPr>
          </w:p>
        </w:tc>
        <w:tc>
          <w:tcPr>
            <w:tcW w:w="892" w:type="dxa"/>
            <w:vAlign w:val="top"/>
          </w:tcPr>
          <w:p>
            <w:pPr>
              <w:rPr>
                <w:rFonts w:ascii="Arial"/>
                <w:sz w:val="21"/>
                <w:highlight w:val="none"/>
              </w:rPr>
            </w:pPr>
          </w:p>
        </w:tc>
        <w:tc>
          <w:tcPr>
            <w:tcW w:w="1077" w:type="dxa"/>
            <w:vAlign w:val="top"/>
          </w:tcPr>
          <w:p>
            <w:pPr>
              <w:rPr>
                <w:rFonts w:ascii="Arial"/>
                <w:sz w:val="21"/>
                <w:highlight w:val="none"/>
              </w:rPr>
            </w:pPr>
          </w:p>
        </w:tc>
        <w:tc>
          <w:tcPr>
            <w:tcW w:w="1914" w:type="dxa"/>
            <w:vAlign w:val="top"/>
          </w:tcPr>
          <w:p>
            <w:pPr>
              <w:rPr>
                <w:rFonts w:ascii="Arial"/>
                <w:sz w:val="21"/>
                <w:highlight w:val="none"/>
              </w:rPr>
            </w:pPr>
          </w:p>
        </w:tc>
        <w:tc>
          <w:tcPr>
            <w:tcW w:w="1043"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97" w:hRule="atLeast"/>
        </w:trPr>
        <w:tc>
          <w:tcPr>
            <w:tcW w:w="907" w:type="dxa"/>
            <w:vAlign w:val="top"/>
          </w:tcPr>
          <w:p>
            <w:pPr>
              <w:rPr>
                <w:rFonts w:ascii="Arial"/>
                <w:sz w:val="21"/>
                <w:highlight w:val="none"/>
              </w:rPr>
            </w:pPr>
          </w:p>
        </w:tc>
        <w:tc>
          <w:tcPr>
            <w:tcW w:w="988" w:type="dxa"/>
            <w:vAlign w:val="top"/>
          </w:tcPr>
          <w:p>
            <w:pPr>
              <w:rPr>
                <w:rFonts w:ascii="Arial"/>
                <w:sz w:val="21"/>
                <w:highlight w:val="none"/>
              </w:rPr>
            </w:pPr>
          </w:p>
        </w:tc>
        <w:tc>
          <w:tcPr>
            <w:tcW w:w="1048" w:type="dxa"/>
            <w:vAlign w:val="top"/>
          </w:tcPr>
          <w:p>
            <w:pPr>
              <w:rPr>
                <w:rFonts w:ascii="Arial"/>
                <w:sz w:val="21"/>
                <w:highlight w:val="none"/>
              </w:rPr>
            </w:pPr>
          </w:p>
        </w:tc>
        <w:tc>
          <w:tcPr>
            <w:tcW w:w="1262" w:type="dxa"/>
            <w:vAlign w:val="top"/>
          </w:tcPr>
          <w:p>
            <w:pPr>
              <w:rPr>
                <w:rFonts w:ascii="Arial"/>
                <w:sz w:val="21"/>
                <w:highlight w:val="none"/>
              </w:rPr>
            </w:pPr>
          </w:p>
        </w:tc>
        <w:tc>
          <w:tcPr>
            <w:tcW w:w="892" w:type="dxa"/>
            <w:vAlign w:val="top"/>
          </w:tcPr>
          <w:p>
            <w:pPr>
              <w:rPr>
                <w:rFonts w:ascii="Arial"/>
                <w:sz w:val="21"/>
                <w:highlight w:val="none"/>
              </w:rPr>
            </w:pPr>
          </w:p>
        </w:tc>
        <w:tc>
          <w:tcPr>
            <w:tcW w:w="1077" w:type="dxa"/>
            <w:vAlign w:val="top"/>
          </w:tcPr>
          <w:p>
            <w:pPr>
              <w:rPr>
                <w:rFonts w:ascii="Arial"/>
                <w:sz w:val="21"/>
                <w:highlight w:val="none"/>
              </w:rPr>
            </w:pPr>
          </w:p>
        </w:tc>
        <w:tc>
          <w:tcPr>
            <w:tcW w:w="1914" w:type="dxa"/>
            <w:vAlign w:val="top"/>
          </w:tcPr>
          <w:p>
            <w:pPr>
              <w:rPr>
                <w:rFonts w:ascii="Arial"/>
                <w:sz w:val="21"/>
                <w:highlight w:val="none"/>
              </w:rPr>
            </w:pPr>
          </w:p>
        </w:tc>
        <w:tc>
          <w:tcPr>
            <w:tcW w:w="1043" w:type="dxa"/>
            <w:vAlign w:val="top"/>
          </w:tcPr>
          <w:p>
            <w:pPr>
              <w:rPr>
                <w:rFonts w:ascii="Arial"/>
                <w:sz w:val="21"/>
                <w:highlight w:val="none"/>
              </w:rPr>
            </w:pPr>
          </w:p>
        </w:tc>
      </w:tr>
    </w:tbl>
    <w:p>
      <w:pPr>
        <w:rPr>
          <w:rFonts w:ascii="Arial"/>
          <w:sz w:val="21"/>
          <w:highlight w:val="none"/>
        </w:rPr>
      </w:pPr>
    </w:p>
    <w:p>
      <w:pPr>
        <w:spacing w:line="262" w:lineRule="auto"/>
        <w:rPr>
          <w:rFonts w:ascii="Arial"/>
          <w:sz w:val="21"/>
          <w:highlight w:val="none"/>
        </w:rPr>
      </w:pPr>
    </w:p>
    <w:p>
      <w:pPr>
        <w:spacing w:line="262" w:lineRule="auto"/>
        <w:rPr>
          <w:rFonts w:ascii="Arial"/>
          <w:sz w:val="21"/>
          <w:highlight w:val="none"/>
        </w:rPr>
      </w:pPr>
    </w:p>
    <w:p>
      <w:pPr>
        <w:spacing w:line="262" w:lineRule="auto"/>
        <w:rPr>
          <w:rFonts w:ascii="Arial"/>
          <w:sz w:val="21"/>
          <w:highlight w:val="none"/>
        </w:rPr>
      </w:pPr>
    </w:p>
    <w:p>
      <w:pPr>
        <w:spacing w:line="262" w:lineRule="auto"/>
        <w:rPr>
          <w:rFonts w:ascii="Arial"/>
          <w:sz w:val="21"/>
          <w:highlight w:val="none"/>
        </w:rPr>
      </w:pPr>
    </w:p>
    <w:p>
      <w:pPr>
        <w:spacing w:line="262" w:lineRule="auto"/>
        <w:rPr>
          <w:rFonts w:ascii="Arial"/>
          <w:sz w:val="21"/>
          <w:highlight w:val="none"/>
        </w:rPr>
      </w:pPr>
    </w:p>
    <w:p>
      <w:pPr>
        <w:spacing w:line="262" w:lineRule="auto"/>
        <w:rPr>
          <w:rFonts w:ascii="Arial"/>
          <w:sz w:val="21"/>
          <w:highlight w:val="none"/>
        </w:rPr>
      </w:pPr>
    </w:p>
    <w:p>
      <w:pPr>
        <w:spacing w:line="262" w:lineRule="auto"/>
        <w:rPr>
          <w:rFonts w:ascii="Arial"/>
          <w:sz w:val="21"/>
          <w:highlight w:val="none"/>
        </w:rPr>
      </w:pPr>
    </w:p>
    <w:p>
      <w:pPr>
        <w:spacing w:line="262" w:lineRule="auto"/>
        <w:rPr>
          <w:rFonts w:ascii="Arial"/>
          <w:sz w:val="21"/>
          <w:highlight w:val="none"/>
        </w:rPr>
      </w:pPr>
    </w:p>
    <w:p>
      <w:pPr>
        <w:spacing w:line="262" w:lineRule="auto"/>
        <w:rPr>
          <w:rFonts w:ascii="Arial"/>
          <w:sz w:val="21"/>
          <w:highlight w:val="none"/>
        </w:rPr>
      </w:pPr>
    </w:p>
    <w:p>
      <w:pPr>
        <w:spacing w:line="262" w:lineRule="auto"/>
        <w:rPr>
          <w:rFonts w:ascii="Arial"/>
          <w:sz w:val="21"/>
          <w:highlight w:val="none"/>
        </w:rPr>
      </w:pPr>
    </w:p>
    <w:p>
      <w:pPr>
        <w:spacing w:line="262" w:lineRule="auto"/>
        <w:rPr>
          <w:rFonts w:ascii="Arial"/>
          <w:sz w:val="21"/>
          <w:highlight w:val="none"/>
        </w:rPr>
      </w:pPr>
    </w:p>
    <w:p>
      <w:pPr>
        <w:spacing w:line="263" w:lineRule="auto"/>
        <w:rPr>
          <w:rFonts w:ascii="Arial"/>
          <w:sz w:val="21"/>
          <w:highlight w:val="none"/>
        </w:rPr>
      </w:pPr>
    </w:p>
    <w:p>
      <w:pPr>
        <w:jc w:val="center"/>
        <w:rPr>
          <w:rFonts w:hint="eastAsia" w:ascii="宋体" w:hAnsi="宋体" w:eastAsia="宋体" w:cs="宋体"/>
          <w:b/>
          <w:bCs/>
          <w:w w:val="95"/>
          <w:sz w:val="36"/>
          <w:szCs w:val="36"/>
          <w:highlight w:val="none"/>
          <w:lang w:val="en-US" w:eastAsia="zh-CN"/>
        </w:rPr>
      </w:pPr>
      <w:r>
        <w:rPr>
          <w:rFonts w:hint="eastAsia" w:ascii="宋体" w:hAnsi="宋体" w:eastAsia="宋体" w:cs="宋体"/>
          <w:b/>
          <w:bCs/>
          <w:w w:val="95"/>
          <w:sz w:val="36"/>
          <w:szCs w:val="36"/>
          <w:highlight w:val="none"/>
          <w:lang w:val="en-US" w:eastAsia="zh-CN"/>
        </w:rPr>
        <w:t>(二) 项目负责人简历表</w:t>
      </w:r>
    </w:p>
    <w:p>
      <w:pPr>
        <w:spacing w:line="287" w:lineRule="auto"/>
        <w:rPr>
          <w:rFonts w:ascii="Arial"/>
          <w:sz w:val="21"/>
          <w:highlight w:val="none"/>
        </w:rPr>
      </w:pPr>
    </w:p>
    <w:p>
      <w:pPr>
        <w:spacing w:before="65" w:line="225" w:lineRule="auto"/>
        <w:ind w:left="415"/>
        <w:rPr>
          <w:rFonts w:ascii="宋体" w:hAnsi="宋体" w:eastAsia="宋体" w:cs="宋体"/>
          <w:sz w:val="20"/>
          <w:szCs w:val="20"/>
          <w:highlight w:val="none"/>
        </w:rPr>
      </w:pPr>
      <w:r>
        <w:rPr>
          <w:rFonts w:ascii="宋体" w:hAnsi="宋体" w:eastAsia="宋体" w:cs="宋体"/>
          <w:spacing w:val="18"/>
          <w:sz w:val="20"/>
          <w:szCs w:val="20"/>
          <w:highlight w:val="none"/>
        </w:rPr>
        <w:t>“项</w:t>
      </w:r>
      <w:r>
        <w:rPr>
          <w:rFonts w:ascii="宋体" w:hAnsi="宋体" w:eastAsia="宋体" w:cs="宋体"/>
          <w:spacing w:val="17"/>
          <w:sz w:val="20"/>
          <w:szCs w:val="20"/>
          <w:highlight w:val="none"/>
        </w:rPr>
        <w:t>目</w:t>
      </w:r>
      <w:r>
        <w:rPr>
          <w:rFonts w:ascii="宋体" w:hAnsi="宋体" w:eastAsia="宋体" w:cs="宋体"/>
          <w:spacing w:val="9"/>
          <w:sz w:val="20"/>
          <w:szCs w:val="20"/>
          <w:highlight w:val="none"/>
        </w:rPr>
        <w:t>负责人简历表”需附项目负责人的身份证、职称证书等有效证明文件复印件。</w:t>
      </w:r>
    </w:p>
    <w:p>
      <w:pPr>
        <w:rPr>
          <w:highlight w:val="none"/>
        </w:rPr>
      </w:pPr>
    </w:p>
    <w:p>
      <w:pPr>
        <w:spacing w:line="118" w:lineRule="auto"/>
        <w:rPr>
          <w:rFonts w:ascii="Arial"/>
          <w:sz w:val="2"/>
          <w:highlight w:val="none"/>
        </w:rPr>
      </w:pPr>
    </w:p>
    <w:tbl>
      <w:tblPr>
        <w:tblStyle w:val="41"/>
        <w:tblW w:w="9100" w:type="dxa"/>
        <w:tblInd w:w="2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07"/>
        <w:gridCol w:w="372"/>
        <w:gridCol w:w="1679"/>
        <w:gridCol w:w="1115"/>
        <w:gridCol w:w="926"/>
        <w:gridCol w:w="564"/>
        <w:gridCol w:w="1290"/>
        <w:gridCol w:w="184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679" w:type="dxa"/>
            <w:gridSpan w:val="2"/>
            <w:vAlign w:val="top"/>
          </w:tcPr>
          <w:p>
            <w:pPr>
              <w:spacing w:before="131" w:line="228" w:lineRule="auto"/>
              <w:ind w:left="634"/>
              <w:rPr>
                <w:rFonts w:ascii="宋体" w:hAnsi="宋体" w:eastAsia="宋体" w:cs="宋体"/>
                <w:sz w:val="20"/>
                <w:szCs w:val="20"/>
                <w:highlight w:val="none"/>
              </w:rPr>
            </w:pPr>
            <w:r>
              <w:rPr>
                <w:rFonts w:ascii="宋体" w:hAnsi="宋体" w:eastAsia="宋体" w:cs="宋体"/>
                <w:spacing w:val="5"/>
                <w:sz w:val="20"/>
                <w:szCs w:val="20"/>
                <w:highlight w:val="none"/>
              </w:rPr>
              <w:t>姓</w:t>
            </w:r>
            <w:r>
              <w:rPr>
                <w:rFonts w:ascii="宋体" w:hAnsi="宋体" w:eastAsia="宋体" w:cs="宋体"/>
                <w:spacing w:val="4"/>
                <w:sz w:val="20"/>
                <w:szCs w:val="20"/>
                <w:highlight w:val="none"/>
              </w:rPr>
              <w:t>名</w:t>
            </w:r>
          </w:p>
        </w:tc>
        <w:tc>
          <w:tcPr>
            <w:tcW w:w="1679" w:type="dxa"/>
            <w:vAlign w:val="top"/>
          </w:tcPr>
          <w:p>
            <w:pPr>
              <w:rPr>
                <w:rFonts w:ascii="Arial"/>
                <w:sz w:val="21"/>
                <w:highlight w:val="none"/>
              </w:rPr>
            </w:pPr>
          </w:p>
        </w:tc>
        <w:tc>
          <w:tcPr>
            <w:tcW w:w="1115" w:type="dxa"/>
            <w:vAlign w:val="top"/>
          </w:tcPr>
          <w:p>
            <w:pPr>
              <w:spacing w:before="117" w:line="228" w:lineRule="auto"/>
              <w:ind w:left="326"/>
              <w:rPr>
                <w:rFonts w:ascii="宋体" w:hAnsi="宋体" w:eastAsia="宋体" w:cs="宋体"/>
                <w:sz w:val="23"/>
                <w:szCs w:val="23"/>
                <w:highlight w:val="none"/>
              </w:rPr>
            </w:pPr>
            <w:r>
              <w:rPr>
                <w:rFonts w:ascii="宋体" w:hAnsi="宋体" w:eastAsia="宋体" w:cs="宋体"/>
                <w:spacing w:val="4"/>
                <w:sz w:val="23"/>
                <w:szCs w:val="23"/>
                <w:highlight w:val="none"/>
              </w:rPr>
              <w:t>性</w:t>
            </w:r>
            <w:r>
              <w:rPr>
                <w:rFonts w:ascii="宋体" w:hAnsi="宋体" w:eastAsia="宋体" w:cs="宋体"/>
                <w:spacing w:val="3"/>
                <w:sz w:val="23"/>
                <w:szCs w:val="23"/>
                <w:highlight w:val="none"/>
              </w:rPr>
              <w:t>别</w:t>
            </w:r>
          </w:p>
        </w:tc>
        <w:tc>
          <w:tcPr>
            <w:tcW w:w="1490" w:type="dxa"/>
            <w:gridSpan w:val="2"/>
            <w:vAlign w:val="top"/>
          </w:tcPr>
          <w:p>
            <w:pPr>
              <w:rPr>
                <w:rFonts w:ascii="Arial"/>
                <w:sz w:val="21"/>
                <w:highlight w:val="none"/>
              </w:rPr>
            </w:pPr>
          </w:p>
        </w:tc>
        <w:tc>
          <w:tcPr>
            <w:tcW w:w="1290" w:type="dxa"/>
            <w:vAlign w:val="top"/>
          </w:tcPr>
          <w:p>
            <w:pPr>
              <w:spacing w:before="132" w:line="227" w:lineRule="auto"/>
              <w:ind w:left="441"/>
              <w:rPr>
                <w:rFonts w:ascii="宋体" w:hAnsi="宋体" w:eastAsia="宋体" w:cs="宋体"/>
                <w:sz w:val="20"/>
                <w:szCs w:val="20"/>
                <w:highlight w:val="none"/>
              </w:rPr>
            </w:pPr>
            <w:r>
              <w:rPr>
                <w:rFonts w:ascii="宋体" w:hAnsi="宋体" w:eastAsia="宋体" w:cs="宋体"/>
                <w:spacing w:val="4"/>
                <w:sz w:val="20"/>
                <w:szCs w:val="20"/>
                <w:highlight w:val="none"/>
              </w:rPr>
              <w:t>年龄</w:t>
            </w:r>
          </w:p>
        </w:tc>
        <w:tc>
          <w:tcPr>
            <w:tcW w:w="1847"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1679" w:type="dxa"/>
            <w:gridSpan w:val="2"/>
            <w:vAlign w:val="top"/>
          </w:tcPr>
          <w:p>
            <w:pPr>
              <w:spacing w:before="127" w:line="230" w:lineRule="auto"/>
              <w:ind w:left="635"/>
              <w:rPr>
                <w:rFonts w:ascii="宋体" w:hAnsi="宋体" w:eastAsia="宋体" w:cs="宋体"/>
                <w:sz w:val="20"/>
                <w:szCs w:val="20"/>
                <w:highlight w:val="none"/>
              </w:rPr>
            </w:pPr>
            <w:r>
              <w:rPr>
                <w:rFonts w:ascii="宋体" w:hAnsi="宋体" w:eastAsia="宋体" w:cs="宋体"/>
                <w:spacing w:val="4"/>
                <w:sz w:val="20"/>
                <w:szCs w:val="20"/>
                <w:highlight w:val="none"/>
              </w:rPr>
              <w:t>职称</w:t>
            </w:r>
          </w:p>
        </w:tc>
        <w:tc>
          <w:tcPr>
            <w:tcW w:w="1679" w:type="dxa"/>
            <w:vAlign w:val="top"/>
          </w:tcPr>
          <w:p>
            <w:pPr>
              <w:rPr>
                <w:rFonts w:ascii="Arial"/>
                <w:sz w:val="21"/>
                <w:highlight w:val="none"/>
              </w:rPr>
            </w:pPr>
          </w:p>
        </w:tc>
        <w:tc>
          <w:tcPr>
            <w:tcW w:w="1115" w:type="dxa"/>
            <w:vAlign w:val="top"/>
          </w:tcPr>
          <w:p>
            <w:pPr>
              <w:spacing w:before="127" w:line="228" w:lineRule="auto"/>
              <w:ind w:left="351"/>
              <w:rPr>
                <w:rFonts w:ascii="宋体" w:hAnsi="宋体" w:eastAsia="宋体" w:cs="宋体"/>
                <w:sz w:val="20"/>
                <w:szCs w:val="20"/>
                <w:highlight w:val="none"/>
              </w:rPr>
            </w:pPr>
            <w:r>
              <w:rPr>
                <w:rFonts w:ascii="宋体" w:hAnsi="宋体" w:eastAsia="宋体" w:cs="宋体"/>
                <w:spacing w:val="4"/>
                <w:sz w:val="20"/>
                <w:szCs w:val="20"/>
                <w:highlight w:val="none"/>
              </w:rPr>
              <w:t>职务</w:t>
            </w:r>
          </w:p>
        </w:tc>
        <w:tc>
          <w:tcPr>
            <w:tcW w:w="1490" w:type="dxa"/>
            <w:gridSpan w:val="2"/>
            <w:vAlign w:val="top"/>
          </w:tcPr>
          <w:p>
            <w:pPr>
              <w:rPr>
                <w:rFonts w:ascii="Arial"/>
                <w:sz w:val="21"/>
                <w:highlight w:val="none"/>
              </w:rPr>
            </w:pPr>
          </w:p>
        </w:tc>
        <w:tc>
          <w:tcPr>
            <w:tcW w:w="1290" w:type="dxa"/>
            <w:vAlign w:val="top"/>
          </w:tcPr>
          <w:p>
            <w:pPr>
              <w:spacing w:before="127" w:line="229" w:lineRule="auto"/>
              <w:ind w:left="339"/>
              <w:rPr>
                <w:rFonts w:ascii="宋体" w:hAnsi="宋体" w:eastAsia="宋体" w:cs="宋体"/>
                <w:sz w:val="20"/>
                <w:szCs w:val="20"/>
                <w:highlight w:val="none"/>
              </w:rPr>
            </w:pPr>
            <w:r>
              <w:rPr>
                <w:rFonts w:ascii="宋体" w:hAnsi="宋体" w:eastAsia="宋体" w:cs="宋体"/>
                <w:spacing w:val="6"/>
                <w:sz w:val="20"/>
                <w:szCs w:val="20"/>
                <w:highlight w:val="none"/>
              </w:rPr>
              <w:t>学</w:t>
            </w:r>
            <w:r>
              <w:rPr>
                <w:rFonts w:ascii="宋体" w:hAnsi="宋体" w:eastAsia="宋体" w:cs="宋体"/>
                <w:spacing w:val="4"/>
                <w:sz w:val="20"/>
                <w:szCs w:val="20"/>
                <w:highlight w:val="none"/>
              </w:rPr>
              <w:t xml:space="preserve">  历</w:t>
            </w:r>
          </w:p>
        </w:tc>
        <w:tc>
          <w:tcPr>
            <w:tcW w:w="1847"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1679" w:type="dxa"/>
            <w:gridSpan w:val="2"/>
            <w:vAlign w:val="top"/>
          </w:tcPr>
          <w:p>
            <w:pPr>
              <w:spacing w:before="185" w:line="226" w:lineRule="auto"/>
              <w:ind w:left="374"/>
              <w:rPr>
                <w:rFonts w:ascii="宋体" w:hAnsi="宋体" w:eastAsia="宋体" w:cs="宋体"/>
                <w:sz w:val="23"/>
                <w:szCs w:val="23"/>
                <w:highlight w:val="none"/>
              </w:rPr>
            </w:pPr>
            <w:r>
              <w:rPr>
                <w:rFonts w:ascii="宋体" w:hAnsi="宋体" w:eastAsia="宋体" w:cs="宋体"/>
                <w:spacing w:val="5"/>
                <w:sz w:val="23"/>
                <w:szCs w:val="23"/>
                <w:highlight w:val="none"/>
              </w:rPr>
              <w:t>资格证书</w:t>
            </w:r>
          </w:p>
        </w:tc>
        <w:tc>
          <w:tcPr>
            <w:tcW w:w="2794" w:type="dxa"/>
            <w:gridSpan w:val="2"/>
            <w:vAlign w:val="top"/>
          </w:tcPr>
          <w:p>
            <w:pPr>
              <w:rPr>
                <w:rFonts w:ascii="Arial"/>
                <w:sz w:val="21"/>
                <w:highlight w:val="none"/>
              </w:rPr>
            </w:pPr>
          </w:p>
        </w:tc>
        <w:tc>
          <w:tcPr>
            <w:tcW w:w="2780" w:type="dxa"/>
            <w:gridSpan w:val="3"/>
            <w:vAlign w:val="top"/>
          </w:tcPr>
          <w:p>
            <w:pPr>
              <w:spacing w:before="185" w:line="226" w:lineRule="auto"/>
              <w:ind w:left="687"/>
              <w:rPr>
                <w:rFonts w:ascii="宋体" w:hAnsi="宋体" w:eastAsia="宋体" w:cs="宋体"/>
                <w:sz w:val="23"/>
                <w:szCs w:val="23"/>
                <w:highlight w:val="none"/>
              </w:rPr>
            </w:pPr>
            <w:r>
              <w:rPr>
                <w:rFonts w:ascii="宋体" w:hAnsi="宋体" w:eastAsia="宋体" w:cs="宋体"/>
                <w:spacing w:val="10"/>
                <w:sz w:val="23"/>
                <w:szCs w:val="23"/>
                <w:highlight w:val="none"/>
              </w:rPr>
              <w:t>资</w:t>
            </w:r>
            <w:r>
              <w:rPr>
                <w:rFonts w:ascii="宋体" w:hAnsi="宋体" w:eastAsia="宋体" w:cs="宋体"/>
                <w:spacing w:val="6"/>
                <w:sz w:val="23"/>
                <w:szCs w:val="23"/>
                <w:highlight w:val="none"/>
              </w:rPr>
              <w:t>格证书编号</w:t>
            </w:r>
          </w:p>
        </w:tc>
        <w:tc>
          <w:tcPr>
            <w:tcW w:w="1847"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4473" w:type="dxa"/>
            <w:gridSpan w:val="4"/>
            <w:vAlign w:val="top"/>
          </w:tcPr>
          <w:p>
            <w:pPr>
              <w:spacing w:before="200" w:line="227" w:lineRule="auto"/>
              <w:ind w:left="1507"/>
              <w:rPr>
                <w:rFonts w:ascii="宋体" w:hAnsi="宋体" w:eastAsia="宋体" w:cs="宋体"/>
                <w:sz w:val="20"/>
                <w:szCs w:val="20"/>
                <w:highlight w:val="none"/>
              </w:rPr>
            </w:pPr>
            <w:r>
              <w:rPr>
                <w:rFonts w:ascii="宋体" w:hAnsi="宋体" w:eastAsia="宋体" w:cs="宋体"/>
                <w:spacing w:val="12"/>
                <w:sz w:val="20"/>
                <w:szCs w:val="20"/>
                <w:highlight w:val="none"/>
              </w:rPr>
              <w:t>拟</w:t>
            </w:r>
            <w:r>
              <w:rPr>
                <w:rFonts w:ascii="宋体" w:hAnsi="宋体" w:eastAsia="宋体" w:cs="宋体"/>
                <w:spacing w:val="8"/>
                <w:sz w:val="20"/>
                <w:szCs w:val="20"/>
                <w:highlight w:val="none"/>
              </w:rPr>
              <w:t>在本合同任职</w:t>
            </w:r>
          </w:p>
        </w:tc>
        <w:tc>
          <w:tcPr>
            <w:tcW w:w="4627" w:type="dxa"/>
            <w:gridSpan w:val="4"/>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9100" w:type="dxa"/>
            <w:gridSpan w:val="8"/>
            <w:vAlign w:val="top"/>
          </w:tcPr>
          <w:p>
            <w:pPr>
              <w:spacing w:before="200" w:line="228" w:lineRule="auto"/>
              <w:ind w:left="3926"/>
              <w:rPr>
                <w:rFonts w:ascii="宋体" w:hAnsi="宋体" w:eastAsia="宋体" w:cs="宋体"/>
                <w:sz w:val="20"/>
                <w:szCs w:val="20"/>
                <w:highlight w:val="none"/>
              </w:rPr>
            </w:pPr>
            <w:r>
              <w:rPr>
                <w:rFonts w:ascii="宋体" w:hAnsi="宋体" w:eastAsia="宋体" w:cs="宋体"/>
                <w:spacing w:val="8"/>
                <w:sz w:val="20"/>
                <w:szCs w:val="20"/>
                <w:highlight w:val="none"/>
              </w:rPr>
              <w:t>主要工作经</w:t>
            </w:r>
            <w:r>
              <w:rPr>
                <w:rFonts w:ascii="宋体" w:hAnsi="宋体" w:eastAsia="宋体" w:cs="宋体"/>
                <w:spacing w:val="7"/>
                <w:sz w:val="20"/>
                <w:szCs w:val="20"/>
                <w:highlight w:val="none"/>
              </w:rPr>
              <w:t>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1307" w:type="dxa"/>
            <w:vAlign w:val="top"/>
          </w:tcPr>
          <w:p>
            <w:pPr>
              <w:spacing w:before="200" w:line="230" w:lineRule="auto"/>
              <w:ind w:left="459"/>
              <w:rPr>
                <w:rFonts w:ascii="宋体" w:hAnsi="宋体" w:eastAsia="宋体" w:cs="宋体"/>
                <w:sz w:val="20"/>
                <w:szCs w:val="20"/>
                <w:highlight w:val="none"/>
              </w:rPr>
            </w:pPr>
            <w:r>
              <w:rPr>
                <w:rFonts w:ascii="宋体" w:hAnsi="宋体" w:eastAsia="宋体" w:cs="宋体"/>
                <w:spacing w:val="-1"/>
                <w:sz w:val="20"/>
                <w:szCs w:val="20"/>
                <w:highlight w:val="none"/>
              </w:rPr>
              <w:t>时</w:t>
            </w:r>
            <w:r>
              <w:rPr>
                <w:rFonts w:ascii="宋体" w:hAnsi="宋体" w:eastAsia="宋体" w:cs="宋体"/>
                <w:sz w:val="20"/>
                <w:szCs w:val="20"/>
                <w:highlight w:val="none"/>
              </w:rPr>
              <w:t>间</w:t>
            </w:r>
          </w:p>
        </w:tc>
        <w:tc>
          <w:tcPr>
            <w:tcW w:w="4092" w:type="dxa"/>
            <w:gridSpan w:val="4"/>
            <w:vAlign w:val="top"/>
          </w:tcPr>
          <w:p>
            <w:pPr>
              <w:spacing w:before="200" w:line="228" w:lineRule="auto"/>
              <w:ind w:left="1210"/>
              <w:rPr>
                <w:rFonts w:ascii="宋体" w:hAnsi="宋体" w:eastAsia="宋体" w:cs="宋体"/>
                <w:sz w:val="20"/>
                <w:szCs w:val="20"/>
                <w:highlight w:val="none"/>
              </w:rPr>
            </w:pPr>
            <w:r>
              <w:rPr>
                <w:rFonts w:ascii="宋体" w:hAnsi="宋体" w:eastAsia="宋体" w:cs="宋体"/>
                <w:spacing w:val="11"/>
                <w:sz w:val="20"/>
                <w:szCs w:val="20"/>
                <w:highlight w:val="none"/>
              </w:rPr>
              <w:t>参</w:t>
            </w:r>
            <w:r>
              <w:rPr>
                <w:rFonts w:ascii="宋体" w:hAnsi="宋体" w:eastAsia="宋体" w:cs="宋体"/>
                <w:spacing w:val="8"/>
                <w:sz w:val="20"/>
                <w:szCs w:val="20"/>
                <w:highlight w:val="none"/>
              </w:rPr>
              <w:t>加过的类似项目</w:t>
            </w:r>
          </w:p>
        </w:tc>
        <w:tc>
          <w:tcPr>
            <w:tcW w:w="1854" w:type="dxa"/>
            <w:gridSpan w:val="2"/>
            <w:vAlign w:val="top"/>
          </w:tcPr>
          <w:p>
            <w:pPr>
              <w:spacing w:before="200" w:line="228" w:lineRule="auto"/>
              <w:ind w:left="513"/>
              <w:rPr>
                <w:rFonts w:ascii="宋体" w:hAnsi="宋体" w:eastAsia="宋体" w:cs="宋体"/>
                <w:sz w:val="20"/>
                <w:szCs w:val="20"/>
                <w:highlight w:val="none"/>
              </w:rPr>
            </w:pPr>
            <w:r>
              <w:rPr>
                <w:rFonts w:ascii="宋体" w:hAnsi="宋体" w:eastAsia="宋体" w:cs="宋体"/>
                <w:spacing w:val="7"/>
                <w:sz w:val="20"/>
                <w:szCs w:val="20"/>
                <w:highlight w:val="none"/>
              </w:rPr>
              <w:t>担任职务</w:t>
            </w:r>
          </w:p>
        </w:tc>
        <w:tc>
          <w:tcPr>
            <w:tcW w:w="1847" w:type="dxa"/>
            <w:vAlign w:val="top"/>
          </w:tcPr>
          <w:p>
            <w:pPr>
              <w:spacing w:before="201" w:line="228" w:lineRule="auto"/>
              <w:ind w:left="615"/>
              <w:rPr>
                <w:rFonts w:ascii="宋体" w:hAnsi="宋体" w:eastAsia="宋体" w:cs="宋体"/>
                <w:sz w:val="20"/>
                <w:szCs w:val="20"/>
                <w:highlight w:val="none"/>
              </w:rPr>
            </w:pPr>
            <w:r>
              <w:rPr>
                <w:rFonts w:ascii="宋体" w:hAnsi="宋体" w:eastAsia="宋体" w:cs="宋体"/>
                <w:spacing w:val="6"/>
                <w:sz w:val="20"/>
                <w:szCs w:val="20"/>
                <w:highlight w:val="none"/>
              </w:rPr>
              <w:t>发包</w:t>
            </w:r>
            <w:r>
              <w:rPr>
                <w:rFonts w:ascii="宋体" w:hAnsi="宋体" w:eastAsia="宋体" w:cs="宋体"/>
                <w:spacing w:val="5"/>
                <w:sz w:val="20"/>
                <w:szCs w:val="20"/>
                <w:highlight w:val="none"/>
              </w:rPr>
              <w:t>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trPr>
        <w:tc>
          <w:tcPr>
            <w:tcW w:w="1307" w:type="dxa"/>
            <w:vAlign w:val="top"/>
          </w:tcPr>
          <w:p>
            <w:pPr>
              <w:rPr>
                <w:rFonts w:ascii="Arial"/>
                <w:sz w:val="21"/>
                <w:highlight w:val="none"/>
              </w:rPr>
            </w:pPr>
          </w:p>
        </w:tc>
        <w:tc>
          <w:tcPr>
            <w:tcW w:w="4092" w:type="dxa"/>
            <w:gridSpan w:val="4"/>
            <w:vAlign w:val="top"/>
          </w:tcPr>
          <w:p>
            <w:pPr>
              <w:rPr>
                <w:rFonts w:ascii="Arial"/>
                <w:sz w:val="21"/>
                <w:highlight w:val="none"/>
              </w:rPr>
            </w:pPr>
          </w:p>
        </w:tc>
        <w:tc>
          <w:tcPr>
            <w:tcW w:w="1854" w:type="dxa"/>
            <w:gridSpan w:val="2"/>
            <w:vAlign w:val="top"/>
          </w:tcPr>
          <w:p>
            <w:pPr>
              <w:rPr>
                <w:rFonts w:ascii="Arial"/>
                <w:sz w:val="21"/>
                <w:highlight w:val="none"/>
              </w:rPr>
            </w:pPr>
          </w:p>
        </w:tc>
        <w:tc>
          <w:tcPr>
            <w:tcW w:w="1847"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6" w:hRule="atLeast"/>
        </w:trPr>
        <w:tc>
          <w:tcPr>
            <w:tcW w:w="1307" w:type="dxa"/>
            <w:vAlign w:val="top"/>
          </w:tcPr>
          <w:p>
            <w:pPr>
              <w:rPr>
                <w:rFonts w:ascii="Arial"/>
                <w:sz w:val="21"/>
                <w:highlight w:val="none"/>
              </w:rPr>
            </w:pPr>
          </w:p>
        </w:tc>
        <w:tc>
          <w:tcPr>
            <w:tcW w:w="4092" w:type="dxa"/>
            <w:gridSpan w:val="4"/>
            <w:vAlign w:val="top"/>
          </w:tcPr>
          <w:p>
            <w:pPr>
              <w:rPr>
                <w:rFonts w:ascii="Arial"/>
                <w:sz w:val="21"/>
                <w:highlight w:val="none"/>
              </w:rPr>
            </w:pPr>
          </w:p>
        </w:tc>
        <w:tc>
          <w:tcPr>
            <w:tcW w:w="1854" w:type="dxa"/>
            <w:gridSpan w:val="2"/>
            <w:vAlign w:val="top"/>
          </w:tcPr>
          <w:p>
            <w:pPr>
              <w:rPr>
                <w:rFonts w:ascii="Arial"/>
                <w:sz w:val="21"/>
                <w:highlight w:val="none"/>
              </w:rPr>
            </w:pPr>
          </w:p>
        </w:tc>
        <w:tc>
          <w:tcPr>
            <w:tcW w:w="1847"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trPr>
        <w:tc>
          <w:tcPr>
            <w:tcW w:w="1307" w:type="dxa"/>
            <w:vAlign w:val="top"/>
          </w:tcPr>
          <w:p>
            <w:pPr>
              <w:rPr>
                <w:rFonts w:ascii="Arial"/>
                <w:sz w:val="21"/>
                <w:highlight w:val="none"/>
              </w:rPr>
            </w:pPr>
          </w:p>
        </w:tc>
        <w:tc>
          <w:tcPr>
            <w:tcW w:w="4092" w:type="dxa"/>
            <w:gridSpan w:val="4"/>
            <w:vAlign w:val="top"/>
          </w:tcPr>
          <w:p>
            <w:pPr>
              <w:rPr>
                <w:rFonts w:ascii="Arial"/>
                <w:sz w:val="21"/>
                <w:highlight w:val="none"/>
              </w:rPr>
            </w:pPr>
          </w:p>
        </w:tc>
        <w:tc>
          <w:tcPr>
            <w:tcW w:w="1854" w:type="dxa"/>
            <w:gridSpan w:val="2"/>
            <w:vAlign w:val="top"/>
          </w:tcPr>
          <w:p>
            <w:pPr>
              <w:rPr>
                <w:rFonts w:ascii="Arial"/>
                <w:sz w:val="21"/>
                <w:highlight w:val="none"/>
              </w:rPr>
            </w:pPr>
          </w:p>
        </w:tc>
        <w:tc>
          <w:tcPr>
            <w:tcW w:w="1847"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trPr>
        <w:tc>
          <w:tcPr>
            <w:tcW w:w="1307" w:type="dxa"/>
            <w:vAlign w:val="top"/>
          </w:tcPr>
          <w:p>
            <w:pPr>
              <w:rPr>
                <w:rFonts w:ascii="Arial"/>
                <w:sz w:val="21"/>
                <w:highlight w:val="none"/>
              </w:rPr>
            </w:pPr>
          </w:p>
        </w:tc>
        <w:tc>
          <w:tcPr>
            <w:tcW w:w="4092" w:type="dxa"/>
            <w:gridSpan w:val="4"/>
            <w:vAlign w:val="top"/>
          </w:tcPr>
          <w:p>
            <w:pPr>
              <w:rPr>
                <w:rFonts w:ascii="Arial"/>
                <w:sz w:val="21"/>
                <w:highlight w:val="none"/>
              </w:rPr>
            </w:pPr>
          </w:p>
        </w:tc>
        <w:tc>
          <w:tcPr>
            <w:tcW w:w="1854" w:type="dxa"/>
            <w:gridSpan w:val="2"/>
            <w:vAlign w:val="top"/>
          </w:tcPr>
          <w:p>
            <w:pPr>
              <w:rPr>
                <w:rFonts w:ascii="Arial"/>
                <w:sz w:val="21"/>
                <w:highlight w:val="none"/>
              </w:rPr>
            </w:pPr>
          </w:p>
        </w:tc>
        <w:tc>
          <w:tcPr>
            <w:tcW w:w="1847"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6" w:hRule="atLeast"/>
        </w:trPr>
        <w:tc>
          <w:tcPr>
            <w:tcW w:w="1307" w:type="dxa"/>
            <w:vAlign w:val="top"/>
          </w:tcPr>
          <w:p>
            <w:pPr>
              <w:rPr>
                <w:rFonts w:ascii="Arial"/>
                <w:sz w:val="21"/>
                <w:highlight w:val="none"/>
              </w:rPr>
            </w:pPr>
          </w:p>
        </w:tc>
        <w:tc>
          <w:tcPr>
            <w:tcW w:w="4092" w:type="dxa"/>
            <w:gridSpan w:val="4"/>
            <w:vAlign w:val="top"/>
          </w:tcPr>
          <w:p>
            <w:pPr>
              <w:rPr>
                <w:rFonts w:ascii="Arial"/>
                <w:sz w:val="21"/>
                <w:highlight w:val="none"/>
              </w:rPr>
            </w:pPr>
          </w:p>
        </w:tc>
        <w:tc>
          <w:tcPr>
            <w:tcW w:w="1854" w:type="dxa"/>
            <w:gridSpan w:val="2"/>
            <w:vAlign w:val="top"/>
          </w:tcPr>
          <w:p>
            <w:pPr>
              <w:rPr>
                <w:rFonts w:ascii="Arial"/>
                <w:sz w:val="21"/>
                <w:highlight w:val="none"/>
              </w:rPr>
            </w:pPr>
          </w:p>
        </w:tc>
        <w:tc>
          <w:tcPr>
            <w:tcW w:w="1847"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trPr>
        <w:tc>
          <w:tcPr>
            <w:tcW w:w="1307" w:type="dxa"/>
            <w:vAlign w:val="top"/>
          </w:tcPr>
          <w:p>
            <w:pPr>
              <w:rPr>
                <w:rFonts w:ascii="Arial"/>
                <w:sz w:val="21"/>
                <w:highlight w:val="none"/>
              </w:rPr>
            </w:pPr>
          </w:p>
        </w:tc>
        <w:tc>
          <w:tcPr>
            <w:tcW w:w="4092" w:type="dxa"/>
            <w:gridSpan w:val="4"/>
            <w:vAlign w:val="top"/>
          </w:tcPr>
          <w:p>
            <w:pPr>
              <w:rPr>
                <w:rFonts w:ascii="Arial"/>
                <w:sz w:val="21"/>
                <w:highlight w:val="none"/>
              </w:rPr>
            </w:pPr>
          </w:p>
        </w:tc>
        <w:tc>
          <w:tcPr>
            <w:tcW w:w="1854" w:type="dxa"/>
            <w:gridSpan w:val="2"/>
            <w:vAlign w:val="top"/>
          </w:tcPr>
          <w:p>
            <w:pPr>
              <w:rPr>
                <w:rFonts w:ascii="Arial"/>
                <w:sz w:val="21"/>
                <w:highlight w:val="none"/>
              </w:rPr>
            </w:pPr>
          </w:p>
        </w:tc>
        <w:tc>
          <w:tcPr>
            <w:tcW w:w="1847"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trPr>
        <w:tc>
          <w:tcPr>
            <w:tcW w:w="1307" w:type="dxa"/>
            <w:vAlign w:val="top"/>
          </w:tcPr>
          <w:p>
            <w:pPr>
              <w:rPr>
                <w:rFonts w:ascii="Arial"/>
                <w:sz w:val="21"/>
                <w:highlight w:val="none"/>
              </w:rPr>
            </w:pPr>
          </w:p>
        </w:tc>
        <w:tc>
          <w:tcPr>
            <w:tcW w:w="4092" w:type="dxa"/>
            <w:gridSpan w:val="4"/>
            <w:vAlign w:val="top"/>
          </w:tcPr>
          <w:p>
            <w:pPr>
              <w:rPr>
                <w:rFonts w:ascii="Arial"/>
                <w:sz w:val="21"/>
                <w:highlight w:val="none"/>
              </w:rPr>
            </w:pPr>
          </w:p>
        </w:tc>
        <w:tc>
          <w:tcPr>
            <w:tcW w:w="1854" w:type="dxa"/>
            <w:gridSpan w:val="2"/>
            <w:vAlign w:val="top"/>
          </w:tcPr>
          <w:p>
            <w:pPr>
              <w:rPr>
                <w:rFonts w:ascii="Arial"/>
                <w:sz w:val="21"/>
                <w:highlight w:val="none"/>
              </w:rPr>
            </w:pPr>
          </w:p>
        </w:tc>
        <w:tc>
          <w:tcPr>
            <w:tcW w:w="1847"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6" w:hRule="atLeast"/>
        </w:trPr>
        <w:tc>
          <w:tcPr>
            <w:tcW w:w="1307" w:type="dxa"/>
            <w:vAlign w:val="top"/>
          </w:tcPr>
          <w:p>
            <w:pPr>
              <w:rPr>
                <w:rFonts w:ascii="Arial"/>
                <w:sz w:val="21"/>
                <w:highlight w:val="none"/>
              </w:rPr>
            </w:pPr>
          </w:p>
        </w:tc>
        <w:tc>
          <w:tcPr>
            <w:tcW w:w="4092" w:type="dxa"/>
            <w:gridSpan w:val="4"/>
            <w:vAlign w:val="top"/>
          </w:tcPr>
          <w:p>
            <w:pPr>
              <w:rPr>
                <w:rFonts w:ascii="Arial"/>
                <w:sz w:val="21"/>
                <w:highlight w:val="none"/>
              </w:rPr>
            </w:pPr>
          </w:p>
        </w:tc>
        <w:tc>
          <w:tcPr>
            <w:tcW w:w="1854" w:type="dxa"/>
            <w:gridSpan w:val="2"/>
            <w:vAlign w:val="top"/>
          </w:tcPr>
          <w:p>
            <w:pPr>
              <w:rPr>
                <w:rFonts w:ascii="Arial"/>
                <w:sz w:val="21"/>
                <w:highlight w:val="none"/>
              </w:rPr>
            </w:pPr>
          </w:p>
        </w:tc>
        <w:tc>
          <w:tcPr>
            <w:tcW w:w="1847" w:type="dxa"/>
            <w:vAlign w:val="top"/>
          </w:tcPr>
          <w:p>
            <w:pPr>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8" w:hRule="atLeast"/>
        </w:trPr>
        <w:tc>
          <w:tcPr>
            <w:tcW w:w="1307" w:type="dxa"/>
            <w:vAlign w:val="top"/>
          </w:tcPr>
          <w:p>
            <w:pPr>
              <w:rPr>
                <w:rFonts w:ascii="Arial"/>
                <w:sz w:val="21"/>
                <w:highlight w:val="none"/>
              </w:rPr>
            </w:pPr>
          </w:p>
        </w:tc>
        <w:tc>
          <w:tcPr>
            <w:tcW w:w="4092" w:type="dxa"/>
            <w:gridSpan w:val="4"/>
            <w:vAlign w:val="top"/>
          </w:tcPr>
          <w:p>
            <w:pPr>
              <w:rPr>
                <w:rFonts w:ascii="Arial"/>
                <w:sz w:val="21"/>
                <w:highlight w:val="none"/>
              </w:rPr>
            </w:pPr>
          </w:p>
        </w:tc>
        <w:tc>
          <w:tcPr>
            <w:tcW w:w="1854" w:type="dxa"/>
            <w:gridSpan w:val="2"/>
            <w:vAlign w:val="top"/>
          </w:tcPr>
          <w:p>
            <w:pPr>
              <w:rPr>
                <w:rFonts w:ascii="Arial"/>
                <w:sz w:val="21"/>
                <w:highlight w:val="none"/>
              </w:rPr>
            </w:pPr>
          </w:p>
        </w:tc>
        <w:tc>
          <w:tcPr>
            <w:tcW w:w="1847" w:type="dxa"/>
            <w:vAlign w:val="top"/>
          </w:tcPr>
          <w:p>
            <w:pPr>
              <w:rPr>
                <w:rFonts w:ascii="Arial"/>
                <w:sz w:val="21"/>
                <w:highlight w:val="none"/>
              </w:rPr>
            </w:pPr>
          </w:p>
        </w:tc>
      </w:tr>
    </w:tbl>
    <w:p>
      <w:pPr>
        <w:rPr>
          <w:rFonts w:ascii="Arial"/>
          <w:sz w:val="21"/>
          <w:highlight w:val="none"/>
        </w:rPr>
      </w:pPr>
    </w:p>
    <w:p>
      <w:pPr>
        <w:rPr>
          <w:highlight w:val="none"/>
        </w:rPr>
        <w:sectPr>
          <w:headerReference r:id="rId12" w:type="default"/>
          <w:footerReference r:id="rId13" w:type="default"/>
          <w:pgSz w:w="11900" w:h="16840"/>
          <w:pgMar w:top="400" w:right="1131" w:bottom="1230" w:left="1132" w:header="697" w:footer="999" w:gutter="0"/>
          <w:pgNumType w:fmt="numberInDash"/>
          <w:cols w:space="720" w:num="1"/>
        </w:sectPr>
      </w:pPr>
    </w:p>
    <w:p>
      <w:pPr>
        <w:keepNext w:val="0"/>
        <w:keepLines w:val="0"/>
        <w:pageBreakBefore w:val="0"/>
        <w:wordWrap/>
        <w:overflowPunct/>
        <w:topLinePunct w:val="0"/>
        <w:autoSpaceDE w:val="0"/>
        <w:autoSpaceDN w:val="0"/>
        <w:bidi w:val="0"/>
        <w:spacing w:line="360" w:lineRule="auto"/>
        <w:outlineLvl w:val="9"/>
        <w:rPr>
          <w:rFonts w:hint="eastAsia" w:ascii="宋体" w:hAnsi="宋体" w:eastAsia="宋体"/>
          <w:b/>
          <w:bCs/>
          <w:color w:val="000000"/>
          <w:sz w:val="28"/>
          <w:szCs w:val="28"/>
          <w:highlight w:val="none"/>
        </w:rPr>
      </w:pPr>
      <w:r>
        <w:rPr>
          <w:rFonts w:hint="eastAsia" w:ascii="宋体" w:hAnsi="宋体" w:eastAsia="宋体"/>
          <w:b/>
          <w:bCs/>
          <w:color w:val="000000"/>
          <w:sz w:val="28"/>
          <w:szCs w:val="28"/>
          <w:highlight w:val="none"/>
          <w:lang w:eastAsia="zh-CN"/>
        </w:rPr>
        <w:t>八</w:t>
      </w:r>
      <w:r>
        <w:rPr>
          <w:rFonts w:hint="eastAsia" w:ascii="宋体" w:hAnsi="宋体" w:eastAsia="宋体"/>
          <w:b/>
          <w:bCs/>
          <w:color w:val="000000"/>
          <w:sz w:val="28"/>
          <w:szCs w:val="28"/>
          <w:highlight w:val="none"/>
        </w:rPr>
        <w:t>、其他资料</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（招标文件要求的或供应商认为有必要的其它说明文件及合理化建议，包括但不限于以下资料）</w:t>
      </w:r>
    </w:p>
    <w:p>
      <w:pPr>
        <w:widowControl w:val="0"/>
        <w:kinsoku/>
        <w:adjustRightInd/>
        <w:snapToGrid/>
        <w:spacing w:line="360" w:lineRule="auto"/>
        <w:textAlignment w:val="auto"/>
        <w:rPr>
          <w:rFonts w:ascii="宋体" w:hAnsi="宋体" w:eastAsia="宋体"/>
          <w:sz w:val="24"/>
          <w:szCs w:val="24"/>
        </w:rPr>
      </w:pPr>
      <w:r>
        <w:rPr>
          <w:rFonts w:ascii="宋体" w:hAnsi="宋体" w:eastAsia="宋体"/>
          <w:sz w:val="24"/>
          <w:szCs w:val="24"/>
        </w:rPr>
        <w:t>1.中小企业声明函及中小企业证明材料</w:t>
      </w:r>
    </w:p>
    <w:p>
      <w:pPr>
        <w:widowControl w:val="0"/>
        <w:kinsoku/>
        <w:adjustRightInd/>
        <w:snapToGrid/>
        <w:spacing w:line="360" w:lineRule="auto"/>
        <w:textAlignment w:val="auto"/>
        <w:rPr>
          <w:rFonts w:ascii="宋体" w:hAnsi="宋体" w:eastAsia="宋体"/>
          <w:sz w:val="24"/>
          <w:szCs w:val="24"/>
        </w:rPr>
      </w:pPr>
      <w:r>
        <w:rPr>
          <w:rFonts w:ascii="宋体" w:hAnsi="宋体" w:eastAsia="宋体"/>
          <w:sz w:val="24"/>
          <w:szCs w:val="24"/>
        </w:rPr>
        <w:t>2.监狱企业及社会福利企业证明材料等</w:t>
      </w:r>
    </w:p>
    <w:p>
      <w:pPr>
        <w:widowControl w:val="0"/>
        <w:kinsoku/>
        <w:adjustRightInd/>
        <w:snapToGrid/>
        <w:spacing w:line="360" w:lineRule="auto"/>
        <w:textAlignment w:val="auto"/>
        <w:rPr>
          <w:rFonts w:hint="eastAsia" w:ascii="宋体" w:hAnsi="宋体" w:eastAsia="宋体"/>
          <w:color w:val="000000"/>
          <w:sz w:val="24"/>
          <w:szCs w:val="24"/>
          <w:highlight w:val="none"/>
          <w:lang w:val="en-US" w:eastAsia="zh-CN"/>
        </w:rPr>
      </w:pPr>
      <w:r>
        <w:rPr>
          <w:rFonts w:hint="eastAsia" w:ascii="宋体" w:hAnsi="宋体" w:eastAsia="宋体"/>
          <w:sz w:val="24"/>
          <w:szCs w:val="24"/>
        </w:rPr>
        <w:t>3、残疾人福利性单位声明函</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4</w:t>
      </w:r>
      <w:r>
        <w:rPr>
          <w:rFonts w:ascii="宋体" w:hAnsi="宋体" w:eastAsia="宋体"/>
          <w:color w:val="000000"/>
          <w:sz w:val="24"/>
          <w:szCs w:val="24"/>
          <w:highlight w:val="none"/>
        </w:rPr>
        <w:t>.投标承诺函</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5</w:t>
      </w:r>
      <w:r>
        <w:rPr>
          <w:rFonts w:hint="eastAsia" w:ascii="宋体" w:hAnsi="宋体" w:eastAsia="宋体"/>
          <w:color w:val="000000"/>
          <w:sz w:val="24"/>
          <w:szCs w:val="24"/>
          <w:highlight w:val="none"/>
        </w:rPr>
        <w:t>.政府采购节能、环保产品汇总表</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6</w:t>
      </w:r>
      <w:r>
        <w:rPr>
          <w:rFonts w:ascii="宋体" w:hAnsi="宋体" w:eastAsia="宋体"/>
          <w:color w:val="000000"/>
          <w:sz w:val="24"/>
          <w:szCs w:val="24"/>
          <w:highlight w:val="none"/>
        </w:rPr>
        <w:t>.其他资料</w:t>
      </w:r>
    </w:p>
    <w:p>
      <w:pPr>
        <w:widowControl/>
        <w:spacing w:line="240" w:lineRule="auto"/>
        <w:jc w:val="left"/>
        <w:outlineLvl w:val="9"/>
        <w:rPr>
          <w:rFonts w:ascii="宋体" w:hAnsi="宋体" w:eastAsia="宋体"/>
          <w:color w:val="000000"/>
          <w:sz w:val="22"/>
          <w:highlight w:val="none"/>
        </w:rPr>
      </w:pPr>
      <w:r>
        <w:rPr>
          <w:rFonts w:ascii="宋体" w:hAnsi="宋体" w:eastAsia="宋体"/>
          <w:color w:val="000000"/>
          <w:sz w:val="22"/>
          <w:highlight w:val="none"/>
        </w:rPr>
        <w:br w:type="page"/>
      </w:r>
    </w:p>
    <w:p>
      <w:pPr>
        <w:spacing w:line="360" w:lineRule="auto"/>
        <w:rPr>
          <w:rFonts w:ascii="宋体" w:hAnsi="宋体" w:eastAsia="宋体"/>
          <w:b/>
          <w:bCs/>
          <w:sz w:val="28"/>
          <w:szCs w:val="28"/>
        </w:rPr>
      </w:pPr>
      <w:r>
        <w:rPr>
          <w:rFonts w:hint="eastAsia" w:ascii="宋体" w:hAnsi="宋体" w:eastAsia="宋体"/>
          <w:b/>
          <w:bCs/>
          <w:sz w:val="28"/>
          <w:szCs w:val="28"/>
        </w:rPr>
        <w:t>1、中小企业声明函（如是）</w:t>
      </w:r>
    </w:p>
    <w:p>
      <w:pPr>
        <w:rPr>
          <w:rFonts w:ascii="宋体" w:hAnsi="宋体" w:eastAsia="宋体"/>
          <w:b/>
        </w:rPr>
      </w:pPr>
    </w:p>
    <w:p>
      <w:pPr>
        <w:jc w:val="center"/>
        <w:rPr>
          <w:rFonts w:ascii="宋体" w:hAnsi="宋体" w:eastAsia="宋体"/>
          <w:b/>
        </w:rPr>
      </w:pPr>
      <w:r>
        <w:rPr>
          <w:rFonts w:hint="eastAsia" w:ascii="宋体" w:hAnsi="宋体" w:eastAsia="宋体"/>
          <w:b/>
        </w:rPr>
        <w:t>如果不是，此项可以删除</w:t>
      </w:r>
    </w:p>
    <w:p>
      <w:pPr>
        <w:spacing w:line="360" w:lineRule="auto"/>
        <w:ind w:firstLine="480" w:firstLineChars="200"/>
        <w:jc w:val="both"/>
        <w:rPr>
          <w:rFonts w:ascii="宋体" w:hAnsi="宋体" w:cs="宋体"/>
          <w:color w:val="auto"/>
          <w:sz w:val="24"/>
          <w:szCs w:val="24"/>
        </w:rPr>
      </w:pPr>
      <w:r>
        <w:rPr>
          <w:rFonts w:hint="eastAsia" w:ascii="宋体" w:hAnsi="宋体" w:cs="宋体"/>
          <w:color w:val="auto"/>
          <w:sz w:val="24"/>
          <w:szCs w:val="24"/>
        </w:rPr>
        <w:t>本公司（联合体）郑重声明，根据财政部《关于进一步加大政府采购支持中小企业力度的通知》（财库〔2022〕19号）的规定，本公司（联合体）参加</w:t>
      </w:r>
      <w:r>
        <w:rPr>
          <w:rFonts w:hint="eastAsia" w:ascii="宋体" w:hAnsi="宋体" w:cs="宋体"/>
          <w:color w:val="auto"/>
          <w:sz w:val="24"/>
          <w:szCs w:val="24"/>
          <w:u w:val="single"/>
        </w:rPr>
        <w:t>（单位名称）</w:t>
      </w:r>
      <w:r>
        <w:rPr>
          <w:rFonts w:hint="eastAsia" w:ascii="宋体" w:hAnsi="宋体" w:cs="宋体"/>
          <w:color w:val="auto"/>
          <w:sz w:val="24"/>
          <w:szCs w:val="24"/>
        </w:rPr>
        <w:t>的</w:t>
      </w:r>
      <w:r>
        <w:rPr>
          <w:rFonts w:hint="eastAsia" w:ascii="宋体" w:hAnsi="宋体" w:cs="宋体"/>
          <w:color w:val="auto"/>
          <w:sz w:val="24"/>
          <w:szCs w:val="24"/>
          <w:u w:val="single"/>
        </w:rPr>
        <w:t>（项目名称）</w:t>
      </w:r>
      <w:r>
        <w:rPr>
          <w:rFonts w:hint="eastAsia" w:ascii="宋体" w:hAnsi="宋体" w:cs="宋体"/>
          <w:color w:val="auto"/>
          <w:sz w:val="24"/>
          <w:szCs w:val="24"/>
        </w:rPr>
        <w:t>采购活动，提供的货物全部由符合政策要求的中小企业制造。相关企业（含联合体中的中小企业，签订分包意向协议的中小企业）的具体情况如下：</w:t>
      </w:r>
    </w:p>
    <w:p>
      <w:pPr>
        <w:numPr>
          <w:ilvl w:val="0"/>
          <w:numId w:val="3"/>
        </w:numPr>
        <w:wordWrap w:val="0"/>
        <w:topLinePunct/>
        <w:spacing w:line="360" w:lineRule="auto"/>
        <w:ind w:firstLine="480" w:firstLineChars="200"/>
        <w:jc w:val="both"/>
        <w:rPr>
          <w:rFonts w:ascii="宋体" w:hAnsi="宋体" w:cs="宋体"/>
          <w:color w:val="auto"/>
          <w:sz w:val="24"/>
          <w:szCs w:val="24"/>
        </w:rPr>
      </w:pPr>
      <w:r>
        <w:rPr>
          <w:rFonts w:hint="eastAsia" w:ascii="宋体" w:hAnsi="宋体" w:cs="宋体"/>
          <w:color w:val="auto"/>
          <w:sz w:val="24"/>
          <w:szCs w:val="24"/>
          <w:u w:val="single"/>
        </w:rPr>
        <w:t>（标的名称）</w:t>
      </w:r>
      <w:r>
        <w:rPr>
          <w:rFonts w:hint="eastAsia" w:ascii="宋体" w:hAnsi="宋体" w:cs="宋体"/>
          <w:color w:val="auto"/>
          <w:sz w:val="24"/>
          <w:szCs w:val="24"/>
        </w:rPr>
        <w:t>，属于</w:t>
      </w:r>
      <w:r>
        <w:rPr>
          <w:rFonts w:hint="eastAsia" w:ascii="宋体" w:hAnsi="宋体" w:cs="宋体"/>
          <w:color w:val="auto"/>
          <w:sz w:val="24"/>
          <w:szCs w:val="24"/>
          <w:u w:val="single"/>
        </w:rPr>
        <w:t>（采购文件中明确的所属行业）行业；</w:t>
      </w:r>
      <w:r>
        <w:rPr>
          <w:rFonts w:hint="eastAsia" w:ascii="宋体" w:hAnsi="宋体" w:cs="宋体"/>
          <w:color w:val="auto"/>
          <w:sz w:val="24"/>
          <w:szCs w:val="24"/>
        </w:rPr>
        <w:t>制造商为</w:t>
      </w:r>
      <w:r>
        <w:rPr>
          <w:rFonts w:hint="eastAsia" w:ascii="宋体" w:hAnsi="宋体" w:cs="宋体"/>
          <w:color w:val="auto"/>
          <w:sz w:val="24"/>
          <w:szCs w:val="24"/>
          <w:u w:val="single"/>
        </w:rPr>
        <w:t>（企业名称），</w:t>
      </w:r>
      <w:r>
        <w:rPr>
          <w:rFonts w:hint="eastAsia" w:ascii="宋体" w:hAnsi="宋体" w:cs="宋体"/>
          <w:color w:val="auto"/>
          <w:sz w:val="24"/>
          <w:szCs w:val="24"/>
        </w:rPr>
        <w:t>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万元，属于（</w:t>
      </w:r>
      <w:r>
        <w:rPr>
          <w:rFonts w:hint="eastAsia" w:ascii="宋体" w:hAnsi="宋体" w:cs="宋体"/>
          <w:color w:val="auto"/>
          <w:spacing w:val="6"/>
          <w:sz w:val="24"/>
          <w:szCs w:val="24"/>
          <w:u w:val="single"/>
        </w:rPr>
        <w:t>中型企业、小型企业、微型企业</w:t>
      </w:r>
      <w:r>
        <w:rPr>
          <w:rFonts w:hint="eastAsia" w:ascii="宋体" w:hAnsi="宋体" w:cs="宋体"/>
          <w:color w:val="auto"/>
          <w:sz w:val="24"/>
          <w:szCs w:val="24"/>
        </w:rPr>
        <w:t>）；</w:t>
      </w:r>
    </w:p>
    <w:p>
      <w:pPr>
        <w:numPr>
          <w:ilvl w:val="0"/>
          <w:numId w:val="3"/>
        </w:numPr>
        <w:wordWrap w:val="0"/>
        <w:topLinePunct/>
        <w:spacing w:line="360" w:lineRule="auto"/>
        <w:ind w:firstLine="480" w:firstLineChars="200"/>
        <w:jc w:val="both"/>
        <w:rPr>
          <w:rFonts w:ascii="宋体" w:hAnsi="宋体" w:cs="宋体"/>
          <w:color w:val="auto"/>
          <w:sz w:val="24"/>
          <w:szCs w:val="24"/>
        </w:rPr>
      </w:pPr>
      <w:r>
        <w:rPr>
          <w:rFonts w:hint="eastAsia" w:ascii="宋体" w:hAnsi="宋体" w:cs="宋体"/>
          <w:color w:val="auto"/>
          <w:sz w:val="24"/>
          <w:szCs w:val="24"/>
          <w:u w:val="single"/>
        </w:rPr>
        <w:t>（标的名称）</w:t>
      </w:r>
      <w:r>
        <w:rPr>
          <w:rFonts w:hint="eastAsia" w:ascii="宋体" w:hAnsi="宋体" w:cs="宋体"/>
          <w:color w:val="auto"/>
          <w:sz w:val="24"/>
          <w:szCs w:val="24"/>
        </w:rPr>
        <w:t>，属于</w:t>
      </w:r>
      <w:r>
        <w:rPr>
          <w:rFonts w:hint="eastAsia" w:ascii="宋体" w:hAnsi="宋体" w:cs="宋体"/>
          <w:color w:val="auto"/>
          <w:sz w:val="24"/>
          <w:szCs w:val="24"/>
          <w:u w:val="single"/>
        </w:rPr>
        <w:t>（采购文件中明确的所属行业）行业；</w:t>
      </w:r>
      <w:r>
        <w:rPr>
          <w:rFonts w:hint="eastAsia" w:ascii="宋体" w:hAnsi="宋体" w:cs="宋体"/>
          <w:color w:val="auto"/>
          <w:sz w:val="24"/>
          <w:szCs w:val="24"/>
        </w:rPr>
        <w:t>制造商为</w:t>
      </w:r>
      <w:r>
        <w:rPr>
          <w:rFonts w:hint="eastAsia" w:ascii="宋体" w:hAnsi="宋体" w:cs="宋体"/>
          <w:color w:val="auto"/>
          <w:sz w:val="24"/>
          <w:szCs w:val="24"/>
          <w:u w:val="single"/>
        </w:rPr>
        <w:t>（企业名称），</w:t>
      </w:r>
      <w:r>
        <w:rPr>
          <w:rFonts w:hint="eastAsia" w:ascii="宋体" w:hAnsi="宋体" w:cs="宋体"/>
          <w:color w:val="auto"/>
          <w:sz w:val="24"/>
          <w:szCs w:val="24"/>
        </w:rPr>
        <w:t>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万元，属于（</w:t>
      </w:r>
      <w:r>
        <w:rPr>
          <w:rFonts w:hint="eastAsia" w:ascii="宋体" w:hAnsi="宋体" w:cs="宋体"/>
          <w:color w:val="auto"/>
          <w:spacing w:val="6"/>
          <w:sz w:val="24"/>
          <w:szCs w:val="24"/>
          <w:u w:val="single"/>
        </w:rPr>
        <w:t>中型企业、小型企业、微型企业</w:t>
      </w:r>
      <w:r>
        <w:rPr>
          <w:rFonts w:hint="eastAsia" w:ascii="宋体" w:hAnsi="宋体" w:cs="宋体"/>
          <w:color w:val="auto"/>
          <w:sz w:val="24"/>
          <w:szCs w:val="24"/>
        </w:rPr>
        <w:t>）；</w:t>
      </w:r>
    </w:p>
    <w:p>
      <w:pPr>
        <w:pStyle w:val="38"/>
        <w:spacing w:line="360" w:lineRule="auto"/>
        <w:ind w:firstLine="480" w:firstLineChars="200"/>
        <w:jc w:val="both"/>
        <w:rPr>
          <w:color w:val="auto"/>
          <w:sz w:val="24"/>
          <w:szCs w:val="24"/>
        </w:rPr>
      </w:pPr>
      <w:r>
        <w:rPr>
          <w:rFonts w:ascii="宋体" w:hAnsi="宋体" w:cs="宋体"/>
          <w:color w:val="auto"/>
          <w:sz w:val="24"/>
          <w:szCs w:val="24"/>
        </w:rPr>
        <w:t>……</w:t>
      </w:r>
    </w:p>
    <w:p>
      <w:pPr>
        <w:spacing w:line="360" w:lineRule="auto"/>
        <w:ind w:firstLine="480" w:firstLineChars="200"/>
        <w:jc w:val="both"/>
        <w:rPr>
          <w:rFonts w:ascii="宋体" w:hAnsi="宋体" w:cs="宋体"/>
          <w:color w:val="auto"/>
          <w:sz w:val="24"/>
          <w:szCs w:val="24"/>
        </w:rPr>
      </w:pPr>
      <w:r>
        <w:rPr>
          <w:rFonts w:hint="eastAsia" w:ascii="宋体" w:hAnsi="宋体" w:cs="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jc w:val="both"/>
        <w:rPr>
          <w:rFonts w:ascii="宋体" w:hAnsi="宋体" w:cs="宋体"/>
          <w:color w:val="auto"/>
          <w:sz w:val="24"/>
          <w:szCs w:val="24"/>
        </w:rPr>
      </w:pPr>
      <w:r>
        <w:rPr>
          <w:rFonts w:hint="eastAsia" w:ascii="宋体" w:hAnsi="宋体" w:cs="宋体"/>
          <w:color w:val="auto"/>
          <w:sz w:val="24"/>
          <w:szCs w:val="24"/>
        </w:rPr>
        <w:t>本企业对上述声明内容的真实性负责。如有虚假，将依法承担相应责任。</w:t>
      </w:r>
    </w:p>
    <w:p>
      <w:pPr>
        <w:spacing w:line="360" w:lineRule="auto"/>
        <w:ind w:firstLine="480" w:firstLineChars="200"/>
        <w:jc w:val="both"/>
        <w:rPr>
          <w:rFonts w:ascii="宋体" w:hAnsi="宋体" w:cs="宋体"/>
          <w:color w:val="auto"/>
          <w:sz w:val="24"/>
          <w:szCs w:val="24"/>
        </w:rPr>
      </w:pPr>
    </w:p>
    <w:p>
      <w:pPr>
        <w:spacing w:line="360" w:lineRule="auto"/>
        <w:ind w:firstLine="480" w:firstLineChars="200"/>
        <w:jc w:val="both"/>
        <w:rPr>
          <w:rFonts w:ascii="宋体" w:hAnsi="宋体" w:cs="宋体"/>
          <w:color w:val="auto"/>
          <w:sz w:val="24"/>
          <w:szCs w:val="24"/>
        </w:rPr>
      </w:pPr>
      <w:r>
        <w:rPr>
          <w:rFonts w:hint="eastAsia" w:ascii="宋体" w:hAnsi="宋体" w:cs="宋体"/>
          <w:color w:val="auto"/>
          <w:sz w:val="24"/>
          <w:szCs w:val="24"/>
        </w:rPr>
        <w:t xml:space="preserve">                            </w:t>
      </w:r>
      <w:r>
        <w:rPr>
          <w:rFonts w:hint="eastAsia" w:ascii="宋体" w:hAnsi="宋体" w:eastAsia="宋体" w:cs="宋体"/>
          <w:color w:val="auto"/>
          <w:sz w:val="24"/>
          <w:szCs w:val="24"/>
        </w:rPr>
        <w:t xml:space="preserve">                 </w:t>
      </w:r>
      <w:r>
        <w:rPr>
          <w:rFonts w:hint="eastAsia" w:ascii="宋体" w:hAnsi="宋体" w:cs="宋体"/>
          <w:color w:val="auto"/>
          <w:sz w:val="24"/>
          <w:szCs w:val="24"/>
        </w:rPr>
        <w:t>企业名称</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rPr>
        <w:t>（盖章）</w:t>
      </w:r>
    </w:p>
    <w:p>
      <w:pPr>
        <w:pStyle w:val="39"/>
        <w:spacing w:before="0" w:beforeAutospacing="0" w:after="0" w:afterAutospacing="0" w:line="360" w:lineRule="auto"/>
        <w:ind w:firstLine="480" w:firstLineChars="200"/>
        <w:jc w:val="both"/>
        <w:rPr>
          <w:rFonts w:hint="default"/>
          <w:color w:val="auto"/>
          <w:sz w:val="24"/>
          <w:szCs w:val="24"/>
        </w:rPr>
      </w:pPr>
      <w:r>
        <w:rPr>
          <w:rFonts w:cs="宋体"/>
          <w:color w:val="auto"/>
          <w:sz w:val="24"/>
          <w:szCs w:val="24"/>
        </w:rPr>
        <w:t xml:space="preserve">                                               日期：</w:t>
      </w:r>
    </w:p>
    <w:p>
      <w:pPr>
        <w:rPr>
          <w:rFonts w:ascii="宋体" w:hAnsi="宋体" w:eastAsia="宋体"/>
          <w:szCs w:val="24"/>
        </w:rPr>
      </w:pPr>
      <w:r>
        <w:rPr>
          <w:rFonts w:ascii="宋体" w:hAnsi="宋体" w:eastAsia="宋体"/>
          <w:szCs w:val="24"/>
        </w:rPr>
        <w:br w:type="page"/>
      </w:r>
    </w:p>
    <w:p>
      <w:pPr>
        <w:spacing w:line="360" w:lineRule="auto"/>
        <w:rPr>
          <w:rFonts w:ascii="宋体" w:hAnsi="宋体" w:eastAsia="宋体"/>
          <w:b/>
          <w:bCs/>
          <w:sz w:val="28"/>
          <w:szCs w:val="28"/>
        </w:rPr>
      </w:pPr>
      <w:r>
        <w:rPr>
          <w:rFonts w:hint="eastAsia" w:ascii="宋体" w:hAnsi="宋体" w:eastAsia="宋体"/>
          <w:b/>
          <w:bCs/>
          <w:sz w:val="28"/>
          <w:szCs w:val="28"/>
        </w:rPr>
        <w:t>2、监狱企业的认定标准</w:t>
      </w:r>
    </w:p>
    <w:p>
      <w:pPr>
        <w:jc w:val="center"/>
      </w:pPr>
      <w:r>
        <w:rPr>
          <w:rFonts w:hint="eastAsia" w:ascii="宋体" w:hAnsi="宋体" w:eastAsia="宋体"/>
          <w:b/>
        </w:rPr>
        <w:t>如果不是，此项可以删除</w:t>
      </w:r>
    </w:p>
    <w:p>
      <w:pPr>
        <w:widowControl w:val="0"/>
        <w:kinsoku/>
        <w:adjustRightInd/>
        <w:snapToGrid/>
        <w:spacing w:line="360" w:lineRule="auto"/>
        <w:ind w:firstLine="480" w:firstLineChars="200"/>
        <w:textAlignment w:val="auto"/>
        <w:rPr>
          <w:rFonts w:ascii="宋体" w:hAnsi="宋体" w:eastAsia="宋体"/>
          <w:sz w:val="24"/>
          <w:szCs w:val="24"/>
        </w:rPr>
      </w:pPr>
      <w:r>
        <w:rPr>
          <w:rFonts w:ascii="宋体" w:hAnsi="宋体" w:eastAsia="宋体"/>
          <w:sz w:val="24"/>
          <w:szCs w:val="24"/>
        </w:rPr>
        <w:t>省级及以上监狱管理局、戒毒管理局（含新疆生产建设兵团）出具的属于监狱企业的证明文件。监狱企业视同小型、微型企业。</w:t>
      </w:r>
    </w:p>
    <w:p>
      <w:pPr>
        <w:rPr>
          <w:rFonts w:ascii="宋体" w:hAnsi="宋体" w:eastAsia="宋体"/>
        </w:rPr>
      </w:pPr>
    </w:p>
    <w:p>
      <w:pPr>
        <w:rPr>
          <w:rFonts w:ascii="宋体" w:hAnsi="宋体" w:eastAsia="宋体"/>
          <w:sz w:val="22"/>
        </w:rPr>
      </w:pPr>
    </w:p>
    <w:p>
      <w:pPr>
        <w:rPr>
          <w:rFonts w:ascii="宋体" w:hAnsi="宋体" w:eastAsia="宋体"/>
          <w:sz w:val="22"/>
        </w:rPr>
      </w:pPr>
      <w:r>
        <w:rPr>
          <w:rFonts w:ascii="宋体" w:hAnsi="宋体" w:eastAsia="宋体"/>
          <w:sz w:val="22"/>
        </w:rPr>
        <w:br w:type="page"/>
      </w:r>
    </w:p>
    <w:p>
      <w:pPr>
        <w:spacing w:line="360" w:lineRule="auto"/>
        <w:rPr>
          <w:rFonts w:ascii="宋体" w:hAnsi="宋体" w:eastAsia="宋体"/>
          <w:b/>
          <w:bCs/>
          <w:sz w:val="28"/>
          <w:szCs w:val="28"/>
        </w:rPr>
      </w:pPr>
      <w:r>
        <w:rPr>
          <w:rFonts w:hint="eastAsia" w:ascii="宋体" w:hAnsi="宋体" w:eastAsia="宋体"/>
          <w:b/>
          <w:bCs/>
          <w:sz w:val="28"/>
          <w:szCs w:val="28"/>
        </w:rPr>
        <w:t>3、残疾人福利性单位声明函</w:t>
      </w:r>
    </w:p>
    <w:p>
      <w:pPr>
        <w:jc w:val="center"/>
      </w:pPr>
      <w:r>
        <w:rPr>
          <w:rFonts w:hint="eastAsia" w:ascii="宋体" w:hAnsi="宋体" w:eastAsia="宋体"/>
          <w:b/>
        </w:rPr>
        <w:t>如果不是，此项可以删除</w:t>
      </w:r>
    </w:p>
    <w:p>
      <w:pPr>
        <w:widowControl w:val="0"/>
        <w:kinsoku/>
        <w:adjustRightInd/>
        <w:snapToGrid/>
        <w:spacing w:line="360" w:lineRule="auto"/>
        <w:ind w:firstLine="480" w:firstLineChars="200"/>
        <w:textAlignment w:val="auto"/>
        <w:rPr>
          <w:rFonts w:ascii="宋体" w:hAnsi="宋体" w:eastAsia="宋体"/>
          <w:sz w:val="24"/>
          <w:szCs w:val="24"/>
        </w:rPr>
      </w:pPr>
      <w:r>
        <w:rPr>
          <w:rFonts w:hint="eastAsia" w:ascii="宋体" w:hAnsi="宋体" w:eastAsia="宋体"/>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widowControl w:val="0"/>
        <w:kinsoku/>
        <w:adjustRightInd/>
        <w:snapToGrid/>
        <w:spacing w:line="360" w:lineRule="auto"/>
        <w:textAlignment w:val="auto"/>
        <w:rPr>
          <w:rFonts w:ascii="宋体" w:hAnsi="宋体" w:eastAsia="宋体"/>
          <w:sz w:val="24"/>
          <w:szCs w:val="24"/>
        </w:rPr>
      </w:pPr>
      <w:r>
        <w:rPr>
          <w:rFonts w:hint="eastAsia" w:ascii="宋体" w:hAnsi="宋体" w:eastAsia="宋体"/>
          <w:sz w:val="24"/>
          <w:szCs w:val="24"/>
        </w:rPr>
        <w:t>本单位对上述声明的真实性负责。如有虚假，将依法承担相应责任。</w:t>
      </w:r>
    </w:p>
    <w:p>
      <w:pPr>
        <w:widowControl w:val="0"/>
        <w:kinsoku/>
        <w:adjustRightInd/>
        <w:snapToGrid/>
        <w:spacing w:line="360" w:lineRule="auto"/>
        <w:textAlignment w:val="auto"/>
        <w:rPr>
          <w:rFonts w:ascii="宋体" w:hAnsi="宋体" w:eastAsia="宋体"/>
          <w:sz w:val="24"/>
          <w:szCs w:val="24"/>
        </w:rPr>
      </w:pPr>
    </w:p>
    <w:p>
      <w:pPr>
        <w:widowControl w:val="0"/>
        <w:kinsoku/>
        <w:adjustRightInd/>
        <w:snapToGrid/>
        <w:spacing w:line="360" w:lineRule="auto"/>
        <w:textAlignment w:val="auto"/>
        <w:rPr>
          <w:rFonts w:ascii="宋体" w:hAnsi="宋体" w:eastAsia="宋体"/>
          <w:sz w:val="24"/>
          <w:szCs w:val="24"/>
        </w:rPr>
      </w:pPr>
      <w:r>
        <w:rPr>
          <w:rFonts w:hint="eastAsia" w:ascii="宋体" w:hAnsi="宋体" w:eastAsia="宋体"/>
          <w:sz w:val="24"/>
          <w:szCs w:val="24"/>
        </w:rPr>
        <w:t>单位名称（电子签章）：</w:t>
      </w:r>
    </w:p>
    <w:p>
      <w:pPr>
        <w:widowControl w:val="0"/>
        <w:kinsoku/>
        <w:adjustRightInd/>
        <w:snapToGrid/>
        <w:spacing w:line="360" w:lineRule="auto"/>
        <w:textAlignment w:val="auto"/>
        <w:rPr>
          <w:rFonts w:ascii="宋体" w:hAnsi="宋体" w:eastAsia="宋体"/>
          <w:sz w:val="24"/>
          <w:szCs w:val="24"/>
        </w:rPr>
      </w:pPr>
      <w:r>
        <w:rPr>
          <w:rFonts w:hint="eastAsia" w:ascii="宋体" w:hAnsi="宋体" w:eastAsia="宋体"/>
          <w:sz w:val="24"/>
          <w:szCs w:val="24"/>
        </w:rPr>
        <w:t>日    期：</w:t>
      </w:r>
    </w:p>
    <w:p>
      <w:pPr>
        <w:widowControl w:val="0"/>
        <w:kinsoku/>
        <w:adjustRightInd/>
        <w:snapToGrid/>
        <w:spacing w:line="360" w:lineRule="auto"/>
        <w:textAlignment w:val="auto"/>
        <w:rPr>
          <w:rFonts w:ascii="宋体" w:hAnsi="宋体" w:eastAsia="宋体"/>
          <w:sz w:val="24"/>
          <w:szCs w:val="24"/>
        </w:rPr>
      </w:pPr>
    </w:p>
    <w:p>
      <w:pPr>
        <w:widowControl w:val="0"/>
        <w:kinsoku/>
        <w:adjustRightInd/>
        <w:snapToGrid/>
        <w:spacing w:line="360" w:lineRule="auto"/>
        <w:textAlignment w:val="auto"/>
        <w:rPr>
          <w:rFonts w:ascii="宋体" w:hAnsi="宋体" w:eastAsia="宋体"/>
          <w:sz w:val="24"/>
          <w:szCs w:val="24"/>
        </w:rPr>
      </w:pPr>
      <w:r>
        <w:rPr>
          <w:rFonts w:hint="eastAsia" w:ascii="宋体" w:hAnsi="宋体" w:eastAsia="宋体"/>
          <w:sz w:val="24"/>
          <w:szCs w:val="24"/>
        </w:rPr>
        <w:t>注：</w:t>
      </w:r>
    </w:p>
    <w:p>
      <w:pPr>
        <w:widowControl w:val="0"/>
        <w:kinsoku/>
        <w:adjustRightInd/>
        <w:snapToGrid/>
        <w:spacing w:line="360" w:lineRule="auto"/>
        <w:textAlignment w:val="auto"/>
        <w:rPr>
          <w:rFonts w:ascii="宋体" w:hAnsi="宋体" w:eastAsia="宋体"/>
          <w:sz w:val="24"/>
          <w:szCs w:val="24"/>
        </w:rPr>
      </w:pPr>
      <w:r>
        <w:rPr>
          <w:rFonts w:hint="eastAsia" w:ascii="宋体" w:hAnsi="宋体" w:eastAsia="宋体"/>
          <w:sz w:val="24"/>
          <w:szCs w:val="24"/>
        </w:rPr>
        <w:t>1、中标、成交供应商为残疾人福利性单位的，采购人或者集采机构将随中标、成交结果同时公告其《残疾人福利性单位声明函》，接受社会监督。</w:t>
      </w:r>
    </w:p>
    <w:p>
      <w:pPr>
        <w:widowControl w:val="0"/>
        <w:kinsoku/>
        <w:adjustRightInd/>
        <w:snapToGrid/>
        <w:spacing w:line="360" w:lineRule="auto"/>
        <w:textAlignment w:val="auto"/>
        <w:rPr>
          <w:rFonts w:ascii="宋体" w:hAnsi="宋体" w:eastAsia="宋体"/>
          <w:sz w:val="24"/>
          <w:szCs w:val="24"/>
        </w:rPr>
      </w:pPr>
      <w:r>
        <w:rPr>
          <w:rFonts w:hint="eastAsia" w:ascii="宋体" w:hAnsi="宋体" w:eastAsia="宋体"/>
          <w:sz w:val="24"/>
          <w:szCs w:val="24"/>
        </w:rPr>
        <w:t>2、供应商提供的《残疾人福利性单位声明函》与事实不符的，依照《政府采购法》第七十七条第一款的规定追究法律责任。</w:t>
      </w:r>
    </w:p>
    <w:p>
      <w:pPr>
        <w:rPr>
          <w:rFonts w:hint="eastAsia" w:ascii="宋体" w:hAnsi="宋体" w:eastAsia="宋体"/>
          <w:b/>
          <w:bCs/>
          <w:color w:val="000000"/>
          <w:sz w:val="28"/>
          <w:szCs w:val="28"/>
          <w:highlight w:val="none"/>
          <w:lang w:val="en-US" w:eastAsia="zh-CN"/>
        </w:rPr>
      </w:pPr>
      <w:r>
        <w:rPr>
          <w:rFonts w:hint="eastAsia" w:ascii="宋体" w:hAnsi="宋体" w:eastAsia="宋体"/>
          <w:b/>
          <w:bCs/>
          <w:color w:val="000000"/>
          <w:sz w:val="28"/>
          <w:szCs w:val="28"/>
          <w:highlight w:val="none"/>
          <w:lang w:val="en-US" w:eastAsia="zh-CN"/>
        </w:rPr>
        <w:br w:type="page"/>
      </w:r>
    </w:p>
    <w:p>
      <w:pPr>
        <w:pStyle w:val="7"/>
        <w:rPr>
          <w:rFonts w:hint="eastAsia"/>
          <w:lang w:val="en-US" w:eastAsia="zh-CN"/>
        </w:rPr>
      </w:pPr>
    </w:p>
    <w:p>
      <w:pPr>
        <w:keepNext w:val="0"/>
        <w:keepLines w:val="0"/>
        <w:pageBreakBefore w:val="0"/>
        <w:wordWrap/>
        <w:overflowPunct/>
        <w:topLinePunct w:val="0"/>
        <w:autoSpaceDE w:val="0"/>
        <w:autoSpaceDN w:val="0"/>
        <w:bidi w:val="0"/>
        <w:spacing w:line="360" w:lineRule="auto"/>
        <w:outlineLvl w:val="9"/>
        <w:rPr>
          <w:rFonts w:hint="eastAsia" w:ascii="宋体" w:hAnsi="宋体" w:eastAsia="宋体"/>
          <w:b/>
          <w:bCs/>
          <w:color w:val="000000"/>
          <w:sz w:val="28"/>
          <w:szCs w:val="28"/>
          <w:highlight w:val="none"/>
        </w:rPr>
      </w:pPr>
      <w:r>
        <w:rPr>
          <w:rFonts w:hint="eastAsia" w:ascii="宋体" w:hAnsi="宋体" w:eastAsia="宋体"/>
          <w:b/>
          <w:bCs/>
          <w:color w:val="000000"/>
          <w:sz w:val="28"/>
          <w:szCs w:val="28"/>
          <w:highlight w:val="none"/>
          <w:lang w:val="en-US" w:eastAsia="zh-CN"/>
        </w:rPr>
        <w:t>4</w:t>
      </w:r>
      <w:r>
        <w:rPr>
          <w:rFonts w:hint="eastAsia" w:ascii="宋体" w:hAnsi="宋体" w:eastAsia="宋体"/>
          <w:b/>
          <w:bCs/>
          <w:color w:val="000000"/>
          <w:sz w:val="28"/>
          <w:szCs w:val="28"/>
          <w:highlight w:val="none"/>
        </w:rPr>
        <w:t>、投标承诺函</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致（采购人及采购代理机构）：</w:t>
      </w:r>
      <w:r>
        <w:rPr>
          <w:rFonts w:hint="eastAsia" w:ascii="宋体" w:hAnsi="宋体" w:eastAsia="宋体"/>
          <w:color w:val="000000"/>
          <w:sz w:val="24"/>
          <w:szCs w:val="24"/>
          <w:highlight w:val="none"/>
          <w:u w:val="single"/>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我公司作为本次采购项目的供应商，根据招标文件要求，现郑重承诺如下：</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一、具备《中华人民共和国政府采购法》第二十二条第一款和本项目规定的条件：</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（一）具有独立承担民事责任的能力；</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（二）具有良好的商业信誉和健全的财务会计制度；</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（三）具有履行合同所必需的设备和专业技术能力；</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（四）有依法缴纳税收和社会保障资金的良好记录；</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（五）参加政府采购活动前三年内，在经营活动中没有重大违法记录；</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（六）法律、行政法规规定的其他条件；</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（七）根据采购项目提出的特殊条件。</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hint="eastAsia" w:ascii="宋体" w:hAnsi="宋体" w:eastAsia="宋体"/>
          <w:color w:val="000000"/>
          <w:sz w:val="24"/>
          <w:szCs w:val="24"/>
          <w:highlight w:val="none"/>
          <w:lang w:eastAsia="zh-CN"/>
        </w:rPr>
      </w:pPr>
      <w:r>
        <w:rPr>
          <w:rFonts w:ascii="宋体" w:hAnsi="宋体" w:eastAsia="宋体"/>
          <w:color w:val="000000"/>
          <w:sz w:val="24"/>
          <w:szCs w:val="24"/>
          <w:highlight w:val="none"/>
        </w:rPr>
        <w:t>二、完全接受和满足本项目招标文件中规定的实质性要求，如对招标文件有异议，已</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经在投标截止时间届满前依法进行维权救济，不存在对招标文件有异议的同时又参加投标以求侥幸中标或者为实现其他非法目的的行为。</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三、参加本次招标采购活动，不存在与单位负责人为同一人或者存在直接控股、管理关系的其他供应商参与同一合同项下的政府采购活动的行为。</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四、参加本次招标采购活动，不存在为采购项目提供整体设计、规范编制或者项目管理、监理、检测等服务的行为。</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五、参加本次招标采购活动，不存在和其他供应商在同一合同项下的采购项目中，同时委托同一个自然人、同一家庭的人员、同一单位的人员作为代理人的行为。</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六、供应商参加本次政府采购活动要求在近三年内供应商和其法定代表人没有行贿犯罪行为。</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七、参加本次招标采购活动，不存在联合体投标。</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八、投标文件中提供的能够给予我公司带来优惠、好处的任何材料资料和技术、服务、商务等响应承诺情况都是真实的、有效的、合法的。</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九、如本项目评标过程中需要提供样品，则我公司提供的样品即为中标后将要提供的中标产品，我公司对提供样品的性能和质量负责，因样品存在缺陷或者不符合招标文件要求导致未能中标的，我公司愿意承担相应不利后果。（如提供样品）</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十、存在以下行为之一的愿意接受相关部门的处理：</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（一）投标有效期内撤销投标文件的；</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（二）在采购人确定中标人以前放弃中标候选资格的；</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（三）由于中标人的原因未能按照招标文件的规定与采购人签订合同；</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（四）由于中标人的原因未能按照招标文件的规定交纳履约保证金；</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（五）在投标文件中提供虚假材料谋取中标；</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（六）与采购人、其他供应商或者采购代理机构恶意串通的；</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（七）投标有效期内，供应商在政府采购活动中有违法、违规、违纪行为。</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由此产生的一切法律后果和责任由我公司承担。我公司声明放弃对此提出任何异议和追索的权利。</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本公司对上述承诺的内容事项真实性负责。如经查实上述承诺的内容事项存在虚假，我公司愿意接受以提供虚假材料谋取中标追究法律责任。</w:t>
      </w:r>
    </w:p>
    <w:p>
      <w:pPr>
        <w:pStyle w:val="7"/>
      </w:pP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供应商名称：</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rPr>
        <w:t>（</w:t>
      </w:r>
      <w:r>
        <w:rPr>
          <w:rFonts w:hint="eastAsia" w:ascii="宋体" w:hAnsi="宋体" w:eastAsia="宋体"/>
          <w:color w:val="000000"/>
          <w:sz w:val="24"/>
          <w:szCs w:val="24"/>
          <w:highlight w:val="none"/>
        </w:rPr>
        <w:t>电子签章</w:t>
      </w:r>
      <w:r>
        <w:rPr>
          <w:rFonts w:ascii="宋体" w:hAnsi="宋体" w:eastAsia="宋体"/>
          <w:color w:val="000000"/>
          <w:sz w:val="24"/>
          <w:szCs w:val="24"/>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法定代表人或授权代表：</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rPr>
        <w:t>（</w:t>
      </w:r>
      <w:r>
        <w:rPr>
          <w:rFonts w:hint="eastAsia" w:ascii="宋体" w:hAnsi="宋体" w:eastAsia="宋体"/>
          <w:color w:val="000000"/>
          <w:sz w:val="24"/>
          <w:szCs w:val="24"/>
          <w:highlight w:val="none"/>
        </w:rPr>
        <w:t>电子签章</w:t>
      </w:r>
      <w:r>
        <w:rPr>
          <w:rFonts w:ascii="宋体" w:hAnsi="宋体" w:eastAsia="宋体"/>
          <w:color w:val="000000"/>
          <w:sz w:val="24"/>
          <w:szCs w:val="24"/>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日</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期：</w:t>
      </w:r>
    </w:p>
    <w:p>
      <w:pPr>
        <w:widowControl/>
        <w:spacing w:line="240" w:lineRule="auto"/>
        <w:jc w:val="left"/>
        <w:outlineLvl w:val="9"/>
        <w:rPr>
          <w:rFonts w:ascii="宋体" w:hAnsi="宋体" w:eastAsia="宋体"/>
          <w:color w:val="000000"/>
          <w:sz w:val="22"/>
          <w:highlight w:val="none"/>
        </w:rPr>
      </w:pPr>
      <w:r>
        <w:rPr>
          <w:rFonts w:ascii="宋体" w:hAnsi="宋体" w:eastAsia="宋体"/>
          <w:color w:val="000000"/>
          <w:sz w:val="22"/>
          <w:highlight w:val="none"/>
        </w:rPr>
        <w:br w:type="page"/>
      </w:r>
    </w:p>
    <w:p>
      <w:pPr>
        <w:outlineLvl w:val="9"/>
        <w:rPr>
          <w:rFonts w:hint="eastAsia" w:ascii="宋体" w:hAnsi="宋体" w:eastAsia="宋体"/>
          <w:b/>
          <w:bCs/>
          <w:color w:val="000000"/>
          <w:sz w:val="28"/>
          <w:szCs w:val="28"/>
          <w:highlight w:val="none"/>
        </w:rPr>
      </w:pPr>
      <w:r>
        <w:rPr>
          <w:rFonts w:hint="eastAsia" w:ascii="宋体" w:hAnsi="宋体" w:eastAsia="宋体"/>
          <w:b/>
          <w:bCs/>
          <w:color w:val="000000"/>
          <w:sz w:val="28"/>
          <w:szCs w:val="28"/>
          <w:highlight w:val="none"/>
          <w:lang w:val="en-US" w:eastAsia="zh-CN"/>
        </w:rPr>
        <w:t>5</w:t>
      </w:r>
      <w:r>
        <w:rPr>
          <w:rFonts w:hint="eastAsia" w:ascii="宋体" w:hAnsi="宋体" w:eastAsia="宋体"/>
          <w:b/>
          <w:bCs/>
          <w:color w:val="000000"/>
          <w:sz w:val="28"/>
          <w:szCs w:val="28"/>
          <w:highlight w:val="none"/>
        </w:rPr>
        <w:t>、政府采购节能、环保产品汇总表</w:t>
      </w:r>
    </w:p>
    <w:p>
      <w:pPr>
        <w:jc w:val="center"/>
        <w:outlineLvl w:val="9"/>
        <w:rPr>
          <w:color w:val="000000"/>
          <w:highlight w:val="none"/>
        </w:rPr>
      </w:pPr>
      <w:r>
        <w:rPr>
          <w:rFonts w:hint="eastAsia" w:ascii="宋体" w:hAnsi="宋体" w:eastAsia="宋体"/>
          <w:b/>
          <w:color w:val="000000"/>
          <w:sz w:val="21"/>
          <w:szCs w:val="21"/>
          <w:highlight w:val="none"/>
        </w:rPr>
        <w:t>如果不是，此项可以删除</w:t>
      </w:r>
    </w:p>
    <w:p>
      <w:pPr>
        <w:keepNext w:val="0"/>
        <w:keepLines w:val="0"/>
        <w:pageBreakBefore w:val="0"/>
        <w:kinsoku/>
        <w:wordWrap w:val="0"/>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项目名称：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134"/>
        <w:gridCol w:w="992"/>
        <w:gridCol w:w="993"/>
        <w:gridCol w:w="1559"/>
        <w:gridCol w:w="1606"/>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trPr>
        <w:tc>
          <w:tcPr>
            <w:tcW w:w="817" w:type="dxa"/>
            <w:vMerge w:val="restart"/>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序号</w:t>
            </w:r>
          </w:p>
        </w:tc>
        <w:tc>
          <w:tcPr>
            <w:tcW w:w="1134" w:type="dxa"/>
            <w:vMerge w:val="restart"/>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投报产品名称</w:t>
            </w:r>
          </w:p>
        </w:tc>
        <w:tc>
          <w:tcPr>
            <w:tcW w:w="992" w:type="dxa"/>
            <w:vMerge w:val="restart"/>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制造商</w:t>
            </w:r>
          </w:p>
        </w:tc>
        <w:tc>
          <w:tcPr>
            <w:tcW w:w="993" w:type="dxa"/>
            <w:vMerge w:val="restart"/>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产品品牌及型号</w:t>
            </w:r>
          </w:p>
        </w:tc>
        <w:tc>
          <w:tcPr>
            <w:tcW w:w="3165" w:type="dxa"/>
            <w:gridSpan w:val="2"/>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节能产品</w:t>
            </w:r>
          </w:p>
        </w:tc>
        <w:tc>
          <w:tcPr>
            <w:tcW w:w="1421" w:type="dxa"/>
            <w:vMerge w:val="restart"/>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环境标志产品认证证书编号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trPr>
        <w:tc>
          <w:tcPr>
            <w:tcW w:w="817" w:type="dxa"/>
            <w:vMerge w:val="continue"/>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1134" w:type="dxa"/>
            <w:vMerge w:val="continue"/>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992" w:type="dxa"/>
            <w:vMerge w:val="continue"/>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993" w:type="dxa"/>
            <w:vMerge w:val="continue"/>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1559"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是否属于强制采购产品</w:t>
            </w:r>
          </w:p>
        </w:tc>
        <w:tc>
          <w:tcPr>
            <w:tcW w:w="1606"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节能标志认证证书号</w:t>
            </w:r>
          </w:p>
        </w:tc>
        <w:tc>
          <w:tcPr>
            <w:tcW w:w="1421" w:type="dxa"/>
            <w:vMerge w:val="continue"/>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1134"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992"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993"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3165" w:type="dxa"/>
            <w:gridSpan w:val="2"/>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1421"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1134"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992"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993"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3165" w:type="dxa"/>
            <w:gridSpan w:val="2"/>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1421"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1134"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992"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993"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3165" w:type="dxa"/>
            <w:gridSpan w:val="2"/>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1421"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1134"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992"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993"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3165" w:type="dxa"/>
            <w:gridSpan w:val="2"/>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1421"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1134"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992"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993"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3165" w:type="dxa"/>
            <w:gridSpan w:val="2"/>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c>
          <w:tcPr>
            <w:tcW w:w="1421"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pPr>
              <w:keepNext w:val="0"/>
              <w:keepLines w:val="0"/>
              <w:pageBreakBefore w:val="0"/>
              <w:kinsoku/>
              <w:overflowPunct/>
              <w:topLinePunct w:val="0"/>
              <w:autoSpaceDE w:val="0"/>
              <w:autoSpaceDN w:val="0"/>
              <w:bidi w:val="0"/>
              <w:adjustRightInd/>
              <w:snapToGrid/>
              <w:spacing w:line="360" w:lineRule="auto"/>
              <w:jc w:val="center"/>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说 明</w:t>
            </w:r>
          </w:p>
        </w:tc>
        <w:tc>
          <w:tcPr>
            <w:tcW w:w="7705" w:type="dxa"/>
            <w:gridSpan w:val="6"/>
            <w:noWrap w:val="0"/>
            <w:vAlign w:val="center"/>
          </w:tcPr>
          <w:p>
            <w:pPr>
              <w:keepNext w:val="0"/>
              <w:keepLines w:val="0"/>
              <w:pageBreakBefore w:val="0"/>
              <w:kinsoku/>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我方提供的节能产品为第</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期《节能产品政府采购清单》内的产品；我方提供的环境标志产品为第</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期《环境标志产品政府采购清单》内的产品。</w:t>
            </w:r>
          </w:p>
        </w:tc>
      </w:tr>
    </w:tbl>
    <w:p>
      <w:pPr>
        <w:keepNext w:val="0"/>
        <w:keepLines w:val="0"/>
        <w:pageBreakBefore w:val="0"/>
        <w:kinsoku/>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 xml:space="preserve"> </w:t>
      </w:r>
    </w:p>
    <w:p>
      <w:pPr>
        <w:keepNext w:val="0"/>
        <w:keepLines w:val="0"/>
        <w:pageBreakBefore w:val="0"/>
        <w:kinsoku/>
        <w:wordWrap w:val="0"/>
        <w:overflowPunct/>
        <w:topLinePunct w:val="0"/>
        <w:autoSpaceDE w:val="0"/>
        <w:autoSpaceDN w:val="0"/>
        <w:bidi w:val="0"/>
        <w:adjustRightInd/>
        <w:snapToGrid/>
        <w:spacing w:line="360" w:lineRule="auto"/>
        <w:jc w:val="right"/>
        <w:textAlignment w:val="auto"/>
        <w:outlineLvl w:val="9"/>
        <w:rPr>
          <w:rFonts w:ascii="宋体" w:hAnsi="宋体" w:eastAsia="宋体"/>
          <w:color w:val="000000"/>
          <w:sz w:val="24"/>
          <w:szCs w:val="24"/>
          <w:highlight w:val="none"/>
          <w:u w:val="single"/>
        </w:rPr>
      </w:pPr>
      <w:r>
        <w:rPr>
          <w:rFonts w:ascii="宋体" w:hAnsi="宋体" w:eastAsia="宋体"/>
          <w:color w:val="000000"/>
          <w:sz w:val="24"/>
          <w:szCs w:val="24"/>
          <w:highlight w:val="none"/>
        </w:rPr>
        <w:t>投标人（</w:t>
      </w:r>
      <w:r>
        <w:rPr>
          <w:rFonts w:hint="eastAsia" w:ascii="宋体" w:hAnsi="宋体" w:eastAsia="宋体"/>
          <w:color w:val="000000"/>
          <w:sz w:val="24"/>
          <w:szCs w:val="24"/>
          <w:highlight w:val="none"/>
        </w:rPr>
        <w:t>电子签章</w:t>
      </w:r>
      <w:r>
        <w:rPr>
          <w:rFonts w:ascii="宋体" w:hAnsi="宋体" w:eastAsia="宋体"/>
          <w:color w:val="000000"/>
          <w:sz w:val="24"/>
          <w:szCs w:val="24"/>
          <w:highlight w:val="none"/>
        </w:rPr>
        <w:t>）：</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p>
    <w:p>
      <w:pPr>
        <w:keepNext w:val="0"/>
        <w:keepLines w:val="0"/>
        <w:pageBreakBefore w:val="0"/>
        <w:kinsoku/>
        <w:wordWrap w:val="0"/>
        <w:overflowPunct/>
        <w:topLinePunct w:val="0"/>
        <w:autoSpaceDE w:val="0"/>
        <w:autoSpaceDN w:val="0"/>
        <w:bidi w:val="0"/>
        <w:adjustRightInd/>
        <w:snapToGrid/>
        <w:spacing w:line="360" w:lineRule="auto"/>
        <w:jc w:val="right"/>
        <w:textAlignment w:val="auto"/>
        <w:outlineLvl w:val="9"/>
        <w:rPr>
          <w:rFonts w:ascii="宋体" w:hAnsi="宋体" w:eastAsia="宋体"/>
          <w:color w:val="000000"/>
          <w:sz w:val="24"/>
          <w:szCs w:val="24"/>
          <w:highlight w:val="none"/>
          <w:u w:val="single"/>
        </w:rPr>
      </w:pPr>
      <w:r>
        <w:rPr>
          <w:rFonts w:ascii="宋体" w:hAnsi="宋体" w:eastAsia="宋体"/>
          <w:color w:val="000000"/>
          <w:sz w:val="24"/>
          <w:szCs w:val="24"/>
          <w:highlight w:val="none"/>
        </w:rPr>
        <w:t>法定代表人（</w:t>
      </w:r>
      <w:r>
        <w:rPr>
          <w:rFonts w:hint="eastAsia" w:ascii="宋体" w:hAnsi="宋体" w:eastAsia="宋体"/>
          <w:color w:val="000000"/>
          <w:sz w:val="24"/>
          <w:szCs w:val="24"/>
          <w:highlight w:val="none"/>
        </w:rPr>
        <w:t>电子签章</w:t>
      </w:r>
      <w:r>
        <w:rPr>
          <w:rFonts w:ascii="宋体" w:hAnsi="宋体" w:eastAsia="宋体"/>
          <w:color w:val="000000"/>
          <w:sz w:val="24"/>
          <w:szCs w:val="24"/>
          <w:highlight w:val="none"/>
        </w:rPr>
        <w:t>）：</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p>
    <w:p>
      <w:pPr>
        <w:keepNext w:val="0"/>
        <w:keepLines w:val="0"/>
        <w:pageBreakBefore w:val="0"/>
        <w:kinsoku/>
        <w:wordWrap w:val="0"/>
        <w:overflowPunct/>
        <w:topLinePunct w:val="0"/>
        <w:autoSpaceDE w:val="0"/>
        <w:autoSpaceDN w:val="0"/>
        <w:bidi w:val="0"/>
        <w:adjustRightInd/>
        <w:snapToGrid/>
        <w:spacing w:line="360" w:lineRule="auto"/>
        <w:jc w:val="right"/>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日期：</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rPr>
        <w:t>年</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rPr>
        <w:t>月</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rPr>
        <w:t>日</w:t>
      </w:r>
    </w:p>
    <w:p>
      <w:pPr>
        <w:keepNext w:val="0"/>
        <w:keepLines w:val="0"/>
        <w:pageBreakBefore w:val="0"/>
        <w:kinsoku/>
        <w:overflowPunct/>
        <w:topLinePunct w:val="0"/>
        <w:autoSpaceDE w:val="0"/>
        <w:autoSpaceDN w:val="0"/>
        <w:bidi w:val="0"/>
        <w:adjustRightInd/>
        <w:snapToGrid/>
        <w:spacing w:line="360" w:lineRule="auto"/>
        <w:textAlignment w:val="auto"/>
        <w:outlineLvl w:val="9"/>
        <w:rPr>
          <w:rFonts w:ascii="黑体" w:hAnsi="黑体" w:eastAsia="黑体"/>
          <w:color w:val="000000"/>
          <w:sz w:val="24"/>
          <w:szCs w:val="24"/>
          <w:highlight w:val="none"/>
        </w:rPr>
      </w:pPr>
    </w:p>
    <w:p>
      <w:pPr>
        <w:keepNext w:val="0"/>
        <w:keepLines w:val="0"/>
        <w:pageBreakBefore w:val="0"/>
        <w:kinsoku/>
        <w:overflowPunct/>
        <w:topLinePunct w:val="0"/>
        <w:autoSpaceDE w:val="0"/>
        <w:autoSpaceDN w:val="0"/>
        <w:bidi w:val="0"/>
        <w:adjustRightInd/>
        <w:snapToGrid/>
        <w:spacing w:line="360" w:lineRule="auto"/>
        <w:textAlignment w:val="auto"/>
        <w:outlineLvl w:val="9"/>
        <w:rPr>
          <w:rFonts w:ascii="黑体" w:hAnsi="黑体" w:eastAsia="黑体"/>
          <w:color w:val="000000"/>
          <w:sz w:val="24"/>
          <w:szCs w:val="24"/>
          <w:highlight w:val="none"/>
        </w:rPr>
      </w:pPr>
    </w:p>
    <w:p>
      <w:pPr>
        <w:keepNext w:val="0"/>
        <w:keepLines w:val="0"/>
        <w:pageBreakBefore w:val="0"/>
        <w:kinsoku/>
        <w:overflowPunct/>
        <w:topLinePunct w:val="0"/>
        <w:autoSpaceDE w:val="0"/>
        <w:autoSpaceDN w:val="0"/>
        <w:bidi w:val="0"/>
        <w:adjustRightInd/>
        <w:snapToGrid/>
        <w:spacing w:line="360" w:lineRule="auto"/>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注：1、本表只填写属于政府采购节能或环保产品的投标产品，无相应产品的本表可以</w:t>
      </w:r>
      <w:r>
        <w:rPr>
          <w:rFonts w:hint="eastAsia" w:ascii="宋体" w:hAnsi="宋体" w:eastAsia="宋体"/>
          <w:color w:val="000000"/>
          <w:sz w:val="24"/>
          <w:szCs w:val="24"/>
          <w:highlight w:val="none"/>
        </w:rPr>
        <w:t>删除</w:t>
      </w:r>
      <w:r>
        <w:rPr>
          <w:rFonts w:ascii="宋体" w:hAnsi="宋体" w:eastAsia="宋体"/>
          <w:color w:val="000000"/>
          <w:sz w:val="24"/>
          <w:szCs w:val="24"/>
          <w:highlight w:val="none"/>
        </w:rPr>
        <w:t>。</w:t>
      </w:r>
    </w:p>
    <w:p>
      <w:pPr>
        <w:keepNext w:val="0"/>
        <w:keepLines w:val="0"/>
        <w:pageBreakBefore w:val="0"/>
        <w:kinsoku/>
        <w:overflowPunct/>
        <w:topLinePunct w:val="0"/>
        <w:autoSpaceDE w:val="0"/>
        <w:autoSpaceDN w:val="0"/>
        <w:bidi w:val="0"/>
        <w:adjustRightInd/>
        <w:snapToGrid/>
        <w:spacing w:line="360" w:lineRule="auto"/>
        <w:ind w:firstLine="405"/>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 xml:space="preserve">2、认证证书编号必须填写《节能产品政府采购清单》中的节字标志认证证书号、或《环境标志产品政府采购清单》中的认证证书编号，否则评委会不予认可。 </w:t>
      </w:r>
    </w:p>
    <w:p>
      <w:pPr>
        <w:keepNext w:val="0"/>
        <w:keepLines w:val="0"/>
        <w:pageBreakBefore w:val="0"/>
        <w:widowControl/>
        <w:kinsoku/>
        <w:overflowPunct/>
        <w:topLinePunct w:val="0"/>
        <w:autoSpaceDE w:val="0"/>
        <w:autoSpaceDN w:val="0"/>
        <w:bidi w:val="0"/>
        <w:adjustRightInd/>
        <w:snapToGrid/>
        <w:spacing w:line="360" w:lineRule="auto"/>
        <w:ind w:firstLine="480" w:firstLineChars="200"/>
        <w:jc w:val="left"/>
        <w:textAlignment w:val="auto"/>
        <w:outlineLvl w:val="9"/>
        <w:rPr>
          <w:rFonts w:ascii="宋体" w:hAnsi="宋体" w:eastAsia="宋体"/>
          <w:color w:val="000000"/>
          <w:sz w:val="24"/>
          <w:szCs w:val="24"/>
          <w:highlight w:val="none"/>
        </w:rPr>
      </w:pPr>
      <w:r>
        <w:rPr>
          <w:rFonts w:ascii="宋体" w:hAnsi="宋体" w:eastAsia="宋体"/>
          <w:color w:val="000000"/>
          <w:sz w:val="24"/>
          <w:szCs w:val="24"/>
          <w:highlight w:val="none"/>
        </w:rPr>
        <w:t>3、《节能产品政府采购清单》、《环境标志产品政府采购清单》均以国家有关部门公布的最新一期公布的内容为准</w:t>
      </w:r>
      <w:r>
        <w:rPr>
          <w:rFonts w:hint="eastAsia" w:ascii="宋体" w:hAnsi="宋体" w:eastAsia="宋体"/>
          <w:color w:val="000000"/>
          <w:sz w:val="24"/>
          <w:szCs w:val="24"/>
          <w:highlight w:val="none"/>
        </w:rPr>
        <w:t>且必须在有效期内</w:t>
      </w:r>
      <w:r>
        <w:rPr>
          <w:rFonts w:ascii="宋体" w:hAnsi="宋体" w:eastAsia="宋体"/>
          <w:color w:val="000000"/>
          <w:sz w:val="24"/>
          <w:szCs w:val="24"/>
          <w:highlight w:val="none"/>
        </w:rPr>
        <w:t>，否则评委会不予认可。</w:t>
      </w:r>
    </w:p>
    <w:p>
      <w:pPr>
        <w:keepNext w:val="0"/>
        <w:keepLines w:val="0"/>
        <w:pageBreakBefore w:val="0"/>
        <w:widowControl/>
        <w:kinsoku/>
        <w:overflowPunct/>
        <w:topLinePunct w:val="0"/>
        <w:autoSpaceDE w:val="0"/>
        <w:autoSpaceDN w:val="0"/>
        <w:bidi w:val="0"/>
        <w:adjustRightInd/>
        <w:snapToGrid/>
        <w:spacing w:line="360" w:lineRule="auto"/>
        <w:ind w:firstLine="480" w:firstLineChars="200"/>
        <w:jc w:val="left"/>
        <w:textAlignment w:val="auto"/>
        <w:outlineLvl w:val="9"/>
        <w:rPr>
          <w:rFonts w:ascii="宋体" w:hAnsi="宋体" w:eastAsia="宋体"/>
          <w:color w:val="000000"/>
          <w:sz w:val="24"/>
          <w:szCs w:val="24"/>
          <w:highlight w:val="none"/>
        </w:rPr>
      </w:pPr>
      <w:r>
        <w:rPr>
          <w:rFonts w:hint="eastAsia" w:ascii="宋体" w:hAnsi="宋体" w:eastAsia="宋体"/>
          <w:color w:val="000000"/>
          <w:sz w:val="24"/>
          <w:szCs w:val="24"/>
          <w:highlight w:val="none"/>
        </w:rPr>
        <w:t>4、如采购人所采购产品为政府强制采购的节能产品，投标人所投产品的品牌及型号必须为清单中有效期内产品并提供证明文件，否则其投标将被认定为投标无效。</w:t>
      </w:r>
    </w:p>
    <w:p>
      <w:pPr>
        <w:widowControl/>
        <w:spacing w:line="240" w:lineRule="auto"/>
        <w:jc w:val="left"/>
        <w:outlineLvl w:val="9"/>
        <w:rPr>
          <w:rFonts w:ascii="宋体" w:hAnsi="宋体" w:eastAsia="宋体"/>
          <w:color w:val="000000"/>
          <w:sz w:val="22"/>
          <w:highlight w:val="none"/>
        </w:rPr>
      </w:pPr>
      <w:r>
        <w:rPr>
          <w:rFonts w:ascii="宋体" w:hAnsi="宋体" w:eastAsia="宋体"/>
          <w:color w:val="000000"/>
          <w:sz w:val="22"/>
          <w:highlight w:val="none"/>
        </w:rPr>
        <w:br w:type="page"/>
      </w:r>
    </w:p>
    <w:p>
      <w:pPr>
        <w:outlineLvl w:val="9"/>
        <w:rPr>
          <w:rFonts w:ascii="宋体" w:hAnsi="宋体" w:eastAsia="宋体"/>
          <w:b/>
          <w:bCs/>
          <w:color w:val="000000"/>
          <w:sz w:val="28"/>
          <w:szCs w:val="28"/>
          <w:highlight w:val="none"/>
        </w:rPr>
      </w:pPr>
      <w:r>
        <w:rPr>
          <w:rFonts w:hint="eastAsia" w:ascii="宋体" w:hAnsi="宋体" w:eastAsia="宋体"/>
          <w:b/>
          <w:bCs/>
          <w:color w:val="000000"/>
          <w:sz w:val="28"/>
          <w:szCs w:val="28"/>
          <w:highlight w:val="none"/>
          <w:lang w:val="en-US" w:eastAsia="zh-CN"/>
        </w:rPr>
        <w:t>6</w:t>
      </w:r>
      <w:r>
        <w:rPr>
          <w:rFonts w:hint="eastAsia" w:ascii="宋体" w:hAnsi="宋体" w:eastAsia="宋体"/>
          <w:b/>
          <w:bCs/>
          <w:color w:val="000000"/>
          <w:sz w:val="28"/>
          <w:szCs w:val="28"/>
          <w:highlight w:val="none"/>
        </w:rPr>
        <w:t>、其他资料</w:t>
      </w:r>
    </w:p>
    <w:p>
      <w:pPr>
        <w:outlineLvl w:val="9"/>
        <w:rPr>
          <w:color w:val="000000"/>
          <w:highlight w:val="none"/>
        </w:rPr>
      </w:pPr>
    </w:p>
    <w:p>
      <w:pPr>
        <w:outlineLvl w:val="9"/>
        <w:rPr>
          <w:rFonts w:hint="eastAsia"/>
          <w:color w:val="000000"/>
          <w:highlight w:val="none"/>
          <w:lang w:eastAsia="zh-CN"/>
        </w:rPr>
      </w:pPr>
    </w:p>
    <w:sectPr>
      <w:headerReference r:id="rId14" w:type="default"/>
      <w:footerReference r:id="rId15" w:type="default"/>
      <w:pgSz w:w="11907" w:h="16839"/>
      <w:pgMar w:top="1476" w:right="980" w:bottom="1114" w:left="1051" w:header="1155" w:footer="845"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Yu Gothic UI Light">
    <w:panose1 w:val="020B0300000000000000"/>
    <w:charset w:val="80"/>
    <w:family w:val="auto"/>
    <w:pitch w:val="default"/>
    <w:sig w:usb0="E00002FF" w:usb1="2AC7FDFF" w:usb2="00000016" w:usb3="00000000" w:csb0="2002009F" w:csb1="00000000"/>
  </w:font>
  <w:font w:name="微软雅黑">
    <w:panose1 w:val="020B0503020204020204"/>
    <w:charset w:val="86"/>
    <w:family w:val="swiss"/>
    <w:pitch w:val="default"/>
    <w:sig w:usb0="80000287" w:usb1="2ACF3C50" w:usb2="00000016" w:usb3="00000000" w:csb0="0004001F" w:csb1="00000000"/>
  </w:font>
  <w:font w:name="MingLiU-ExtB">
    <w:panose1 w:val="02020500000000000000"/>
    <w:charset w:val="88"/>
    <w:family w:val="auto"/>
    <w:pitch w:val="default"/>
    <w:sig w:usb0="8000002F" w:usb1="02000008" w:usb2="00000000" w:usb3="00000000" w:csb0="00100001"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
    <w:altName w:val="Times New Roman"/>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596"/>
      <w:rPr>
        <w:rFonts w:ascii="Times New Roman" w:hAnsi="Times New Roman" w:eastAsia="Times New Roman"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lang w:val="en-US"/>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val="en-US" w:eastAsia="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537"/>
      <w:rPr>
        <w:rFonts w:ascii="仿宋" w:hAnsi="仿宋" w:eastAsia="仿宋" w:cs="仿宋"/>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537"/>
      <w:rPr>
        <w:rFonts w:ascii="仿宋" w:hAnsi="仿宋" w:eastAsia="仿宋" w:cs="仿宋"/>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72" w:line="195" w:lineRule="auto"/>
      <w:ind w:left="4728"/>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37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single" w:color="auto" w:sz="4" w:space="1"/>
      </w:pBdr>
    </w:pPr>
    <w:r>
      <w:rPr>
        <w:rFonts w:hint="eastAsia"/>
        <w:lang w:val="en-US" w:eastAsia="zh-CN"/>
      </w:rPr>
      <w:t>唐河县环境卫生服务中心关于对东区环卫作业服务项目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single" w:color="auto" w:sz="4" w:space="1"/>
      </w:pBdr>
    </w:pPr>
    <w:r>
      <w:rPr>
        <w:rFonts w:hint="eastAsia"/>
        <w:lang w:val="en-US" w:eastAsia="zh-CN"/>
      </w:rPr>
      <w:t>唐河县环境卫生服务中心关于对东区环卫作业服务项目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single" w:color="auto" w:sz="4" w:space="1"/>
      </w:pBdr>
      <w:rPr>
        <w:rFonts w:hint="eastAsia"/>
        <w:lang w:val="en-US" w:eastAsia="zh-CN"/>
      </w:rPr>
    </w:pPr>
    <w:r>
      <w:rPr>
        <w:rFonts w:hint="eastAsia"/>
        <w:lang w:val="en-US" w:eastAsia="zh-CN"/>
      </w:rPr>
      <w:t>唐河县环境卫生服务中心关于对东区环卫作业服务项目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single" w:color="auto" w:sz="4" w:space="1"/>
      </w:pBdr>
    </w:pPr>
    <w:r>
      <w:rPr>
        <w:rFonts w:hint="eastAsia"/>
        <w:lang w:val="en-US" w:eastAsia="zh-CN"/>
      </w:rPr>
      <w:t>唐河县环境卫生服务中心关于对东区环卫作业服务项目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29ADDA"/>
    <w:multiLevelType w:val="singleLevel"/>
    <w:tmpl w:val="B229ADDA"/>
    <w:lvl w:ilvl="0" w:tentative="0">
      <w:start w:val="4"/>
      <w:numFmt w:val="chineseCounting"/>
      <w:suff w:val="space"/>
      <w:lvlText w:val="第%1部分"/>
      <w:lvlJc w:val="left"/>
      <w:rPr>
        <w:rFonts w:hint="eastAsia"/>
      </w:rPr>
    </w:lvl>
  </w:abstractNum>
  <w:abstractNum w:abstractNumId="1">
    <w:nsid w:val="55D8CA0E"/>
    <w:multiLevelType w:val="singleLevel"/>
    <w:tmpl w:val="55D8CA0E"/>
    <w:lvl w:ilvl="0" w:tentative="0">
      <w:start w:val="2"/>
      <w:numFmt w:val="decimal"/>
      <w:suff w:val="nothing"/>
      <w:lvlText w:val="%1、"/>
      <w:lvlJc w:val="left"/>
    </w:lvl>
  </w:abstractNum>
  <w:abstractNum w:abstractNumId="2">
    <w:nsid w:val="60E696DE"/>
    <w:multiLevelType w:val="singleLevel"/>
    <w:tmpl w:val="60E696DE"/>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hdrShapeDefaults>
    <o:shapelayout v:ext="edit">
      <o:idmap v:ext="edit" data="7"/>
    </o:shapelayout>
  </w:hdrShapeDefaults>
  <w:compat>
    <w:spaceForUL/>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czMTA0YjkyNjU3NzQxZWM1ZTM4MzUzMjE4ZDUwMTgifQ=="/>
  </w:docVars>
  <w:rsids>
    <w:rsidRoot w:val="00D338C7"/>
    <w:rsid w:val="00022BA0"/>
    <w:rsid w:val="0004448B"/>
    <w:rsid w:val="00050194"/>
    <w:rsid w:val="00053090"/>
    <w:rsid w:val="00066EBC"/>
    <w:rsid w:val="000730AF"/>
    <w:rsid w:val="00092E79"/>
    <w:rsid w:val="000A0550"/>
    <w:rsid w:val="000C1D84"/>
    <w:rsid w:val="00106B90"/>
    <w:rsid w:val="0014157B"/>
    <w:rsid w:val="001B5BD7"/>
    <w:rsid w:val="001D7F67"/>
    <w:rsid w:val="002869C7"/>
    <w:rsid w:val="00297E43"/>
    <w:rsid w:val="002E3803"/>
    <w:rsid w:val="00301DA3"/>
    <w:rsid w:val="0035574D"/>
    <w:rsid w:val="003659BE"/>
    <w:rsid w:val="00384B9C"/>
    <w:rsid w:val="003D7E65"/>
    <w:rsid w:val="003F33A1"/>
    <w:rsid w:val="004026DC"/>
    <w:rsid w:val="00415731"/>
    <w:rsid w:val="004431E4"/>
    <w:rsid w:val="00452340"/>
    <w:rsid w:val="004B69A7"/>
    <w:rsid w:val="005655DE"/>
    <w:rsid w:val="005B4887"/>
    <w:rsid w:val="005C0441"/>
    <w:rsid w:val="005E4DA5"/>
    <w:rsid w:val="006232FE"/>
    <w:rsid w:val="006240E1"/>
    <w:rsid w:val="00656955"/>
    <w:rsid w:val="00663039"/>
    <w:rsid w:val="006F2546"/>
    <w:rsid w:val="007078DD"/>
    <w:rsid w:val="00733264"/>
    <w:rsid w:val="00804B7B"/>
    <w:rsid w:val="00852BA5"/>
    <w:rsid w:val="00862167"/>
    <w:rsid w:val="0086394B"/>
    <w:rsid w:val="00872711"/>
    <w:rsid w:val="00887C76"/>
    <w:rsid w:val="008D0156"/>
    <w:rsid w:val="0094465D"/>
    <w:rsid w:val="00952A4D"/>
    <w:rsid w:val="00963A15"/>
    <w:rsid w:val="00970099"/>
    <w:rsid w:val="0097673D"/>
    <w:rsid w:val="009E70F5"/>
    <w:rsid w:val="00A07604"/>
    <w:rsid w:val="00A42031"/>
    <w:rsid w:val="00AB05F6"/>
    <w:rsid w:val="00AB589F"/>
    <w:rsid w:val="00B35DE0"/>
    <w:rsid w:val="00B81B4E"/>
    <w:rsid w:val="00C656BD"/>
    <w:rsid w:val="00CC3828"/>
    <w:rsid w:val="00CC5788"/>
    <w:rsid w:val="00CE4BC2"/>
    <w:rsid w:val="00D10B55"/>
    <w:rsid w:val="00D12FA9"/>
    <w:rsid w:val="00D338C7"/>
    <w:rsid w:val="00D670F7"/>
    <w:rsid w:val="00D96AD7"/>
    <w:rsid w:val="00DA246D"/>
    <w:rsid w:val="00E476FC"/>
    <w:rsid w:val="00E64236"/>
    <w:rsid w:val="00E64B6E"/>
    <w:rsid w:val="00E72182"/>
    <w:rsid w:val="00F35AAE"/>
    <w:rsid w:val="00F878FF"/>
    <w:rsid w:val="00FF56BA"/>
    <w:rsid w:val="00FF6ED5"/>
    <w:rsid w:val="011A24F4"/>
    <w:rsid w:val="014B48DF"/>
    <w:rsid w:val="01C052F5"/>
    <w:rsid w:val="02055F08"/>
    <w:rsid w:val="0224362A"/>
    <w:rsid w:val="022C33BC"/>
    <w:rsid w:val="024B6E08"/>
    <w:rsid w:val="02685C0C"/>
    <w:rsid w:val="0274748E"/>
    <w:rsid w:val="02BC1AB4"/>
    <w:rsid w:val="0322657D"/>
    <w:rsid w:val="0332621A"/>
    <w:rsid w:val="036A2159"/>
    <w:rsid w:val="03B31109"/>
    <w:rsid w:val="040A684F"/>
    <w:rsid w:val="042B43AB"/>
    <w:rsid w:val="049525BD"/>
    <w:rsid w:val="049B2465"/>
    <w:rsid w:val="04C410F4"/>
    <w:rsid w:val="051A08DE"/>
    <w:rsid w:val="051D3FFE"/>
    <w:rsid w:val="05281683"/>
    <w:rsid w:val="0539563E"/>
    <w:rsid w:val="054A15F9"/>
    <w:rsid w:val="054F4D36"/>
    <w:rsid w:val="05B66197"/>
    <w:rsid w:val="06175254"/>
    <w:rsid w:val="06840B3B"/>
    <w:rsid w:val="06D3561E"/>
    <w:rsid w:val="06D506D9"/>
    <w:rsid w:val="06FC2DC7"/>
    <w:rsid w:val="073F2CB4"/>
    <w:rsid w:val="0786239F"/>
    <w:rsid w:val="078D7EC3"/>
    <w:rsid w:val="079762E5"/>
    <w:rsid w:val="07F7533D"/>
    <w:rsid w:val="0828199A"/>
    <w:rsid w:val="08536A17"/>
    <w:rsid w:val="086230FE"/>
    <w:rsid w:val="089E3A0A"/>
    <w:rsid w:val="08A13C26"/>
    <w:rsid w:val="08AC25CB"/>
    <w:rsid w:val="08B24B37"/>
    <w:rsid w:val="08F875BE"/>
    <w:rsid w:val="09447812"/>
    <w:rsid w:val="096B4234"/>
    <w:rsid w:val="098456E1"/>
    <w:rsid w:val="099611F2"/>
    <w:rsid w:val="09B47989"/>
    <w:rsid w:val="09C95A46"/>
    <w:rsid w:val="09FF7D5E"/>
    <w:rsid w:val="0A02718E"/>
    <w:rsid w:val="0A110938"/>
    <w:rsid w:val="0A2D72B4"/>
    <w:rsid w:val="0AD656DD"/>
    <w:rsid w:val="0AFA13CC"/>
    <w:rsid w:val="0B1A381C"/>
    <w:rsid w:val="0B1E1CA6"/>
    <w:rsid w:val="0B1F0E32"/>
    <w:rsid w:val="0BB643CC"/>
    <w:rsid w:val="0BED0F30"/>
    <w:rsid w:val="0BF00A21"/>
    <w:rsid w:val="0C0E410A"/>
    <w:rsid w:val="0C60185B"/>
    <w:rsid w:val="0C7303D5"/>
    <w:rsid w:val="0CB87790"/>
    <w:rsid w:val="0CC04897"/>
    <w:rsid w:val="0CC07D4B"/>
    <w:rsid w:val="0D101EA1"/>
    <w:rsid w:val="0DA1436D"/>
    <w:rsid w:val="0E09014F"/>
    <w:rsid w:val="0E534525"/>
    <w:rsid w:val="0E5F31A1"/>
    <w:rsid w:val="0E6770D4"/>
    <w:rsid w:val="0E851528"/>
    <w:rsid w:val="0EB55CAD"/>
    <w:rsid w:val="0ECD6DF7"/>
    <w:rsid w:val="0F3D3F7D"/>
    <w:rsid w:val="0F8C280E"/>
    <w:rsid w:val="0F9A13CF"/>
    <w:rsid w:val="0FA66E92"/>
    <w:rsid w:val="0FFA40C8"/>
    <w:rsid w:val="10042CED"/>
    <w:rsid w:val="100B5E29"/>
    <w:rsid w:val="1082402E"/>
    <w:rsid w:val="10DB00FA"/>
    <w:rsid w:val="11A52C52"/>
    <w:rsid w:val="11AA26F8"/>
    <w:rsid w:val="11EB4A57"/>
    <w:rsid w:val="12B27DE5"/>
    <w:rsid w:val="12BE7183"/>
    <w:rsid w:val="12EA4EB3"/>
    <w:rsid w:val="13086650"/>
    <w:rsid w:val="131B7216"/>
    <w:rsid w:val="132D5FE0"/>
    <w:rsid w:val="13433B2C"/>
    <w:rsid w:val="13A66C4F"/>
    <w:rsid w:val="13A879AD"/>
    <w:rsid w:val="13D419F1"/>
    <w:rsid w:val="13D50C28"/>
    <w:rsid w:val="13F15AF0"/>
    <w:rsid w:val="14157276"/>
    <w:rsid w:val="14465682"/>
    <w:rsid w:val="14B051F1"/>
    <w:rsid w:val="15035D08"/>
    <w:rsid w:val="154A73F4"/>
    <w:rsid w:val="156906A4"/>
    <w:rsid w:val="156965FF"/>
    <w:rsid w:val="157136E6"/>
    <w:rsid w:val="157C49A6"/>
    <w:rsid w:val="158C17BA"/>
    <w:rsid w:val="15C745A0"/>
    <w:rsid w:val="16166C9E"/>
    <w:rsid w:val="161C2A95"/>
    <w:rsid w:val="162639BD"/>
    <w:rsid w:val="16976668"/>
    <w:rsid w:val="16A76A2D"/>
    <w:rsid w:val="16BE143E"/>
    <w:rsid w:val="17225136"/>
    <w:rsid w:val="175C2FFC"/>
    <w:rsid w:val="17777A03"/>
    <w:rsid w:val="18391B2C"/>
    <w:rsid w:val="18506ACF"/>
    <w:rsid w:val="18552337"/>
    <w:rsid w:val="18603BAC"/>
    <w:rsid w:val="18615571"/>
    <w:rsid w:val="1880365D"/>
    <w:rsid w:val="18842C1C"/>
    <w:rsid w:val="189B028B"/>
    <w:rsid w:val="18AE37F5"/>
    <w:rsid w:val="18BF3C55"/>
    <w:rsid w:val="19063273"/>
    <w:rsid w:val="19070FC5"/>
    <w:rsid w:val="190D676E"/>
    <w:rsid w:val="19257F5C"/>
    <w:rsid w:val="19550115"/>
    <w:rsid w:val="19606E0E"/>
    <w:rsid w:val="19AE2A71"/>
    <w:rsid w:val="19B27315"/>
    <w:rsid w:val="1A1B310D"/>
    <w:rsid w:val="1A570927"/>
    <w:rsid w:val="1A5F57B3"/>
    <w:rsid w:val="1A951111"/>
    <w:rsid w:val="1A994656"/>
    <w:rsid w:val="1ADD03C2"/>
    <w:rsid w:val="1B0E2C71"/>
    <w:rsid w:val="1B3426D8"/>
    <w:rsid w:val="1BFE3FAE"/>
    <w:rsid w:val="1C3C6048"/>
    <w:rsid w:val="1CC45CDD"/>
    <w:rsid w:val="1CED6E24"/>
    <w:rsid w:val="1CEE68B6"/>
    <w:rsid w:val="1D713331"/>
    <w:rsid w:val="1D743260"/>
    <w:rsid w:val="1D9531D6"/>
    <w:rsid w:val="1DEA3522"/>
    <w:rsid w:val="1E047C52"/>
    <w:rsid w:val="1E0A13E9"/>
    <w:rsid w:val="1E343E2C"/>
    <w:rsid w:val="1E3F47A1"/>
    <w:rsid w:val="1E503043"/>
    <w:rsid w:val="1E551145"/>
    <w:rsid w:val="1E5E03A2"/>
    <w:rsid w:val="1E885A3B"/>
    <w:rsid w:val="1EC00414"/>
    <w:rsid w:val="1F0A1D41"/>
    <w:rsid w:val="1F1D69EF"/>
    <w:rsid w:val="1F5305DE"/>
    <w:rsid w:val="1F5B02B2"/>
    <w:rsid w:val="1F844BF7"/>
    <w:rsid w:val="1F947BE9"/>
    <w:rsid w:val="1F9C4CF0"/>
    <w:rsid w:val="1FA33D7E"/>
    <w:rsid w:val="1FBB33C8"/>
    <w:rsid w:val="1FC55FF4"/>
    <w:rsid w:val="1FC63FA6"/>
    <w:rsid w:val="1FE032D1"/>
    <w:rsid w:val="1FE303D9"/>
    <w:rsid w:val="1FE55012"/>
    <w:rsid w:val="20102AB4"/>
    <w:rsid w:val="202A0302"/>
    <w:rsid w:val="203B1E13"/>
    <w:rsid w:val="208337BA"/>
    <w:rsid w:val="21090163"/>
    <w:rsid w:val="213A06E6"/>
    <w:rsid w:val="21FF0F4E"/>
    <w:rsid w:val="220B1557"/>
    <w:rsid w:val="22152C0C"/>
    <w:rsid w:val="2224589A"/>
    <w:rsid w:val="222B5EB7"/>
    <w:rsid w:val="224376A4"/>
    <w:rsid w:val="2298179E"/>
    <w:rsid w:val="22A06F82"/>
    <w:rsid w:val="22CD6F6E"/>
    <w:rsid w:val="22D14CB0"/>
    <w:rsid w:val="22F56C5B"/>
    <w:rsid w:val="237A543E"/>
    <w:rsid w:val="237F0633"/>
    <w:rsid w:val="23A36D18"/>
    <w:rsid w:val="23B343B6"/>
    <w:rsid w:val="23C86237"/>
    <w:rsid w:val="23E40A13"/>
    <w:rsid w:val="23E56F43"/>
    <w:rsid w:val="23EE6948"/>
    <w:rsid w:val="24175A7C"/>
    <w:rsid w:val="241E3F25"/>
    <w:rsid w:val="247423AA"/>
    <w:rsid w:val="250A26FB"/>
    <w:rsid w:val="2572620D"/>
    <w:rsid w:val="25BF16E7"/>
    <w:rsid w:val="25E92311"/>
    <w:rsid w:val="261A696E"/>
    <w:rsid w:val="261F5D33"/>
    <w:rsid w:val="265C6F87"/>
    <w:rsid w:val="26946721"/>
    <w:rsid w:val="26BB1EFF"/>
    <w:rsid w:val="2762237B"/>
    <w:rsid w:val="276500BD"/>
    <w:rsid w:val="276B56D3"/>
    <w:rsid w:val="27E514A2"/>
    <w:rsid w:val="280E378E"/>
    <w:rsid w:val="28435434"/>
    <w:rsid w:val="28596E8D"/>
    <w:rsid w:val="285A74F6"/>
    <w:rsid w:val="286A6E9E"/>
    <w:rsid w:val="287A7C91"/>
    <w:rsid w:val="28867AA2"/>
    <w:rsid w:val="28A075FF"/>
    <w:rsid w:val="28CB7D5C"/>
    <w:rsid w:val="28EA6ACC"/>
    <w:rsid w:val="294302BA"/>
    <w:rsid w:val="29994F05"/>
    <w:rsid w:val="29A55926"/>
    <w:rsid w:val="29B87702"/>
    <w:rsid w:val="29ED3679"/>
    <w:rsid w:val="29F210CD"/>
    <w:rsid w:val="2A7A3E7F"/>
    <w:rsid w:val="2A7A6258"/>
    <w:rsid w:val="2A946CEF"/>
    <w:rsid w:val="2AD43590"/>
    <w:rsid w:val="2AD56942"/>
    <w:rsid w:val="2B08148B"/>
    <w:rsid w:val="2B373B1E"/>
    <w:rsid w:val="2B541D59"/>
    <w:rsid w:val="2BB26D03"/>
    <w:rsid w:val="2BC301B3"/>
    <w:rsid w:val="2BDD0222"/>
    <w:rsid w:val="2BF47AC9"/>
    <w:rsid w:val="2C132BB5"/>
    <w:rsid w:val="2C586DD5"/>
    <w:rsid w:val="2C934ED2"/>
    <w:rsid w:val="2C9A4365"/>
    <w:rsid w:val="2CCE4F1F"/>
    <w:rsid w:val="2CFE48F4"/>
    <w:rsid w:val="2D1C652E"/>
    <w:rsid w:val="2DCC2C44"/>
    <w:rsid w:val="2DF476EC"/>
    <w:rsid w:val="2DF47AA5"/>
    <w:rsid w:val="2E85094C"/>
    <w:rsid w:val="2E86585F"/>
    <w:rsid w:val="2E9077CD"/>
    <w:rsid w:val="2F26688E"/>
    <w:rsid w:val="2F2F5238"/>
    <w:rsid w:val="2F7F046E"/>
    <w:rsid w:val="2F857B57"/>
    <w:rsid w:val="2F8D330A"/>
    <w:rsid w:val="2FCE6659"/>
    <w:rsid w:val="2FF65D56"/>
    <w:rsid w:val="2FFB15BE"/>
    <w:rsid w:val="301A5EE8"/>
    <w:rsid w:val="302F442C"/>
    <w:rsid w:val="30703D5A"/>
    <w:rsid w:val="30911F89"/>
    <w:rsid w:val="30D77936"/>
    <w:rsid w:val="30FF50DE"/>
    <w:rsid w:val="31061FC9"/>
    <w:rsid w:val="31067C7A"/>
    <w:rsid w:val="31126BC0"/>
    <w:rsid w:val="31305298"/>
    <w:rsid w:val="313B7B9E"/>
    <w:rsid w:val="313E0EC8"/>
    <w:rsid w:val="317B30D3"/>
    <w:rsid w:val="318F411A"/>
    <w:rsid w:val="32056724"/>
    <w:rsid w:val="32432DA9"/>
    <w:rsid w:val="324803BF"/>
    <w:rsid w:val="3291620A"/>
    <w:rsid w:val="32BC7515"/>
    <w:rsid w:val="32CE4D68"/>
    <w:rsid w:val="32D237BB"/>
    <w:rsid w:val="3350577D"/>
    <w:rsid w:val="339C6C14"/>
    <w:rsid w:val="340842AA"/>
    <w:rsid w:val="341510AC"/>
    <w:rsid w:val="341D4E49"/>
    <w:rsid w:val="343B467F"/>
    <w:rsid w:val="345614B9"/>
    <w:rsid w:val="34DA79F4"/>
    <w:rsid w:val="352D68EF"/>
    <w:rsid w:val="354F3EEC"/>
    <w:rsid w:val="35A02439"/>
    <w:rsid w:val="361726E3"/>
    <w:rsid w:val="36260A17"/>
    <w:rsid w:val="364332E7"/>
    <w:rsid w:val="365D7A7F"/>
    <w:rsid w:val="36BD4F1A"/>
    <w:rsid w:val="36D6690A"/>
    <w:rsid w:val="36DA1356"/>
    <w:rsid w:val="37377380"/>
    <w:rsid w:val="3747215A"/>
    <w:rsid w:val="374D6BA3"/>
    <w:rsid w:val="375170C8"/>
    <w:rsid w:val="37737C8C"/>
    <w:rsid w:val="37A34A15"/>
    <w:rsid w:val="37C14E9C"/>
    <w:rsid w:val="380E33E3"/>
    <w:rsid w:val="386A72E1"/>
    <w:rsid w:val="388859B9"/>
    <w:rsid w:val="38B4055C"/>
    <w:rsid w:val="38C20ECB"/>
    <w:rsid w:val="38CA7D80"/>
    <w:rsid w:val="39211C6F"/>
    <w:rsid w:val="393E7EB5"/>
    <w:rsid w:val="39544AFE"/>
    <w:rsid w:val="396711E1"/>
    <w:rsid w:val="396E1053"/>
    <w:rsid w:val="398512D2"/>
    <w:rsid w:val="398C1968"/>
    <w:rsid w:val="39B21C33"/>
    <w:rsid w:val="39ED1F78"/>
    <w:rsid w:val="39FC4F8E"/>
    <w:rsid w:val="3A130856"/>
    <w:rsid w:val="3A5B15D7"/>
    <w:rsid w:val="3A60099C"/>
    <w:rsid w:val="3AAD56C8"/>
    <w:rsid w:val="3AF465A2"/>
    <w:rsid w:val="3B0D711A"/>
    <w:rsid w:val="3B190B4B"/>
    <w:rsid w:val="3B221DD1"/>
    <w:rsid w:val="3BAC26AF"/>
    <w:rsid w:val="3BB15227"/>
    <w:rsid w:val="3BE24053"/>
    <w:rsid w:val="3BE70C49"/>
    <w:rsid w:val="3C2B322B"/>
    <w:rsid w:val="3C410359"/>
    <w:rsid w:val="3C607499"/>
    <w:rsid w:val="3C9708C1"/>
    <w:rsid w:val="3CE533DA"/>
    <w:rsid w:val="3D3724B1"/>
    <w:rsid w:val="3D65276D"/>
    <w:rsid w:val="3DCC6348"/>
    <w:rsid w:val="3DFC6C2D"/>
    <w:rsid w:val="3EC139D3"/>
    <w:rsid w:val="3EDA6843"/>
    <w:rsid w:val="3F2D2E17"/>
    <w:rsid w:val="3F6E5909"/>
    <w:rsid w:val="3F84512C"/>
    <w:rsid w:val="3F9E6F51"/>
    <w:rsid w:val="3FDF7BBB"/>
    <w:rsid w:val="404B17A6"/>
    <w:rsid w:val="40583DB1"/>
    <w:rsid w:val="409574DC"/>
    <w:rsid w:val="40975AFC"/>
    <w:rsid w:val="40A321B1"/>
    <w:rsid w:val="40E5653B"/>
    <w:rsid w:val="40E90FBF"/>
    <w:rsid w:val="40ED4F53"/>
    <w:rsid w:val="40F6645A"/>
    <w:rsid w:val="41390524"/>
    <w:rsid w:val="418331C2"/>
    <w:rsid w:val="41847C9A"/>
    <w:rsid w:val="418807D8"/>
    <w:rsid w:val="41CF4659"/>
    <w:rsid w:val="41D508BF"/>
    <w:rsid w:val="41EA124C"/>
    <w:rsid w:val="41F071EA"/>
    <w:rsid w:val="41F80CEB"/>
    <w:rsid w:val="41FE3669"/>
    <w:rsid w:val="42100A2E"/>
    <w:rsid w:val="425F3C2F"/>
    <w:rsid w:val="42A87078"/>
    <w:rsid w:val="42BB36CA"/>
    <w:rsid w:val="431D60E7"/>
    <w:rsid w:val="432151A6"/>
    <w:rsid w:val="432664FB"/>
    <w:rsid w:val="43331C01"/>
    <w:rsid w:val="434626F9"/>
    <w:rsid w:val="441652D8"/>
    <w:rsid w:val="44411F65"/>
    <w:rsid w:val="445E5395"/>
    <w:rsid w:val="44775260"/>
    <w:rsid w:val="44D46FCB"/>
    <w:rsid w:val="44F7014F"/>
    <w:rsid w:val="45146224"/>
    <w:rsid w:val="45356EC9"/>
    <w:rsid w:val="456338DB"/>
    <w:rsid w:val="45D12891"/>
    <w:rsid w:val="45E713DD"/>
    <w:rsid w:val="460C3316"/>
    <w:rsid w:val="46205483"/>
    <w:rsid w:val="46307B3F"/>
    <w:rsid w:val="46BD0F24"/>
    <w:rsid w:val="46D46C6F"/>
    <w:rsid w:val="46DA3884"/>
    <w:rsid w:val="471F1BDF"/>
    <w:rsid w:val="479A3013"/>
    <w:rsid w:val="47AB7B1C"/>
    <w:rsid w:val="47F34719"/>
    <w:rsid w:val="484216E1"/>
    <w:rsid w:val="485F17BD"/>
    <w:rsid w:val="488717E9"/>
    <w:rsid w:val="48E46C3C"/>
    <w:rsid w:val="490948F4"/>
    <w:rsid w:val="49184B37"/>
    <w:rsid w:val="492B03C7"/>
    <w:rsid w:val="495B45F8"/>
    <w:rsid w:val="4A0A4F6C"/>
    <w:rsid w:val="4A282B58"/>
    <w:rsid w:val="4A5B4CDC"/>
    <w:rsid w:val="4A62606A"/>
    <w:rsid w:val="4A69389D"/>
    <w:rsid w:val="4A993A56"/>
    <w:rsid w:val="4A9D52F4"/>
    <w:rsid w:val="4B1F5D09"/>
    <w:rsid w:val="4B904E59"/>
    <w:rsid w:val="4B95246F"/>
    <w:rsid w:val="4BC30D8B"/>
    <w:rsid w:val="4BDF193C"/>
    <w:rsid w:val="4C0C1A18"/>
    <w:rsid w:val="4C502C78"/>
    <w:rsid w:val="4C971E6C"/>
    <w:rsid w:val="4CB91F68"/>
    <w:rsid w:val="4CE4545C"/>
    <w:rsid w:val="4D225F85"/>
    <w:rsid w:val="4D2D62EB"/>
    <w:rsid w:val="4DB7491F"/>
    <w:rsid w:val="4E121B55"/>
    <w:rsid w:val="4E241889"/>
    <w:rsid w:val="4E353A96"/>
    <w:rsid w:val="4E577EB0"/>
    <w:rsid w:val="4E807407"/>
    <w:rsid w:val="4ECF2AAF"/>
    <w:rsid w:val="4ED35788"/>
    <w:rsid w:val="4EDB660F"/>
    <w:rsid w:val="4F005E52"/>
    <w:rsid w:val="4F196F13"/>
    <w:rsid w:val="4F2935FA"/>
    <w:rsid w:val="4F4641AC"/>
    <w:rsid w:val="4F973207"/>
    <w:rsid w:val="4F980780"/>
    <w:rsid w:val="4FC57BED"/>
    <w:rsid w:val="4FEB4D54"/>
    <w:rsid w:val="4FEE4921"/>
    <w:rsid w:val="506D7517"/>
    <w:rsid w:val="50BF0641"/>
    <w:rsid w:val="514F4E6E"/>
    <w:rsid w:val="516528E4"/>
    <w:rsid w:val="516C3C72"/>
    <w:rsid w:val="517639BB"/>
    <w:rsid w:val="51790966"/>
    <w:rsid w:val="51CA735E"/>
    <w:rsid w:val="51FC2152"/>
    <w:rsid w:val="52020133"/>
    <w:rsid w:val="52A55715"/>
    <w:rsid w:val="52BD773B"/>
    <w:rsid w:val="52D71D07"/>
    <w:rsid w:val="53473D49"/>
    <w:rsid w:val="535A6478"/>
    <w:rsid w:val="53DF072C"/>
    <w:rsid w:val="53E65947"/>
    <w:rsid w:val="53F2673F"/>
    <w:rsid w:val="542A128E"/>
    <w:rsid w:val="544D2729"/>
    <w:rsid w:val="545509EE"/>
    <w:rsid w:val="547A66A6"/>
    <w:rsid w:val="54B06C17"/>
    <w:rsid w:val="54D04518"/>
    <w:rsid w:val="55110DB9"/>
    <w:rsid w:val="5537454C"/>
    <w:rsid w:val="55A0643C"/>
    <w:rsid w:val="55D740AB"/>
    <w:rsid w:val="56220DA3"/>
    <w:rsid w:val="56463E1B"/>
    <w:rsid w:val="567477CB"/>
    <w:rsid w:val="568D3B12"/>
    <w:rsid w:val="568E01E7"/>
    <w:rsid w:val="56982E14"/>
    <w:rsid w:val="56BA5480"/>
    <w:rsid w:val="56BA722E"/>
    <w:rsid w:val="56E46059"/>
    <w:rsid w:val="574D67C4"/>
    <w:rsid w:val="575024A4"/>
    <w:rsid w:val="57633422"/>
    <w:rsid w:val="577B69BD"/>
    <w:rsid w:val="57935037"/>
    <w:rsid w:val="57A4443B"/>
    <w:rsid w:val="57B0552D"/>
    <w:rsid w:val="57F32908"/>
    <w:rsid w:val="58675193"/>
    <w:rsid w:val="58D1558C"/>
    <w:rsid w:val="58F24A5D"/>
    <w:rsid w:val="5972081E"/>
    <w:rsid w:val="59992442"/>
    <w:rsid w:val="59C3464B"/>
    <w:rsid w:val="5A137381"/>
    <w:rsid w:val="5A2055FA"/>
    <w:rsid w:val="5A382944"/>
    <w:rsid w:val="5A4B6F43"/>
    <w:rsid w:val="5A64198B"/>
    <w:rsid w:val="5A6F1F67"/>
    <w:rsid w:val="5AA47504"/>
    <w:rsid w:val="5BB73D3C"/>
    <w:rsid w:val="5C2C64D8"/>
    <w:rsid w:val="5C642AF9"/>
    <w:rsid w:val="5C664015"/>
    <w:rsid w:val="5C9A78E6"/>
    <w:rsid w:val="5CA97F1F"/>
    <w:rsid w:val="5CDB5D57"/>
    <w:rsid w:val="5D0D455B"/>
    <w:rsid w:val="5D215911"/>
    <w:rsid w:val="5D2E6280"/>
    <w:rsid w:val="5D38322E"/>
    <w:rsid w:val="5D3B014C"/>
    <w:rsid w:val="5D5E6B65"/>
    <w:rsid w:val="5D635E8F"/>
    <w:rsid w:val="5D6A5FFB"/>
    <w:rsid w:val="5D6D4FFA"/>
    <w:rsid w:val="5D891708"/>
    <w:rsid w:val="5DC67F05"/>
    <w:rsid w:val="5DE352BC"/>
    <w:rsid w:val="5E015742"/>
    <w:rsid w:val="5E176D14"/>
    <w:rsid w:val="5E3D1179"/>
    <w:rsid w:val="5E914D18"/>
    <w:rsid w:val="5EB427B5"/>
    <w:rsid w:val="5EE510C5"/>
    <w:rsid w:val="5F0B24F8"/>
    <w:rsid w:val="5F4678B1"/>
    <w:rsid w:val="5F750196"/>
    <w:rsid w:val="5FD56505"/>
    <w:rsid w:val="60011A1B"/>
    <w:rsid w:val="604A517F"/>
    <w:rsid w:val="60536729"/>
    <w:rsid w:val="608C69D4"/>
    <w:rsid w:val="60A46E3F"/>
    <w:rsid w:val="60E07891"/>
    <w:rsid w:val="618D3A73"/>
    <w:rsid w:val="61A84853"/>
    <w:rsid w:val="61E76E94"/>
    <w:rsid w:val="61E810F3"/>
    <w:rsid w:val="623513FD"/>
    <w:rsid w:val="62E2045A"/>
    <w:rsid w:val="62E9687D"/>
    <w:rsid w:val="634B193A"/>
    <w:rsid w:val="637C0A05"/>
    <w:rsid w:val="63844E4C"/>
    <w:rsid w:val="63B81E84"/>
    <w:rsid w:val="63BE035D"/>
    <w:rsid w:val="644A1E02"/>
    <w:rsid w:val="648275DD"/>
    <w:rsid w:val="64850E7B"/>
    <w:rsid w:val="649E3CEB"/>
    <w:rsid w:val="64C97EA0"/>
    <w:rsid w:val="64E738E4"/>
    <w:rsid w:val="64F3053C"/>
    <w:rsid w:val="653F75C9"/>
    <w:rsid w:val="65744A4C"/>
    <w:rsid w:val="65841133"/>
    <w:rsid w:val="65BA5A0A"/>
    <w:rsid w:val="65C94D98"/>
    <w:rsid w:val="65E10333"/>
    <w:rsid w:val="6618187B"/>
    <w:rsid w:val="66650F64"/>
    <w:rsid w:val="66DC0AFB"/>
    <w:rsid w:val="66EC51E2"/>
    <w:rsid w:val="66FE6CC3"/>
    <w:rsid w:val="67E11B40"/>
    <w:rsid w:val="68071BA7"/>
    <w:rsid w:val="68686AEA"/>
    <w:rsid w:val="68B910F3"/>
    <w:rsid w:val="68ED3493"/>
    <w:rsid w:val="690031C6"/>
    <w:rsid w:val="69057E47"/>
    <w:rsid w:val="69117181"/>
    <w:rsid w:val="691B3B5C"/>
    <w:rsid w:val="692C7B17"/>
    <w:rsid w:val="69E5416A"/>
    <w:rsid w:val="69ED127A"/>
    <w:rsid w:val="6A01794D"/>
    <w:rsid w:val="6A18009C"/>
    <w:rsid w:val="6A1F1065"/>
    <w:rsid w:val="6A492CA3"/>
    <w:rsid w:val="6A6908F7"/>
    <w:rsid w:val="6AA54025"/>
    <w:rsid w:val="6AF6662F"/>
    <w:rsid w:val="6AFF7221"/>
    <w:rsid w:val="6B714433"/>
    <w:rsid w:val="6BD247D5"/>
    <w:rsid w:val="6C950E61"/>
    <w:rsid w:val="6CA9147F"/>
    <w:rsid w:val="6D1A237D"/>
    <w:rsid w:val="6D284A9A"/>
    <w:rsid w:val="6D3F3B91"/>
    <w:rsid w:val="6D4D4500"/>
    <w:rsid w:val="6D667370"/>
    <w:rsid w:val="6D695244"/>
    <w:rsid w:val="6D915A4F"/>
    <w:rsid w:val="6DE74955"/>
    <w:rsid w:val="6E0A1F4F"/>
    <w:rsid w:val="6EB0168B"/>
    <w:rsid w:val="6EC62972"/>
    <w:rsid w:val="6EED5F9B"/>
    <w:rsid w:val="6EFD5AB2"/>
    <w:rsid w:val="6F0D3F47"/>
    <w:rsid w:val="6F467459"/>
    <w:rsid w:val="6F4D6A39"/>
    <w:rsid w:val="6F660530"/>
    <w:rsid w:val="6F9E54E7"/>
    <w:rsid w:val="6FB24AEE"/>
    <w:rsid w:val="701B3393"/>
    <w:rsid w:val="70AA78F9"/>
    <w:rsid w:val="70EF2AF8"/>
    <w:rsid w:val="71257C6E"/>
    <w:rsid w:val="71297D55"/>
    <w:rsid w:val="714D0F18"/>
    <w:rsid w:val="71B66B12"/>
    <w:rsid w:val="72A72905"/>
    <w:rsid w:val="72B312A9"/>
    <w:rsid w:val="72D51C6B"/>
    <w:rsid w:val="73072C8D"/>
    <w:rsid w:val="731C0BFD"/>
    <w:rsid w:val="73246F4A"/>
    <w:rsid w:val="73396F22"/>
    <w:rsid w:val="73441F01"/>
    <w:rsid w:val="737E18B7"/>
    <w:rsid w:val="738A200A"/>
    <w:rsid w:val="73B25680"/>
    <w:rsid w:val="744228E5"/>
    <w:rsid w:val="744410FA"/>
    <w:rsid w:val="746C7962"/>
    <w:rsid w:val="74772D35"/>
    <w:rsid w:val="748D1D46"/>
    <w:rsid w:val="74A0760B"/>
    <w:rsid w:val="74BD4E95"/>
    <w:rsid w:val="74BD640F"/>
    <w:rsid w:val="74C652C4"/>
    <w:rsid w:val="74EF57AE"/>
    <w:rsid w:val="74F160B9"/>
    <w:rsid w:val="74FD1996"/>
    <w:rsid w:val="75004CFB"/>
    <w:rsid w:val="752F553D"/>
    <w:rsid w:val="753233B2"/>
    <w:rsid w:val="764D47D1"/>
    <w:rsid w:val="765E2B78"/>
    <w:rsid w:val="76761A73"/>
    <w:rsid w:val="767E572A"/>
    <w:rsid w:val="76B84D6D"/>
    <w:rsid w:val="76BB072D"/>
    <w:rsid w:val="76D02273"/>
    <w:rsid w:val="771244D7"/>
    <w:rsid w:val="77980A6E"/>
    <w:rsid w:val="77B00E21"/>
    <w:rsid w:val="77B51620"/>
    <w:rsid w:val="77DE2925"/>
    <w:rsid w:val="77E96859"/>
    <w:rsid w:val="77EB5041"/>
    <w:rsid w:val="780D6D66"/>
    <w:rsid w:val="786372CE"/>
    <w:rsid w:val="78955EC2"/>
    <w:rsid w:val="78BC7F16"/>
    <w:rsid w:val="78CA6D92"/>
    <w:rsid w:val="790068CB"/>
    <w:rsid w:val="792F39E5"/>
    <w:rsid w:val="79415437"/>
    <w:rsid w:val="799B77D5"/>
    <w:rsid w:val="79A62764"/>
    <w:rsid w:val="7A2633BA"/>
    <w:rsid w:val="7A6B4218"/>
    <w:rsid w:val="7A974B72"/>
    <w:rsid w:val="7AB25926"/>
    <w:rsid w:val="7AC57DCC"/>
    <w:rsid w:val="7AD26045"/>
    <w:rsid w:val="7AE2097E"/>
    <w:rsid w:val="7B043FDD"/>
    <w:rsid w:val="7B273AA5"/>
    <w:rsid w:val="7B564EC8"/>
    <w:rsid w:val="7BB5015A"/>
    <w:rsid w:val="7CE16A13"/>
    <w:rsid w:val="7CF95B0B"/>
    <w:rsid w:val="7D65637E"/>
    <w:rsid w:val="7D943A85"/>
    <w:rsid w:val="7DB06383"/>
    <w:rsid w:val="7E051A7C"/>
    <w:rsid w:val="7E173C3D"/>
    <w:rsid w:val="7EDC55FB"/>
    <w:rsid w:val="7EE66E5D"/>
    <w:rsid w:val="7EF649F8"/>
    <w:rsid w:val="7F134A7A"/>
    <w:rsid w:val="7F2C1183"/>
    <w:rsid w:val="7F4D7BB8"/>
    <w:rsid w:val="7F8E2E82"/>
    <w:rsid w:val="B7FA08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1"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1"/>
    <w:basedOn w:val="1"/>
    <w:next w:val="1"/>
    <w:autoRedefine/>
    <w:qFormat/>
    <w:uiPriority w:val="0"/>
    <w:pPr>
      <w:keepNext/>
      <w:widowControl/>
      <w:spacing w:line="560" w:lineRule="exact"/>
      <w:ind w:firstLine="640" w:firstLineChars="200"/>
      <w:jc w:val="both"/>
      <w:outlineLvl w:val="0"/>
    </w:pPr>
    <w:rPr>
      <w:rFonts w:ascii="黑体" w:hAnsi="黑体" w:eastAsia="黑体" w:cstheme="minorBidi"/>
      <w:kern w:val="0"/>
      <w:sz w:val="32"/>
      <w:szCs w:val="20"/>
    </w:rPr>
  </w:style>
  <w:style w:type="paragraph" w:styleId="3">
    <w:name w:val="heading 2"/>
    <w:basedOn w:val="1"/>
    <w:next w:val="1"/>
    <w:autoRedefine/>
    <w:qFormat/>
    <w:uiPriority w:val="1"/>
    <w:pPr>
      <w:spacing w:before="55"/>
      <w:jc w:val="center"/>
      <w:outlineLvl w:val="1"/>
    </w:pPr>
    <w:rPr>
      <w:rFonts w:ascii="宋体" w:hAnsi="宋体" w:eastAsia="宋体" w:cs="宋体"/>
      <w:b/>
      <w:bCs/>
      <w:sz w:val="32"/>
      <w:szCs w:val="32"/>
    </w:rPr>
  </w:style>
  <w:style w:type="paragraph" w:styleId="4">
    <w:name w:val="heading 3"/>
    <w:basedOn w:val="1"/>
    <w:next w:val="1"/>
    <w:autoRedefine/>
    <w:unhideWhenUsed/>
    <w:qFormat/>
    <w:uiPriority w:val="9"/>
    <w:pPr>
      <w:keepNext/>
      <w:keepLines/>
      <w:jc w:val="center"/>
      <w:outlineLvl w:val="2"/>
    </w:pPr>
    <w:rPr>
      <w:b/>
      <w:bCs/>
      <w:szCs w:val="32"/>
    </w:rPr>
  </w:style>
  <w:style w:type="character" w:default="1" w:styleId="23">
    <w:name w:val="Default Paragraph Font"/>
    <w:autoRedefine/>
    <w:semiHidden/>
    <w:unhideWhenUsed/>
    <w:qFormat/>
    <w:uiPriority w:val="1"/>
  </w:style>
  <w:style w:type="table" w:default="1" w:styleId="21">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spacing w:line="425" w:lineRule="atLeast"/>
      <w:ind w:firstLine="420" w:firstLineChars="200"/>
    </w:pPr>
    <w:rPr>
      <w:rFonts w:ascii="Times New Roman" w:hAnsi="Times New Roman" w:eastAsia="宋体" w:cs="Times New Roman"/>
      <w:szCs w:val="20"/>
      <w:u w:color="000000"/>
    </w:rPr>
  </w:style>
  <w:style w:type="paragraph" w:styleId="6">
    <w:name w:val="annotation text"/>
    <w:basedOn w:val="1"/>
    <w:autoRedefine/>
    <w:qFormat/>
    <w:uiPriority w:val="0"/>
    <w:pPr>
      <w:jc w:val="left"/>
    </w:pPr>
  </w:style>
  <w:style w:type="paragraph" w:styleId="7">
    <w:name w:val="Body Text"/>
    <w:basedOn w:val="1"/>
    <w:next w:val="8"/>
    <w:autoRedefine/>
    <w:qFormat/>
    <w:uiPriority w:val="1"/>
    <w:rPr>
      <w:rFonts w:ascii="宋体" w:hAnsi="宋体" w:eastAsia="宋体" w:cs="宋体"/>
    </w:rPr>
  </w:style>
  <w:style w:type="paragraph" w:styleId="8">
    <w:name w:val="Body Text 2"/>
    <w:basedOn w:val="1"/>
    <w:autoRedefine/>
    <w:qFormat/>
    <w:uiPriority w:val="0"/>
    <w:pPr>
      <w:suppressAutoHyphens/>
    </w:pPr>
    <w:rPr>
      <w:rFonts w:ascii="Calibri" w:hAnsi="Calibri" w:eastAsia="宋体" w:cs="Times New Roman"/>
      <w:sz w:val="28"/>
      <w:szCs w:val="28"/>
    </w:rPr>
  </w:style>
  <w:style w:type="paragraph" w:styleId="9">
    <w:name w:val="Body Text Indent"/>
    <w:basedOn w:val="1"/>
    <w:next w:val="10"/>
    <w:link w:val="57"/>
    <w:autoRedefine/>
    <w:qFormat/>
    <w:uiPriority w:val="0"/>
    <w:pPr>
      <w:spacing w:after="120"/>
      <w:ind w:left="420" w:leftChars="200"/>
    </w:pPr>
  </w:style>
  <w:style w:type="paragraph" w:styleId="10">
    <w:name w:val="envelope return"/>
    <w:basedOn w:val="1"/>
    <w:autoRedefine/>
    <w:qFormat/>
    <w:uiPriority w:val="0"/>
    <w:pPr>
      <w:snapToGrid w:val="0"/>
    </w:pPr>
    <w:rPr>
      <w:rFonts w:ascii="Arial" w:hAnsi="Arial"/>
    </w:rPr>
  </w:style>
  <w:style w:type="paragraph" w:styleId="11">
    <w:name w:val="index 4"/>
    <w:basedOn w:val="1"/>
    <w:next w:val="1"/>
    <w:autoRedefine/>
    <w:qFormat/>
    <w:uiPriority w:val="0"/>
    <w:pPr>
      <w:spacing w:beforeLines="40" w:afterLines="40" w:line="300" w:lineRule="auto"/>
      <w:ind w:left="600" w:leftChars="600"/>
    </w:pPr>
    <w:rPr>
      <w:rFonts w:ascii="Times New Roman" w:hAnsi="Times New Roman"/>
      <w:sz w:val="24"/>
      <w:szCs w:val="24"/>
    </w:rPr>
  </w:style>
  <w:style w:type="paragraph" w:styleId="12">
    <w:name w:val="toc 3"/>
    <w:basedOn w:val="1"/>
    <w:next w:val="1"/>
    <w:autoRedefine/>
    <w:qFormat/>
    <w:uiPriority w:val="0"/>
    <w:pPr>
      <w:ind w:left="840" w:leftChars="400"/>
    </w:pPr>
  </w:style>
  <w:style w:type="paragraph" w:styleId="13">
    <w:name w:val="footer"/>
    <w:basedOn w:val="1"/>
    <w:autoRedefine/>
    <w:qFormat/>
    <w:uiPriority w:val="0"/>
    <w:pPr>
      <w:tabs>
        <w:tab w:val="center" w:pos="4153"/>
        <w:tab w:val="right" w:pos="8306"/>
      </w:tabs>
    </w:pPr>
    <w:rPr>
      <w:sz w:val="18"/>
    </w:rPr>
  </w:style>
  <w:style w:type="paragraph" w:styleId="1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5">
    <w:name w:val="toc 1"/>
    <w:basedOn w:val="1"/>
    <w:next w:val="1"/>
    <w:autoRedefine/>
    <w:qFormat/>
    <w:uiPriority w:val="0"/>
  </w:style>
  <w:style w:type="paragraph" w:styleId="16">
    <w:name w:val="Subtitle"/>
    <w:basedOn w:val="1"/>
    <w:next w:val="1"/>
    <w:link w:val="59"/>
    <w:autoRedefine/>
    <w:qFormat/>
    <w:uiPriority w:val="0"/>
    <w:pPr>
      <w:widowControl w:val="0"/>
      <w:kinsoku/>
      <w:autoSpaceDE/>
      <w:autoSpaceDN/>
      <w:adjustRightInd/>
      <w:snapToGrid/>
      <w:spacing w:before="240" w:after="60" w:line="312" w:lineRule="auto"/>
      <w:jc w:val="center"/>
      <w:textAlignment w:val="auto"/>
      <w:outlineLvl w:val="1"/>
    </w:pPr>
    <w:rPr>
      <w:rFonts w:ascii="Cambria" w:hAnsi="Cambria" w:eastAsia="宋体" w:cs="Times New Roman"/>
      <w:b/>
      <w:bCs/>
      <w:snapToGrid/>
      <w:color w:val="auto"/>
      <w:kern w:val="28"/>
      <w:sz w:val="32"/>
      <w:szCs w:val="32"/>
    </w:rPr>
  </w:style>
  <w:style w:type="paragraph" w:styleId="17">
    <w:name w:val="toc 2"/>
    <w:basedOn w:val="1"/>
    <w:next w:val="1"/>
    <w:autoRedefine/>
    <w:qFormat/>
    <w:uiPriority w:val="0"/>
    <w:pPr>
      <w:ind w:left="420" w:leftChars="200"/>
    </w:pPr>
  </w:style>
  <w:style w:type="paragraph" w:styleId="18">
    <w:name w:val="Normal (Web)"/>
    <w:basedOn w:val="1"/>
    <w:autoRedefine/>
    <w:qFormat/>
    <w:uiPriority w:val="0"/>
    <w:pPr>
      <w:spacing w:before="100" w:beforeAutospacing="1" w:after="100" w:afterAutospacing="1"/>
    </w:pPr>
    <w:rPr>
      <w:rFonts w:cs="Times New Roman"/>
      <w:sz w:val="24"/>
    </w:rPr>
  </w:style>
  <w:style w:type="paragraph" w:styleId="19">
    <w:name w:val="Body Text First Indent"/>
    <w:basedOn w:val="7"/>
    <w:next w:val="1"/>
    <w:autoRedefine/>
    <w:qFormat/>
    <w:uiPriority w:val="0"/>
    <w:pPr>
      <w:ind w:firstLine="420" w:firstLineChars="100"/>
    </w:pPr>
  </w:style>
  <w:style w:type="paragraph" w:styleId="20">
    <w:name w:val="Body Text First Indent 2"/>
    <w:basedOn w:val="9"/>
    <w:autoRedefine/>
    <w:qFormat/>
    <w:uiPriority w:val="0"/>
    <w:pPr>
      <w:ind w:firstLine="420" w:firstLineChars="200"/>
    </w:p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basedOn w:val="23"/>
    <w:autoRedefine/>
    <w:qFormat/>
    <w:uiPriority w:val="0"/>
  </w:style>
  <w:style w:type="character" w:styleId="25">
    <w:name w:val="page number"/>
    <w:basedOn w:val="23"/>
    <w:autoRedefine/>
    <w:qFormat/>
    <w:uiPriority w:val="0"/>
  </w:style>
  <w:style w:type="character" w:styleId="26">
    <w:name w:val="FollowedHyperlink"/>
    <w:basedOn w:val="23"/>
    <w:autoRedefine/>
    <w:qFormat/>
    <w:uiPriority w:val="0"/>
    <w:rPr>
      <w:color w:val="333333"/>
      <w:u w:val="none"/>
    </w:rPr>
  </w:style>
  <w:style w:type="character" w:styleId="27">
    <w:name w:val="Emphasis"/>
    <w:basedOn w:val="23"/>
    <w:autoRedefine/>
    <w:qFormat/>
    <w:uiPriority w:val="0"/>
  </w:style>
  <w:style w:type="character" w:styleId="28">
    <w:name w:val="HTML Definition"/>
    <w:basedOn w:val="23"/>
    <w:autoRedefine/>
    <w:qFormat/>
    <w:uiPriority w:val="0"/>
  </w:style>
  <w:style w:type="character" w:styleId="29">
    <w:name w:val="HTML Typewriter"/>
    <w:basedOn w:val="23"/>
    <w:autoRedefine/>
    <w:qFormat/>
    <w:uiPriority w:val="0"/>
    <w:rPr>
      <w:rFonts w:hint="default" w:ascii="monospace" w:hAnsi="monospace" w:eastAsia="monospace" w:cs="monospace"/>
      <w:sz w:val="20"/>
    </w:rPr>
  </w:style>
  <w:style w:type="character" w:styleId="30">
    <w:name w:val="HTML Acronym"/>
    <w:basedOn w:val="23"/>
    <w:autoRedefine/>
    <w:qFormat/>
    <w:uiPriority w:val="0"/>
  </w:style>
  <w:style w:type="character" w:styleId="31">
    <w:name w:val="HTML Variable"/>
    <w:basedOn w:val="23"/>
    <w:autoRedefine/>
    <w:qFormat/>
    <w:uiPriority w:val="0"/>
  </w:style>
  <w:style w:type="character" w:styleId="32">
    <w:name w:val="Hyperlink"/>
    <w:basedOn w:val="23"/>
    <w:autoRedefine/>
    <w:qFormat/>
    <w:uiPriority w:val="0"/>
    <w:rPr>
      <w:color w:val="333333"/>
      <w:u w:val="none"/>
    </w:rPr>
  </w:style>
  <w:style w:type="character" w:styleId="33">
    <w:name w:val="HTML Code"/>
    <w:basedOn w:val="23"/>
    <w:autoRedefine/>
    <w:qFormat/>
    <w:uiPriority w:val="0"/>
    <w:rPr>
      <w:rFonts w:hint="default" w:ascii="monospace" w:hAnsi="monospace" w:eastAsia="monospace" w:cs="monospace"/>
      <w:sz w:val="20"/>
    </w:rPr>
  </w:style>
  <w:style w:type="character" w:styleId="34">
    <w:name w:val="HTML Cite"/>
    <w:basedOn w:val="23"/>
    <w:autoRedefine/>
    <w:qFormat/>
    <w:uiPriority w:val="0"/>
  </w:style>
  <w:style w:type="character" w:styleId="35">
    <w:name w:val="HTML Keyboard"/>
    <w:basedOn w:val="23"/>
    <w:autoRedefine/>
    <w:qFormat/>
    <w:uiPriority w:val="0"/>
    <w:rPr>
      <w:rFonts w:hint="default" w:ascii="monospace" w:hAnsi="monospace" w:eastAsia="monospace" w:cs="monospace"/>
      <w:sz w:val="20"/>
    </w:rPr>
  </w:style>
  <w:style w:type="character" w:styleId="36">
    <w:name w:val="HTML Sample"/>
    <w:basedOn w:val="23"/>
    <w:autoRedefine/>
    <w:qFormat/>
    <w:uiPriority w:val="0"/>
    <w:rPr>
      <w:rFonts w:ascii="monospace" w:hAnsi="monospace" w:eastAsia="monospace" w:cs="monospace"/>
    </w:rPr>
  </w:style>
  <w:style w:type="paragraph" w:customStyle="1" w:styleId="37">
    <w:name w:val="Default"/>
    <w:next w:val="1"/>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8">
    <w:name w:val="无间隔1"/>
    <w:basedOn w:val="1"/>
    <w:autoRedefine/>
    <w:qFormat/>
    <w:uiPriority w:val="99"/>
    <w:pPr>
      <w:spacing w:line="400" w:lineRule="exact"/>
    </w:pPr>
  </w:style>
  <w:style w:type="paragraph" w:customStyle="1" w:styleId="39">
    <w:name w:val="style4"/>
    <w:basedOn w:val="1"/>
    <w:next w:val="40"/>
    <w:autoRedefine/>
    <w:qFormat/>
    <w:uiPriority w:val="0"/>
    <w:pPr>
      <w:widowControl/>
      <w:spacing w:before="100" w:beforeAutospacing="1" w:after="100" w:afterAutospacing="1"/>
      <w:jc w:val="left"/>
    </w:pPr>
    <w:rPr>
      <w:rFonts w:hint="eastAsia" w:ascii="宋体" w:hAnsi="宋体"/>
      <w:kern w:val="0"/>
      <w:sz w:val="18"/>
    </w:rPr>
  </w:style>
  <w:style w:type="paragraph" w:customStyle="1" w:styleId="40">
    <w:name w:val="2"/>
    <w:next w:val="1"/>
    <w:autoRedefine/>
    <w:qFormat/>
    <w:uiPriority w:val="0"/>
    <w:pPr>
      <w:widowControl w:val="0"/>
      <w:jc w:val="both"/>
    </w:pPr>
    <w:rPr>
      <w:rFonts w:ascii="Times New Roman" w:hAnsi="Times New Roman" w:eastAsia="宋体" w:cs="Times New Roman"/>
      <w:sz w:val="21"/>
      <w:lang w:val="en-US" w:eastAsia="zh-CN" w:bidi="ar-SA"/>
    </w:rPr>
  </w:style>
  <w:style w:type="table" w:customStyle="1" w:styleId="41">
    <w:name w:val="Table Normal"/>
    <w:autoRedefine/>
    <w:semiHidden/>
    <w:unhideWhenUsed/>
    <w:qFormat/>
    <w:uiPriority w:val="0"/>
    <w:tblPr>
      <w:tblCellMar>
        <w:top w:w="0" w:type="dxa"/>
        <w:left w:w="0" w:type="dxa"/>
        <w:bottom w:w="0" w:type="dxa"/>
        <w:right w:w="0" w:type="dxa"/>
      </w:tblCellMar>
    </w:tblPr>
  </w:style>
  <w:style w:type="paragraph" w:customStyle="1" w:styleId="42">
    <w:name w:val="Table Paragraph"/>
    <w:basedOn w:val="1"/>
    <w:autoRedefine/>
    <w:qFormat/>
    <w:uiPriority w:val="1"/>
    <w:rPr>
      <w:rFonts w:ascii="宋体" w:hAnsi="宋体" w:eastAsia="宋体" w:cs="宋体"/>
    </w:rPr>
  </w:style>
  <w:style w:type="character" w:customStyle="1" w:styleId="43">
    <w:name w:val="fontstyle01"/>
    <w:basedOn w:val="23"/>
    <w:autoRedefine/>
    <w:qFormat/>
    <w:uiPriority w:val="0"/>
    <w:rPr>
      <w:rFonts w:hint="eastAsia" w:ascii="宋体" w:hAnsi="宋体" w:eastAsia="宋体"/>
      <w:color w:val="000000"/>
      <w:sz w:val="30"/>
      <w:szCs w:val="30"/>
    </w:rPr>
  </w:style>
  <w:style w:type="paragraph" w:customStyle="1" w:styleId="44">
    <w:name w:val="Pa0"/>
    <w:basedOn w:val="1"/>
    <w:next w:val="1"/>
    <w:autoRedefine/>
    <w:qFormat/>
    <w:uiPriority w:val="99"/>
    <w:pPr>
      <w:spacing w:line="241" w:lineRule="atLeast"/>
    </w:pPr>
    <w:rPr>
      <w:rFonts w:ascii="Yu Gothic UI Light" w:hAnsi="Calibri" w:eastAsia="Yu Gothic UI Light" w:cs="Times New Roman"/>
      <w:szCs w:val="24"/>
    </w:rPr>
  </w:style>
  <w:style w:type="paragraph" w:customStyle="1" w:styleId="45">
    <w:name w:val="列出段落1"/>
    <w:basedOn w:val="1"/>
    <w:autoRedefine/>
    <w:qFormat/>
    <w:uiPriority w:val="34"/>
    <w:pPr>
      <w:ind w:firstLine="420" w:firstLineChars="200"/>
    </w:pPr>
  </w:style>
  <w:style w:type="paragraph" w:customStyle="1" w:styleId="46">
    <w:name w:val="列出段落11"/>
    <w:basedOn w:val="1"/>
    <w:autoRedefine/>
    <w:qFormat/>
    <w:uiPriority w:val="0"/>
    <w:pPr>
      <w:ind w:firstLine="420" w:firstLineChars="200"/>
    </w:pPr>
    <w:rPr>
      <w:rFonts w:ascii="Calibri" w:hAnsi="Calibri" w:eastAsia="宋体" w:cs="Times New Roman"/>
    </w:rPr>
  </w:style>
  <w:style w:type="character" w:customStyle="1" w:styleId="47">
    <w:name w:val="font31"/>
    <w:basedOn w:val="23"/>
    <w:autoRedefine/>
    <w:qFormat/>
    <w:uiPriority w:val="0"/>
    <w:rPr>
      <w:rFonts w:hint="eastAsia" w:ascii="微软雅黑" w:hAnsi="微软雅黑" w:eastAsia="微软雅黑" w:cs="微软雅黑"/>
      <w:color w:val="000000"/>
      <w:sz w:val="16"/>
      <w:szCs w:val="16"/>
      <w:u w:val="none"/>
    </w:rPr>
  </w:style>
  <w:style w:type="character" w:customStyle="1" w:styleId="48">
    <w:name w:val="font41"/>
    <w:basedOn w:val="23"/>
    <w:autoRedefine/>
    <w:qFormat/>
    <w:uiPriority w:val="0"/>
    <w:rPr>
      <w:rFonts w:ascii="Arial" w:hAnsi="Arial" w:cs="Arial"/>
      <w:color w:val="000000"/>
      <w:sz w:val="16"/>
      <w:szCs w:val="16"/>
      <w:u w:val="none"/>
    </w:rPr>
  </w:style>
  <w:style w:type="character" w:customStyle="1" w:styleId="49">
    <w:name w:val="font21"/>
    <w:basedOn w:val="23"/>
    <w:autoRedefine/>
    <w:qFormat/>
    <w:uiPriority w:val="0"/>
    <w:rPr>
      <w:rFonts w:hint="eastAsia" w:ascii="宋体" w:hAnsi="宋体" w:eastAsia="宋体" w:cs="宋体"/>
      <w:color w:val="000000"/>
      <w:sz w:val="21"/>
      <w:szCs w:val="21"/>
      <w:u w:val="none"/>
    </w:rPr>
  </w:style>
  <w:style w:type="character" w:customStyle="1" w:styleId="50">
    <w:name w:val="font11"/>
    <w:basedOn w:val="23"/>
    <w:autoRedefine/>
    <w:qFormat/>
    <w:uiPriority w:val="0"/>
    <w:rPr>
      <w:rFonts w:hint="eastAsia" w:ascii="宋体" w:hAnsi="宋体" w:eastAsia="宋体" w:cs="宋体"/>
      <w:color w:val="000000"/>
      <w:sz w:val="24"/>
      <w:szCs w:val="24"/>
      <w:u w:val="none"/>
    </w:rPr>
  </w:style>
  <w:style w:type="character" w:customStyle="1" w:styleId="51">
    <w:name w:val="font61"/>
    <w:basedOn w:val="23"/>
    <w:autoRedefine/>
    <w:qFormat/>
    <w:uiPriority w:val="0"/>
    <w:rPr>
      <w:rFonts w:hint="eastAsia" w:ascii="宋体" w:hAnsi="宋体" w:eastAsia="宋体" w:cs="宋体"/>
      <w:color w:val="000000"/>
      <w:sz w:val="22"/>
      <w:szCs w:val="22"/>
      <w:u w:val="none"/>
    </w:rPr>
  </w:style>
  <w:style w:type="character" w:customStyle="1" w:styleId="52">
    <w:name w:val="font81"/>
    <w:basedOn w:val="23"/>
    <w:autoRedefine/>
    <w:qFormat/>
    <w:uiPriority w:val="0"/>
    <w:rPr>
      <w:rFonts w:ascii="Arial" w:hAnsi="Arial" w:cs="Arial"/>
      <w:color w:val="000000"/>
      <w:sz w:val="22"/>
      <w:szCs w:val="22"/>
      <w:u w:val="none"/>
    </w:rPr>
  </w:style>
  <w:style w:type="character" w:customStyle="1" w:styleId="53">
    <w:name w:val="font91"/>
    <w:basedOn w:val="23"/>
    <w:autoRedefine/>
    <w:qFormat/>
    <w:uiPriority w:val="0"/>
    <w:rPr>
      <w:rFonts w:ascii="宋体" w:hAnsi="宋体" w:eastAsia="宋体" w:cs="宋体"/>
      <w:color w:val="000000"/>
      <w:sz w:val="22"/>
      <w:szCs w:val="22"/>
      <w:u w:val="none"/>
    </w:rPr>
  </w:style>
  <w:style w:type="character" w:customStyle="1" w:styleId="54">
    <w:name w:val="font101"/>
    <w:basedOn w:val="23"/>
    <w:autoRedefine/>
    <w:qFormat/>
    <w:uiPriority w:val="0"/>
    <w:rPr>
      <w:rFonts w:hint="default" w:ascii="Times New Roman" w:hAnsi="Times New Roman" w:cs="Times New Roman"/>
      <w:color w:val="000000"/>
      <w:sz w:val="22"/>
      <w:szCs w:val="22"/>
      <w:u w:val="none"/>
    </w:rPr>
  </w:style>
  <w:style w:type="character" w:customStyle="1" w:styleId="55">
    <w:name w:val="font51"/>
    <w:basedOn w:val="23"/>
    <w:autoRedefine/>
    <w:qFormat/>
    <w:uiPriority w:val="0"/>
    <w:rPr>
      <w:rFonts w:hint="default" w:ascii="Times New Roman" w:hAnsi="Times New Roman" w:cs="Times New Roman"/>
      <w:color w:val="000000"/>
      <w:sz w:val="22"/>
      <w:szCs w:val="22"/>
      <w:u w:val="none"/>
    </w:rPr>
  </w:style>
  <w:style w:type="paragraph" w:customStyle="1" w:styleId="56">
    <w:name w:val="样式"/>
    <w:basedOn w:val="1"/>
    <w:autoRedefine/>
    <w:qFormat/>
    <w:uiPriority w:val="0"/>
    <w:pPr>
      <w:widowControl w:val="0"/>
      <w:kinsoku/>
      <w:snapToGrid/>
      <w:textAlignment w:val="auto"/>
    </w:pPr>
    <w:rPr>
      <w:rFonts w:ascii="宋体" w:hAnsi="宋体" w:eastAsia="宋体" w:cs="宋体"/>
      <w:snapToGrid/>
      <w:color w:val="auto"/>
      <w:sz w:val="24"/>
      <w:szCs w:val="24"/>
    </w:rPr>
  </w:style>
  <w:style w:type="character" w:customStyle="1" w:styleId="57">
    <w:name w:val="正文文本缩进 Char"/>
    <w:basedOn w:val="23"/>
    <w:link w:val="9"/>
    <w:autoRedefine/>
    <w:qFormat/>
    <w:uiPriority w:val="0"/>
    <w:rPr>
      <w:rFonts w:ascii="Arial" w:hAnsi="Arial" w:eastAsia="Arial" w:cs="Arial"/>
      <w:snapToGrid w:val="0"/>
      <w:color w:val="000000"/>
      <w:sz w:val="21"/>
      <w:szCs w:val="21"/>
    </w:rPr>
  </w:style>
  <w:style w:type="paragraph" w:customStyle="1" w:styleId="58">
    <w:name w:val="Body text|2"/>
    <w:basedOn w:val="1"/>
    <w:autoRedefine/>
    <w:qFormat/>
    <w:uiPriority w:val="0"/>
    <w:pPr>
      <w:widowControl w:val="0"/>
      <w:kinsoku/>
      <w:autoSpaceDE/>
      <w:autoSpaceDN/>
      <w:adjustRightInd/>
      <w:snapToGrid/>
      <w:spacing w:after="420" w:line="393" w:lineRule="exact"/>
      <w:jc w:val="center"/>
      <w:textAlignment w:val="auto"/>
    </w:pPr>
    <w:rPr>
      <w:rFonts w:ascii="MingLiU-ExtB" w:hAnsi="MingLiU-ExtB" w:eastAsia="MingLiU-ExtB" w:cs="MingLiU-ExtB"/>
      <w:snapToGrid/>
      <w:color w:val="auto"/>
      <w:kern w:val="2"/>
      <w:lang w:val="zh-TW" w:eastAsia="zh-TW" w:bidi="zh-TW"/>
    </w:rPr>
  </w:style>
  <w:style w:type="character" w:customStyle="1" w:styleId="59">
    <w:name w:val="副标题 Char"/>
    <w:basedOn w:val="23"/>
    <w:link w:val="16"/>
    <w:autoRedefine/>
    <w:qFormat/>
    <w:uiPriority w:val="0"/>
    <w:rPr>
      <w:rFonts w:ascii="Cambria" w:hAnsi="Cambria"/>
      <w:b/>
      <w:bCs/>
      <w:kern w:val="28"/>
      <w:sz w:val="32"/>
      <w:szCs w:val="32"/>
    </w:rPr>
  </w:style>
  <w:style w:type="paragraph" w:customStyle="1" w:styleId="60">
    <w:name w:val="BodyText"/>
    <w:basedOn w:val="1"/>
    <w:autoRedefine/>
    <w:qFormat/>
    <w:uiPriority w:val="0"/>
    <w:pPr>
      <w:widowControl w:val="0"/>
      <w:kinsoku/>
      <w:autoSpaceDE/>
      <w:autoSpaceDN/>
      <w:adjustRightInd/>
      <w:snapToGrid/>
      <w:spacing w:after="120" w:line="360" w:lineRule="auto"/>
      <w:jc w:val="both"/>
    </w:pPr>
    <w:rPr>
      <w:rFonts w:ascii="Times New Roman" w:hAnsi="Times New Roman" w:eastAsia="宋体" w:cs="Times New Roman"/>
      <w:snapToGrid/>
      <w:color w:val="auto"/>
      <w:kern w:val="2"/>
      <w:szCs w:val="22"/>
    </w:rPr>
  </w:style>
  <w:style w:type="paragraph" w:customStyle="1" w:styleId="61">
    <w:name w:val="Body text|1"/>
    <w:basedOn w:val="1"/>
    <w:autoRedefine/>
    <w:qFormat/>
    <w:uiPriority w:val="99"/>
    <w:pPr>
      <w:spacing w:line="466" w:lineRule="exact"/>
      <w:ind w:firstLine="480"/>
      <w:jc w:val="left"/>
    </w:pPr>
    <w:rPr>
      <w:rFonts w:ascii="宋体" w:hAnsi="宋体" w:eastAsia="宋体" w:cs="宋体"/>
      <w:kern w:val="0"/>
      <w:sz w:val="26"/>
      <w:szCs w:val="26"/>
      <w:lang w:val="zh-TW" w:eastAsia="zh-TW"/>
    </w:rPr>
  </w:style>
  <w:style w:type="character" w:customStyle="1" w:styleId="62">
    <w:name w:val="font71"/>
    <w:basedOn w:val="23"/>
    <w:autoRedefine/>
    <w:qFormat/>
    <w:uiPriority w:val="0"/>
    <w:rPr>
      <w:rFonts w:hint="default" w:ascii="Times New Roman" w:hAnsi="Times New Roman" w:cs="Times New Roman"/>
      <w:b/>
      <w:bCs/>
      <w:color w:val="000000"/>
      <w:sz w:val="20"/>
      <w:szCs w:val="20"/>
      <w:u w:val="none"/>
    </w:rPr>
  </w:style>
  <w:style w:type="paragraph" w:customStyle="1" w:styleId="63">
    <w:name w:val="_Style 45"/>
    <w:basedOn w:val="1"/>
    <w:next w:val="1"/>
    <w:autoRedefine/>
    <w:qFormat/>
    <w:uiPriority w:val="0"/>
    <w:pPr>
      <w:pBdr>
        <w:bottom w:val="single" w:color="auto" w:sz="6" w:space="1"/>
      </w:pBdr>
      <w:jc w:val="center"/>
    </w:pPr>
    <w:rPr>
      <w:rFonts w:ascii="Arial" w:eastAsia="宋体"/>
      <w:vanish/>
      <w:sz w:val="16"/>
    </w:rPr>
  </w:style>
  <w:style w:type="paragraph" w:customStyle="1" w:styleId="64">
    <w:name w:val="_Style 46"/>
    <w:basedOn w:val="1"/>
    <w:next w:val="1"/>
    <w:autoRedefine/>
    <w:qFormat/>
    <w:uiPriority w:val="0"/>
    <w:pPr>
      <w:pBdr>
        <w:top w:val="single" w:color="auto" w:sz="6" w:space="1"/>
      </w:pBdr>
      <w:jc w:val="center"/>
    </w:pPr>
    <w:rPr>
      <w:rFonts w:ascii="Arial" w:eastAsia="宋体"/>
      <w:vanish/>
      <w:sz w:val="16"/>
    </w:rPr>
  </w:style>
  <w:style w:type="character" w:customStyle="1" w:styleId="65">
    <w:name w:val="font01"/>
    <w:basedOn w:val="23"/>
    <w:autoRedefine/>
    <w:qFormat/>
    <w:uiPriority w:val="0"/>
    <w:rPr>
      <w:rFonts w:hint="eastAsia" w:ascii="宋体" w:hAnsi="宋体" w:eastAsia="宋体" w:cs="宋体"/>
      <w:color w:val="000000"/>
      <w:sz w:val="24"/>
      <w:szCs w:val="24"/>
      <w:u w:val="none"/>
    </w:rPr>
  </w:style>
  <w:style w:type="character" w:customStyle="1" w:styleId="66">
    <w:name w:val="font111"/>
    <w:basedOn w:val="23"/>
    <w:autoRedefine/>
    <w:qFormat/>
    <w:uiPriority w:val="0"/>
    <w:rPr>
      <w:rFonts w:hint="eastAsia" w:ascii="等线" w:hAnsi="等线" w:eastAsia="等线" w:cs="等线"/>
      <w:b/>
      <w:bCs/>
      <w:color w:val="000000"/>
      <w:sz w:val="21"/>
      <w:szCs w:val="21"/>
      <w:u w:val="none"/>
    </w:rPr>
  </w:style>
  <w:style w:type="character" w:customStyle="1" w:styleId="67">
    <w:name w:val="font171"/>
    <w:basedOn w:val="23"/>
    <w:autoRedefine/>
    <w:qFormat/>
    <w:uiPriority w:val="0"/>
    <w:rPr>
      <w:rFonts w:hint="eastAsia" w:ascii="宋体" w:hAnsi="宋体" w:eastAsia="宋体" w:cs="宋体"/>
      <w:b/>
      <w:bCs/>
      <w:color w:val="000000"/>
      <w:sz w:val="18"/>
      <w:szCs w:val="18"/>
      <w:u w:val="none"/>
    </w:rPr>
  </w:style>
  <w:style w:type="character" w:customStyle="1" w:styleId="68">
    <w:name w:val="font181"/>
    <w:basedOn w:val="23"/>
    <w:autoRedefine/>
    <w:qFormat/>
    <w:uiPriority w:val="0"/>
    <w:rPr>
      <w:rFonts w:hint="eastAsia" w:ascii="宋体" w:hAnsi="宋体" w:eastAsia="宋体" w:cs="宋体"/>
      <w:b/>
      <w:bCs/>
      <w:color w:val="000000"/>
      <w:sz w:val="20"/>
      <w:szCs w:val="20"/>
      <w:u w:val="none"/>
    </w:rPr>
  </w:style>
  <w:style w:type="paragraph" w:customStyle="1" w:styleId="69">
    <w:name w:val="Body Text First Indent 21"/>
    <w:basedOn w:val="70"/>
    <w:autoRedefine/>
    <w:qFormat/>
    <w:uiPriority w:val="0"/>
    <w:pPr>
      <w:ind w:firstLine="420" w:firstLineChars="200"/>
    </w:pPr>
  </w:style>
  <w:style w:type="paragraph" w:customStyle="1" w:styleId="70">
    <w:name w:val="Body Text Indent1"/>
    <w:basedOn w:val="1"/>
    <w:autoRedefine/>
    <w:qFormat/>
    <w:uiPriority w:val="0"/>
    <w:pPr>
      <w:spacing w:after="120"/>
      <w:ind w:left="420" w:leftChars="200"/>
    </w:pPr>
  </w:style>
  <w:style w:type="paragraph" w:customStyle="1" w:styleId="71">
    <w:name w:val="表格"/>
    <w:basedOn w:val="1"/>
    <w:autoRedefine/>
    <w:qFormat/>
    <w:uiPriority w:val="0"/>
    <w:pPr>
      <w:widowControl/>
      <w:spacing w:line="360" w:lineRule="auto"/>
      <w:jc w:val="left"/>
    </w:pPr>
    <w:rPr>
      <w:rFonts w:ascii="Times New Roman" w:hAnsi="Times New Roman" w:eastAsia="仿宋" w:cs="宋体"/>
      <w:color w:val="000000"/>
      <w:kern w:val="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jpeg"/><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24591</Words>
  <Characters>26788</Characters>
  <Lines>1711</Lines>
  <Paragraphs>481</Paragraphs>
  <TotalTime>1</TotalTime>
  <ScaleCrop>false</ScaleCrop>
  <LinksUpToDate>false</LinksUpToDate>
  <CharactersWithSpaces>28103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2022-02-15T02:48:00Z</dcterms:created>
  <dc:creator>User</dc:creator>
  <cp:lastModifiedBy>NTKO</cp:lastModifiedBy>
  <cp:lastPrinted>2022-09-13T09:34:00Z</cp:lastPrinted>
  <dcterms:modified xsi:type="dcterms:W3CDTF">2024-05-24T07:53:59Z</dcterms:modified>
  <dc:title>第二章  投标人须知</dc:title>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2022-05-09T10:11:19Z</vt:filetime>
  </property>
  <property fmtid="{D5CDD505-2E9C-101B-9397-08002B2CF9AE}" pid="4" name="KSOProductBuildVer">
    <vt:lpwstr>2052-12.1.0.16929</vt:lpwstr>
  </property>
  <property fmtid="{D5CDD505-2E9C-101B-9397-08002B2CF9AE}" pid="5" name="ICV">
    <vt:lpwstr>01E93E84CF8146E5AE93FFCCE8437BEA_13</vt:lpwstr>
  </property>
</Properties>
</file>