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lang w:eastAsia="zh-CN"/>
        </w:rPr>
      </w:pPr>
    </w:p>
    <w:p>
      <w:pPr>
        <w:bidi w:val="0"/>
        <w:rPr>
          <w:rFonts w:hint="eastAsia"/>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t>南阳市</w:t>
      </w:r>
      <w:r>
        <w:rPr>
          <w:rFonts w:hint="eastAsia" w:asciiTheme="minorEastAsia" w:hAnsiTheme="minorEastAsia" w:eastAsiaTheme="minorEastAsia" w:cstheme="minorEastAsia"/>
          <w:spacing w:val="-2"/>
          <w:sz w:val="52"/>
          <w:szCs w:val="52"/>
          <w14:textOutline w14:w="3844" w14:cap="flat" w14:cmpd="sng">
            <w14:solidFill>
              <w14:srgbClr w14:val="000000"/>
            </w14:solidFill>
            <w14:prstDash w14:val="solid"/>
            <w14:miter w14:val="0"/>
          </w14:textOutline>
        </w:rPr>
        <w:t>政府采购项目</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14:textOutline w14:w="3844" w14:cap="flat" w14:cmpd="sng">
            <w14:solidFill>
              <w14:srgbClr w14:val="000000"/>
            </w14:solidFill>
            <w14:prstDash w14:val="solid"/>
            <w14:miter w14:val="0"/>
          </w14:textOutline>
        </w:rPr>
        <w:t>公开招标文件示范文本</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60"/>
          <w:szCs w:val="60"/>
        </w:rPr>
      </w:pPr>
      <w:r>
        <w:rPr>
          <w:rFonts w:hint="eastAsia" w:asciiTheme="minorEastAsia" w:hAnsiTheme="minorEastAsia" w:eastAsiaTheme="minorEastAsia" w:cstheme="minorEastAsia"/>
          <w:spacing w:val="31"/>
          <w:sz w:val="52"/>
          <w:szCs w:val="52"/>
          <w14:textOutline w14:w="3844" w14:cap="flat" w14:cmpd="sng">
            <w14:solidFill>
              <w14:srgbClr w14:val="000000"/>
            </w14:solidFill>
            <w14:prstDash w14:val="solid"/>
            <w14:miter w14:val="0"/>
          </w14:textOutline>
        </w:rPr>
        <w:t>（</w:t>
      </w:r>
      <w:r>
        <w:rPr>
          <w:rFonts w:hint="eastAsia" w:asciiTheme="minorEastAsia" w:hAnsiTheme="minorEastAsia" w:eastAsiaTheme="minorEastAsia" w:cstheme="minorEastAsia"/>
          <w:b/>
          <w:bCs/>
          <w:spacing w:val="31"/>
          <w:sz w:val="52"/>
          <w:szCs w:val="52"/>
        </w:rPr>
        <w:t>202</w:t>
      </w:r>
      <w:r>
        <w:rPr>
          <w:rFonts w:hint="eastAsia" w:asciiTheme="minorEastAsia" w:hAnsiTheme="minorEastAsia" w:eastAsiaTheme="minorEastAsia" w:cstheme="minorEastAsia"/>
          <w:b/>
          <w:bCs/>
          <w:spacing w:val="31"/>
          <w:sz w:val="52"/>
          <w:szCs w:val="52"/>
          <w:lang w:val="en-US" w:eastAsia="zh-CN"/>
        </w:rPr>
        <w:t>4</w:t>
      </w:r>
      <w:r>
        <w:rPr>
          <w:rFonts w:hint="eastAsia" w:asciiTheme="minorEastAsia" w:hAnsiTheme="minorEastAsia" w:eastAsiaTheme="minorEastAsia" w:cstheme="minorEastAsia"/>
          <w:spacing w:val="31"/>
          <w:sz w:val="52"/>
          <w:szCs w:val="52"/>
          <w14:textOutline w14:w="3844" w14:cap="flat" w14:cmpd="sng">
            <w14:solidFill>
              <w14:srgbClr w14:val="000000"/>
            </w14:solidFill>
            <w14:prstDash w14:val="solid"/>
            <w14:miter w14:val="0"/>
          </w14:textOutline>
        </w:rPr>
        <w:t>年版）</w:t>
      </w:r>
    </w:p>
    <w:p>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w:t>
      </w:r>
      <w:bookmarkStart w:id="0" w:name="_Toc23147"/>
      <w:r>
        <w:rPr>
          <w:rFonts w:hint="eastAsia" w:asciiTheme="minorEastAsia" w:hAnsiTheme="minorEastAsia" w:eastAsiaTheme="minorEastAsia" w:cstheme="minorEastAsia"/>
          <w:b/>
          <w:bCs/>
          <w:spacing w:val="-17"/>
          <w:sz w:val="32"/>
          <w:szCs w:val="32"/>
          <w:u w:val="single"/>
          <w:lang w:val="en-US" w:eastAsia="zh-CN"/>
        </w:rPr>
        <w:t>淅川县创亿建筑工程有限公司选聘PPN（项目收益票据）主承销商项目</w:t>
      </w:r>
      <w:bookmarkEnd w:id="0"/>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2024-01-8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淅川县创亿建筑工程有限公司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亿诚建设项目管理有限公司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74" w:lineRule="auto"/>
        <w:jc w:val="center"/>
        <w:rPr>
          <w:rFonts w:hint="default"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b/>
          <w:bCs/>
          <w:sz w:val="28"/>
          <w:szCs w:val="28"/>
          <w:u w:val="single"/>
          <w:lang w:val="en-US" w:eastAsia="zh-CN"/>
        </w:rPr>
        <w:t>2024年5月</w:t>
      </w:r>
    </w:p>
    <w:p>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pPr>
        <w:pStyle w:val="7"/>
        <w:keepNext w:val="0"/>
        <w:keepLines w:val="0"/>
        <w:pageBreakBefore w:val="0"/>
        <w:kinsoku/>
        <w:wordWrap w:val="0"/>
        <w:overflowPunct/>
        <w:topLinePunct w:val="0"/>
        <w:bidi w:val="0"/>
        <w:spacing w:before="117" w:line="220" w:lineRule="auto"/>
        <w:jc w:val="center"/>
        <w:rPr>
          <w:rFonts w:hint="eastAsia" w:asciiTheme="minorEastAsia" w:hAnsiTheme="minorEastAsia" w:eastAsiaTheme="minorEastAsia" w:cstheme="minorEastAsia"/>
          <w:spacing w:val="-3"/>
          <w:sz w:val="44"/>
          <w:szCs w:val="44"/>
          <w14:textOutline w14:w="2306" w14:cap="flat" w14:cmpd="sng">
            <w14:solidFill>
              <w14:srgbClr w14:val="000000"/>
            </w14:solidFill>
            <w14:prstDash w14:val="solid"/>
            <w14:miter w14:val="0"/>
          </w14:textOutline>
        </w:rPr>
        <w:sectPr>
          <w:headerReference r:id="rId5" w:type="default"/>
          <w:footerReference r:id="rId6" w:type="default"/>
          <w:pgSz w:w="11907" w:h="16840"/>
          <w:pgMar w:top="1440" w:right="1800" w:bottom="1440" w:left="1800" w:header="878" w:footer="886" w:gutter="0"/>
          <w:pgNumType w:fmt="decimal"/>
          <w:cols w:space="720" w:num="1"/>
        </w:sect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pPr>
            <w:pStyle w:val="7"/>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pPr>
            <w:pStyle w:val="7"/>
            <w:keepNext w:val="0"/>
            <w:keepLines w:val="0"/>
            <w:pageBreakBefore w:val="0"/>
            <w:kinsoku/>
            <w:wordWrap w:val="0"/>
            <w:overflowPunct/>
            <w:topLinePunct w:val="0"/>
            <w:bidi w:val="0"/>
            <w:jc w:val="both"/>
            <w:rPr>
              <w:rFonts w:hint="eastAsia"/>
              <w:shd w:val="clear" w:color="FFFFFF" w:fill="D9D9D9"/>
            </w:rPr>
          </w:pPr>
        </w:p>
        <w:p>
          <w:pPr>
            <w:pStyle w:val="7"/>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pPr>
            <w:pStyle w:val="7"/>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pPr>
            <w:pStyle w:val="7"/>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pPr>
            <w:pStyle w:val="7"/>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pPr>
            <w:pStyle w:val="7"/>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pPr>
            <w:pStyle w:val="7"/>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pPr>
        <w:pStyle w:val="7"/>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br w:type="page"/>
      </w:r>
    </w:p>
    <w:p>
      <w:pPr>
        <w:pStyle w:val="2"/>
        <w:bidi w:val="0"/>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9"/>
        <w:rPr>
          <w:spacing w:val="-6"/>
          <w:sz w:val="24"/>
          <w:szCs w:val="24"/>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9"/>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eastAsia="宋体" w:asciiTheme="minorEastAsia" w:hAnsiTheme="minorEastAsia" w:cstheme="minorEastAsia"/>
          <w:sz w:val="24"/>
          <w:szCs w:val="24"/>
          <w:lang w:eastAsia="zh-CN"/>
        </w:rPr>
      </w:pPr>
      <w:r>
        <w:rPr>
          <w:rFonts w:hint="eastAsia" w:asciiTheme="minorEastAsia" w:hAnsiTheme="minorEastAsia" w:eastAsiaTheme="minorEastAsia" w:cstheme="minorEastAsia"/>
          <w:spacing w:val="-25"/>
          <w:sz w:val="24"/>
          <w:szCs w:val="24"/>
        </w:rPr>
        <w:t>1.项目编号：</w:t>
      </w:r>
      <w:r>
        <w:rPr>
          <w:rFonts w:hint="eastAsia" w:ascii="宋体" w:hAnsi="宋体" w:cs="宋体"/>
          <w:sz w:val="24"/>
        </w:rPr>
        <w:t>2024-01-</w:t>
      </w:r>
      <w:r>
        <w:rPr>
          <w:rFonts w:hint="eastAsia" w:cs="宋体"/>
          <w:sz w:val="24"/>
          <w:lang w:val="en-US" w:eastAsia="zh-CN"/>
        </w:rPr>
        <w:t>8</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w:t>
      </w:r>
      <w:r>
        <w:rPr>
          <w:rFonts w:hint="eastAsia" w:ascii="宋体" w:hAnsi="宋体" w:cs="宋体"/>
          <w:sz w:val="24"/>
        </w:rPr>
        <w:t>淅川县创亿建筑工程有限公司选聘PPN（项目收益票据）主承销商项目</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140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140   </w:t>
      </w:r>
      <w:r>
        <w:rPr>
          <w:rFonts w:hint="eastAsia" w:asciiTheme="minorEastAsia" w:hAnsiTheme="minorEastAsia" w:eastAsiaTheme="minorEastAsia" w:cstheme="minorEastAsia"/>
          <w:spacing w:val="-14"/>
          <w:sz w:val="24"/>
          <w:szCs w:val="24"/>
        </w:rPr>
        <w:t>万元</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24"/>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项目编号-</w:t>
            </w:r>
            <w:r>
              <w:rPr>
                <w:rFonts w:hint="eastAsia" w:asciiTheme="minorEastAsia" w:hAnsiTheme="minorEastAsia" w:eastAsiaTheme="minorEastAsia" w:cstheme="minorEastAsia"/>
                <w:spacing w:val="14"/>
                <w:sz w:val="24"/>
                <w:szCs w:val="24"/>
              </w:rPr>
              <w:t>1</w:t>
            </w:r>
          </w:p>
        </w:tc>
        <w:tc>
          <w:tcPr>
            <w:tcW w:w="4215" w:type="dxa"/>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Theme="minorEastAsia" w:hAnsiTheme="minorEastAsia" w:eastAsiaTheme="minorEastAsia" w:cstheme="minorEastAsia"/>
                <w:sz w:val="24"/>
                <w:szCs w:val="24"/>
              </w:rPr>
            </w:pPr>
            <w:r>
              <w:rPr>
                <w:rFonts w:hint="eastAsia" w:ascii="宋体" w:hAnsi="宋体" w:cs="宋体"/>
                <w:sz w:val="24"/>
              </w:rPr>
              <w:t>淅川县创亿建筑工程有限公司选聘PPN（项目收益票据）主承销商项目</w:t>
            </w:r>
          </w:p>
        </w:tc>
        <w:tc>
          <w:tcPr>
            <w:tcW w:w="2321" w:type="dxa"/>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firstLineChars="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635" w:type="dxa"/>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w:t>
            </w:r>
          </w:p>
        </w:tc>
        <w:tc>
          <w:tcPr>
            <w:tcW w:w="4215" w:type="dxa"/>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p>
        </w:tc>
        <w:tc>
          <w:tcPr>
            <w:tcW w:w="2321" w:type="dxa"/>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p>
        </w:tc>
      </w:tr>
    </w:tbl>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5.采购清单或服务要求</w:t>
      </w:r>
    </w:p>
    <w:p>
      <w:pPr>
        <w:spacing w:line="360" w:lineRule="auto"/>
        <w:ind w:firstLine="480" w:firstLineChars="200"/>
        <w:rPr>
          <w:rFonts w:ascii="宋体" w:hAnsi="宋体" w:cs="宋体"/>
          <w:sz w:val="24"/>
        </w:rPr>
      </w:pPr>
      <w:r>
        <w:rPr>
          <w:rFonts w:hint="eastAsia" w:ascii="宋体" w:hAnsi="宋体" w:cs="宋体"/>
          <w:sz w:val="24"/>
        </w:rPr>
        <w:t>5.1、项目需求：为加快推进淅川县产业发展，拓宽资金来源渠道，进行多渠道融资，以筹集到更多的资金用于县重点产业，计划发行筹集资金不超过7亿元、期限不超过12年的PPN（项目收益票据）。为此，计划选聘债券主承销商。中标的主承销商负责本公司债券发行主承销服务及债券存续期管理的全部工作内容，包括但不限于：债券发行方案编制、报批、后续的发行承销、备案工作及债券本息的代理兑付等其他债券存续期受托管理相关事宜。</w:t>
      </w:r>
    </w:p>
    <w:p>
      <w:pPr>
        <w:spacing w:line="360" w:lineRule="auto"/>
        <w:ind w:firstLine="480" w:firstLineChars="200"/>
        <w:rPr>
          <w:rFonts w:ascii="宋体" w:hAnsi="宋体" w:cs="宋体"/>
          <w:sz w:val="24"/>
        </w:rPr>
      </w:pPr>
      <w:r>
        <w:rPr>
          <w:rFonts w:hint="eastAsia" w:ascii="宋体" w:hAnsi="宋体" w:cs="宋体"/>
          <w:sz w:val="24"/>
        </w:rPr>
        <w:t>5.2、发行额度：不超过7亿元</w:t>
      </w:r>
    </w:p>
    <w:p>
      <w:pPr>
        <w:spacing w:line="360" w:lineRule="auto"/>
        <w:ind w:firstLine="480" w:firstLineChars="200"/>
        <w:rPr>
          <w:rFonts w:ascii="宋体" w:hAnsi="宋体" w:cs="宋体"/>
          <w:sz w:val="24"/>
        </w:rPr>
      </w:pPr>
      <w:r>
        <w:rPr>
          <w:rFonts w:hint="eastAsia" w:ascii="宋体" w:hAnsi="宋体" w:cs="宋体"/>
          <w:sz w:val="24"/>
        </w:rPr>
        <w:t>5.3、债券期限：期限不超12年（含）</w:t>
      </w:r>
    </w:p>
    <w:p>
      <w:pPr>
        <w:spacing w:line="360" w:lineRule="auto"/>
        <w:ind w:firstLine="480" w:firstLineChars="200"/>
        <w:rPr>
          <w:rFonts w:ascii="宋体" w:hAnsi="宋体" w:cs="宋体"/>
          <w:sz w:val="24"/>
        </w:rPr>
      </w:pPr>
      <w:r>
        <w:rPr>
          <w:rFonts w:hint="eastAsia" w:ascii="宋体" w:hAnsi="宋体" w:cs="宋体"/>
          <w:sz w:val="24"/>
        </w:rPr>
        <w:t>5.4、标段划分：本项目共分为1个标段</w:t>
      </w:r>
    </w:p>
    <w:p>
      <w:pPr>
        <w:spacing w:line="360" w:lineRule="auto"/>
        <w:ind w:firstLine="480" w:firstLineChars="200"/>
        <w:rPr>
          <w:rFonts w:ascii="宋体" w:hAnsi="宋体" w:cs="宋体"/>
          <w:sz w:val="24"/>
        </w:rPr>
      </w:pPr>
      <w:r>
        <w:rPr>
          <w:rFonts w:hint="eastAsia" w:ascii="宋体" w:hAnsi="宋体" w:cs="宋体"/>
          <w:sz w:val="24"/>
        </w:rPr>
        <w:t>5.5、服务费率：承销佣金（费率）上限价为总发行额的2.</w:t>
      </w:r>
      <w:r>
        <w:rPr>
          <w:rFonts w:hint="default" w:ascii="宋体" w:hAnsi="宋体" w:cs="宋体"/>
          <w:sz w:val="24"/>
          <w:lang w:val="en-US"/>
        </w:rPr>
        <w:t>0</w:t>
      </w:r>
      <w:r>
        <w:rPr>
          <w:rFonts w:hint="eastAsia" w:ascii="宋体" w:hAnsi="宋体" w:cs="宋体"/>
          <w:sz w:val="24"/>
        </w:rPr>
        <w:t>0‰（含）/年</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rPr>
        <w:t>5.6、服务周期：自合同签订至债券本息偿付结束。主承销商需制定注册发行工作时间节点计</w:t>
      </w:r>
      <w:r>
        <w:rPr>
          <w:rFonts w:hint="eastAsia" w:ascii="宋体" w:hAnsi="宋体" w:eastAsia="宋体" w:cs="宋体"/>
          <w:sz w:val="24"/>
          <w:lang w:val="en-US" w:eastAsia="zh-CN"/>
        </w:rPr>
        <w:t>划</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宋体" w:hAnsi="宋体" w:cs="宋体"/>
          <w:sz w:val="24"/>
        </w:rPr>
        <w:t>同服务周期</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.本项目是否接受联合体投标：否。</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
          <w:sz w:val="24"/>
          <w:szCs w:val="24"/>
        </w:rPr>
        <w:t>本项目不专门面向中小企业预留采购份额。</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05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30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06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20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w:t>
      </w:r>
      <w:r>
        <w:rPr>
          <w:rFonts w:hint="eastAsia" w:ascii="宋体" w:hAnsi="宋体" w:eastAsia="宋体" w:cs="宋体"/>
          <w:color w:val="auto"/>
          <w:sz w:val="24"/>
          <w:szCs w:val="24"/>
          <w:u w:val="single"/>
          <w:lang w:eastAsia="zh-CN"/>
        </w:rPr>
        <w:t>08:00</w:t>
      </w:r>
      <w:r>
        <w:rPr>
          <w:rFonts w:hint="eastAsia" w:ascii="宋体" w:hAnsi="宋体" w:eastAsia="宋体" w:cs="宋体"/>
          <w:color w:val="auto"/>
          <w:sz w:val="24"/>
          <w:szCs w:val="24"/>
          <w:lang w:eastAsia="zh-CN"/>
        </w:rPr>
        <w:t>至</w:t>
      </w:r>
      <w:r>
        <w:rPr>
          <w:rFonts w:hint="eastAsia" w:ascii="宋体" w:hAnsi="宋体" w:eastAsia="宋体" w:cs="宋体"/>
          <w:color w:val="auto"/>
          <w:sz w:val="24"/>
          <w:szCs w:val="24"/>
          <w:u w:val="single"/>
          <w:lang w:eastAsia="zh-CN"/>
        </w:rPr>
        <w:t>12:00</w:t>
      </w:r>
      <w:r>
        <w:rPr>
          <w:rFonts w:hint="eastAsia" w:ascii="宋体" w:hAnsi="宋体" w:eastAsia="宋体" w:cs="宋体"/>
          <w:color w:val="auto"/>
          <w:sz w:val="24"/>
          <w:szCs w:val="24"/>
          <w:lang w:eastAsia="zh-CN"/>
        </w:rPr>
        <w:t>，下午</w:t>
      </w:r>
      <w:r>
        <w:rPr>
          <w:rFonts w:hint="eastAsia" w:ascii="宋体" w:hAnsi="宋体" w:eastAsia="宋体" w:cs="宋体"/>
          <w:color w:val="auto"/>
          <w:sz w:val="24"/>
          <w:szCs w:val="24"/>
          <w:u w:val="single"/>
          <w:lang w:eastAsia="zh-CN"/>
        </w:rPr>
        <w:t>12:00</w:t>
      </w:r>
      <w:r>
        <w:rPr>
          <w:rFonts w:hint="eastAsia" w:ascii="宋体" w:hAnsi="宋体" w:eastAsia="宋体" w:cs="宋体"/>
          <w:color w:val="auto"/>
          <w:sz w:val="24"/>
          <w:szCs w:val="24"/>
          <w:lang w:eastAsia="zh-CN"/>
        </w:rPr>
        <w:t>至</w:t>
      </w:r>
      <w:r>
        <w:rPr>
          <w:rFonts w:hint="eastAsia" w:ascii="宋体" w:hAnsi="宋体" w:eastAsia="宋体" w:cs="宋体"/>
          <w:color w:val="auto"/>
          <w:sz w:val="24"/>
          <w:szCs w:val="24"/>
          <w:u w:val="single"/>
          <w:lang w:eastAsia="zh-CN"/>
        </w:rPr>
        <w:t>18:00</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https://ggzyjy.nanyang.gov.cn</w:t>
      </w:r>
      <w:r>
        <w:rPr>
          <w:rFonts w:hint="eastAsia" w:asciiTheme="minorEastAsia" w:hAnsiTheme="minorEastAsia" w:eastAsiaTheme="minorEastAsia" w:cstheme="minorEastAsia"/>
          <w:sz w:val="24"/>
          <w:szCs w:val="24"/>
          <w:lang w:eastAsia="zh-CN"/>
        </w:rPr>
        <w:t>）</w:t>
      </w:r>
    </w:p>
    <w:p>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宋体" w:hAnsi="宋体" w:eastAsia="宋体" w:cs="宋体"/>
          <w:color w:val="auto"/>
          <w:sz w:val="24"/>
          <w:szCs w:val="24"/>
          <w:lang w:eastAsia="zh-CN"/>
        </w:rPr>
        <w:t>潜在投标人登录南阳市公共资源交易中心电子交易系统淅川区（http://ggzyjy.nanyang.gov.cn/XCXWeb/）参与招标项目，可直接下载招标文件。注册后凭办理的企业身份认证锁（CA数字证书）登录会员系统按网上提示下载招标文件(*.nyzf格式)及资料（操作程序详见南阳市公共资源交易中心</w:t>
      </w:r>
      <w:r>
        <w:rPr>
          <w:rFonts w:hint="eastAsia" w:ascii="宋体" w:hAnsi="宋体" w:eastAsia="宋体" w:cs="宋体"/>
          <w:color w:val="auto"/>
          <w:sz w:val="24"/>
          <w:szCs w:val="24"/>
          <w:lang w:val="en-US" w:eastAsia="zh-CN"/>
        </w:rPr>
        <w:t>淅川区</w:t>
      </w:r>
      <w:r>
        <w:rPr>
          <w:rFonts w:hint="eastAsia" w:ascii="宋体" w:hAnsi="宋体" w:eastAsia="宋体" w:cs="宋体"/>
          <w:color w:val="auto"/>
          <w:sz w:val="24"/>
          <w:szCs w:val="24"/>
          <w:lang w:eastAsia="zh-CN"/>
        </w:rPr>
        <w:t>（网站下载专区），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pPr>
        <w:pStyle w:val="7"/>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9"/>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pPr>
        <w:keepNext w:val="0"/>
        <w:keepLines w:val="0"/>
        <w:pageBreakBefore w:val="0"/>
        <w:shd w:val="clear" w:color="auto" w:fill="FFFFFF"/>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val="en-US" w:eastAsia="zh-CN"/>
        </w:rPr>
        <w:t>使用普通电子交易系统的</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pPr>
        <w:keepNext w:val="0"/>
        <w:keepLines w:val="0"/>
        <w:pageBreakBefore w:val="0"/>
        <w:shd w:val="clear" w:color="auto" w:fill="FFFFFF"/>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造成开标无法继续的，视为该投标人自动放弃投标，将被退回投标文件”。电子交易系统技术支持电话：400-998-0000。</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pPr>
        <w:keepNext w:val="0"/>
        <w:keepLines w:val="0"/>
        <w:pageBreakBefore w:val="0"/>
        <w:widowControl/>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1.投标截止时间、开标时间：</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lang w:val="en-US" w:eastAsia="zh-CN"/>
        </w:rPr>
        <w:t>21</w:t>
      </w:r>
      <w:bookmarkStart w:id="2" w:name="_GoBack"/>
      <w:bookmarkEnd w:id="2"/>
      <w:r>
        <w:rPr>
          <w:rFonts w:hint="eastAsia" w:ascii="宋体" w:hAnsi="宋体" w:eastAsia="宋体" w:cs="宋体"/>
          <w:color w:val="auto"/>
          <w:sz w:val="24"/>
          <w:szCs w:val="24"/>
          <w:lang w:eastAsia="zh-CN"/>
        </w:rPr>
        <w:t>日</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eastAsia="zh-CN"/>
        </w:rPr>
        <w:t>点</w:t>
      </w:r>
      <w:r>
        <w:rPr>
          <w:rFonts w:hint="eastAsia" w:ascii="宋体" w:hAnsi="宋体" w:eastAsia="宋体" w:cs="宋体"/>
          <w:color w:val="auto"/>
          <w:sz w:val="24"/>
          <w:szCs w:val="24"/>
          <w:lang w:val="en-US" w:eastAsia="zh-CN"/>
        </w:rPr>
        <w:t>00</w:t>
      </w:r>
      <w:r>
        <w:rPr>
          <w:rFonts w:hint="eastAsia" w:ascii="宋体" w:hAnsi="宋体" w:eastAsia="宋体" w:cs="宋体"/>
          <w:color w:val="auto"/>
          <w:sz w:val="24"/>
          <w:szCs w:val="24"/>
          <w:lang w:eastAsia="zh-CN"/>
        </w:rPr>
        <w:t>分（北京时间）。</w:t>
      </w:r>
    </w:p>
    <w:p>
      <w:pPr>
        <w:keepNext w:val="0"/>
        <w:keepLines w:val="0"/>
        <w:pageBreakBefore w:val="0"/>
        <w:widowControl/>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2.开标方式：不见面开标</w:t>
      </w:r>
      <w:r>
        <w:rPr>
          <w:rFonts w:hint="eastAsia" w:asciiTheme="minorEastAsia" w:hAnsiTheme="minorEastAsia" w:eastAsiaTheme="minorEastAsia" w:cstheme="minorEastAsia"/>
          <w:color w:val="auto"/>
          <w:spacing w:val="-17"/>
          <w:sz w:val="24"/>
          <w:szCs w:val="24"/>
          <w:lang w:eastAsia="zh-CN"/>
        </w:rPr>
        <w:t>（</w:t>
      </w:r>
      <w:r>
        <w:rPr>
          <w:rFonts w:hint="eastAsia" w:ascii="宋体" w:hAnsi="宋体" w:eastAsia="宋体" w:cs="宋体"/>
          <w:color w:val="auto"/>
          <w:sz w:val="24"/>
          <w:szCs w:val="24"/>
          <w:lang w:eastAsia="zh-CN"/>
        </w:rPr>
        <w:t>https://ggzyjy.nanyang.gov.cn/BidOpening/bidopeninghallaction/hall/login</w:t>
      </w:r>
      <w:r>
        <w:rPr>
          <w:rFonts w:hint="eastAsia"/>
          <w:color w:val="auto"/>
          <w:sz w:val="24"/>
          <w:szCs w:val="24"/>
          <w:lang w:eastAsia="zh-CN"/>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宋体" w:hAnsi="宋体" w:eastAsia="宋体" w:cs="宋体"/>
          <w:color w:val="auto"/>
          <w:sz w:val="24"/>
          <w:szCs w:val="24"/>
          <w:lang w:eastAsia="zh-CN"/>
        </w:rPr>
        <w:t>3.地点：本项目使用不见面开标，投标人无需前往现场来参与投标。具体操作流程详见南阳市公共资源交易中心下载专区栏发布的南阳不见面开标-操作手册（投标人）。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3"/>
          <w:sz w:val="24"/>
          <w:szCs w:val="24"/>
          <w:lang w:eastAsia="zh-CN"/>
        </w:rPr>
      </w:pPr>
      <w:r>
        <w:rPr>
          <w:rFonts w:hint="eastAsia" w:ascii="宋体" w:hAnsi="宋体" w:eastAsia="宋体" w:cs="宋体"/>
          <w:color w:val="auto"/>
          <w:sz w:val="24"/>
          <w:szCs w:val="24"/>
          <w:lang w:eastAsia="zh-CN"/>
        </w:rPr>
        <w:t>自</w:t>
      </w:r>
      <w:r>
        <w:rPr>
          <w:rFonts w:hint="eastAsia" w:ascii="宋体" w:hAnsi="宋体" w:eastAsia="宋体" w:cs="宋体"/>
          <w:color w:val="auto"/>
          <w:sz w:val="24"/>
          <w:szCs w:val="24"/>
          <w:u w:val="single"/>
          <w:lang w:eastAsia="zh-CN"/>
        </w:rPr>
        <w:t>2024</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u w:val="single"/>
          <w:lang w:eastAsia="zh-CN"/>
        </w:rPr>
        <w:t>0</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lang w:eastAsia="zh-CN"/>
        </w:rPr>
        <w:t>月</w:t>
      </w:r>
      <w:r>
        <w:rPr>
          <w:rFonts w:hint="eastAsia" w:cs="宋体"/>
          <w:color w:val="auto"/>
          <w:sz w:val="24"/>
          <w:szCs w:val="24"/>
          <w:lang w:val="en-US" w:eastAsia="zh-CN"/>
        </w:rPr>
        <w:t>30</w:t>
      </w:r>
      <w:r>
        <w:rPr>
          <w:rFonts w:hint="eastAsia" w:ascii="宋体" w:hAnsi="宋体" w:eastAsia="宋体" w:cs="宋体"/>
          <w:color w:val="auto"/>
          <w:sz w:val="24"/>
          <w:szCs w:val="24"/>
          <w:lang w:eastAsia="zh-CN"/>
        </w:rPr>
        <w:t>日至</w:t>
      </w:r>
      <w:r>
        <w:rPr>
          <w:rFonts w:hint="eastAsia" w:ascii="宋体" w:hAnsi="宋体" w:eastAsia="宋体" w:cs="宋体"/>
          <w:color w:val="auto"/>
          <w:sz w:val="24"/>
          <w:szCs w:val="24"/>
          <w:u w:val="single"/>
          <w:lang w:eastAsia="zh-CN"/>
        </w:rPr>
        <w:t>2024</w:t>
      </w:r>
      <w:r>
        <w:rPr>
          <w:rFonts w:hint="eastAsia" w:ascii="宋体" w:hAnsi="宋体" w:eastAsia="宋体" w:cs="宋体"/>
          <w:color w:val="auto"/>
          <w:sz w:val="24"/>
          <w:szCs w:val="24"/>
          <w:lang w:eastAsia="zh-CN"/>
        </w:rPr>
        <w:t>年</w:t>
      </w:r>
      <w:r>
        <w:rPr>
          <w:rFonts w:hint="eastAsia" w:cs="宋体"/>
          <w:color w:val="auto"/>
          <w:sz w:val="24"/>
          <w:szCs w:val="24"/>
          <w:lang w:val="en-US" w:eastAsia="zh-CN"/>
        </w:rPr>
        <w:t>06</w:t>
      </w:r>
      <w:r>
        <w:rPr>
          <w:rFonts w:hint="eastAsia" w:ascii="宋体" w:hAnsi="宋体" w:eastAsia="宋体" w:cs="宋体"/>
          <w:color w:val="auto"/>
          <w:sz w:val="24"/>
          <w:szCs w:val="24"/>
          <w:lang w:eastAsia="zh-CN"/>
        </w:rPr>
        <w:t>月</w:t>
      </w:r>
      <w:r>
        <w:rPr>
          <w:rFonts w:hint="eastAsia" w:cs="宋体"/>
          <w:color w:val="auto"/>
          <w:sz w:val="24"/>
          <w:szCs w:val="24"/>
          <w:lang w:val="en-US" w:eastAsia="zh-CN"/>
        </w:rPr>
        <w:t>07</w:t>
      </w:r>
      <w:r>
        <w:rPr>
          <w:rFonts w:hint="eastAsia" w:ascii="宋体" w:hAnsi="宋体" w:eastAsia="宋体" w:cs="宋体"/>
          <w:color w:val="auto"/>
          <w:sz w:val="24"/>
          <w:szCs w:val="24"/>
          <w:lang w:eastAsia="zh-CN"/>
        </w:rPr>
        <w:t>日</w:t>
      </w:r>
      <w:r>
        <w:rPr>
          <w:rFonts w:hint="eastAsia" w:ascii="宋体" w:hAnsi="宋体" w:eastAsia="宋体" w:cs="宋体"/>
          <w:color w:val="auto"/>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pPr>
        <w:keepNext w:val="0"/>
        <w:keepLines w:val="0"/>
        <w:pageBreakBefore w:val="0"/>
        <w:wordWrap/>
        <w:overflowPunct/>
        <w:topLinePunct w:val="0"/>
        <w:bidi w:val="0"/>
        <w:spacing w:line="500" w:lineRule="exact"/>
        <w:ind w:left="420" w:leftChars="200" w:firstLine="0"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监督部门：淅川县财政局</w:t>
      </w:r>
    </w:p>
    <w:p>
      <w:pPr>
        <w:keepNext w:val="0"/>
        <w:keepLines w:val="0"/>
        <w:pageBreakBefore w:val="0"/>
        <w:wordWrap/>
        <w:overflowPunct/>
        <w:topLinePunct w:val="0"/>
        <w:bidi w:val="0"/>
        <w:spacing w:line="500" w:lineRule="exact"/>
        <w:ind w:left="420" w:leftChars="200" w:firstLine="0"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组织机构代码：11411326006042033B</w:t>
      </w:r>
    </w:p>
    <w:p>
      <w:pPr>
        <w:keepNext w:val="0"/>
        <w:keepLines w:val="0"/>
        <w:pageBreakBefore w:val="0"/>
        <w:wordWrap/>
        <w:overflowPunct/>
        <w:topLinePunct w:val="0"/>
        <w:bidi w:val="0"/>
        <w:spacing w:line="500" w:lineRule="exact"/>
        <w:ind w:left="420" w:leftChars="200" w:firstLine="0"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联系人：姚先生</w:t>
      </w:r>
    </w:p>
    <w:p>
      <w:pPr>
        <w:keepNext w:val="0"/>
        <w:keepLines w:val="0"/>
        <w:pageBreakBefore w:val="0"/>
        <w:wordWrap/>
        <w:overflowPunct/>
        <w:topLinePunct w:val="0"/>
        <w:bidi w:val="0"/>
        <w:spacing w:line="500" w:lineRule="exact"/>
        <w:ind w:left="420" w:leftChars="200" w:firstLine="0"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地 址：淅川县金河镇</w:t>
      </w:r>
    </w:p>
    <w:p>
      <w:pPr>
        <w:keepNext w:val="0"/>
        <w:keepLines w:val="0"/>
        <w:pageBreakBefore w:val="0"/>
        <w:wordWrap/>
        <w:overflowPunct/>
        <w:topLinePunct w:val="0"/>
        <w:bidi w:val="0"/>
        <w:spacing w:line="500" w:lineRule="exact"/>
        <w:ind w:left="420" w:leftChars="200" w:firstLine="0"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联系电话：0377-60668835</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宋体" w:hAnsi="宋体" w:cs="宋体"/>
          <w:sz w:val="24"/>
        </w:rPr>
      </w:pPr>
      <w:r>
        <w:rPr>
          <w:rFonts w:hint="eastAsia" w:ascii="宋体" w:hAnsi="宋体" w:cs="宋体"/>
          <w:sz w:val="24"/>
        </w:rPr>
        <w:t>名称：淅川县创亿建筑工程有限公司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宋体" w:hAnsi="宋体" w:cs="宋体"/>
          <w:sz w:val="24"/>
        </w:rPr>
      </w:pPr>
      <w:r>
        <w:rPr>
          <w:rFonts w:hint="eastAsia" w:ascii="宋体" w:hAnsi="宋体" w:cs="宋体"/>
          <w:sz w:val="24"/>
        </w:rPr>
        <w:t>地址：淅川县楚都路</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宋体" w:hAnsi="宋体" w:cs="宋体"/>
          <w:sz w:val="24"/>
        </w:rPr>
      </w:pPr>
      <w:r>
        <w:rPr>
          <w:rFonts w:hint="eastAsia" w:ascii="宋体" w:hAnsi="宋体" w:cs="宋体"/>
          <w:sz w:val="24"/>
        </w:rPr>
        <w:t>联系人：李先生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hint="eastAsia" w:asciiTheme="minorEastAsia" w:hAnsiTheme="minorEastAsia" w:eastAsiaTheme="minorEastAsia" w:cstheme="minorEastAsia"/>
          <w:b/>
          <w:bCs/>
          <w:spacing w:val="4"/>
          <w:sz w:val="24"/>
          <w:szCs w:val="24"/>
        </w:rPr>
      </w:pPr>
      <w:r>
        <w:rPr>
          <w:rFonts w:hint="eastAsia" w:ascii="宋体" w:hAnsi="宋体" w:cs="宋体"/>
          <w:sz w:val="24"/>
        </w:rPr>
        <w:t>联系方式：18937701605</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keepNext w:val="0"/>
        <w:keepLines w:val="0"/>
        <w:pageBreakBefore w:val="0"/>
        <w:widowControl/>
        <w:overflowPunct/>
        <w:topLinePunct w:val="0"/>
        <w:autoSpaceDE w:val="0"/>
        <w:autoSpaceDN w:val="0"/>
        <w:bidi w:val="0"/>
        <w:adjustRightInd w:val="0"/>
        <w:snapToGrid w:val="0"/>
        <w:spacing w:line="360" w:lineRule="auto"/>
        <w:ind w:firstLine="0" w:firstLineChars="0"/>
        <w:textAlignment w:val="baseline"/>
        <w:rPr>
          <w:rFonts w:ascii="宋体" w:hAnsi="宋体" w:cs="宋体"/>
          <w:sz w:val="24"/>
        </w:rPr>
      </w:pPr>
      <w:r>
        <w:rPr>
          <w:rFonts w:hint="eastAsia" w:ascii="宋体" w:hAnsi="宋体" w:cs="宋体"/>
          <w:sz w:val="24"/>
        </w:rPr>
        <w:t>名称：亿诚建设项目管理有限公司</w:t>
      </w:r>
    </w:p>
    <w:p>
      <w:pPr>
        <w:keepNext w:val="0"/>
        <w:keepLines w:val="0"/>
        <w:pageBreakBefore w:val="0"/>
        <w:widowControl/>
        <w:overflowPunct/>
        <w:topLinePunct w:val="0"/>
        <w:autoSpaceDE w:val="0"/>
        <w:autoSpaceDN w:val="0"/>
        <w:bidi w:val="0"/>
        <w:adjustRightInd w:val="0"/>
        <w:snapToGrid w:val="0"/>
        <w:spacing w:line="360" w:lineRule="auto"/>
        <w:ind w:firstLine="0" w:firstLineChars="0"/>
        <w:textAlignment w:val="baseline"/>
        <w:rPr>
          <w:rFonts w:ascii="宋体" w:hAnsi="宋体" w:cs="宋体"/>
          <w:sz w:val="24"/>
        </w:rPr>
      </w:pPr>
      <w:r>
        <w:rPr>
          <w:rFonts w:hint="eastAsia" w:ascii="宋体" w:hAnsi="宋体" w:cs="宋体"/>
          <w:sz w:val="24"/>
        </w:rPr>
        <w:t>地址：郑州市金水区农业路经三路兴业大厦B座18楼</w:t>
      </w:r>
    </w:p>
    <w:p>
      <w:pPr>
        <w:keepNext w:val="0"/>
        <w:keepLines w:val="0"/>
        <w:pageBreakBefore w:val="0"/>
        <w:widowControl/>
        <w:overflowPunct/>
        <w:topLinePunct w:val="0"/>
        <w:autoSpaceDE w:val="0"/>
        <w:autoSpaceDN w:val="0"/>
        <w:bidi w:val="0"/>
        <w:adjustRightInd w:val="0"/>
        <w:snapToGrid w:val="0"/>
        <w:spacing w:line="360" w:lineRule="auto"/>
        <w:ind w:firstLine="0" w:firstLineChars="0"/>
        <w:textAlignment w:val="baseline"/>
        <w:rPr>
          <w:rFonts w:ascii="宋体" w:hAnsi="宋体" w:cs="宋体"/>
          <w:sz w:val="24"/>
        </w:rPr>
      </w:pPr>
      <w:r>
        <w:rPr>
          <w:rFonts w:hint="eastAsia" w:ascii="宋体" w:hAnsi="宋体" w:cs="宋体"/>
          <w:sz w:val="24"/>
        </w:rPr>
        <w:t>联系人：顿女士</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0" w:firstLineChars="0"/>
        <w:jc w:val="both"/>
        <w:textAlignment w:val="baseline"/>
        <w:rPr>
          <w:rFonts w:hint="eastAsia" w:asciiTheme="minorEastAsia" w:hAnsiTheme="minorEastAsia" w:eastAsiaTheme="minorEastAsia" w:cstheme="minorEastAsia"/>
          <w:sz w:val="24"/>
          <w:szCs w:val="24"/>
        </w:rPr>
      </w:pPr>
      <w:r>
        <w:rPr>
          <w:rFonts w:hint="eastAsia" w:ascii="宋体" w:hAnsi="宋体" w:cs="宋体"/>
          <w:sz w:val="24"/>
        </w:rPr>
        <w:t>联系方式：18236708145</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b/>
          <w:bCs/>
          <w:spacing w:val="5"/>
          <w:sz w:val="24"/>
          <w:szCs w:val="24"/>
          <w:u w:val="single"/>
          <w:lang w:val="en-US" w:eastAsia="zh-CN"/>
        </w:rPr>
      </w:pPr>
      <w:r>
        <w:rPr>
          <w:rFonts w:hint="eastAsia" w:ascii="微软雅黑" w:hAnsi="微软雅黑" w:eastAsia="微软雅黑" w:cs="微软雅黑"/>
          <w:b w:val="0"/>
          <w:bCs w:val="0"/>
          <w:i w:val="0"/>
          <w:iCs w:val="0"/>
          <w:caps w:val="0"/>
          <w:color w:val="auto"/>
          <w:spacing w:val="0"/>
          <w:sz w:val="21"/>
          <w:szCs w:val="21"/>
        </w:rPr>
        <w:t>https://ggzyjy.nanyang.gov.cn/BidOpening/bidopeninghallaction/hall/login</w:t>
      </w:r>
    </w:p>
    <w:p>
      <w:pPr>
        <w:pStyle w:val="7"/>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right"/>
        <w:textAlignment w:val="baseline"/>
        <w:outlineLvl w:val="9"/>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采购代理机构名称：亿诚建设项目管理有限公司</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3852" w:firstLineChars="1800"/>
        <w:jc w:val="both"/>
        <w:textAlignment w:val="baseline"/>
        <w:outlineLvl w:val="9"/>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lang w:val="en-US" w:eastAsia="zh-CN"/>
        </w:rPr>
        <w:t>日期：</w:t>
      </w: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05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29  </w:t>
      </w:r>
      <w:r>
        <w:rPr>
          <w:rFonts w:hint="eastAsia" w:asciiTheme="minorEastAsia" w:hAnsiTheme="minorEastAsia" w:eastAsiaTheme="minorEastAsia" w:cstheme="minorEastAsia"/>
          <w:spacing w:val="-13"/>
          <w:sz w:val="24"/>
          <w:szCs w:val="24"/>
        </w:rPr>
        <w:t>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br w:type="page"/>
      </w:r>
    </w:p>
    <w:p>
      <w:pPr>
        <w:pStyle w:val="2"/>
        <w:bidi w:val="0"/>
        <w:jc w:val="center"/>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1.采购货物需求一览表或简要服务内容及数量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宋体" w:hAnsi="宋体" w:cs="宋体"/>
          <w:sz w:val="24"/>
        </w:rPr>
        <w:t>负责本公司债券发行主承销服务及债券存续期管理的全部工作内容，包括但不限于：债券发行方案编制、报批、后续的发行承销、备案工作及债券本息的代理兑付等其他债券存续期受托管理相关事宜。</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2.</w:t>
      </w:r>
      <w:r>
        <w:rPr>
          <w:rFonts w:hint="eastAsia" w:asciiTheme="minorEastAsia" w:hAnsiTheme="minorEastAsia" w:eastAsiaTheme="minorEastAsia" w:cstheme="minorEastAsia"/>
          <w:spacing w:val="-1"/>
          <w:sz w:val="24"/>
          <w:szCs w:val="24"/>
        </w:rPr>
        <w:t>核心产品</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关于核心产品本项目/包不适用。</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1666" w:firstLineChars="7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本项目/包为单一产品采购项目。</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1666" w:firstLineChars="7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□本项目/包为非单一产品采购项目，核心产品为</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u w:val="single"/>
          <w:lang w:val="en-US" w:eastAsia="zh-CN"/>
        </w:rPr>
        <w:t xml:space="preserve">                   </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pacing w:val="-1"/>
          <w:sz w:val="24"/>
          <w:szCs w:val="24"/>
          <w:lang w:eastAsia="zh-CN"/>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pStyle w:val="7"/>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rFonts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rPr>
        <w:t>1.</w:t>
      </w:r>
      <w:r>
        <w:rPr>
          <w:rFonts w:hint="eastAsia" w:asciiTheme="minorEastAsia" w:hAnsiTheme="minorEastAsia" w:eastAsiaTheme="minorEastAsia" w:cstheme="minorEastAsia"/>
          <w:color w:val="auto"/>
          <w:spacing w:val="-1"/>
          <w:sz w:val="24"/>
          <w:szCs w:val="24"/>
          <w:lang w:eastAsia="zh-CN"/>
        </w:rPr>
        <w:t>交货要求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1.1交货地点：淅川县</w:t>
      </w:r>
    </w:p>
    <w:p>
      <w:pPr>
        <w:pStyle w:val="8"/>
        <w:keepNext w:val="0"/>
        <w:keepLines w:val="0"/>
        <w:pageBreakBefore w:val="0"/>
        <w:kinsoku/>
        <w:overflowPunct/>
        <w:topLinePunct w:val="0"/>
        <w:bidi w:val="0"/>
        <w:spacing w:line="360" w:lineRule="auto"/>
        <w:ind w:firstLine="480" w:firstLineChars="200"/>
        <w:rPr>
          <w:rFonts w:hint="default" w:eastAsia="宋体"/>
          <w:lang w:val="en-US" w:eastAsia="zh-CN"/>
        </w:rPr>
      </w:pPr>
      <w:r>
        <w:rPr>
          <w:rFonts w:hint="eastAsia" w:asciiTheme="minorEastAsia" w:hAnsiTheme="minorEastAsia" w:eastAsiaTheme="minorEastAsia" w:cstheme="minorEastAsia"/>
          <w:sz w:val="24"/>
          <w:szCs w:val="24"/>
          <w:lang w:val="en-US" w:eastAsia="zh-CN"/>
        </w:rPr>
        <w:t>1.2</w:t>
      </w:r>
      <w:r>
        <w:rPr>
          <w:rFonts w:hint="eastAsia" w:ascii="宋体" w:hAnsi="宋体" w:cs="宋体"/>
          <w:sz w:val="24"/>
        </w:rPr>
        <w:t>服务周期：自合同签订至债券本息偿付结束。主承销商需制定注册发行工作时间节</w:t>
      </w:r>
      <w:r>
        <w:rPr>
          <w:rFonts w:hint="eastAsia" w:ascii="宋体" w:hAnsi="宋体" w:cs="宋体"/>
          <w:sz w:val="24"/>
          <w:lang w:val="en-US" w:eastAsia="zh-CN"/>
        </w:rPr>
        <w:t>点计划</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2.付款方式：</w:t>
      </w:r>
      <w:r>
        <w:rPr>
          <w:rFonts w:hint="eastAsia" w:ascii="宋体" w:hAnsi="宋体" w:cs="宋体"/>
          <w:sz w:val="24"/>
        </w:rPr>
        <w:t>中标企业与采购人自行商定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3.包装和运输（如适用，须满足《关于印发〈商品包装政府采购需求标准（试行）〉、〈快递包装政府采购需求标准（试行）〉的通知》（财办库﹝2020﹞123号）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48" w:firstLineChars="20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4.售后服务</w:t>
      </w:r>
      <w:r>
        <w:rPr>
          <w:rFonts w:hint="eastAsia" w:asciiTheme="minorEastAsia" w:hAnsiTheme="minorEastAsia" w:eastAsiaTheme="minorEastAsia" w:cstheme="minorEastAsia"/>
          <w:spacing w:val="-8"/>
          <w:sz w:val="24"/>
          <w:szCs w:val="24"/>
          <w:lang w:val="en-US" w:eastAsia="zh-CN"/>
        </w:rPr>
        <w:t>要求</w:t>
      </w:r>
      <w:r>
        <w:rPr>
          <w:rFonts w:hint="eastAsia" w:asciiTheme="minorEastAsia" w:hAnsiTheme="minorEastAsia" w:eastAsiaTheme="minorEastAsia" w:cstheme="minorEastAsia"/>
          <w:spacing w:val="-8"/>
          <w:sz w:val="24"/>
          <w:szCs w:val="24"/>
        </w:rPr>
        <w:t>（质保期</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8"/>
          <w:sz w:val="24"/>
          <w:szCs w:val="24"/>
        </w:rPr>
        <w:t>如适用）</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2"/>
          <w:sz w:val="24"/>
          <w:szCs w:val="24"/>
        </w:rPr>
        <w:t>5.</w:t>
      </w:r>
      <w:r>
        <w:rPr>
          <w:rFonts w:hint="eastAsia" w:asciiTheme="minorEastAsia" w:hAnsiTheme="minorEastAsia" w:eastAsiaTheme="minorEastAsia" w:cstheme="minorEastAsia"/>
          <w:spacing w:val="-5"/>
          <w:sz w:val="24"/>
          <w:szCs w:val="24"/>
          <w:lang w:val="en-US" w:eastAsia="zh-CN"/>
        </w:rPr>
        <w:t>关于强制节能产品的要求：/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val="en-US" w:eastAsia="zh-CN"/>
        </w:rPr>
        <w:t>及方式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样品，样品提供要求、方式、摆放时间及地点；</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无</w:t>
      </w:r>
      <w:r>
        <w:rPr>
          <w:rFonts w:hint="eastAsia" w:asciiTheme="minorEastAsia" w:hAnsiTheme="minorEastAsia" w:eastAsiaTheme="minorEastAsia" w:cstheme="minorEastAsia"/>
          <w:sz w:val="24"/>
          <w:szCs w:val="24"/>
          <w:lang w:val="en-US" w:eastAsia="zh-CN"/>
        </w:rPr>
        <w:t>样品。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演示，演示要求、内容、方式及地点。鼓励使用不见面演示；</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无</w:t>
      </w:r>
      <w:r>
        <w:rPr>
          <w:rFonts w:hint="eastAsia" w:asciiTheme="minorEastAsia" w:hAnsiTheme="minorEastAsia" w:eastAsiaTheme="minorEastAsia" w:cstheme="minorEastAsia"/>
          <w:sz w:val="24"/>
          <w:szCs w:val="24"/>
          <w:lang w:val="en-US" w:eastAsia="zh-CN"/>
        </w:rPr>
        <w:t>演示。</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pacing w:val="-1"/>
          <w:sz w:val="24"/>
          <w:szCs w:val="24"/>
        </w:rPr>
        <w:t>其他要</w:t>
      </w:r>
      <w:r>
        <w:rPr>
          <w:rFonts w:hint="eastAsia" w:asciiTheme="minorEastAsia" w:hAnsiTheme="minorEastAsia" w:eastAsiaTheme="minorEastAsia" w:cstheme="minorEastAsia"/>
          <w:spacing w:val="-1"/>
          <w:sz w:val="24"/>
          <w:szCs w:val="24"/>
          <w:lang w:val="en-US" w:eastAsia="zh-CN"/>
        </w:rPr>
        <w:t>求：</w:t>
      </w:r>
      <w:r>
        <w:rPr>
          <w:rFonts w:hint="eastAsia" w:ascii="宋体" w:hAnsi="宋体" w:cs="宋体"/>
          <w:sz w:val="24"/>
        </w:rPr>
        <w:t>满足采购人需求</w:t>
      </w:r>
    </w:p>
    <w:p>
      <w:pPr>
        <w:pStyle w:val="2"/>
        <w:bidi w:val="0"/>
        <w:jc w:val="cente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19"/>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5"/>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5"/>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5"/>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5"/>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5"/>
              <w:keepNext w:val="0"/>
              <w:keepLines w:val="0"/>
              <w:pageBreakBefore w:val="0"/>
              <w:widowControl/>
              <w:numPr>
                <w:ilvl w:val="0"/>
                <w:numId w:val="1"/>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其他未列明行业 </w:t>
            </w:r>
          </w:p>
          <w:p>
            <w:pPr>
              <w:pStyle w:val="2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pPr>
              <w:pStyle w:val="25"/>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5"/>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5"/>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2"/>
                <w:sz w:val="24"/>
                <w:szCs w:val="24"/>
                <w:u w:val="single"/>
                <w:lang w:val="en-US" w:eastAsia="zh-CN"/>
              </w:rPr>
              <w:t xml:space="preserve"> 140  </w:t>
            </w:r>
            <w:r>
              <w:rPr>
                <w:rFonts w:hint="eastAsia" w:asciiTheme="minorEastAsia" w:hAnsiTheme="minorEastAsia" w:eastAsiaTheme="minorEastAsia" w:cstheme="minorEastAsia"/>
                <w:snapToGrid w:val="0"/>
                <w:color w:val="000000"/>
                <w:spacing w:val="29"/>
                <w:kern w:val="0"/>
                <w:sz w:val="24"/>
                <w:szCs w:val="24"/>
                <w:lang w:val="en-US" w:eastAsia="zh-CN" w:bidi="ar-SA"/>
              </w:rPr>
              <w:t>万元,</w:t>
            </w:r>
            <w:r>
              <w:rPr>
                <w:rFonts w:hint="eastAsia" w:ascii="宋体" w:hAnsi="宋体" w:cs="宋体"/>
                <w:sz w:val="24"/>
              </w:rPr>
              <w:t>承销佣金（费率）上限价为总发行额的2.</w:t>
            </w:r>
            <w:r>
              <w:rPr>
                <w:rFonts w:hint="default" w:ascii="宋体" w:hAnsi="宋体" w:cs="宋体"/>
                <w:sz w:val="24"/>
                <w:lang w:val="en-US"/>
              </w:rPr>
              <w:t>0</w:t>
            </w:r>
            <w:r>
              <w:rPr>
                <w:rFonts w:hint="eastAsia" w:ascii="宋体" w:hAnsi="宋体" w:cs="宋体"/>
                <w:sz w:val="24"/>
              </w:rPr>
              <w:t>0‰（含）/年；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06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06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color w:val="auto"/>
                <w:spacing w:val="-15"/>
                <w:sz w:val="24"/>
                <w:szCs w:val="24"/>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p>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p>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否,推荐的中标候选人数：2</w:t>
            </w:r>
            <w:r>
              <w:rPr>
                <w:rFonts w:hint="eastAsia" w:asciiTheme="minorEastAsia" w:hAnsiTheme="minorEastAsia" w:eastAsiaTheme="minorEastAsia" w:cstheme="minorEastAsia"/>
                <w:color w:val="auto"/>
                <w:spacing w:val="14"/>
                <w:szCs w:val="24"/>
                <w:lang w:eastAsia="zh-CN"/>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pStyle w:val="25"/>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val="en-US" w:eastAsia="zh-CN"/>
              </w:rPr>
              <w:t>集中采购机构不收费</w:t>
            </w:r>
          </w:p>
          <w:p>
            <w:pPr>
              <w:pStyle w:val="25"/>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25"/>
              <w:keepNext w:val="0"/>
              <w:keepLines w:val="0"/>
              <w:pageBreakBefore w:val="0"/>
              <w:kinsoku/>
              <w:wordWrap w:val="0"/>
              <w:overflowPunct/>
              <w:topLinePunct w:val="0"/>
              <w:bidi w:val="0"/>
              <w:spacing w:before="1" w:line="220" w:lineRule="auto"/>
              <w:ind w:left="126"/>
              <w:jc w:val="both"/>
              <w:rPr>
                <w:rFonts w:hint="default" w:eastAsia="宋体" w:asciiTheme="minorEastAsia" w:hAnsi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收费标准：</w:t>
            </w:r>
            <w:r>
              <w:rPr>
                <w:rFonts w:hint="eastAsia" w:ascii="宋体" w:hAnsi="宋体" w:cs="宋体"/>
                <w:sz w:val="24"/>
              </w:rPr>
              <w:t>招标代理服务费金额为96000元整。该费用由招标人指定</w:t>
            </w:r>
            <w:r>
              <w:rPr>
                <w:rFonts w:hint="eastAsia" w:ascii="宋体" w:hAnsi="宋体" w:eastAsia="宋体" w:cs="宋体"/>
                <w:sz w:val="24"/>
                <w:lang w:val="en-US" w:eastAsia="zh-CN"/>
              </w:rPr>
              <w:t>单位支付</w:t>
            </w:r>
          </w:p>
        </w:tc>
      </w:tr>
    </w:tbl>
    <w:p>
      <w:pPr>
        <w:pStyle w:val="7"/>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pPr>
        <w:pStyle w:val="7"/>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w:t>
      </w:r>
      <w:r>
        <w:rPr>
          <w:rFonts w:hint="eastAsia" w:asciiTheme="minorEastAsia" w:hAnsiTheme="minorEastAsia" w:eastAsiaTheme="minorEastAsia" w:cstheme="minorEastAsia"/>
          <w:spacing w:val="7"/>
          <w:sz w:val="24"/>
          <w:szCs w:val="24"/>
          <w:lang w:val="en-US" w:eastAsia="zh-CN"/>
        </w:rPr>
        <w:t>自筹</w:t>
      </w:r>
      <w:r>
        <w:rPr>
          <w:rFonts w:hint="eastAsia" w:asciiTheme="minorEastAsia" w:hAnsiTheme="minorEastAsia" w:eastAsiaTheme="minorEastAsia" w:cstheme="minorEastAsia"/>
          <w:spacing w:val="7"/>
          <w:sz w:val="24"/>
          <w:szCs w:val="24"/>
        </w:rPr>
        <w:t>性资金</w:t>
      </w:r>
      <w:r>
        <w:rPr>
          <w:rFonts w:hint="eastAsia" w:asciiTheme="minorEastAsia" w:hAnsiTheme="minorEastAsia" w:eastAsiaTheme="minorEastAsia" w:cstheme="minorEastAsia"/>
          <w:spacing w:val="7"/>
          <w:sz w:val="24"/>
          <w:szCs w:val="24"/>
          <w:u w:val="single"/>
          <w:lang w:val="en-US" w:eastAsia="zh-CN"/>
        </w:rPr>
        <w:t xml:space="preserve"> 140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line="360" w:lineRule="auto"/>
        <w:ind w:left="0" w:right="0" w:firstLine="448" w:firstLineChars="200"/>
        <w:jc w:val="both"/>
        <w:textAlignment w:val="baseline"/>
        <w:outlineLvl w:val="9"/>
        <w:rPr>
          <w:rFonts w:hint="eastAsia" w:asciiTheme="minorEastAsia" w:hAnsiTheme="minorEastAsia" w:eastAsiaTheme="minorEastAsia" w:cstheme="minorEastAsia"/>
          <w:b w:val="0"/>
          <w:snapToGrid w:val="0"/>
          <w:color w:val="000000"/>
          <w:spacing w:val="-8"/>
          <w:kern w:val="0"/>
          <w:sz w:val="24"/>
          <w:szCs w:val="24"/>
          <w:lang w:val="en-US" w:eastAsia="en-US" w:bidi="ar-SA"/>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.3.1</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en-US" w:bidi="ar-SA"/>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淅川县财政局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6.3 “货物”指投标人按招标文件规定，须向采购人提供的与本次招标相关的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   。</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6.4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债券发行主承销服务及债券存续期管理的全部工作内容服务</w:t>
      </w:r>
      <w:r>
        <w:rPr>
          <w:rFonts w:hint="eastAsia" w:asciiTheme="minorEastAsia" w:hAnsiTheme="minorEastAsia" w:eastAsiaTheme="minorEastAsia" w:cstheme="minorEastAsia"/>
          <w:snapToGrid w:val="0"/>
          <w:color w:val="000000"/>
          <w:spacing w:val="-4"/>
          <w:kern w:val="0"/>
          <w:sz w:val="24"/>
          <w:szCs w:val="24"/>
          <w:lang w:val="en-US" w:eastAsia="zh-CN" w:bidi="ar-SA"/>
        </w:rPr>
        <w:t>。</w:t>
      </w:r>
    </w:p>
    <w:p>
      <w:pPr>
        <w:pStyle w:val="8"/>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》、《商务技术文件》两部分构成。投标文件的部分格式要求，见第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企业电子营业执照生成并在截止时间前上传其加密版本，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《电子营业执照应用平台系统操作手册-投标单位》。</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6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z w:val="24"/>
          <w:szCs w:val="24"/>
          <w:lang w:eastAsia="zh-CN"/>
        </w:rPr>
        <w:t>投标人认为应附的其他材料。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CA或电子营业执照</w:t>
      </w:r>
      <w:r>
        <w:rPr>
          <w:rFonts w:hint="eastAsia" w:asciiTheme="minorEastAsia" w:hAnsiTheme="minorEastAsia" w:eastAsiaTheme="minorEastAsia" w:cstheme="minorEastAsia"/>
          <w:sz w:val="24"/>
          <w:szCs w:val="24"/>
        </w:rPr>
        <w:t>加盖电子签章。</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或南阳市公共资源电子营业执照应用平台系统在投标截止时间前完成制作软件生成的加密电子投标文件的上传。未在投标截止时间前完成上传的，视为逾期提交。逾期提交的投标文件，招标人不予受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7"/>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2"/>
        <w:bidi w:val="0"/>
        <w:jc w:val="cente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pPr>
        <w:pStyle w:val="7"/>
        <w:keepNext w:val="0"/>
        <w:keepLines w:val="0"/>
        <w:pageBreakBefore w:val="0"/>
        <w:kinsoku/>
        <w:wordWrap w:val="0"/>
        <w:overflowPunct/>
        <w:topLinePunct w:val="0"/>
        <w:bidi w:val="0"/>
        <w:spacing w:before="255" w:line="221" w:lineRule="auto"/>
        <w:ind w:left="3942"/>
        <w:jc w:val="both"/>
        <w:outlineLvl w:val="9"/>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9"/>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pPr>
        <w:rPr>
          <w:rFonts w:hint="eastAsia"/>
          <w:lang w:val="en-US" w:eastAsia="zh-CN"/>
        </w:rPr>
      </w:pPr>
      <w:r>
        <w:rPr>
          <w:rFonts w:hint="eastAsia"/>
          <w:lang w:val="en-US" w:eastAsia="zh-CN"/>
        </w:rPr>
        <w:br w:type="page"/>
      </w:r>
    </w:p>
    <w:p>
      <w:pPr>
        <w:pStyle w:val="7"/>
        <w:keepNext w:val="0"/>
        <w:keepLines w:val="0"/>
        <w:pageBreakBefore w:val="0"/>
        <w:kinsoku/>
        <w:wordWrap w:val="0"/>
        <w:overflowPunct/>
        <w:topLinePunct w:val="0"/>
        <w:bidi w:val="0"/>
        <w:spacing w:before="79" w:line="220" w:lineRule="auto"/>
        <w:jc w:val="center"/>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24"/>
        <w:tblW w:w="88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804"/>
        <w:gridCol w:w="32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pPr>
              <w:keepNext w:val="0"/>
              <w:keepLines w:val="0"/>
              <w:pageBreakBefore w:val="0"/>
              <w:kinsoku/>
              <w:wordWrap w:val="0"/>
              <w:overflowPunct/>
              <w:topLinePunct w:val="0"/>
              <w:bidi w:val="0"/>
              <w:spacing w:before="119" w:line="222" w:lineRule="auto"/>
              <w:jc w:val="center"/>
              <w:rPr>
                <w:rFonts w:hint="eastAsia" w:ascii="宋体" w:hAnsi="宋体" w:eastAsia="宋体" w:cs="宋体"/>
                <w:sz w:val="22"/>
                <w:szCs w:val="22"/>
              </w:rPr>
            </w:pPr>
            <w:r>
              <w:rPr>
                <w:rFonts w:hint="eastAsia" w:ascii="宋体" w:hAnsi="宋体" w:eastAsia="宋体" w:cs="宋体"/>
                <w:spacing w:val="-3"/>
                <w:sz w:val="22"/>
                <w:szCs w:val="22"/>
                <w14:textOutline w14:w="1537" w14:cap="flat" w14:cmpd="sng">
                  <w14:solidFill>
                    <w14:srgbClr w14:val="000000"/>
                  </w14:solidFill>
                  <w14:prstDash w14:val="solid"/>
                  <w14:miter w14:val="0"/>
                </w14:textOutline>
              </w:rPr>
              <w:t>序号</w:t>
            </w:r>
          </w:p>
        </w:tc>
        <w:tc>
          <w:tcPr>
            <w:tcW w:w="1061" w:type="dxa"/>
            <w:vAlign w:val="top"/>
          </w:tcPr>
          <w:p>
            <w:pPr>
              <w:keepNext w:val="0"/>
              <w:keepLines w:val="0"/>
              <w:pageBreakBefore w:val="0"/>
              <w:kinsoku/>
              <w:wordWrap w:val="0"/>
              <w:overflowPunct/>
              <w:topLinePunct w:val="0"/>
              <w:bidi w:val="0"/>
              <w:spacing w:before="119" w:line="220" w:lineRule="auto"/>
              <w:jc w:val="center"/>
              <w:rPr>
                <w:rFonts w:hint="eastAsia" w:ascii="宋体" w:hAnsi="宋体" w:eastAsia="宋体" w:cs="宋体"/>
                <w:sz w:val="22"/>
                <w:szCs w:val="22"/>
              </w:rPr>
            </w:pPr>
            <w:r>
              <w:rPr>
                <w:rFonts w:hint="eastAsia" w:ascii="宋体" w:hAnsi="宋体" w:eastAsia="宋体" w:cs="宋体"/>
                <w:spacing w:val="-4"/>
                <w:sz w:val="22"/>
                <w:szCs w:val="22"/>
                <w14:textOutline w14:w="1537" w14:cap="flat" w14:cmpd="sng">
                  <w14:solidFill>
                    <w14:srgbClr w14:val="000000"/>
                  </w14:solidFill>
                  <w14:prstDash w14:val="solid"/>
                  <w14:miter w14:val="0"/>
                </w14:textOutline>
              </w:rPr>
              <w:t>审查因素</w:t>
            </w:r>
          </w:p>
        </w:tc>
        <w:tc>
          <w:tcPr>
            <w:tcW w:w="3804" w:type="dxa"/>
            <w:vAlign w:val="top"/>
          </w:tcPr>
          <w:p>
            <w:pPr>
              <w:keepNext w:val="0"/>
              <w:keepLines w:val="0"/>
              <w:pageBreakBefore w:val="0"/>
              <w:kinsoku/>
              <w:wordWrap w:val="0"/>
              <w:overflowPunct/>
              <w:topLinePunct w:val="0"/>
              <w:bidi w:val="0"/>
              <w:spacing w:before="119" w:line="220" w:lineRule="auto"/>
              <w:jc w:val="center"/>
              <w:rPr>
                <w:rFonts w:hint="eastAsia" w:ascii="宋体" w:hAnsi="宋体" w:eastAsia="宋体" w:cs="宋体"/>
                <w:sz w:val="22"/>
                <w:szCs w:val="22"/>
              </w:rPr>
            </w:pPr>
            <w:r>
              <w:rPr>
                <w:rFonts w:hint="eastAsia" w:ascii="宋体" w:hAnsi="宋体" w:eastAsia="宋体" w:cs="宋体"/>
                <w:spacing w:val="-4"/>
                <w:sz w:val="22"/>
                <w:szCs w:val="22"/>
                <w14:textOutline w14:w="1537" w14:cap="flat" w14:cmpd="sng">
                  <w14:solidFill>
                    <w14:srgbClr w14:val="000000"/>
                  </w14:solidFill>
                  <w14:prstDash w14:val="solid"/>
                  <w14:miter w14:val="0"/>
                </w14:textOutline>
              </w:rPr>
              <w:t>审查内容</w:t>
            </w:r>
          </w:p>
        </w:tc>
        <w:tc>
          <w:tcPr>
            <w:tcW w:w="3274" w:type="dxa"/>
            <w:vAlign w:val="top"/>
          </w:tcPr>
          <w:p>
            <w:pPr>
              <w:keepNext w:val="0"/>
              <w:keepLines w:val="0"/>
              <w:pageBreakBefore w:val="0"/>
              <w:kinsoku/>
              <w:wordWrap w:val="0"/>
              <w:overflowPunct/>
              <w:topLinePunct w:val="0"/>
              <w:bidi w:val="0"/>
              <w:spacing w:before="119" w:line="220" w:lineRule="auto"/>
              <w:jc w:val="center"/>
              <w:rPr>
                <w:rFonts w:hint="eastAsia" w:ascii="宋体" w:hAnsi="宋体" w:eastAsia="宋体" w:cs="宋体"/>
                <w:sz w:val="22"/>
                <w:szCs w:val="22"/>
                <w:lang w:eastAsia="zh-CN"/>
              </w:rPr>
            </w:pPr>
            <w:r>
              <w:rPr>
                <w:rFonts w:hint="eastAsia" w:ascii="宋体" w:hAnsi="宋体" w:eastAsia="宋体" w:cs="宋体"/>
                <w:spacing w:val="-2"/>
                <w:sz w:val="22"/>
                <w:szCs w:val="22"/>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pPr>
              <w:pStyle w:val="25"/>
              <w:keepNext w:val="0"/>
              <w:keepLines w:val="0"/>
              <w:pageBreakBefore w:val="0"/>
              <w:kinsoku/>
              <w:wordWrap w:val="0"/>
              <w:overflowPunct/>
              <w:topLinePunct w:val="0"/>
              <w:bidi w:val="0"/>
              <w:spacing w:line="454"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before="69" w:line="199" w:lineRule="auto"/>
              <w:ind w:left="372"/>
              <w:jc w:val="both"/>
              <w:rPr>
                <w:rFonts w:hint="eastAsia" w:ascii="宋体" w:hAnsi="宋体" w:eastAsia="宋体" w:cs="宋体"/>
                <w:sz w:val="22"/>
                <w:szCs w:val="22"/>
              </w:rPr>
            </w:pPr>
            <w:r>
              <w:rPr>
                <w:rFonts w:hint="eastAsia" w:ascii="宋体" w:hAnsi="宋体" w:eastAsia="宋体" w:cs="宋体"/>
                <w:sz w:val="22"/>
                <w:szCs w:val="22"/>
              </w:rPr>
              <w:t>1</w:t>
            </w:r>
          </w:p>
        </w:tc>
        <w:tc>
          <w:tcPr>
            <w:tcW w:w="1061"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z w:val="22"/>
                <w:szCs w:val="22"/>
              </w:rPr>
            </w:pPr>
            <w:r>
              <w:rPr>
                <w:rFonts w:hint="eastAsia" w:ascii="宋体" w:hAnsi="宋体" w:eastAsia="宋体" w:cs="宋体"/>
                <w:spacing w:val="-2"/>
                <w:sz w:val="22"/>
                <w:szCs w:val="22"/>
              </w:rPr>
              <w:t>满足第一章《</w:t>
            </w:r>
            <w:r>
              <w:rPr>
                <w:rFonts w:hint="eastAsia" w:ascii="宋体" w:hAnsi="宋体" w:eastAsia="宋体" w:cs="宋体"/>
                <w:spacing w:val="-2"/>
                <w:sz w:val="22"/>
                <w:szCs w:val="22"/>
                <w:lang w:eastAsia="zh-CN"/>
              </w:rPr>
              <w:t>公开招标公告</w:t>
            </w:r>
            <w:r>
              <w:rPr>
                <w:rFonts w:hint="eastAsia" w:ascii="宋体" w:hAnsi="宋体" w:eastAsia="宋体" w:cs="宋体"/>
                <w:spacing w:val="-2"/>
                <w:sz w:val="22"/>
                <w:szCs w:val="22"/>
              </w:rPr>
              <w:t>》</w:t>
            </w:r>
            <w:r>
              <w:rPr>
                <w:rFonts w:hint="eastAsia" w:ascii="宋体" w:hAnsi="宋体" w:eastAsia="宋体" w:cs="宋体"/>
                <w:spacing w:val="-2"/>
                <w:sz w:val="22"/>
                <w:szCs w:val="22"/>
                <w:lang w:val="en-US" w:eastAsia="zh-CN"/>
              </w:rPr>
              <w:t>投标人具备的</w:t>
            </w:r>
            <w:r>
              <w:rPr>
                <w:rFonts w:hint="eastAsia" w:ascii="宋体" w:hAnsi="宋体" w:eastAsia="宋体" w:cs="宋体"/>
                <w:spacing w:val="-2"/>
                <w:sz w:val="22"/>
                <w:szCs w:val="22"/>
              </w:rPr>
              <w:t>资格要求</w:t>
            </w:r>
          </w:p>
        </w:tc>
        <w:tc>
          <w:tcPr>
            <w:tcW w:w="3804"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pacing w:val="-2"/>
                <w:sz w:val="22"/>
                <w:szCs w:val="22"/>
                <w:lang w:val="en-US" w:eastAsia="zh-CN"/>
              </w:rPr>
            </w:pPr>
            <w:r>
              <w:rPr>
                <w:rFonts w:hint="eastAsia" w:ascii="宋体" w:hAnsi="宋体" w:eastAsia="宋体" w:cs="宋体"/>
                <w:snapToGrid w:val="0"/>
                <w:color w:val="000000"/>
                <w:spacing w:val="-14"/>
                <w:kern w:val="0"/>
                <w:sz w:val="22"/>
                <w:szCs w:val="22"/>
                <w:lang w:val="en-US" w:eastAsia="zh-CN" w:bidi="ar-SA"/>
              </w:rPr>
              <w:t>1.</w:t>
            </w:r>
            <w:r>
              <w:rPr>
                <w:rFonts w:hint="eastAsia" w:ascii="宋体" w:hAnsi="宋体" w:eastAsia="宋体" w:cs="宋体"/>
                <w:spacing w:val="-2"/>
                <w:sz w:val="22"/>
                <w:szCs w:val="22"/>
                <w:lang w:val="en-US" w:eastAsia="zh-CN"/>
              </w:rPr>
              <w:t>注册于中华人民共和国境内，具有独立承担民事责任能力；</w:t>
            </w:r>
          </w:p>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2.具有良好的商业信誉和健全的财务会计制度；</w:t>
            </w:r>
          </w:p>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3.具有履行合同所必需的设备和专业技术能力；</w:t>
            </w:r>
          </w:p>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4.有依法缴纳税收和社会保障资金的良好记录；</w:t>
            </w:r>
          </w:p>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5.</w:t>
            </w:r>
            <w:r>
              <w:rPr>
                <w:rFonts w:hint="eastAsia" w:ascii="宋体" w:hAnsi="宋体" w:eastAsia="宋体" w:cs="宋体"/>
                <w:snapToGrid w:val="0"/>
                <w:color w:val="000000"/>
                <w:spacing w:val="-14"/>
                <w:kern w:val="0"/>
                <w:sz w:val="22"/>
                <w:szCs w:val="22"/>
                <w:lang w:val="en-US" w:eastAsia="zh-CN" w:bidi="ar-SA"/>
              </w:rPr>
              <w:t>参加政府采购活动前三年内，在经营活动中没有重大违法记录；</w:t>
            </w:r>
          </w:p>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6.根据《关于在政府采购活动中查询及使用信用记录有关问题的通知》(财库</w:t>
            </w:r>
            <w:r>
              <w:rPr>
                <w:rFonts w:hint="eastAsia" w:ascii="宋体" w:hAnsi="宋体" w:eastAsia="宋体" w:cs="宋体"/>
                <w:spacing w:val="-12"/>
                <w:sz w:val="22"/>
                <w:szCs w:val="22"/>
              </w:rPr>
              <w:t>〔20</w:t>
            </w:r>
            <w:r>
              <w:rPr>
                <w:rFonts w:hint="eastAsia" w:ascii="宋体" w:hAnsi="宋体" w:eastAsia="宋体" w:cs="宋体"/>
                <w:spacing w:val="-12"/>
                <w:sz w:val="22"/>
                <w:szCs w:val="22"/>
                <w:lang w:val="en-US" w:eastAsia="zh-CN"/>
              </w:rPr>
              <w:t>16</w:t>
            </w:r>
            <w:r>
              <w:rPr>
                <w:rFonts w:hint="eastAsia" w:ascii="宋体" w:hAnsi="宋体" w:eastAsia="宋体" w:cs="宋体"/>
                <w:spacing w:val="-12"/>
                <w:sz w:val="22"/>
                <w:szCs w:val="22"/>
              </w:rPr>
              <w:t>〕</w:t>
            </w:r>
            <w:r>
              <w:rPr>
                <w:rFonts w:hint="eastAsia" w:ascii="宋体" w:hAnsi="宋体" w:eastAsia="宋体" w:cs="宋体"/>
                <w:spacing w:val="-2"/>
                <w:sz w:val="22"/>
                <w:szCs w:val="22"/>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val="0"/>
              <w:overflowPunct/>
              <w:topLinePunct w:val="0"/>
              <w:bidi w:val="0"/>
              <w:spacing w:before="32" w:line="232" w:lineRule="auto"/>
              <w:ind w:left="112" w:right="105"/>
              <w:jc w:val="both"/>
              <w:rPr>
                <w:rFonts w:hint="eastAsia" w:ascii="宋体" w:hAnsi="宋体" w:eastAsia="宋体" w:cs="宋体"/>
                <w:sz w:val="22"/>
                <w:szCs w:val="22"/>
              </w:rPr>
            </w:pPr>
            <w:r>
              <w:rPr>
                <w:rFonts w:hint="eastAsia" w:ascii="宋体" w:hAnsi="宋体" w:eastAsia="宋体" w:cs="宋体"/>
                <w:spacing w:val="-2"/>
                <w:sz w:val="22"/>
                <w:szCs w:val="22"/>
                <w:lang w:val="en-US" w:eastAsia="zh-CN"/>
              </w:rPr>
              <w:t>7.遵守国家有关法律、法规、规章。</w:t>
            </w:r>
          </w:p>
        </w:tc>
        <w:tc>
          <w:tcPr>
            <w:tcW w:w="3274" w:type="dxa"/>
            <w:vAlign w:val="top"/>
          </w:tcPr>
          <w:p>
            <w:pPr>
              <w:keepNext w:val="0"/>
              <w:keepLines w:val="0"/>
              <w:pageBreakBefore w:val="0"/>
              <w:kinsoku/>
              <w:wordWrap w:val="0"/>
              <w:overflowPunct/>
              <w:topLinePunct w:val="0"/>
              <w:bidi w:val="0"/>
              <w:spacing w:before="32" w:line="232" w:lineRule="auto"/>
              <w:ind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投标人为企业（包括合伙企业、个体工商户）的，应提供有效的营业执照；</w:t>
            </w:r>
          </w:p>
          <w:p>
            <w:pPr>
              <w:keepNext w:val="0"/>
              <w:keepLines w:val="0"/>
              <w:pageBreakBefore w:val="0"/>
              <w:kinsoku/>
              <w:wordWrap w:val="0"/>
              <w:overflowPunct/>
              <w:topLinePunct w:val="0"/>
              <w:bidi w:val="0"/>
              <w:spacing w:before="32" w:line="232" w:lineRule="auto"/>
              <w:ind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投标人为事业单位的，应提供有效的事业单位法人证书；</w:t>
            </w:r>
          </w:p>
          <w:p>
            <w:pPr>
              <w:keepNext w:val="0"/>
              <w:keepLines w:val="0"/>
              <w:pageBreakBefore w:val="0"/>
              <w:kinsoku/>
              <w:wordWrap w:val="0"/>
              <w:overflowPunct/>
              <w:topLinePunct w:val="0"/>
              <w:bidi w:val="0"/>
              <w:spacing w:before="32" w:line="232" w:lineRule="auto"/>
              <w:ind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投标人是非企业机构的，应提供有效的执业许可证、登记证书等证明文件；</w:t>
            </w:r>
          </w:p>
          <w:p>
            <w:pPr>
              <w:keepNext w:val="0"/>
              <w:keepLines w:val="0"/>
              <w:pageBreakBefore w:val="0"/>
              <w:kinsoku/>
              <w:wordWrap w:val="0"/>
              <w:overflowPunct/>
              <w:topLinePunct w:val="0"/>
              <w:bidi w:val="0"/>
              <w:spacing w:before="32" w:line="232" w:lineRule="auto"/>
              <w:ind w:right="105"/>
              <w:jc w:val="both"/>
              <w:rPr>
                <w:rFonts w:hint="eastAsia" w:ascii="宋体" w:hAnsi="宋体" w:eastAsia="宋体" w:cs="宋体"/>
                <w:spacing w:val="-2"/>
                <w:sz w:val="22"/>
                <w:szCs w:val="22"/>
                <w:lang w:val="en-US" w:eastAsia="zh-CN"/>
              </w:rPr>
            </w:pPr>
            <w:r>
              <w:rPr>
                <w:rFonts w:hint="eastAsia" w:ascii="宋体" w:hAnsi="宋体" w:eastAsia="宋体" w:cs="宋体"/>
                <w:spacing w:val="-2"/>
                <w:sz w:val="22"/>
                <w:szCs w:val="22"/>
                <w:lang w:val="en-US" w:eastAsia="zh-CN"/>
              </w:rPr>
              <w:t>投标人是自然人的，应提供有效的自然人身份证明。</w:t>
            </w:r>
          </w:p>
          <w:p>
            <w:pPr>
              <w:keepNext w:val="0"/>
              <w:keepLines w:val="0"/>
              <w:pageBreakBefore w:val="0"/>
              <w:kinsoku/>
              <w:wordWrap w:val="0"/>
              <w:overflowPunct/>
              <w:topLinePunct w:val="0"/>
              <w:bidi w:val="0"/>
              <w:spacing w:before="32" w:line="232" w:lineRule="auto"/>
              <w:ind w:right="105"/>
              <w:jc w:val="both"/>
              <w:rPr>
                <w:rFonts w:hint="eastAsia" w:ascii="宋体" w:hAnsi="宋体" w:eastAsia="宋体" w:cs="宋体"/>
                <w:sz w:val="22"/>
                <w:szCs w:val="22"/>
              </w:rPr>
            </w:pPr>
            <w:r>
              <w:rPr>
                <w:rFonts w:hint="eastAsia" w:ascii="宋体" w:hAnsi="宋体" w:eastAsia="宋体" w:cs="宋体"/>
                <w:spacing w:val="-2"/>
                <w:sz w:val="22"/>
                <w:szCs w:val="22"/>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vAlign w:val="top"/>
          </w:tcPr>
          <w:p>
            <w:pPr>
              <w:pStyle w:val="25"/>
              <w:keepNext w:val="0"/>
              <w:keepLines w:val="0"/>
              <w:pageBreakBefore w:val="0"/>
              <w:kinsoku/>
              <w:wordWrap w:val="0"/>
              <w:overflowPunct/>
              <w:topLinePunct w:val="0"/>
              <w:bidi w:val="0"/>
              <w:spacing w:before="137" w:line="201" w:lineRule="auto"/>
              <w:ind w:left="243"/>
              <w:jc w:val="both"/>
              <w:rPr>
                <w:rFonts w:hint="eastAsia" w:ascii="宋体" w:hAnsi="宋体" w:eastAsia="宋体" w:cs="宋体"/>
                <w:sz w:val="22"/>
                <w:szCs w:val="22"/>
                <w:lang w:eastAsia="zh-CN"/>
              </w:rPr>
            </w:pPr>
            <w:r>
              <w:rPr>
                <w:rFonts w:hint="eastAsia" w:ascii="宋体" w:hAnsi="宋体" w:eastAsia="宋体" w:cs="宋体"/>
                <w:spacing w:val="8"/>
                <w:sz w:val="22"/>
                <w:szCs w:val="22"/>
                <w:lang w:val="en-US" w:eastAsia="zh-CN"/>
              </w:rPr>
              <w:t>2</w:t>
            </w:r>
          </w:p>
        </w:tc>
        <w:tc>
          <w:tcPr>
            <w:tcW w:w="1061" w:type="dxa"/>
            <w:vAlign w:val="top"/>
          </w:tcPr>
          <w:p>
            <w:pPr>
              <w:keepNext w:val="0"/>
              <w:keepLines w:val="0"/>
              <w:pageBreakBefore w:val="0"/>
              <w:kinsoku/>
              <w:wordWrap w:val="0"/>
              <w:overflowPunct/>
              <w:topLinePunct w:val="0"/>
              <w:bidi w:val="0"/>
              <w:spacing w:before="116" w:line="221" w:lineRule="auto"/>
              <w:ind w:left="136"/>
              <w:jc w:val="both"/>
              <w:rPr>
                <w:rFonts w:hint="eastAsia" w:ascii="宋体" w:hAnsi="宋体" w:eastAsia="宋体" w:cs="宋体"/>
                <w:sz w:val="22"/>
                <w:szCs w:val="22"/>
                <w:lang w:eastAsia="zh-CN"/>
              </w:rPr>
            </w:pPr>
            <w:r>
              <w:rPr>
                <w:rFonts w:hint="eastAsia" w:ascii="宋体" w:hAnsi="宋体" w:eastAsia="宋体" w:cs="宋体"/>
                <w:spacing w:val="-5"/>
                <w:sz w:val="22"/>
                <w:szCs w:val="22"/>
              </w:rPr>
              <w:t>中小企业政策</w:t>
            </w:r>
          </w:p>
        </w:tc>
        <w:tc>
          <w:tcPr>
            <w:tcW w:w="3804" w:type="dxa"/>
            <w:vAlign w:val="top"/>
          </w:tcPr>
          <w:p>
            <w:pPr>
              <w:keepNext w:val="0"/>
              <w:keepLines w:val="0"/>
              <w:pageBreakBefore w:val="0"/>
              <w:kinsoku/>
              <w:wordWrap w:val="0"/>
              <w:overflowPunct/>
              <w:topLinePunct w:val="0"/>
              <w:bidi w:val="0"/>
              <w:spacing w:before="116" w:line="219" w:lineRule="auto"/>
              <w:ind w:left="119"/>
              <w:jc w:val="both"/>
              <w:rPr>
                <w:rFonts w:hint="eastAsia" w:ascii="宋体" w:hAnsi="宋体" w:eastAsia="宋体" w:cs="宋体"/>
                <w:sz w:val="22"/>
                <w:szCs w:val="22"/>
              </w:rPr>
            </w:pPr>
            <w:r>
              <w:rPr>
                <w:rFonts w:hint="eastAsia" w:ascii="宋体" w:hAnsi="宋体" w:eastAsia="宋体" w:cs="宋体"/>
                <w:spacing w:val="-2"/>
                <w:sz w:val="22"/>
                <w:szCs w:val="22"/>
              </w:rPr>
              <w:t>具体要求见第一章《</w:t>
            </w:r>
            <w:r>
              <w:rPr>
                <w:rFonts w:hint="eastAsia" w:ascii="宋体" w:hAnsi="宋体" w:eastAsia="宋体" w:cs="宋体"/>
                <w:spacing w:val="-2"/>
                <w:sz w:val="22"/>
                <w:szCs w:val="22"/>
                <w:lang w:eastAsia="zh-CN"/>
              </w:rPr>
              <w:t>公开招标公告</w:t>
            </w:r>
            <w:r>
              <w:rPr>
                <w:rFonts w:hint="eastAsia" w:ascii="宋体" w:hAnsi="宋体" w:eastAsia="宋体" w:cs="宋体"/>
                <w:spacing w:val="-2"/>
                <w:sz w:val="22"/>
                <w:szCs w:val="22"/>
              </w:rPr>
              <w:t>》</w:t>
            </w:r>
          </w:p>
        </w:tc>
        <w:tc>
          <w:tcPr>
            <w:tcW w:w="3274" w:type="dxa"/>
            <w:vAlign w:val="top"/>
          </w:tcPr>
          <w:p>
            <w:pPr>
              <w:pStyle w:val="25"/>
              <w:keepNext w:val="0"/>
              <w:keepLines w:val="0"/>
              <w:pageBreakBefore w:val="0"/>
              <w:kinsoku/>
              <w:wordWrap w:val="0"/>
              <w:overflowPunct/>
              <w:topLinePunct w:val="0"/>
              <w:bidi w:val="0"/>
              <w:jc w:val="both"/>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1" w:hRule="atLeast"/>
        </w:trPr>
        <w:tc>
          <w:tcPr>
            <w:tcW w:w="729" w:type="dxa"/>
            <w:vAlign w:val="top"/>
          </w:tcPr>
          <w:p>
            <w:pPr>
              <w:pStyle w:val="25"/>
              <w:keepNext w:val="0"/>
              <w:keepLines w:val="0"/>
              <w:pageBreakBefore w:val="0"/>
              <w:kinsoku/>
              <w:wordWrap w:val="0"/>
              <w:overflowPunct/>
              <w:topLinePunct w:val="0"/>
              <w:bidi w:val="0"/>
              <w:spacing w:line="258"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8"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8"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8"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8"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9"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9"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9"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9"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before="49" w:line="199" w:lineRule="auto"/>
              <w:jc w:val="center"/>
              <w:rPr>
                <w:rFonts w:hint="eastAsia" w:ascii="宋体" w:hAnsi="宋体" w:eastAsia="宋体" w:cs="宋体"/>
                <w:sz w:val="22"/>
                <w:szCs w:val="22"/>
              </w:rPr>
            </w:pPr>
            <w:r>
              <w:rPr>
                <w:rFonts w:hint="eastAsia" w:ascii="宋体" w:hAnsi="宋体" w:eastAsia="宋体" w:cs="宋体"/>
                <w:spacing w:val="8"/>
                <w:sz w:val="22"/>
                <w:szCs w:val="22"/>
              </w:rPr>
              <w:t>2-1</w:t>
            </w:r>
          </w:p>
        </w:tc>
        <w:tc>
          <w:tcPr>
            <w:tcW w:w="1061" w:type="dxa"/>
            <w:vAlign w:val="top"/>
          </w:tcPr>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4"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4"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4" w:lineRule="auto"/>
              <w:jc w:val="both"/>
              <w:rPr>
                <w:rFonts w:hint="eastAsia" w:ascii="宋体" w:hAnsi="宋体" w:eastAsia="宋体" w:cs="宋体"/>
                <w:sz w:val="22"/>
                <w:szCs w:val="22"/>
              </w:rPr>
            </w:pPr>
          </w:p>
          <w:p>
            <w:pPr>
              <w:keepNext w:val="0"/>
              <w:keepLines w:val="0"/>
              <w:pageBreakBefore w:val="0"/>
              <w:kinsoku/>
              <w:wordWrap w:val="0"/>
              <w:overflowPunct/>
              <w:topLinePunct w:val="0"/>
              <w:bidi w:val="0"/>
              <w:spacing w:before="78" w:line="229" w:lineRule="auto"/>
              <w:ind w:left="112" w:right="105" w:firstLine="23"/>
              <w:jc w:val="both"/>
              <w:rPr>
                <w:rFonts w:hint="eastAsia" w:ascii="宋体" w:hAnsi="宋体" w:eastAsia="宋体" w:cs="宋体"/>
                <w:sz w:val="22"/>
                <w:szCs w:val="22"/>
              </w:rPr>
            </w:pPr>
            <w:r>
              <w:rPr>
                <w:rFonts w:hint="eastAsia" w:ascii="宋体" w:hAnsi="宋体" w:eastAsia="宋体" w:cs="宋体"/>
                <w:spacing w:val="7"/>
                <w:sz w:val="22"/>
                <w:szCs w:val="22"/>
              </w:rPr>
              <w:t>中小企业证明文</w:t>
            </w:r>
            <w:r>
              <w:rPr>
                <w:rFonts w:hint="eastAsia" w:ascii="宋体" w:hAnsi="宋体" w:eastAsia="宋体" w:cs="宋体"/>
                <w:sz w:val="22"/>
                <w:szCs w:val="22"/>
              </w:rPr>
              <w:t>件</w:t>
            </w:r>
          </w:p>
        </w:tc>
        <w:tc>
          <w:tcPr>
            <w:tcW w:w="3804" w:type="dxa"/>
            <w:vAlign w:val="top"/>
          </w:tcPr>
          <w:p>
            <w:pPr>
              <w:keepNext w:val="0"/>
              <w:keepLines w:val="0"/>
              <w:pageBreakBefore w:val="0"/>
              <w:kinsoku/>
              <w:wordWrap w:val="0"/>
              <w:overflowPunct/>
              <w:topLinePunct w:val="0"/>
              <w:bidi w:val="0"/>
              <w:spacing w:before="36" w:line="215" w:lineRule="auto"/>
              <w:ind w:left="115" w:right="102" w:firstLine="14"/>
              <w:jc w:val="both"/>
              <w:rPr>
                <w:rFonts w:hint="eastAsia" w:ascii="宋体" w:hAnsi="宋体" w:eastAsia="宋体" w:cs="宋体"/>
                <w:sz w:val="22"/>
                <w:szCs w:val="22"/>
              </w:rPr>
            </w:pPr>
            <w:r>
              <w:rPr>
                <w:rFonts w:hint="eastAsia" w:ascii="宋体" w:hAnsi="宋体" w:eastAsia="宋体" w:cs="宋体"/>
                <w:spacing w:val="1"/>
                <w:sz w:val="22"/>
                <w:szCs w:val="22"/>
              </w:rPr>
              <w:t>当本项目（包）涉及预留份额专门面向中小企业采购，此时</w:t>
            </w:r>
            <w:r>
              <w:rPr>
                <w:rFonts w:hint="eastAsia" w:ascii="宋体" w:hAnsi="宋体" w:eastAsia="宋体" w:cs="宋体"/>
                <w:spacing w:val="1"/>
                <w:sz w:val="22"/>
                <w:szCs w:val="22"/>
                <w:lang w:val="en-US" w:eastAsia="zh-CN"/>
              </w:rPr>
              <w:t>须在</w:t>
            </w:r>
            <w:r>
              <w:rPr>
                <w:rFonts w:hint="eastAsia" w:ascii="宋体" w:hAnsi="宋体" w:eastAsia="宋体" w:cs="宋体"/>
                <w:spacing w:val="1"/>
                <w:sz w:val="22"/>
                <w:szCs w:val="22"/>
              </w:rPr>
              <w:t>《资格证明文件》中</w:t>
            </w:r>
            <w:r>
              <w:rPr>
                <w:rFonts w:hint="eastAsia" w:ascii="宋体" w:hAnsi="宋体" w:eastAsia="宋体" w:cs="宋体"/>
                <w:spacing w:val="15"/>
                <w:sz w:val="22"/>
                <w:szCs w:val="22"/>
                <w:lang w:val="en-US" w:eastAsia="zh-CN"/>
              </w:rPr>
              <w:t>提</w:t>
            </w:r>
            <w:r>
              <w:rPr>
                <w:rFonts w:hint="eastAsia" w:ascii="宋体" w:hAnsi="宋体" w:eastAsia="宋体" w:cs="宋体"/>
                <w:spacing w:val="-5"/>
                <w:sz w:val="22"/>
                <w:szCs w:val="22"/>
              </w:rPr>
              <w:t>供。</w:t>
            </w:r>
          </w:p>
          <w:p>
            <w:pPr>
              <w:pStyle w:val="25"/>
              <w:keepNext w:val="0"/>
              <w:keepLines w:val="0"/>
              <w:pageBreakBefore w:val="0"/>
              <w:kinsoku/>
              <w:wordWrap w:val="0"/>
              <w:overflowPunct/>
              <w:topLinePunct w:val="0"/>
              <w:bidi w:val="0"/>
              <w:spacing w:before="4" w:line="220" w:lineRule="auto"/>
              <w:ind w:left="116" w:right="102" w:firstLine="15"/>
              <w:jc w:val="both"/>
              <w:rPr>
                <w:rFonts w:hint="eastAsia" w:ascii="宋体" w:hAnsi="宋体" w:eastAsia="宋体" w:cs="宋体"/>
                <w:sz w:val="22"/>
                <w:szCs w:val="22"/>
              </w:rPr>
            </w:pPr>
            <w:r>
              <w:rPr>
                <w:rFonts w:hint="eastAsia" w:ascii="宋体" w:hAnsi="宋体" w:eastAsia="宋体" w:cs="宋体"/>
                <w:spacing w:val="-5"/>
                <w:sz w:val="22"/>
                <w:szCs w:val="22"/>
              </w:rPr>
              <w:t>1、投标人单独投标的，应</w:t>
            </w:r>
            <w:r>
              <w:rPr>
                <w:rFonts w:hint="eastAsia" w:ascii="宋体" w:hAnsi="宋体" w:eastAsia="宋体" w:cs="宋体"/>
                <w:spacing w:val="-5"/>
                <w:sz w:val="22"/>
                <w:szCs w:val="22"/>
                <w:lang w:val="en-US" w:eastAsia="zh-CN"/>
              </w:rPr>
              <w:t>提</w:t>
            </w:r>
            <w:r>
              <w:rPr>
                <w:rFonts w:hint="eastAsia" w:ascii="宋体" w:hAnsi="宋体" w:eastAsia="宋体" w:cs="宋体"/>
                <w:spacing w:val="-5"/>
                <w:sz w:val="22"/>
                <w:szCs w:val="22"/>
              </w:rPr>
              <w:t>供《中小企业声</w:t>
            </w:r>
            <w:r>
              <w:rPr>
                <w:rFonts w:hint="eastAsia" w:ascii="宋体" w:hAnsi="宋体" w:eastAsia="宋体" w:cs="宋体"/>
                <w:spacing w:val="1"/>
                <w:sz w:val="22"/>
                <w:szCs w:val="22"/>
              </w:rPr>
              <w:t>明函》或《残疾人福利性单位声明函》或由省级以上监狱管理局、戒毒管理局（含新疆生产建设兵团）出具的属于监狱企业的证明</w:t>
            </w:r>
            <w:r>
              <w:rPr>
                <w:rFonts w:hint="eastAsia" w:ascii="宋体" w:hAnsi="宋体" w:eastAsia="宋体" w:cs="宋体"/>
                <w:spacing w:val="-11"/>
                <w:sz w:val="22"/>
                <w:szCs w:val="22"/>
              </w:rPr>
              <w:t>文件。</w:t>
            </w:r>
          </w:p>
          <w:p>
            <w:pPr>
              <w:pStyle w:val="25"/>
              <w:keepNext w:val="0"/>
              <w:keepLines w:val="0"/>
              <w:pageBreakBefore w:val="0"/>
              <w:kinsoku/>
              <w:wordWrap w:val="0"/>
              <w:overflowPunct/>
              <w:topLinePunct w:val="0"/>
              <w:bidi w:val="0"/>
              <w:spacing w:before="20" w:line="236" w:lineRule="auto"/>
              <w:ind w:left="113" w:right="102" w:firstLine="9"/>
              <w:jc w:val="both"/>
              <w:rPr>
                <w:rFonts w:hint="eastAsia" w:ascii="宋体" w:hAnsi="宋体" w:eastAsia="宋体" w:cs="宋体"/>
                <w:sz w:val="22"/>
                <w:szCs w:val="22"/>
              </w:rPr>
            </w:pPr>
            <w:r>
              <w:rPr>
                <w:rFonts w:hint="eastAsia" w:ascii="宋体" w:hAnsi="宋体" w:eastAsia="宋体" w:cs="宋体"/>
                <w:spacing w:val="-6"/>
                <w:sz w:val="22"/>
                <w:szCs w:val="22"/>
              </w:rPr>
              <w:t>2、如招标文件要求以联合体形式参加</w:t>
            </w:r>
            <w:r>
              <w:rPr>
                <w:rFonts w:hint="eastAsia" w:ascii="宋体" w:hAnsi="宋体" w:eastAsia="宋体" w:cs="宋体"/>
                <w:spacing w:val="1"/>
                <w:sz w:val="22"/>
                <w:szCs w:val="22"/>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宋体" w:hAnsi="宋体" w:eastAsia="宋体" w:cs="宋体"/>
                <w:spacing w:val="-4"/>
                <w:sz w:val="22"/>
                <w:szCs w:val="22"/>
              </w:rPr>
              <w:t>关于预留份额的要求。</w:t>
            </w:r>
          </w:p>
        </w:tc>
        <w:tc>
          <w:tcPr>
            <w:tcW w:w="3274" w:type="dxa"/>
            <w:vAlign w:val="top"/>
          </w:tcPr>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3"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4"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4" w:lineRule="auto"/>
              <w:jc w:val="both"/>
              <w:rPr>
                <w:rFonts w:hint="eastAsia" w:ascii="宋体" w:hAnsi="宋体" w:eastAsia="宋体" w:cs="宋体"/>
                <w:sz w:val="22"/>
                <w:szCs w:val="22"/>
              </w:rPr>
            </w:pPr>
          </w:p>
          <w:p>
            <w:pPr>
              <w:pStyle w:val="25"/>
              <w:keepNext w:val="0"/>
              <w:keepLines w:val="0"/>
              <w:pageBreakBefore w:val="0"/>
              <w:kinsoku/>
              <w:wordWrap w:val="0"/>
              <w:overflowPunct/>
              <w:topLinePunct w:val="0"/>
              <w:bidi w:val="0"/>
              <w:spacing w:line="254" w:lineRule="auto"/>
              <w:jc w:val="both"/>
              <w:rPr>
                <w:rFonts w:hint="eastAsia" w:ascii="宋体" w:hAnsi="宋体" w:eastAsia="宋体" w:cs="宋体"/>
                <w:sz w:val="22"/>
                <w:szCs w:val="22"/>
              </w:rPr>
            </w:pPr>
          </w:p>
          <w:p>
            <w:pPr>
              <w:keepNext w:val="0"/>
              <w:keepLines w:val="0"/>
              <w:pageBreakBefore w:val="0"/>
              <w:kinsoku/>
              <w:wordWrap w:val="0"/>
              <w:overflowPunct/>
              <w:topLinePunct w:val="0"/>
              <w:bidi w:val="0"/>
              <w:spacing w:before="78" w:line="229" w:lineRule="auto"/>
              <w:ind w:left="118" w:right="116" w:hanging="1"/>
              <w:jc w:val="both"/>
              <w:rPr>
                <w:rFonts w:hint="eastAsia" w:ascii="宋体" w:hAnsi="宋体" w:eastAsia="宋体" w:cs="宋体"/>
                <w:sz w:val="22"/>
                <w:szCs w:val="22"/>
              </w:rPr>
            </w:pPr>
            <w:r>
              <w:rPr>
                <w:rFonts w:hint="eastAsia" w:ascii="宋体" w:hAnsi="宋体" w:eastAsia="宋体" w:cs="宋体"/>
                <w:spacing w:val="-6"/>
                <w:sz w:val="22"/>
                <w:szCs w:val="22"/>
              </w:rPr>
              <w:t>格式见《投标</w:t>
            </w:r>
            <w:r>
              <w:rPr>
                <w:rFonts w:hint="eastAsia" w:ascii="宋体" w:hAnsi="宋体" w:eastAsia="宋体" w:cs="宋体"/>
                <w:spacing w:val="-4"/>
                <w:sz w:val="22"/>
                <w:szCs w:val="22"/>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vAlign w:val="top"/>
          </w:tcPr>
          <w:p>
            <w:pPr>
              <w:pStyle w:val="25"/>
              <w:keepNext w:val="0"/>
              <w:keepLines w:val="0"/>
              <w:pageBreakBefore w:val="0"/>
              <w:kinsoku/>
              <w:wordWrap w:val="0"/>
              <w:overflowPunct/>
              <w:topLinePunct w:val="0"/>
              <w:bidi w:val="0"/>
              <w:spacing w:before="213" w:line="201" w:lineRule="auto"/>
              <w:ind w:left="364"/>
              <w:jc w:val="both"/>
              <w:rPr>
                <w:rFonts w:hint="eastAsia" w:ascii="宋体" w:hAnsi="宋体" w:eastAsia="宋体" w:cs="宋体"/>
                <w:sz w:val="22"/>
                <w:szCs w:val="22"/>
              </w:rPr>
            </w:pPr>
            <w:r>
              <w:rPr>
                <w:rFonts w:hint="eastAsia" w:ascii="宋体" w:hAnsi="宋体" w:eastAsia="宋体" w:cs="宋体"/>
                <w:sz w:val="22"/>
                <w:szCs w:val="22"/>
              </w:rPr>
              <w:t>3</w:t>
            </w:r>
          </w:p>
        </w:tc>
        <w:tc>
          <w:tcPr>
            <w:tcW w:w="1061" w:type="dxa"/>
            <w:vAlign w:val="top"/>
          </w:tcPr>
          <w:p>
            <w:pPr>
              <w:keepNext w:val="0"/>
              <w:keepLines w:val="0"/>
              <w:pageBreakBefore w:val="0"/>
              <w:kinsoku/>
              <w:wordWrap w:val="0"/>
              <w:overflowPunct/>
              <w:topLinePunct w:val="0"/>
              <w:bidi w:val="0"/>
              <w:spacing w:before="35" w:line="224" w:lineRule="auto"/>
              <w:ind w:left="113" w:right="105"/>
              <w:jc w:val="both"/>
              <w:rPr>
                <w:rFonts w:hint="eastAsia" w:ascii="宋体" w:hAnsi="宋体" w:eastAsia="宋体" w:cs="宋体"/>
                <w:sz w:val="22"/>
                <w:szCs w:val="22"/>
              </w:rPr>
            </w:pPr>
            <w:r>
              <w:rPr>
                <w:rFonts w:hint="eastAsia" w:ascii="宋体" w:hAnsi="宋体" w:eastAsia="宋体" w:cs="宋体"/>
                <w:spacing w:val="10"/>
                <w:sz w:val="22"/>
                <w:szCs w:val="22"/>
              </w:rPr>
              <w:t>本项目的</w:t>
            </w:r>
            <w:r>
              <w:rPr>
                <w:rFonts w:hint="eastAsia" w:ascii="宋体" w:hAnsi="宋体" w:eastAsia="宋体" w:cs="宋体"/>
                <w:spacing w:val="10"/>
                <w:sz w:val="22"/>
                <w:szCs w:val="22"/>
                <w:lang w:val="en-US" w:eastAsia="zh-CN"/>
              </w:rPr>
              <w:t>其他</w:t>
            </w:r>
            <w:r>
              <w:rPr>
                <w:rFonts w:hint="eastAsia" w:ascii="宋体" w:hAnsi="宋体" w:eastAsia="宋体" w:cs="宋体"/>
                <w:spacing w:val="10"/>
                <w:sz w:val="22"/>
                <w:szCs w:val="22"/>
              </w:rPr>
              <w:t>资</w:t>
            </w:r>
            <w:r>
              <w:rPr>
                <w:rFonts w:hint="eastAsia" w:ascii="宋体" w:hAnsi="宋体" w:eastAsia="宋体" w:cs="宋体"/>
                <w:spacing w:val="-3"/>
                <w:sz w:val="22"/>
                <w:szCs w:val="22"/>
              </w:rPr>
              <w:t>格要</w:t>
            </w:r>
            <w:r>
              <w:rPr>
                <w:rFonts w:hint="eastAsia" w:ascii="宋体" w:hAnsi="宋体" w:eastAsia="宋体" w:cs="宋体"/>
                <w:spacing w:val="-3"/>
                <w:sz w:val="22"/>
                <w:szCs w:val="22"/>
                <w:lang w:val="en-US" w:eastAsia="zh-CN"/>
              </w:rPr>
              <w:t xml:space="preserve"> </w:t>
            </w:r>
            <w:r>
              <w:rPr>
                <w:rFonts w:hint="eastAsia" w:ascii="宋体" w:hAnsi="宋体" w:eastAsia="宋体" w:cs="宋体"/>
                <w:spacing w:val="-3"/>
                <w:sz w:val="22"/>
                <w:szCs w:val="22"/>
              </w:rPr>
              <w:t>求</w:t>
            </w:r>
          </w:p>
        </w:tc>
        <w:tc>
          <w:tcPr>
            <w:tcW w:w="3804" w:type="dxa"/>
            <w:vAlign w:val="top"/>
          </w:tcPr>
          <w:p>
            <w:pPr>
              <w:keepNext w:val="0"/>
              <w:keepLines w:val="0"/>
              <w:pageBreakBefore w:val="0"/>
              <w:kinsoku/>
              <w:wordWrap w:val="0"/>
              <w:overflowPunct/>
              <w:topLinePunct w:val="0"/>
              <w:bidi w:val="0"/>
              <w:spacing w:before="192" w:line="219" w:lineRule="auto"/>
              <w:ind w:left="118"/>
              <w:jc w:val="both"/>
              <w:rPr>
                <w:rFonts w:hint="eastAsia" w:ascii="宋体" w:hAnsi="宋体" w:eastAsia="宋体" w:cs="宋体"/>
                <w:sz w:val="22"/>
                <w:szCs w:val="22"/>
              </w:rPr>
            </w:pPr>
            <w:r>
              <w:rPr>
                <w:rFonts w:hint="eastAsia" w:ascii="宋体" w:hAnsi="宋体" w:eastAsia="宋体" w:cs="宋体"/>
                <w:spacing w:val="-2"/>
                <w:sz w:val="22"/>
                <w:szCs w:val="22"/>
              </w:rPr>
              <w:t>如有，见第一章《</w:t>
            </w:r>
            <w:r>
              <w:rPr>
                <w:rFonts w:hint="eastAsia" w:ascii="宋体" w:hAnsi="宋体" w:eastAsia="宋体" w:cs="宋体"/>
                <w:spacing w:val="-2"/>
                <w:sz w:val="22"/>
                <w:szCs w:val="22"/>
                <w:lang w:eastAsia="zh-CN"/>
              </w:rPr>
              <w:t>公开招标公告</w:t>
            </w:r>
            <w:r>
              <w:rPr>
                <w:rFonts w:hint="eastAsia" w:ascii="宋体" w:hAnsi="宋体" w:eastAsia="宋体" w:cs="宋体"/>
                <w:spacing w:val="-2"/>
                <w:sz w:val="22"/>
                <w:szCs w:val="22"/>
              </w:rPr>
              <w:t>》</w:t>
            </w:r>
          </w:p>
        </w:tc>
        <w:tc>
          <w:tcPr>
            <w:tcW w:w="3274" w:type="dxa"/>
            <w:vAlign w:val="top"/>
          </w:tcPr>
          <w:p>
            <w:pPr>
              <w:pStyle w:val="25"/>
              <w:keepNext w:val="0"/>
              <w:keepLines w:val="0"/>
              <w:pageBreakBefore w:val="0"/>
              <w:kinsoku/>
              <w:wordWrap w:val="0"/>
              <w:overflowPunct/>
              <w:topLinePunct w:val="0"/>
              <w:bidi w:val="0"/>
              <w:jc w:val="both"/>
              <w:rPr>
                <w:rFonts w:hint="eastAsia" w:ascii="宋体" w:hAnsi="宋体" w:eastAsia="宋体" w:cs="宋体"/>
                <w:sz w:val="22"/>
                <w:szCs w:val="22"/>
              </w:rPr>
            </w:pPr>
          </w:p>
        </w:tc>
      </w:tr>
    </w:tbl>
    <w:p>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pPr>
        <w:keepNext w:val="0"/>
        <w:keepLines w:val="0"/>
        <w:pageBreakBefore w:val="0"/>
        <w:widowControl/>
        <w:kinsoku/>
        <w:wordWrap w:val="0"/>
        <w:overflowPunct/>
        <w:topLinePunct w:val="0"/>
        <w:autoSpaceDE w:val="0"/>
        <w:autoSpaceDN w:val="0"/>
        <w:bidi w:val="0"/>
        <w:adjustRightInd w:val="0"/>
        <w:snapToGrid w:val="0"/>
        <w:spacing w:line="24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left="0" w:firstLine="488" w:firstLineChars="200"/>
        <w:jc w:val="both"/>
        <w:textAlignment w:val="baseline"/>
        <w:rPr>
          <w:rFonts w:hint="eastAsia" w:asciiTheme="minorEastAsia" w:hAnsiTheme="minorEastAsia" w:eastAsiaTheme="minorEastAsia" w:cstheme="minorEastAsia"/>
          <w:spacing w:val="0"/>
          <w:position w:val="0"/>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w:t>
      </w:r>
      <w:r>
        <w:rPr>
          <w:rFonts w:hint="eastAsia" w:asciiTheme="minorEastAsia" w:hAnsiTheme="minorEastAsia" w:eastAsiaTheme="minorEastAsia" w:cstheme="minorEastAsia"/>
          <w:spacing w:val="0"/>
          <w:position w:val="0"/>
          <w:sz w:val="24"/>
          <w:szCs w:val="24"/>
        </w:rPr>
        <w:t>以确定其是否满足招标文件的实质性要求。</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7"/>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24"/>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5"/>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5"/>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pPr>
              <w:pStyle w:val="25"/>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5"/>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5"/>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pPr>
              <w:pStyle w:val="25"/>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pPr>
              <w:pStyle w:val="25"/>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top"/>
          </w:tcPr>
          <w:p>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交货时间</w:t>
            </w:r>
          </w:p>
          <w:p>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val="en-US" w:eastAsia="zh-CN"/>
              </w:rPr>
              <w:t>质保期</w:t>
            </w:r>
          </w:p>
          <w:p>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pPr>
              <w:pStyle w:val="25"/>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pPr>
              <w:pStyle w:val="2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pPr>
              <w:pStyle w:val="2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pPr>
              <w:pStyle w:val="2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pPr>
              <w:pStyle w:val="2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pPr>
              <w:pStyle w:val="25"/>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pPr>
        <w:pStyle w:val="7"/>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pPr>
        <w:pStyle w:val="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□货物类，审查投标设备的技术指标、技术性能或产品技术说明、项目供货方案、培训计划和强制节能产品证明文件等是否符合招标要求。</w:t>
      </w:r>
    </w:p>
    <w:p>
      <w:pPr>
        <w:pStyle w:val="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☑服务类，审查服务方案、人员配备方案及人员基本情况等是否符合招标要求。</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优先选择报价低的   。</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2  </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候选人。</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pPr>
        <w:pStyle w:val="7"/>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pPr>
        <w:pStyle w:val="6"/>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□根据采购人授权，评委会根据排名顺序直接确定排名第一的中标候选人为中标人。</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pPr>
        <w:keepNext w:val="0"/>
        <w:keepLines w:val="0"/>
        <w:pageBreakBefore w:val="0"/>
        <w:widowControl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pPr>
        <w:keepNext w:val="0"/>
        <w:keepLines w:val="0"/>
        <w:pageBreakBefore w:val="0"/>
        <w:widowControl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电子营业执照认证并加密的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pPr>
        <w:keepNext w:val="0"/>
        <w:keepLines w:val="0"/>
        <w:pageBreakBefore w:val="0"/>
        <w:widowControl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pPr>
        <w:keepNext w:val="0"/>
        <w:keepLines w:val="0"/>
        <w:pageBreakBefore w:val="0"/>
        <w:kinsoku/>
        <w:wordWrap w:val="0"/>
        <w:overflowPunct/>
        <w:topLinePunct w:val="0"/>
        <w:autoSpaceDE w:val="0"/>
        <w:autoSpaceDN w:val="0"/>
        <w:bidi w:val="0"/>
        <w:adjustRightInd w:val="0"/>
        <w:snapToGrid w:val="0"/>
        <w:spacing w:line="24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pP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br w:type="page"/>
      </w:r>
    </w:p>
    <w:p>
      <w:pPr>
        <w:pStyle w:val="7"/>
        <w:keepNext w:val="0"/>
        <w:keepLines w:val="0"/>
        <w:pageBreakBefore w:val="0"/>
        <w:kinsoku/>
        <w:wordWrap w:val="0"/>
        <w:overflowPunct/>
        <w:topLinePunct w:val="0"/>
        <w:bidi w:val="0"/>
        <w:spacing w:before="78" w:line="221" w:lineRule="auto"/>
        <w:jc w:val="center"/>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标准</w:t>
      </w:r>
    </w:p>
    <w:p>
      <w:pPr>
        <w:keepNext w:val="0"/>
        <w:keepLines w:val="0"/>
        <w:pageBreakBefore w:val="0"/>
        <w:kinsoku/>
        <w:wordWrap w:val="0"/>
        <w:overflowPunct/>
        <w:topLinePunct w:val="0"/>
        <w:bidi w:val="0"/>
        <w:spacing w:before="39"/>
        <w:jc w:val="center"/>
        <w:rPr>
          <w:rFonts w:hint="eastAsia" w:asciiTheme="minorEastAsia" w:hAnsiTheme="minorEastAsia" w:eastAsiaTheme="minorEastAsia" w:cstheme="minorEastAsia"/>
        </w:rPr>
      </w:pPr>
    </w:p>
    <w:tbl>
      <w:tblPr>
        <w:tblStyle w:val="24"/>
        <w:tblW w:w="88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147"/>
        <w:gridCol w:w="873"/>
        <w:gridCol w:w="59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vAlign w:val="top"/>
          </w:tcPr>
          <w:p>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147" w:type="dxa"/>
            <w:vAlign w:val="top"/>
          </w:tcPr>
          <w:p>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873" w:type="dxa"/>
            <w:vAlign w:val="top"/>
          </w:tcPr>
          <w:p>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5973" w:type="dxa"/>
            <w:vAlign w:val="top"/>
          </w:tcPr>
          <w:p>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832" w:type="dxa"/>
            <w:gridSpan w:val="4"/>
            <w:vAlign w:val="top"/>
          </w:tcPr>
          <w:p>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宋体" w:hAnsi="宋体" w:cs="宋体"/>
                <w:b/>
                <w:color w:val="000000"/>
                <w:kern w:val="0"/>
                <w:sz w:val="28"/>
                <w:szCs w:val="28"/>
              </w:rPr>
              <w:t>一、商务部分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w:t>
            </w: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147" w:type="dxa"/>
            <w:vAlign w:val="center"/>
          </w:tcPr>
          <w:p>
            <w:pPr>
              <w:pStyle w:val="25"/>
              <w:keepNext w:val="0"/>
              <w:keepLines w:val="0"/>
              <w:pageBreakBefore w:val="0"/>
              <w:kinsoku/>
              <w:wordWrap w:val="0"/>
              <w:overflowPunct/>
              <w:topLinePunct w:val="0"/>
              <w:bidi w:val="0"/>
              <w:spacing w:line="295" w:lineRule="auto"/>
              <w:jc w:val="center"/>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96" w:lineRule="auto"/>
              <w:jc w:val="center"/>
              <w:rPr>
                <w:rFonts w:hint="eastAsia" w:asciiTheme="minorEastAsia" w:hAnsiTheme="minorEastAsia" w:eastAsiaTheme="minorEastAsia" w:cstheme="minorEastAsia"/>
              </w:rPr>
            </w:pPr>
          </w:p>
          <w:p>
            <w:pPr>
              <w:pStyle w:val="25"/>
              <w:keepNext w:val="0"/>
              <w:keepLines w:val="0"/>
              <w:pageBreakBefore w:val="0"/>
              <w:kinsoku/>
              <w:wordWrap w:val="0"/>
              <w:overflowPunct/>
              <w:topLinePunct w:val="0"/>
              <w:bidi w:val="0"/>
              <w:spacing w:line="296" w:lineRule="auto"/>
              <w:jc w:val="center"/>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suppressLineNumbers w:val="0"/>
              <w:tabs>
                <w:tab w:val="right" w:leader="dot" w:pos="9072"/>
              </w:tabs>
              <w:spacing w:before="0" w:beforeAutospacing="0" w:after="0" w:afterAutospacing="0"/>
              <w:ind w:left="0" w:leftChars="0" w:right="0" w:rightChars="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投标报价</w:t>
            </w: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left="272"/>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firstLine="234" w:firstLineChars="100"/>
              <w:jc w:val="center"/>
              <w:rPr>
                <w:rFonts w:hint="eastAsia" w:asciiTheme="minorEastAsia" w:hAnsiTheme="minorEastAsia" w:eastAsiaTheme="minorEastAsia" w:cstheme="minorEastAsia"/>
                <w:spacing w:val="-3"/>
                <w:sz w:val="24"/>
                <w:szCs w:val="24"/>
              </w:rPr>
            </w:pPr>
          </w:p>
          <w:p>
            <w:pPr>
              <w:keepNext w:val="0"/>
              <w:keepLines w:val="0"/>
              <w:pageBreakBefore w:val="0"/>
              <w:kinsoku/>
              <w:wordWrap w:val="0"/>
              <w:overflowPunct/>
              <w:topLinePunct w:val="0"/>
              <w:bidi w:val="0"/>
              <w:spacing w:before="78" w:line="219" w:lineRule="auto"/>
              <w:ind w:firstLine="240" w:firstLineChars="100"/>
              <w:jc w:val="center"/>
              <w:rPr>
                <w:rFonts w:hint="eastAsia" w:asciiTheme="minorEastAsia" w:hAnsiTheme="minorEastAsia" w:eastAsiaTheme="minorEastAsia" w:cstheme="minorEastAsia"/>
                <w:sz w:val="24"/>
                <w:szCs w:val="24"/>
              </w:rPr>
            </w:pPr>
          </w:p>
        </w:tc>
        <w:tc>
          <w:tcPr>
            <w:tcW w:w="873" w:type="dxa"/>
            <w:vAlign w:val="center"/>
          </w:tcPr>
          <w:p>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15</w:t>
            </w:r>
          </w:p>
        </w:tc>
        <w:tc>
          <w:tcPr>
            <w:tcW w:w="5973" w:type="dxa"/>
            <w:vAlign w:val="top"/>
          </w:tcPr>
          <w:p>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满足招标文件要求且投标价格最低</w:t>
            </w:r>
            <w:r>
              <w:rPr>
                <w:rFonts w:hint="eastAsia" w:asciiTheme="minorEastAsia" w:hAnsiTheme="minorEastAsia" w:eastAsiaTheme="minorEastAsia" w:cstheme="minorEastAsia"/>
                <w:spacing w:val="-13"/>
                <w:sz w:val="24"/>
                <w:szCs w:val="24"/>
              </w:rPr>
              <w:t>的投标报价为评标基准价，其价格分</w:t>
            </w:r>
            <w:r>
              <w:rPr>
                <w:rFonts w:hint="eastAsia" w:asciiTheme="minorEastAsia" w:hAnsiTheme="minorEastAsia" w:eastAsiaTheme="minorEastAsia" w:cstheme="minorEastAsia"/>
                <w:spacing w:val="-6"/>
                <w:sz w:val="24"/>
                <w:szCs w:val="24"/>
              </w:rPr>
              <w:t>为满分。其他投标人的价格分统一按</w:t>
            </w:r>
            <w:r>
              <w:rPr>
                <w:rFonts w:hint="eastAsia" w:asciiTheme="minorEastAsia" w:hAnsiTheme="minorEastAsia" w:eastAsiaTheme="minorEastAsia" w:cstheme="minorEastAsia"/>
                <w:spacing w:val="-8"/>
                <w:sz w:val="24"/>
                <w:szCs w:val="24"/>
              </w:rPr>
              <w:t>照下列公式计算：</w:t>
            </w:r>
          </w:p>
          <w:p>
            <w:pPr>
              <w:pStyle w:val="25"/>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7"/>
                <w:sz w:val="24"/>
                <w:szCs w:val="24"/>
              </w:rPr>
              <w:t>投标报价得分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评标基准价/投标</w:t>
            </w:r>
            <w:r>
              <w:rPr>
                <w:rFonts w:hint="eastAsia" w:asciiTheme="minorEastAsia" w:hAnsiTheme="minorEastAsia" w:eastAsiaTheme="minorEastAsia" w:cstheme="minorEastAsia"/>
                <w:spacing w:val="-12"/>
                <w:sz w:val="24"/>
                <w:szCs w:val="24"/>
              </w:rPr>
              <w:t>报价）×</w:t>
            </w:r>
            <w:r>
              <w:rPr>
                <w:rFonts w:hint="eastAsia" w:asciiTheme="minorEastAsia" w:hAnsiTheme="minorEastAsia" w:eastAsiaTheme="minorEastAsia" w:cstheme="minorEastAsia"/>
                <w:spacing w:val="-12"/>
                <w:sz w:val="24"/>
                <w:szCs w:val="24"/>
                <w:lang w:val="en-US" w:eastAsia="zh-CN"/>
              </w:rPr>
              <w:t>15%</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100</w:t>
            </w:r>
            <w:r>
              <w:rPr>
                <w:rFonts w:hint="eastAsia" w:asciiTheme="minorEastAsia" w:hAnsiTheme="minorEastAsia" w:eastAsiaTheme="minorEastAsia" w:cstheme="minorEastAsia"/>
                <w:spacing w:val="-12"/>
                <w:sz w:val="24"/>
                <w:szCs w:val="24"/>
              </w:rPr>
              <w:t>。</w:t>
            </w:r>
          </w:p>
          <w:p>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w:t>
            </w:r>
            <w:r>
              <w:rPr>
                <w:rFonts w:hint="eastAsia" w:asciiTheme="minorEastAsia" w:hAnsiTheme="minorEastAsia" w:eastAsiaTheme="minorEastAsia" w:cstheme="minorEastAsia"/>
                <w:color w:val="auto"/>
                <w:spacing w:val="-13"/>
                <w:sz w:val="24"/>
                <w:szCs w:val="24"/>
                <w:lang w:eastAsia="zh-CN"/>
              </w:rPr>
              <w:t>扣除</w:t>
            </w:r>
            <w:r>
              <w:rPr>
                <w:rFonts w:hint="eastAsia" w:asciiTheme="minorEastAsia" w:hAnsiTheme="minorEastAsia" w:eastAsiaTheme="minorEastAsia" w:cstheme="minorEastAsia"/>
                <w:color w:val="auto"/>
                <w:spacing w:val="-13"/>
                <w:sz w:val="24"/>
                <w:szCs w:val="24"/>
                <w:u w:val="single"/>
                <w:lang w:val="en-US" w:eastAsia="zh-CN"/>
              </w:rPr>
              <w:t xml:space="preserve">12 </w:t>
            </w:r>
            <w:r>
              <w:rPr>
                <w:rFonts w:hint="eastAsia" w:asciiTheme="minorEastAsia" w:hAnsiTheme="minorEastAsia" w:eastAsiaTheme="minorEastAsia" w:cstheme="minorEastAsia"/>
                <w:color w:val="auto"/>
                <w:spacing w:val="-13"/>
                <w:sz w:val="24"/>
                <w:szCs w:val="24"/>
                <w:lang w:eastAsia="zh-CN"/>
              </w:rPr>
              <w:t>%后参与评</w:t>
            </w:r>
            <w:r>
              <w:rPr>
                <w:rFonts w:hint="eastAsia" w:asciiTheme="minorEastAsia" w:hAnsiTheme="minorEastAsia" w:eastAsiaTheme="minorEastAsia" w:cstheme="minorEastAsia"/>
                <w:spacing w:val="-13"/>
                <w:sz w:val="24"/>
                <w:szCs w:val="24"/>
                <w:lang w:eastAsia="zh-CN"/>
              </w:rPr>
              <w:t>审。对于同时属于小微企业、监狱企业或残疾人福利性单位的，不重复进行投标报价扣除。（</w:t>
            </w:r>
            <w:r>
              <w:rPr>
                <w:rFonts w:hint="eastAsia" w:asciiTheme="minorEastAsia" w:hAnsiTheme="minorEastAsia" w:eastAsiaTheme="minorEastAsia" w:cstheme="minorEastAsia"/>
                <w:spacing w:val="-13"/>
                <w:sz w:val="24"/>
                <w:szCs w:val="24"/>
                <w:lang w:val="en-US" w:eastAsia="zh-CN"/>
              </w:rPr>
              <w:t>专门面向中小企业的项目除外</w:t>
            </w:r>
            <w:r>
              <w:rPr>
                <w:rFonts w:hint="eastAsia" w:asciiTheme="minorEastAsia" w:hAnsiTheme="minorEastAsia" w:eastAsiaTheme="minorEastAsia" w:cstheme="minorEastAsia"/>
                <w:spacing w:val="-1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832" w:type="dxa"/>
            <w:gridSpan w:val="4"/>
            <w:vAlign w:val="center"/>
          </w:tcPr>
          <w:p>
            <w:pPr>
              <w:keepNext w:val="0"/>
              <w:keepLines w:val="0"/>
              <w:pageBreakBefore w:val="0"/>
              <w:kinsoku/>
              <w:wordWrap w:val="0"/>
              <w:overflowPunct/>
              <w:topLinePunct w:val="0"/>
              <w:bidi w:val="0"/>
              <w:spacing w:before="191" w:line="235" w:lineRule="auto"/>
              <w:ind w:left="113" w:right="103"/>
              <w:jc w:val="center"/>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二、技术部分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Align w:val="center"/>
          </w:tcPr>
          <w:p>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1147" w:type="dxa"/>
            <w:vAlign w:val="center"/>
          </w:tcPr>
          <w:p>
            <w:pPr>
              <w:keepNext w:val="0"/>
              <w:keepLines w:val="0"/>
              <w:suppressLineNumbers w:val="0"/>
              <w:tabs>
                <w:tab w:val="right" w:leader="dot" w:pos="9072"/>
              </w:tabs>
              <w:spacing w:before="0" w:beforeAutospacing="0" w:after="0" w:afterAutospacing="0"/>
              <w:ind w:left="0" w:leftChars="0" w:right="0" w:rightChars="0"/>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b/>
                <w:bCs/>
                <w:color w:val="000000"/>
                <w:kern w:val="0"/>
                <w:sz w:val="24"/>
                <w:szCs w:val="24"/>
              </w:rPr>
              <w:t>投标人承销商的合规经营情况</w:t>
            </w:r>
          </w:p>
        </w:tc>
        <w:tc>
          <w:tcPr>
            <w:tcW w:w="873" w:type="dxa"/>
            <w:vAlign w:val="center"/>
          </w:tcPr>
          <w:p>
            <w:pPr>
              <w:pStyle w:val="25"/>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10</w:t>
            </w:r>
          </w:p>
        </w:tc>
        <w:tc>
          <w:tcPr>
            <w:tcW w:w="5973" w:type="dxa"/>
            <w:vAlign w:val="center"/>
          </w:tcPr>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根据投标人2021-2023年三年受中国证监会层面监管处罚（包括监管谈话、警示函、责令改正等行政监管措施）次数情况：</w:t>
            </w:r>
          </w:p>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①处罚1次扣3分，扣完为止，无处罚则得满分10分；</w:t>
            </w:r>
          </w:p>
          <w:p>
            <w:pPr>
              <w:pStyle w:val="25"/>
              <w:keepNext w:val="0"/>
              <w:keepLines w:val="0"/>
              <w:pageBreakBefore w:val="0"/>
              <w:kinsoku/>
              <w:wordWrap w:val="0"/>
              <w:overflowPunct/>
              <w:topLinePunct w:val="0"/>
              <w:bidi w:val="0"/>
              <w:spacing w:before="33" w:line="235" w:lineRule="auto"/>
              <w:ind w:left="76" w:right="23" w:firstLine="2"/>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color w:val="000000"/>
                <w:kern w:val="0"/>
                <w:sz w:val="24"/>
                <w:szCs w:val="24"/>
              </w:rPr>
              <w:t>【http://www.csrc.gov.cn/csrc/c10035/zfxxgk_zdgk.shtml#tab=zdgkml,首页&gt;政务信息&gt;政府信息公开&gt;主动公开目录&gt;按主题查看&gt;行政执法&gt;通过搜索栏搜索供应商关键字】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839" w:type="dxa"/>
            <w:vMerge w:val="restart"/>
            <w:vAlign w:val="center"/>
          </w:tcPr>
          <w:p>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w:t>
            </w:r>
          </w:p>
        </w:tc>
        <w:tc>
          <w:tcPr>
            <w:tcW w:w="1147" w:type="dxa"/>
            <w:vMerge w:val="restart"/>
            <w:vAlign w:val="center"/>
          </w:tcPr>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投标人承销商的综合支持</w:t>
            </w:r>
          </w:p>
          <w:p>
            <w:pPr>
              <w:keepNext w:val="0"/>
              <w:keepLines w:val="0"/>
              <w:suppressLineNumbers w:val="0"/>
              <w:tabs>
                <w:tab w:val="right" w:leader="dot" w:pos="9072"/>
              </w:tabs>
              <w:spacing w:before="0" w:beforeAutospacing="0" w:after="0" w:afterAutospacing="0"/>
              <w:ind w:left="0" w:leftChars="0" w:right="0" w:rightChars="0"/>
              <w:rPr>
                <w:rFonts w:hint="eastAsia" w:ascii="宋体" w:hAnsi="宋体" w:eastAsia="宋体" w:cs="宋体"/>
                <w:snapToGrid w:val="0"/>
                <w:color w:val="000000"/>
                <w:spacing w:val="-13"/>
                <w:kern w:val="0"/>
                <w:sz w:val="24"/>
                <w:szCs w:val="24"/>
                <w:lang w:val="en-US" w:eastAsia="zh-CN" w:bidi="ar-SA"/>
              </w:rPr>
            </w:pPr>
          </w:p>
        </w:tc>
        <w:tc>
          <w:tcPr>
            <w:tcW w:w="873" w:type="dxa"/>
            <w:vMerge w:val="restart"/>
            <w:vAlign w:val="center"/>
          </w:tcPr>
          <w:p>
            <w:pPr>
              <w:pStyle w:val="25"/>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15</w:t>
            </w:r>
          </w:p>
        </w:tc>
        <w:tc>
          <w:tcPr>
            <w:tcW w:w="5973" w:type="dxa"/>
            <w:tcBorders>
              <w:bottom w:val="single" w:color="auto" w:sz="4" w:space="0"/>
            </w:tcBorders>
            <w:vAlign w:val="center"/>
          </w:tcPr>
          <w:p>
            <w:pPr>
              <w:pStyle w:val="25"/>
              <w:keepNext w:val="0"/>
              <w:keepLines w:val="0"/>
              <w:pageBreakBefore w:val="0"/>
              <w:kinsoku/>
              <w:wordWrap w:val="0"/>
              <w:overflowPunct/>
              <w:topLinePunct w:val="0"/>
              <w:bidi w:val="0"/>
              <w:spacing w:before="33" w:line="235" w:lineRule="auto"/>
              <w:ind w:left="76" w:right="23" w:firstLine="2"/>
              <w:jc w:val="both"/>
              <w:rPr>
                <w:rFonts w:hint="eastAsia" w:ascii="宋体" w:hAnsi="宋体" w:eastAsia="宋体" w:cs="宋体"/>
                <w:color w:val="000000"/>
                <w:kern w:val="0"/>
                <w:sz w:val="24"/>
                <w:szCs w:val="24"/>
                <w:lang w:val="en-US" w:eastAsia="en-US"/>
              </w:rPr>
            </w:pPr>
            <w:r>
              <w:rPr>
                <w:rFonts w:hint="eastAsia" w:ascii="宋体" w:hAnsi="宋体" w:eastAsia="宋体" w:cs="宋体"/>
                <w:color w:val="000000"/>
                <w:kern w:val="0"/>
                <w:sz w:val="24"/>
                <w:szCs w:val="24"/>
                <w:lang w:val="en-US" w:eastAsia="en-US"/>
              </w:rPr>
              <w:t>3.1投标人控股股东金融牌照情况，具有证券、银行、资管、期货、基金等牌照，每有1个牌照得2分，最高10分。【投标人提供相关证明文件并加盖公章】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 w:hRule="atLeast"/>
        </w:trPr>
        <w:tc>
          <w:tcPr>
            <w:tcW w:w="839" w:type="dxa"/>
            <w:vMerge w:val="continue"/>
            <w:vAlign w:val="center"/>
          </w:tcPr>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147" w:type="dxa"/>
            <w:vMerge w:val="continue"/>
            <w:vAlign w:val="center"/>
          </w:tcPr>
          <w:p>
            <w:pPr>
              <w:keepNext w:val="0"/>
              <w:keepLines w:val="0"/>
              <w:suppressLineNumbers w:val="0"/>
              <w:tabs>
                <w:tab w:val="right" w:leader="dot" w:pos="9072"/>
              </w:tabs>
              <w:spacing w:before="0" w:beforeAutospacing="0" w:after="0" w:afterAutospacing="0"/>
              <w:ind w:left="0" w:leftChars="0" w:right="0" w:rightChars="0"/>
              <w:rPr>
                <w:rFonts w:hint="eastAsia" w:ascii="宋体" w:hAnsi="宋体" w:eastAsia="宋体" w:cs="宋体"/>
                <w:color w:val="000000"/>
                <w:kern w:val="0"/>
                <w:sz w:val="24"/>
                <w:szCs w:val="24"/>
              </w:rPr>
            </w:pPr>
          </w:p>
        </w:tc>
        <w:tc>
          <w:tcPr>
            <w:tcW w:w="873" w:type="dxa"/>
            <w:vMerge w:val="continue"/>
            <w:vAlign w:val="center"/>
          </w:tcPr>
          <w:p>
            <w:pPr>
              <w:pStyle w:val="25"/>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p>
        </w:tc>
        <w:tc>
          <w:tcPr>
            <w:tcW w:w="5973" w:type="dxa"/>
            <w:tcBorders>
              <w:top w:val="single" w:color="auto" w:sz="4" w:space="0"/>
            </w:tcBorders>
            <w:vAlign w:val="center"/>
          </w:tcPr>
          <w:p>
            <w:pPr>
              <w:pStyle w:val="25"/>
              <w:keepNext w:val="0"/>
              <w:keepLines w:val="0"/>
              <w:pageBreakBefore w:val="0"/>
              <w:kinsoku/>
              <w:wordWrap w:val="0"/>
              <w:overflowPunct/>
              <w:topLinePunct w:val="0"/>
              <w:bidi w:val="0"/>
              <w:spacing w:before="33" w:line="235" w:lineRule="auto"/>
              <w:ind w:left="76" w:right="23" w:firstLine="2"/>
              <w:jc w:val="both"/>
              <w:rPr>
                <w:rFonts w:hint="eastAsia" w:ascii="宋体" w:hAnsi="宋体" w:eastAsia="宋体" w:cs="宋体"/>
                <w:color w:val="000000"/>
                <w:kern w:val="0"/>
                <w:sz w:val="24"/>
                <w:szCs w:val="24"/>
                <w:lang w:val="en-US" w:eastAsia="en-US"/>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 xml:space="preserve">.2 比选申请人提供余额包销承诺。比选申请人承诺余额包销的得5分，不承诺余额包销的得0分。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Align w:val="center"/>
          </w:tcPr>
          <w:p>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1147" w:type="dxa"/>
            <w:vAlign w:val="center"/>
          </w:tcPr>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整体实施方案</w:t>
            </w:r>
          </w:p>
          <w:p>
            <w:pPr>
              <w:keepNext w:val="0"/>
              <w:keepLines w:val="0"/>
              <w:suppressLineNumbers w:val="0"/>
              <w:tabs>
                <w:tab w:val="right" w:leader="dot" w:pos="9072"/>
              </w:tabs>
              <w:spacing w:before="0" w:beforeAutospacing="0" w:after="0" w:afterAutospacing="0"/>
              <w:ind w:left="0" w:leftChars="0" w:right="0" w:rightChars="0"/>
              <w:rPr>
                <w:rFonts w:hint="eastAsia" w:ascii="宋体" w:hAnsi="宋体" w:eastAsia="宋体" w:cs="宋体"/>
                <w:snapToGrid w:val="0"/>
                <w:color w:val="000000"/>
                <w:spacing w:val="-13"/>
                <w:kern w:val="0"/>
                <w:sz w:val="24"/>
                <w:szCs w:val="24"/>
                <w:lang w:val="en-US" w:eastAsia="zh-CN" w:bidi="ar-SA"/>
              </w:rPr>
            </w:pPr>
          </w:p>
        </w:tc>
        <w:tc>
          <w:tcPr>
            <w:tcW w:w="873" w:type="dxa"/>
            <w:vAlign w:val="center"/>
          </w:tcPr>
          <w:p>
            <w:pPr>
              <w:pStyle w:val="25"/>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15</w:t>
            </w:r>
          </w:p>
        </w:tc>
        <w:tc>
          <w:tcPr>
            <w:tcW w:w="5973" w:type="dxa"/>
            <w:vAlign w:val="center"/>
          </w:tcPr>
          <w:p>
            <w:pPr>
              <w:keepNext w:val="0"/>
              <w:keepLines w:val="0"/>
              <w:suppressLineNumbers w:val="0"/>
              <w:tabs>
                <w:tab w:val="right" w:leader="dot" w:pos="9072"/>
              </w:tabs>
              <w:spacing w:before="0" w:beforeAutospacing="0" w:after="0" w:afterAutospacing="0" w:line="240" w:lineRule="auto"/>
              <w:ind w:left="0" w:right="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5.1 发行方案的有效性、可行性分析、资金使用、服务承诺，酌情打分，满分15分。</w:t>
            </w:r>
          </w:p>
          <w:p>
            <w:pPr>
              <w:pStyle w:val="35"/>
              <w:keepNext w:val="0"/>
              <w:keepLines w:val="0"/>
              <w:numPr>
                <w:ilvl w:val="0"/>
                <w:numId w:val="0"/>
              </w:numPr>
              <w:suppressLineNumbers w:val="0"/>
              <w:spacing w:before="0" w:beforeAutospacing="0" w:after="0" w:afterAutospacing="0" w:line="240" w:lineRule="auto"/>
              <w:ind w:left="0" w:right="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内容详细全面、科学、可实施性强，得10-15分；</w:t>
            </w:r>
          </w:p>
          <w:p>
            <w:pPr>
              <w:pStyle w:val="35"/>
              <w:keepNext w:val="0"/>
              <w:keepLines w:val="0"/>
              <w:numPr>
                <w:ilvl w:val="0"/>
                <w:numId w:val="0"/>
              </w:numPr>
              <w:suppressLineNumbers w:val="0"/>
              <w:spacing w:before="0" w:beforeAutospacing="0" w:after="0" w:afterAutospacing="0" w:line="240" w:lineRule="auto"/>
              <w:ind w:left="0" w:right="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内容基本完善、较科学、具有可实施性，得5-10分；</w:t>
            </w:r>
          </w:p>
          <w:p>
            <w:pPr>
              <w:keepNext w:val="0"/>
              <w:keepLines w:val="0"/>
              <w:suppressLineNumbers w:val="0"/>
              <w:tabs>
                <w:tab w:val="right" w:leader="dot" w:pos="9072"/>
              </w:tabs>
              <w:spacing w:before="0" w:beforeAutospacing="0" w:after="0" w:afterAutospacing="0" w:line="240" w:lineRule="auto"/>
              <w:ind w:left="0" w:right="0"/>
              <w:rPr>
                <w:rFonts w:hint="eastAsia" w:ascii="宋体" w:hAnsi="宋体" w:eastAsia="宋体" w:cs="宋体"/>
                <w:color w:val="000000"/>
                <w:kern w:val="0"/>
                <w:sz w:val="24"/>
                <w:szCs w:val="24"/>
              </w:rPr>
            </w:pPr>
            <w:r>
              <w:rPr>
                <w:rFonts w:hint="eastAsia" w:ascii="宋体" w:hAnsi="宋体" w:eastAsia="宋体" w:cs="宋体"/>
                <w:color w:val="auto"/>
                <w:sz w:val="24"/>
                <w:szCs w:val="24"/>
                <w:lang w:val="en-US" w:eastAsia="zh-CN"/>
              </w:rPr>
              <w:t>内容简略、缺乏可实施性，得0-5分；</w:t>
            </w:r>
          </w:p>
          <w:p>
            <w:pPr>
              <w:pStyle w:val="25"/>
              <w:keepNext w:val="0"/>
              <w:keepLines w:val="0"/>
              <w:pageBreakBefore w:val="0"/>
              <w:kinsoku/>
              <w:wordWrap w:val="0"/>
              <w:overflowPunct/>
              <w:topLinePunct w:val="0"/>
              <w:bidi w:val="0"/>
              <w:spacing w:before="33" w:line="235" w:lineRule="auto"/>
              <w:ind w:left="76" w:right="23" w:firstLine="2"/>
              <w:jc w:val="both"/>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color w:val="000000"/>
                <w:kern w:val="0"/>
                <w:sz w:val="24"/>
                <w:szCs w:val="24"/>
              </w:rPr>
              <w:t>【对发行成本价格预期、团队成员工作经验、投标人设有自营包销池等，</w:t>
            </w:r>
            <w:r>
              <w:rPr>
                <w:rFonts w:hint="eastAsia" w:ascii="宋体" w:hAnsi="宋体" w:eastAsia="宋体" w:cs="宋体"/>
                <w:b/>
                <w:bCs/>
                <w:color w:val="000000"/>
                <w:kern w:val="0"/>
                <w:sz w:val="24"/>
                <w:szCs w:val="24"/>
              </w:rPr>
              <w:t>由投标人承销商出具即可</w:t>
            </w:r>
            <w:r>
              <w:rPr>
                <w:rFonts w:hint="eastAsia" w:ascii="宋体" w:hAnsi="宋体" w:eastAsia="宋体" w:cs="宋体"/>
                <w:color w:val="000000"/>
                <w:kern w:val="0"/>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832" w:type="dxa"/>
            <w:gridSpan w:val="4"/>
            <w:vAlign w:val="center"/>
          </w:tcPr>
          <w:p>
            <w:pPr>
              <w:pStyle w:val="25"/>
              <w:keepNext w:val="0"/>
              <w:keepLines w:val="0"/>
              <w:pageBreakBefore w:val="0"/>
              <w:kinsoku/>
              <w:wordWrap w:val="0"/>
              <w:overflowPunct/>
              <w:topLinePunct w:val="0"/>
              <w:bidi w:val="0"/>
              <w:spacing w:before="33" w:line="235" w:lineRule="auto"/>
              <w:ind w:left="76" w:right="23" w:firstLine="2"/>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三、综合部分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839" w:type="dxa"/>
            <w:vMerge w:val="restart"/>
            <w:vAlign w:val="center"/>
          </w:tcPr>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1"/>
                <w:szCs w:val="21"/>
                <w:lang w:val="en-US" w:eastAsia="zh-CN" w:bidi="ar-SA"/>
              </w:rPr>
            </w:pPr>
            <w:r>
              <w:rPr>
                <w:rFonts w:hint="eastAsia" w:asciiTheme="minorEastAsia" w:hAnsiTheme="minorEastAsia" w:eastAsiaTheme="minorEastAsia" w:cstheme="minorEastAsia"/>
                <w:lang w:val="en-US" w:eastAsia="zh-CN"/>
              </w:rPr>
              <w:t>5</w:t>
            </w:r>
          </w:p>
        </w:tc>
        <w:tc>
          <w:tcPr>
            <w:tcW w:w="1147" w:type="dxa"/>
            <w:vMerge w:val="restart"/>
            <w:vAlign w:val="center"/>
          </w:tcPr>
          <w:p>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宋体" w:hAnsi="宋体" w:eastAsia="宋体" w:cs="宋体"/>
                <w:b/>
                <w:bCs/>
                <w:color w:val="000000"/>
                <w:kern w:val="0"/>
                <w:sz w:val="24"/>
                <w:szCs w:val="24"/>
              </w:rPr>
              <w:t>投标人承销商的</w:t>
            </w:r>
            <w:r>
              <w:rPr>
                <w:rFonts w:hint="eastAsia" w:asciiTheme="minorEastAsia" w:hAnsiTheme="minorEastAsia" w:eastAsiaTheme="minorEastAsia" w:cstheme="minorEastAsia"/>
                <w:spacing w:val="-2"/>
                <w:sz w:val="24"/>
                <w:szCs w:val="24"/>
                <w:lang w:val="en-US" w:eastAsia="zh-CN"/>
              </w:rPr>
              <w:t>综合实力</w:t>
            </w:r>
          </w:p>
        </w:tc>
        <w:tc>
          <w:tcPr>
            <w:tcW w:w="873" w:type="dxa"/>
            <w:vMerge w:val="restart"/>
            <w:vAlign w:val="center"/>
          </w:tcPr>
          <w:p>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15</w:t>
            </w:r>
          </w:p>
        </w:tc>
        <w:tc>
          <w:tcPr>
            <w:tcW w:w="5973" w:type="dxa"/>
            <w:tcBorders>
              <w:bottom w:val="single" w:color="auto" w:sz="4" w:space="0"/>
            </w:tcBorders>
            <w:vAlign w:val="top"/>
          </w:tcPr>
          <w:p>
            <w:pPr>
              <w:rPr>
                <w:rFonts w:hint="eastAsia"/>
                <w:lang w:val="en-US" w:eastAsia="zh-CN"/>
              </w:rPr>
            </w:pPr>
            <w:r>
              <w:rPr>
                <w:rFonts w:hint="eastAsia"/>
                <w:lang w:val="en-US" w:eastAsia="zh-CN"/>
              </w:rPr>
              <w:t>5.1·根据投标人2023年证券公司投行业务质量评价结果进行评分:A的得5分;B的得3分;C的得1分，其他情况不得分。</w:t>
            </w:r>
          </w:p>
          <w:p>
            <w:pPr>
              <w:rPr>
                <w:rFonts w:hint="eastAsia"/>
                <w:lang w:val="en-US" w:eastAsia="zh-CN"/>
              </w:rPr>
            </w:pPr>
            <w:r>
              <w:rPr>
                <w:rFonts w:hint="eastAsia"/>
                <w:lang w:val="en-US" w:eastAsia="zh-CN"/>
              </w:rPr>
              <w:t>【中国证券业协会发布的《中国证券业协会公布2023年证券公司投行业务质量评价结果》截图，圈出分类结果并加盖投标人公章】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 w:hRule="atLeast"/>
        </w:trPr>
        <w:tc>
          <w:tcPr>
            <w:tcW w:w="839" w:type="dxa"/>
            <w:vMerge w:val="continue"/>
            <w:vAlign w:val="center"/>
          </w:tcPr>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147" w:type="dxa"/>
            <w:vMerge w:val="continue"/>
            <w:vAlign w:val="center"/>
          </w:tcPr>
          <w:p>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873" w:type="dxa"/>
            <w:vMerge w:val="continue"/>
            <w:vAlign w:val="center"/>
          </w:tcPr>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5973" w:type="dxa"/>
            <w:tcBorders>
              <w:top w:val="single" w:color="auto" w:sz="4" w:space="0"/>
              <w:bottom w:val="single" w:color="auto" w:sz="4" w:space="0"/>
            </w:tcBorders>
            <w:vAlign w:val="top"/>
          </w:tcPr>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.2 在投标开标之日前，投标人在证券交易所（上交所、深交所或香港联交所）上市（已取得批复亦可计算）且202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年度的主体评级为AAA的得5分；已上市但202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年度的主体评级不满足AAA的得2分、未上市但202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年度的主体评级为AAA的得2分；未上市且202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年度的主体评级未达到AAA得不得分。</w:t>
            </w:r>
          </w:p>
          <w:p>
            <w:pPr>
              <w:pStyle w:val="2"/>
              <w:keepNext w:val="0"/>
              <w:keepLines w:val="0"/>
              <w:widowControl/>
              <w:suppressLineNumbers w:val="0"/>
              <w:spacing w:before="0" w:beforeAutospacing="0" w:after="0" w:afterAutospacing="0"/>
              <w:ind w:left="0" w:right="0"/>
              <w:rPr>
                <w:rFonts w:hint="eastAsia" w:ascii="宋体" w:hAnsi="宋体" w:eastAsia="宋体" w:cs="宋体"/>
                <w:snapToGrid w:val="0"/>
                <w:color w:val="000000"/>
                <w:spacing w:val="-13"/>
                <w:kern w:val="0"/>
                <w:sz w:val="24"/>
                <w:szCs w:val="24"/>
                <w:lang w:val="en-US" w:eastAsia="zh-CN" w:bidi="ar-SA"/>
              </w:rPr>
            </w:pPr>
            <w:r>
              <w:rPr>
                <w:rFonts w:hint="eastAsia" w:ascii="宋体" w:hAnsi="宋体" w:eastAsia="宋体" w:cs="宋体"/>
                <w:color w:val="000000"/>
                <w:kern w:val="0"/>
                <w:sz w:val="24"/>
                <w:szCs w:val="24"/>
              </w:rPr>
              <w:t>【投标人提供交易所、WIND查询结果截图或上市批复复印件加盖公章。提供202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年度评级报告主体评级结果证明加盖投标人公章】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 w:hRule="atLeast"/>
        </w:trPr>
        <w:tc>
          <w:tcPr>
            <w:tcW w:w="839" w:type="dxa"/>
            <w:vMerge w:val="continue"/>
            <w:vAlign w:val="center"/>
          </w:tcPr>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147" w:type="dxa"/>
            <w:vMerge w:val="continue"/>
            <w:vAlign w:val="center"/>
          </w:tcPr>
          <w:p>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873" w:type="dxa"/>
            <w:vMerge w:val="continue"/>
            <w:vAlign w:val="center"/>
          </w:tcPr>
          <w:p>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5973" w:type="dxa"/>
            <w:tcBorders>
              <w:top w:val="single" w:color="auto" w:sz="4" w:space="0"/>
            </w:tcBorders>
            <w:vAlign w:val="top"/>
          </w:tcPr>
          <w:p>
            <w:pP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5.3.根据投标人2021-2023年证券公司分类评价结果:</w:t>
            </w:r>
          </w:p>
          <w:p>
            <w:pP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①连续三年A类且至少一年获得A类AA级，得5分;</w:t>
            </w:r>
          </w:p>
          <w:p>
            <w:pP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②连续三年A类A级，得3分;</w:t>
            </w:r>
          </w:p>
          <w:p>
            <w:pP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③任意二年A类A级及以上，得2分;</w:t>
            </w:r>
          </w:p>
          <w:p>
            <w:pP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④任意一年A类A级及以上，得1分;</w:t>
            </w:r>
          </w:p>
          <w:p>
            <w:pP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⑤2021-2023年未获得A类A级，不得分。</w:t>
            </w:r>
          </w:p>
          <w:p>
            <w:pP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【投标人提供中国证券监督管理委员会官网公示的2021年《证券公司分类结果》以及2022年和2023年证监会证券公司分类结果复印件加盖投标人公章】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Align w:val="center"/>
          </w:tcPr>
          <w:p>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w:t>
            </w:r>
          </w:p>
        </w:tc>
        <w:tc>
          <w:tcPr>
            <w:tcW w:w="1147" w:type="dxa"/>
            <w:vAlign w:val="center"/>
          </w:tcPr>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投标人承销商的承销业绩</w:t>
            </w:r>
          </w:p>
          <w:p>
            <w:pPr>
              <w:keepNext w:val="0"/>
              <w:keepLines w:val="0"/>
              <w:pageBreakBefore w:val="0"/>
              <w:kinsoku/>
              <w:wordWrap w:val="0"/>
              <w:overflowPunct/>
              <w:topLinePunct w:val="0"/>
              <w:bidi w:val="0"/>
              <w:spacing w:before="78" w:line="219" w:lineRule="auto"/>
              <w:jc w:val="center"/>
              <w:rPr>
                <w:rFonts w:hint="eastAsia" w:ascii="宋体" w:hAnsi="宋体" w:eastAsia="宋体" w:cs="宋体"/>
                <w:snapToGrid w:val="0"/>
                <w:color w:val="000000"/>
                <w:spacing w:val="-13"/>
                <w:kern w:val="0"/>
                <w:sz w:val="24"/>
                <w:szCs w:val="24"/>
                <w:lang w:val="en-US" w:eastAsia="zh-CN" w:bidi="ar-SA"/>
              </w:rPr>
            </w:pPr>
          </w:p>
        </w:tc>
        <w:tc>
          <w:tcPr>
            <w:tcW w:w="873" w:type="dxa"/>
            <w:vAlign w:val="center"/>
          </w:tcPr>
          <w:p>
            <w:pPr>
              <w:pStyle w:val="25"/>
              <w:keepNext w:val="0"/>
              <w:keepLines w:val="0"/>
              <w:pageBreakBefore w:val="0"/>
              <w:kinsoku/>
              <w:wordWrap w:val="0"/>
              <w:overflowPunct/>
              <w:topLinePunct w:val="0"/>
              <w:bidi w:val="0"/>
              <w:jc w:val="center"/>
              <w:rPr>
                <w:rFonts w:hint="default" w:ascii="宋体" w:hAnsi="宋体" w:eastAsia="宋体" w:cs="宋体"/>
                <w:snapToGrid w:val="0"/>
                <w:color w:val="000000"/>
                <w:spacing w:val="-13"/>
                <w:kern w:val="0"/>
                <w:sz w:val="24"/>
                <w:szCs w:val="24"/>
                <w:lang w:val="en-US" w:eastAsia="zh-CN" w:bidi="ar-SA"/>
              </w:rPr>
            </w:pPr>
            <w:r>
              <w:rPr>
                <w:rFonts w:hint="eastAsia" w:ascii="宋体" w:hAnsi="宋体" w:eastAsia="宋体" w:cs="宋体"/>
                <w:snapToGrid w:val="0"/>
                <w:color w:val="000000"/>
                <w:spacing w:val="-13"/>
                <w:kern w:val="0"/>
                <w:sz w:val="24"/>
                <w:szCs w:val="24"/>
                <w:lang w:val="en-US" w:eastAsia="zh-CN" w:bidi="ar-SA"/>
              </w:rPr>
              <w:t>30</w:t>
            </w:r>
          </w:p>
        </w:tc>
        <w:tc>
          <w:tcPr>
            <w:tcW w:w="5973" w:type="dxa"/>
            <w:vAlign w:val="center"/>
          </w:tcPr>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 xml:space="preserve">.1 </w:t>
            </w:r>
            <w:r>
              <w:rPr>
                <w:rFonts w:hint="eastAsia" w:ascii="宋体" w:hAnsi="宋体" w:eastAsia="宋体" w:cs="宋体"/>
                <w:b/>
                <w:bCs/>
                <w:color w:val="000000"/>
                <w:kern w:val="0"/>
                <w:sz w:val="24"/>
                <w:szCs w:val="24"/>
              </w:rPr>
              <w:t>2022年1月1日-2023年1</w:t>
            </w:r>
            <w:r>
              <w:rPr>
                <w:rFonts w:hint="eastAsia" w:ascii="宋体" w:hAnsi="宋体" w:eastAsia="宋体" w:cs="宋体"/>
                <w:b/>
                <w:bCs/>
                <w:color w:val="000000"/>
                <w:kern w:val="0"/>
                <w:sz w:val="24"/>
                <w:szCs w:val="24"/>
                <w:lang w:val="en-US" w:eastAsia="zh-CN"/>
              </w:rPr>
              <w:t>2</w:t>
            </w:r>
            <w:r>
              <w:rPr>
                <w:rFonts w:hint="eastAsia" w:ascii="宋体" w:hAnsi="宋体" w:eastAsia="宋体" w:cs="宋体"/>
                <w:b/>
                <w:bCs/>
                <w:color w:val="000000"/>
                <w:kern w:val="0"/>
                <w:sz w:val="24"/>
                <w:szCs w:val="24"/>
              </w:rPr>
              <w:t>月3</w:t>
            </w:r>
            <w:r>
              <w:rPr>
                <w:rFonts w:hint="eastAsia" w:ascii="宋体" w:hAnsi="宋体" w:eastAsia="宋体" w:cs="宋体"/>
                <w:b/>
                <w:bCs/>
                <w:color w:val="000000"/>
                <w:kern w:val="0"/>
                <w:sz w:val="24"/>
                <w:szCs w:val="24"/>
                <w:lang w:val="en-US" w:eastAsia="zh-CN"/>
              </w:rPr>
              <w:t>1</w:t>
            </w:r>
            <w:r>
              <w:rPr>
                <w:rFonts w:hint="eastAsia" w:ascii="宋体" w:hAnsi="宋体" w:eastAsia="宋体" w:cs="宋体"/>
                <w:b/>
                <w:bCs/>
                <w:color w:val="000000"/>
                <w:kern w:val="0"/>
                <w:sz w:val="24"/>
                <w:szCs w:val="24"/>
              </w:rPr>
              <w:t>日</w:t>
            </w:r>
            <w:r>
              <w:rPr>
                <w:rFonts w:hint="eastAsia" w:ascii="宋体" w:hAnsi="宋体" w:eastAsia="宋体" w:cs="宋体"/>
                <w:color w:val="000000"/>
                <w:kern w:val="0"/>
                <w:sz w:val="24"/>
                <w:szCs w:val="24"/>
              </w:rPr>
              <w:t>在全国银行间债券市场成功发行协会产品（中期票据、短融、PPN、项目收益票据、ABN）证券机构累计金额：总承销金额500亿元以上的得10分；300亿元以上、500亿元以下的得5分；300亿元以下不得分。</w:t>
            </w:r>
          </w:p>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【投标人须提供WIND截屏作为证明材料并加盖公章。 WIND数据调取途径为：债券-专题统计-一级市场-承销统计-债券承销排名（wind口径）-任意区间（2022-1-1至2023-1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-3</w:t>
            </w: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）-机构类型：证券-勾选联主实际比例-不包括自主自办发行-债券分类：中期票据、短融、定向工具、项目收益票据、交易商协会ABN，</w:t>
            </w:r>
            <w:r>
              <w:rPr>
                <w:rFonts w:hint="eastAsia" w:ascii="宋体" w:hAnsi="宋体" w:eastAsia="宋体" w:cs="宋体"/>
                <w:b/>
                <w:bCs/>
                <w:color w:val="000000"/>
                <w:kern w:val="0"/>
                <w:sz w:val="24"/>
                <w:szCs w:val="24"/>
              </w:rPr>
              <w:t>以投标人承销商的承销业绩为准</w:t>
            </w:r>
            <w:r>
              <w:rPr>
                <w:rFonts w:hint="eastAsia" w:ascii="宋体" w:hAnsi="宋体" w:eastAsia="宋体" w:cs="宋体"/>
                <w:color w:val="000000"/>
                <w:kern w:val="0"/>
                <w:sz w:val="24"/>
                <w:szCs w:val="24"/>
              </w:rPr>
              <w:t>】</w:t>
            </w:r>
          </w:p>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 xml:space="preserve">.2 </w:t>
            </w:r>
            <w:r>
              <w:rPr>
                <w:rFonts w:hint="eastAsia" w:ascii="宋体" w:hAnsi="宋体" w:eastAsia="宋体" w:cs="宋体"/>
                <w:b/>
                <w:bCs/>
                <w:color w:val="000000"/>
                <w:kern w:val="0"/>
                <w:sz w:val="24"/>
                <w:szCs w:val="24"/>
              </w:rPr>
              <w:t>2022年1月1日-2023年1</w:t>
            </w:r>
            <w:r>
              <w:rPr>
                <w:rFonts w:hint="eastAsia" w:ascii="宋体" w:hAnsi="宋体" w:eastAsia="宋体" w:cs="宋体"/>
                <w:b/>
                <w:bCs/>
                <w:color w:val="000000"/>
                <w:kern w:val="0"/>
                <w:sz w:val="24"/>
                <w:szCs w:val="24"/>
                <w:lang w:val="en-US" w:eastAsia="zh-CN"/>
              </w:rPr>
              <w:t>2</w:t>
            </w:r>
            <w:r>
              <w:rPr>
                <w:rFonts w:hint="eastAsia" w:ascii="宋体" w:hAnsi="宋体" w:eastAsia="宋体" w:cs="宋体"/>
                <w:b/>
                <w:bCs/>
                <w:color w:val="000000"/>
                <w:kern w:val="0"/>
                <w:sz w:val="24"/>
                <w:szCs w:val="24"/>
              </w:rPr>
              <w:t>月3</w:t>
            </w:r>
            <w:r>
              <w:rPr>
                <w:rFonts w:hint="eastAsia" w:ascii="宋体" w:hAnsi="宋体" w:eastAsia="宋体" w:cs="宋体"/>
                <w:b/>
                <w:bCs/>
                <w:color w:val="000000"/>
                <w:kern w:val="0"/>
                <w:sz w:val="24"/>
                <w:szCs w:val="24"/>
                <w:lang w:val="en-US" w:eastAsia="zh-CN"/>
              </w:rPr>
              <w:t>1</w:t>
            </w:r>
            <w:r>
              <w:rPr>
                <w:rFonts w:hint="eastAsia" w:ascii="宋体" w:hAnsi="宋体" w:eastAsia="宋体" w:cs="宋体"/>
                <w:b/>
                <w:bCs/>
                <w:color w:val="000000"/>
                <w:kern w:val="0"/>
                <w:sz w:val="24"/>
                <w:szCs w:val="24"/>
              </w:rPr>
              <w:t>日</w:t>
            </w:r>
            <w:r>
              <w:rPr>
                <w:rFonts w:hint="eastAsia" w:ascii="宋体" w:hAnsi="宋体" w:eastAsia="宋体" w:cs="宋体"/>
                <w:color w:val="000000"/>
                <w:kern w:val="0"/>
                <w:sz w:val="24"/>
                <w:szCs w:val="24"/>
              </w:rPr>
              <w:t>在河南省内发行银行间协会产品（中期票据、短融、PPN、项目收益票据、ABN）证券机构平均承销金额排名：第1名得10分；第2名得8分；依次类推，第6名及以后不得分。</w:t>
            </w:r>
          </w:p>
          <w:p>
            <w:pPr>
              <w:keepNext w:val="0"/>
              <w:keepLines w:val="0"/>
              <w:suppressLineNumbers w:val="0"/>
              <w:tabs>
                <w:tab w:val="right" w:leader="dot" w:pos="9072"/>
              </w:tabs>
              <w:spacing w:before="0" w:beforeAutospacing="0" w:after="0" w:afterAutospacing="0"/>
              <w:ind w:left="0" w:leftChars="0" w:right="0" w:right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【投标人须提供WIND截屏作为证明材料并加盖公章。 WIND数据调取途径为：债券-专题统计-一级市场-承销统计-债券承销分地域排名-统计年度为2022年1月1日-2023年1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月3</w:t>
            </w: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日-机构类型：证券-选择板块：债券分类（WIND）-中期票据、短融、定向工具、项目收益票据、交易商协会ABN-选择地域：河南，</w:t>
            </w:r>
            <w:r>
              <w:rPr>
                <w:rFonts w:hint="eastAsia" w:ascii="宋体" w:hAnsi="宋体" w:eastAsia="宋体" w:cs="宋体"/>
                <w:b/>
                <w:bCs/>
                <w:color w:val="000000"/>
                <w:kern w:val="0"/>
                <w:sz w:val="24"/>
                <w:szCs w:val="24"/>
              </w:rPr>
              <w:t>以投标人承销商的承销业绩为准</w:t>
            </w:r>
            <w:r>
              <w:rPr>
                <w:rFonts w:hint="eastAsia" w:ascii="宋体" w:hAnsi="宋体" w:eastAsia="宋体" w:cs="宋体"/>
                <w:color w:val="000000"/>
                <w:kern w:val="0"/>
                <w:sz w:val="24"/>
                <w:szCs w:val="24"/>
              </w:rPr>
              <w:t>】</w:t>
            </w:r>
          </w:p>
          <w:p>
            <w:pPr>
              <w:keepNext w:val="0"/>
              <w:keepLines w:val="0"/>
              <w:suppressLineNumbers w:val="0"/>
              <w:tabs>
                <w:tab w:val="right" w:leader="dot" w:pos="9072"/>
              </w:tabs>
              <w:spacing w:before="0" w:beforeAutospacing="0" w:after="0" w:afterAutospacing="0"/>
              <w:ind w:left="0" w:right="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 xml:space="preserve">.3 </w:t>
            </w:r>
            <w:r>
              <w:rPr>
                <w:rFonts w:hint="eastAsia" w:ascii="宋体" w:hAnsi="宋体" w:eastAsia="宋体" w:cs="宋体"/>
                <w:b/>
                <w:bCs/>
                <w:color w:val="000000"/>
                <w:kern w:val="0"/>
                <w:sz w:val="24"/>
                <w:szCs w:val="24"/>
              </w:rPr>
              <w:t>2022年1月1日-2023年1</w:t>
            </w:r>
            <w:r>
              <w:rPr>
                <w:rFonts w:hint="eastAsia" w:ascii="宋体" w:hAnsi="宋体" w:eastAsia="宋体" w:cs="宋体"/>
                <w:b/>
                <w:bCs/>
                <w:color w:val="000000"/>
                <w:kern w:val="0"/>
                <w:sz w:val="24"/>
                <w:szCs w:val="24"/>
                <w:lang w:val="en-US" w:eastAsia="zh-CN"/>
              </w:rPr>
              <w:t>2</w:t>
            </w:r>
            <w:r>
              <w:rPr>
                <w:rFonts w:hint="eastAsia" w:ascii="宋体" w:hAnsi="宋体" w:eastAsia="宋体" w:cs="宋体"/>
                <w:b/>
                <w:bCs/>
                <w:color w:val="000000"/>
                <w:kern w:val="0"/>
                <w:sz w:val="24"/>
                <w:szCs w:val="24"/>
              </w:rPr>
              <w:t>月3</w:t>
            </w:r>
            <w:r>
              <w:rPr>
                <w:rFonts w:hint="eastAsia" w:ascii="宋体" w:hAnsi="宋体" w:eastAsia="宋体" w:cs="宋体"/>
                <w:b/>
                <w:bCs/>
                <w:color w:val="000000"/>
                <w:kern w:val="0"/>
                <w:sz w:val="24"/>
                <w:szCs w:val="24"/>
                <w:lang w:val="en-US" w:eastAsia="zh-CN"/>
              </w:rPr>
              <w:t>1</w:t>
            </w:r>
            <w:r>
              <w:rPr>
                <w:rFonts w:hint="eastAsia" w:ascii="宋体" w:hAnsi="宋体" w:eastAsia="宋体" w:cs="宋体"/>
                <w:b/>
                <w:bCs/>
                <w:color w:val="000000"/>
                <w:kern w:val="0"/>
                <w:sz w:val="24"/>
                <w:szCs w:val="24"/>
              </w:rPr>
              <w:t>日</w:t>
            </w:r>
            <w:r>
              <w:rPr>
                <w:rFonts w:hint="eastAsia" w:ascii="宋体" w:hAnsi="宋体" w:eastAsia="宋体" w:cs="宋体"/>
                <w:color w:val="000000"/>
                <w:kern w:val="0"/>
                <w:sz w:val="24"/>
                <w:szCs w:val="24"/>
              </w:rPr>
              <w:t>在全国银行间债券市场发行协会产品，在河南省地区延迟或取消发行债券不多于1只得10分，每增加1只扣2分，扣完为止。</w:t>
            </w:r>
            <w:r>
              <w:rPr>
                <w:rFonts w:hint="eastAsia" w:ascii="宋体" w:hAnsi="宋体" w:eastAsia="宋体" w:cs="宋体"/>
                <w:color w:val="000000"/>
                <w:kern w:val="0"/>
                <w:sz w:val="24"/>
                <w:szCs w:val="24"/>
                <w:lang w:val="en-US" w:eastAsia="zh-CN"/>
              </w:rPr>
              <w:t>若2023年12月31日之前尚未取得非金融企业债务融资工具主承销业务资质，则本项不得分。</w:t>
            </w:r>
          </w:p>
          <w:p>
            <w:pPr>
              <w:pStyle w:val="33"/>
              <w:rPr>
                <w:rFonts w:hint="eastAsia"/>
                <w:lang w:val="en-US" w:eastAsia="en-US"/>
              </w:rPr>
            </w:pPr>
            <w:r>
              <w:rPr>
                <w:rFonts w:hint="eastAsia" w:ascii="宋体" w:hAnsi="宋体" w:eastAsia="宋体" w:cs="宋体"/>
                <w:color w:val="000000"/>
                <w:kern w:val="0"/>
                <w:sz w:val="24"/>
                <w:szCs w:val="24"/>
              </w:rPr>
              <w:t>【投标人须提供WIND截屏作为证明材料并加盖公章。推迟或取消发行WIND数据调取途径为：债券-专题统计-一级市场-新券发行-推迟或发行失败债券-时间区间为2022年1月1日至2023年1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月3</w:t>
            </w: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日-债券类型“债券分类（WIND）-中期票据、短期融资券、定向工具、项目收益票据、资产支持证券中的交易商协会ABN”-上市地点：全部-主承销商列数筛选投标人名称（仅计算独立承销项目），</w:t>
            </w:r>
            <w:r>
              <w:rPr>
                <w:rFonts w:hint="eastAsia" w:ascii="宋体" w:hAnsi="宋体" w:eastAsia="宋体" w:cs="宋体"/>
                <w:b/>
                <w:bCs/>
                <w:color w:val="000000"/>
                <w:kern w:val="0"/>
                <w:sz w:val="24"/>
                <w:szCs w:val="24"/>
              </w:rPr>
              <w:t>以投标人承销商的承销业绩为准</w:t>
            </w:r>
            <w:r>
              <w:rPr>
                <w:rFonts w:hint="eastAsia" w:ascii="宋体" w:hAnsi="宋体" w:eastAsia="宋体" w:cs="宋体"/>
                <w:color w:val="000000"/>
                <w:kern w:val="0"/>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986" w:type="dxa"/>
            <w:gridSpan w:val="2"/>
            <w:vAlign w:val="top"/>
          </w:tcPr>
          <w:p>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873" w:type="dxa"/>
            <w:vAlign w:val="top"/>
          </w:tcPr>
          <w:p>
            <w:pPr>
              <w:pStyle w:val="25"/>
              <w:keepNext w:val="0"/>
              <w:keepLines w:val="0"/>
              <w:pageBreakBefore w:val="0"/>
              <w:kinsoku/>
              <w:wordWrap w:val="0"/>
              <w:overflowPunct/>
              <w:topLinePunct w:val="0"/>
              <w:bidi w:val="0"/>
              <w:spacing w:before="59" w:line="202"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973" w:type="dxa"/>
            <w:vAlign w:val="top"/>
          </w:tcPr>
          <w:p>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宋体" w:hAnsi="宋体" w:cs="宋体"/>
          <w:sz w:val="24"/>
        </w:rPr>
        <w:t>注：以上各项由评标委员会对各投标人比较后给予打分，以上项目缺项得0分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中标人被正式确定后，将在“河南省政府采购网”和“南阳市公共资源交易中心网”上公告中标结果，同时向中标人发出《中标通知书》。</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或电子营业执照应用平台”向中标人发出电子《中标通知书》后，中标供应商可登录南阳市公共资源交易平台会员系统或电子营业执照应用平台，自行打印加盖电子签章的《中标通知书》。</w:t>
      </w:r>
    </w:p>
    <w:p>
      <w:pPr>
        <w:keepNext w:val="0"/>
        <w:keepLines w:val="0"/>
        <w:pageBreakBefore w:val="0"/>
        <w:widowControl/>
        <w:kinsoku/>
        <w:wordWrap w:val="0"/>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cs="宋体"/>
          <w:snapToGrid w:val="0"/>
          <w:color w:val="000000"/>
          <w:spacing w:val="0"/>
          <w:kern w:val="0"/>
          <w:position w:val="0"/>
          <w:sz w:val="24"/>
          <w:szCs w:val="24"/>
          <w:lang w:val="en-US" w:eastAsia="zh-CN" w:bidi="ar-SA"/>
        </w:rPr>
      </w:pPr>
      <w:r>
        <w:rPr>
          <w:rFonts w:hint="eastAsia" w:ascii="宋体" w:hAnsi="宋体" w:eastAsia="宋体" w:cs="宋体"/>
          <w:snapToGrid w:val="0"/>
          <w:color w:val="000000"/>
          <w:spacing w:val="0"/>
          <w:kern w:val="0"/>
          <w:position w:val="0"/>
          <w:sz w:val="24"/>
          <w:szCs w:val="24"/>
          <w:lang w:val="en-US" w:eastAsia="zh-CN" w:bidi="ar-SA"/>
        </w:rPr>
        <w:t>2.</w:t>
      </w:r>
      <w:r>
        <w:rPr>
          <w:rFonts w:hint="eastAsia" w:ascii="宋体" w:hAnsi="宋体" w:eastAsia="宋体" w:cs="宋体"/>
          <w:color w:val="auto"/>
          <w:spacing w:val="0"/>
          <w:position w:val="0"/>
          <w:sz w:val="24"/>
          <w:szCs w:val="24"/>
        </w:rPr>
        <w:t>中标通知书</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lang w:val="en-US" w:eastAsia="zh-CN" w:bidi="ar-SA"/>
        </w:rPr>
      </w:pPr>
      <w:r>
        <w:rPr>
          <w:rFonts w:hint="eastAsia" w:ascii="宋体" w:hAnsi="宋体" w:eastAsia="宋体" w:cs="宋体"/>
          <w:snapToGrid w:val="0"/>
          <w:color w:val="000000"/>
          <w:spacing w:val="0"/>
          <w:kern w:val="0"/>
          <w:position w:val="0"/>
          <w:sz w:val="24"/>
          <w:szCs w:val="24"/>
          <w:lang w:val="en-US" w:eastAsia="zh-CN" w:bidi="ar-SA"/>
        </w:rPr>
        <w:t>2.1</w:t>
      </w:r>
      <w:r>
        <w:rPr>
          <w:rFonts w:hint="eastAsia" w:ascii="宋体" w:hAnsi="宋体" w:eastAsia="宋体" w:cs="宋体"/>
          <w:color w:val="auto"/>
          <w:spacing w:val="0"/>
          <w:position w:val="0"/>
          <w:sz w:val="24"/>
          <w:szCs w:val="24"/>
        </w:rPr>
        <w:t>在公告</w:t>
      </w:r>
      <w:r>
        <w:rPr>
          <w:rFonts w:hint="eastAsia" w:ascii="宋体" w:hAnsi="宋体" w:eastAsia="宋体" w:cs="宋体"/>
          <w:color w:val="auto"/>
          <w:spacing w:val="0"/>
          <w:position w:val="0"/>
          <w:sz w:val="24"/>
          <w:szCs w:val="24"/>
          <w:lang w:val="en-US" w:eastAsia="zh-CN"/>
        </w:rPr>
        <w:t>中标</w:t>
      </w:r>
      <w:r>
        <w:rPr>
          <w:rFonts w:hint="eastAsia" w:ascii="宋体" w:hAnsi="宋体" w:eastAsia="宋体" w:cs="宋体"/>
          <w:color w:val="auto"/>
          <w:spacing w:val="0"/>
          <w:position w:val="0"/>
          <w:sz w:val="24"/>
          <w:szCs w:val="24"/>
        </w:rPr>
        <w:t>结果的同时，采购人与代理机构应在线签订</w:t>
      </w:r>
      <w:r>
        <w:rPr>
          <w:rFonts w:hint="eastAsia" w:ascii="宋体" w:hAnsi="宋体" w:eastAsia="宋体" w:cs="宋体"/>
          <w:color w:val="auto"/>
          <w:spacing w:val="0"/>
          <w:position w:val="0"/>
          <w:sz w:val="24"/>
          <w:szCs w:val="24"/>
          <w:lang w:val="en-US" w:eastAsia="zh-CN"/>
        </w:rPr>
        <w:t>中标</w:t>
      </w:r>
      <w:r>
        <w:rPr>
          <w:rFonts w:hint="eastAsia" w:ascii="宋体" w:hAnsi="宋体" w:eastAsia="宋体" w:cs="宋体"/>
          <w:color w:val="auto"/>
          <w:spacing w:val="0"/>
          <w:position w:val="0"/>
          <w:sz w:val="24"/>
          <w:szCs w:val="24"/>
        </w:rPr>
        <w:t>通知书，</w:t>
      </w:r>
      <w:r>
        <w:rPr>
          <w:rFonts w:hint="eastAsia" w:ascii="宋体" w:hAnsi="宋体" w:eastAsia="宋体" w:cs="宋体"/>
          <w:color w:val="auto"/>
          <w:spacing w:val="0"/>
          <w:position w:val="0"/>
          <w:sz w:val="24"/>
          <w:szCs w:val="24"/>
          <w:lang w:val="en-US" w:eastAsia="zh-CN"/>
        </w:rPr>
        <w:t>中标</w:t>
      </w:r>
      <w:r>
        <w:rPr>
          <w:rFonts w:hint="eastAsia" w:ascii="宋体" w:hAnsi="宋体" w:eastAsia="宋体" w:cs="宋体"/>
          <w:color w:val="auto"/>
          <w:spacing w:val="0"/>
          <w:position w:val="0"/>
          <w:sz w:val="24"/>
          <w:szCs w:val="24"/>
        </w:rPr>
        <w:t>通知书将作为进行合同签订的依据</w:t>
      </w:r>
      <w:r>
        <w:rPr>
          <w:rFonts w:hint="eastAsia" w:ascii="宋体" w:hAnsi="宋体" w:eastAsia="宋体" w:cs="宋体"/>
          <w:snapToGrid w:val="0"/>
          <w:color w:val="000000"/>
          <w:spacing w:val="0"/>
          <w:kern w:val="0"/>
          <w:position w:val="0"/>
          <w:sz w:val="24"/>
          <w:szCs w:val="24"/>
          <w:lang w:val="en-US" w:eastAsia="zh-CN" w:bidi="ar-SA"/>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spacing w:val="2"/>
          <w:kern w:val="0"/>
          <w:position w:val="17"/>
          <w:sz w:val="24"/>
          <w:szCs w:val="24"/>
          <w:lang w:val="en-US" w:eastAsia="zh-CN" w:bidi="ar-SA"/>
        </w:rPr>
      </w:pPr>
      <w:r>
        <w:rPr>
          <w:rFonts w:hint="eastAsia" w:ascii="宋体" w:hAnsi="宋体" w:eastAsia="宋体" w:cs="宋体"/>
          <w:snapToGrid w:val="0"/>
          <w:color w:val="000000"/>
          <w:spacing w:val="2"/>
          <w:kern w:val="0"/>
          <w:position w:val="17"/>
          <w:sz w:val="24"/>
          <w:szCs w:val="24"/>
          <w:lang w:val="en-US" w:eastAsia="zh-CN" w:bidi="ar-SA"/>
        </w:rPr>
        <w:t>2.2招标文件、投标文件、答疑及澄清文件，均为签订合同的依据。</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2.2中标通知书是合同的一个组成部分。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lang w:val="en-US" w:eastAsia="zh-CN" w:bidi="ar-SA"/>
        </w:rPr>
      </w:pPr>
      <w:r>
        <w:rPr>
          <w:rFonts w:hint="eastAsia" w:ascii="宋体" w:hAnsi="宋体" w:eastAsia="宋体" w:cs="宋体"/>
          <w:snapToGrid w:val="0"/>
          <w:color w:val="000000"/>
          <w:spacing w:val="0"/>
          <w:kern w:val="0"/>
          <w:position w:val="0"/>
          <w:sz w:val="24"/>
          <w:szCs w:val="24"/>
          <w:lang w:val="en-US" w:eastAsia="zh-CN" w:bidi="ar-SA"/>
        </w:rPr>
        <w:t>3.签订合同</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lang w:val="en-US" w:eastAsia="zh-CN" w:bidi="ar-SA"/>
        </w:rPr>
      </w:pPr>
      <w:r>
        <w:rPr>
          <w:rFonts w:hint="eastAsia" w:ascii="宋体" w:hAnsi="宋体" w:eastAsia="宋体" w:cs="宋体"/>
          <w:snapToGrid w:val="0"/>
          <w:color w:val="000000"/>
          <w:spacing w:val="0"/>
          <w:kern w:val="0"/>
          <w:position w:val="0"/>
          <w:sz w:val="24"/>
          <w:szCs w:val="24"/>
          <w:lang w:val="en-US" w:eastAsia="zh-CN" w:bidi="ar-SA"/>
        </w:rPr>
        <w:t>3.1招标人和中标人应当自中标通知书发出之日起 3 天内，根据招标文件和中标人的投标文件在线签订合同。中标人无正当理由拒签合同的，招标人取消其中标资格，按照相关法律规定进行处罚。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宋体" w:hAnsi="宋体" w:eastAsia="宋体" w:cs="宋体"/>
          <w:snapToGrid w:val="0"/>
          <w:color w:val="000000"/>
          <w:spacing w:val="0"/>
          <w:kern w:val="0"/>
          <w:position w:val="0"/>
          <w:sz w:val="24"/>
          <w:szCs w:val="24"/>
          <w:lang w:val="en-US" w:eastAsia="zh-CN" w:bidi="ar-SA"/>
        </w:rPr>
        <w:t>3.2招标文件、中标供应商的投标文件及评标过程中有关澄清文件均为签订合同的依据。</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或线上形式</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向采购人、采购代理机构提出质疑。供应商须在法定质疑期内一次性提出针对同一采购程序环节的质疑。</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在线接收，请质疑人上传质疑函原件扫描件到南阳市公共资源交易系统或南阳市公共资源电子营业执照应用平台并电话通知到项目负责人。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br w:type="page"/>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pStyle w:val="8"/>
        <w:keepNext w:val="0"/>
        <w:keepLines w:val="0"/>
        <w:pageBreakBefore w:val="0"/>
        <w:kinsoku/>
        <w:wordWrap w:val="0"/>
        <w:overflowPunct/>
        <w:topLinePunct w:val="0"/>
        <w:bidi w:val="0"/>
        <w:jc w:val="both"/>
        <w:rPr>
          <w:rFonts w:hint="eastAsia"/>
          <w:lang w:val="en-US" w:eastAsia="zh-CN"/>
        </w:rPr>
        <w:sectPr>
          <w:footerReference r:id="rId7" w:type="default"/>
          <w:pgSz w:w="11907" w:h="16840"/>
          <w:pgMar w:top="1440" w:right="1800" w:bottom="1440" w:left="1800" w:header="878" w:footer="886" w:gutter="0"/>
          <w:pgNumType w:fmt="decimal" w:start="1"/>
          <w:cols w:space="720" w:num="1"/>
        </w:sectPr>
      </w:pPr>
    </w:p>
    <w:p>
      <w:pPr>
        <w:pStyle w:val="2"/>
        <w:bidi w:val="0"/>
        <w:jc w:val="cente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pPr>
        <w:spacing w:line="360" w:lineRule="auto"/>
        <w:jc w:val="center"/>
        <w:rPr>
          <w:rFonts w:ascii="宋体" w:hAnsi="宋体" w:cs="宋体"/>
          <w:b/>
          <w:bCs/>
          <w:sz w:val="32"/>
          <w:szCs w:val="32"/>
        </w:rPr>
      </w:pPr>
      <w:r>
        <w:rPr>
          <w:rFonts w:hint="eastAsia" w:ascii="宋体" w:hAnsi="宋体" w:cs="宋体"/>
          <w:b/>
          <w:bCs/>
          <w:sz w:val="32"/>
          <w:szCs w:val="32"/>
        </w:rPr>
        <w:t>合同条款及格式 (仅供参考)</w:t>
      </w:r>
    </w:p>
    <w:p>
      <w:pPr>
        <w:spacing w:line="360" w:lineRule="auto"/>
        <w:ind w:firstLine="480" w:firstLineChars="200"/>
        <w:rPr>
          <w:rFonts w:ascii="宋体" w:hAnsi="宋体" w:cs="宋体"/>
          <w:sz w:val="24"/>
        </w:rPr>
      </w:pPr>
      <w:r>
        <w:rPr>
          <w:rFonts w:hint="eastAsia" w:ascii="宋体" w:hAnsi="宋体" w:cs="宋体"/>
          <w:sz w:val="24"/>
        </w:rPr>
        <w:t>一、中标人凭中标通知书与采购人签订合同。合同一式陆份，采购人三份、中标人二份、监管部门一份。所签合同不得对招标文件作实质性修改。招标人不得向中标供应商提出不合理的要求作为签订合同的条件，不得与中标人私下订立背离招标文件实质性内容的协议。</w:t>
      </w:r>
    </w:p>
    <w:p>
      <w:pPr>
        <w:spacing w:line="360" w:lineRule="auto"/>
        <w:ind w:firstLine="480" w:firstLineChars="200"/>
        <w:rPr>
          <w:rFonts w:ascii="宋体" w:hAnsi="宋体" w:cs="宋体"/>
          <w:sz w:val="24"/>
        </w:rPr>
      </w:pPr>
      <w:r>
        <w:rPr>
          <w:rFonts w:hint="eastAsia" w:ascii="宋体" w:hAnsi="宋体" w:cs="宋体"/>
          <w:sz w:val="24"/>
        </w:rPr>
        <w:t>二、采购人按合同约定积极配合中标人履约。</w:t>
      </w:r>
    </w:p>
    <w:p>
      <w:pPr>
        <w:spacing w:line="360" w:lineRule="auto"/>
        <w:ind w:firstLine="480" w:firstLineChars="200"/>
        <w:rPr>
          <w:rFonts w:ascii="宋体" w:hAnsi="宋体" w:cs="宋体"/>
          <w:sz w:val="24"/>
        </w:rPr>
      </w:pPr>
      <w:r>
        <w:rPr>
          <w:rFonts w:hint="eastAsia" w:ascii="宋体" w:hAnsi="宋体" w:cs="宋体"/>
          <w:sz w:val="24"/>
        </w:rPr>
        <w:t>三、中标人出现违约情形，应当及时纠正或补偿；造成损失的，按合同约定追究违约责任；发现有假冒、伪劣、走私产品、商业贿赂等违法情形的，应由采购人移交工商、质监、公安等行政执法部门依法查处。</w:t>
      </w:r>
    </w:p>
    <w:p>
      <w:pPr>
        <w:spacing w:line="360" w:lineRule="auto"/>
        <w:ind w:firstLine="480" w:firstLineChars="200"/>
        <w:rPr>
          <w:rFonts w:ascii="宋体" w:hAnsi="宋体" w:cs="宋体"/>
          <w:sz w:val="24"/>
        </w:rPr>
      </w:pPr>
      <w:r>
        <w:rPr>
          <w:rFonts w:hint="eastAsia" w:ascii="宋体" w:hAnsi="宋体" w:cs="宋体"/>
          <w:sz w:val="24"/>
        </w:rPr>
        <w:t>四、付款方式以承销协议为准，以上项目款的支付不计息。</w:t>
      </w:r>
    </w:p>
    <w:p>
      <w:pPr>
        <w:spacing w:line="360" w:lineRule="auto"/>
        <w:ind w:firstLine="480" w:firstLineChars="200"/>
        <w:rPr>
          <w:rFonts w:ascii="宋体" w:hAnsi="宋体" w:cs="宋体"/>
          <w:sz w:val="24"/>
        </w:rPr>
      </w:pPr>
      <w:r>
        <w:rPr>
          <w:rFonts w:hint="eastAsia" w:ascii="宋体" w:hAnsi="宋体" w:cs="宋体"/>
          <w:sz w:val="24"/>
        </w:rPr>
        <w:t>（注：本合同为承销协议参考合同，具体承销协议由中标人及采购人协商签订）</w:t>
      </w:r>
    </w:p>
    <w:p>
      <w:pPr>
        <w:spacing w:line="360" w:lineRule="auto"/>
        <w:ind w:firstLine="480" w:firstLineChars="200"/>
        <w:rPr>
          <w:rFonts w:ascii="宋体" w:hAnsi="宋体" w:cs="宋体"/>
          <w:sz w:val="24"/>
        </w:rPr>
      </w:pPr>
      <w:r>
        <w:rPr>
          <w:rFonts w:hint="eastAsia" w:ascii="宋体" w:hAnsi="宋体" w:cs="宋体"/>
          <w:sz w:val="24"/>
        </w:rPr>
        <w:t>采购人（或称甲方）：</w:t>
      </w:r>
    </w:p>
    <w:p>
      <w:pPr>
        <w:spacing w:line="360" w:lineRule="auto"/>
        <w:ind w:firstLine="480" w:firstLineChars="200"/>
        <w:rPr>
          <w:rFonts w:ascii="宋体" w:hAnsi="宋体" w:cs="宋体"/>
          <w:sz w:val="24"/>
        </w:rPr>
      </w:pPr>
      <w:r>
        <w:rPr>
          <w:rFonts w:hint="eastAsia" w:ascii="宋体" w:hAnsi="宋体" w:cs="宋体"/>
          <w:sz w:val="24"/>
        </w:rPr>
        <w:t>中标供应商（或称乙方）：</w:t>
      </w:r>
    </w:p>
    <w:p>
      <w:pPr>
        <w:spacing w:line="360" w:lineRule="auto"/>
        <w:ind w:firstLine="480" w:firstLineChars="200"/>
        <w:rPr>
          <w:rFonts w:ascii="宋体" w:hAnsi="宋体" w:cs="宋体"/>
          <w:sz w:val="24"/>
        </w:rPr>
      </w:pPr>
      <w:r>
        <w:rPr>
          <w:rFonts w:hint="eastAsia" w:ascii="宋体" w:hAnsi="宋体" w:cs="宋体"/>
          <w:sz w:val="24"/>
        </w:rPr>
        <w:t>签订时间：     年   月   日</w:t>
      </w:r>
    </w:p>
    <w:p>
      <w:pPr>
        <w:spacing w:line="360" w:lineRule="auto"/>
        <w:ind w:firstLine="480" w:firstLineChars="200"/>
        <w:rPr>
          <w:rFonts w:ascii="宋体" w:hAnsi="宋体" w:cs="宋体"/>
          <w:sz w:val="24"/>
        </w:rPr>
      </w:pPr>
      <w:r>
        <w:rPr>
          <w:rFonts w:hint="eastAsia" w:ascii="宋体" w:hAnsi="宋体" w:cs="宋体"/>
          <w:sz w:val="24"/>
        </w:rPr>
        <w:t>签订地点：</w:t>
      </w:r>
    </w:p>
    <w:p>
      <w:pPr>
        <w:spacing w:line="360" w:lineRule="auto"/>
        <w:ind w:firstLine="480" w:firstLineChars="200"/>
        <w:rPr>
          <w:rFonts w:ascii="宋体" w:hAnsi="宋体" w:cs="宋体"/>
          <w:sz w:val="24"/>
        </w:rPr>
      </w:pPr>
      <w:r>
        <w:rPr>
          <w:rFonts w:hint="eastAsia" w:ascii="宋体" w:hAnsi="宋体" w:cs="宋体"/>
          <w:sz w:val="24"/>
        </w:rPr>
        <w:t>根据《招标投标法》、《民法典》及</w:t>
      </w:r>
      <w:r>
        <w:rPr>
          <w:rFonts w:hint="eastAsia" w:ascii="宋体" w:hAnsi="宋体" w:cs="宋体"/>
          <w:sz w:val="24"/>
          <w:u w:val="single"/>
        </w:rPr>
        <w:t xml:space="preserve">  （项目名称） （采购编号：）</w:t>
      </w:r>
      <w:r>
        <w:rPr>
          <w:rFonts w:hint="eastAsia" w:ascii="宋体" w:hAnsi="宋体" w:cs="宋体"/>
          <w:sz w:val="24"/>
        </w:rPr>
        <w:t>的中标结果、招标文件、中标通知书及中标单位的投标文件，经双方协商一致，签订本合同。</w:t>
      </w:r>
    </w:p>
    <w:p>
      <w:pPr>
        <w:spacing w:line="360" w:lineRule="auto"/>
        <w:ind w:firstLine="480" w:firstLineChars="200"/>
        <w:rPr>
          <w:rFonts w:ascii="宋体" w:hAnsi="宋体" w:cs="宋体"/>
          <w:sz w:val="24"/>
        </w:rPr>
      </w:pPr>
      <w:r>
        <w:rPr>
          <w:rFonts w:hint="eastAsia" w:ascii="宋体" w:hAnsi="宋体" w:cs="宋体"/>
          <w:sz w:val="24"/>
        </w:rPr>
        <w:t>第一条 债券种类与数额</w:t>
      </w:r>
    </w:p>
    <w:p>
      <w:pPr>
        <w:spacing w:line="360" w:lineRule="auto"/>
        <w:ind w:firstLine="480" w:firstLineChars="200"/>
        <w:rPr>
          <w:rFonts w:ascii="宋体" w:hAnsi="宋体" w:cs="宋体"/>
          <w:sz w:val="24"/>
        </w:rPr>
      </w:pPr>
      <w:r>
        <w:rPr>
          <w:rFonts w:hint="eastAsia" w:ascii="宋体" w:hAnsi="宋体" w:cs="宋体"/>
          <w:sz w:val="24"/>
        </w:rPr>
        <w:t>本协议项下PPN项目指甲方按照</w:t>
      </w:r>
      <w:r>
        <w:rPr>
          <w:rFonts w:hint="eastAsia" w:ascii="宋体" w:hAnsi="宋体" w:cs="宋体"/>
          <w:sz w:val="24"/>
          <w:u w:val="single"/>
        </w:rPr>
        <w:t xml:space="preserve">                    </w:t>
      </w:r>
      <w:r>
        <w:rPr>
          <w:rFonts w:hint="eastAsia" w:ascii="宋体" w:hAnsi="宋体" w:cs="宋体"/>
          <w:sz w:val="24"/>
        </w:rPr>
        <w:t>批准的发行计划采用招投标方法选聘承销商发行的产品。甲方根据其财务资金状况，确定发行数量和期限。</w:t>
      </w:r>
    </w:p>
    <w:p>
      <w:pPr>
        <w:spacing w:line="360" w:lineRule="auto"/>
        <w:ind w:firstLine="480" w:firstLineChars="200"/>
        <w:rPr>
          <w:rFonts w:ascii="宋体" w:hAnsi="宋体" w:cs="宋体"/>
          <w:sz w:val="24"/>
        </w:rPr>
      </w:pPr>
      <w:r>
        <w:rPr>
          <w:rFonts w:hint="eastAsia" w:ascii="宋体" w:hAnsi="宋体" w:cs="宋体"/>
          <w:sz w:val="24"/>
        </w:rPr>
        <w:t>第二条 承销方式</w:t>
      </w:r>
    </w:p>
    <w:p>
      <w:pPr>
        <w:spacing w:line="360" w:lineRule="auto"/>
        <w:ind w:firstLine="480" w:firstLineChars="200"/>
        <w:rPr>
          <w:rFonts w:ascii="宋体" w:hAnsi="宋体" w:cs="宋体"/>
          <w:sz w:val="24"/>
        </w:rPr>
      </w:pPr>
      <w:r>
        <w:rPr>
          <w:rFonts w:hint="eastAsia" w:ascii="宋体" w:hAnsi="宋体" w:cs="宋体"/>
          <w:sz w:val="24"/>
        </w:rPr>
        <w:t>乙方采用余额包销方式承销PPN（即非公开定向债务融资工具）。</w:t>
      </w:r>
    </w:p>
    <w:p>
      <w:pPr>
        <w:spacing w:line="360" w:lineRule="auto"/>
        <w:ind w:firstLine="480" w:firstLineChars="200"/>
        <w:rPr>
          <w:rFonts w:ascii="宋体" w:hAnsi="宋体" w:cs="宋体"/>
          <w:sz w:val="24"/>
        </w:rPr>
      </w:pPr>
      <w:r>
        <w:rPr>
          <w:rFonts w:hint="eastAsia" w:ascii="宋体" w:hAnsi="宋体" w:cs="宋体"/>
          <w:sz w:val="24"/>
        </w:rPr>
        <w:t>第三条 承销期</w:t>
      </w:r>
    </w:p>
    <w:p>
      <w:pPr>
        <w:spacing w:line="360" w:lineRule="auto"/>
        <w:ind w:firstLine="480" w:firstLineChars="200"/>
        <w:rPr>
          <w:rFonts w:ascii="宋体" w:hAnsi="宋体" w:cs="宋体"/>
          <w:sz w:val="24"/>
        </w:rPr>
      </w:pPr>
      <w:r>
        <w:rPr>
          <w:rFonts w:hint="eastAsia" w:ascii="宋体" w:hAnsi="宋体" w:cs="宋体"/>
          <w:sz w:val="24"/>
        </w:rPr>
        <w:t>债券承销期由甲方在非公开定向债务融资工具发行公告和/或发行说明书中确定。</w:t>
      </w:r>
    </w:p>
    <w:p>
      <w:pPr>
        <w:spacing w:line="360" w:lineRule="auto"/>
        <w:ind w:firstLine="480" w:firstLineChars="200"/>
        <w:rPr>
          <w:rFonts w:ascii="宋体" w:hAnsi="宋体" w:cs="宋体"/>
          <w:sz w:val="24"/>
        </w:rPr>
      </w:pPr>
      <w:r>
        <w:rPr>
          <w:rFonts w:hint="eastAsia" w:ascii="宋体" w:hAnsi="宋体" w:cs="宋体"/>
          <w:sz w:val="24"/>
        </w:rPr>
        <w:t>第四条 承销款项的支付</w:t>
      </w:r>
    </w:p>
    <w:p>
      <w:pPr>
        <w:spacing w:line="360" w:lineRule="auto"/>
        <w:ind w:firstLine="480" w:firstLineChars="200"/>
        <w:rPr>
          <w:rFonts w:ascii="宋体" w:hAnsi="宋体" w:cs="宋体"/>
          <w:sz w:val="24"/>
        </w:rPr>
      </w:pPr>
      <w:r>
        <w:rPr>
          <w:rFonts w:hint="eastAsia" w:ascii="宋体" w:hAnsi="宋体" w:cs="宋体"/>
          <w:sz w:val="24"/>
        </w:rPr>
        <w:t>乙方应按甲方的要求，将非公开定向债务融资工具承销款项及时足额划入甲方指定的银行帐户。</w:t>
      </w:r>
    </w:p>
    <w:p>
      <w:pPr>
        <w:spacing w:line="360" w:lineRule="auto"/>
        <w:ind w:firstLine="480" w:firstLineChars="200"/>
        <w:rPr>
          <w:rFonts w:ascii="宋体" w:hAnsi="宋体" w:cs="宋体"/>
          <w:sz w:val="24"/>
        </w:rPr>
      </w:pPr>
      <w:r>
        <w:rPr>
          <w:rFonts w:hint="eastAsia" w:ascii="宋体" w:hAnsi="宋体" w:cs="宋体"/>
          <w:sz w:val="24"/>
        </w:rPr>
        <w:t>异地承销商通过中国人民银行电子联行划款，同城承销商以支票转账方式支付。</w:t>
      </w:r>
    </w:p>
    <w:p>
      <w:pPr>
        <w:spacing w:line="360" w:lineRule="auto"/>
        <w:ind w:firstLine="480" w:firstLineChars="200"/>
        <w:rPr>
          <w:rFonts w:ascii="宋体" w:hAnsi="宋体" w:cs="宋体"/>
          <w:sz w:val="24"/>
        </w:rPr>
      </w:pPr>
      <w:r>
        <w:rPr>
          <w:rFonts w:hint="eastAsia" w:ascii="宋体" w:hAnsi="宋体" w:cs="宋体"/>
          <w:sz w:val="24"/>
        </w:rPr>
        <w:t>第五条 承销服务费的支付</w:t>
      </w:r>
    </w:p>
    <w:p>
      <w:pPr>
        <w:spacing w:line="360" w:lineRule="auto"/>
        <w:ind w:firstLine="480" w:firstLineChars="200"/>
        <w:rPr>
          <w:rFonts w:ascii="宋体" w:hAnsi="宋体" w:cs="宋体"/>
          <w:sz w:val="24"/>
        </w:rPr>
      </w:pPr>
      <w:r>
        <w:rPr>
          <w:rFonts w:hint="eastAsia" w:ascii="宋体" w:hAnsi="宋体" w:cs="宋体"/>
          <w:sz w:val="24"/>
        </w:rPr>
        <w:t>甲方按乙方实际承销非公开定向债务融资工具总额的</w:t>
      </w:r>
      <w:r>
        <w:rPr>
          <w:rFonts w:hint="eastAsia" w:ascii="宋体" w:hAnsi="宋体" w:cs="宋体"/>
          <w:sz w:val="24"/>
          <w:u w:val="single"/>
        </w:rPr>
        <w:t xml:space="preserve">        ‰/年</w:t>
      </w:r>
      <w:r>
        <w:rPr>
          <w:rFonts w:hint="eastAsia" w:ascii="宋体" w:hAnsi="宋体" w:cs="宋体"/>
          <w:sz w:val="24"/>
        </w:rPr>
        <w:t>（PPN发行期限拟为不超过12年，承销费在发行成功时一次性支付，包含承销费、承销费相关税金、会计师事务所服务费、律师事务所服务费、评级费、承销商人员差旅费等承销商所承担的各项费用）向乙方支付发行承销费，该笔费用在发行结束后由乙方一次性从PPN(非公开定向债务融资工具)募集款项中直接扣除。</w:t>
      </w:r>
    </w:p>
    <w:p>
      <w:pPr>
        <w:spacing w:line="360" w:lineRule="auto"/>
        <w:ind w:firstLine="480" w:firstLineChars="200"/>
        <w:rPr>
          <w:rFonts w:ascii="宋体" w:hAnsi="宋体" w:cs="宋体"/>
          <w:sz w:val="24"/>
        </w:rPr>
      </w:pPr>
      <w:r>
        <w:rPr>
          <w:rFonts w:hint="eastAsia" w:ascii="宋体" w:hAnsi="宋体" w:cs="宋体"/>
          <w:sz w:val="24"/>
        </w:rPr>
        <w:t>第六条 登记托管</w:t>
      </w:r>
    </w:p>
    <w:p>
      <w:pPr>
        <w:spacing w:line="360" w:lineRule="auto"/>
        <w:ind w:firstLine="480" w:firstLineChars="200"/>
        <w:rPr>
          <w:rFonts w:ascii="宋体" w:hAnsi="宋体" w:cs="宋体"/>
          <w:sz w:val="24"/>
        </w:rPr>
      </w:pPr>
      <w:r>
        <w:rPr>
          <w:rFonts w:hint="eastAsia" w:ascii="宋体" w:hAnsi="宋体" w:cs="宋体"/>
          <w:sz w:val="24"/>
        </w:rPr>
        <w:t>PPN(非公开定向债务融资工具)采用无纸化发行，</w:t>
      </w:r>
      <w:r>
        <w:rPr>
          <w:rFonts w:hint="eastAsia" w:ascii="宋体" w:hAnsi="宋体" w:cs="宋体"/>
          <w:sz w:val="24"/>
          <w:u w:val="single"/>
        </w:rPr>
        <w:t xml:space="preserve">                       </w:t>
      </w:r>
      <w:r>
        <w:rPr>
          <w:rFonts w:hint="eastAsia" w:ascii="宋体" w:hAnsi="宋体" w:cs="宋体"/>
          <w:sz w:val="24"/>
        </w:rPr>
        <w:t>（以下简称结算公司）负责债券的登记托管。</w:t>
      </w:r>
    </w:p>
    <w:p>
      <w:pPr>
        <w:spacing w:line="360" w:lineRule="auto"/>
        <w:ind w:firstLine="480" w:firstLineChars="200"/>
        <w:rPr>
          <w:rFonts w:ascii="宋体" w:hAnsi="宋体" w:cs="宋体"/>
          <w:sz w:val="24"/>
        </w:rPr>
      </w:pPr>
      <w:r>
        <w:rPr>
          <w:rFonts w:hint="eastAsia" w:ascii="宋体" w:hAnsi="宋体" w:cs="宋体"/>
          <w:sz w:val="24"/>
        </w:rPr>
        <w:t>第七条 信息披露</w:t>
      </w:r>
    </w:p>
    <w:p>
      <w:pPr>
        <w:spacing w:line="360" w:lineRule="auto"/>
        <w:ind w:firstLine="480" w:firstLineChars="200"/>
        <w:rPr>
          <w:rFonts w:ascii="宋体" w:hAnsi="宋体" w:cs="宋体"/>
          <w:sz w:val="24"/>
        </w:rPr>
      </w:pPr>
      <w:r>
        <w:rPr>
          <w:rFonts w:hint="eastAsia" w:ascii="宋体" w:hAnsi="宋体" w:cs="宋体"/>
          <w:sz w:val="24"/>
        </w:rPr>
        <w:t>一、甲方应于非公开定向债务融资工具发行前发布发行公告；</w:t>
      </w:r>
    </w:p>
    <w:p>
      <w:pPr>
        <w:spacing w:line="360" w:lineRule="auto"/>
        <w:ind w:firstLine="480" w:firstLineChars="200"/>
        <w:rPr>
          <w:rFonts w:ascii="宋体" w:hAnsi="宋体" w:cs="宋体"/>
          <w:sz w:val="24"/>
        </w:rPr>
      </w:pPr>
      <w:r>
        <w:rPr>
          <w:rFonts w:hint="eastAsia" w:ascii="宋体" w:hAnsi="宋体" w:cs="宋体"/>
          <w:sz w:val="24"/>
        </w:rPr>
        <w:t>二、甲方应在非公开定向债务融资工具募集说明书中公告非公开定向债务融资工具发行的条件和方式；</w:t>
      </w:r>
    </w:p>
    <w:p>
      <w:pPr>
        <w:spacing w:line="360" w:lineRule="auto"/>
        <w:ind w:left="479" w:leftChars="228"/>
        <w:rPr>
          <w:rFonts w:ascii="宋体" w:hAnsi="宋体" w:cs="宋体"/>
          <w:sz w:val="24"/>
        </w:rPr>
      </w:pPr>
      <w:r>
        <w:rPr>
          <w:rFonts w:hint="eastAsia" w:ascii="宋体" w:hAnsi="宋体" w:cs="宋体"/>
          <w:sz w:val="24"/>
        </w:rPr>
        <w:t>三、甲方应在非公开定向债务融资工具募集说明书中公布最近三年的主要财务数据；</w:t>
      </w:r>
      <w:r>
        <w:rPr>
          <w:rFonts w:hint="eastAsia" w:ascii="宋体" w:hAnsi="宋体" w:cs="宋体"/>
          <w:sz w:val="24"/>
        </w:rPr>
        <w:br w:type="textWrapping"/>
      </w:r>
      <w:r>
        <w:rPr>
          <w:rFonts w:hint="eastAsia" w:ascii="宋体" w:hAnsi="宋体" w:cs="宋体"/>
          <w:sz w:val="24"/>
        </w:rPr>
        <w:t>四、甲方应按年披露其财务状况及其他有关债券兑付的重要信息。</w:t>
      </w:r>
    </w:p>
    <w:p>
      <w:pPr>
        <w:spacing w:line="360" w:lineRule="auto"/>
        <w:ind w:left="479" w:leftChars="228"/>
        <w:rPr>
          <w:rFonts w:ascii="宋体" w:hAnsi="宋体" w:cs="宋体"/>
          <w:sz w:val="24"/>
        </w:rPr>
      </w:pPr>
      <w:r>
        <w:rPr>
          <w:rFonts w:hint="eastAsia" w:ascii="宋体" w:hAnsi="宋体" w:cs="宋体"/>
          <w:sz w:val="24"/>
        </w:rPr>
        <w:t>第八条 甲方的权利和义务</w:t>
      </w:r>
    </w:p>
    <w:p>
      <w:pPr>
        <w:spacing w:line="360" w:lineRule="auto"/>
        <w:ind w:left="479" w:leftChars="228"/>
        <w:rPr>
          <w:rFonts w:ascii="宋体" w:hAnsi="宋体" w:cs="宋体"/>
          <w:sz w:val="24"/>
        </w:rPr>
      </w:pPr>
      <w:r>
        <w:rPr>
          <w:rFonts w:hint="eastAsia" w:ascii="宋体" w:hAnsi="宋体" w:cs="宋体"/>
          <w:sz w:val="24"/>
        </w:rPr>
        <w:t>甲方的权利如下：</w:t>
      </w:r>
    </w:p>
    <w:p>
      <w:pPr>
        <w:spacing w:line="360" w:lineRule="auto"/>
        <w:ind w:firstLine="480" w:firstLineChars="200"/>
        <w:rPr>
          <w:rFonts w:ascii="宋体" w:hAnsi="宋体" w:cs="宋体"/>
          <w:sz w:val="24"/>
        </w:rPr>
      </w:pPr>
      <w:r>
        <w:rPr>
          <w:rFonts w:hint="eastAsia" w:ascii="宋体" w:hAnsi="宋体" w:cs="宋体"/>
          <w:sz w:val="24"/>
        </w:rPr>
        <w:t>一、非公开定向债务融资工具发行完毕后，甲方有权按非公开定向债务融资工具发行条件和乙方承销额向乙方收取非公开定向债务融资工具承销款项；</w:t>
      </w:r>
    </w:p>
    <w:p>
      <w:pPr>
        <w:spacing w:line="360" w:lineRule="auto"/>
        <w:ind w:firstLine="480" w:firstLineChars="200"/>
        <w:rPr>
          <w:rFonts w:ascii="宋体" w:hAnsi="宋体" w:cs="宋体"/>
          <w:sz w:val="24"/>
        </w:rPr>
      </w:pPr>
      <w:r>
        <w:rPr>
          <w:rFonts w:hint="eastAsia" w:ascii="宋体" w:hAnsi="宋体" w:cs="宋体"/>
          <w:sz w:val="24"/>
        </w:rPr>
        <w:t>二、在征得乙方书面认可的情况下，非公开定向债务融资工具发行的程序和方式等由甲方最终确定；</w:t>
      </w:r>
    </w:p>
    <w:p>
      <w:pPr>
        <w:spacing w:line="360" w:lineRule="auto"/>
        <w:ind w:firstLine="480" w:firstLineChars="200"/>
        <w:rPr>
          <w:rFonts w:ascii="宋体" w:hAnsi="宋体" w:cs="宋体"/>
          <w:sz w:val="24"/>
        </w:rPr>
      </w:pPr>
      <w:r>
        <w:rPr>
          <w:rFonts w:hint="eastAsia" w:ascii="宋体" w:hAnsi="宋体" w:cs="宋体"/>
          <w:sz w:val="24"/>
        </w:rPr>
        <w:t>三、按照国家政策及债券募集说明书约定自主运用发债资金。</w:t>
      </w:r>
    </w:p>
    <w:p>
      <w:pPr>
        <w:spacing w:line="360" w:lineRule="auto"/>
        <w:ind w:firstLine="480" w:firstLineChars="200"/>
        <w:rPr>
          <w:rFonts w:ascii="宋体" w:hAnsi="宋体" w:cs="宋体"/>
          <w:sz w:val="24"/>
        </w:rPr>
      </w:pPr>
      <w:r>
        <w:rPr>
          <w:rFonts w:hint="eastAsia" w:ascii="宋体" w:hAnsi="宋体" w:cs="宋体"/>
          <w:sz w:val="24"/>
        </w:rPr>
        <w:t>甲方的义务如下：</w:t>
      </w:r>
    </w:p>
    <w:p>
      <w:pPr>
        <w:spacing w:line="360" w:lineRule="auto"/>
        <w:ind w:firstLine="480" w:firstLineChars="200"/>
        <w:rPr>
          <w:rFonts w:ascii="宋体" w:hAnsi="宋体" w:cs="宋体"/>
          <w:sz w:val="24"/>
        </w:rPr>
      </w:pPr>
      <w:r>
        <w:rPr>
          <w:rFonts w:hint="eastAsia" w:ascii="宋体" w:hAnsi="宋体" w:cs="宋体"/>
          <w:sz w:val="24"/>
        </w:rPr>
        <w:t>一、甲方应依约履行归还本息的义务；</w:t>
      </w:r>
    </w:p>
    <w:p>
      <w:pPr>
        <w:spacing w:line="360" w:lineRule="auto"/>
        <w:ind w:firstLine="480" w:firstLineChars="200"/>
        <w:rPr>
          <w:rFonts w:ascii="宋体" w:hAnsi="宋体" w:cs="宋体"/>
          <w:sz w:val="24"/>
        </w:rPr>
      </w:pPr>
      <w:r>
        <w:rPr>
          <w:rFonts w:hint="eastAsia" w:ascii="宋体" w:hAnsi="宋体" w:cs="宋体"/>
          <w:sz w:val="24"/>
        </w:rPr>
        <w:t>二、甲方应按非公开定向债务融资工具发行条件向乙方支付承销服务费；</w:t>
      </w:r>
    </w:p>
    <w:p>
      <w:pPr>
        <w:spacing w:line="360" w:lineRule="auto"/>
        <w:ind w:firstLine="480" w:firstLineChars="200"/>
        <w:rPr>
          <w:rFonts w:ascii="宋体" w:hAnsi="宋体" w:cs="宋体"/>
          <w:sz w:val="24"/>
        </w:rPr>
      </w:pPr>
      <w:r>
        <w:rPr>
          <w:rFonts w:hint="eastAsia" w:ascii="宋体" w:hAnsi="宋体" w:cs="宋体"/>
          <w:sz w:val="24"/>
        </w:rPr>
        <w:t>三、甲方保证其采用的发行非公开定向债务融资工具方式符合国家的有关规定；</w:t>
      </w:r>
    </w:p>
    <w:p>
      <w:pPr>
        <w:spacing w:line="360" w:lineRule="auto"/>
        <w:ind w:firstLine="480" w:firstLineChars="200"/>
        <w:rPr>
          <w:rFonts w:ascii="宋体" w:hAnsi="宋体" w:cs="宋体"/>
          <w:sz w:val="24"/>
        </w:rPr>
      </w:pPr>
      <w:r>
        <w:rPr>
          <w:rFonts w:hint="eastAsia" w:ascii="宋体" w:hAnsi="宋体" w:cs="宋体"/>
          <w:sz w:val="24"/>
        </w:rPr>
        <w:t>四、甲方应按本协议约定及时披露信息。</w:t>
      </w:r>
    </w:p>
    <w:p>
      <w:pPr>
        <w:spacing w:line="360" w:lineRule="auto"/>
        <w:ind w:firstLine="480" w:firstLineChars="200"/>
        <w:rPr>
          <w:rFonts w:ascii="宋体" w:hAnsi="宋体" w:cs="宋体"/>
          <w:sz w:val="24"/>
        </w:rPr>
      </w:pPr>
      <w:r>
        <w:rPr>
          <w:rFonts w:hint="eastAsia" w:ascii="宋体" w:hAnsi="宋体" w:cs="宋体"/>
          <w:sz w:val="24"/>
        </w:rPr>
        <w:t>第九条 乙方的权利和义务</w:t>
      </w:r>
    </w:p>
    <w:p>
      <w:pPr>
        <w:spacing w:line="360" w:lineRule="auto"/>
        <w:ind w:firstLine="480" w:firstLineChars="200"/>
        <w:rPr>
          <w:rFonts w:ascii="宋体" w:hAnsi="宋体" w:cs="宋体"/>
          <w:sz w:val="24"/>
        </w:rPr>
      </w:pPr>
      <w:r>
        <w:rPr>
          <w:rFonts w:hint="eastAsia" w:ascii="宋体" w:hAnsi="宋体" w:cs="宋体"/>
          <w:sz w:val="24"/>
        </w:rPr>
        <w:t>乙方的权利如下：</w:t>
      </w:r>
    </w:p>
    <w:p>
      <w:pPr>
        <w:spacing w:line="360" w:lineRule="auto"/>
        <w:ind w:firstLine="480" w:firstLineChars="200"/>
        <w:rPr>
          <w:rFonts w:ascii="宋体" w:hAnsi="宋体" w:cs="宋体"/>
          <w:sz w:val="24"/>
        </w:rPr>
      </w:pPr>
      <w:r>
        <w:rPr>
          <w:rFonts w:hint="eastAsia" w:ascii="宋体" w:hAnsi="宋体" w:cs="宋体"/>
          <w:sz w:val="24"/>
        </w:rPr>
        <w:t>一、按协议约定进行非公开定向债务融资工具发行承销；</w:t>
      </w:r>
    </w:p>
    <w:p>
      <w:pPr>
        <w:spacing w:line="360" w:lineRule="auto"/>
        <w:ind w:firstLine="480" w:firstLineChars="200"/>
        <w:rPr>
          <w:rFonts w:ascii="宋体" w:hAnsi="宋体" w:cs="宋体"/>
          <w:sz w:val="24"/>
        </w:rPr>
      </w:pPr>
      <w:r>
        <w:rPr>
          <w:rFonts w:hint="eastAsia" w:ascii="宋体" w:hAnsi="宋体" w:cs="宋体"/>
          <w:sz w:val="24"/>
        </w:rPr>
        <w:t>二、按照本协议约定向甲方收取承销服务费用；</w:t>
      </w:r>
    </w:p>
    <w:p>
      <w:pPr>
        <w:spacing w:line="360" w:lineRule="auto"/>
        <w:ind w:firstLine="480" w:firstLineChars="200"/>
        <w:rPr>
          <w:rFonts w:ascii="宋体" w:hAnsi="宋体" w:cs="宋体"/>
          <w:sz w:val="24"/>
        </w:rPr>
      </w:pPr>
      <w:r>
        <w:rPr>
          <w:rFonts w:hint="eastAsia" w:ascii="宋体" w:hAnsi="宋体" w:cs="宋体"/>
          <w:sz w:val="24"/>
        </w:rPr>
        <w:t>三、有权向认购人分销非公开定向债务融资工具；</w:t>
      </w:r>
    </w:p>
    <w:p>
      <w:pPr>
        <w:spacing w:line="360" w:lineRule="auto"/>
        <w:ind w:firstLine="480" w:firstLineChars="200"/>
        <w:rPr>
          <w:rFonts w:ascii="宋体" w:hAnsi="宋体" w:cs="宋体"/>
          <w:sz w:val="24"/>
        </w:rPr>
      </w:pPr>
      <w:r>
        <w:rPr>
          <w:rFonts w:hint="eastAsia" w:ascii="宋体" w:hAnsi="宋体" w:cs="宋体"/>
          <w:sz w:val="24"/>
        </w:rPr>
        <w:t>四、可获得承销期内（发行起始日至缴款日之间）分销认购款的暂存利息；</w:t>
      </w:r>
    </w:p>
    <w:p>
      <w:pPr>
        <w:spacing w:line="360" w:lineRule="auto"/>
        <w:ind w:firstLine="480" w:firstLineChars="200"/>
        <w:rPr>
          <w:rFonts w:ascii="宋体" w:hAnsi="宋体" w:cs="宋体"/>
          <w:sz w:val="24"/>
        </w:rPr>
      </w:pPr>
      <w:r>
        <w:rPr>
          <w:rFonts w:hint="eastAsia" w:ascii="宋体" w:hAnsi="宋体" w:cs="宋体"/>
          <w:sz w:val="24"/>
        </w:rPr>
        <w:t>五、有权参加甲方举行的发行预备会议，有权获得甲方发行非公开定向债务融资工具的所有应依法公告的信息；</w:t>
      </w:r>
    </w:p>
    <w:p>
      <w:pPr>
        <w:spacing w:line="360" w:lineRule="auto"/>
        <w:ind w:firstLine="480" w:firstLineChars="200"/>
        <w:rPr>
          <w:rFonts w:ascii="宋体" w:hAnsi="宋体" w:cs="宋体"/>
          <w:sz w:val="24"/>
        </w:rPr>
      </w:pPr>
      <w:r>
        <w:rPr>
          <w:rFonts w:hint="eastAsia" w:ascii="宋体" w:hAnsi="宋体" w:cs="宋体"/>
          <w:sz w:val="24"/>
        </w:rPr>
        <w:t>乙方的义务如下：</w:t>
      </w:r>
    </w:p>
    <w:p>
      <w:pPr>
        <w:spacing w:line="360" w:lineRule="auto"/>
        <w:ind w:firstLine="480" w:firstLineChars="200"/>
        <w:rPr>
          <w:rFonts w:ascii="宋体" w:hAnsi="宋体" w:cs="宋体"/>
          <w:sz w:val="24"/>
        </w:rPr>
      </w:pPr>
      <w:r>
        <w:rPr>
          <w:rFonts w:hint="eastAsia" w:ascii="宋体" w:hAnsi="宋体" w:cs="宋体"/>
          <w:sz w:val="24"/>
        </w:rPr>
        <w:t>应以法人名义参与非公开定向债务融资工具承销投标；</w:t>
      </w:r>
    </w:p>
    <w:p>
      <w:pPr>
        <w:spacing w:line="360" w:lineRule="auto"/>
        <w:ind w:firstLine="480" w:firstLineChars="200"/>
        <w:rPr>
          <w:rFonts w:ascii="宋体" w:hAnsi="宋体" w:cs="宋体"/>
          <w:sz w:val="24"/>
        </w:rPr>
      </w:pPr>
      <w:r>
        <w:rPr>
          <w:rFonts w:hint="eastAsia" w:ascii="宋体" w:hAnsi="宋体" w:cs="宋体"/>
          <w:sz w:val="24"/>
        </w:rPr>
        <w:t>应按时足额将债券承销款项划入甲方指定的银行帐户；</w:t>
      </w:r>
    </w:p>
    <w:p>
      <w:pPr>
        <w:spacing w:line="360" w:lineRule="auto"/>
        <w:ind w:firstLine="480" w:firstLineChars="200"/>
        <w:rPr>
          <w:rFonts w:ascii="宋体" w:hAnsi="宋体" w:cs="宋体"/>
          <w:sz w:val="24"/>
        </w:rPr>
      </w:pPr>
      <w:r>
        <w:rPr>
          <w:rFonts w:hint="eastAsia" w:ascii="宋体" w:hAnsi="宋体" w:cs="宋体"/>
          <w:sz w:val="24"/>
        </w:rPr>
        <w:t>应按债券承销额度履行余额包销义务，依约进行分销；</w:t>
      </w:r>
    </w:p>
    <w:p>
      <w:pPr>
        <w:spacing w:line="360" w:lineRule="auto"/>
        <w:ind w:firstLine="480" w:firstLineChars="200"/>
        <w:rPr>
          <w:rFonts w:ascii="宋体" w:hAnsi="宋体" w:cs="宋体"/>
          <w:sz w:val="24"/>
        </w:rPr>
      </w:pPr>
      <w:r>
        <w:rPr>
          <w:rFonts w:hint="eastAsia" w:ascii="宋体" w:hAnsi="宋体" w:cs="宋体"/>
          <w:sz w:val="24"/>
        </w:rPr>
        <w:t>应严格按承销额度分销债券，不得超冒分销；</w:t>
      </w:r>
    </w:p>
    <w:p>
      <w:pPr>
        <w:spacing w:line="360" w:lineRule="auto"/>
        <w:ind w:firstLine="480" w:firstLineChars="200"/>
        <w:rPr>
          <w:rFonts w:ascii="宋体" w:hAnsi="宋体" w:cs="宋体"/>
          <w:sz w:val="24"/>
        </w:rPr>
      </w:pPr>
      <w:r>
        <w:rPr>
          <w:rFonts w:hint="eastAsia" w:ascii="宋体" w:hAnsi="宋体" w:cs="宋体"/>
          <w:sz w:val="24"/>
        </w:rPr>
        <w:t>乙方应将发行经办部门、人员授权或变更等情况及时书面通知甲方和结算公司。</w:t>
      </w:r>
    </w:p>
    <w:p>
      <w:pPr>
        <w:spacing w:line="360" w:lineRule="auto"/>
        <w:ind w:firstLine="480" w:firstLineChars="200"/>
        <w:rPr>
          <w:rFonts w:ascii="宋体" w:hAnsi="宋体" w:cs="宋体"/>
          <w:sz w:val="24"/>
        </w:rPr>
      </w:pPr>
      <w:r>
        <w:rPr>
          <w:rFonts w:hint="eastAsia" w:ascii="宋体" w:hAnsi="宋体" w:cs="宋体"/>
          <w:sz w:val="24"/>
        </w:rPr>
        <w:t>第十条 违约责任</w:t>
      </w:r>
    </w:p>
    <w:p>
      <w:pPr>
        <w:spacing w:line="360" w:lineRule="auto"/>
        <w:ind w:firstLine="480" w:firstLineChars="200"/>
        <w:rPr>
          <w:rFonts w:ascii="宋体" w:hAnsi="宋体" w:cs="宋体"/>
          <w:sz w:val="24"/>
        </w:rPr>
      </w:pPr>
      <w:r>
        <w:rPr>
          <w:rFonts w:hint="eastAsia" w:ascii="宋体" w:hAnsi="宋体" w:cs="宋体"/>
          <w:sz w:val="24"/>
        </w:rPr>
        <w:t>乙方如未能依约支付承销款项(市场环境因素除外)，则应按未付部分每日万分之五的比例向甲方支付违约金；缴款逾期十天以上的，甲方可取消乙方未付款项部分的承销额度，乙方自动丧失承销商资格，但对已承销的非公开定向债务融资工具仍应按本协议承担义务；</w:t>
      </w:r>
    </w:p>
    <w:p>
      <w:pPr>
        <w:spacing w:line="360" w:lineRule="auto"/>
        <w:ind w:firstLine="480" w:firstLineChars="200"/>
        <w:rPr>
          <w:rFonts w:ascii="宋体" w:hAnsi="宋体" w:cs="宋体"/>
          <w:sz w:val="24"/>
        </w:rPr>
      </w:pPr>
      <w:r>
        <w:rPr>
          <w:rFonts w:hint="eastAsia" w:ascii="宋体" w:hAnsi="宋体" w:cs="宋体"/>
          <w:sz w:val="24"/>
        </w:rPr>
        <w:t>乙方如借承销债券之机超冒分销债非公开定向债务融资工具，超冒分销部分甲方不予确认，责任由乙方承担。甲方保留单方面终止其承销商资格的的权利；</w:t>
      </w:r>
    </w:p>
    <w:p>
      <w:pPr>
        <w:spacing w:line="360" w:lineRule="auto"/>
        <w:ind w:firstLine="480" w:firstLineChars="200"/>
        <w:rPr>
          <w:rFonts w:ascii="宋体" w:hAnsi="宋体" w:cs="宋体"/>
          <w:sz w:val="24"/>
        </w:rPr>
      </w:pPr>
      <w:r>
        <w:rPr>
          <w:rFonts w:hint="eastAsia" w:ascii="宋体" w:hAnsi="宋体" w:cs="宋体"/>
          <w:sz w:val="24"/>
        </w:rPr>
        <w:t>甲方如未依约履行非公开定向债务融资工具还本付息义务，则应按未付部分每日万分之五的比例向乙方支付违约金。</w:t>
      </w:r>
    </w:p>
    <w:p>
      <w:pPr>
        <w:spacing w:line="360" w:lineRule="auto"/>
        <w:ind w:firstLine="480" w:firstLineChars="200"/>
        <w:rPr>
          <w:rFonts w:ascii="宋体" w:hAnsi="宋体" w:cs="宋体"/>
          <w:sz w:val="24"/>
        </w:rPr>
      </w:pPr>
      <w:r>
        <w:rPr>
          <w:rFonts w:hint="eastAsia" w:ascii="宋体" w:hAnsi="宋体" w:cs="宋体"/>
          <w:sz w:val="24"/>
        </w:rPr>
        <w:t>第十一条 协议的变更</w:t>
      </w:r>
    </w:p>
    <w:p>
      <w:pPr>
        <w:spacing w:line="360" w:lineRule="auto"/>
        <w:ind w:firstLine="480" w:firstLineChars="200"/>
        <w:rPr>
          <w:rFonts w:ascii="宋体" w:hAnsi="宋体" w:cs="宋体"/>
          <w:sz w:val="24"/>
        </w:rPr>
      </w:pPr>
      <w:r>
        <w:rPr>
          <w:rFonts w:hint="eastAsia" w:ascii="宋体" w:hAnsi="宋体" w:cs="宋体"/>
          <w:sz w:val="24"/>
        </w:rPr>
        <w:t>本协议的变更应经双方协商一致，达成书面协议。</w:t>
      </w:r>
    </w:p>
    <w:p>
      <w:pPr>
        <w:spacing w:line="360" w:lineRule="auto"/>
        <w:ind w:firstLine="480" w:firstLineChars="200"/>
        <w:rPr>
          <w:rFonts w:ascii="宋体" w:hAnsi="宋体" w:cs="宋体"/>
          <w:sz w:val="24"/>
        </w:rPr>
      </w:pPr>
      <w:r>
        <w:rPr>
          <w:rFonts w:hint="eastAsia" w:ascii="宋体" w:hAnsi="宋体" w:cs="宋体"/>
          <w:sz w:val="24"/>
        </w:rPr>
        <w:t>如本协议与国家现行有关规定不一致时，甲乙双方应按国家现行的规定执行。</w:t>
      </w:r>
    </w:p>
    <w:p>
      <w:pPr>
        <w:spacing w:line="360" w:lineRule="auto"/>
        <w:ind w:firstLine="480" w:firstLineChars="200"/>
        <w:rPr>
          <w:rFonts w:ascii="宋体" w:hAnsi="宋体" w:cs="宋体"/>
          <w:sz w:val="24"/>
        </w:rPr>
      </w:pPr>
      <w:r>
        <w:rPr>
          <w:rFonts w:hint="eastAsia" w:ascii="宋体" w:hAnsi="宋体" w:cs="宋体"/>
          <w:sz w:val="24"/>
        </w:rPr>
        <w:t>第十二条 附则</w:t>
      </w:r>
    </w:p>
    <w:p>
      <w:pPr>
        <w:spacing w:line="360" w:lineRule="auto"/>
        <w:ind w:firstLine="480" w:firstLineChars="200"/>
        <w:rPr>
          <w:rFonts w:ascii="宋体" w:hAnsi="宋体" w:cs="宋体"/>
          <w:sz w:val="24"/>
        </w:rPr>
      </w:pPr>
      <w:r>
        <w:rPr>
          <w:rFonts w:hint="eastAsia" w:ascii="宋体" w:hAnsi="宋体" w:cs="宋体"/>
          <w:sz w:val="24"/>
        </w:rPr>
        <w:t>一、本协议的未尽事宜，经甲乙双方协商一致，可签订其他补充协议。本协议与补充协议不一致的，以补充协议为准。</w:t>
      </w:r>
    </w:p>
    <w:p>
      <w:pPr>
        <w:spacing w:line="360" w:lineRule="auto"/>
        <w:ind w:firstLine="480" w:firstLineChars="200"/>
        <w:rPr>
          <w:rFonts w:ascii="宋体" w:hAnsi="宋体" w:cs="宋体"/>
          <w:sz w:val="24"/>
        </w:rPr>
      </w:pPr>
      <w:r>
        <w:rPr>
          <w:rFonts w:hint="eastAsia" w:ascii="宋体" w:hAnsi="宋体" w:cs="宋体"/>
          <w:sz w:val="24"/>
        </w:rPr>
        <w:t>二、本协议一式陆份，采购人三份、中标人二份、监管部门一份,具有同等法律效力。</w:t>
      </w:r>
    </w:p>
    <w:p>
      <w:pPr>
        <w:spacing w:line="360" w:lineRule="auto"/>
        <w:ind w:firstLine="480" w:firstLineChars="200"/>
        <w:rPr>
          <w:rFonts w:ascii="宋体" w:hAnsi="宋体" w:cs="宋体"/>
          <w:sz w:val="24"/>
        </w:rPr>
      </w:pPr>
      <w:r>
        <w:rPr>
          <w:rFonts w:hint="eastAsia" w:ascii="宋体" w:hAnsi="宋体" w:cs="宋体"/>
          <w:sz w:val="24"/>
        </w:rPr>
        <w:t>三、本协议经双方法定代表人或其授权的代理人签字并加盖公章后生效。</w:t>
      </w:r>
    </w:p>
    <w:p>
      <w:pPr>
        <w:spacing w:line="360" w:lineRule="auto"/>
        <w:ind w:firstLine="480" w:firstLineChars="200"/>
        <w:rPr>
          <w:rFonts w:ascii="宋体" w:hAnsi="宋体" w:cs="宋体"/>
          <w:sz w:val="24"/>
        </w:rPr>
      </w:pPr>
      <w:r>
        <w:rPr>
          <w:rFonts w:hint="eastAsia" w:ascii="宋体" w:hAnsi="宋体" w:cs="宋体"/>
          <w:sz w:val="24"/>
        </w:rPr>
        <w:t>四、本协议适用于甲方拟发行的2024年在银行间交易市场发行非公开定向债务融资工具PPN。</w:t>
      </w:r>
    </w:p>
    <w:p>
      <w:pPr>
        <w:spacing w:line="360" w:lineRule="auto"/>
        <w:ind w:firstLine="480" w:firstLineChars="200"/>
        <w:rPr>
          <w:rFonts w:ascii="宋体" w:hAnsi="宋体" w:cs="宋体"/>
          <w:sz w:val="24"/>
        </w:rPr>
      </w:pPr>
      <w:r>
        <w:rPr>
          <w:rFonts w:hint="eastAsia" w:ascii="宋体" w:hAnsi="宋体" w:cs="宋体"/>
          <w:sz w:val="24"/>
        </w:rPr>
        <w:t>第十四条 争议的解决</w:t>
      </w:r>
    </w:p>
    <w:p>
      <w:pPr>
        <w:spacing w:line="360" w:lineRule="auto"/>
        <w:ind w:firstLine="480" w:firstLineChars="200"/>
        <w:rPr>
          <w:rFonts w:ascii="宋体" w:hAnsi="宋体" w:cs="宋体"/>
          <w:sz w:val="24"/>
        </w:rPr>
      </w:pPr>
      <w:r>
        <w:rPr>
          <w:rFonts w:hint="eastAsia" w:ascii="宋体" w:hAnsi="宋体" w:cs="宋体"/>
          <w:sz w:val="24"/>
        </w:rPr>
        <w:t>甲乙双方因合同发生争议，应在采购人的主持下进行调解，协商不成，任何一方可以向南通仲裁委员会申请仲裁解决。</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发行方（甲方）：                承销方（乙方） ：</w:t>
      </w:r>
    </w:p>
    <w:p>
      <w:pPr>
        <w:spacing w:line="360" w:lineRule="auto"/>
        <w:ind w:firstLine="480" w:firstLineChars="200"/>
        <w:rPr>
          <w:rFonts w:ascii="宋体" w:hAnsi="宋体" w:cs="宋体"/>
          <w:sz w:val="24"/>
        </w:rPr>
      </w:pPr>
      <w:r>
        <w:rPr>
          <w:rFonts w:hint="eastAsia" w:ascii="宋体" w:hAnsi="宋体" w:cs="宋体"/>
          <w:sz w:val="24"/>
        </w:rPr>
        <w:t xml:space="preserve">法定代表人（签章）              法定代表人（签章）         </w:t>
      </w:r>
    </w:p>
    <w:p>
      <w:pPr>
        <w:spacing w:line="360" w:lineRule="auto"/>
        <w:ind w:firstLine="480" w:firstLineChars="200"/>
        <w:rPr>
          <w:rFonts w:ascii="宋体" w:hAnsi="宋体" w:cs="宋体"/>
          <w:sz w:val="24"/>
        </w:rPr>
      </w:pPr>
      <w:r>
        <w:rPr>
          <w:rFonts w:hint="eastAsia" w:ascii="宋体" w:hAnsi="宋体" w:cs="宋体"/>
          <w:sz w:val="24"/>
        </w:rPr>
        <w:t>法定代表人委托人（签章）：      法定代表人委托人（签章）：</w:t>
      </w:r>
    </w:p>
    <w:p>
      <w:pPr>
        <w:spacing w:line="360" w:lineRule="auto"/>
        <w:ind w:firstLine="480" w:firstLineChars="200"/>
        <w:rPr>
          <w:rFonts w:ascii="宋体" w:hAnsi="宋体" w:cs="宋体"/>
          <w:sz w:val="24"/>
        </w:rPr>
      </w:pPr>
      <w:r>
        <w:rPr>
          <w:rFonts w:hint="eastAsia" w:ascii="宋体" w:hAnsi="宋体" w:cs="宋体"/>
          <w:sz w:val="24"/>
        </w:rPr>
        <w:t xml:space="preserve">单位地址：                      单位地址：                </w:t>
      </w:r>
    </w:p>
    <w:p>
      <w:pPr>
        <w:spacing w:line="360" w:lineRule="auto"/>
        <w:ind w:firstLine="480" w:firstLineChars="200"/>
        <w:rPr>
          <w:rFonts w:ascii="宋体" w:hAnsi="宋体" w:cs="宋体"/>
          <w:sz w:val="24"/>
        </w:rPr>
      </w:pPr>
      <w:r>
        <w:rPr>
          <w:rFonts w:hint="eastAsia" w:ascii="宋体" w:hAnsi="宋体" w:cs="宋体"/>
          <w:sz w:val="24"/>
        </w:rPr>
        <w:t xml:space="preserve">联系电话：                      联系电话： </w:t>
      </w:r>
    </w:p>
    <w:p>
      <w:pPr>
        <w:spacing w:line="360" w:lineRule="auto"/>
        <w:ind w:firstLine="480" w:firstLineChars="200"/>
        <w:rPr>
          <w:rFonts w:ascii="宋体" w:hAnsi="宋体" w:cs="宋体"/>
          <w:sz w:val="24"/>
        </w:rPr>
      </w:pPr>
      <w:r>
        <w:rPr>
          <w:rFonts w:hint="eastAsia" w:ascii="宋体" w:hAnsi="宋体" w:cs="宋体"/>
          <w:sz w:val="24"/>
        </w:rPr>
        <w:t xml:space="preserve">开户银行：                      开户银行： </w:t>
      </w:r>
    </w:p>
    <w:p>
      <w:pPr>
        <w:spacing w:line="360" w:lineRule="auto"/>
        <w:ind w:firstLine="480" w:firstLineChars="200"/>
        <w:rPr>
          <w:rFonts w:ascii="宋体" w:hAnsi="宋体" w:cs="宋体"/>
          <w:sz w:val="24"/>
        </w:rPr>
      </w:pPr>
      <w:r>
        <w:rPr>
          <w:rFonts w:hint="eastAsia" w:ascii="宋体" w:hAnsi="宋体" w:cs="宋体"/>
          <w:sz w:val="24"/>
        </w:rPr>
        <w:t xml:space="preserve">银行帐号：                      银行帐号： </w:t>
      </w:r>
    </w:p>
    <w:p>
      <w:pPr>
        <w:spacing w:line="360" w:lineRule="auto"/>
        <w:ind w:firstLine="480" w:firstLineChars="200"/>
        <w:rPr>
          <w:rFonts w:ascii="宋体" w:hAnsi="宋体" w:cs="宋体"/>
          <w:sz w:val="24"/>
        </w:rPr>
      </w:pPr>
    </w:p>
    <w:p>
      <w:pPr>
        <w:spacing w:line="360" w:lineRule="auto"/>
        <w:ind w:firstLine="480" w:firstLineChars="200"/>
        <w:jc w:val="right"/>
        <w:rPr>
          <w:rFonts w:ascii="宋体" w:hAnsi="宋体" w:cs="宋体"/>
          <w:sz w:val="24"/>
        </w:rPr>
      </w:pPr>
      <w:r>
        <w:rPr>
          <w:rFonts w:hint="eastAsia" w:ascii="宋体" w:hAnsi="宋体" w:cs="宋体"/>
          <w:sz w:val="24"/>
        </w:rPr>
        <w:t>签定日期：    年    月   日</w:t>
      </w:r>
    </w:p>
    <w:p>
      <w:pPr>
        <w:rPr>
          <w:rFonts w:ascii="宋体" w:hAnsi="宋体" w:cs="宋体"/>
          <w:sz w:val="24"/>
        </w:rPr>
      </w:pPr>
      <w:r>
        <w:rPr>
          <w:rFonts w:ascii="宋体" w:hAnsi="宋体" w:cs="宋体"/>
          <w:sz w:val="24"/>
        </w:rPr>
        <w:br w:type="page"/>
      </w:r>
    </w:p>
    <w:p>
      <w:pPr>
        <w:pStyle w:val="2"/>
        <w:bidi w:val="0"/>
        <w:jc w:val="cente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p>
    <w:p>
      <w:pPr>
        <w:keepNext w:val="0"/>
        <w:keepLines w:val="0"/>
        <w:pageBreakBefore w:val="0"/>
        <w:widowControl/>
        <w:kinsoku/>
        <w:wordWrap w:val="0"/>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pPr>
        <w:pageBreakBefore w:val="0"/>
        <w:kinsoku/>
        <w:overflowPunct/>
        <w:bidi w:val="0"/>
        <w:adjustRightInd w:val="0"/>
        <w:snapToGrid w:val="0"/>
        <w:spacing w:after="0" w:line="360" w:lineRule="auto"/>
        <w:jc w:val="center"/>
        <w:textAlignment w:val="auto"/>
        <w:rPr>
          <w:rFonts w:hint="eastAsia" w:ascii="宋体" w:hAnsi="宋体" w:cs="宋体"/>
          <w:sz w:val="48"/>
          <w:szCs w:val="48"/>
        </w:rPr>
      </w:pPr>
      <w:bookmarkStart w:id="1" w:name="_Toc221951911"/>
      <w:r>
        <w:rPr>
          <w:rFonts w:hint="eastAsia" w:ascii="宋体" w:hAnsi="宋体" w:cs="宋体"/>
          <w:sz w:val="48"/>
          <w:szCs w:val="48"/>
        </w:rPr>
        <w:t>淅川县创亿建筑工程有限公司选聘PPN（项目收益票据）主承销商项目</w:t>
      </w:r>
    </w:p>
    <w:p>
      <w:pPr>
        <w:pageBreakBefore w:val="0"/>
        <w:kinsoku/>
        <w:overflowPunct/>
        <w:bidi w:val="0"/>
        <w:adjustRightInd w:val="0"/>
        <w:snapToGrid w:val="0"/>
        <w:spacing w:after="0" w:line="360" w:lineRule="auto"/>
        <w:jc w:val="center"/>
        <w:textAlignment w:val="auto"/>
        <w:rPr>
          <w:rFonts w:hint="eastAsia" w:ascii="宋体" w:hAnsi="宋体" w:cs="宋体"/>
          <w:sz w:val="48"/>
          <w:szCs w:val="48"/>
        </w:rPr>
      </w:pPr>
    </w:p>
    <w:p>
      <w:pPr>
        <w:pageBreakBefore w:val="0"/>
        <w:kinsoku/>
        <w:overflowPunct/>
        <w:bidi w:val="0"/>
        <w:adjustRightInd w:val="0"/>
        <w:snapToGrid w:val="0"/>
        <w:spacing w:after="0" w:line="360" w:lineRule="auto"/>
        <w:jc w:val="center"/>
        <w:textAlignment w:val="auto"/>
        <w:rPr>
          <w:rFonts w:hint="eastAsia" w:ascii="宋体" w:hAnsi="宋体" w:cs="宋体"/>
          <w:sz w:val="48"/>
          <w:szCs w:val="48"/>
        </w:rPr>
      </w:pPr>
    </w:p>
    <w:p>
      <w:pPr>
        <w:pageBreakBefore w:val="0"/>
        <w:kinsoku/>
        <w:overflowPunct/>
        <w:bidi w:val="0"/>
        <w:adjustRightInd w:val="0"/>
        <w:snapToGrid w:val="0"/>
        <w:spacing w:after="0" w:line="360" w:lineRule="auto"/>
        <w:jc w:val="center"/>
        <w:textAlignment w:val="auto"/>
        <w:rPr>
          <w:rFonts w:hint="eastAsia" w:ascii="宋体" w:hAnsi="宋体" w:cs="宋体"/>
          <w:sz w:val="48"/>
          <w:szCs w:val="48"/>
        </w:rPr>
      </w:pPr>
    </w:p>
    <w:p>
      <w:pPr>
        <w:pageBreakBefore w:val="0"/>
        <w:kinsoku/>
        <w:overflowPunct/>
        <w:bidi w:val="0"/>
        <w:adjustRightInd w:val="0"/>
        <w:snapToGrid w:val="0"/>
        <w:spacing w:after="0" w:line="360" w:lineRule="auto"/>
        <w:jc w:val="center"/>
        <w:textAlignment w:val="auto"/>
        <w:rPr>
          <w:rFonts w:ascii="宋体" w:hAnsi="宋体" w:eastAsia="宋体" w:cs="宋体"/>
          <w:b/>
          <w:color w:val="auto"/>
          <w:sz w:val="52"/>
          <w:szCs w:val="52"/>
        </w:rPr>
      </w:pPr>
      <w:r>
        <w:rPr>
          <w:rFonts w:hint="eastAsia" w:ascii="宋体" w:hAnsi="宋体" w:eastAsia="宋体" w:cs="宋体"/>
          <w:b/>
          <w:color w:val="auto"/>
          <w:sz w:val="52"/>
          <w:szCs w:val="52"/>
          <w:lang w:val="en-US" w:eastAsia="zh-CN"/>
        </w:rPr>
        <w:t>投 标</w:t>
      </w:r>
      <w:r>
        <w:rPr>
          <w:rFonts w:hint="eastAsia" w:ascii="宋体" w:hAnsi="宋体" w:eastAsia="宋体" w:cs="宋体"/>
          <w:b/>
          <w:color w:val="auto"/>
          <w:sz w:val="52"/>
          <w:szCs w:val="52"/>
        </w:rPr>
        <w:t xml:space="preserve">  文  件</w:t>
      </w:r>
      <w:bookmarkEnd w:id="1"/>
    </w:p>
    <w:p>
      <w:pPr>
        <w:pageBreakBefore w:val="0"/>
        <w:kinsoku/>
        <w:overflowPunct/>
        <w:bidi w:val="0"/>
        <w:adjustRightInd w:val="0"/>
        <w:snapToGrid w:val="0"/>
        <w:spacing w:after="0" w:line="360" w:lineRule="auto"/>
        <w:jc w:val="center"/>
        <w:textAlignment w:val="auto"/>
        <w:rPr>
          <w:rFonts w:hint="default" w:ascii="宋体" w:hAnsi="宋体" w:eastAsia="宋体" w:cs="宋体"/>
          <w:b/>
          <w:color w:val="auto"/>
          <w:sz w:val="28"/>
          <w:highlight w:val="none"/>
          <w:lang w:val="en-US" w:eastAsia="zh-CN"/>
        </w:rPr>
      </w:pPr>
      <w:r>
        <w:rPr>
          <w:rFonts w:hint="eastAsia" w:ascii="宋体" w:hAnsi="宋体" w:eastAsia="宋体" w:cs="宋体"/>
          <w:b/>
          <w:color w:val="auto"/>
          <w:sz w:val="28"/>
          <w:highlight w:val="none"/>
        </w:rPr>
        <w:t>项目编号：</w:t>
      </w:r>
      <w:r>
        <w:rPr>
          <w:rFonts w:hint="eastAsia" w:ascii="宋体" w:hAnsi="宋体" w:eastAsia="宋体" w:cs="宋体"/>
          <w:b/>
          <w:color w:val="auto"/>
          <w:sz w:val="28"/>
          <w:highlight w:val="none"/>
          <w:lang w:val="en-US" w:eastAsia="zh-CN"/>
        </w:rPr>
        <w:t xml:space="preserve"> </w:t>
      </w:r>
    </w:p>
    <w:p>
      <w:pPr>
        <w:pageBreakBefore w:val="0"/>
        <w:kinsoku/>
        <w:overflowPunct/>
        <w:bidi w:val="0"/>
        <w:adjustRightInd w:val="0"/>
        <w:snapToGrid w:val="0"/>
        <w:spacing w:after="0" w:line="360" w:lineRule="auto"/>
        <w:jc w:val="center"/>
        <w:textAlignment w:val="auto"/>
        <w:rPr>
          <w:rFonts w:ascii="宋体" w:hAnsi="宋体" w:eastAsia="宋体" w:cs="宋体"/>
          <w:b/>
          <w:color w:val="auto"/>
          <w:sz w:val="28"/>
        </w:rPr>
      </w:pPr>
    </w:p>
    <w:p>
      <w:pPr>
        <w:pageBreakBefore w:val="0"/>
        <w:kinsoku/>
        <w:overflowPunct/>
        <w:bidi w:val="0"/>
        <w:adjustRightInd w:val="0"/>
        <w:snapToGrid w:val="0"/>
        <w:spacing w:after="0" w:line="360" w:lineRule="auto"/>
        <w:jc w:val="center"/>
        <w:textAlignment w:val="auto"/>
        <w:rPr>
          <w:rFonts w:ascii="宋体" w:hAnsi="宋体" w:eastAsia="宋体" w:cs="宋体"/>
          <w:b/>
          <w:color w:val="auto"/>
          <w:sz w:val="28"/>
        </w:rPr>
      </w:pPr>
    </w:p>
    <w:p>
      <w:pPr>
        <w:pageBreakBefore w:val="0"/>
        <w:kinsoku/>
        <w:overflowPunct/>
        <w:bidi w:val="0"/>
        <w:adjustRightInd w:val="0"/>
        <w:snapToGrid w:val="0"/>
        <w:spacing w:after="0" w:line="360" w:lineRule="auto"/>
        <w:jc w:val="center"/>
        <w:textAlignment w:val="auto"/>
        <w:rPr>
          <w:rFonts w:ascii="宋体" w:hAnsi="宋体" w:eastAsia="宋体" w:cs="宋体"/>
          <w:b/>
          <w:color w:val="auto"/>
          <w:sz w:val="28"/>
        </w:rPr>
      </w:pPr>
    </w:p>
    <w:p>
      <w:pPr>
        <w:pageBreakBefore w:val="0"/>
        <w:kinsoku/>
        <w:overflowPunct/>
        <w:bidi w:val="0"/>
        <w:adjustRightInd w:val="0"/>
        <w:snapToGrid w:val="0"/>
        <w:spacing w:after="0" w:line="360" w:lineRule="auto"/>
        <w:jc w:val="center"/>
        <w:textAlignment w:val="auto"/>
        <w:rPr>
          <w:rFonts w:ascii="宋体" w:hAnsi="宋体" w:eastAsia="宋体" w:cs="宋体"/>
          <w:b/>
          <w:color w:val="auto"/>
          <w:sz w:val="28"/>
        </w:rPr>
      </w:pPr>
    </w:p>
    <w:p>
      <w:pPr>
        <w:pageBreakBefore w:val="0"/>
        <w:kinsoku/>
        <w:overflowPunct/>
        <w:bidi w:val="0"/>
        <w:adjustRightInd w:val="0"/>
        <w:snapToGrid w:val="0"/>
        <w:spacing w:after="0" w:line="360" w:lineRule="auto"/>
        <w:textAlignment w:val="auto"/>
        <w:rPr>
          <w:rFonts w:ascii="宋体" w:hAnsi="宋体" w:eastAsia="宋体" w:cs="宋体"/>
          <w:b/>
          <w:color w:val="auto"/>
          <w:sz w:val="28"/>
        </w:rPr>
      </w:pPr>
    </w:p>
    <w:p>
      <w:pPr>
        <w:pageBreakBefore w:val="0"/>
        <w:kinsoku/>
        <w:overflowPunct/>
        <w:bidi w:val="0"/>
        <w:adjustRightInd w:val="0"/>
        <w:snapToGrid w:val="0"/>
        <w:spacing w:after="0" w:line="360" w:lineRule="auto"/>
        <w:jc w:val="center"/>
        <w:textAlignment w:val="auto"/>
        <w:rPr>
          <w:rFonts w:ascii="宋体" w:hAnsi="宋体" w:eastAsia="宋体" w:cs="宋体"/>
          <w:b/>
          <w:color w:val="auto"/>
          <w:sz w:val="28"/>
        </w:rPr>
      </w:pPr>
      <w:r>
        <w:rPr>
          <w:rFonts w:hint="eastAsia" w:ascii="宋体" w:hAnsi="宋体" w:eastAsia="宋体" w:cs="宋体"/>
          <w:b/>
          <w:color w:val="auto"/>
          <w:sz w:val="28"/>
        </w:rPr>
        <w:t>投  标  人：</w:t>
      </w:r>
      <w:r>
        <w:rPr>
          <w:rFonts w:hint="eastAsia" w:ascii="宋体" w:hAnsi="宋体" w:eastAsia="宋体" w:cs="宋体"/>
          <w:b/>
          <w:color w:val="auto"/>
          <w:sz w:val="28"/>
          <w:u w:val="single"/>
        </w:rPr>
        <w:t xml:space="preserve">           （电子签章）</w:t>
      </w:r>
    </w:p>
    <w:p>
      <w:pPr>
        <w:pageBreakBefore w:val="0"/>
        <w:kinsoku/>
        <w:overflowPunct/>
        <w:bidi w:val="0"/>
        <w:adjustRightInd w:val="0"/>
        <w:snapToGrid w:val="0"/>
        <w:spacing w:after="0" w:line="360" w:lineRule="auto"/>
        <w:jc w:val="center"/>
        <w:textAlignment w:val="auto"/>
        <w:rPr>
          <w:rFonts w:ascii="宋体" w:hAnsi="宋体" w:eastAsia="宋体" w:cs="宋体"/>
          <w:b/>
          <w:color w:val="auto"/>
          <w:sz w:val="28"/>
        </w:rPr>
      </w:pPr>
      <w:r>
        <w:rPr>
          <w:rFonts w:hint="eastAsia" w:ascii="宋体" w:hAnsi="宋体" w:eastAsia="宋体" w:cs="宋体"/>
          <w:b/>
          <w:color w:val="auto"/>
          <w:sz w:val="28"/>
        </w:rPr>
        <w:t>法人代表或授权代表人：</w:t>
      </w:r>
      <w:r>
        <w:rPr>
          <w:rFonts w:hint="eastAsia" w:ascii="宋体" w:hAnsi="宋体" w:eastAsia="宋体" w:cs="宋体"/>
          <w:b/>
          <w:color w:val="auto"/>
          <w:sz w:val="28"/>
          <w:u w:val="single"/>
        </w:rPr>
        <w:t xml:space="preserve">   (签字或盖章 )</w:t>
      </w:r>
    </w:p>
    <w:p>
      <w:pPr>
        <w:pageBreakBefore w:val="0"/>
        <w:kinsoku/>
        <w:overflowPunct/>
        <w:bidi w:val="0"/>
        <w:adjustRightInd w:val="0"/>
        <w:snapToGrid w:val="0"/>
        <w:spacing w:after="0" w:line="360" w:lineRule="auto"/>
        <w:ind w:firstLine="2811" w:firstLineChars="1000"/>
        <w:jc w:val="both"/>
        <w:textAlignment w:val="auto"/>
        <w:rPr>
          <w:rFonts w:ascii="宋体" w:hAnsi="宋体" w:eastAsia="宋体" w:cs="宋体"/>
          <w:b/>
          <w:color w:val="auto"/>
          <w:sz w:val="28"/>
          <w:u w:val="single"/>
        </w:rPr>
      </w:pPr>
      <w:r>
        <w:rPr>
          <w:rFonts w:hint="eastAsia" w:ascii="宋体" w:hAnsi="宋体" w:eastAsia="宋体" w:cs="宋体"/>
          <w:b/>
          <w:color w:val="auto"/>
          <w:sz w:val="28"/>
        </w:rPr>
        <w:t>日      期：________________</w:t>
      </w:r>
    </w:p>
    <w:p>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br w:type="page"/>
      </w:r>
    </w:p>
    <w:p>
      <w:pPr>
        <w:pStyle w:val="7"/>
        <w:keepNext w:val="0"/>
        <w:keepLines w:val="0"/>
        <w:pageBreakBefore w:val="0"/>
        <w:kinsoku/>
        <w:wordWrap w:val="0"/>
        <w:overflowPunct/>
        <w:topLinePunct w:val="0"/>
        <w:bidi w:val="0"/>
        <w:spacing w:before="78" w:line="360" w:lineRule="auto"/>
        <w:ind w:left="13"/>
        <w:jc w:val="center"/>
        <w:outlineLvl w:val="1"/>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pPr>
        <w:pStyle w:val="4"/>
        <w:bidi w:val="0"/>
        <w:outlineLvl w:val="2"/>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lang w:val="en-US" w:eastAsia="zh-CN"/>
        </w:rPr>
        <w:t>1.开标一览表</w:t>
      </w:r>
    </w:p>
    <w:p>
      <w:pPr>
        <w:keepNext w:val="0"/>
        <w:keepLines w:val="0"/>
        <w:pageBreakBefore w:val="0"/>
        <w:kinsoku/>
        <w:wordWrap w:val="0"/>
        <w:overflowPunct/>
        <w:topLinePunct w:val="0"/>
        <w:bidi w:val="0"/>
        <w:spacing w:line="360" w:lineRule="auto"/>
        <w:ind w:firstLine="576" w:firstLineChars="200"/>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19"/>
        <w:tblW w:w="8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综合优惠率：%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998"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807" w:type="dxa"/>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注：“开标一览表”报优惠率。</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pP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br w:type="page"/>
      </w:r>
    </w:p>
    <w:p>
      <w:pPr>
        <w:keepNext w:val="0"/>
        <w:keepLines w:val="0"/>
        <w:pageBreakBefore w:val="0"/>
        <w:kinsoku/>
        <w:wordWrap w:val="0"/>
        <w:overflowPunct/>
        <w:topLinePunct w:val="0"/>
        <w:bidi w:val="0"/>
        <w:spacing w:line="360" w:lineRule="auto"/>
        <w:jc w:val="both"/>
        <w:outlineLvl w:val="2"/>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pPr>
        <w:pStyle w:val="4"/>
        <w:bidi w:val="0"/>
        <w:rPr>
          <w:rFonts w:hint="eastAsia"/>
          <w:lang w:eastAsia="zh-CN"/>
        </w:rPr>
      </w:pPr>
      <w:r>
        <w:rPr>
          <w:rFonts w:hint="eastAsia"/>
          <w:lang w:val="en-US" w:eastAsia="zh-CN"/>
        </w:rPr>
        <w:t>3.</w:t>
      </w:r>
      <w:r>
        <w:rPr>
          <w:rFonts w:hint="eastAsia"/>
          <w:lang w:eastAsia="zh-CN"/>
        </w:rPr>
        <w:t>资格声明函格式</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8" w:type="default"/>
          <w:footerReference r:id="rId9"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5"/>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pStyle w:val="4"/>
        <w:bidi w:val="0"/>
        <w:rPr>
          <w:rFonts w:hint="eastAsia"/>
          <w:lang w:eastAsia="zh-CN"/>
        </w:rPr>
      </w:pPr>
      <w:r>
        <w:rPr>
          <w:rFonts w:hint="eastAsia"/>
          <w:lang w:val="en-US" w:eastAsia="zh-CN"/>
        </w:rPr>
        <w:t>4.</w:t>
      </w:r>
      <w:r>
        <w:rPr>
          <w:rFonts w:hint="eastAsia"/>
          <w:lang w:eastAsia="zh-CN"/>
        </w:rPr>
        <w:t>承诺函格式</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pStyle w:val="4"/>
        <w:bidi w:val="0"/>
        <w:rPr>
          <w:rFonts w:hint="default"/>
          <w:lang w:val="en-US" w:eastAsia="zh-CN"/>
        </w:rPr>
      </w:pPr>
      <w:r>
        <w:rPr>
          <w:rFonts w:hint="eastAsia"/>
          <w:lang w:val="en-US" w:eastAsia="zh-CN"/>
        </w:rPr>
        <w:t>5.</w:t>
      </w:r>
      <w:r>
        <w:rPr>
          <w:rFonts w:hint="eastAsia"/>
          <w:lang w:eastAsia="zh-CN"/>
        </w:rPr>
        <w:t>营业执照副本</w:t>
      </w:r>
      <w:r>
        <w:rPr>
          <w:rFonts w:hint="eastAsia"/>
          <w:lang w:val="en-US" w:eastAsia="zh-CN"/>
        </w:rPr>
        <w:t>或其他资格证明文件</w:t>
      </w:r>
    </w:p>
    <w:p>
      <w:pPr>
        <w:pStyle w:val="4"/>
        <w:bidi w:val="0"/>
        <w:rPr>
          <w:rFonts w:hint="eastAsia"/>
          <w:lang w:eastAsia="zh-CN"/>
        </w:rPr>
      </w:pPr>
      <w:r>
        <w:rPr>
          <w:rFonts w:hint="eastAsia"/>
          <w:lang w:val="en-US" w:eastAsia="zh-CN"/>
        </w:rPr>
        <w:t>6.</w:t>
      </w:r>
      <w:r>
        <w:rPr>
          <w:rFonts w:hint="eastAsia"/>
          <w:lang w:eastAsia="zh-CN"/>
        </w:rPr>
        <w:t>具有履行合同所必需的设备和专业技术能力的承诺</w:t>
      </w:r>
    </w:p>
    <w:p>
      <w:pPr>
        <w:pStyle w:val="4"/>
        <w:bidi w:val="0"/>
        <w:rPr>
          <w:rFonts w:hint="eastAsia"/>
          <w:lang w:eastAsia="zh-CN"/>
        </w:rPr>
      </w:pPr>
      <w:r>
        <w:rPr>
          <w:rFonts w:hint="eastAsia"/>
          <w:lang w:val="en-US" w:eastAsia="zh-CN"/>
        </w:rPr>
        <w:t>7.</w:t>
      </w:r>
      <w:r>
        <w:rPr>
          <w:rFonts w:hint="eastAsia"/>
          <w:lang w:eastAsia="zh-CN"/>
        </w:rPr>
        <w:t>依法缴纳税收和社会保障资金的缴费凭证(提供近半年</w:t>
      </w:r>
      <w:r>
        <w:rPr>
          <w:rFonts w:hint="eastAsia"/>
          <w:lang w:val="en-US" w:eastAsia="zh-CN"/>
        </w:rPr>
        <w:t>内</w:t>
      </w:r>
      <w:r>
        <w:rPr>
          <w:rFonts w:hint="eastAsia"/>
          <w:lang w:eastAsia="zh-CN"/>
        </w:rPr>
        <w:t>任意三个月的有效凭证)</w:t>
      </w:r>
    </w:p>
    <w:p>
      <w:pPr>
        <w:pStyle w:val="4"/>
        <w:bidi w:val="0"/>
        <w:rPr>
          <w:rFonts w:hint="eastAsia"/>
          <w:lang w:eastAsia="zh-CN"/>
        </w:rPr>
      </w:pPr>
      <w:r>
        <w:rPr>
          <w:rFonts w:hint="eastAsia"/>
          <w:lang w:val="en-US" w:eastAsia="zh-CN"/>
        </w:rPr>
        <w:t>8.</w:t>
      </w:r>
      <w:r>
        <w:rPr>
          <w:rFonts w:hint="eastAsia"/>
          <w:lang w:eastAsia="zh-CN"/>
        </w:rPr>
        <w:t>良好的商业信誉和健全的财务会计制度的证明文件</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pPr>
        <w:pStyle w:val="4"/>
        <w:bidi w:val="0"/>
        <w:rPr>
          <w:rFonts w:hint="eastAsia"/>
          <w:lang w:eastAsia="zh-CN"/>
        </w:rPr>
      </w:pPr>
      <w:r>
        <w:rPr>
          <w:rFonts w:hint="eastAsia"/>
          <w:lang w:val="en-US" w:eastAsia="zh-CN"/>
        </w:rPr>
        <w:t>9.</w:t>
      </w:r>
      <w:r>
        <w:rPr>
          <w:rFonts w:hint="eastAsia"/>
          <w:lang w:eastAsia="zh-CN"/>
        </w:rPr>
        <w:t>投标人出具参加政府采购活动前三年内，</w:t>
      </w:r>
      <w:r>
        <w:rPr>
          <w:rFonts w:hint="eastAsia"/>
          <w:lang w:val="en-US" w:eastAsia="zh-CN"/>
        </w:rPr>
        <w:t>在经营活动中没有重大违法记录</w:t>
      </w:r>
      <w:r>
        <w:rPr>
          <w:rFonts w:hint="eastAsia"/>
          <w:lang w:eastAsia="zh-CN"/>
        </w:rPr>
        <w:t>的书面声明（加盖单位公章）</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pStyle w:val="4"/>
        <w:bidi w:val="0"/>
        <w:rPr>
          <w:rFonts w:hint="eastAsia"/>
          <w:lang w:eastAsia="zh-CN"/>
        </w:rPr>
      </w:pPr>
      <w:r>
        <w:rPr>
          <w:rFonts w:hint="eastAsia"/>
          <w:lang w:val="en-US" w:eastAsia="zh-CN"/>
        </w:rPr>
        <w:t>10.</w:t>
      </w:r>
      <w:r>
        <w:rPr>
          <w:rFonts w:hint="eastAsia"/>
          <w:lang w:eastAsia="zh-CN"/>
        </w:rPr>
        <w:t>投标人诚信承诺书</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pStyle w:val="4"/>
        <w:bidi w:val="0"/>
        <w:rPr>
          <w:rFonts w:hint="eastAsia"/>
          <w:lang w:eastAsia="zh-CN"/>
        </w:rPr>
      </w:pPr>
      <w:r>
        <w:rPr>
          <w:rFonts w:hint="eastAsia"/>
          <w:lang w:val="en-US" w:eastAsia="zh-CN"/>
        </w:rPr>
        <w:t>11.</w:t>
      </w:r>
      <w:r>
        <w:rPr>
          <w:rFonts w:hint="eastAsia"/>
          <w:lang w:eastAsia="zh-CN"/>
        </w:rPr>
        <w:t>投标人出具信用记录查询结果网页截图</w:t>
      </w:r>
    </w:p>
    <w:p>
      <w:pPr>
        <w:pStyle w:val="4"/>
        <w:bidi w:val="0"/>
        <w:rPr>
          <w:rFonts w:hint="eastAsia"/>
          <w:lang w:eastAsia="zh-CN"/>
        </w:rPr>
      </w:pPr>
      <w:r>
        <w:rPr>
          <w:rFonts w:hint="eastAsia"/>
          <w:lang w:val="en-US" w:eastAsia="zh-CN"/>
        </w:rPr>
        <w:t>12.其他资格证明</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pP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br w:type="page"/>
      </w:r>
    </w:p>
    <w:p>
      <w:pPr>
        <w:pStyle w:val="7"/>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采购供应商信用承诺函</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br w:type="page"/>
      </w:r>
    </w:p>
    <w:p>
      <w:pPr>
        <w:pStyle w:val="7"/>
        <w:keepNext w:val="0"/>
        <w:keepLines w:val="0"/>
        <w:pageBreakBefore w:val="0"/>
        <w:kinsoku/>
        <w:wordWrap w:val="0"/>
        <w:overflowPunct/>
        <w:topLinePunct w:val="0"/>
        <w:bidi w:val="0"/>
        <w:spacing w:before="78" w:line="360" w:lineRule="auto"/>
        <w:jc w:val="both"/>
        <w:outlineLvl w:val="1"/>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二、商务技术文件格式</w:t>
      </w:r>
    </w:p>
    <w:p>
      <w:pPr>
        <w:pStyle w:val="4"/>
        <w:bidi w:val="0"/>
        <w:outlineLvl w:val="2"/>
        <w:rPr>
          <w:rFonts w:hint="eastAsia"/>
          <w:lang w:eastAsia="zh-CN"/>
        </w:rPr>
      </w:pPr>
      <w:r>
        <w:rPr>
          <w:rFonts w:hint="eastAsia"/>
          <w:lang w:val="en-US" w:eastAsia="zh-CN"/>
        </w:rPr>
        <w:t>1.投标书格式</w:t>
      </w:r>
    </w:p>
    <w:p>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，商务技术文件第1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br w:type="page"/>
      </w:r>
    </w:p>
    <w:p>
      <w:pPr>
        <w:pStyle w:val="4"/>
        <w:bidi w:val="0"/>
        <w:rPr>
          <w:rFonts w:hint="eastAsia"/>
          <w:lang w:val="en-US" w:eastAsia="zh-CN"/>
        </w:rPr>
      </w:pPr>
      <w:r>
        <w:rPr>
          <w:rFonts w:hint="eastAsia"/>
          <w:lang w:val="en-US" w:eastAsia="zh-CN"/>
        </w:rPr>
        <w:t>2.技术要求</w:t>
      </w:r>
    </w:p>
    <w:p>
      <w:pPr>
        <w:pStyle w:val="4"/>
        <w:bidi w:val="0"/>
        <w:rPr>
          <w:rFonts w:hint="default"/>
          <w:lang w:val="en-US" w:eastAsia="zh-CN"/>
        </w:rPr>
      </w:pPr>
      <w:r>
        <w:rPr>
          <w:rFonts w:hint="eastAsia"/>
          <w:lang w:val="en-US" w:eastAsia="zh-CN"/>
        </w:rPr>
        <w:t>3.</w:t>
      </w:r>
      <w:r>
        <w:rPr>
          <w:rFonts w:hint="eastAsia"/>
          <w:lang w:eastAsia="zh-CN"/>
        </w:rPr>
        <w:t>投标人</w:t>
      </w:r>
      <w:r>
        <w:rPr>
          <w:rFonts w:hint="eastAsia"/>
          <w:lang w:val="en-US" w:eastAsia="zh-CN"/>
        </w:rPr>
        <w:t>综合实力</w:t>
      </w:r>
    </w:p>
    <w:p>
      <w:pPr>
        <w:pStyle w:val="4"/>
        <w:bidi w:val="0"/>
        <w:rPr>
          <w:rFonts w:hint="eastAsia"/>
          <w:lang w:val="en-US" w:eastAsia="zh-CN"/>
        </w:rPr>
      </w:pPr>
      <w:r>
        <w:rPr>
          <w:rFonts w:hint="eastAsia"/>
          <w:lang w:val="en-US" w:eastAsia="zh-CN"/>
        </w:rPr>
        <w:t>4.</w:t>
      </w:r>
      <w:r>
        <w:rPr>
          <w:rFonts w:hint="eastAsia"/>
          <w:lang w:eastAsia="zh-CN"/>
        </w:rPr>
        <w:t>投标人业绩</w:t>
      </w:r>
    </w:p>
    <w:p>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pPr>
        <w:pStyle w:val="7"/>
        <w:keepNext w:val="0"/>
        <w:keepLines w:val="0"/>
        <w:pageBreakBefore w:val="0"/>
        <w:kinsoku/>
        <w:wordWrap w:val="0"/>
        <w:overflowPunct/>
        <w:topLinePunct w:val="0"/>
        <w:bidi w:val="0"/>
        <w:spacing w:before="333" w:line="219" w:lineRule="auto"/>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4"/>
        <w:bidi w:val="0"/>
        <w:rPr>
          <w:rFonts w:hint="eastAsia"/>
          <w:lang w:val="en-US" w:eastAsia="zh-CN"/>
        </w:rPr>
      </w:pPr>
      <w:r>
        <w:rPr>
          <w:rFonts w:hint="eastAsia"/>
          <w:lang w:val="en-US" w:eastAsia="zh-CN"/>
        </w:rPr>
        <w:t>5.中小企业、监狱企业或残疾人福利性单位声明函（对于专门面向中小企业采购的项目必须提供，不专门面向的项目可选择提供）</w:t>
      </w:r>
    </w:p>
    <w:p>
      <w:pPr>
        <w:pStyle w:val="7"/>
        <w:keepNext w:val="0"/>
        <w:keepLines w:val="0"/>
        <w:pageBreakBefore w:val="0"/>
        <w:kinsoku/>
        <w:wordWrap w:val="0"/>
        <w:overflowPunct/>
        <w:topLinePunct w:val="0"/>
        <w:bidi w:val="0"/>
        <w:spacing w:before="333" w:line="219" w:lineRule="auto"/>
        <w:jc w:val="cente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br w:type="page"/>
      </w:r>
    </w:p>
    <w:p>
      <w:pPr>
        <w:pStyle w:val="8"/>
        <w:rPr>
          <w:rFonts w:hint="eastAsia"/>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人，</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3838" w:firstLineChars="19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eepNext w:val="0"/>
        <w:keepLines w:val="0"/>
        <w:pageBreakBefore w:val="0"/>
        <w:kinsoku/>
        <w:wordWrap w:val="0"/>
        <w:overflowPunct/>
        <w:topLinePunct w:val="0"/>
        <w:bidi w:val="0"/>
        <w:spacing w:line="360" w:lineRule="auto"/>
        <w:ind w:firstLine="3600" w:firstLineChars="15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pPr>
        <w:pStyle w:val="8"/>
        <w:rPr>
          <w:rFonts w:hint="eastAsia" w:asciiTheme="minorEastAsia" w:hAnsiTheme="minorEastAsia" w:eastAsiaTheme="minorEastAsia" w:cstheme="minorEastAsia"/>
          <w:spacing w:val="9"/>
          <w:sz w:val="24"/>
          <w:szCs w:val="24"/>
          <w:lang w:eastAsia="zh-CN"/>
        </w:rPr>
        <w:sectPr>
          <w:headerReference r:id="rId10" w:type="default"/>
          <w:footerReference r:id="rId11" w:type="default"/>
          <w:pgSz w:w="11907" w:h="16840"/>
          <w:pgMar w:top="1270" w:right="1349" w:bottom="1270" w:left="1349" w:header="878" w:footer="886" w:gutter="0"/>
          <w:pgNumType w:fmt="decimal"/>
          <w:cols w:space="720" w:num="1"/>
        </w:sect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4" w:firstLineChars="200"/>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w:t>
      </w:r>
      <w:r>
        <w:rPr>
          <w:rFonts w:hint="eastAsia" w:asciiTheme="minorEastAsia" w:hAnsiTheme="minorEastAsia" w:eastAsiaTheme="minorEastAsia" w:cstheme="minorEastAsia"/>
          <w:spacing w:val="10"/>
          <w:position w:val="17"/>
          <w:sz w:val="24"/>
          <w:szCs w:val="24"/>
          <w:lang w:val="en-US" w:eastAsia="zh-CN"/>
        </w:rPr>
        <w:t>不存在与大企业的负责让你为同一人的情形。</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12.招标文件要求的其它材料及投标人认为有必要提供的材料</w:t>
      </w:r>
    </w:p>
    <w:sectPr>
      <w:headerReference r:id="rId12" w:type="default"/>
      <w:footerReference r:id="rId13"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BE5FA"/>
    <w:multiLevelType w:val="singleLevel"/>
    <w:tmpl w:val="5D7BE5F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jkwY2M3YzBmNGE0MDkyYTIyYjhiMjE4NDc2ZThhNDAifQ=="/>
  </w:docVars>
  <w:rsids>
    <w:rsidRoot w:val="00000000"/>
    <w:rsid w:val="0096273C"/>
    <w:rsid w:val="00D24FF0"/>
    <w:rsid w:val="014E35A1"/>
    <w:rsid w:val="01C02D71"/>
    <w:rsid w:val="023E759B"/>
    <w:rsid w:val="027730B6"/>
    <w:rsid w:val="02FA03F5"/>
    <w:rsid w:val="03217B69"/>
    <w:rsid w:val="03C26B83"/>
    <w:rsid w:val="03CC315E"/>
    <w:rsid w:val="03DF5A69"/>
    <w:rsid w:val="044921B6"/>
    <w:rsid w:val="046E59EF"/>
    <w:rsid w:val="050D556D"/>
    <w:rsid w:val="05234F67"/>
    <w:rsid w:val="05545C1C"/>
    <w:rsid w:val="055748A3"/>
    <w:rsid w:val="059A3EA8"/>
    <w:rsid w:val="06031D0E"/>
    <w:rsid w:val="06593C39"/>
    <w:rsid w:val="06787E06"/>
    <w:rsid w:val="06AF4861"/>
    <w:rsid w:val="06B0495B"/>
    <w:rsid w:val="06C93A28"/>
    <w:rsid w:val="06E37C8B"/>
    <w:rsid w:val="076721B4"/>
    <w:rsid w:val="08CB596A"/>
    <w:rsid w:val="092D385C"/>
    <w:rsid w:val="09684744"/>
    <w:rsid w:val="09A129E2"/>
    <w:rsid w:val="09CC6764"/>
    <w:rsid w:val="09E3271C"/>
    <w:rsid w:val="0A29644D"/>
    <w:rsid w:val="0A437032"/>
    <w:rsid w:val="0A633B33"/>
    <w:rsid w:val="0AB46C2A"/>
    <w:rsid w:val="0ABC7CF1"/>
    <w:rsid w:val="0ABE6FC5"/>
    <w:rsid w:val="0AD86A92"/>
    <w:rsid w:val="0B3B7AF5"/>
    <w:rsid w:val="0B3C24F6"/>
    <w:rsid w:val="0BC76E66"/>
    <w:rsid w:val="0BF0521B"/>
    <w:rsid w:val="0CB101B0"/>
    <w:rsid w:val="0CBD4DA7"/>
    <w:rsid w:val="0CF900A3"/>
    <w:rsid w:val="0D9A718E"/>
    <w:rsid w:val="0DA859D3"/>
    <w:rsid w:val="0DD30B7C"/>
    <w:rsid w:val="0E307EEE"/>
    <w:rsid w:val="0E7E12E6"/>
    <w:rsid w:val="0EE83F9D"/>
    <w:rsid w:val="0F0D035A"/>
    <w:rsid w:val="0FB87AA7"/>
    <w:rsid w:val="0FE34B24"/>
    <w:rsid w:val="102C0845"/>
    <w:rsid w:val="104F3F68"/>
    <w:rsid w:val="109C38D9"/>
    <w:rsid w:val="10B145AD"/>
    <w:rsid w:val="115A7068"/>
    <w:rsid w:val="117D2D56"/>
    <w:rsid w:val="11B43A6A"/>
    <w:rsid w:val="11B5429E"/>
    <w:rsid w:val="122675E2"/>
    <w:rsid w:val="12417927"/>
    <w:rsid w:val="126E021D"/>
    <w:rsid w:val="12C549DA"/>
    <w:rsid w:val="12D9220E"/>
    <w:rsid w:val="12FD5FFB"/>
    <w:rsid w:val="1380268A"/>
    <w:rsid w:val="13C5707D"/>
    <w:rsid w:val="13F07810"/>
    <w:rsid w:val="1446371A"/>
    <w:rsid w:val="146A5814"/>
    <w:rsid w:val="14EC3DCF"/>
    <w:rsid w:val="15037E2D"/>
    <w:rsid w:val="156B2323"/>
    <w:rsid w:val="15AC3C0A"/>
    <w:rsid w:val="15B05882"/>
    <w:rsid w:val="15E04F64"/>
    <w:rsid w:val="164A7458"/>
    <w:rsid w:val="16F45CE8"/>
    <w:rsid w:val="16FC049F"/>
    <w:rsid w:val="174C193E"/>
    <w:rsid w:val="179B0D80"/>
    <w:rsid w:val="17B27393"/>
    <w:rsid w:val="17E20058"/>
    <w:rsid w:val="183D23CB"/>
    <w:rsid w:val="18510AEB"/>
    <w:rsid w:val="18610CDC"/>
    <w:rsid w:val="19161B44"/>
    <w:rsid w:val="194176C1"/>
    <w:rsid w:val="19D46BD3"/>
    <w:rsid w:val="19E260C0"/>
    <w:rsid w:val="1A464AA0"/>
    <w:rsid w:val="1A6B22E0"/>
    <w:rsid w:val="1AAC0209"/>
    <w:rsid w:val="1AC47924"/>
    <w:rsid w:val="1AF57E02"/>
    <w:rsid w:val="1B4F168F"/>
    <w:rsid w:val="1B6F0841"/>
    <w:rsid w:val="1D391455"/>
    <w:rsid w:val="1D72498F"/>
    <w:rsid w:val="1D9D7C75"/>
    <w:rsid w:val="1DD91C4B"/>
    <w:rsid w:val="1E0754FF"/>
    <w:rsid w:val="1E2712E1"/>
    <w:rsid w:val="1E7249AF"/>
    <w:rsid w:val="1F8737CC"/>
    <w:rsid w:val="1FE61854"/>
    <w:rsid w:val="1FF31541"/>
    <w:rsid w:val="20205BCC"/>
    <w:rsid w:val="20F10837"/>
    <w:rsid w:val="210939CE"/>
    <w:rsid w:val="212D6A29"/>
    <w:rsid w:val="217E2260"/>
    <w:rsid w:val="21DC7625"/>
    <w:rsid w:val="21E33D7D"/>
    <w:rsid w:val="22937C80"/>
    <w:rsid w:val="22E737AC"/>
    <w:rsid w:val="23C6058D"/>
    <w:rsid w:val="23D34A58"/>
    <w:rsid w:val="24C8734D"/>
    <w:rsid w:val="24E94D19"/>
    <w:rsid w:val="25052271"/>
    <w:rsid w:val="255045B2"/>
    <w:rsid w:val="256253DA"/>
    <w:rsid w:val="25722260"/>
    <w:rsid w:val="257A4289"/>
    <w:rsid w:val="25A83616"/>
    <w:rsid w:val="25D07317"/>
    <w:rsid w:val="260373D2"/>
    <w:rsid w:val="263A5FE5"/>
    <w:rsid w:val="265713EE"/>
    <w:rsid w:val="266177F8"/>
    <w:rsid w:val="26734FA1"/>
    <w:rsid w:val="27EF7E63"/>
    <w:rsid w:val="27F6032D"/>
    <w:rsid w:val="2944096C"/>
    <w:rsid w:val="29462E99"/>
    <w:rsid w:val="29C94933"/>
    <w:rsid w:val="29EF5E58"/>
    <w:rsid w:val="2A5E573D"/>
    <w:rsid w:val="2A870159"/>
    <w:rsid w:val="2ABA04F6"/>
    <w:rsid w:val="2AD7512C"/>
    <w:rsid w:val="2B296C36"/>
    <w:rsid w:val="2B32017A"/>
    <w:rsid w:val="2B4C1378"/>
    <w:rsid w:val="2BD35370"/>
    <w:rsid w:val="2CB368C6"/>
    <w:rsid w:val="2CE542E8"/>
    <w:rsid w:val="2D4C797B"/>
    <w:rsid w:val="2D854259"/>
    <w:rsid w:val="2DD5743D"/>
    <w:rsid w:val="2DF6291A"/>
    <w:rsid w:val="2E037ECE"/>
    <w:rsid w:val="2E123636"/>
    <w:rsid w:val="2EDE4089"/>
    <w:rsid w:val="2F795793"/>
    <w:rsid w:val="2F7E5B21"/>
    <w:rsid w:val="2FAF3423"/>
    <w:rsid w:val="305F18E8"/>
    <w:rsid w:val="311741D6"/>
    <w:rsid w:val="3119309A"/>
    <w:rsid w:val="312A5594"/>
    <w:rsid w:val="312C625F"/>
    <w:rsid w:val="313A3C4D"/>
    <w:rsid w:val="31C81974"/>
    <w:rsid w:val="32230959"/>
    <w:rsid w:val="3322495F"/>
    <w:rsid w:val="337450B5"/>
    <w:rsid w:val="344C700B"/>
    <w:rsid w:val="34C22FEC"/>
    <w:rsid w:val="34EB0670"/>
    <w:rsid w:val="34F86C33"/>
    <w:rsid w:val="357D65D2"/>
    <w:rsid w:val="35A41730"/>
    <w:rsid w:val="35F41D18"/>
    <w:rsid w:val="36266C69"/>
    <w:rsid w:val="36B765C5"/>
    <w:rsid w:val="374E72FE"/>
    <w:rsid w:val="37512649"/>
    <w:rsid w:val="37C036A0"/>
    <w:rsid w:val="37D41ABC"/>
    <w:rsid w:val="37D664EB"/>
    <w:rsid w:val="37E776C2"/>
    <w:rsid w:val="383C09C6"/>
    <w:rsid w:val="38704382"/>
    <w:rsid w:val="388B2F38"/>
    <w:rsid w:val="399D1B1E"/>
    <w:rsid w:val="3A046503"/>
    <w:rsid w:val="3B35724B"/>
    <w:rsid w:val="3BB63ADA"/>
    <w:rsid w:val="3BDC4EDA"/>
    <w:rsid w:val="3C37498E"/>
    <w:rsid w:val="3C860462"/>
    <w:rsid w:val="3C94450B"/>
    <w:rsid w:val="3CD83A9C"/>
    <w:rsid w:val="3D051AB3"/>
    <w:rsid w:val="3D13022E"/>
    <w:rsid w:val="3D9C0E9C"/>
    <w:rsid w:val="3DDE7B24"/>
    <w:rsid w:val="3E353902"/>
    <w:rsid w:val="3E60285C"/>
    <w:rsid w:val="3E7A6E5F"/>
    <w:rsid w:val="3E807399"/>
    <w:rsid w:val="3E923BF9"/>
    <w:rsid w:val="3ED454B4"/>
    <w:rsid w:val="3F0A4EA1"/>
    <w:rsid w:val="3F487C50"/>
    <w:rsid w:val="3F814E1B"/>
    <w:rsid w:val="3FC65745"/>
    <w:rsid w:val="3FCE3BC4"/>
    <w:rsid w:val="40274071"/>
    <w:rsid w:val="405D1A2A"/>
    <w:rsid w:val="407F405E"/>
    <w:rsid w:val="409370B0"/>
    <w:rsid w:val="40D41902"/>
    <w:rsid w:val="41884B35"/>
    <w:rsid w:val="423849B8"/>
    <w:rsid w:val="435F746A"/>
    <w:rsid w:val="4372309F"/>
    <w:rsid w:val="437F04D6"/>
    <w:rsid w:val="44093E52"/>
    <w:rsid w:val="444E5D13"/>
    <w:rsid w:val="446F3136"/>
    <w:rsid w:val="44790C24"/>
    <w:rsid w:val="453A628D"/>
    <w:rsid w:val="45CF0C25"/>
    <w:rsid w:val="45DD7715"/>
    <w:rsid w:val="47503B46"/>
    <w:rsid w:val="47C562E2"/>
    <w:rsid w:val="47C81344"/>
    <w:rsid w:val="483B0352"/>
    <w:rsid w:val="488A3088"/>
    <w:rsid w:val="48DF1625"/>
    <w:rsid w:val="48F078C5"/>
    <w:rsid w:val="49320965"/>
    <w:rsid w:val="49AC2E6D"/>
    <w:rsid w:val="4A3F3154"/>
    <w:rsid w:val="4A4562D3"/>
    <w:rsid w:val="4A52328E"/>
    <w:rsid w:val="4B050440"/>
    <w:rsid w:val="4B227F62"/>
    <w:rsid w:val="4B6545C2"/>
    <w:rsid w:val="4BBC369E"/>
    <w:rsid w:val="4CEC4659"/>
    <w:rsid w:val="4D493511"/>
    <w:rsid w:val="4DF21FC2"/>
    <w:rsid w:val="4DF932EA"/>
    <w:rsid w:val="4E201C1D"/>
    <w:rsid w:val="4E7A34EC"/>
    <w:rsid w:val="4E861641"/>
    <w:rsid w:val="4FAB04B3"/>
    <w:rsid w:val="4FB426AD"/>
    <w:rsid w:val="4FEE2DC9"/>
    <w:rsid w:val="51346287"/>
    <w:rsid w:val="51850890"/>
    <w:rsid w:val="519F1DA4"/>
    <w:rsid w:val="525210BA"/>
    <w:rsid w:val="52A90328"/>
    <w:rsid w:val="52DC3333"/>
    <w:rsid w:val="53036690"/>
    <w:rsid w:val="53376A7B"/>
    <w:rsid w:val="537441A1"/>
    <w:rsid w:val="53B1020C"/>
    <w:rsid w:val="54065481"/>
    <w:rsid w:val="557169CF"/>
    <w:rsid w:val="557D5D2A"/>
    <w:rsid w:val="55A41C2D"/>
    <w:rsid w:val="56682D63"/>
    <w:rsid w:val="56905D0D"/>
    <w:rsid w:val="56FB4C08"/>
    <w:rsid w:val="574153BB"/>
    <w:rsid w:val="589A668A"/>
    <w:rsid w:val="58AC00F0"/>
    <w:rsid w:val="58C46E3D"/>
    <w:rsid w:val="58D971B2"/>
    <w:rsid w:val="59042C0B"/>
    <w:rsid w:val="59272568"/>
    <w:rsid w:val="59576FB6"/>
    <w:rsid w:val="59BC1D1A"/>
    <w:rsid w:val="59C142A0"/>
    <w:rsid w:val="59C641E6"/>
    <w:rsid w:val="59D65347"/>
    <w:rsid w:val="5A2E3043"/>
    <w:rsid w:val="5A9763C3"/>
    <w:rsid w:val="5A9920D7"/>
    <w:rsid w:val="5AEA63E6"/>
    <w:rsid w:val="5B2C7B17"/>
    <w:rsid w:val="5BCB0AF4"/>
    <w:rsid w:val="5C2D5181"/>
    <w:rsid w:val="5C9B1B86"/>
    <w:rsid w:val="5CA02E79"/>
    <w:rsid w:val="5CEA5B79"/>
    <w:rsid w:val="5D150553"/>
    <w:rsid w:val="5D3550FB"/>
    <w:rsid w:val="5D902A97"/>
    <w:rsid w:val="5E3606EF"/>
    <w:rsid w:val="5EDA32DC"/>
    <w:rsid w:val="5F321771"/>
    <w:rsid w:val="5F3A0F0C"/>
    <w:rsid w:val="5F412CC2"/>
    <w:rsid w:val="5FE2771E"/>
    <w:rsid w:val="600E6D7C"/>
    <w:rsid w:val="607F1E09"/>
    <w:rsid w:val="60BD2923"/>
    <w:rsid w:val="618C2692"/>
    <w:rsid w:val="622D31D4"/>
    <w:rsid w:val="62A74B0A"/>
    <w:rsid w:val="62E015B0"/>
    <w:rsid w:val="63510510"/>
    <w:rsid w:val="639D4CC6"/>
    <w:rsid w:val="642053CC"/>
    <w:rsid w:val="646A5DEF"/>
    <w:rsid w:val="646F5EF6"/>
    <w:rsid w:val="65785E0F"/>
    <w:rsid w:val="658A75F4"/>
    <w:rsid w:val="65CF7A95"/>
    <w:rsid w:val="66A23F66"/>
    <w:rsid w:val="672526A7"/>
    <w:rsid w:val="680D3662"/>
    <w:rsid w:val="68222C97"/>
    <w:rsid w:val="68333F9A"/>
    <w:rsid w:val="683858D3"/>
    <w:rsid w:val="68645FE7"/>
    <w:rsid w:val="69413090"/>
    <w:rsid w:val="69682055"/>
    <w:rsid w:val="69855FCD"/>
    <w:rsid w:val="69BC17E8"/>
    <w:rsid w:val="69DD77FF"/>
    <w:rsid w:val="6AE37CE3"/>
    <w:rsid w:val="6B0625EA"/>
    <w:rsid w:val="6B5442BA"/>
    <w:rsid w:val="6C593408"/>
    <w:rsid w:val="6C68544B"/>
    <w:rsid w:val="6C785167"/>
    <w:rsid w:val="6D0715D4"/>
    <w:rsid w:val="6DDB2C74"/>
    <w:rsid w:val="6E0E0C0F"/>
    <w:rsid w:val="6E8E7670"/>
    <w:rsid w:val="6EEB0447"/>
    <w:rsid w:val="6FAF3250"/>
    <w:rsid w:val="6FC71762"/>
    <w:rsid w:val="70312E6C"/>
    <w:rsid w:val="703F6560"/>
    <w:rsid w:val="70725ED5"/>
    <w:rsid w:val="70B362F9"/>
    <w:rsid w:val="71653340"/>
    <w:rsid w:val="71F347D3"/>
    <w:rsid w:val="71FC098F"/>
    <w:rsid w:val="72415D05"/>
    <w:rsid w:val="7296241B"/>
    <w:rsid w:val="732A300A"/>
    <w:rsid w:val="73803FEB"/>
    <w:rsid w:val="73CE2CA8"/>
    <w:rsid w:val="743A4414"/>
    <w:rsid w:val="747F7695"/>
    <w:rsid w:val="748C5DD6"/>
    <w:rsid w:val="754A398B"/>
    <w:rsid w:val="75857AA3"/>
    <w:rsid w:val="758D5DE2"/>
    <w:rsid w:val="75943299"/>
    <w:rsid w:val="76017BAF"/>
    <w:rsid w:val="767A5F36"/>
    <w:rsid w:val="76837B47"/>
    <w:rsid w:val="76B97261"/>
    <w:rsid w:val="772D4414"/>
    <w:rsid w:val="7744228A"/>
    <w:rsid w:val="781E668F"/>
    <w:rsid w:val="788C166D"/>
    <w:rsid w:val="78AC0934"/>
    <w:rsid w:val="78BD4DDD"/>
    <w:rsid w:val="78E700F4"/>
    <w:rsid w:val="78EE7B24"/>
    <w:rsid w:val="7907377A"/>
    <w:rsid w:val="792E7F96"/>
    <w:rsid w:val="793B1352"/>
    <w:rsid w:val="79AB21E7"/>
    <w:rsid w:val="79CC501C"/>
    <w:rsid w:val="79F12DE4"/>
    <w:rsid w:val="7B0E17E2"/>
    <w:rsid w:val="7B3E48AE"/>
    <w:rsid w:val="7C6203C7"/>
    <w:rsid w:val="7CB47DAA"/>
    <w:rsid w:val="7D076A17"/>
    <w:rsid w:val="7D462131"/>
    <w:rsid w:val="7DC974CD"/>
    <w:rsid w:val="7E4B00B1"/>
    <w:rsid w:val="7EA62275"/>
    <w:rsid w:val="7F034C8E"/>
    <w:rsid w:val="7F235328"/>
    <w:rsid w:val="7F640382"/>
    <w:rsid w:val="7FB30C7B"/>
    <w:rsid w:val="7FB34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3">
    <w:name w:val="heading 2"/>
    <w:basedOn w:val="1"/>
    <w:next w:val="1"/>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0">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caption"/>
    <w:basedOn w:val="1"/>
    <w:next w:val="1"/>
    <w:autoRedefine/>
    <w:qFormat/>
    <w:uiPriority w:val="0"/>
    <w:pPr>
      <w:spacing w:line="240" w:lineRule="auto"/>
      <w:ind w:firstLine="0" w:firstLineChars="0"/>
    </w:pPr>
    <w:rPr>
      <w:rFonts w:ascii="Cambria" w:hAnsi="Cambria" w:eastAsia="黑体"/>
      <w:kern w:val="0"/>
      <w:sz w:val="20"/>
      <w:szCs w:val="20"/>
    </w:rPr>
  </w:style>
  <w:style w:type="paragraph" w:styleId="6">
    <w:name w:val="annotation text"/>
    <w:basedOn w:val="1"/>
    <w:autoRedefine/>
    <w:qFormat/>
    <w:uiPriority w:val="0"/>
    <w:pPr>
      <w:jc w:val="left"/>
    </w:pPr>
  </w:style>
  <w:style w:type="paragraph" w:styleId="7">
    <w:name w:val="Body Text"/>
    <w:basedOn w:val="1"/>
    <w:next w:val="8"/>
    <w:autoRedefine/>
    <w:qFormat/>
    <w:uiPriority w:val="0"/>
    <w:rPr>
      <w:rFonts w:ascii="宋体" w:hAnsi="宋体" w:eastAsia="宋体" w:cs="宋体"/>
      <w:sz w:val="31"/>
      <w:szCs w:val="31"/>
      <w:lang w:val="en-US" w:eastAsia="en-US" w:bidi="ar-SA"/>
    </w:rPr>
  </w:style>
  <w:style w:type="paragraph" w:customStyle="1" w:styleId="8">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styleId="9">
    <w:name w:val="Body Text Indent"/>
    <w:basedOn w:val="1"/>
    <w:autoRedefine/>
    <w:qFormat/>
    <w:uiPriority w:val="99"/>
    <w:pPr>
      <w:spacing w:after="120" w:afterLines="0"/>
      <w:ind w:left="420" w:leftChars="200"/>
    </w:pPr>
    <w:rPr>
      <w:kern w:val="2"/>
      <w:sz w:val="21"/>
      <w:lang w:eastAsia="zh-CN" w:bidi="ar-SA"/>
    </w:rPr>
  </w:style>
  <w:style w:type="paragraph" w:styleId="10">
    <w:name w:val="Plain Text"/>
    <w:basedOn w:val="1"/>
    <w:autoRedefine/>
    <w:qFormat/>
    <w:uiPriority w:val="0"/>
    <w:rPr>
      <w:rFonts w:ascii="宋体" w:hAnsi="Courier New" w:cs="Courier New"/>
      <w:szCs w:val="21"/>
    </w:rPr>
  </w:style>
  <w:style w:type="paragraph" w:styleId="11">
    <w:name w:val="Date"/>
    <w:basedOn w:val="1"/>
    <w:next w:val="1"/>
    <w:autoRedefine/>
    <w:qFormat/>
    <w:uiPriority w:val="0"/>
    <w:rPr>
      <w:kern w:val="2"/>
      <w:sz w:val="21"/>
      <w:lang w:eastAsia="zh-CN" w:bidi="ar-SA"/>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envelope return"/>
    <w:basedOn w:val="1"/>
    <w:autoRedefine/>
    <w:qFormat/>
    <w:uiPriority w:val="0"/>
    <w:pPr>
      <w:snapToGrid w:val="0"/>
    </w:pPr>
    <w:rPr>
      <w:rFonts w:ascii="Arial" w:hAnsi="Arial"/>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autoRedefine/>
    <w:qFormat/>
    <w:uiPriority w:val="0"/>
    <w:pPr>
      <w:spacing w:after="120" w:line="480" w:lineRule="auto"/>
    </w:pPr>
    <w:rPr>
      <w:rFonts w:ascii="Tahoma" w:hAnsi="Tahoma"/>
    </w:rPr>
  </w:style>
  <w:style w:type="paragraph" w:styleId="16">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8">
    <w:name w:val="Body Text First Indent 2"/>
    <w:basedOn w:val="9"/>
    <w:next w:val="1"/>
    <w:autoRedefine/>
    <w:qFormat/>
    <w:uiPriority w:val="0"/>
    <w:pPr>
      <w:ind w:firstLine="200" w:firstLineChars="200"/>
    </w:pPr>
    <w:rPr>
      <w:kern w:val="2"/>
      <w:sz w:val="28"/>
      <w:lang w:eastAsia="zh-CN" w:bidi="ar-SA"/>
    </w:rPr>
  </w:style>
  <w:style w:type="character" w:styleId="21">
    <w:name w:val="FollowedHyperlink"/>
    <w:basedOn w:val="20"/>
    <w:autoRedefine/>
    <w:qFormat/>
    <w:uiPriority w:val="0"/>
    <w:rPr>
      <w:color w:val="444444"/>
      <w:sz w:val="16"/>
      <w:szCs w:val="16"/>
      <w:u w:val="none"/>
    </w:rPr>
  </w:style>
  <w:style w:type="character" w:styleId="22">
    <w:name w:val="Hyperlink"/>
    <w:basedOn w:val="20"/>
    <w:autoRedefine/>
    <w:qFormat/>
    <w:uiPriority w:val="0"/>
    <w:rPr>
      <w:color w:val="0000FF"/>
      <w:u w:val="single"/>
    </w:rPr>
  </w:style>
  <w:style w:type="paragraph" w:customStyle="1" w:styleId="2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24">
    <w:name w:val="Table Normal"/>
    <w:autoRedefine/>
    <w:semiHidden/>
    <w:unhideWhenUsed/>
    <w:qFormat/>
    <w:uiPriority w:val="0"/>
    <w:tblPr>
      <w:tblCellMar>
        <w:top w:w="0" w:type="dxa"/>
        <w:left w:w="0" w:type="dxa"/>
        <w:bottom w:w="0" w:type="dxa"/>
        <w:right w:w="0" w:type="dxa"/>
      </w:tblCellMar>
    </w:tblPr>
  </w:style>
  <w:style w:type="paragraph" w:customStyle="1" w:styleId="25">
    <w:name w:val="Table Text"/>
    <w:basedOn w:val="1"/>
    <w:autoRedefine/>
    <w:semiHidden/>
    <w:qFormat/>
    <w:uiPriority w:val="0"/>
    <w:rPr>
      <w:rFonts w:ascii="Arial" w:hAnsi="Arial" w:eastAsia="Arial" w:cs="Arial"/>
      <w:sz w:val="21"/>
      <w:szCs w:val="21"/>
      <w:lang w:val="en-US" w:eastAsia="en-US" w:bidi="ar-SA"/>
    </w:rPr>
  </w:style>
  <w:style w:type="paragraph" w:customStyle="1" w:styleId="26">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7">
    <w:name w:val="Char Char10 Char Char Char Char"/>
    <w:basedOn w:val="1"/>
    <w:next w:val="28"/>
    <w:autoRedefine/>
    <w:qFormat/>
    <w:uiPriority w:val="99"/>
    <w:pPr>
      <w:autoSpaceDE w:val="0"/>
      <w:autoSpaceDN w:val="0"/>
      <w:jc w:val="left"/>
    </w:pPr>
    <w:rPr>
      <w:rFonts w:ascii="宋体" w:hAnsi="宋体" w:cs="宋体"/>
      <w:lang w:val="zh-CN" w:bidi="zh-CN"/>
    </w:rPr>
  </w:style>
  <w:style w:type="paragraph" w:customStyle="1" w:styleId="28">
    <w:name w:val="xl87"/>
    <w:basedOn w:val="1"/>
    <w:next w:val="29"/>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29">
    <w:name w:val="xl72"/>
    <w:basedOn w:val="1"/>
    <w:next w:val="1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30">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31">
    <w:name w:val="hover18"/>
    <w:basedOn w:val="20"/>
    <w:autoRedefine/>
    <w:qFormat/>
    <w:uiPriority w:val="0"/>
  </w:style>
  <w:style w:type="paragraph" w:customStyle="1" w:styleId="32">
    <w:name w:val="列出段落1"/>
    <w:basedOn w:val="1"/>
    <w:autoRedefine/>
    <w:qFormat/>
    <w:uiPriority w:val="0"/>
    <w:pPr>
      <w:ind w:firstLine="420" w:firstLineChars="200"/>
    </w:pPr>
    <w:rPr>
      <w:szCs w:val="21"/>
    </w:rPr>
  </w:style>
  <w:style w:type="paragraph" w:customStyle="1" w:styleId="33">
    <w:name w:val="无间隔1"/>
    <w:basedOn w:val="34"/>
    <w:next w:val="5"/>
    <w:autoRedefine/>
    <w:qFormat/>
    <w:uiPriority w:val="1"/>
    <w:pPr>
      <w:widowControl w:val="0"/>
      <w:jc w:val="both"/>
    </w:pPr>
    <w:rPr>
      <w:kern w:val="2"/>
      <w:sz w:val="21"/>
      <w:szCs w:val="22"/>
      <w:lang w:val="en-US" w:eastAsia="zh-CN" w:bidi="ar-SA"/>
    </w:rPr>
  </w:style>
  <w:style w:type="paragraph" w:customStyle="1" w:styleId="34">
    <w:name w:val="正文_1"/>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35">
    <w:name w:val="Other|1"/>
    <w:basedOn w:val="1"/>
    <w:autoRedefine/>
    <w:qFormat/>
    <w:uiPriority w:val="0"/>
    <w:pPr>
      <w:adjustRightInd w:val="0"/>
      <w:snapToGrid w:val="0"/>
      <w:spacing w:after="200"/>
      <w:jc w:val="left"/>
    </w:pPr>
    <w:rPr>
      <w:rFonts w:ascii="宋体" w:hAnsi="宋体" w:cs="宋体"/>
      <w:kern w:val="0"/>
      <w:sz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71</Pages>
  <Words>24752</Words>
  <Characters>25764</Characters>
  <TotalTime>99</TotalTime>
  <ScaleCrop>false</ScaleCrop>
  <LinksUpToDate>false</LinksUpToDate>
  <CharactersWithSpaces>26572</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离殇</cp:lastModifiedBy>
  <cp:lastPrinted>2024-04-07T03:01:00Z</cp:lastPrinted>
  <dcterms:modified xsi:type="dcterms:W3CDTF">2024-05-29T01:12:53Z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2052-12.1.0.16120</vt:lpwstr>
  </property>
  <property fmtid="{D5CDD505-2E9C-101B-9397-08002B2CF9AE}" pid="5" name="ICV">
    <vt:lpwstr>58D18AD96DB8482DA061A614F8B28CF6_13</vt:lpwstr>
  </property>
</Properties>
</file>