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360" w:lineRule="auto"/>
        <w:jc w:val="center"/>
        <w:rPr>
          <w:rFonts w:hint="eastAsia" w:ascii="仿宋" w:hAnsi="仿宋" w:cs="仿宋"/>
          <w:b/>
          <w:bCs/>
          <w:color w:val="auto"/>
          <w:spacing w:val="-6"/>
          <w:sz w:val="56"/>
          <w:szCs w:val="52"/>
          <w:lang w:val="en-US" w:eastAsia="zh-CN"/>
        </w:rPr>
      </w:pPr>
      <w:bookmarkStart w:id="0" w:name="_Toc8792"/>
      <w:bookmarkStart w:id="1" w:name="_Toc14461"/>
      <w:bookmarkStart w:id="2" w:name="_Toc2970"/>
      <w:bookmarkStart w:id="3" w:name="_Toc31147"/>
      <w:r>
        <w:rPr>
          <w:rFonts w:hint="eastAsia" w:ascii="仿宋" w:hAnsi="仿宋" w:cs="仿宋"/>
          <w:b/>
          <w:bCs/>
          <w:color w:val="auto"/>
          <w:spacing w:val="-6"/>
          <w:sz w:val="56"/>
          <w:szCs w:val="52"/>
          <w:lang w:val="en-US" w:eastAsia="zh-CN"/>
        </w:rPr>
        <w:t>唐河县城区市政桥梁检测项目（二次）</w:t>
      </w:r>
    </w:p>
    <w:p>
      <w:pPr>
        <w:bidi w:val="0"/>
        <w:spacing w:line="360" w:lineRule="auto"/>
        <w:jc w:val="center"/>
        <w:rPr>
          <w:b/>
          <w:bCs/>
          <w:color w:val="auto"/>
          <w:sz w:val="56"/>
          <w:szCs w:val="52"/>
        </w:rPr>
      </w:pPr>
      <w:r>
        <w:rPr>
          <w:b/>
          <w:bCs/>
          <w:color w:val="auto"/>
          <w:sz w:val="72"/>
          <w:szCs w:val="56"/>
        </w:rPr>
        <w:t>竞争性磋商文件</w:t>
      </w:r>
      <w:bookmarkEnd w:id="0"/>
      <w:bookmarkEnd w:id="1"/>
      <w:bookmarkEnd w:id="2"/>
      <w:bookmarkEnd w:id="3"/>
    </w:p>
    <w:p>
      <w:pPr>
        <w:ind w:firstLine="1928" w:firstLineChars="600"/>
        <w:jc w:val="both"/>
        <w:rPr>
          <w:rFonts w:hint="default" w:eastAsia="仿宋"/>
          <w:color w:val="auto"/>
          <w:lang w:val="en-US" w:eastAsia="zh-CN"/>
        </w:rPr>
      </w:pPr>
      <w:r>
        <w:rPr>
          <w:b/>
          <w:bCs/>
          <w:color w:val="auto"/>
          <w:sz w:val="32"/>
          <w:szCs w:val="28"/>
        </w:rPr>
        <w:t>采购编号：</w:t>
      </w:r>
      <w:r>
        <w:rPr>
          <w:rFonts w:hint="eastAsia"/>
          <w:b/>
          <w:bCs/>
          <w:color w:val="auto"/>
          <w:sz w:val="32"/>
          <w:szCs w:val="28"/>
          <w:lang w:val="zh-CN"/>
        </w:rPr>
        <w:t>唐财采购竞争性磋商-202</w:t>
      </w:r>
      <w:r>
        <w:rPr>
          <w:rFonts w:hint="eastAsia"/>
          <w:b/>
          <w:bCs/>
          <w:color w:val="auto"/>
          <w:sz w:val="32"/>
          <w:szCs w:val="28"/>
          <w:lang w:val="en-US" w:eastAsia="zh-CN"/>
        </w:rPr>
        <w:t>4</w:t>
      </w:r>
      <w:r>
        <w:rPr>
          <w:rFonts w:hint="eastAsia"/>
          <w:b/>
          <w:bCs/>
          <w:color w:val="auto"/>
          <w:sz w:val="32"/>
          <w:szCs w:val="28"/>
          <w:lang w:val="zh-CN"/>
        </w:rPr>
        <w:t>-</w:t>
      </w:r>
      <w:r>
        <w:rPr>
          <w:rFonts w:hint="eastAsia"/>
          <w:b/>
          <w:bCs/>
          <w:color w:val="auto"/>
          <w:sz w:val="32"/>
          <w:szCs w:val="28"/>
          <w:lang w:val="en-US" w:eastAsia="zh-CN"/>
        </w:rPr>
        <w:t>46</w:t>
      </w:r>
    </w:p>
    <w:p>
      <w:pPr>
        <w:rPr>
          <w:color w:val="auto"/>
        </w:rPr>
      </w:pPr>
    </w:p>
    <w:p>
      <w:pPr>
        <w:jc w:val="center"/>
        <w:rPr>
          <w:rFonts w:hint="eastAsia" w:eastAsia="仿宋"/>
          <w:color w:val="auto"/>
          <w:lang w:eastAsia="zh-CN"/>
        </w:rPr>
      </w:pPr>
      <w:r>
        <w:rPr>
          <w:rFonts w:hint="eastAsia"/>
          <w:b/>
          <w:bCs/>
          <w:color w:val="auto"/>
          <w:sz w:val="40"/>
          <w:szCs w:val="36"/>
          <w:lang w:eastAsia="zh-CN"/>
        </w:rPr>
        <w:t>（</w:t>
      </w:r>
      <w:r>
        <w:rPr>
          <w:rFonts w:hint="eastAsia"/>
          <w:b/>
          <w:bCs/>
          <w:color w:val="auto"/>
          <w:sz w:val="40"/>
          <w:szCs w:val="36"/>
          <w:lang w:val="en-US" w:eastAsia="zh-CN"/>
        </w:rPr>
        <w:t>非最终版</w:t>
      </w:r>
      <w:r>
        <w:rPr>
          <w:rFonts w:hint="eastAsia"/>
          <w:b/>
          <w:bCs/>
          <w:color w:val="auto"/>
          <w:sz w:val="40"/>
          <w:szCs w:val="36"/>
          <w:lang w:eastAsia="zh-CN"/>
        </w:rPr>
        <w:t>）</w:t>
      </w:r>
    </w:p>
    <w:p>
      <w:pPr>
        <w:pStyle w:val="10"/>
        <w:rPr>
          <w:color w:val="auto"/>
        </w:rPr>
      </w:pPr>
    </w:p>
    <w:p>
      <w:pPr>
        <w:pStyle w:val="38"/>
        <w:rPr>
          <w:color w:val="auto"/>
        </w:rPr>
      </w:pPr>
      <w:bookmarkStart w:id="68" w:name="_GoBack"/>
      <w:bookmarkEnd w:id="68"/>
    </w:p>
    <w:p>
      <w:pPr>
        <w:pStyle w:val="39"/>
        <w:rPr>
          <w:rFonts w:hint="eastAsia" w:eastAsia="宋体"/>
          <w:color w:val="auto"/>
          <w:lang w:val="en-US" w:eastAsia="zh-CN"/>
        </w:rPr>
      </w:pPr>
      <w:r>
        <w:rPr>
          <w:rFonts w:hint="eastAsia"/>
          <w:color w:val="auto"/>
          <w:lang w:val="en-US" w:eastAsia="zh-CN"/>
        </w:rPr>
        <w:t xml:space="preserve"> </w:t>
      </w:r>
    </w:p>
    <w:p>
      <w:pPr>
        <w:rPr>
          <w:color w:val="auto"/>
        </w:rPr>
      </w:pPr>
    </w:p>
    <w:p>
      <w:pPr>
        <w:pStyle w:val="10"/>
        <w:rPr>
          <w:color w:val="auto"/>
        </w:rPr>
      </w:pPr>
    </w:p>
    <w:p>
      <w:pPr>
        <w:rPr>
          <w:color w:val="auto"/>
        </w:rPr>
      </w:pPr>
    </w:p>
    <w:p>
      <w:pPr>
        <w:pStyle w:val="10"/>
        <w:rPr>
          <w:color w:val="auto"/>
        </w:rPr>
      </w:pPr>
    </w:p>
    <w:p>
      <w:pPr>
        <w:rPr>
          <w:color w:val="auto"/>
        </w:rPr>
      </w:pPr>
    </w:p>
    <w:p>
      <w:pPr>
        <w:rPr>
          <w:color w:val="auto"/>
        </w:rPr>
      </w:pPr>
    </w:p>
    <w:p>
      <w:pPr>
        <w:rPr>
          <w:color w:val="auto"/>
        </w:rPr>
      </w:pPr>
    </w:p>
    <w:p>
      <w:pPr>
        <w:rPr>
          <w:color w:val="auto"/>
        </w:rPr>
      </w:pPr>
    </w:p>
    <w:p>
      <w:pPr>
        <w:rPr>
          <w:color w:val="auto"/>
        </w:rPr>
      </w:pPr>
    </w:p>
    <w:p>
      <w:pPr>
        <w:pStyle w:val="37"/>
        <w:rPr>
          <w:color w:val="auto"/>
        </w:rPr>
      </w:pPr>
    </w:p>
    <w:p>
      <w:pPr>
        <w:pStyle w:val="37"/>
        <w:rPr>
          <w:color w:val="auto"/>
        </w:rPr>
      </w:pPr>
    </w:p>
    <w:p>
      <w:pPr>
        <w:rPr>
          <w:color w:val="auto"/>
        </w:rPr>
      </w:pPr>
    </w:p>
    <w:p>
      <w:pPr>
        <w:pStyle w:val="37"/>
        <w:rPr>
          <w:color w:val="auto"/>
        </w:rPr>
      </w:pPr>
    </w:p>
    <w:p>
      <w:pPr>
        <w:pStyle w:val="37"/>
        <w:rPr>
          <w:color w:val="auto"/>
        </w:rPr>
      </w:pPr>
    </w:p>
    <w:p>
      <w:pPr>
        <w:pStyle w:val="37"/>
        <w:rPr>
          <w:color w:val="auto"/>
        </w:rPr>
      </w:pPr>
    </w:p>
    <w:p>
      <w:pPr>
        <w:rPr>
          <w:color w:val="auto"/>
        </w:rPr>
      </w:pPr>
    </w:p>
    <w:p>
      <w:pPr>
        <w:pStyle w:val="10"/>
        <w:rPr>
          <w:color w:val="auto"/>
        </w:rPr>
      </w:pPr>
    </w:p>
    <w:p>
      <w:pPr>
        <w:ind w:firstLine="2409" w:firstLineChars="600"/>
        <w:jc w:val="both"/>
        <w:rPr>
          <w:rFonts w:hint="eastAsia"/>
          <w:b/>
          <w:bCs/>
          <w:color w:val="auto"/>
          <w:spacing w:val="17"/>
          <w:sz w:val="40"/>
          <w:szCs w:val="40"/>
          <w:lang w:val="en-US" w:eastAsia="zh-CN"/>
        </w:rPr>
      </w:pPr>
      <w:r>
        <w:rPr>
          <w:b/>
          <w:bCs/>
          <w:color w:val="auto"/>
          <w:sz w:val="40"/>
          <w:szCs w:val="40"/>
        </w:rPr>
        <w:t>采购人：</w:t>
      </w:r>
      <w:r>
        <w:rPr>
          <w:rFonts w:hint="eastAsia"/>
          <w:b/>
          <w:bCs/>
          <w:color w:val="auto"/>
          <w:spacing w:val="17"/>
          <w:sz w:val="40"/>
          <w:szCs w:val="40"/>
          <w:lang w:val="en-US" w:eastAsia="zh-CN"/>
        </w:rPr>
        <w:t>唐河县市政服务中心</w:t>
      </w:r>
    </w:p>
    <w:p>
      <w:pPr>
        <w:jc w:val="center"/>
        <w:rPr>
          <w:b/>
          <w:bCs/>
          <w:color w:val="auto"/>
          <w:sz w:val="40"/>
          <w:szCs w:val="40"/>
        </w:rPr>
      </w:pPr>
      <w:r>
        <w:rPr>
          <w:rFonts w:hint="eastAsia"/>
          <w:b/>
          <w:bCs/>
          <w:color w:val="auto"/>
          <w:sz w:val="40"/>
          <w:szCs w:val="40"/>
          <w:lang w:val="en-US" w:eastAsia="zh-CN"/>
        </w:rPr>
        <w:t xml:space="preserve">     </w:t>
      </w:r>
      <w:r>
        <w:rPr>
          <w:b/>
          <w:bCs/>
          <w:color w:val="auto"/>
          <w:sz w:val="40"/>
          <w:szCs w:val="40"/>
        </w:rPr>
        <w:t>采购代理机构：</w:t>
      </w:r>
      <w:r>
        <w:rPr>
          <w:rFonts w:hint="eastAsia"/>
          <w:b/>
          <w:bCs/>
          <w:color w:val="auto"/>
          <w:sz w:val="40"/>
          <w:szCs w:val="40"/>
          <w:lang w:eastAsia="zh-CN"/>
        </w:rPr>
        <w:t>唐河县龙建工程管理有限公司</w:t>
      </w:r>
    </w:p>
    <w:p>
      <w:pPr>
        <w:jc w:val="center"/>
        <w:rPr>
          <w:color w:val="auto"/>
        </w:rPr>
        <w:sectPr>
          <w:type w:val="continuous"/>
          <w:pgSz w:w="11910" w:h="16840"/>
          <w:pgMar w:top="1417" w:right="1020" w:bottom="1417" w:left="964" w:header="720" w:footer="720" w:gutter="0"/>
          <w:pgNumType w:fmt="decimal"/>
          <w:cols w:space="720" w:num="1"/>
        </w:sectPr>
      </w:pPr>
      <w:r>
        <w:rPr>
          <w:rFonts w:hint="eastAsia"/>
          <w:b/>
          <w:bCs/>
          <w:color w:val="auto"/>
          <w:sz w:val="40"/>
          <w:szCs w:val="40"/>
          <w:lang w:eastAsia="zh-CN"/>
        </w:rPr>
        <w:t>202</w:t>
      </w:r>
      <w:r>
        <w:rPr>
          <w:rFonts w:hint="eastAsia"/>
          <w:b/>
          <w:bCs/>
          <w:color w:val="auto"/>
          <w:sz w:val="40"/>
          <w:szCs w:val="40"/>
          <w:lang w:val="en-US" w:eastAsia="zh-CN"/>
        </w:rPr>
        <w:t>4</w:t>
      </w:r>
      <w:r>
        <w:rPr>
          <w:rFonts w:hint="eastAsia"/>
          <w:b/>
          <w:bCs/>
          <w:color w:val="auto"/>
          <w:sz w:val="40"/>
          <w:szCs w:val="40"/>
          <w:lang w:eastAsia="zh-CN"/>
        </w:rPr>
        <w:t>年</w:t>
      </w:r>
      <w:r>
        <w:rPr>
          <w:rFonts w:hint="eastAsia"/>
          <w:b/>
          <w:bCs/>
          <w:color w:val="auto"/>
          <w:sz w:val="40"/>
          <w:szCs w:val="40"/>
          <w:lang w:val="en-US" w:eastAsia="zh-CN"/>
        </w:rPr>
        <w:t>5</w:t>
      </w:r>
      <w:r>
        <w:rPr>
          <w:rFonts w:hint="eastAsia"/>
          <w:b/>
          <w:bCs/>
          <w:color w:val="auto"/>
          <w:sz w:val="40"/>
          <w:szCs w:val="40"/>
          <w:lang w:eastAsia="zh-CN"/>
        </w:rPr>
        <w:t>月</w:t>
      </w:r>
    </w:p>
    <w:p>
      <w:pPr>
        <w:spacing w:before="0" w:after="0" w:line="240" w:lineRule="auto"/>
        <w:ind w:left="0" w:leftChars="0" w:right="0" w:firstLine="0" w:firstLineChars="0"/>
        <w:jc w:val="center"/>
        <w:rPr>
          <w:color w:val="auto"/>
        </w:rPr>
      </w:pPr>
      <w:r>
        <w:rPr>
          <w:rFonts w:ascii="宋体" w:hAnsi="宋体" w:eastAsia="宋体"/>
          <w:color w:val="auto"/>
          <w:sz w:val="21"/>
        </w:rPr>
        <w:t>目录</w:t>
      </w:r>
      <w:r>
        <w:rPr>
          <w:color w:val="auto"/>
        </w:rPr>
        <w:fldChar w:fldCharType="begin"/>
      </w:r>
      <w:r>
        <w:rPr>
          <w:color w:val="auto"/>
        </w:rPr>
        <w:instrText xml:space="preserve">TOC \o "1-2" \h \u </w:instrText>
      </w:r>
      <w:r>
        <w:rPr>
          <w:color w:val="auto"/>
        </w:rPr>
        <w:fldChar w:fldCharType="separate"/>
      </w:r>
    </w:p>
    <w:p>
      <w:pPr>
        <w:pStyle w:val="17"/>
        <w:tabs>
          <w:tab w:val="right" w:leader="dot" w:pos="10150"/>
        </w:tabs>
        <w:rPr>
          <w:color w:val="auto"/>
        </w:rPr>
      </w:pPr>
      <w:r>
        <w:rPr>
          <w:color w:val="auto"/>
        </w:rPr>
        <w:fldChar w:fldCharType="begin"/>
      </w:r>
      <w:r>
        <w:rPr>
          <w:color w:val="auto"/>
        </w:rPr>
        <w:instrText xml:space="preserve"> HYPERLINK \l _Toc5263 </w:instrText>
      </w:r>
      <w:r>
        <w:rPr>
          <w:color w:val="auto"/>
        </w:rPr>
        <w:fldChar w:fldCharType="separate"/>
      </w:r>
      <w:r>
        <w:rPr>
          <w:bCs/>
          <w:color w:val="auto"/>
        </w:rPr>
        <w:t>第一部分</w:t>
      </w:r>
      <w:r>
        <w:rPr>
          <w:rFonts w:hint="eastAsia"/>
          <w:bCs/>
          <w:color w:val="auto"/>
          <w:lang w:val="en-US" w:eastAsia="zh-CN"/>
        </w:rPr>
        <w:t xml:space="preserve"> </w:t>
      </w:r>
      <w:r>
        <w:rPr>
          <w:bCs/>
          <w:color w:val="auto"/>
        </w:rPr>
        <w:t>竞争性磋商公告</w:t>
      </w:r>
      <w:r>
        <w:rPr>
          <w:color w:val="auto"/>
        </w:rPr>
        <w:tab/>
      </w:r>
      <w:r>
        <w:rPr>
          <w:color w:val="auto"/>
        </w:rPr>
        <w:fldChar w:fldCharType="begin"/>
      </w:r>
      <w:r>
        <w:rPr>
          <w:color w:val="auto"/>
        </w:rPr>
        <w:instrText xml:space="preserve"> PAGEREF _Toc5263 \h </w:instrText>
      </w:r>
      <w:r>
        <w:rPr>
          <w:color w:val="auto"/>
        </w:rPr>
        <w:fldChar w:fldCharType="separate"/>
      </w:r>
      <w:r>
        <w:rPr>
          <w:color w:val="auto"/>
        </w:rPr>
        <w:t>3</w:t>
      </w:r>
      <w:r>
        <w:rPr>
          <w:color w:val="auto"/>
        </w:rPr>
        <w:fldChar w:fldCharType="end"/>
      </w:r>
      <w:r>
        <w:rPr>
          <w:color w:val="auto"/>
        </w:rPr>
        <w:fldChar w:fldCharType="end"/>
      </w:r>
    </w:p>
    <w:p>
      <w:pPr>
        <w:pStyle w:val="17"/>
        <w:tabs>
          <w:tab w:val="right" w:pos="2400"/>
          <w:tab w:val="right" w:leader="dot" w:pos="10150"/>
        </w:tabs>
        <w:rPr>
          <w:color w:val="auto"/>
        </w:rPr>
      </w:pPr>
      <w:r>
        <w:rPr>
          <w:color w:val="auto"/>
        </w:rPr>
        <w:fldChar w:fldCharType="begin"/>
      </w:r>
      <w:r>
        <w:rPr>
          <w:color w:val="auto"/>
        </w:rPr>
        <w:instrText xml:space="preserve"> HYPERLINK \l _Toc25278 </w:instrText>
      </w:r>
      <w:r>
        <w:rPr>
          <w:color w:val="auto"/>
        </w:rPr>
        <w:fldChar w:fldCharType="separate"/>
      </w:r>
      <w:r>
        <w:rPr>
          <w:rFonts w:hint="eastAsia"/>
          <w:color w:val="auto"/>
        </w:rPr>
        <w:t>第二部分</w:t>
      </w:r>
      <w:r>
        <w:rPr>
          <w:rFonts w:hint="eastAsia"/>
          <w:color w:val="auto"/>
        </w:rPr>
        <w:tab/>
      </w:r>
      <w:r>
        <w:rPr>
          <w:rFonts w:hint="eastAsia"/>
          <w:color w:val="auto"/>
        </w:rPr>
        <w:t>供应商须知</w:t>
      </w:r>
      <w:r>
        <w:rPr>
          <w:color w:val="auto"/>
        </w:rPr>
        <w:tab/>
      </w:r>
      <w:r>
        <w:rPr>
          <w:color w:val="auto"/>
        </w:rPr>
        <w:fldChar w:fldCharType="begin"/>
      </w:r>
      <w:r>
        <w:rPr>
          <w:color w:val="auto"/>
        </w:rPr>
        <w:instrText xml:space="preserve"> PAGEREF _Toc25278 \h </w:instrText>
      </w:r>
      <w:r>
        <w:rPr>
          <w:color w:val="auto"/>
        </w:rPr>
        <w:fldChar w:fldCharType="separate"/>
      </w:r>
      <w:r>
        <w:rPr>
          <w:color w:val="auto"/>
        </w:rPr>
        <w:t>3</w:t>
      </w:r>
      <w:r>
        <w:rPr>
          <w:color w:val="auto"/>
        </w:rPr>
        <w:fldChar w:fldCharType="end"/>
      </w:r>
      <w:r>
        <w:rPr>
          <w:color w:val="auto"/>
        </w:rPr>
        <w:fldChar w:fldCharType="end"/>
      </w:r>
    </w:p>
    <w:p>
      <w:pPr>
        <w:pStyle w:val="17"/>
        <w:tabs>
          <w:tab w:val="right" w:pos="2400"/>
          <w:tab w:val="right" w:leader="dot" w:pos="10150"/>
        </w:tabs>
        <w:rPr>
          <w:color w:val="auto"/>
        </w:rPr>
      </w:pPr>
      <w:r>
        <w:rPr>
          <w:color w:val="auto"/>
        </w:rPr>
        <w:fldChar w:fldCharType="begin"/>
      </w:r>
      <w:r>
        <w:rPr>
          <w:color w:val="auto"/>
        </w:rPr>
        <w:instrText xml:space="preserve"> HYPERLINK \l _Toc11661 </w:instrText>
      </w:r>
      <w:r>
        <w:rPr>
          <w:color w:val="auto"/>
        </w:rPr>
        <w:fldChar w:fldCharType="separate"/>
      </w:r>
      <w:r>
        <w:rPr>
          <w:rFonts w:hint="eastAsia"/>
          <w:color w:val="auto"/>
        </w:rPr>
        <w:t>第三部分</w:t>
      </w:r>
      <w:r>
        <w:rPr>
          <w:rFonts w:hint="eastAsia"/>
          <w:color w:val="auto"/>
        </w:rPr>
        <w:tab/>
      </w:r>
      <w:r>
        <w:rPr>
          <w:rFonts w:hint="eastAsia"/>
          <w:color w:val="auto"/>
        </w:rPr>
        <w:t>供应商须知正文部分</w:t>
      </w:r>
      <w:r>
        <w:rPr>
          <w:color w:val="auto"/>
        </w:rPr>
        <w:tab/>
      </w:r>
      <w:r>
        <w:rPr>
          <w:color w:val="auto"/>
        </w:rPr>
        <w:fldChar w:fldCharType="begin"/>
      </w:r>
      <w:r>
        <w:rPr>
          <w:color w:val="auto"/>
        </w:rPr>
        <w:instrText xml:space="preserve"> PAGEREF _Toc11661 \h </w:instrText>
      </w:r>
      <w:r>
        <w:rPr>
          <w:color w:val="auto"/>
        </w:rPr>
        <w:fldChar w:fldCharType="separate"/>
      </w:r>
      <w:r>
        <w:rPr>
          <w:color w:val="auto"/>
        </w:rPr>
        <w:t>23</w:t>
      </w:r>
      <w:r>
        <w:rPr>
          <w:color w:val="auto"/>
        </w:rPr>
        <w:fldChar w:fldCharType="end"/>
      </w:r>
      <w:r>
        <w:rPr>
          <w:color w:val="auto"/>
        </w:rPr>
        <w:fldChar w:fldCharType="end"/>
      </w:r>
    </w:p>
    <w:p>
      <w:pPr>
        <w:pStyle w:val="17"/>
        <w:tabs>
          <w:tab w:val="right" w:pos="2400"/>
          <w:tab w:val="right" w:leader="dot" w:pos="10150"/>
        </w:tabs>
        <w:rPr>
          <w:color w:val="auto"/>
        </w:rPr>
      </w:pPr>
      <w:r>
        <w:rPr>
          <w:color w:val="auto"/>
        </w:rPr>
        <w:fldChar w:fldCharType="begin"/>
      </w:r>
      <w:r>
        <w:rPr>
          <w:color w:val="auto"/>
        </w:rPr>
        <w:instrText xml:space="preserve"> HYPERLINK \l _Toc14137 </w:instrText>
      </w:r>
      <w:r>
        <w:rPr>
          <w:color w:val="auto"/>
        </w:rPr>
        <w:fldChar w:fldCharType="separate"/>
      </w:r>
      <w:r>
        <w:rPr>
          <w:rFonts w:hint="eastAsia"/>
          <w:color w:val="auto"/>
        </w:rPr>
        <w:t>第四部分</w:t>
      </w:r>
      <w:r>
        <w:rPr>
          <w:rFonts w:hint="eastAsia"/>
          <w:color w:val="auto"/>
        </w:rPr>
        <w:tab/>
      </w:r>
      <w:r>
        <w:rPr>
          <w:rFonts w:hint="eastAsia"/>
          <w:color w:val="auto"/>
        </w:rPr>
        <w:t>合同格式</w:t>
      </w:r>
      <w:r>
        <w:rPr>
          <w:color w:val="auto"/>
        </w:rPr>
        <w:tab/>
      </w:r>
      <w:r>
        <w:rPr>
          <w:color w:val="auto"/>
        </w:rPr>
        <w:fldChar w:fldCharType="begin"/>
      </w:r>
      <w:r>
        <w:rPr>
          <w:color w:val="auto"/>
        </w:rPr>
        <w:instrText xml:space="preserve"> PAGEREF _Toc14137 \h </w:instrText>
      </w:r>
      <w:r>
        <w:rPr>
          <w:color w:val="auto"/>
        </w:rPr>
        <w:fldChar w:fldCharType="separate"/>
      </w:r>
      <w:r>
        <w:rPr>
          <w:b/>
        </w:rPr>
        <w:t>错误！未定义书签。</w:t>
      </w:r>
      <w:r>
        <w:rPr>
          <w:color w:val="auto"/>
        </w:rPr>
        <w:fldChar w:fldCharType="end"/>
      </w:r>
      <w:r>
        <w:rPr>
          <w:color w:val="auto"/>
        </w:rPr>
        <w:fldChar w:fldCharType="end"/>
      </w:r>
    </w:p>
    <w:p>
      <w:pPr>
        <w:pStyle w:val="17"/>
        <w:tabs>
          <w:tab w:val="right" w:leader="dot" w:pos="10150"/>
        </w:tabs>
        <w:rPr>
          <w:color w:val="auto"/>
        </w:rPr>
      </w:pPr>
      <w:r>
        <w:rPr>
          <w:color w:val="auto"/>
        </w:rPr>
        <w:fldChar w:fldCharType="begin"/>
      </w:r>
      <w:r>
        <w:rPr>
          <w:color w:val="auto"/>
        </w:rPr>
        <w:instrText xml:space="preserve"> HYPERLINK \l _Toc32088 </w:instrText>
      </w:r>
      <w:r>
        <w:rPr>
          <w:color w:val="auto"/>
        </w:rPr>
        <w:fldChar w:fldCharType="separate"/>
      </w:r>
      <w:r>
        <w:rPr>
          <w:color w:val="auto"/>
          <w:spacing w:val="0"/>
          <w:w w:val="100"/>
          <w:position w:val="0"/>
        </w:rPr>
        <w:t>第一节通用合同条款</w:t>
      </w:r>
      <w:r>
        <w:rPr>
          <w:color w:val="auto"/>
        </w:rPr>
        <w:tab/>
      </w:r>
      <w:r>
        <w:rPr>
          <w:color w:val="auto"/>
        </w:rPr>
        <w:fldChar w:fldCharType="begin"/>
      </w:r>
      <w:r>
        <w:rPr>
          <w:color w:val="auto"/>
        </w:rPr>
        <w:instrText xml:space="preserve"> PAGEREF _Toc32088 \h </w:instrText>
      </w:r>
      <w:r>
        <w:rPr>
          <w:color w:val="auto"/>
        </w:rPr>
        <w:fldChar w:fldCharType="separate"/>
      </w:r>
      <w:r>
        <w:rPr>
          <w:b/>
        </w:rPr>
        <w:t>错误！未定义书签。</w:t>
      </w:r>
      <w:r>
        <w:rPr>
          <w:color w:val="auto"/>
        </w:rPr>
        <w:fldChar w:fldCharType="end"/>
      </w:r>
      <w:r>
        <w:rPr>
          <w:color w:val="auto"/>
        </w:rPr>
        <w:fldChar w:fldCharType="end"/>
      </w:r>
    </w:p>
    <w:p>
      <w:pPr>
        <w:pStyle w:val="17"/>
        <w:tabs>
          <w:tab w:val="right" w:leader="dot" w:pos="10150"/>
        </w:tabs>
        <w:rPr>
          <w:color w:val="auto"/>
        </w:rPr>
      </w:pPr>
      <w:r>
        <w:rPr>
          <w:color w:val="auto"/>
        </w:rPr>
        <w:fldChar w:fldCharType="begin"/>
      </w:r>
      <w:r>
        <w:rPr>
          <w:color w:val="auto"/>
        </w:rPr>
        <w:instrText xml:space="preserve"> HYPERLINK \l _Toc23875 </w:instrText>
      </w:r>
      <w:r>
        <w:rPr>
          <w:color w:val="auto"/>
        </w:rPr>
        <w:fldChar w:fldCharType="separate"/>
      </w:r>
      <w:r>
        <w:rPr>
          <w:color w:val="auto"/>
          <w:spacing w:val="0"/>
          <w:w w:val="100"/>
          <w:position w:val="0"/>
        </w:rPr>
        <w:t>第二节专用合同条款略</w:t>
      </w:r>
      <w:r>
        <w:rPr>
          <w:color w:val="auto"/>
        </w:rPr>
        <w:tab/>
      </w:r>
      <w:r>
        <w:rPr>
          <w:color w:val="auto"/>
        </w:rPr>
        <w:fldChar w:fldCharType="begin"/>
      </w:r>
      <w:r>
        <w:rPr>
          <w:color w:val="auto"/>
        </w:rPr>
        <w:instrText xml:space="preserve"> PAGEREF _Toc23875 \h </w:instrText>
      </w:r>
      <w:r>
        <w:rPr>
          <w:color w:val="auto"/>
        </w:rPr>
        <w:fldChar w:fldCharType="separate"/>
      </w:r>
      <w:r>
        <w:rPr>
          <w:b/>
        </w:rPr>
        <w:t>错误！未定义书签。</w:t>
      </w:r>
      <w:r>
        <w:rPr>
          <w:color w:val="auto"/>
        </w:rPr>
        <w:fldChar w:fldCharType="end"/>
      </w:r>
      <w:r>
        <w:rPr>
          <w:color w:val="auto"/>
        </w:rPr>
        <w:fldChar w:fldCharType="end"/>
      </w:r>
    </w:p>
    <w:p>
      <w:pPr>
        <w:pStyle w:val="17"/>
        <w:tabs>
          <w:tab w:val="right" w:pos="2400"/>
          <w:tab w:val="right" w:leader="dot" w:pos="10150"/>
        </w:tabs>
        <w:rPr>
          <w:color w:val="auto"/>
        </w:rPr>
      </w:pPr>
      <w:r>
        <w:rPr>
          <w:color w:val="auto"/>
        </w:rPr>
        <w:fldChar w:fldCharType="begin"/>
      </w:r>
      <w:r>
        <w:rPr>
          <w:color w:val="auto"/>
        </w:rPr>
        <w:instrText xml:space="preserve"> HYPERLINK \l _Toc21407 </w:instrText>
      </w:r>
      <w:r>
        <w:rPr>
          <w:color w:val="auto"/>
        </w:rPr>
        <w:fldChar w:fldCharType="separate"/>
      </w:r>
      <w:r>
        <w:rPr>
          <w:rFonts w:hint="eastAsia"/>
          <w:color w:val="auto"/>
        </w:rPr>
        <w:t>第五部分</w:t>
      </w:r>
      <w:r>
        <w:rPr>
          <w:rFonts w:hint="eastAsia"/>
          <w:color w:val="auto"/>
        </w:rPr>
        <w:tab/>
      </w:r>
      <w:r>
        <w:rPr>
          <w:rFonts w:hint="eastAsia"/>
          <w:color w:val="auto"/>
          <w:lang w:val="en-US" w:eastAsia="zh-CN"/>
        </w:rPr>
        <w:t>磋商</w:t>
      </w:r>
      <w:r>
        <w:rPr>
          <w:rFonts w:hint="eastAsia"/>
          <w:color w:val="auto"/>
        </w:rPr>
        <w:t>响应文件格式</w:t>
      </w:r>
      <w:r>
        <w:rPr>
          <w:color w:val="auto"/>
        </w:rPr>
        <w:tab/>
      </w:r>
      <w:r>
        <w:rPr>
          <w:color w:val="auto"/>
        </w:rPr>
        <w:fldChar w:fldCharType="begin"/>
      </w:r>
      <w:r>
        <w:rPr>
          <w:color w:val="auto"/>
        </w:rPr>
        <w:instrText xml:space="preserve"> PAGEREF _Toc21407 \h </w:instrText>
      </w:r>
      <w:r>
        <w:rPr>
          <w:color w:val="auto"/>
        </w:rPr>
        <w:fldChar w:fldCharType="separate"/>
      </w:r>
      <w:r>
        <w:rPr>
          <w:color w:val="auto"/>
        </w:rPr>
        <w:t>1</w:t>
      </w:r>
      <w:r>
        <w:rPr>
          <w:color w:val="auto"/>
        </w:rPr>
        <w:fldChar w:fldCharType="end"/>
      </w:r>
      <w:r>
        <w:rPr>
          <w:color w:val="auto"/>
        </w:rPr>
        <w:fldChar w:fldCharType="end"/>
      </w:r>
    </w:p>
    <w:p>
      <w:pPr>
        <w:pStyle w:val="16"/>
        <w:tabs>
          <w:tab w:val="right" w:leader="dot" w:pos="10150"/>
        </w:tabs>
        <w:rPr>
          <w:color w:val="auto"/>
        </w:rPr>
      </w:pPr>
      <w:r>
        <w:rPr>
          <w:color w:val="auto"/>
        </w:rPr>
        <w:fldChar w:fldCharType="begin"/>
      </w:r>
      <w:r>
        <w:rPr>
          <w:color w:val="auto"/>
        </w:rPr>
        <w:instrText xml:space="preserve"> HYPERLINK \l _Toc26469 </w:instrText>
      </w:r>
      <w:r>
        <w:rPr>
          <w:color w:val="auto"/>
        </w:rPr>
        <w:fldChar w:fldCharType="separate"/>
      </w:r>
      <w:r>
        <w:rPr>
          <w:color w:val="auto"/>
        </w:rPr>
        <w:t>竞争性磋商响应文件</w:t>
      </w:r>
      <w:r>
        <w:rPr>
          <w:color w:val="auto"/>
        </w:rPr>
        <w:tab/>
      </w:r>
      <w:r>
        <w:rPr>
          <w:color w:val="auto"/>
        </w:rPr>
        <w:fldChar w:fldCharType="begin"/>
      </w:r>
      <w:r>
        <w:rPr>
          <w:color w:val="auto"/>
        </w:rPr>
        <w:instrText xml:space="preserve"> PAGEREF _Toc26469 \h </w:instrText>
      </w:r>
      <w:r>
        <w:rPr>
          <w:color w:val="auto"/>
        </w:rPr>
        <w:fldChar w:fldCharType="separate"/>
      </w:r>
      <w:r>
        <w:rPr>
          <w:color w:val="auto"/>
        </w:rPr>
        <w:t>1</w:t>
      </w:r>
      <w:r>
        <w:rPr>
          <w:color w:val="auto"/>
        </w:rPr>
        <w:fldChar w:fldCharType="end"/>
      </w:r>
      <w:r>
        <w:rPr>
          <w:color w:val="auto"/>
        </w:rPr>
        <w:fldChar w:fldCharType="end"/>
      </w:r>
    </w:p>
    <w:p>
      <w:pPr>
        <w:pStyle w:val="16"/>
        <w:tabs>
          <w:tab w:val="right" w:leader="dot" w:pos="10150"/>
        </w:tabs>
        <w:rPr>
          <w:color w:val="auto"/>
        </w:rPr>
      </w:pPr>
      <w:r>
        <w:rPr>
          <w:color w:val="auto"/>
        </w:rPr>
        <w:fldChar w:fldCharType="begin"/>
      </w:r>
      <w:r>
        <w:rPr>
          <w:color w:val="auto"/>
        </w:rPr>
        <w:instrText xml:space="preserve"> HYPERLINK \l _Toc23538 </w:instrText>
      </w:r>
      <w:r>
        <w:rPr>
          <w:color w:val="auto"/>
        </w:rPr>
        <w:fldChar w:fldCharType="separate"/>
      </w:r>
      <w:r>
        <w:rPr>
          <w:color w:val="auto"/>
        </w:rPr>
        <w:t>一、报价函及附录</w:t>
      </w:r>
      <w:r>
        <w:rPr>
          <w:color w:val="auto"/>
        </w:rPr>
        <w:tab/>
      </w:r>
      <w:r>
        <w:rPr>
          <w:color w:val="auto"/>
        </w:rPr>
        <w:fldChar w:fldCharType="begin"/>
      </w:r>
      <w:r>
        <w:rPr>
          <w:color w:val="auto"/>
        </w:rPr>
        <w:instrText xml:space="preserve"> PAGEREF _Toc23538 \h </w:instrText>
      </w:r>
      <w:r>
        <w:rPr>
          <w:color w:val="auto"/>
        </w:rPr>
        <w:fldChar w:fldCharType="separate"/>
      </w:r>
      <w:r>
        <w:rPr>
          <w:color w:val="auto"/>
        </w:rPr>
        <w:t>2</w:t>
      </w:r>
      <w:r>
        <w:rPr>
          <w:color w:val="auto"/>
        </w:rPr>
        <w:fldChar w:fldCharType="end"/>
      </w:r>
      <w:r>
        <w:rPr>
          <w:color w:val="auto"/>
        </w:rPr>
        <w:fldChar w:fldCharType="end"/>
      </w:r>
    </w:p>
    <w:p>
      <w:pPr>
        <w:pStyle w:val="17"/>
        <w:tabs>
          <w:tab w:val="right" w:leader="dot" w:pos="10150"/>
        </w:tabs>
        <w:rPr>
          <w:color w:val="auto"/>
        </w:rPr>
      </w:pPr>
      <w:r>
        <w:rPr>
          <w:color w:val="auto"/>
        </w:rPr>
        <w:fldChar w:fldCharType="begin"/>
      </w:r>
      <w:r>
        <w:rPr>
          <w:color w:val="auto"/>
        </w:rPr>
        <w:instrText xml:space="preserve"> HYPERLINK \l _Toc29018 </w:instrText>
      </w:r>
      <w:r>
        <w:rPr>
          <w:color w:val="auto"/>
        </w:rPr>
        <w:fldChar w:fldCharType="separate"/>
      </w:r>
      <w:r>
        <w:rPr>
          <w:color w:val="auto"/>
        </w:rPr>
        <w:t>（一）报价函</w:t>
      </w:r>
      <w:r>
        <w:rPr>
          <w:color w:val="auto"/>
        </w:rPr>
        <w:tab/>
      </w:r>
      <w:r>
        <w:rPr>
          <w:color w:val="auto"/>
        </w:rPr>
        <w:fldChar w:fldCharType="begin"/>
      </w:r>
      <w:r>
        <w:rPr>
          <w:color w:val="auto"/>
        </w:rPr>
        <w:instrText xml:space="preserve"> PAGEREF _Toc29018 \h </w:instrText>
      </w:r>
      <w:r>
        <w:rPr>
          <w:color w:val="auto"/>
        </w:rPr>
        <w:fldChar w:fldCharType="separate"/>
      </w:r>
      <w:r>
        <w:rPr>
          <w:b/>
        </w:rPr>
        <w:t>错误！未定义书签。</w:t>
      </w:r>
      <w:r>
        <w:rPr>
          <w:color w:val="auto"/>
        </w:rPr>
        <w:fldChar w:fldCharType="end"/>
      </w:r>
      <w:r>
        <w:rPr>
          <w:color w:val="auto"/>
        </w:rPr>
        <w:fldChar w:fldCharType="end"/>
      </w:r>
    </w:p>
    <w:p>
      <w:pPr>
        <w:pStyle w:val="17"/>
        <w:tabs>
          <w:tab w:val="right" w:leader="dot" w:pos="10150"/>
        </w:tabs>
        <w:rPr>
          <w:color w:val="auto"/>
        </w:rPr>
      </w:pPr>
      <w:r>
        <w:rPr>
          <w:color w:val="auto"/>
        </w:rPr>
        <w:fldChar w:fldCharType="begin"/>
      </w:r>
      <w:r>
        <w:rPr>
          <w:color w:val="auto"/>
        </w:rPr>
        <w:instrText xml:space="preserve"> HYPERLINK \l _Toc4075 </w:instrText>
      </w:r>
      <w:r>
        <w:rPr>
          <w:color w:val="auto"/>
        </w:rPr>
        <w:fldChar w:fldCharType="separate"/>
      </w:r>
      <w:r>
        <w:rPr>
          <w:color w:val="auto"/>
        </w:rPr>
        <w:t>（二）磋商报价表</w:t>
      </w:r>
      <w:r>
        <w:rPr>
          <w:color w:val="auto"/>
        </w:rPr>
        <w:tab/>
      </w:r>
      <w:r>
        <w:rPr>
          <w:color w:val="auto"/>
        </w:rPr>
        <w:fldChar w:fldCharType="begin"/>
      </w:r>
      <w:r>
        <w:rPr>
          <w:color w:val="auto"/>
        </w:rPr>
        <w:instrText xml:space="preserve"> PAGEREF _Toc4075 \h </w:instrText>
      </w:r>
      <w:r>
        <w:rPr>
          <w:color w:val="auto"/>
        </w:rPr>
        <w:fldChar w:fldCharType="separate"/>
      </w:r>
      <w:r>
        <w:rPr>
          <w:color w:val="auto"/>
        </w:rPr>
        <w:t>3</w:t>
      </w:r>
      <w:r>
        <w:rPr>
          <w:color w:val="auto"/>
        </w:rPr>
        <w:fldChar w:fldCharType="end"/>
      </w:r>
      <w:r>
        <w:rPr>
          <w:color w:val="auto"/>
        </w:rPr>
        <w:fldChar w:fldCharType="end"/>
      </w:r>
    </w:p>
    <w:p>
      <w:pPr>
        <w:pStyle w:val="16"/>
        <w:tabs>
          <w:tab w:val="right" w:leader="dot" w:pos="10150"/>
        </w:tabs>
        <w:rPr>
          <w:color w:val="auto"/>
        </w:rPr>
      </w:pPr>
      <w:r>
        <w:rPr>
          <w:color w:val="auto"/>
        </w:rPr>
        <w:fldChar w:fldCharType="begin"/>
      </w:r>
      <w:r>
        <w:rPr>
          <w:color w:val="auto"/>
        </w:rPr>
        <w:instrText xml:space="preserve"> HYPERLINK \l _Toc12302 </w:instrText>
      </w:r>
      <w:r>
        <w:rPr>
          <w:color w:val="auto"/>
        </w:rPr>
        <w:fldChar w:fldCharType="separate"/>
      </w:r>
      <w:r>
        <w:rPr>
          <w:color w:val="auto"/>
        </w:rPr>
        <w:t>二、法定代表身份证明</w:t>
      </w:r>
      <w:r>
        <w:rPr>
          <w:color w:val="auto"/>
        </w:rPr>
        <w:tab/>
      </w:r>
      <w:r>
        <w:rPr>
          <w:color w:val="auto"/>
        </w:rPr>
        <w:fldChar w:fldCharType="begin"/>
      </w:r>
      <w:r>
        <w:rPr>
          <w:color w:val="auto"/>
        </w:rPr>
        <w:instrText xml:space="preserve"> PAGEREF _Toc12302 \h </w:instrText>
      </w:r>
      <w:r>
        <w:rPr>
          <w:color w:val="auto"/>
        </w:rPr>
        <w:fldChar w:fldCharType="separate"/>
      </w:r>
      <w:r>
        <w:rPr>
          <w:color w:val="auto"/>
        </w:rPr>
        <w:t>4</w:t>
      </w:r>
      <w:r>
        <w:rPr>
          <w:color w:val="auto"/>
        </w:rPr>
        <w:fldChar w:fldCharType="end"/>
      </w:r>
      <w:r>
        <w:rPr>
          <w:color w:val="auto"/>
        </w:rPr>
        <w:fldChar w:fldCharType="end"/>
      </w:r>
    </w:p>
    <w:p>
      <w:pPr>
        <w:pStyle w:val="16"/>
        <w:tabs>
          <w:tab w:val="right" w:leader="dot" w:pos="10150"/>
        </w:tabs>
        <w:rPr>
          <w:color w:val="auto"/>
        </w:rPr>
      </w:pPr>
      <w:r>
        <w:rPr>
          <w:color w:val="auto"/>
        </w:rPr>
        <w:fldChar w:fldCharType="begin"/>
      </w:r>
      <w:r>
        <w:rPr>
          <w:color w:val="auto"/>
        </w:rPr>
        <w:instrText xml:space="preserve"> HYPERLINK \l _Toc21392 </w:instrText>
      </w:r>
      <w:r>
        <w:rPr>
          <w:color w:val="auto"/>
        </w:rPr>
        <w:fldChar w:fldCharType="separate"/>
      </w:r>
      <w:r>
        <w:rPr>
          <w:color w:val="auto"/>
        </w:rPr>
        <w:t>三、授权委托书</w:t>
      </w:r>
      <w:r>
        <w:rPr>
          <w:color w:val="auto"/>
        </w:rPr>
        <w:tab/>
      </w:r>
      <w:r>
        <w:rPr>
          <w:color w:val="auto"/>
        </w:rPr>
        <w:fldChar w:fldCharType="begin"/>
      </w:r>
      <w:r>
        <w:rPr>
          <w:color w:val="auto"/>
        </w:rPr>
        <w:instrText xml:space="preserve"> PAGEREF _Toc21392 \h </w:instrText>
      </w:r>
      <w:r>
        <w:rPr>
          <w:color w:val="auto"/>
        </w:rPr>
        <w:fldChar w:fldCharType="separate"/>
      </w:r>
      <w:r>
        <w:rPr>
          <w:color w:val="auto"/>
        </w:rPr>
        <w:t>5</w:t>
      </w:r>
      <w:r>
        <w:rPr>
          <w:color w:val="auto"/>
        </w:rPr>
        <w:fldChar w:fldCharType="end"/>
      </w:r>
      <w:r>
        <w:rPr>
          <w:color w:val="auto"/>
        </w:rPr>
        <w:fldChar w:fldCharType="end"/>
      </w:r>
    </w:p>
    <w:p>
      <w:pPr>
        <w:pStyle w:val="16"/>
        <w:tabs>
          <w:tab w:val="right" w:leader="dot" w:pos="10150"/>
        </w:tabs>
        <w:rPr>
          <w:color w:val="auto"/>
        </w:rPr>
      </w:pPr>
      <w:r>
        <w:rPr>
          <w:color w:val="auto"/>
        </w:rPr>
        <w:fldChar w:fldCharType="begin"/>
      </w:r>
      <w:r>
        <w:rPr>
          <w:color w:val="auto"/>
        </w:rPr>
        <w:instrText xml:space="preserve"> HYPERLINK \l _Toc14073 </w:instrText>
      </w:r>
      <w:r>
        <w:rPr>
          <w:color w:val="auto"/>
        </w:rPr>
        <w:fldChar w:fldCharType="separate"/>
      </w:r>
      <w:r>
        <w:rPr>
          <w:color w:val="auto"/>
        </w:rPr>
        <w:t>四、供应商资格证明文件</w:t>
      </w:r>
      <w:r>
        <w:rPr>
          <w:color w:val="auto"/>
        </w:rPr>
        <w:tab/>
      </w:r>
      <w:r>
        <w:rPr>
          <w:color w:val="auto"/>
        </w:rPr>
        <w:fldChar w:fldCharType="begin"/>
      </w:r>
      <w:r>
        <w:rPr>
          <w:color w:val="auto"/>
        </w:rPr>
        <w:instrText xml:space="preserve"> PAGEREF _Toc14073 \h </w:instrText>
      </w:r>
      <w:r>
        <w:rPr>
          <w:color w:val="auto"/>
        </w:rPr>
        <w:fldChar w:fldCharType="separate"/>
      </w:r>
      <w:r>
        <w:rPr>
          <w:color w:val="auto"/>
        </w:rPr>
        <w:t>6</w:t>
      </w:r>
      <w:r>
        <w:rPr>
          <w:color w:val="auto"/>
        </w:rPr>
        <w:fldChar w:fldCharType="end"/>
      </w:r>
      <w:r>
        <w:rPr>
          <w:color w:val="auto"/>
        </w:rPr>
        <w:fldChar w:fldCharType="end"/>
      </w:r>
    </w:p>
    <w:p>
      <w:pPr>
        <w:pStyle w:val="16"/>
        <w:tabs>
          <w:tab w:val="right" w:leader="dot" w:pos="10150"/>
        </w:tabs>
        <w:rPr>
          <w:color w:val="auto"/>
        </w:rPr>
      </w:pPr>
      <w:r>
        <w:rPr>
          <w:color w:val="auto"/>
        </w:rPr>
        <w:fldChar w:fldCharType="begin"/>
      </w:r>
      <w:r>
        <w:rPr>
          <w:color w:val="auto"/>
        </w:rPr>
        <w:instrText xml:space="preserve"> HYPERLINK \l _Toc21983 </w:instrText>
      </w:r>
      <w:r>
        <w:rPr>
          <w:color w:val="auto"/>
        </w:rPr>
        <w:fldChar w:fldCharType="separate"/>
      </w:r>
      <w:r>
        <w:rPr>
          <w:color w:val="auto"/>
        </w:rPr>
        <w:t>五、项目管理机构</w:t>
      </w:r>
      <w:r>
        <w:rPr>
          <w:color w:val="auto"/>
        </w:rPr>
        <w:tab/>
      </w:r>
      <w:r>
        <w:rPr>
          <w:color w:val="auto"/>
        </w:rPr>
        <w:fldChar w:fldCharType="begin"/>
      </w:r>
      <w:r>
        <w:rPr>
          <w:color w:val="auto"/>
        </w:rPr>
        <w:instrText xml:space="preserve"> PAGEREF _Toc21983 \h </w:instrText>
      </w:r>
      <w:r>
        <w:rPr>
          <w:color w:val="auto"/>
        </w:rPr>
        <w:fldChar w:fldCharType="separate"/>
      </w:r>
      <w:r>
        <w:rPr>
          <w:color w:val="auto"/>
        </w:rPr>
        <w:t>7</w:t>
      </w:r>
      <w:r>
        <w:rPr>
          <w:color w:val="auto"/>
        </w:rPr>
        <w:fldChar w:fldCharType="end"/>
      </w:r>
      <w:r>
        <w:rPr>
          <w:color w:val="auto"/>
        </w:rPr>
        <w:fldChar w:fldCharType="end"/>
      </w:r>
    </w:p>
    <w:p>
      <w:pPr>
        <w:pStyle w:val="17"/>
        <w:tabs>
          <w:tab w:val="right" w:leader="dot" w:pos="10150"/>
        </w:tabs>
        <w:rPr>
          <w:color w:val="auto"/>
        </w:rPr>
      </w:pPr>
      <w:r>
        <w:rPr>
          <w:color w:val="auto"/>
        </w:rPr>
        <w:fldChar w:fldCharType="begin"/>
      </w:r>
      <w:r>
        <w:rPr>
          <w:color w:val="auto"/>
        </w:rPr>
        <w:instrText xml:space="preserve"> HYPERLINK \l _Toc17662 </w:instrText>
      </w:r>
      <w:r>
        <w:rPr>
          <w:color w:val="auto"/>
        </w:rPr>
        <w:fldChar w:fldCharType="separate"/>
      </w:r>
      <w:r>
        <w:rPr>
          <w:color w:val="auto"/>
        </w:rPr>
        <w:t>（一）项目人员组成表</w:t>
      </w:r>
      <w:r>
        <w:rPr>
          <w:color w:val="auto"/>
        </w:rPr>
        <w:tab/>
      </w:r>
      <w:r>
        <w:rPr>
          <w:color w:val="auto"/>
        </w:rPr>
        <w:fldChar w:fldCharType="begin"/>
      </w:r>
      <w:r>
        <w:rPr>
          <w:color w:val="auto"/>
        </w:rPr>
        <w:instrText xml:space="preserve"> PAGEREF _Toc17662 \h </w:instrText>
      </w:r>
      <w:r>
        <w:rPr>
          <w:color w:val="auto"/>
        </w:rPr>
        <w:fldChar w:fldCharType="separate"/>
      </w:r>
      <w:r>
        <w:rPr>
          <w:color w:val="auto"/>
        </w:rPr>
        <w:t>7</w:t>
      </w:r>
      <w:r>
        <w:rPr>
          <w:color w:val="auto"/>
        </w:rPr>
        <w:fldChar w:fldCharType="end"/>
      </w:r>
      <w:r>
        <w:rPr>
          <w:color w:val="auto"/>
        </w:rPr>
        <w:fldChar w:fldCharType="end"/>
      </w:r>
    </w:p>
    <w:p>
      <w:pPr>
        <w:pStyle w:val="17"/>
        <w:tabs>
          <w:tab w:val="right" w:leader="dot" w:pos="10150"/>
        </w:tabs>
        <w:rPr>
          <w:color w:val="auto"/>
        </w:rPr>
      </w:pPr>
      <w:r>
        <w:rPr>
          <w:color w:val="auto"/>
        </w:rPr>
        <w:fldChar w:fldCharType="begin"/>
      </w:r>
      <w:r>
        <w:rPr>
          <w:color w:val="auto"/>
        </w:rPr>
        <w:instrText xml:space="preserve"> HYPERLINK \l _Toc24225 </w:instrText>
      </w:r>
      <w:r>
        <w:rPr>
          <w:color w:val="auto"/>
        </w:rPr>
        <w:fldChar w:fldCharType="separate"/>
      </w:r>
      <w:r>
        <w:rPr>
          <w:color w:val="auto"/>
        </w:rPr>
        <w:t>（二）项目负责人简历表</w:t>
      </w:r>
      <w:r>
        <w:rPr>
          <w:color w:val="auto"/>
        </w:rPr>
        <w:tab/>
      </w:r>
      <w:r>
        <w:rPr>
          <w:color w:val="auto"/>
        </w:rPr>
        <w:fldChar w:fldCharType="begin"/>
      </w:r>
      <w:r>
        <w:rPr>
          <w:color w:val="auto"/>
        </w:rPr>
        <w:instrText xml:space="preserve"> PAGEREF _Toc24225 \h </w:instrText>
      </w:r>
      <w:r>
        <w:rPr>
          <w:color w:val="auto"/>
        </w:rPr>
        <w:fldChar w:fldCharType="separate"/>
      </w:r>
      <w:r>
        <w:rPr>
          <w:color w:val="auto"/>
        </w:rPr>
        <w:t>8</w:t>
      </w:r>
      <w:r>
        <w:rPr>
          <w:color w:val="auto"/>
        </w:rPr>
        <w:fldChar w:fldCharType="end"/>
      </w:r>
      <w:r>
        <w:rPr>
          <w:color w:val="auto"/>
        </w:rPr>
        <w:fldChar w:fldCharType="end"/>
      </w:r>
    </w:p>
    <w:p>
      <w:pPr>
        <w:pStyle w:val="16"/>
        <w:tabs>
          <w:tab w:val="right" w:leader="dot" w:pos="10150"/>
        </w:tabs>
        <w:rPr>
          <w:color w:val="auto"/>
        </w:rPr>
      </w:pPr>
      <w:r>
        <w:rPr>
          <w:color w:val="auto"/>
        </w:rPr>
        <w:fldChar w:fldCharType="begin"/>
      </w:r>
      <w:r>
        <w:rPr>
          <w:color w:val="auto"/>
        </w:rPr>
        <w:instrText xml:space="preserve"> HYPERLINK \l _Toc15718 </w:instrText>
      </w:r>
      <w:r>
        <w:rPr>
          <w:color w:val="auto"/>
        </w:rPr>
        <w:fldChar w:fldCharType="separate"/>
      </w:r>
      <w:r>
        <w:rPr>
          <w:color w:val="auto"/>
        </w:rPr>
        <w:t>六、类似项目业绩</w:t>
      </w:r>
      <w:r>
        <w:rPr>
          <w:color w:val="auto"/>
        </w:rPr>
        <w:tab/>
      </w:r>
      <w:r>
        <w:rPr>
          <w:color w:val="auto"/>
        </w:rPr>
        <w:fldChar w:fldCharType="begin"/>
      </w:r>
      <w:r>
        <w:rPr>
          <w:color w:val="auto"/>
        </w:rPr>
        <w:instrText xml:space="preserve"> PAGEREF _Toc15718 \h </w:instrText>
      </w:r>
      <w:r>
        <w:rPr>
          <w:color w:val="auto"/>
        </w:rPr>
        <w:fldChar w:fldCharType="separate"/>
      </w:r>
      <w:r>
        <w:rPr>
          <w:color w:val="auto"/>
        </w:rPr>
        <w:t>9</w:t>
      </w:r>
      <w:r>
        <w:rPr>
          <w:color w:val="auto"/>
        </w:rPr>
        <w:fldChar w:fldCharType="end"/>
      </w:r>
      <w:r>
        <w:rPr>
          <w:color w:val="auto"/>
        </w:rPr>
        <w:fldChar w:fldCharType="end"/>
      </w:r>
    </w:p>
    <w:p>
      <w:pPr>
        <w:pStyle w:val="16"/>
        <w:tabs>
          <w:tab w:val="right" w:leader="dot" w:pos="10150"/>
        </w:tabs>
        <w:rPr>
          <w:color w:val="auto"/>
        </w:rPr>
      </w:pPr>
      <w:r>
        <w:rPr>
          <w:color w:val="auto"/>
        </w:rPr>
        <w:fldChar w:fldCharType="begin"/>
      </w:r>
      <w:r>
        <w:rPr>
          <w:color w:val="auto"/>
        </w:rPr>
        <w:instrText xml:space="preserve"> HYPERLINK \l _Toc15355 </w:instrText>
      </w:r>
      <w:r>
        <w:rPr>
          <w:color w:val="auto"/>
        </w:rPr>
        <w:fldChar w:fldCharType="separate"/>
      </w:r>
      <w:r>
        <w:rPr>
          <w:color w:val="auto"/>
        </w:rPr>
        <w:t>七、方案编制</w:t>
      </w:r>
      <w:r>
        <w:rPr>
          <w:color w:val="auto"/>
        </w:rPr>
        <w:tab/>
      </w:r>
      <w:r>
        <w:rPr>
          <w:color w:val="auto"/>
        </w:rPr>
        <w:fldChar w:fldCharType="begin"/>
      </w:r>
      <w:r>
        <w:rPr>
          <w:color w:val="auto"/>
        </w:rPr>
        <w:instrText xml:space="preserve"> PAGEREF _Toc15355 \h </w:instrText>
      </w:r>
      <w:r>
        <w:rPr>
          <w:color w:val="auto"/>
        </w:rPr>
        <w:fldChar w:fldCharType="separate"/>
      </w:r>
      <w:r>
        <w:rPr>
          <w:color w:val="auto"/>
        </w:rPr>
        <w:t>10</w:t>
      </w:r>
      <w:r>
        <w:rPr>
          <w:color w:val="auto"/>
        </w:rPr>
        <w:fldChar w:fldCharType="end"/>
      </w:r>
      <w:r>
        <w:rPr>
          <w:color w:val="auto"/>
        </w:rPr>
        <w:fldChar w:fldCharType="end"/>
      </w:r>
    </w:p>
    <w:p>
      <w:pPr>
        <w:pStyle w:val="16"/>
        <w:tabs>
          <w:tab w:val="right" w:leader="dot" w:pos="10150"/>
        </w:tabs>
        <w:rPr>
          <w:color w:val="auto"/>
        </w:rPr>
      </w:pPr>
      <w:r>
        <w:rPr>
          <w:color w:val="auto"/>
        </w:rPr>
        <w:fldChar w:fldCharType="begin"/>
      </w:r>
      <w:r>
        <w:rPr>
          <w:color w:val="auto"/>
        </w:rPr>
        <w:instrText xml:space="preserve"> HYPERLINK \l _Toc21953 </w:instrText>
      </w:r>
      <w:r>
        <w:rPr>
          <w:color w:val="auto"/>
        </w:rPr>
        <w:fldChar w:fldCharType="separate"/>
      </w:r>
      <w:r>
        <w:rPr>
          <w:color w:val="auto"/>
        </w:rPr>
        <w:t>八、供应商认为需提交的其他材料</w:t>
      </w:r>
      <w:r>
        <w:rPr>
          <w:color w:val="auto"/>
        </w:rPr>
        <w:tab/>
      </w:r>
      <w:r>
        <w:rPr>
          <w:color w:val="auto"/>
        </w:rPr>
        <w:fldChar w:fldCharType="begin"/>
      </w:r>
      <w:r>
        <w:rPr>
          <w:color w:val="auto"/>
        </w:rPr>
        <w:instrText xml:space="preserve"> PAGEREF _Toc21953 \h </w:instrText>
      </w:r>
      <w:r>
        <w:rPr>
          <w:color w:val="auto"/>
        </w:rPr>
        <w:fldChar w:fldCharType="separate"/>
      </w:r>
      <w:r>
        <w:rPr>
          <w:color w:val="auto"/>
        </w:rPr>
        <w:t>10</w:t>
      </w:r>
      <w:r>
        <w:rPr>
          <w:color w:val="auto"/>
        </w:rPr>
        <w:fldChar w:fldCharType="end"/>
      </w:r>
      <w:r>
        <w:rPr>
          <w:color w:val="auto"/>
        </w:rPr>
        <w:fldChar w:fldCharType="end"/>
      </w:r>
    </w:p>
    <w:p>
      <w:pPr>
        <w:pStyle w:val="17"/>
        <w:tabs>
          <w:tab w:val="right" w:pos="2400"/>
          <w:tab w:val="right" w:leader="dot" w:pos="10150"/>
        </w:tabs>
        <w:rPr>
          <w:color w:val="auto"/>
        </w:rPr>
      </w:pPr>
      <w:r>
        <w:rPr>
          <w:color w:val="auto"/>
        </w:rPr>
        <w:fldChar w:fldCharType="begin"/>
      </w:r>
      <w:r>
        <w:rPr>
          <w:color w:val="auto"/>
        </w:rPr>
        <w:instrText xml:space="preserve"> HYPERLINK \l _Toc21842 </w:instrText>
      </w:r>
      <w:r>
        <w:rPr>
          <w:color w:val="auto"/>
        </w:rPr>
        <w:fldChar w:fldCharType="separate"/>
      </w:r>
      <w:r>
        <w:rPr>
          <w:color w:val="auto"/>
        </w:rPr>
        <w:t>第</w:t>
      </w:r>
      <w:r>
        <w:rPr>
          <w:rFonts w:hint="eastAsia"/>
          <w:color w:val="auto"/>
          <w:lang w:val="en-US" w:eastAsia="zh-CN"/>
        </w:rPr>
        <w:t>六部分</w:t>
      </w:r>
      <w:r>
        <w:rPr>
          <w:color w:val="auto"/>
        </w:rPr>
        <w:tab/>
      </w:r>
      <w:r>
        <w:rPr>
          <w:rFonts w:hint="eastAsia"/>
          <w:color w:val="auto"/>
          <w:lang w:val="en-US" w:eastAsia="zh-CN"/>
        </w:rPr>
        <w:t>参考</w:t>
      </w:r>
      <w:r>
        <w:rPr>
          <w:color w:val="auto"/>
        </w:rPr>
        <w:t>附件</w:t>
      </w:r>
      <w:r>
        <w:rPr>
          <w:color w:val="auto"/>
        </w:rPr>
        <w:tab/>
      </w:r>
      <w:r>
        <w:rPr>
          <w:color w:val="auto"/>
        </w:rPr>
        <w:fldChar w:fldCharType="begin"/>
      </w:r>
      <w:r>
        <w:rPr>
          <w:color w:val="auto"/>
        </w:rPr>
        <w:instrText xml:space="preserve"> PAGEREF _Toc21842 \h </w:instrText>
      </w:r>
      <w:r>
        <w:rPr>
          <w:color w:val="auto"/>
        </w:rPr>
        <w:fldChar w:fldCharType="separate"/>
      </w:r>
      <w:r>
        <w:rPr>
          <w:color w:val="auto"/>
        </w:rPr>
        <w:t>13</w:t>
      </w:r>
      <w:r>
        <w:rPr>
          <w:color w:val="auto"/>
        </w:rPr>
        <w:fldChar w:fldCharType="end"/>
      </w:r>
      <w:r>
        <w:rPr>
          <w:color w:val="auto"/>
        </w:rPr>
        <w:fldChar w:fldCharType="end"/>
      </w:r>
    </w:p>
    <w:p>
      <w:pPr>
        <w:pStyle w:val="16"/>
        <w:tabs>
          <w:tab w:val="right" w:leader="dot" w:pos="10150"/>
        </w:tabs>
        <w:rPr>
          <w:color w:val="auto"/>
        </w:rPr>
      </w:pPr>
      <w:r>
        <w:rPr>
          <w:color w:val="auto"/>
        </w:rPr>
        <w:fldChar w:fldCharType="begin"/>
      </w:r>
      <w:r>
        <w:rPr>
          <w:color w:val="auto"/>
        </w:rPr>
        <w:instrText xml:space="preserve"> HYPERLINK \l _Toc1959 </w:instrText>
      </w:r>
      <w:r>
        <w:rPr>
          <w:color w:val="auto"/>
        </w:rPr>
        <w:fldChar w:fldCharType="separate"/>
      </w:r>
      <w:r>
        <w:rPr>
          <w:color w:val="auto"/>
        </w:rPr>
        <w:t>附件一</w:t>
      </w:r>
      <w:r>
        <w:rPr>
          <w:color w:val="auto"/>
        </w:rPr>
        <w:tab/>
      </w:r>
      <w:r>
        <w:rPr>
          <w:color w:val="auto"/>
        </w:rPr>
        <w:fldChar w:fldCharType="begin"/>
      </w:r>
      <w:r>
        <w:rPr>
          <w:color w:val="auto"/>
        </w:rPr>
        <w:instrText xml:space="preserve"> PAGEREF _Toc1959 \h </w:instrText>
      </w:r>
      <w:r>
        <w:rPr>
          <w:color w:val="auto"/>
        </w:rPr>
        <w:fldChar w:fldCharType="separate"/>
      </w:r>
      <w:r>
        <w:rPr>
          <w:color w:val="auto"/>
        </w:rPr>
        <w:t>15</w:t>
      </w:r>
      <w:r>
        <w:rPr>
          <w:color w:val="auto"/>
        </w:rPr>
        <w:fldChar w:fldCharType="end"/>
      </w:r>
      <w:r>
        <w:rPr>
          <w:color w:val="auto"/>
        </w:rPr>
        <w:fldChar w:fldCharType="end"/>
      </w:r>
    </w:p>
    <w:p>
      <w:pPr>
        <w:pStyle w:val="16"/>
        <w:tabs>
          <w:tab w:val="right" w:leader="dot" w:pos="10150"/>
        </w:tabs>
        <w:rPr>
          <w:color w:val="auto"/>
        </w:rPr>
      </w:pPr>
      <w:r>
        <w:rPr>
          <w:color w:val="auto"/>
        </w:rPr>
        <w:fldChar w:fldCharType="begin"/>
      </w:r>
      <w:r>
        <w:rPr>
          <w:color w:val="auto"/>
        </w:rPr>
        <w:instrText xml:space="preserve"> HYPERLINK \l _Toc22139 </w:instrText>
      </w:r>
      <w:r>
        <w:rPr>
          <w:color w:val="auto"/>
        </w:rPr>
        <w:fldChar w:fldCharType="separate"/>
      </w:r>
      <w:r>
        <w:rPr>
          <w:color w:val="auto"/>
        </w:rPr>
        <w:t>附件二</w:t>
      </w:r>
      <w:r>
        <w:rPr>
          <w:color w:val="auto"/>
        </w:rPr>
        <w:tab/>
      </w:r>
      <w:r>
        <w:rPr>
          <w:color w:val="auto"/>
        </w:rPr>
        <w:fldChar w:fldCharType="begin"/>
      </w:r>
      <w:r>
        <w:rPr>
          <w:color w:val="auto"/>
        </w:rPr>
        <w:instrText xml:space="preserve"> PAGEREF _Toc22139 \h </w:instrText>
      </w:r>
      <w:r>
        <w:rPr>
          <w:color w:val="auto"/>
        </w:rPr>
        <w:fldChar w:fldCharType="separate"/>
      </w:r>
      <w:r>
        <w:rPr>
          <w:color w:val="auto"/>
        </w:rPr>
        <w:t>15</w:t>
      </w:r>
      <w:r>
        <w:rPr>
          <w:color w:val="auto"/>
        </w:rPr>
        <w:fldChar w:fldCharType="end"/>
      </w:r>
      <w:r>
        <w:rPr>
          <w:color w:val="auto"/>
        </w:rPr>
        <w:fldChar w:fldCharType="end"/>
      </w:r>
    </w:p>
    <w:p>
      <w:pPr>
        <w:pStyle w:val="16"/>
        <w:tabs>
          <w:tab w:val="right" w:leader="dot" w:pos="10150"/>
        </w:tabs>
        <w:rPr>
          <w:color w:val="auto"/>
        </w:rPr>
      </w:pPr>
      <w:r>
        <w:rPr>
          <w:color w:val="auto"/>
        </w:rPr>
        <w:fldChar w:fldCharType="begin"/>
      </w:r>
      <w:r>
        <w:rPr>
          <w:color w:val="auto"/>
        </w:rPr>
        <w:instrText xml:space="preserve"> HYPERLINK \l _Toc3510 </w:instrText>
      </w:r>
      <w:r>
        <w:rPr>
          <w:color w:val="auto"/>
        </w:rPr>
        <w:fldChar w:fldCharType="separate"/>
      </w:r>
      <w:r>
        <w:rPr>
          <w:color w:val="auto"/>
        </w:rPr>
        <w:t>附件三</w:t>
      </w:r>
      <w:r>
        <w:rPr>
          <w:color w:val="auto"/>
        </w:rPr>
        <w:tab/>
      </w:r>
      <w:r>
        <w:rPr>
          <w:color w:val="auto"/>
        </w:rPr>
        <w:fldChar w:fldCharType="begin"/>
      </w:r>
      <w:r>
        <w:rPr>
          <w:color w:val="auto"/>
        </w:rPr>
        <w:instrText xml:space="preserve"> PAGEREF _Toc3510 \h </w:instrText>
      </w:r>
      <w:r>
        <w:rPr>
          <w:color w:val="auto"/>
        </w:rPr>
        <w:fldChar w:fldCharType="separate"/>
      </w:r>
      <w:r>
        <w:rPr>
          <w:color w:val="auto"/>
        </w:rPr>
        <w:t>17</w:t>
      </w:r>
      <w:r>
        <w:rPr>
          <w:color w:val="auto"/>
        </w:rPr>
        <w:fldChar w:fldCharType="end"/>
      </w:r>
      <w:r>
        <w:rPr>
          <w:color w:val="auto"/>
        </w:rPr>
        <w:fldChar w:fldCharType="end"/>
      </w:r>
    </w:p>
    <w:p>
      <w:pPr>
        <w:pStyle w:val="16"/>
        <w:tabs>
          <w:tab w:val="right" w:leader="dot" w:pos="10150"/>
        </w:tabs>
        <w:rPr>
          <w:color w:val="auto"/>
        </w:rPr>
      </w:pPr>
      <w:r>
        <w:rPr>
          <w:color w:val="auto"/>
        </w:rPr>
        <w:fldChar w:fldCharType="begin"/>
      </w:r>
      <w:r>
        <w:rPr>
          <w:color w:val="auto"/>
        </w:rPr>
        <w:instrText xml:space="preserve"> HYPERLINK \l _Toc15700 </w:instrText>
      </w:r>
      <w:r>
        <w:rPr>
          <w:color w:val="auto"/>
        </w:rPr>
        <w:fldChar w:fldCharType="separate"/>
      </w:r>
      <w:r>
        <w:rPr>
          <w:color w:val="auto"/>
        </w:rPr>
        <w:t>附件四</w:t>
      </w:r>
      <w:r>
        <w:rPr>
          <w:color w:val="auto"/>
        </w:rPr>
        <w:tab/>
      </w:r>
      <w:r>
        <w:rPr>
          <w:color w:val="auto"/>
        </w:rPr>
        <w:fldChar w:fldCharType="begin"/>
      </w:r>
      <w:r>
        <w:rPr>
          <w:color w:val="auto"/>
        </w:rPr>
        <w:instrText xml:space="preserve"> PAGEREF _Toc15700 \h </w:instrText>
      </w:r>
      <w:r>
        <w:rPr>
          <w:color w:val="auto"/>
        </w:rPr>
        <w:fldChar w:fldCharType="separate"/>
      </w:r>
      <w:r>
        <w:rPr>
          <w:color w:val="auto"/>
        </w:rPr>
        <w:t>19</w:t>
      </w:r>
      <w:r>
        <w:rPr>
          <w:color w:val="auto"/>
        </w:rPr>
        <w:fldChar w:fldCharType="end"/>
      </w:r>
      <w:r>
        <w:rPr>
          <w:color w:val="auto"/>
        </w:rPr>
        <w:fldChar w:fldCharType="end"/>
      </w:r>
    </w:p>
    <w:p>
      <w:pPr>
        <w:pStyle w:val="16"/>
        <w:tabs>
          <w:tab w:val="right" w:leader="dot" w:pos="10150"/>
        </w:tabs>
        <w:rPr>
          <w:color w:val="auto"/>
        </w:rPr>
      </w:pPr>
      <w:r>
        <w:rPr>
          <w:color w:val="auto"/>
        </w:rPr>
        <w:fldChar w:fldCharType="begin"/>
      </w:r>
      <w:r>
        <w:rPr>
          <w:color w:val="auto"/>
        </w:rPr>
        <w:instrText xml:space="preserve"> HYPERLINK \l _Toc11579 </w:instrText>
      </w:r>
      <w:r>
        <w:rPr>
          <w:color w:val="auto"/>
        </w:rPr>
        <w:fldChar w:fldCharType="separate"/>
      </w:r>
      <w:r>
        <w:rPr>
          <w:color w:val="auto"/>
        </w:rPr>
        <w:t>附件五</w:t>
      </w:r>
      <w:r>
        <w:rPr>
          <w:color w:val="auto"/>
        </w:rPr>
        <w:tab/>
      </w:r>
      <w:r>
        <w:rPr>
          <w:color w:val="auto"/>
        </w:rPr>
        <w:fldChar w:fldCharType="begin"/>
      </w:r>
      <w:r>
        <w:rPr>
          <w:color w:val="auto"/>
        </w:rPr>
        <w:instrText xml:space="preserve"> PAGEREF _Toc11579 \h </w:instrText>
      </w:r>
      <w:r>
        <w:rPr>
          <w:color w:val="auto"/>
        </w:rPr>
        <w:fldChar w:fldCharType="separate"/>
      </w:r>
      <w:r>
        <w:rPr>
          <w:color w:val="auto"/>
        </w:rPr>
        <w:t>22</w:t>
      </w:r>
      <w:r>
        <w:rPr>
          <w:color w:val="auto"/>
        </w:rPr>
        <w:fldChar w:fldCharType="end"/>
      </w:r>
      <w:r>
        <w:rPr>
          <w:color w:val="auto"/>
        </w:rPr>
        <w:fldChar w:fldCharType="end"/>
      </w:r>
    </w:p>
    <w:p>
      <w:pPr>
        <w:pStyle w:val="16"/>
        <w:tabs>
          <w:tab w:val="right" w:leader="dot" w:pos="10150"/>
        </w:tabs>
        <w:rPr>
          <w:color w:val="auto"/>
        </w:rPr>
      </w:pPr>
      <w:r>
        <w:rPr>
          <w:color w:val="auto"/>
        </w:rPr>
        <w:fldChar w:fldCharType="begin"/>
      </w:r>
      <w:r>
        <w:rPr>
          <w:color w:val="auto"/>
        </w:rPr>
        <w:instrText xml:space="preserve"> HYPERLINK \l _Toc9526 </w:instrText>
      </w:r>
      <w:r>
        <w:rPr>
          <w:color w:val="auto"/>
        </w:rPr>
        <w:fldChar w:fldCharType="separate"/>
      </w:r>
      <w:r>
        <w:rPr>
          <w:color w:val="auto"/>
        </w:rPr>
        <w:t>附件六</w:t>
      </w:r>
      <w:r>
        <w:rPr>
          <w:color w:val="auto"/>
        </w:rPr>
        <w:tab/>
      </w:r>
      <w:r>
        <w:rPr>
          <w:color w:val="auto"/>
        </w:rPr>
        <w:fldChar w:fldCharType="begin"/>
      </w:r>
      <w:r>
        <w:rPr>
          <w:color w:val="auto"/>
        </w:rPr>
        <w:instrText xml:space="preserve"> PAGEREF _Toc9526 \h </w:instrText>
      </w:r>
      <w:r>
        <w:rPr>
          <w:color w:val="auto"/>
        </w:rPr>
        <w:fldChar w:fldCharType="separate"/>
      </w:r>
      <w:r>
        <w:rPr>
          <w:color w:val="auto"/>
        </w:rPr>
        <w:t>23</w:t>
      </w:r>
      <w:r>
        <w:rPr>
          <w:color w:val="auto"/>
        </w:rPr>
        <w:fldChar w:fldCharType="end"/>
      </w:r>
      <w:r>
        <w:rPr>
          <w:color w:val="auto"/>
        </w:rPr>
        <w:fldChar w:fldCharType="end"/>
      </w:r>
    </w:p>
    <w:p>
      <w:pPr>
        <w:pStyle w:val="16"/>
        <w:tabs>
          <w:tab w:val="right" w:leader="dot" w:pos="10150"/>
        </w:tabs>
        <w:rPr>
          <w:color w:val="auto"/>
        </w:rPr>
      </w:pPr>
      <w:r>
        <w:rPr>
          <w:color w:val="auto"/>
        </w:rPr>
        <w:fldChar w:fldCharType="begin"/>
      </w:r>
      <w:r>
        <w:rPr>
          <w:color w:val="auto"/>
        </w:rPr>
        <w:instrText xml:space="preserve"> HYPERLINK \l _Toc23142 </w:instrText>
      </w:r>
      <w:r>
        <w:rPr>
          <w:color w:val="auto"/>
        </w:rPr>
        <w:fldChar w:fldCharType="separate"/>
      </w:r>
      <w:r>
        <w:rPr>
          <w:rFonts w:hint="eastAsia" w:ascii="宋体" w:hAnsi="宋体" w:cs="宋体"/>
          <w:bCs/>
          <w:color w:val="auto"/>
          <w:kern w:val="36"/>
          <w:szCs w:val="42"/>
        </w:rPr>
        <w:t>唐河县政府采购合同融资告知函</w:t>
      </w:r>
      <w:r>
        <w:rPr>
          <w:color w:val="auto"/>
        </w:rPr>
        <w:tab/>
      </w:r>
      <w:r>
        <w:rPr>
          <w:color w:val="auto"/>
        </w:rPr>
        <w:fldChar w:fldCharType="begin"/>
      </w:r>
      <w:r>
        <w:rPr>
          <w:color w:val="auto"/>
        </w:rPr>
        <w:instrText xml:space="preserve"> PAGEREF _Toc23142 \h </w:instrText>
      </w:r>
      <w:r>
        <w:rPr>
          <w:color w:val="auto"/>
        </w:rPr>
        <w:fldChar w:fldCharType="separate"/>
      </w:r>
      <w:r>
        <w:rPr>
          <w:color w:val="auto"/>
        </w:rPr>
        <w:t>26</w:t>
      </w:r>
      <w:r>
        <w:rPr>
          <w:color w:val="auto"/>
        </w:rPr>
        <w:fldChar w:fldCharType="end"/>
      </w:r>
      <w:r>
        <w:rPr>
          <w:color w:val="auto"/>
        </w:rPr>
        <w:fldChar w:fldCharType="end"/>
      </w:r>
    </w:p>
    <w:p>
      <w:pPr>
        <w:ind w:left="0" w:leftChars="0" w:right="0"/>
        <w:rPr>
          <w:color w:val="auto"/>
        </w:rPr>
      </w:pPr>
      <w:r>
        <w:rPr>
          <w:color w:val="auto"/>
        </w:rPr>
        <w:fldChar w:fldCharType="end"/>
      </w:r>
      <w:bookmarkStart w:id="4" w:name="_Toc9471"/>
      <w:bookmarkStart w:id="5" w:name="_Toc29165"/>
    </w:p>
    <w:p>
      <w:pPr>
        <w:pStyle w:val="2"/>
        <w:rPr>
          <w:b/>
          <w:bCs/>
          <w:color w:val="auto"/>
        </w:rPr>
        <w:sectPr>
          <w:headerReference r:id="rId5" w:type="default"/>
          <w:footerReference r:id="rId6" w:type="default"/>
          <w:pgSz w:w="11910" w:h="16840"/>
          <w:pgMar w:top="1380" w:right="880" w:bottom="1100" w:left="880" w:header="888" w:footer="910" w:gutter="0"/>
          <w:pgNumType w:fmt="decimal"/>
          <w:cols w:space="720" w:num="1"/>
        </w:sectPr>
      </w:pPr>
      <w:bookmarkStart w:id="6" w:name="_Toc5263"/>
    </w:p>
    <w:p>
      <w:pPr>
        <w:pStyle w:val="2"/>
        <w:keepNext w:val="0"/>
        <w:keepLines w:val="0"/>
        <w:pageBreakBefore w:val="0"/>
        <w:kinsoku/>
        <w:wordWrap/>
        <w:overflowPunct/>
        <w:topLinePunct w:val="0"/>
        <w:autoSpaceDE w:val="0"/>
        <w:autoSpaceDN w:val="0"/>
        <w:bidi w:val="0"/>
        <w:adjustRightInd/>
        <w:snapToGrid/>
        <w:spacing w:line="360" w:lineRule="auto"/>
        <w:textAlignment w:val="auto"/>
        <w:rPr>
          <w:color w:val="auto"/>
        </w:rPr>
      </w:pPr>
      <w:r>
        <w:rPr>
          <w:b/>
          <w:bCs/>
          <w:color w:val="auto"/>
        </w:rPr>
        <w:t>第一部分</w:t>
      </w:r>
      <w:r>
        <w:rPr>
          <w:rFonts w:hint="eastAsia"/>
          <w:b/>
          <w:bCs/>
          <w:color w:val="auto"/>
          <w:lang w:val="en-US" w:eastAsia="zh-CN"/>
        </w:rPr>
        <w:t xml:space="preserve"> </w:t>
      </w:r>
      <w:r>
        <w:rPr>
          <w:b/>
          <w:bCs/>
          <w:color w:val="auto"/>
        </w:rPr>
        <w:t>竞争性磋商公告</w:t>
      </w:r>
      <w:bookmarkEnd w:id="4"/>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b/>
          <w:bCs/>
          <w:color w:val="auto"/>
          <w:spacing w:val="6"/>
          <w:sz w:val="36"/>
          <w:szCs w:val="44"/>
        </w:rPr>
      </w:pPr>
      <w:r>
        <w:rPr>
          <w:rFonts w:hint="eastAsia"/>
          <w:b/>
          <w:bCs/>
          <w:color w:val="auto"/>
          <w:spacing w:val="6"/>
          <w:sz w:val="36"/>
          <w:szCs w:val="44"/>
          <w:lang w:val="en-US" w:eastAsia="zh-CN"/>
        </w:rPr>
        <w:t>唐河县城区市政桥梁检测项目（二次）</w:t>
      </w:r>
      <w:r>
        <w:rPr>
          <w:rFonts w:hint="eastAsia"/>
          <w:b/>
          <w:bCs/>
          <w:color w:val="auto"/>
          <w:spacing w:val="6"/>
          <w:sz w:val="36"/>
          <w:szCs w:val="44"/>
        </w:rPr>
        <w:t>-</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b/>
          <w:bCs/>
          <w:color w:val="auto"/>
          <w:sz w:val="28"/>
          <w:szCs w:val="36"/>
        </w:rPr>
      </w:pPr>
      <w:r>
        <w:rPr>
          <w:rFonts w:hint="eastAsia"/>
          <w:b/>
          <w:bCs/>
          <w:color w:val="auto"/>
          <w:spacing w:val="6"/>
          <w:sz w:val="36"/>
          <w:szCs w:val="44"/>
        </w:rPr>
        <w:t>竞争性磋商公告</w:t>
      </w:r>
      <w:bookmarkStart w:id="7" w:name="_Toc23066"/>
      <w:bookmarkStart w:id="8" w:name="_Toc25278"/>
      <w:bookmarkStart w:id="9" w:name="_Toc32681"/>
    </w:p>
    <w:p>
      <w:pPr>
        <w:keepNext w:val="0"/>
        <w:keepLines w:val="0"/>
        <w:pageBreakBefore w:val="0"/>
        <w:widowControl w:val="0"/>
        <w:kinsoku/>
        <w:wordWrap/>
        <w:overflowPunct/>
        <w:topLinePunct w:val="0"/>
        <w:autoSpaceDE w:val="0"/>
        <w:autoSpaceDN w:val="0"/>
        <w:bidi w:val="0"/>
        <w:adjustRightInd/>
        <w:snapToGrid/>
        <w:spacing w:line="500" w:lineRule="exact"/>
        <w:ind w:firstLine="562" w:firstLineChars="200"/>
        <w:textAlignment w:val="auto"/>
        <w:rPr>
          <w:rFonts w:hint="eastAsia"/>
          <w:b w:val="0"/>
          <w:bCs w:val="0"/>
          <w:color w:val="auto"/>
          <w:sz w:val="28"/>
          <w:szCs w:val="28"/>
        </w:rPr>
      </w:pPr>
      <w:r>
        <w:rPr>
          <w:rFonts w:hint="eastAsia"/>
          <w:b/>
          <w:bCs/>
          <w:color w:val="auto"/>
          <w:sz w:val="28"/>
          <w:szCs w:val="28"/>
        </w:rPr>
        <w:t>项目概况</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b w:val="0"/>
          <w:bCs w:val="0"/>
          <w:color w:val="auto"/>
          <w:sz w:val="28"/>
          <w:szCs w:val="28"/>
        </w:rPr>
      </w:pPr>
      <w:r>
        <w:rPr>
          <w:rFonts w:hint="eastAsia"/>
          <w:b w:val="0"/>
          <w:bCs w:val="0"/>
          <w:color w:val="auto"/>
          <w:sz w:val="28"/>
          <w:szCs w:val="28"/>
        </w:rPr>
        <w:t>唐河县市政服务中心唐河县城区市政桥梁检测项目招标项目的潜在投标人应在唐河县公共资源交易中心网站（http://www.thggzy.cn）获取招标文件，并于2024年</w:t>
      </w:r>
      <w:r>
        <w:rPr>
          <w:rFonts w:hint="eastAsia"/>
          <w:b w:val="0"/>
          <w:bCs w:val="0"/>
          <w:color w:val="auto"/>
          <w:sz w:val="28"/>
          <w:szCs w:val="28"/>
          <w:lang w:val="en-US" w:eastAsia="zh-CN"/>
        </w:rPr>
        <w:t>6</w:t>
      </w:r>
      <w:r>
        <w:rPr>
          <w:rFonts w:hint="eastAsia"/>
          <w:b w:val="0"/>
          <w:bCs w:val="0"/>
          <w:color w:val="auto"/>
          <w:sz w:val="28"/>
          <w:szCs w:val="28"/>
        </w:rPr>
        <w:t>月</w:t>
      </w:r>
      <w:r>
        <w:rPr>
          <w:rFonts w:hint="eastAsia"/>
          <w:b w:val="0"/>
          <w:bCs w:val="0"/>
          <w:color w:val="auto"/>
          <w:sz w:val="28"/>
          <w:szCs w:val="28"/>
          <w:lang w:val="en-US" w:eastAsia="zh-CN"/>
        </w:rPr>
        <w:t>12</w:t>
      </w:r>
      <w:r>
        <w:rPr>
          <w:rFonts w:hint="eastAsia"/>
          <w:b w:val="0"/>
          <w:bCs w:val="0"/>
          <w:color w:val="auto"/>
          <w:sz w:val="28"/>
          <w:szCs w:val="28"/>
        </w:rPr>
        <w:t>日09时30分（北京时间）前递交响应文件。</w:t>
      </w:r>
    </w:p>
    <w:p>
      <w:pPr>
        <w:keepNext w:val="0"/>
        <w:keepLines w:val="0"/>
        <w:pageBreakBefore w:val="0"/>
        <w:widowControl w:val="0"/>
        <w:kinsoku/>
        <w:wordWrap/>
        <w:overflowPunct/>
        <w:topLinePunct w:val="0"/>
        <w:autoSpaceDE w:val="0"/>
        <w:autoSpaceDN w:val="0"/>
        <w:bidi w:val="0"/>
        <w:adjustRightInd/>
        <w:snapToGrid/>
        <w:spacing w:line="500" w:lineRule="exact"/>
        <w:ind w:firstLine="562" w:firstLineChars="200"/>
        <w:textAlignment w:val="auto"/>
        <w:rPr>
          <w:rFonts w:hint="eastAsia"/>
          <w:b/>
          <w:bCs/>
          <w:color w:val="auto"/>
          <w:sz w:val="28"/>
          <w:szCs w:val="28"/>
        </w:rPr>
      </w:pPr>
      <w:r>
        <w:rPr>
          <w:rFonts w:hint="eastAsia"/>
          <w:b/>
          <w:bCs/>
          <w:color w:val="auto"/>
          <w:sz w:val="28"/>
          <w:szCs w:val="28"/>
        </w:rPr>
        <w:t xml:space="preserve">一、项目基本情况 </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1、项目编号：唐财采购竞争性磋商-2024-46 </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2、项目名称：唐河县市政服务中心唐河县城区市政桥梁检测项目 </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3、采购方式：竞争性磋商 </w:t>
      </w:r>
    </w:p>
    <w:p>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4、预算金额：1350000.00元 </w:t>
      </w:r>
      <w:r>
        <w:rPr>
          <w:rFonts w:hint="eastAsia"/>
          <w:b w:val="0"/>
          <w:bCs w:val="0"/>
          <w:color w:val="auto"/>
          <w:sz w:val="28"/>
          <w:szCs w:val="28"/>
          <w:lang w:val="en-US" w:eastAsia="zh-CN"/>
        </w:rPr>
        <w:t xml:space="preserve">     </w:t>
      </w:r>
      <w:r>
        <w:rPr>
          <w:rFonts w:hint="eastAsia"/>
          <w:b w:val="0"/>
          <w:bCs w:val="0"/>
          <w:color w:val="auto"/>
          <w:sz w:val="28"/>
          <w:szCs w:val="28"/>
        </w:rPr>
        <w:t xml:space="preserve">最高限价：1350000元  </w:t>
      </w:r>
    </w:p>
    <w:tbl>
      <w:tblPr>
        <w:tblStyle w:val="21"/>
        <w:tblW w:w="0" w:type="auto"/>
        <w:tblInd w:w="-30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15"/>
        <w:gridCol w:w="1755"/>
        <w:gridCol w:w="2003"/>
        <w:gridCol w:w="1214"/>
        <w:gridCol w:w="1453"/>
        <w:gridCol w:w="1645"/>
        <w:gridCol w:w="15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pageBreakBefore w:val="0"/>
              <w:widowControl/>
              <w:suppressLineNumbers w:val="0"/>
              <w:kinsoku/>
              <w:wordWrap w:val="0"/>
              <w:overflowPunct/>
              <w:topLinePunct w:val="0"/>
              <w:autoSpaceDE w:val="0"/>
              <w:autoSpaceDN w:val="0"/>
              <w:bidi w:val="0"/>
              <w:adjustRightInd/>
              <w:snapToGrid/>
              <w:jc w:val="center"/>
              <w:textAlignment w:val="auto"/>
              <w:rPr>
                <w:rFonts w:hint="eastAsia" w:ascii="华文仿宋" w:hAnsi="华文仿宋" w:eastAsia="华文仿宋" w:cs="华文仿宋"/>
                <w:b w:val="0"/>
                <w:bCs w:val="0"/>
                <w:color w:val="333333"/>
                <w:sz w:val="28"/>
                <w:szCs w:val="28"/>
              </w:rPr>
            </w:pPr>
            <w:r>
              <w:rPr>
                <w:rFonts w:hint="eastAsia" w:ascii="华文仿宋" w:hAnsi="华文仿宋" w:eastAsia="华文仿宋" w:cs="华文仿宋"/>
                <w:b w:val="0"/>
                <w:bCs w:val="0"/>
                <w:color w:val="333333"/>
                <w:kern w:val="0"/>
                <w:sz w:val="28"/>
                <w:szCs w:val="28"/>
                <w:lang w:val="en-US" w:eastAsia="zh-CN" w:bidi="ar"/>
              </w:rPr>
              <w:t>序号</w:t>
            </w:r>
          </w:p>
        </w:tc>
        <w:tc>
          <w:tcPr>
            <w:tcW w:w="0" w:type="auto"/>
            <w:shd w:val="clear" w:color="auto" w:fill="auto"/>
            <w:vAlign w:val="center"/>
          </w:tcPr>
          <w:p>
            <w:pPr>
              <w:keepNext w:val="0"/>
              <w:keepLines w:val="0"/>
              <w:pageBreakBefore w:val="0"/>
              <w:widowControl/>
              <w:suppressLineNumbers w:val="0"/>
              <w:kinsoku/>
              <w:wordWrap w:val="0"/>
              <w:overflowPunct/>
              <w:topLinePunct w:val="0"/>
              <w:autoSpaceDE w:val="0"/>
              <w:autoSpaceDN w:val="0"/>
              <w:bidi w:val="0"/>
              <w:adjustRightInd/>
              <w:snapToGrid/>
              <w:jc w:val="center"/>
              <w:textAlignment w:val="auto"/>
              <w:rPr>
                <w:rFonts w:hint="eastAsia" w:ascii="华文仿宋" w:hAnsi="华文仿宋" w:eastAsia="华文仿宋" w:cs="华文仿宋"/>
                <w:b w:val="0"/>
                <w:bCs w:val="0"/>
                <w:color w:val="333333"/>
                <w:sz w:val="28"/>
                <w:szCs w:val="28"/>
              </w:rPr>
            </w:pPr>
            <w:r>
              <w:rPr>
                <w:rFonts w:hint="eastAsia" w:ascii="华文仿宋" w:hAnsi="华文仿宋" w:eastAsia="华文仿宋" w:cs="华文仿宋"/>
                <w:b w:val="0"/>
                <w:bCs w:val="0"/>
                <w:color w:val="333333"/>
                <w:kern w:val="0"/>
                <w:sz w:val="28"/>
                <w:szCs w:val="28"/>
                <w:lang w:val="en-US" w:eastAsia="zh-CN" w:bidi="ar"/>
              </w:rPr>
              <w:t>包号</w:t>
            </w:r>
          </w:p>
        </w:tc>
        <w:tc>
          <w:tcPr>
            <w:tcW w:w="0" w:type="auto"/>
            <w:shd w:val="clear" w:color="auto" w:fill="auto"/>
            <w:vAlign w:val="center"/>
          </w:tcPr>
          <w:p>
            <w:pPr>
              <w:keepNext w:val="0"/>
              <w:keepLines w:val="0"/>
              <w:pageBreakBefore w:val="0"/>
              <w:widowControl/>
              <w:suppressLineNumbers w:val="0"/>
              <w:kinsoku/>
              <w:wordWrap w:val="0"/>
              <w:overflowPunct/>
              <w:topLinePunct w:val="0"/>
              <w:autoSpaceDE w:val="0"/>
              <w:autoSpaceDN w:val="0"/>
              <w:bidi w:val="0"/>
              <w:adjustRightInd/>
              <w:snapToGrid/>
              <w:ind w:firstLine="560" w:firstLineChars="200"/>
              <w:jc w:val="center"/>
              <w:textAlignment w:val="auto"/>
              <w:rPr>
                <w:rFonts w:hint="eastAsia" w:ascii="华文仿宋" w:hAnsi="华文仿宋" w:eastAsia="华文仿宋" w:cs="华文仿宋"/>
                <w:b w:val="0"/>
                <w:bCs w:val="0"/>
                <w:color w:val="333333"/>
                <w:sz w:val="28"/>
                <w:szCs w:val="28"/>
              </w:rPr>
            </w:pPr>
            <w:r>
              <w:rPr>
                <w:rFonts w:hint="eastAsia" w:ascii="华文仿宋" w:hAnsi="华文仿宋" w:eastAsia="华文仿宋" w:cs="华文仿宋"/>
                <w:b w:val="0"/>
                <w:bCs w:val="0"/>
                <w:color w:val="333333"/>
                <w:kern w:val="0"/>
                <w:sz w:val="28"/>
                <w:szCs w:val="28"/>
                <w:lang w:val="en-US" w:eastAsia="zh-CN" w:bidi="ar"/>
              </w:rPr>
              <w:t>包名称</w:t>
            </w:r>
          </w:p>
        </w:tc>
        <w:tc>
          <w:tcPr>
            <w:tcW w:w="0" w:type="auto"/>
            <w:shd w:val="clear" w:color="auto" w:fill="auto"/>
            <w:vAlign w:val="center"/>
          </w:tcPr>
          <w:p>
            <w:pPr>
              <w:keepNext w:val="0"/>
              <w:keepLines w:val="0"/>
              <w:pageBreakBefore w:val="0"/>
              <w:widowControl/>
              <w:suppressLineNumbers w:val="0"/>
              <w:kinsoku/>
              <w:wordWrap w:val="0"/>
              <w:overflowPunct/>
              <w:topLinePunct w:val="0"/>
              <w:autoSpaceDE w:val="0"/>
              <w:autoSpaceDN w:val="0"/>
              <w:bidi w:val="0"/>
              <w:adjustRightInd/>
              <w:snapToGrid/>
              <w:jc w:val="center"/>
              <w:textAlignment w:val="auto"/>
              <w:rPr>
                <w:rFonts w:hint="eastAsia" w:ascii="华文仿宋" w:hAnsi="华文仿宋" w:eastAsia="华文仿宋" w:cs="华文仿宋"/>
                <w:b w:val="0"/>
                <w:bCs w:val="0"/>
                <w:color w:val="333333"/>
                <w:sz w:val="28"/>
                <w:szCs w:val="28"/>
              </w:rPr>
            </w:pPr>
            <w:r>
              <w:rPr>
                <w:rFonts w:hint="eastAsia" w:ascii="华文仿宋" w:hAnsi="华文仿宋" w:eastAsia="华文仿宋" w:cs="华文仿宋"/>
                <w:b w:val="0"/>
                <w:bCs w:val="0"/>
                <w:color w:val="333333"/>
                <w:kern w:val="0"/>
                <w:sz w:val="28"/>
                <w:szCs w:val="28"/>
                <w:lang w:val="en-US" w:eastAsia="zh-CN" w:bidi="ar"/>
              </w:rPr>
              <w:t>包预算（元）</w:t>
            </w:r>
          </w:p>
        </w:tc>
        <w:tc>
          <w:tcPr>
            <w:tcW w:w="0" w:type="auto"/>
            <w:shd w:val="clear" w:color="auto" w:fill="auto"/>
            <w:vAlign w:val="center"/>
          </w:tcPr>
          <w:p>
            <w:pPr>
              <w:keepNext w:val="0"/>
              <w:keepLines w:val="0"/>
              <w:pageBreakBefore w:val="0"/>
              <w:widowControl/>
              <w:suppressLineNumbers w:val="0"/>
              <w:kinsoku/>
              <w:wordWrap w:val="0"/>
              <w:overflowPunct/>
              <w:topLinePunct w:val="0"/>
              <w:autoSpaceDE w:val="0"/>
              <w:autoSpaceDN w:val="0"/>
              <w:bidi w:val="0"/>
              <w:adjustRightInd/>
              <w:snapToGrid/>
              <w:jc w:val="center"/>
              <w:textAlignment w:val="auto"/>
              <w:rPr>
                <w:rFonts w:hint="eastAsia" w:ascii="华文仿宋" w:hAnsi="华文仿宋" w:eastAsia="华文仿宋" w:cs="华文仿宋"/>
                <w:b w:val="0"/>
                <w:bCs w:val="0"/>
                <w:color w:val="333333"/>
                <w:sz w:val="28"/>
                <w:szCs w:val="28"/>
              </w:rPr>
            </w:pPr>
            <w:r>
              <w:rPr>
                <w:rFonts w:hint="eastAsia" w:ascii="华文仿宋" w:hAnsi="华文仿宋" w:eastAsia="华文仿宋" w:cs="华文仿宋"/>
                <w:b w:val="0"/>
                <w:bCs w:val="0"/>
                <w:color w:val="333333"/>
                <w:kern w:val="0"/>
                <w:sz w:val="28"/>
                <w:szCs w:val="28"/>
                <w:lang w:val="en-US" w:eastAsia="zh-CN" w:bidi="ar"/>
              </w:rPr>
              <w:t>包最高限价（元）</w:t>
            </w:r>
          </w:p>
        </w:tc>
        <w:tc>
          <w:tcPr>
            <w:tcW w:w="0" w:type="auto"/>
            <w:shd w:val="clear" w:color="auto" w:fill="auto"/>
            <w:vAlign w:val="center"/>
          </w:tcPr>
          <w:p>
            <w:pPr>
              <w:keepNext w:val="0"/>
              <w:keepLines w:val="0"/>
              <w:pageBreakBefore w:val="0"/>
              <w:widowControl/>
              <w:suppressLineNumbers w:val="0"/>
              <w:kinsoku/>
              <w:wordWrap w:val="0"/>
              <w:overflowPunct/>
              <w:topLinePunct w:val="0"/>
              <w:autoSpaceDE w:val="0"/>
              <w:autoSpaceDN w:val="0"/>
              <w:bidi w:val="0"/>
              <w:adjustRightInd/>
              <w:snapToGrid/>
              <w:jc w:val="center"/>
              <w:textAlignment w:val="auto"/>
              <w:rPr>
                <w:rFonts w:hint="eastAsia" w:ascii="华文仿宋" w:hAnsi="华文仿宋" w:eastAsia="华文仿宋" w:cs="华文仿宋"/>
                <w:b w:val="0"/>
                <w:bCs w:val="0"/>
                <w:color w:val="333333"/>
                <w:sz w:val="28"/>
                <w:szCs w:val="28"/>
                <w:highlight w:val="yellow"/>
              </w:rPr>
            </w:pPr>
            <w:r>
              <w:rPr>
                <w:rFonts w:hint="eastAsia" w:ascii="华文仿宋" w:hAnsi="华文仿宋" w:eastAsia="华文仿宋" w:cs="华文仿宋"/>
                <w:b w:val="0"/>
                <w:bCs w:val="0"/>
                <w:color w:val="333333"/>
                <w:kern w:val="0"/>
                <w:sz w:val="28"/>
                <w:szCs w:val="28"/>
                <w:highlight w:val="none"/>
                <w:lang w:val="en-US" w:eastAsia="zh-CN" w:bidi="ar"/>
              </w:rPr>
              <w:t>是否专门面向中小企业</w:t>
            </w:r>
          </w:p>
        </w:tc>
        <w:tc>
          <w:tcPr>
            <w:tcW w:w="0" w:type="auto"/>
            <w:shd w:val="clear" w:color="auto" w:fill="auto"/>
            <w:vAlign w:val="center"/>
          </w:tcPr>
          <w:p>
            <w:pPr>
              <w:keepNext w:val="0"/>
              <w:keepLines w:val="0"/>
              <w:pageBreakBefore w:val="0"/>
              <w:widowControl/>
              <w:suppressLineNumbers w:val="0"/>
              <w:kinsoku/>
              <w:wordWrap w:val="0"/>
              <w:overflowPunct/>
              <w:topLinePunct w:val="0"/>
              <w:autoSpaceDE w:val="0"/>
              <w:autoSpaceDN w:val="0"/>
              <w:bidi w:val="0"/>
              <w:adjustRightInd/>
              <w:snapToGrid/>
              <w:jc w:val="center"/>
              <w:textAlignment w:val="auto"/>
              <w:rPr>
                <w:rFonts w:hint="eastAsia" w:ascii="华文仿宋" w:hAnsi="华文仿宋" w:eastAsia="华文仿宋" w:cs="华文仿宋"/>
                <w:b w:val="0"/>
                <w:bCs w:val="0"/>
                <w:color w:val="333333"/>
                <w:sz w:val="28"/>
                <w:szCs w:val="28"/>
              </w:rPr>
            </w:pPr>
            <w:r>
              <w:rPr>
                <w:rFonts w:hint="eastAsia" w:ascii="华文仿宋" w:hAnsi="华文仿宋" w:eastAsia="华文仿宋" w:cs="华文仿宋"/>
                <w:b w:val="0"/>
                <w:bCs w:val="0"/>
                <w:color w:val="333333"/>
                <w:kern w:val="0"/>
                <w:sz w:val="28"/>
                <w:szCs w:val="28"/>
                <w:lang w:val="en-US" w:eastAsia="zh-CN" w:bidi="ar"/>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pageBreakBefore w:val="0"/>
              <w:widowControl/>
              <w:suppressLineNumbers w:val="0"/>
              <w:kinsoku/>
              <w:wordWrap w:val="0"/>
              <w:overflowPunct/>
              <w:topLinePunct w:val="0"/>
              <w:autoSpaceDE w:val="0"/>
              <w:autoSpaceDN w:val="0"/>
              <w:bidi w:val="0"/>
              <w:adjustRightInd/>
              <w:snapToGrid/>
              <w:jc w:val="center"/>
              <w:textAlignment w:val="auto"/>
              <w:rPr>
                <w:rFonts w:hint="eastAsia" w:ascii="华文仿宋" w:hAnsi="华文仿宋" w:eastAsia="华文仿宋" w:cs="华文仿宋"/>
                <w:b w:val="0"/>
                <w:bCs w:val="0"/>
                <w:color w:val="333333"/>
                <w:sz w:val="28"/>
                <w:szCs w:val="28"/>
              </w:rPr>
            </w:pPr>
            <w:r>
              <w:rPr>
                <w:rFonts w:hint="eastAsia" w:ascii="华文仿宋" w:hAnsi="华文仿宋" w:eastAsia="华文仿宋" w:cs="华文仿宋"/>
                <w:b w:val="0"/>
                <w:bCs w:val="0"/>
                <w:color w:val="333333"/>
                <w:kern w:val="0"/>
                <w:sz w:val="28"/>
                <w:szCs w:val="28"/>
                <w:lang w:val="en-US" w:eastAsia="zh-CN" w:bidi="ar"/>
              </w:rPr>
              <w:t>1</w:t>
            </w:r>
          </w:p>
        </w:tc>
        <w:tc>
          <w:tcPr>
            <w:tcW w:w="0" w:type="auto"/>
            <w:shd w:val="clear" w:color="auto" w:fill="auto"/>
            <w:vAlign w:val="center"/>
          </w:tcPr>
          <w:p>
            <w:pPr>
              <w:keepNext w:val="0"/>
              <w:keepLines w:val="0"/>
              <w:pageBreakBefore w:val="0"/>
              <w:widowControl/>
              <w:suppressLineNumbers w:val="0"/>
              <w:kinsoku/>
              <w:wordWrap w:val="0"/>
              <w:overflowPunct/>
              <w:topLinePunct w:val="0"/>
              <w:autoSpaceDE w:val="0"/>
              <w:autoSpaceDN w:val="0"/>
              <w:bidi w:val="0"/>
              <w:adjustRightInd/>
              <w:snapToGrid/>
              <w:jc w:val="center"/>
              <w:textAlignment w:val="auto"/>
              <w:rPr>
                <w:rFonts w:hint="eastAsia" w:ascii="华文仿宋" w:hAnsi="华文仿宋" w:eastAsia="华文仿宋" w:cs="华文仿宋"/>
                <w:b w:val="0"/>
                <w:bCs w:val="0"/>
                <w:color w:val="333333"/>
                <w:sz w:val="28"/>
                <w:szCs w:val="28"/>
              </w:rPr>
            </w:pPr>
            <w:r>
              <w:rPr>
                <w:rFonts w:hint="eastAsia" w:ascii="华文仿宋" w:hAnsi="华文仿宋" w:eastAsia="华文仿宋" w:cs="华文仿宋"/>
                <w:b w:val="0"/>
                <w:bCs w:val="0"/>
                <w:color w:val="333333"/>
                <w:kern w:val="0"/>
                <w:sz w:val="28"/>
                <w:szCs w:val="28"/>
                <w:lang w:val="en-US" w:eastAsia="zh-CN" w:bidi="ar"/>
              </w:rPr>
              <w:t>唐财采购竞争性磋商-2024-46-1</w:t>
            </w:r>
          </w:p>
        </w:tc>
        <w:tc>
          <w:tcPr>
            <w:tcW w:w="0" w:type="auto"/>
            <w:shd w:val="clear" w:color="auto" w:fill="auto"/>
            <w:vAlign w:val="center"/>
          </w:tcPr>
          <w:p>
            <w:pPr>
              <w:keepNext w:val="0"/>
              <w:keepLines w:val="0"/>
              <w:pageBreakBefore w:val="0"/>
              <w:widowControl/>
              <w:suppressLineNumbers w:val="0"/>
              <w:kinsoku/>
              <w:wordWrap w:val="0"/>
              <w:overflowPunct/>
              <w:topLinePunct w:val="0"/>
              <w:autoSpaceDE w:val="0"/>
              <w:autoSpaceDN w:val="0"/>
              <w:bidi w:val="0"/>
              <w:adjustRightInd/>
              <w:snapToGrid/>
              <w:jc w:val="center"/>
              <w:textAlignment w:val="auto"/>
              <w:rPr>
                <w:rFonts w:hint="eastAsia" w:ascii="华文仿宋" w:hAnsi="华文仿宋" w:eastAsia="华文仿宋" w:cs="华文仿宋"/>
                <w:b w:val="0"/>
                <w:bCs w:val="0"/>
                <w:color w:val="333333"/>
                <w:sz w:val="28"/>
                <w:szCs w:val="28"/>
              </w:rPr>
            </w:pPr>
            <w:r>
              <w:rPr>
                <w:rFonts w:hint="eastAsia" w:ascii="华文仿宋" w:hAnsi="华文仿宋" w:eastAsia="华文仿宋" w:cs="华文仿宋"/>
                <w:b w:val="0"/>
                <w:bCs w:val="0"/>
                <w:color w:val="333333"/>
                <w:kern w:val="0"/>
                <w:sz w:val="28"/>
                <w:szCs w:val="28"/>
                <w:lang w:val="en-US" w:eastAsia="zh-CN" w:bidi="ar"/>
              </w:rPr>
              <w:t>唐河县城区市政桥梁检测项目</w:t>
            </w:r>
          </w:p>
        </w:tc>
        <w:tc>
          <w:tcPr>
            <w:tcW w:w="0" w:type="auto"/>
            <w:shd w:val="clear" w:color="auto" w:fill="auto"/>
            <w:vAlign w:val="center"/>
          </w:tcPr>
          <w:p>
            <w:pPr>
              <w:keepNext w:val="0"/>
              <w:keepLines w:val="0"/>
              <w:pageBreakBefore w:val="0"/>
              <w:widowControl/>
              <w:suppressLineNumbers w:val="0"/>
              <w:kinsoku/>
              <w:wordWrap w:val="0"/>
              <w:overflowPunct/>
              <w:topLinePunct w:val="0"/>
              <w:autoSpaceDE w:val="0"/>
              <w:autoSpaceDN w:val="0"/>
              <w:bidi w:val="0"/>
              <w:adjustRightInd/>
              <w:snapToGrid/>
              <w:jc w:val="center"/>
              <w:textAlignment w:val="auto"/>
              <w:rPr>
                <w:rFonts w:hint="eastAsia" w:ascii="华文仿宋" w:hAnsi="华文仿宋" w:eastAsia="华文仿宋" w:cs="华文仿宋"/>
                <w:b w:val="0"/>
                <w:bCs w:val="0"/>
                <w:color w:val="333333"/>
                <w:sz w:val="28"/>
                <w:szCs w:val="28"/>
              </w:rPr>
            </w:pPr>
            <w:r>
              <w:rPr>
                <w:rFonts w:hint="eastAsia" w:ascii="华文仿宋" w:hAnsi="华文仿宋" w:eastAsia="华文仿宋" w:cs="华文仿宋"/>
                <w:b w:val="0"/>
                <w:bCs w:val="0"/>
                <w:color w:val="333333"/>
                <w:kern w:val="0"/>
                <w:sz w:val="28"/>
                <w:szCs w:val="28"/>
                <w:lang w:val="en-US" w:eastAsia="zh-CN" w:bidi="ar"/>
              </w:rPr>
              <w:t>1350000</w:t>
            </w:r>
          </w:p>
        </w:tc>
        <w:tc>
          <w:tcPr>
            <w:tcW w:w="0" w:type="auto"/>
            <w:shd w:val="clear" w:color="auto" w:fill="auto"/>
            <w:vAlign w:val="center"/>
          </w:tcPr>
          <w:p>
            <w:pPr>
              <w:keepNext w:val="0"/>
              <w:keepLines w:val="0"/>
              <w:pageBreakBefore w:val="0"/>
              <w:widowControl/>
              <w:suppressLineNumbers w:val="0"/>
              <w:kinsoku/>
              <w:wordWrap w:val="0"/>
              <w:overflowPunct/>
              <w:topLinePunct w:val="0"/>
              <w:autoSpaceDE w:val="0"/>
              <w:autoSpaceDN w:val="0"/>
              <w:bidi w:val="0"/>
              <w:adjustRightInd/>
              <w:snapToGrid/>
              <w:jc w:val="center"/>
              <w:textAlignment w:val="auto"/>
              <w:rPr>
                <w:rFonts w:hint="eastAsia" w:ascii="华文仿宋" w:hAnsi="华文仿宋" w:eastAsia="华文仿宋" w:cs="华文仿宋"/>
                <w:b w:val="0"/>
                <w:bCs w:val="0"/>
                <w:color w:val="333333"/>
                <w:sz w:val="28"/>
                <w:szCs w:val="28"/>
              </w:rPr>
            </w:pPr>
            <w:r>
              <w:rPr>
                <w:rFonts w:hint="eastAsia" w:ascii="华文仿宋" w:hAnsi="华文仿宋" w:eastAsia="华文仿宋" w:cs="华文仿宋"/>
                <w:b w:val="0"/>
                <w:bCs w:val="0"/>
                <w:color w:val="333333"/>
                <w:kern w:val="0"/>
                <w:sz w:val="28"/>
                <w:szCs w:val="28"/>
                <w:lang w:val="en-US" w:eastAsia="zh-CN" w:bidi="ar"/>
              </w:rPr>
              <w:t>1350000</w:t>
            </w:r>
          </w:p>
        </w:tc>
        <w:tc>
          <w:tcPr>
            <w:tcW w:w="0" w:type="auto"/>
            <w:shd w:val="clear" w:color="auto" w:fill="auto"/>
            <w:vAlign w:val="center"/>
          </w:tcPr>
          <w:p>
            <w:pPr>
              <w:keepNext w:val="0"/>
              <w:keepLines w:val="0"/>
              <w:pageBreakBefore w:val="0"/>
              <w:widowControl/>
              <w:suppressLineNumbers w:val="0"/>
              <w:kinsoku/>
              <w:wordWrap w:val="0"/>
              <w:overflowPunct/>
              <w:topLinePunct w:val="0"/>
              <w:autoSpaceDE w:val="0"/>
              <w:autoSpaceDN w:val="0"/>
              <w:bidi w:val="0"/>
              <w:adjustRightInd/>
              <w:snapToGrid/>
              <w:ind w:firstLine="560" w:firstLineChars="200"/>
              <w:jc w:val="both"/>
              <w:textAlignment w:val="auto"/>
              <w:rPr>
                <w:rFonts w:hint="eastAsia" w:ascii="华文仿宋" w:hAnsi="华文仿宋" w:eastAsia="华文仿宋" w:cs="华文仿宋"/>
                <w:b w:val="0"/>
                <w:bCs w:val="0"/>
                <w:color w:val="333333"/>
                <w:sz w:val="28"/>
                <w:szCs w:val="28"/>
                <w:highlight w:val="yellow"/>
              </w:rPr>
            </w:pPr>
            <w:r>
              <w:rPr>
                <w:rFonts w:hint="eastAsia" w:ascii="华文仿宋" w:hAnsi="华文仿宋" w:eastAsia="华文仿宋" w:cs="华文仿宋"/>
                <w:b w:val="0"/>
                <w:bCs w:val="0"/>
                <w:color w:val="333333"/>
                <w:kern w:val="0"/>
                <w:sz w:val="28"/>
                <w:szCs w:val="28"/>
                <w:highlight w:val="none"/>
                <w:lang w:val="en-US" w:eastAsia="zh-CN" w:bidi="ar"/>
              </w:rPr>
              <w:t>是</w:t>
            </w:r>
          </w:p>
        </w:tc>
        <w:tc>
          <w:tcPr>
            <w:tcW w:w="0" w:type="auto"/>
            <w:shd w:val="clear" w:color="auto" w:fill="auto"/>
            <w:vAlign w:val="center"/>
          </w:tcPr>
          <w:p>
            <w:pPr>
              <w:keepNext w:val="0"/>
              <w:keepLines w:val="0"/>
              <w:pageBreakBefore w:val="0"/>
              <w:widowControl/>
              <w:suppressLineNumbers w:val="0"/>
              <w:kinsoku/>
              <w:wordWrap w:val="0"/>
              <w:overflowPunct/>
              <w:topLinePunct w:val="0"/>
              <w:autoSpaceDE w:val="0"/>
              <w:autoSpaceDN w:val="0"/>
              <w:bidi w:val="0"/>
              <w:adjustRightInd/>
              <w:snapToGrid/>
              <w:jc w:val="center"/>
              <w:textAlignment w:val="auto"/>
              <w:rPr>
                <w:rFonts w:hint="eastAsia" w:ascii="华文仿宋" w:hAnsi="华文仿宋" w:eastAsia="华文仿宋" w:cs="华文仿宋"/>
                <w:b w:val="0"/>
                <w:bCs w:val="0"/>
                <w:color w:val="333333"/>
                <w:sz w:val="28"/>
                <w:szCs w:val="28"/>
              </w:rPr>
            </w:pPr>
            <w:r>
              <w:rPr>
                <w:rFonts w:hint="eastAsia" w:ascii="华文仿宋" w:hAnsi="华文仿宋" w:eastAsia="华文仿宋" w:cs="华文仿宋"/>
                <w:b w:val="0"/>
                <w:bCs w:val="0"/>
                <w:color w:val="333333"/>
                <w:kern w:val="0"/>
                <w:sz w:val="28"/>
                <w:szCs w:val="28"/>
                <w:lang w:val="en-US" w:eastAsia="zh-CN" w:bidi="ar"/>
              </w:rPr>
              <w:t>1350000</w:t>
            </w:r>
          </w:p>
        </w:tc>
      </w:tr>
    </w:tbl>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5、采购需求（包括但不限于标的的名称、数量、简要技术需求或服务要求等）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（1）项目名称：唐河县城区市政桥梁检测项目</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（2）项目实施地点：唐河县城区；</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（3）资金来源：财政资金，已落实；</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（4）采购内容：本项目拟对唐河县24座市政桥梁进行检测，详见本项目采购文件。</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（5）标段划分：本项目划分一个标段；</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（6）质量要求：合格，符合国家规范标准及要求。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6、合同履行期限：合同签订后90日历天内。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7、本项目是否接受联合体投标：否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8、是否接受进口产品：否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9、</w:t>
      </w:r>
      <w:r>
        <w:rPr>
          <w:rFonts w:hint="eastAsia"/>
          <w:b w:val="0"/>
          <w:bCs w:val="0"/>
          <w:color w:val="auto"/>
          <w:sz w:val="28"/>
          <w:szCs w:val="28"/>
          <w:highlight w:val="none"/>
        </w:rPr>
        <w:t>是否专门面向中小企业：</w:t>
      </w:r>
      <w:r>
        <w:rPr>
          <w:rFonts w:hint="eastAsia"/>
          <w:b w:val="0"/>
          <w:bCs w:val="0"/>
          <w:color w:val="auto"/>
          <w:sz w:val="28"/>
          <w:szCs w:val="28"/>
          <w:highlight w:val="none"/>
          <w:lang w:val="en-US" w:eastAsia="zh-CN"/>
        </w:rPr>
        <w:t>是</w:t>
      </w:r>
      <w:r>
        <w:rPr>
          <w:rFonts w:hint="eastAsia"/>
          <w:b w:val="0"/>
          <w:bCs w:val="0"/>
          <w:color w:val="auto"/>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480" w:lineRule="exact"/>
        <w:ind w:firstLine="562" w:firstLineChars="200"/>
        <w:textAlignment w:val="auto"/>
        <w:rPr>
          <w:rFonts w:hint="eastAsia"/>
          <w:b/>
          <w:bCs/>
          <w:color w:val="auto"/>
          <w:sz w:val="28"/>
          <w:szCs w:val="28"/>
        </w:rPr>
      </w:pPr>
      <w:r>
        <w:rPr>
          <w:rFonts w:hint="eastAsia"/>
          <w:b/>
          <w:bCs/>
          <w:color w:val="auto"/>
          <w:sz w:val="28"/>
          <w:szCs w:val="28"/>
        </w:rPr>
        <w:t xml:space="preserve">二、申请人资格要求：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1、满足《中华人民共和国政府采购法》第二十二条规定；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2、落实政府采购政策满足的资格要求：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本项目执行扶持中小企业、监狱企业和残疾人福利性单位发展的政策。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3、本项目的特定资格要求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3.1供应商具有独立法人资格，具有有效的营业执照、税务登记证、组织机构代码证（或三证合一）；</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eastAsia="仿宋"/>
          <w:b w:val="0"/>
          <w:bCs w:val="0"/>
          <w:color w:val="auto"/>
          <w:sz w:val="28"/>
          <w:szCs w:val="28"/>
          <w:highlight w:val="none"/>
          <w:lang w:eastAsia="zh-CN"/>
        </w:rPr>
      </w:pPr>
      <w:r>
        <w:rPr>
          <w:rFonts w:hint="eastAsia"/>
          <w:b w:val="0"/>
          <w:bCs w:val="0"/>
          <w:color w:val="auto"/>
          <w:sz w:val="28"/>
          <w:szCs w:val="28"/>
          <w:lang w:val="en-US" w:eastAsia="zh-CN"/>
        </w:rPr>
        <w:t>3.2</w:t>
      </w:r>
      <w:r>
        <w:rPr>
          <w:rFonts w:hint="eastAsia"/>
          <w:b w:val="0"/>
          <w:bCs w:val="0"/>
          <w:color w:val="auto"/>
          <w:sz w:val="28"/>
          <w:szCs w:val="28"/>
          <w:highlight w:val="none"/>
        </w:rPr>
        <w:t>供应商具备公路工程试验检测机构综合甲级或桥梁隧道工程检测专项资质或</w:t>
      </w:r>
      <w:r>
        <w:rPr>
          <w:rFonts w:hint="eastAsia"/>
          <w:b w:val="0"/>
          <w:bCs w:val="0"/>
          <w:color w:val="auto"/>
          <w:sz w:val="28"/>
          <w:szCs w:val="28"/>
          <w:highlight w:val="none"/>
          <w:lang w:val="en-US" w:eastAsia="zh-CN"/>
        </w:rPr>
        <w:t>有关</w:t>
      </w:r>
      <w:r>
        <w:rPr>
          <w:rFonts w:hint="eastAsia"/>
          <w:b w:val="0"/>
          <w:bCs w:val="0"/>
          <w:color w:val="auto"/>
          <w:sz w:val="28"/>
          <w:szCs w:val="28"/>
          <w:highlight w:val="none"/>
        </w:rPr>
        <w:t>行政主管部门颁发的城市桥梁检测资质，且具备省级及以上计量行政部门颁发的计量认证证书</w:t>
      </w:r>
      <w:r>
        <w:rPr>
          <w:rFonts w:hint="eastAsia"/>
          <w:b w:val="0"/>
          <w:bCs w:val="0"/>
          <w:color w:val="auto"/>
          <w:sz w:val="28"/>
          <w:szCs w:val="28"/>
          <w:highlight w:val="none"/>
          <w:lang w:eastAsia="zh-CN"/>
        </w:rPr>
        <w:t>，</w:t>
      </w:r>
      <w:r>
        <w:rPr>
          <w:rFonts w:hint="eastAsia"/>
          <w:b w:val="0"/>
          <w:bCs w:val="0"/>
          <w:color w:val="auto"/>
          <w:sz w:val="28"/>
          <w:szCs w:val="28"/>
          <w:highlight w:val="none"/>
        </w:rPr>
        <w:t>并在人员、设备方面具有相应的检测能力；</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3.3拟派项目负责人需具备相关专业高级职称，并出具无在检测项目承诺书；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3.4参加本次政府采购活动前三年内，在经营活动中没有重大违法犯罪记录；</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3.5财务状况良好，没有处于被责令停业、破产状态，各投标人须提供具有近三年（2020年度、2021年度、2022年度）经审计的财务报告，信誉良好（成立不足三年的企业，从成立之日算起）。</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3.6供应商依法缴纳税收（提供2023年1月1日以来任意三个月完税证明或缴税凭证）和社会保障资金（提供2023年1月1日以来任意三个月的社保缴纳凭证或社保缴费记录)。依法免税或不需要缴纳社会保障资金的供应商，应提供相应证明文件。</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3.7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3.8本次招标不接受联合体投标，不允许分包和转包。</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3.9满足法律、行政法规及本项目招标文件规定的其他条件。</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按照唐河县财政局《关于在政府采购活动中试行供应商资格信用承诺制的通知》唐财购[2021]18号的要求，供应商在投标(响应)时，按照规定提供“投标承诺函”(详见采购文件)的，无需再提交上述（3.5）（3.6）的证明材料。供应商在中标(成交)后，应将上述由投标承诺函替代的证明材料提交采购人、采购代理机构，证明材料将随公告一并公示。</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注：本项目实行资格后审，审查内容以投标截止时间前上传企业诚信库信息（南阳市诚信库网站https://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诺责任。） </w:t>
      </w:r>
    </w:p>
    <w:p>
      <w:pPr>
        <w:keepNext w:val="0"/>
        <w:keepLines w:val="0"/>
        <w:pageBreakBefore w:val="0"/>
        <w:widowControl w:val="0"/>
        <w:kinsoku/>
        <w:wordWrap/>
        <w:overflowPunct/>
        <w:topLinePunct w:val="0"/>
        <w:autoSpaceDE w:val="0"/>
        <w:autoSpaceDN w:val="0"/>
        <w:bidi w:val="0"/>
        <w:adjustRightInd/>
        <w:snapToGrid/>
        <w:spacing w:line="480" w:lineRule="exact"/>
        <w:ind w:firstLine="562" w:firstLineChars="200"/>
        <w:textAlignment w:val="auto"/>
        <w:rPr>
          <w:rFonts w:hint="eastAsia"/>
          <w:b/>
          <w:bCs/>
          <w:color w:val="auto"/>
          <w:sz w:val="28"/>
          <w:szCs w:val="28"/>
        </w:rPr>
      </w:pPr>
      <w:r>
        <w:rPr>
          <w:rFonts w:hint="eastAsia"/>
          <w:b/>
          <w:bCs/>
          <w:color w:val="auto"/>
          <w:sz w:val="28"/>
          <w:szCs w:val="28"/>
        </w:rPr>
        <w:t xml:space="preserve">三、获取采购文件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1.时间：2024年</w:t>
      </w:r>
      <w:r>
        <w:rPr>
          <w:rFonts w:hint="eastAsia"/>
          <w:b w:val="0"/>
          <w:bCs w:val="0"/>
          <w:color w:val="auto"/>
          <w:sz w:val="28"/>
          <w:szCs w:val="28"/>
          <w:lang w:val="en-US" w:eastAsia="zh-CN"/>
        </w:rPr>
        <w:t>5</w:t>
      </w:r>
      <w:r>
        <w:rPr>
          <w:rFonts w:hint="eastAsia"/>
          <w:b w:val="0"/>
          <w:bCs w:val="0"/>
          <w:color w:val="auto"/>
          <w:sz w:val="28"/>
          <w:szCs w:val="28"/>
        </w:rPr>
        <w:t>月</w:t>
      </w:r>
      <w:r>
        <w:rPr>
          <w:rFonts w:hint="eastAsia"/>
          <w:b w:val="0"/>
          <w:bCs w:val="0"/>
          <w:color w:val="auto"/>
          <w:sz w:val="28"/>
          <w:szCs w:val="28"/>
          <w:lang w:val="en-US" w:eastAsia="zh-CN"/>
        </w:rPr>
        <w:t>31</w:t>
      </w:r>
      <w:r>
        <w:rPr>
          <w:rFonts w:hint="eastAsia"/>
          <w:b w:val="0"/>
          <w:bCs w:val="0"/>
          <w:color w:val="auto"/>
          <w:sz w:val="28"/>
          <w:szCs w:val="28"/>
        </w:rPr>
        <w:t>日至2024年</w:t>
      </w:r>
      <w:r>
        <w:rPr>
          <w:rFonts w:hint="eastAsia"/>
          <w:b w:val="0"/>
          <w:bCs w:val="0"/>
          <w:color w:val="auto"/>
          <w:sz w:val="28"/>
          <w:szCs w:val="28"/>
          <w:lang w:val="en-US" w:eastAsia="zh-CN"/>
        </w:rPr>
        <w:t>6</w:t>
      </w:r>
      <w:r>
        <w:rPr>
          <w:rFonts w:hint="eastAsia"/>
          <w:b w:val="0"/>
          <w:bCs w:val="0"/>
          <w:color w:val="auto"/>
          <w:sz w:val="28"/>
          <w:szCs w:val="28"/>
        </w:rPr>
        <w:t>月</w:t>
      </w:r>
      <w:r>
        <w:rPr>
          <w:rFonts w:hint="eastAsia"/>
          <w:b w:val="0"/>
          <w:bCs w:val="0"/>
          <w:color w:val="auto"/>
          <w:sz w:val="28"/>
          <w:szCs w:val="28"/>
          <w:lang w:val="en-US" w:eastAsia="zh-CN"/>
        </w:rPr>
        <w:t>7</w:t>
      </w:r>
      <w:r>
        <w:rPr>
          <w:rFonts w:hint="eastAsia"/>
          <w:b w:val="0"/>
          <w:bCs w:val="0"/>
          <w:color w:val="auto"/>
          <w:sz w:val="28"/>
          <w:szCs w:val="28"/>
        </w:rPr>
        <w:t xml:space="preserve">日，每天上午09:00至12:00，下午12:00至18:00（北京时间，法定节假日除外。）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2.地点：唐河县公共资源交易中心网站（http://www.thggzy.cn）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3.方式：网上下载，潜在供应商在南阳市公共资源交易中心办理CA数字证书，在南阳市交易平台诚信库进行登记注册，验证通过后可直接运用CA证书登录唐河县公共资源交易中心网站（www.thggzy.cn）诚信库会员系统进行网上下载采购文件。唐河县公共资源交易平台与南阳市公共资源交易平台诚信库系统互认共享、CA数字证书互认共享。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4.售价：0元 </w:t>
      </w:r>
    </w:p>
    <w:p>
      <w:pPr>
        <w:keepNext w:val="0"/>
        <w:keepLines w:val="0"/>
        <w:pageBreakBefore w:val="0"/>
        <w:widowControl w:val="0"/>
        <w:kinsoku/>
        <w:wordWrap/>
        <w:overflowPunct/>
        <w:topLinePunct w:val="0"/>
        <w:autoSpaceDE w:val="0"/>
        <w:autoSpaceDN w:val="0"/>
        <w:bidi w:val="0"/>
        <w:adjustRightInd/>
        <w:snapToGrid/>
        <w:spacing w:line="480" w:lineRule="exact"/>
        <w:ind w:firstLine="562" w:firstLineChars="200"/>
        <w:textAlignment w:val="auto"/>
        <w:rPr>
          <w:rFonts w:hint="eastAsia"/>
          <w:b/>
          <w:bCs/>
          <w:color w:val="auto"/>
          <w:sz w:val="28"/>
          <w:szCs w:val="28"/>
        </w:rPr>
      </w:pPr>
      <w:r>
        <w:rPr>
          <w:rFonts w:hint="eastAsia"/>
          <w:b/>
          <w:bCs/>
          <w:color w:val="auto"/>
          <w:sz w:val="28"/>
          <w:szCs w:val="28"/>
        </w:rPr>
        <w:t xml:space="preserve">四、响应文件提交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1.截止时间：2024年</w:t>
      </w:r>
      <w:r>
        <w:rPr>
          <w:rFonts w:hint="eastAsia"/>
          <w:b w:val="0"/>
          <w:bCs w:val="0"/>
          <w:color w:val="auto"/>
          <w:sz w:val="28"/>
          <w:szCs w:val="28"/>
          <w:lang w:val="en-US" w:eastAsia="zh-CN"/>
        </w:rPr>
        <w:t>6</w:t>
      </w:r>
      <w:r>
        <w:rPr>
          <w:rFonts w:hint="eastAsia"/>
          <w:b w:val="0"/>
          <w:bCs w:val="0"/>
          <w:color w:val="auto"/>
          <w:sz w:val="28"/>
          <w:szCs w:val="28"/>
        </w:rPr>
        <w:t>月</w:t>
      </w:r>
      <w:r>
        <w:rPr>
          <w:rFonts w:hint="eastAsia"/>
          <w:b w:val="0"/>
          <w:bCs w:val="0"/>
          <w:color w:val="auto"/>
          <w:sz w:val="28"/>
          <w:szCs w:val="28"/>
          <w:lang w:val="en-US" w:eastAsia="zh-CN"/>
        </w:rPr>
        <w:t>12</w:t>
      </w:r>
      <w:r>
        <w:rPr>
          <w:rFonts w:hint="eastAsia"/>
          <w:b w:val="0"/>
          <w:bCs w:val="0"/>
          <w:color w:val="auto"/>
          <w:sz w:val="28"/>
          <w:szCs w:val="28"/>
        </w:rPr>
        <w:t>日09时</w:t>
      </w:r>
      <w:r>
        <w:rPr>
          <w:rFonts w:hint="eastAsia"/>
          <w:b w:val="0"/>
          <w:bCs w:val="0"/>
          <w:color w:val="auto"/>
          <w:sz w:val="28"/>
          <w:szCs w:val="28"/>
          <w:lang w:val="en-US" w:eastAsia="zh-CN"/>
        </w:rPr>
        <w:t>4</w:t>
      </w:r>
      <w:r>
        <w:rPr>
          <w:rFonts w:hint="eastAsia"/>
          <w:b w:val="0"/>
          <w:bCs w:val="0"/>
          <w:color w:val="auto"/>
          <w:sz w:val="28"/>
          <w:szCs w:val="28"/>
        </w:rPr>
        <w:t xml:space="preserve">0分（北京时间）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2.地点：唐河县公共资源交易中心网站，加密版响应文件应在磋商文件规定的开标截止时间前上传至交易系统，逾期上传交易系统或未上传成功的电子投标文件视为放弃本次投标。 </w:t>
      </w:r>
    </w:p>
    <w:p>
      <w:pPr>
        <w:keepNext w:val="0"/>
        <w:keepLines w:val="0"/>
        <w:pageBreakBefore w:val="0"/>
        <w:widowControl w:val="0"/>
        <w:kinsoku/>
        <w:wordWrap/>
        <w:overflowPunct/>
        <w:topLinePunct w:val="0"/>
        <w:autoSpaceDE w:val="0"/>
        <w:autoSpaceDN w:val="0"/>
        <w:bidi w:val="0"/>
        <w:adjustRightInd/>
        <w:snapToGrid/>
        <w:spacing w:line="480" w:lineRule="exact"/>
        <w:ind w:firstLine="562" w:firstLineChars="200"/>
        <w:textAlignment w:val="auto"/>
        <w:rPr>
          <w:rFonts w:hint="eastAsia"/>
          <w:b/>
          <w:bCs/>
          <w:color w:val="auto"/>
          <w:sz w:val="28"/>
          <w:szCs w:val="28"/>
        </w:rPr>
      </w:pPr>
      <w:r>
        <w:rPr>
          <w:rFonts w:hint="eastAsia"/>
          <w:b/>
          <w:bCs/>
          <w:color w:val="auto"/>
          <w:sz w:val="28"/>
          <w:szCs w:val="28"/>
        </w:rPr>
        <w:t xml:space="preserve">五、响应文件开启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1.时间：2024年</w:t>
      </w:r>
      <w:r>
        <w:rPr>
          <w:rFonts w:hint="eastAsia"/>
          <w:b w:val="0"/>
          <w:bCs w:val="0"/>
          <w:color w:val="auto"/>
          <w:sz w:val="28"/>
          <w:szCs w:val="28"/>
          <w:lang w:val="en-US" w:eastAsia="zh-CN"/>
        </w:rPr>
        <w:t>6</w:t>
      </w:r>
      <w:r>
        <w:rPr>
          <w:rFonts w:hint="eastAsia"/>
          <w:b w:val="0"/>
          <w:bCs w:val="0"/>
          <w:color w:val="auto"/>
          <w:sz w:val="28"/>
          <w:szCs w:val="28"/>
        </w:rPr>
        <w:t>月</w:t>
      </w:r>
      <w:r>
        <w:rPr>
          <w:rFonts w:hint="eastAsia"/>
          <w:b w:val="0"/>
          <w:bCs w:val="0"/>
          <w:color w:val="auto"/>
          <w:sz w:val="28"/>
          <w:szCs w:val="28"/>
          <w:lang w:val="en-US" w:eastAsia="zh-CN"/>
        </w:rPr>
        <w:t>12</w:t>
      </w:r>
      <w:r>
        <w:rPr>
          <w:rFonts w:hint="eastAsia"/>
          <w:b w:val="0"/>
          <w:bCs w:val="0"/>
          <w:color w:val="auto"/>
          <w:sz w:val="28"/>
          <w:szCs w:val="28"/>
        </w:rPr>
        <w:t>日09时</w:t>
      </w:r>
      <w:r>
        <w:rPr>
          <w:rFonts w:hint="eastAsia"/>
          <w:b w:val="0"/>
          <w:bCs w:val="0"/>
          <w:color w:val="auto"/>
          <w:sz w:val="28"/>
          <w:szCs w:val="28"/>
          <w:lang w:val="en-US" w:eastAsia="zh-CN"/>
        </w:rPr>
        <w:t>4</w:t>
      </w:r>
      <w:r>
        <w:rPr>
          <w:rFonts w:hint="eastAsia"/>
          <w:b w:val="0"/>
          <w:bCs w:val="0"/>
          <w:color w:val="auto"/>
          <w:sz w:val="28"/>
          <w:szCs w:val="28"/>
        </w:rPr>
        <w:t xml:space="preserve">0分（北京时间）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pPr>
        <w:keepNext w:val="0"/>
        <w:keepLines w:val="0"/>
        <w:pageBreakBefore w:val="0"/>
        <w:widowControl w:val="0"/>
        <w:kinsoku/>
        <w:wordWrap/>
        <w:overflowPunct/>
        <w:topLinePunct w:val="0"/>
        <w:autoSpaceDE w:val="0"/>
        <w:autoSpaceDN w:val="0"/>
        <w:bidi w:val="0"/>
        <w:adjustRightInd/>
        <w:snapToGrid/>
        <w:spacing w:line="480" w:lineRule="exact"/>
        <w:ind w:firstLine="562" w:firstLineChars="200"/>
        <w:textAlignment w:val="auto"/>
        <w:rPr>
          <w:rFonts w:hint="eastAsia"/>
          <w:b/>
          <w:bCs/>
          <w:color w:val="auto"/>
          <w:sz w:val="28"/>
          <w:szCs w:val="28"/>
        </w:rPr>
      </w:pPr>
      <w:r>
        <w:rPr>
          <w:rFonts w:hint="eastAsia"/>
          <w:b/>
          <w:bCs/>
          <w:color w:val="auto"/>
          <w:sz w:val="28"/>
          <w:szCs w:val="28"/>
        </w:rPr>
        <w:t xml:space="preserve">六、发布公告的媒介及招标公告期限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本次招标公告在《河南省政府采购网》、《南阳市政府采购网》、《中国招标投标公共服务平台》、《唐河县公共资源交易中心》上发布，招标公告期限为三个工作日 。  </w:t>
      </w:r>
    </w:p>
    <w:p>
      <w:pPr>
        <w:keepNext w:val="0"/>
        <w:keepLines w:val="0"/>
        <w:pageBreakBefore w:val="0"/>
        <w:widowControl w:val="0"/>
        <w:kinsoku/>
        <w:wordWrap/>
        <w:overflowPunct/>
        <w:topLinePunct w:val="0"/>
        <w:autoSpaceDE w:val="0"/>
        <w:autoSpaceDN w:val="0"/>
        <w:bidi w:val="0"/>
        <w:adjustRightInd/>
        <w:snapToGrid/>
        <w:spacing w:line="480" w:lineRule="exact"/>
        <w:ind w:firstLine="562" w:firstLineChars="200"/>
        <w:textAlignment w:val="auto"/>
        <w:rPr>
          <w:rFonts w:hint="eastAsia"/>
          <w:b/>
          <w:bCs/>
          <w:color w:val="auto"/>
          <w:sz w:val="28"/>
          <w:szCs w:val="28"/>
        </w:rPr>
      </w:pPr>
      <w:r>
        <w:rPr>
          <w:rFonts w:hint="eastAsia"/>
          <w:b/>
          <w:bCs/>
          <w:color w:val="auto"/>
          <w:sz w:val="28"/>
          <w:szCs w:val="28"/>
        </w:rPr>
        <w:t xml:space="preserve">七、其他补充事宜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无 </w:t>
      </w:r>
    </w:p>
    <w:p>
      <w:pPr>
        <w:keepNext w:val="0"/>
        <w:keepLines w:val="0"/>
        <w:pageBreakBefore w:val="0"/>
        <w:widowControl w:val="0"/>
        <w:kinsoku/>
        <w:wordWrap/>
        <w:overflowPunct/>
        <w:topLinePunct w:val="0"/>
        <w:autoSpaceDE w:val="0"/>
        <w:autoSpaceDN w:val="0"/>
        <w:bidi w:val="0"/>
        <w:adjustRightInd/>
        <w:snapToGrid/>
        <w:spacing w:line="480" w:lineRule="exact"/>
        <w:ind w:firstLine="562" w:firstLineChars="200"/>
        <w:textAlignment w:val="auto"/>
        <w:rPr>
          <w:rFonts w:hint="eastAsia"/>
          <w:b w:val="0"/>
          <w:bCs w:val="0"/>
          <w:color w:val="auto"/>
          <w:sz w:val="28"/>
          <w:szCs w:val="28"/>
        </w:rPr>
      </w:pPr>
      <w:r>
        <w:rPr>
          <w:rFonts w:hint="eastAsia"/>
          <w:b/>
          <w:bCs/>
          <w:color w:val="auto"/>
          <w:sz w:val="28"/>
          <w:szCs w:val="28"/>
        </w:rPr>
        <w:t>八、凡对本次招标提出询问，请按照以下方式联系</w:t>
      </w:r>
      <w:r>
        <w:rPr>
          <w:rFonts w:hint="eastAsia"/>
          <w:b w:val="0"/>
          <w:bCs w:val="0"/>
          <w:color w:val="auto"/>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1. 采购人信息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名称：唐河县市政服务中心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地址：唐河县新华路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联系人：王先生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联系方式：13137779079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2.采购代理机构信息（如有）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名称：唐河县龙建工程管理有限公司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地址：唐河县文峰街道飞凤路飞凤游园管理楼二楼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联系人：白女士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联系方式：0377-60888961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3.项目联系方式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b w:val="0"/>
          <w:bCs w:val="0"/>
          <w:color w:val="auto"/>
          <w:sz w:val="28"/>
          <w:szCs w:val="28"/>
        </w:rPr>
      </w:pPr>
      <w:r>
        <w:rPr>
          <w:rFonts w:hint="eastAsia"/>
          <w:b w:val="0"/>
          <w:bCs w:val="0"/>
          <w:color w:val="auto"/>
          <w:sz w:val="28"/>
          <w:szCs w:val="28"/>
        </w:rPr>
        <w:t xml:space="preserve">项目联系人：白女士 </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eastAsia"/>
        </w:rPr>
      </w:pPr>
      <w:r>
        <w:rPr>
          <w:rFonts w:hint="eastAsia"/>
          <w:b w:val="0"/>
          <w:bCs w:val="0"/>
          <w:color w:val="auto"/>
          <w:sz w:val="28"/>
          <w:szCs w:val="28"/>
        </w:rPr>
        <w:t>联系方式：15203806912</w:t>
      </w:r>
    </w:p>
    <w:p>
      <w:pPr>
        <w:pStyle w:val="8"/>
        <w:rPr>
          <w:rFonts w:hint="eastAsia"/>
        </w:rPr>
      </w:pPr>
    </w:p>
    <w:p>
      <w:pPr>
        <w:pStyle w:val="2"/>
        <w:outlineLvl w:val="0"/>
        <w:rPr>
          <w:rFonts w:hint="eastAsia"/>
          <w:color w:val="auto"/>
        </w:rPr>
      </w:pPr>
      <w:r>
        <w:rPr>
          <w:rFonts w:hint="eastAsia"/>
          <w:color w:val="auto"/>
        </w:rPr>
        <w:t>第二部分</w:t>
      </w:r>
      <w:r>
        <w:rPr>
          <w:rFonts w:hint="eastAsia"/>
          <w:color w:val="auto"/>
        </w:rPr>
        <w:tab/>
      </w:r>
      <w:r>
        <w:rPr>
          <w:rFonts w:hint="eastAsia"/>
          <w:color w:val="auto"/>
        </w:rPr>
        <w:t>供应商须知</w:t>
      </w:r>
      <w:bookmarkEnd w:id="7"/>
      <w:bookmarkEnd w:id="8"/>
      <w:bookmarkEnd w:id="9"/>
    </w:p>
    <w:p>
      <w:pPr>
        <w:spacing w:line="360" w:lineRule="auto"/>
        <w:jc w:val="center"/>
        <w:rPr>
          <w:rFonts w:hint="eastAsia" w:ascii="仿宋" w:hAnsi="仿宋" w:eastAsia="仿宋" w:cs="仿宋"/>
          <w:b/>
          <w:bCs/>
          <w:color w:val="auto"/>
          <w:sz w:val="28"/>
          <w:szCs w:val="28"/>
        </w:rPr>
      </w:pPr>
      <w:bookmarkStart w:id="10" w:name="供应商须知前附表"/>
      <w:bookmarkEnd w:id="10"/>
      <w:r>
        <w:rPr>
          <w:rFonts w:hint="eastAsia" w:ascii="仿宋" w:hAnsi="仿宋" w:eastAsia="仿宋" w:cs="仿宋"/>
          <w:b/>
          <w:bCs/>
          <w:color w:val="auto"/>
          <w:sz w:val="28"/>
          <w:szCs w:val="28"/>
        </w:rPr>
        <w:t>供应商须知前附表</w:t>
      </w:r>
    </w:p>
    <w:tbl>
      <w:tblPr>
        <w:tblStyle w:val="21"/>
        <w:tblW w:w="97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2337"/>
        <w:gridCol w:w="6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22" w:type="dxa"/>
            <w:vAlign w:val="center"/>
          </w:tcPr>
          <w:p>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2337" w:type="dxa"/>
            <w:vAlign w:val="center"/>
          </w:tcPr>
          <w:p>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条款名称</w:t>
            </w:r>
          </w:p>
        </w:tc>
        <w:tc>
          <w:tcPr>
            <w:tcW w:w="6599" w:type="dxa"/>
            <w:vAlign w:val="center"/>
          </w:tcPr>
          <w:p>
            <w:pPr>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822"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p>
        </w:tc>
        <w:tc>
          <w:tcPr>
            <w:tcW w:w="2337"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项目名称</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right="0"/>
              <w:textAlignment w:val="auto"/>
              <w:rPr>
                <w:rFonts w:hint="eastAsia" w:ascii="仿宋" w:hAnsi="仿宋" w:eastAsia="仿宋" w:cs="仿宋"/>
                <w:color w:val="auto"/>
                <w:kern w:val="2"/>
                <w:sz w:val="28"/>
                <w:szCs w:val="28"/>
                <w:lang w:val="en-US" w:eastAsia="zh-CN" w:bidi="ar-SA"/>
              </w:rPr>
            </w:pPr>
            <w:r>
              <w:rPr>
                <w:rFonts w:hint="eastAsia" w:ascii="仿宋" w:hAnsi="仿宋" w:cs="仿宋"/>
                <w:color w:val="auto"/>
                <w:kern w:val="2"/>
                <w:sz w:val="28"/>
                <w:szCs w:val="28"/>
                <w:lang w:val="en-US" w:eastAsia="zh-CN" w:bidi="ar-SA"/>
              </w:rPr>
              <w:t>唐河县城区市政桥梁检测项目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822" w:type="dxa"/>
            <w:vAlign w:val="center"/>
          </w:tcPr>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337" w:type="dxa"/>
            <w:vAlign w:val="center"/>
          </w:tcPr>
          <w:p>
            <w:pPr>
              <w:ind w:left="0" w:leftChars="0" w:right="0" w:right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lang w:bidi="ar"/>
              </w:rPr>
              <w:t>采购人（招标人）</w:t>
            </w:r>
          </w:p>
        </w:tc>
        <w:tc>
          <w:tcPr>
            <w:tcW w:w="6599" w:type="dxa"/>
            <w:vAlign w:val="center"/>
          </w:tcPr>
          <w:p>
            <w:pPr>
              <w:spacing w:line="360" w:lineRule="auto"/>
              <w:ind w:left="0" w:leftChars="0" w:right="0" w:rightChars="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名称：</w:t>
            </w:r>
            <w:r>
              <w:rPr>
                <w:rFonts w:hint="eastAsia" w:ascii="仿宋" w:hAnsi="仿宋" w:eastAsia="仿宋" w:cs="仿宋"/>
                <w:color w:val="auto"/>
                <w:sz w:val="28"/>
                <w:szCs w:val="28"/>
                <w:lang w:val="en-US" w:eastAsia="zh-CN"/>
              </w:rPr>
              <w:t>唐河县市政服务中心</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eastAsia="zh-CN"/>
              </w:rPr>
              <w:t>地址：</w:t>
            </w:r>
            <w:r>
              <w:rPr>
                <w:rFonts w:hint="eastAsia" w:ascii="仿宋" w:hAnsi="仿宋" w:eastAsia="仿宋" w:cs="仿宋"/>
                <w:color w:val="auto"/>
                <w:sz w:val="28"/>
                <w:szCs w:val="28"/>
                <w:lang w:val="en-US" w:eastAsia="zh-CN"/>
              </w:rPr>
              <w:t>唐河县</w:t>
            </w:r>
            <w:r>
              <w:rPr>
                <w:rFonts w:hint="eastAsia" w:ascii="仿宋" w:hAnsi="仿宋" w:cs="仿宋"/>
                <w:color w:val="auto"/>
                <w:sz w:val="28"/>
                <w:szCs w:val="28"/>
                <w:lang w:val="en-US" w:eastAsia="zh-CN"/>
              </w:rPr>
              <w:t>新华路</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 xml:space="preserve"> </w:t>
            </w:r>
          </w:p>
          <w:p>
            <w:pPr>
              <w:spacing w:line="360" w:lineRule="auto"/>
              <w:ind w:left="0" w:leftChars="0" w:right="0" w:righ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联系人：王先生  </w:t>
            </w:r>
          </w:p>
          <w:p>
            <w:pPr>
              <w:spacing w:line="360" w:lineRule="auto"/>
              <w:ind w:left="0" w:leftChars="0" w:right="0" w:righ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联系方式：13137779079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2" w:hRule="atLeast"/>
        </w:trPr>
        <w:tc>
          <w:tcPr>
            <w:tcW w:w="822" w:type="dxa"/>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337" w:type="dxa"/>
            <w:vAlign w:val="center"/>
          </w:tcPr>
          <w:p>
            <w:pPr>
              <w:ind w:left="0" w:leftChars="0" w:right="0" w:rightChars="0"/>
              <w:jc w:val="center"/>
              <w:rPr>
                <w:rFonts w:hint="eastAsia" w:ascii="仿宋" w:hAnsi="仿宋" w:eastAsia="仿宋" w:cs="仿宋"/>
                <w:color w:val="auto"/>
                <w:sz w:val="28"/>
                <w:szCs w:val="28"/>
              </w:rPr>
            </w:pPr>
            <w:r>
              <w:rPr>
                <w:rFonts w:hint="eastAsia" w:ascii="仿宋" w:hAnsi="仿宋" w:eastAsia="仿宋" w:cs="仿宋"/>
                <w:color w:val="auto"/>
                <w:sz w:val="28"/>
                <w:szCs w:val="28"/>
                <w:lang w:bidi="ar"/>
              </w:rPr>
              <w:t>招标代理机构</w:t>
            </w:r>
          </w:p>
        </w:tc>
        <w:tc>
          <w:tcPr>
            <w:tcW w:w="6599" w:type="dxa"/>
            <w:vAlign w:val="center"/>
          </w:tcPr>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采购代理机构：唐河县龙建工程管理有限公司</w:t>
            </w:r>
          </w:p>
          <w:p>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地址：</w:t>
            </w:r>
            <w:r>
              <w:rPr>
                <w:rFonts w:hint="eastAsia" w:ascii="仿宋" w:hAnsi="仿宋" w:eastAsia="仿宋" w:cs="仿宋"/>
                <w:color w:val="auto"/>
                <w:sz w:val="28"/>
                <w:szCs w:val="28"/>
                <w:lang w:val="en-US" w:eastAsia="zh-CN"/>
              </w:rPr>
              <w:t>唐河县文峰街道飞凤路飞凤游园管理楼二楼</w:t>
            </w:r>
          </w:p>
          <w:p>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联系人：</w:t>
            </w:r>
            <w:r>
              <w:rPr>
                <w:rFonts w:hint="eastAsia" w:ascii="仿宋" w:hAnsi="仿宋" w:eastAsia="仿宋" w:cs="仿宋"/>
                <w:color w:val="auto"/>
                <w:sz w:val="28"/>
                <w:szCs w:val="28"/>
                <w:lang w:val="en-US" w:eastAsia="zh-CN"/>
              </w:rPr>
              <w:t>白女士</w:t>
            </w:r>
          </w:p>
          <w:p>
            <w:pPr>
              <w:spacing w:line="360" w:lineRule="auto"/>
              <w:ind w:left="0" w:leftChars="0" w:right="0" w:rightChars="0"/>
              <w:rPr>
                <w:rFonts w:hint="default" w:ascii="仿宋" w:hAnsi="仿宋" w:eastAsia="仿宋" w:cs="仿宋"/>
                <w:color w:val="auto"/>
                <w:sz w:val="28"/>
                <w:szCs w:val="28"/>
                <w:lang w:val="en-US"/>
              </w:rPr>
            </w:pPr>
            <w:r>
              <w:rPr>
                <w:rFonts w:hint="eastAsia" w:ascii="仿宋" w:hAnsi="仿宋" w:eastAsia="仿宋" w:cs="仿宋"/>
                <w:color w:val="auto"/>
                <w:sz w:val="28"/>
                <w:szCs w:val="28"/>
              </w:rPr>
              <w:t>电话：</w:t>
            </w:r>
            <w:r>
              <w:rPr>
                <w:rFonts w:hint="eastAsia" w:ascii="仿宋" w:hAnsi="仿宋" w:eastAsia="仿宋" w:cs="仿宋"/>
                <w:color w:val="auto"/>
                <w:sz w:val="28"/>
                <w:szCs w:val="28"/>
                <w:lang w:val="en-US" w:eastAsia="zh-CN"/>
              </w:rPr>
              <w:t>15203806912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22" w:type="dxa"/>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337"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供应商的资格条件 </w:t>
            </w:r>
          </w:p>
        </w:tc>
        <w:tc>
          <w:tcPr>
            <w:tcW w:w="6599" w:type="dxa"/>
            <w:vAlign w:val="center"/>
          </w:tcPr>
          <w:p>
            <w:pPr>
              <w:spacing w:line="360" w:lineRule="auto"/>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详见磋商公告 二、申请人资格要求</w:t>
            </w:r>
            <w:r>
              <w:rPr>
                <w:b/>
                <w:bCs/>
                <w:color w:val="auto"/>
              </w:rPr>
              <w:t>（以南阳市公共资源交易中心网站企业诚信库</w:t>
            </w:r>
            <w:r>
              <w:rPr>
                <w:b/>
                <w:bCs/>
                <w:color w:val="auto"/>
                <w:lang w:val="zh-CN" w:eastAsia="zh-CN"/>
              </w:rPr>
              <w:t>“基本</w:t>
            </w:r>
            <w:r>
              <w:rPr>
                <w:b/>
                <w:bCs/>
                <w:color w:val="auto"/>
              </w:rPr>
              <w:t>信息”中证件的原件 扫描件为准，本项目实行资格后审，审</w:t>
            </w:r>
            <w:r>
              <w:rPr>
                <w:rFonts w:hint="eastAsia" w:eastAsia="宋体"/>
                <w:b/>
                <w:bCs/>
                <w:color w:val="auto"/>
                <w:highlight w:val="none"/>
                <w:lang w:eastAsia="zh-CN"/>
              </w:rPr>
              <w:t>查</w:t>
            </w:r>
            <w:r>
              <w:rPr>
                <w:b/>
                <w:bCs/>
                <w:color w:val="auto"/>
              </w:rPr>
              <w:t>内容以投标截止时间前填 报上传南阳市公共资源交易中心企业诚信库信息为准，过期更改的诚信库 信息不作为本项目评审依据。开评标现场不接受诚信库信息原件。诚信库 上传信息必须内容齐全，真实有效，原件扫描件清晰可辨。否则，由此造成资格审</w:t>
            </w:r>
            <w:r>
              <w:rPr>
                <w:rFonts w:hint="eastAsia" w:eastAsia="宋体"/>
                <w:b/>
                <w:bCs/>
                <w:color w:val="auto"/>
                <w:highlight w:val="none"/>
                <w:lang w:eastAsia="zh-CN"/>
              </w:rPr>
              <w:t>查</w:t>
            </w:r>
            <w:r>
              <w:rPr>
                <w:b/>
                <w:bCs/>
                <w:color w:val="auto"/>
              </w:rPr>
              <w:t>不合格等情况的，由供应商承担责任。）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822" w:type="dxa"/>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337"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采购内容 </w:t>
            </w:r>
          </w:p>
        </w:tc>
        <w:tc>
          <w:tcPr>
            <w:tcW w:w="6599"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本项目拟对唐河县24座市政桥梁进行检测，</w:t>
            </w:r>
            <w:r>
              <w:rPr>
                <w:rFonts w:hint="eastAsia" w:ascii="仿宋" w:hAnsi="仿宋" w:eastAsia="仿宋" w:cs="仿宋"/>
                <w:color w:val="auto"/>
                <w:sz w:val="28"/>
                <w:szCs w:val="28"/>
              </w:rPr>
              <w:t>详见磋商文件中</w:t>
            </w:r>
            <w:r>
              <w:rPr>
                <w:rFonts w:hint="eastAsia" w:ascii="仿宋" w:hAnsi="仿宋" w:cs="仿宋"/>
                <w:color w:val="auto"/>
                <w:sz w:val="28"/>
                <w:szCs w:val="28"/>
                <w:lang w:val="en-US" w:eastAsia="zh-CN"/>
              </w:rPr>
              <w:t>服务</w:t>
            </w:r>
            <w:r>
              <w:rPr>
                <w:rFonts w:hint="eastAsia" w:ascii="仿宋" w:hAnsi="仿宋" w:eastAsia="仿宋" w:cs="仿宋"/>
                <w:color w:val="auto"/>
                <w:sz w:val="28"/>
                <w:szCs w:val="28"/>
              </w:rPr>
              <w:t xml:space="preserve">内容及要求。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22"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eastAsia" w:ascii="仿宋" w:hAnsi="仿宋" w:eastAsia="仿宋" w:cs="仿宋"/>
                <w:color w:val="auto"/>
                <w:kern w:val="2"/>
                <w:sz w:val="28"/>
                <w:szCs w:val="28"/>
                <w:lang w:val="en-US" w:bidi="ar-SA"/>
              </w:rPr>
            </w:pPr>
            <w:r>
              <w:rPr>
                <w:rFonts w:hint="eastAsia" w:ascii="仿宋" w:hAnsi="仿宋" w:eastAsia="仿宋" w:cs="仿宋"/>
                <w:color w:val="auto"/>
                <w:kern w:val="2"/>
                <w:sz w:val="28"/>
                <w:szCs w:val="28"/>
                <w:lang w:val="en-US" w:bidi="ar-SA"/>
              </w:rPr>
              <w:t>6</w:t>
            </w:r>
          </w:p>
        </w:tc>
        <w:tc>
          <w:tcPr>
            <w:tcW w:w="2337"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textAlignment w:val="auto"/>
              <w:rPr>
                <w:rFonts w:hint="eastAsia" w:ascii="仿宋" w:hAnsi="仿宋" w:eastAsia="仿宋" w:cs="仿宋"/>
                <w:color w:val="auto"/>
                <w:kern w:val="2"/>
                <w:sz w:val="28"/>
                <w:szCs w:val="28"/>
                <w:lang w:val="en-US" w:bidi="ar-SA"/>
              </w:rPr>
            </w:pPr>
            <w:r>
              <w:rPr>
                <w:rFonts w:hint="eastAsia" w:ascii="仿宋" w:hAnsi="仿宋" w:eastAsia="仿宋" w:cs="仿宋"/>
                <w:color w:val="auto"/>
                <w:kern w:val="2"/>
                <w:sz w:val="28"/>
                <w:szCs w:val="28"/>
                <w:lang w:val="en-US" w:bidi="ar-SA"/>
              </w:rPr>
              <w:t xml:space="preserve">合同履行期限 </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textAlignment w:val="auto"/>
              <w:rPr>
                <w:rFonts w:hint="eastAsia" w:ascii="仿宋" w:hAnsi="仿宋" w:eastAsia="仿宋" w:cs="仿宋"/>
                <w:color w:val="auto"/>
                <w:kern w:val="2"/>
                <w:sz w:val="28"/>
                <w:szCs w:val="28"/>
                <w:lang w:val="en-US" w:bidi="ar-SA"/>
              </w:rPr>
            </w:pPr>
            <w:r>
              <w:rPr>
                <w:rFonts w:hint="eastAsia" w:ascii="仿宋" w:hAnsi="仿宋" w:eastAsia="仿宋" w:cs="仿宋"/>
                <w:color w:val="auto"/>
                <w:kern w:val="2"/>
                <w:sz w:val="28"/>
                <w:szCs w:val="28"/>
                <w:lang w:val="en-US" w:bidi="ar-SA"/>
              </w:rPr>
              <w:t>合同签订后</w:t>
            </w:r>
            <w:r>
              <w:rPr>
                <w:rFonts w:hint="eastAsia" w:ascii="仿宋" w:hAnsi="仿宋" w:cs="仿宋"/>
                <w:color w:val="auto"/>
                <w:kern w:val="2"/>
                <w:sz w:val="28"/>
                <w:szCs w:val="28"/>
                <w:lang w:val="en-US" w:eastAsia="zh-CN" w:bidi="ar-SA"/>
              </w:rPr>
              <w:t>90</w:t>
            </w:r>
            <w:r>
              <w:rPr>
                <w:rFonts w:hint="eastAsia" w:ascii="仿宋" w:hAnsi="仿宋" w:eastAsia="仿宋" w:cs="仿宋"/>
                <w:color w:val="auto"/>
                <w:kern w:val="2"/>
                <w:sz w:val="28"/>
                <w:szCs w:val="28"/>
                <w:lang w:val="en-US" w:bidi="ar-SA"/>
              </w:rPr>
              <w:t xml:space="preserve">日历天内。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822"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hint="eastAsia" w:ascii="仿宋" w:hAnsi="仿宋" w:eastAsia="仿宋" w:cs="仿宋"/>
                <w:color w:val="auto"/>
                <w:kern w:val="2"/>
                <w:sz w:val="28"/>
                <w:szCs w:val="28"/>
                <w:lang w:val="en-US" w:bidi="ar-SA"/>
              </w:rPr>
            </w:pPr>
            <w:r>
              <w:rPr>
                <w:rFonts w:hint="eastAsia" w:ascii="仿宋" w:hAnsi="仿宋" w:eastAsia="仿宋" w:cs="仿宋"/>
                <w:color w:val="auto"/>
                <w:kern w:val="2"/>
                <w:sz w:val="28"/>
                <w:szCs w:val="28"/>
                <w:lang w:val="en-US" w:bidi="ar-SA"/>
              </w:rPr>
              <w:t>7</w:t>
            </w:r>
          </w:p>
        </w:tc>
        <w:tc>
          <w:tcPr>
            <w:tcW w:w="2337"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textAlignment w:val="auto"/>
              <w:rPr>
                <w:rFonts w:hint="eastAsia" w:ascii="仿宋" w:hAnsi="仿宋" w:eastAsia="仿宋" w:cs="仿宋"/>
                <w:color w:val="auto"/>
                <w:kern w:val="2"/>
                <w:sz w:val="28"/>
                <w:szCs w:val="28"/>
                <w:lang w:val="en-US" w:bidi="ar-SA"/>
              </w:rPr>
            </w:pPr>
            <w:r>
              <w:rPr>
                <w:rFonts w:hint="eastAsia" w:ascii="仿宋" w:hAnsi="仿宋" w:eastAsia="仿宋" w:cs="仿宋"/>
                <w:color w:val="auto"/>
                <w:kern w:val="2"/>
                <w:sz w:val="28"/>
                <w:szCs w:val="28"/>
                <w:lang w:val="en-US" w:bidi="ar-SA"/>
              </w:rPr>
              <w:t xml:space="preserve">质量要求 </w:t>
            </w:r>
          </w:p>
        </w:tc>
        <w:tc>
          <w:tcPr>
            <w:tcW w:w="6599"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right="0"/>
              <w:textAlignment w:val="auto"/>
              <w:rPr>
                <w:rFonts w:hint="eastAsia" w:ascii="仿宋" w:hAnsi="仿宋" w:eastAsia="仿宋" w:cs="仿宋"/>
                <w:color w:val="auto"/>
                <w:kern w:val="2"/>
                <w:sz w:val="28"/>
                <w:szCs w:val="28"/>
                <w:lang w:val="en-US" w:bidi="ar-SA"/>
              </w:rPr>
            </w:pPr>
            <w:r>
              <w:rPr>
                <w:rFonts w:hint="eastAsia" w:ascii="仿宋" w:hAnsi="仿宋" w:eastAsia="仿宋" w:cs="仿宋"/>
                <w:color w:val="auto"/>
                <w:kern w:val="2"/>
                <w:sz w:val="28"/>
                <w:szCs w:val="28"/>
                <w:lang w:val="en-US" w:bidi="ar-SA"/>
              </w:rPr>
              <w:t xml:space="preserve">合格，符合国家规范标准及要求。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8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lang w:bidi="ar"/>
              </w:rPr>
              <w:t>8</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 w:hAnsi="仿宋" w:eastAsia="仿宋" w:cs="仿宋"/>
                <w:color w:val="auto"/>
                <w:sz w:val="28"/>
                <w:szCs w:val="28"/>
              </w:rPr>
            </w:pPr>
            <w:r>
              <w:rPr>
                <w:rFonts w:hint="eastAsia" w:ascii="仿宋" w:hAnsi="仿宋" w:eastAsia="仿宋" w:cs="仿宋"/>
                <w:color w:val="auto"/>
                <w:sz w:val="28"/>
                <w:szCs w:val="28"/>
                <w:lang w:bidi="ar"/>
              </w:rPr>
              <w:t>资金来源</w:t>
            </w:r>
          </w:p>
        </w:tc>
        <w:tc>
          <w:tcPr>
            <w:tcW w:w="65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8"/>
                <w:szCs w:val="28"/>
              </w:rPr>
            </w:pPr>
            <w:r>
              <w:rPr>
                <w:rFonts w:hint="eastAsia" w:ascii="仿宋" w:hAnsi="仿宋" w:eastAsia="仿宋" w:cs="仿宋"/>
                <w:color w:val="auto"/>
                <w:sz w:val="28"/>
                <w:szCs w:val="28"/>
              </w:rPr>
              <w:t>财政资金，已落实。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22" w:type="dxa"/>
            <w:vAlign w:val="center"/>
          </w:tcPr>
          <w:p>
            <w:pPr>
              <w:spacing w:line="360" w:lineRule="auto"/>
              <w:jc w:val="center"/>
              <w:rPr>
                <w:rFonts w:hint="eastAsia" w:ascii="仿宋" w:hAnsi="仿宋" w:eastAsia="仿宋" w:cs="仿宋"/>
                <w:color w:val="auto"/>
                <w:sz w:val="28"/>
                <w:szCs w:val="28"/>
                <w:lang w:eastAsia="zh-CN"/>
              </w:rPr>
            </w:pPr>
            <w:r>
              <w:rPr>
                <w:rFonts w:hint="eastAsia" w:ascii="仿宋" w:hAnsi="仿宋" w:cs="仿宋"/>
                <w:color w:val="auto"/>
                <w:sz w:val="28"/>
                <w:szCs w:val="28"/>
                <w:lang w:val="en-US" w:eastAsia="zh-CN"/>
              </w:rPr>
              <w:t>9</w:t>
            </w:r>
          </w:p>
        </w:tc>
        <w:tc>
          <w:tcPr>
            <w:tcW w:w="2337"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踏勘现场 </w:t>
            </w:r>
          </w:p>
        </w:tc>
        <w:tc>
          <w:tcPr>
            <w:tcW w:w="6599"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不组织。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vAlign w:val="center"/>
          </w:tcPr>
          <w:p>
            <w:pPr>
              <w:spacing w:line="360" w:lineRule="auto"/>
              <w:jc w:val="center"/>
              <w:rPr>
                <w:rFonts w:hint="default" w:ascii="仿宋" w:hAnsi="仿宋" w:eastAsia="仿宋" w:cs="仿宋"/>
                <w:color w:val="auto"/>
                <w:sz w:val="28"/>
                <w:szCs w:val="28"/>
                <w:lang w:val="en-US" w:eastAsia="zh-CN"/>
              </w:rPr>
            </w:pPr>
            <w:r>
              <w:rPr>
                <w:rFonts w:hint="eastAsia" w:ascii="仿宋" w:hAnsi="仿宋" w:cs="仿宋"/>
                <w:color w:val="auto"/>
                <w:sz w:val="28"/>
                <w:szCs w:val="28"/>
                <w:lang w:val="en-US" w:eastAsia="zh-CN"/>
              </w:rPr>
              <w:t>10</w:t>
            </w:r>
          </w:p>
        </w:tc>
        <w:tc>
          <w:tcPr>
            <w:tcW w:w="2337"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磋商预备会 </w:t>
            </w:r>
          </w:p>
        </w:tc>
        <w:tc>
          <w:tcPr>
            <w:tcW w:w="6599"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不召开。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2" w:type="dxa"/>
            <w:vAlign w:val="center"/>
          </w:tcPr>
          <w:p>
            <w:pPr>
              <w:spacing w:line="360" w:lineRule="auto"/>
              <w:jc w:val="center"/>
              <w:rPr>
                <w:rFonts w:hint="default" w:ascii="仿宋" w:hAnsi="仿宋" w:eastAsia="仿宋" w:cs="仿宋"/>
                <w:color w:val="auto"/>
                <w:sz w:val="28"/>
                <w:szCs w:val="28"/>
                <w:lang w:val="en-US" w:eastAsia="zh-CN"/>
              </w:rPr>
            </w:pPr>
            <w:r>
              <w:rPr>
                <w:rFonts w:hint="eastAsia" w:ascii="仿宋" w:hAnsi="仿宋" w:cs="仿宋"/>
                <w:color w:val="auto"/>
                <w:sz w:val="28"/>
                <w:szCs w:val="28"/>
                <w:lang w:val="en-US" w:eastAsia="zh-CN"/>
              </w:rPr>
              <w:t>11</w:t>
            </w:r>
          </w:p>
        </w:tc>
        <w:tc>
          <w:tcPr>
            <w:tcW w:w="2337"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偏离 </w:t>
            </w:r>
          </w:p>
        </w:tc>
        <w:tc>
          <w:tcPr>
            <w:tcW w:w="6599"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不允许偏离。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22" w:type="dxa"/>
            <w:vAlign w:val="center"/>
          </w:tcPr>
          <w:p>
            <w:pPr>
              <w:spacing w:line="360" w:lineRule="auto"/>
              <w:jc w:val="center"/>
              <w:rPr>
                <w:rFonts w:hint="default" w:ascii="仿宋" w:hAnsi="仿宋" w:eastAsia="仿宋" w:cs="仿宋"/>
                <w:color w:val="auto"/>
                <w:sz w:val="28"/>
                <w:szCs w:val="28"/>
                <w:lang w:val="en-US" w:eastAsia="zh-CN"/>
              </w:rPr>
            </w:pPr>
            <w:r>
              <w:rPr>
                <w:rFonts w:hint="eastAsia" w:ascii="仿宋" w:hAnsi="仿宋" w:cs="仿宋"/>
                <w:color w:val="auto"/>
                <w:sz w:val="28"/>
                <w:szCs w:val="28"/>
                <w:lang w:val="en-US" w:eastAsia="zh-CN"/>
              </w:rPr>
              <w:t>12</w:t>
            </w:r>
          </w:p>
        </w:tc>
        <w:tc>
          <w:tcPr>
            <w:tcW w:w="2337"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构成磋商文件的其他材料 </w:t>
            </w:r>
          </w:p>
        </w:tc>
        <w:tc>
          <w:tcPr>
            <w:tcW w:w="6599"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除磋商文件内容外，采购人在磋商期间发出的有编号的补遗书</w:t>
            </w:r>
            <w:r>
              <w:rPr>
                <w:rFonts w:hint="eastAsia" w:ascii="仿宋" w:hAnsi="仿宋" w:eastAsia="仿宋" w:cs="仿宋"/>
                <w:color w:val="auto"/>
                <w:sz w:val="28"/>
                <w:szCs w:val="28"/>
                <w:highlight w:val="none"/>
              </w:rPr>
              <w:t>和其它</w:t>
            </w:r>
            <w:r>
              <w:rPr>
                <w:rFonts w:hint="eastAsia" w:ascii="仿宋" w:hAnsi="仿宋" w:eastAsia="仿宋" w:cs="仿宋"/>
                <w:color w:val="auto"/>
                <w:sz w:val="28"/>
                <w:szCs w:val="28"/>
              </w:rPr>
              <w:t>有效正式函件，均是磋商文件的组成部分，请各投标单位及时关注以下网站</w:t>
            </w:r>
            <w:r>
              <w:rPr>
                <w:rFonts w:hint="eastAsia" w:ascii="仿宋" w:hAnsi="仿宋" w:cs="仿宋"/>
                <w:color w:val="auto"/>
                <w:sz w:val="28"/>
                <w:szCs w:val="28"/>
                <w:lang w:eastAsia="zh-CN"/>
              </w:rPr>
              <w:t>《中国招标投标公共服务平台》、《</w:t>
            </w:r>
            <w:r>
              <w:rPr>
                <w:rFonts w:hint="eastAsia" w:ascii="仿宋" w:hAnsi="仿宋" w:cs="仿宋"/>
                <w:color w:val="auto"/>
                <w:sz w:val="28"/>
                <w:szCs w:val="28"/>
                <w:lang w:val="en-US" w:eastAsia="zh-CN"/>
              </w:rPr>
              <w:t>南阳市</w:t>
            </w:r>
            <w:r>
              <w:rPr>
                <w:rFonts w:hint="eastAsia" w:ascii="仿宋" w:hAnsi="仿宋" w:cs="仿宋"/>
                <w:color w:val="auto"/>
                <w:sz w:val="28"/>
                <w:szCs w:val="28"/>
                <w:lang w:eastAsia="zh-CN"/>
              </w:rPr>
              <w:t>政府采购网》、《河南省政府采购网》和《唐河县公共资源交易中心》</w:t>
            </w:r>
            <w:r>
              <w:rPr>
                <w:rFonts w:hint="eastAsia" w:ascii="仿宋" w:hAnsi="仿宋" w:eastAsia="仿宋" w:cs="仿宋"/>
                <w:color w:val="auto"/>
                <w:sz w:val="28"/>
                <w:szCs w:val="28"/>
              </w:rPr>
              <w:t xml:space="preserve">上发布的有关本项目的信息。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13</w:t>
            </w:r>
          </w:p>
        </w:tc>
        <w:tc>
          <w:tcPr>
            <w:tcW w:w="2337"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磋商控制价</w:t>
            </w:r>
          </w:p>
        </w:tc>
        <w:tc>
          <w:tcPr>
            <w:tcW w:w="6599"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磋商</w:t>
            </w:r>
            <w:r>
              <w:rPr>
                <w:rFonts w:hint="eastAsia" w:ascii="仿宋" w:hAnsi="仿宋" w:cs="仿宋"/>
                <w:color w:val="auto"/>
                <w:sz w:val="28"/>
                <w:szCs w:val="28"/>
                <w:lang w:val="en-US" w:eastAsia="zh-CN"/>
              </w:rPr>
              <w:t>最高</w:t>
            </w:r>
            <w:r>
              <w:rPr>
                <w:rFonts w:hint="eastAsia" w:ascii="仿宋" w:hAnsi="仿宋" w:eastAsia="仿宋" w:cs="仿宋"/>
                <w:color w:val="auto"/>
                <w:sz w:val="28"/>
                <w:szCs w:val="28"/>
              </w:rPr>
              <w:t>控制价：</w:t>
            </w:r>
          </w:p>
          <w:p>
            <w:pPr>
              <w:pStyle w:val="8"/>
              <w:autoSpaceDE/>
              <w:autoSpaceDN/>
              <w:spacing w:line="360" w:lineRule="auto"/>
              <w:ind w:left="0" w:leftChars="0" w:firstLine="0" w:firstLineChars="0"/>
              <w:rPr>
                <w:rFonts w:hint="default" w:ascii="仿宋" w:hAnsi="仿宋" w:eastAsia="仿宋" w:cs="仿宋"/>
                <w:b/>
                <w:bCs/>
                <w:color w:val="auto"/>
                <w:kern w:val="2"/>
                <w:sz w:val="28"/>
                <w:szCs w:val="28"/>
                <w:highlight w:val="none"/>
                <w:lang w:val="en-US" w:eastAsia="zh-CN" w:bidi="ar"/>
              </w:rPr>
            </w:pPr>
            <w:r>
              <w:rPr>
                <w:rFonts w:hint="eastAsia" w:ascii="仿宋" w:hAnsi="仿宋" w:eastAsia="仿宋" w:cs="仿宋"/>
                <w:b/>
                <w:bCs/>
                <w:color w:val="auto"/>
                <w:kern w:val="2"/>
                <w:sz w:val="28"/>
                <w:szCs w:val="28"/>
                <w:highlight w:val="none"/>
                <w:lang w:val="en-US" w:eastAsia="zh-CN" w:bidi="ar"/>
              </w:rPr>
              <w:t>大写：壹佰叁拾伍万元整</w:t>
            </w:r>
          </w:p>
          <w:p>
            <w:pPr>
              <w:pStyle w:val="8"/>
              <w:autoSpaceDE/>
              <w:autoSpaceDN/>
              <w:spacing w:line="360" w:lineRule="auto"/>
              <w:ind w:left="0" w:leftChars="0" w:firstLine="0" w:firstLineChars="0"/>
              <w:rPr>
                <w:rFonts w:hint="default"/>
                <w:color w:val="auto"/>
                <w:lang w:val="en-US" w:eastAsia="zh-CN"/>
              </w:rPr>
            </w:pPr>
            <w:r>
              <w:rPr>
                <w:rFonts w:hint="eastAsia" w:ascii="仿宋" w:hAnsi="仿宋" w:eastAsia="仿宋" w:cs="仿宋"/>
                <w:b/>
                <w:bCs/>
                <w:color w:val="auto"/>
                <w:kern w:val="2"/>
                <w:sz w:val="28"/>
                <w:szCs w:val="28"/>
                <w:highlight w:val="none"/>
                <w:lang w:val="en-US" w:eastAsia="zh-CN" w:bidi="ar"/>
              </w:rPr>
              <w:t>小写：1350000.00元</w:t>
            </w:r>
          </w:p>
          <w:p>
            <w:pPr>
              <w:spacing w:line="360" w:lineRule="auto"/>
              <w:jc w:val="both"/>
              <w:rPr>
                <w:rFonts w:hint="eastAsia" w:ascii="仿宋" w:hAnsi="仿宋" w:eastAsia="仿宋" w:cs="仿宋"/>
                <w:color w:val="auto"/>
                <w:sz w:val="28"/>
                <w:szCs w:val="28"/>
              </w:rPr>
            </w:pPr>
            <w:r>
              <w:rPr>
                <w:rFonts w:hint="eastAsia" w:ascii="仿宋" w:hAnsi="仿宋" w:eastAsia="仿宋" w:cs="仿宋"/>
                <w:b/>
                <w:bCs/>
                <w:color w:val="auto"/>
                <w:sz w:val="28"/>
                <w:szCs w:val="28"/>
              </w:rPr>
              <w:t>注：供应商的磋商报价不得超过磋商</w:t>
            </w:r>
            <w:r>
              <w:rPr>
                <w:rFonts w:hint="eastAsia" w:ascii="仿宋" w:hAnsi="仿宋" w:cs="仿宋"/>
                <w:b/>
                <w:bCs/>
                <w:color w:val="auto"/>
                <w:sz w:val="28"/>
                <w:szCs w:val="28"/>
                <w:lang w:val="en-US" w:eastAsia="zh-CN"/>
              </w:rPr>
              <w:t>最高</w:t>
            </w:r>
            <w:r>
              <w:rPr>
                <w:rFonts w:hint="eastAsia" w:ascii="仿宋" w:hAnsi="仿宋" w:eastAsia="仿宋" w:cs="仿宋"/>
                <w:b/>
                <w:bCs/>
                <w:color w:val="auto"/>
                <w:sz w:val="28"/>
                <w:szCs w:val="28"/>
              </w:rPr>
              <w:t>控制价，否则按废标处理。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9"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14</w:t>
            </w:r>
          </w:p>
        </w:tc>
        <w:tc>
          <w:tcPr>
            <w:tcW w:w="2337"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磋商文件的发售方式及领取时间、地点 </w:t>
            </w:r>
          </w:p>
        </w:tc>
        <w:tc>
          <w:tcPr>
            <w:tcW w:w="6599"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详见磋商公告。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5"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15</w:t>
            </w:r>
          </w:p>
        </w:tc>
        <w:tc>
          <w:tcPr>
            <w:tcW w:w="2337" w:type="dxa"/>
            <w:vAlign w:val="center"/>
          </w:tcPr>
          <w:p>
            <w:pPr>
              <w:spacing w:line="360" w:lineRule="auto"/>
              <w:jc w:val="both"/>
              <w:rPr>
                <w:rFonts w:hint="eastAsia" w:ascii="仿宋" w:hAnsi="仿宋" w:eastAsia="仿宋" w:cs="仿宋"/>
                <w:color w:val="auto"/>
                <w:sz w:val="28"/>
                <w:szCs w:val="28"/>
              </w:rPr>
            </w:pP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文件递交截止时间（同磋商时间） </w:t>
            </w:r>
          </w:p>
        </w:tc>
        <w:tc>
          <w:tcPr>
            <w:tcW w:w="6599"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详见磋商公告。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16</w:t>
            </w:r>
          </w:p>
        </w:tc>
        <w:tc>
          <w:tcPr>
            <w:tcW w:w="2337"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磋商文件递交地点（同磋商地点）</w:t>
            </w:r>
          </w:p>
        </w:tc>
        <w:tc>
          <w:tcPr>
            <w:tcW w:w="6599"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详见磋商公告。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17</w:t>
            </w:r>
          </w:p>
        </w:tc>
        <w:tc>
          <w:tcPr>
            <w:tcW w:w="2337"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磋商保证金 </w:t>
            </w:r>
          </w:p>
        </w:tc>
        <w:tc>
          <w:tcPr>
            <w:tcW w:w="6599"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本项目</w:t>
            </w:r>
            <w:r>
              <w:rPr>
                <w:rFonts w:hint="eastAsia" w:ascii="仿宋" w:hAnsi="仿宋" w:cs="仿宋"/>
                <w:color w:val="auto"/>
                <w:sz w:val="28"/>
                <w:szCs w:val="28"/>
                <w:lang w:val="en-US" w:eastAsia="zh-CN"/>
              </w:rPr>
              <w:t>不</w:t>
            </w:r>
            <w:r>
              <w:rPr>
                <w:rFonts w:hint="eastAsia" w:ascii="仿宋" w:hAnsi="仿宋" w:eastAsia="仿宋" w:cs="仿宋"/>
                <w:color w:val="auto"/>
                <w:sz w:val="28"/>
                <w:szCs w:val="28"/>
              </w:rPr>
              <w:t>收投标保证金。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18</w:t>
            </w:r>
          </w:p>
        </w:tc>
        <w:tc>
          <w:tcPr>
            <w:tcW w:w="2337"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近三年 </w:t>
            </w:r>
          </w:p>
        </w:tc>
        <w:tc>
          <w:tcPr>
            <w:tcW w:w="6599"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cs="仿宋"/>
                <w:color w:val="auto"/>
                <w:sz w:val="28"/>
                <w:szCs w:val="28"/>
                <w:lang w:val="en-US" w:eastAsia="zh-CN"/>
              </w:rPr>
              <w:t>20</w:t>
            </w:r>
            <w:r>
              <w:rPr>
                <w:rFonts w:hint="eastAsia" w:ascii="仿宋" w:hAnsi="仿宋" w:eastAsia="仿宋" w:cs="仿宋"/>
                <w:color w:val="auto"/>
                <w:sz w:val="28"/>
                <w:szCs w:val="28"/>
              </w:rPr>
              <w:t>年1月1日至今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19</w:t>
            </w:r>
          </w:p>
        </w:tc>
        <w:tc>
          <w:tcPr>
            <w:tcW w:w="2337"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类似业绩 </w:t>
            </w:r>
          </w:p>
        </w:tc>
        <w:tc>
          <w:tcPr>
            <w:tcW w:w="6599"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指20</w:t>
            </w:r>
            <w:r>
              <w:rPr>
                <w:rFonts w:hint="eastAsia" w:ascii="仿宋" w:hAnsi="仿宋" w:cs="仿宋"/>
                <w:color w:val="auto"/>
                <w:sz w:val="28"/>
                <w:szCs w:val="28"/>
                <w:lang w:val="en-US" w:eastAsia="zh-CN"/>
              </w:rPr>
              <w:t>21</w:t>
            </w:r>
            <w:r>
              <w:rPr>
                <w:rFonts w:hint="eastAsia" w:ascii="仿宋" w:hAnsi="仿宋" w:eastAsia="仿宋" w:cs="仿宋"/>
                <w:color w:val="auto"/>
                <w:sz w:val="28"/>
                <w:szCs w:val="28"/>
              </w:rPr>
              <w:t xml:space="preserve">年1月1日至今类似项目业绩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20</w:t>
            </w:r>
          </w:p>
        </w:tc>
        <w:tc>
          <w:tcPr>
            <w:tcW w:w="2337"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磋商有效期 </w:t>
            </w:r>
          </w:p>
        </w:tc>
        <w:tc>
          <w:tcPr>
            <w:tcW w:w="6599"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自磋商截止之日起 60 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21</w:t>
            </w:r>
          </w:p>
        </w:tc>
        <w:tc>
          <w:tcPr>
            <w:tcW w:w="2337"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是否允许递交备选响应文件 </w:t>
            </w:r>
          </w:p>
        </w:tc>
        <w:tc>
          <w:tcPr>
            <w:tcW w:w="6599"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不允许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22</w:t>
            </w:r>
          </w:p>
        </w:tc>
        <w:tc>
          <w:tcPr>
            <w:tcW w:w="2337"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签字和盖章要求</w:t>
            </w:r>
          </w:p>
        </w:tc>
        <w:tc>
          <w:tcPr>
            <w:tcW w:w="6599" w:type="dxa"/>
            <w:vAlign w:val="center"/>
          </w:tcPr>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供应商需按磋商文件的格式，在规定的地方进行法定代表人电子签名、加盖供应商电子公章。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23</w:t>
            </w:r>
          </w:p>
        </w:tc>
        <w:tc>
          <w:tcPr>
            <w:tcW w:w="2337" w:type="dxa"/>
            <w:vAlign w:val="center"/>
          </w:tcPr>
          <w:p>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电子</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递交 </w:t>
            </w:r>
          </w:p>
        </w:tc>
        <w:tc>
          <w:tcPr>
            <w:tcW w:w="6599" w:type="dxa"/>
            <w:vAlign w:val="center"/>
          </w:tcPr>
          <w:p>
            <w:pPr>
              <w:numPr>
                <w:ilvl w:val="0"/>
                <w:numId w:val="1"/>
              </w:num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供应商应需要使用“新点响应文件制作软件（南阳版）”制作</w:t>
            </w:r>
            <w:r>
              <w:rPr>
                <w:rFonts w:hint="eastAsia" w:ascii="仿宋" w:hAnsi="仿宋" w:cs="仿宋"/>
                <w:color w:val="auto"/>
                <w:sz w:val="28"/>
                <w:szCs w:val="28"/>
                <w:lang w:eastAsia="zh-CN"/>
              </w:rPr>
              <w:t>（</w:t>
            </w:r>
            <w:r>
              <w:rPr>
                <w:rFonts w:hint="eastAsia" w:ascii="仿宋" w:hAnsi="仿宋" w:eastAsia="仿宋" w:cs="仿宋"/>
                <w:color w:val="auto"/>
                <w:sz w:val="28"/>
                <w:szCs w:val="28"/>
              </w:rPr>
              <w:t>加密电子响应文件格式后缀为.nytf)。供应商上传时必须得到系统“上传成功”的确认回复， 并认真检查电子响应文件是否完整、正确。</w:t>
            </w:r>
          </w:p>
          <w:p>
            <w:pPr>
              <w:numPr>
                <w:ilvl w:val="0"/>
                <w:numId w:val="0"/>
              </w:numPr>
              <w:spacing w:line="360" w:lineRule="auto"/>
              <w:ind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递交网址： </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"http://www.thggzy.cn/"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http://www.th</w:t>
            </w:r>
            <w:r>
              <w:rPr>
                <w:rFonts w:hint="eastAsia" w:ascii="仿宋" w:hAnsi="仿宋" w:eastAsia="仿宋" w:cs="仿宋"/>
                <w:color w:val="auto"/>
                <w:sz w:val="28"/>
                <w:szCs w:val="28"/>
                <w:highlight w:val="none"/>
              </w:rPr>
              <w:t>gg</w:t>
            </w:r>
            <w:r>
              <w:rPr>
                <w:rFonts w:hint="eastAsia" w:ascii="仿宋" w:hAnsi="仿宋" w:eastAsia="仿宋" w:cs="仿宋"/>
                <w:color w:val="auto"/>
                <w:sz w:val="28"/>
                <w:szCs w:val="28"/>
              </w:rPr>
              <w:t>zy.cn/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p>
          <w:p>
            <w:pPr>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2、供应商的电子响应文件应在磋商文件规定的磋商截止时间前到达交易系统。逾期到达交易系统的电子响应文件视为放弃本次磋商。 </w:t>
            </w:r>
          </w:p>
          <w:p>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3、供应商所递交的电子响应文件在磋商截止时间之后不予退回。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24</w:t>
            </w:r>
          </w:p>
        </w:tc>
        <w:tc>
          <w:tcPr>
            <w:tcW w:w="2337" w:type="dxa"/>
            <w:vAlign w:val="center"/>
          </w:tcPr>
          <w:p>
            <w:pPr>
              <w:spacing w:line="360" w:lineRule="auto"/>
              <w:ind w:left="0" w:leftChars="0" w:right="0"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是否采用电子招投标</w:t>
            </w:r>
          </w:p>
        </w:tc>
        <w:tc>
          <w:tcPr>
            <w:tcW w:w="6599" w:type="dxa"/>
            <w:vAlign w:val="center"/>
          </w:tcPr>
          <w:p>
            <w:pPr>
              <w:numPr>
                <w:ilvl w:val="0"/>
                <w:numId w:val="0"/>
              </w:numPr>
              <w:spacing w:line="360" w:lineRule="auto"/>
              <w:ind w:left="0" w:leftChars="0" w:right="0" w:rightChars="0" w:firstLine="0" w:firstLineChars="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是，本项目实行电子招投标，供应商需编制电子响应文件，并按电子响应文件递交要求上传电子响应文件。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1"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25</w:t>
            </w:r>
          </w:p>
        </w:tc>
        <w:tc>
          <w:tcPr>
            <w:tcW w:w="2337" w:type="dxa"/>
            <w:vAlign w:val="center"/>
          </w:tcPr>
          <w:p>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磋商小组的组建 </w:t>
            </w:r>
          </w:p>
        </w:tc>
        <w:tc>
          <w:tcPr>
            <w:tcW w:w="6599" w:type="dxa"/>
            <w:vAlign w:val="center"/>
          </w:tcPr>
          <w:p>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磋商小组构成：由专家</w:t>
            </w:r>
            <w:r>
              <w:rPr>
                <w:rFonts w:hint="eastAsia" w:ascii="仿宋" w:hAnsi="仿宋" w:cs="仿宋"/>
                <w:color w:val="auto"/>
                <w:sz w:val="28"/>
                <w:szCs w:val="28"/>
                <w:lang w:val="en-US" w:eastAsia="zh-CN"/>
              </w:rPr>
              <w:t>3</w:t>
            </w:r>
            <w:r>
              <w:rPr>
                <w:rFonts w:hint="eastAsia" w:ascii="仿宋" w:hAnsi="仿宋" w:eastAsia="仿宋" w:cs="仿宋"/>
                <w:color w:val="auto"/>
                <w:sz w:val="28"/>
                <w:szCs w:val="28"/>
              </w:rPr>
              <w:t>人组成；采购人</w:t>
            </w:r>
            <w:r>
              <w:rPr>
                <w:rFonts w:hint="eastAsia" w:ascii="仿宋" w:hAnsi="仿宋" w:cs="仿宋"/>
                <w:color w:val="auto"/>
                <w:sz w:val="28"/>
                <w:szCs w:val="28"/>
                <w:lang w:val="en-US" w:eastAsia="zh-CN"/>
              </w:rPr>
              <w:t>1</w:t>
            </w:r>
            <w:r>
              <w:rPr>
                <w:rFonts w:hint="eastAsia" w:ascii="仿宋" w:hAnsi="仿宋" w:eastAsia="仿宋" w:cs="仿宋"/>
                <w:color w:val="auto"/>
                <w:sz w:val="28"/>
                <w:szCs w:val="28"/>
              </w:rPr>
              <w:t>人，专家</w:t>
            </w:r>
            <w:r>
              <w:rPr>
                <w:rFonts w:hint="eastAsia" w:ascii="仿宋" w:hAnsi="仿宋" w:cs="仿宋"/>
                <w:color w:val="auto"/>
                <w:sz w:val="28"/>
                <w:szCs w:val="28"/>
                <w:lang w:val="en-US" w:eastAsia="zh-CN"/>
              </w:rPr>
              <w:t>2</w:t>
            </w:r>
            <w:r>
              <w:rPr>
                <w:rFonts w:hint="eastAsia" w:ascii="仿宋" w:hAnsi="仿宋" w:eastAsia="仿宋" w:cs="仿宋"/>
                <w:color w:val="auto"/>
                <w:sz w:val="28"/>
                <w:szCs w:val="28"/>
              </w:rPr>
              <w:t>名；评审专家确定方式：开标前由采购人在监督单位监督下，按相关规定从政府采购专家库中随机抽取评标专家。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26</w:t>
            </w:r>
          </w:p>
        </w:tc>
        <w:tc>
          <w:tcPr>
            <w:tcW w:w="2337" w:type="dxa"/>
            <w:vAlign w:val="center"/>
          </w:tcPr>
          <w:p>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评审方法 </w:t>
            </w:r>
          </w:p>
        </w:tc>
        <w:tc>
          <w:tcPr>
            <w:tcW w:w="6599" w:type="dxa"/>
            <w:vAlign w:val="center"/>
          </w:tcPr>
          <w:p>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详见磋商文件的评审办法。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27</w:t>
            </w:r>
          </w:p>
        </w:tc>
        <w:tc>
          <w:tcPr>
            <w:tcW w:w="2337" w:type="dxa"/>
            <w:vAlign w:val="center"/>
          </w:tcPr>
          <w:p>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成交公示 </w:t>
            </w:r>
          </w:p>
        </w:tc>
        <w:tc>
          <w:tcPr>
            <w:tcW w:w="6599" w:type="dxa"/>
            <w:vAlign w:val="center"/>
          </w:tcPr>
          <w:p>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代理机构接到采购人通知后，将在成交公示信息在同一媒体上发布成交结果公示</w:t>
            </w:r>
            <w:r>
              <w:rPr>
                <w:rFonts w:hint="eastAsia" w:ascii="仿宋" w:hAnsi="仿宋" w:cs="仿宋"/>
                <w:color w:val="auto"/>
                <w:sz w:val="28"/>
                <w:szCs w:val="28"/>
                <w:lang w:eastAsia="zh-CN"/>
              </w:rPr>
              <w:t>，</w:t>
            </w:r>
            <w:r>
              <w:rPr>
                <w:rFonts w:hint="eastAsia" w:ascii="仿宋" w:hAnsi="仿宋" w:cs="仿宋"/>
                <w:color w:val="auto"/>
                <w:sz w:val="28"/>
                <w:szCs w:val="28"/>
                <w:lang w:val="en-US" w:eastAsia="zh-CN"/>
              </w:rPr>
              <w:t>公示期1日</w:t>
            </w:r>
            <w:r>
              <w:rPr>
                <w:rFonts w:hint="eastAsia" w:ascii="仿宋" w:hAnsi="仿宋" w:eastAsia="仿宋" w:cs="仿宋"/>
                <w:color w:val="auto"/>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28</w:t>
            </w:r>
          </w:p>
        </w:tc>
        <w:tc>
          <w:tcPr>
            <w:tcW w:w="2337" w:type="dxa"/>
            <w:vAlign w:val="center"/>
          </w:tcPr>
          <w:p>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履约保证金 </w:t>
            </w:r>
          </w:p>
        </w:tc>
        <w:tc>
          <w:tcPr>
            <w:tcW w:w="6599" w:type="dxa"/>
            <w:vAlign w:val="center"/>
          </w:tcPr>
          <w:p>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本项目</w:t>
            </w:r>
            <w:r>
              <w:rPr>
                <w:rFonts w:hint="eastAsia" w:ascii="仿宋" w:hAnsi="仿宋" w:cs="仿宋"/>
                <w:color w:val="auto"/>
                <w:sz w:val="28"/>
                <w:szCs w:val="28"/>
                <w:lang w:val="en-US" w:eastAsia="zh-CN"/>
              </w:rPr>
              <w:t>免</w:t>
            </w:r>
            <w:r>
              <w:rPr>
                <w:rFonts w:hint="eastAsia" w:ascii="仿宋" w:hAnsi="仿宋" w:eastAsia="仿宋" w:cs="仿宋"/>
                <w:color w:val="auto"/>
                <w:sz w:val="28"/>
                <w:szCs w:val="28"/>
              </w:rPr>
              <w:t>收履约保证金。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29</w:t>
            </w:r>
          </w:p>
        </w:tc>
        <w:tc>
          <w:tcPr>
            <w:tcW w:w="2337" w:type="dxa"/>
            <w:vAlign w:val="center"/>
          </w:tcPr>
          <w:p>
            <w:pPr>
              <w:spacing w:line="360" w:lineRule="auto"/>
              <w:ind w:left="0" w:leftChars="0" w:right="0"/>
              <w:jc w:val="both"/>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 xml:space="preserve">付款方式及要求 </w:t>
            </w:r>
          </w:p>
        </w:tc>
        <w:tc>
          <w:tcPr>
            <w:tcW w:w="6599" w:type="dxa"/>
            <w:vAlign w:val="center"/>
          </w:tcPr>
          <w:p>
            <w:pPr>
              <w:spacing w:line="360" w:lineRule="auto"/>
              <w:ind w:left="0" w:leftChars="0" w:right="0"/>
              <w:jc w:val="both"/>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color w:val="auto"/>
                <w:sz w:val="28"/>
                <w:szCs w:val="28"/>
                <w:lang w:val="en-US" w:eastAsia="zh-CN" w:bidi="ar"/>
              </w:rPr>
              <w:t>成交供应商与采购人签订合同后，技术咨询、检测类以提供最终成果报告支付服务费用。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30</w:t>
            </w:r>
          </w:p>
        </w:tc>
        <w:tc>
          <w:tcPr>
            <w:tcW w:w="2337" w:type="dxa"/>
            <w:vAlign w:val="center"/>
          </w:tcPr>
          <w:p>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开标程序 </w:t>
            </w:r>
          </w:p>
        </w:tc>
        <w:tc>
          <w:tcPr>
            <w:tcW w:w="6599" w:type="dxa"/>
            <w:vAlign w:val="center"/>
          </w:tcPr>
          <w:p>
            <w:pPr>
              <w:spacing w:line="360" w:lineRule="auto"/>
              <w:ind w:left="0" w:leftChars="0" w:right="0"/>
              <w:jc w:val="both"/>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1、供应商代表持本单位CA数字证书需提前登录不见面开标系统。</w:t>
            </w:r>
          </w:p>
          <w:p>
            <w:pPr>
              <w:spacing w:line="360" w:lineRule="auto"/>
              <w:ind w:left="0" w:leftChars="0" w:right="0"/>
              <w:jc w:val="both"/>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2、投标时间截止，在线公布供应商、采购人代表、监标人等有关名单。主持人（代理公司）根据响应文件递交实际情况来确定有效供应商，并退回不符合要求的响应文件。</w:t>
            </w:r>
          </w:p>
          <w:p>
            <w:pPr>
              <w:spacing w:line="360" w:lineRule="auto"/>
              <w:ind w:left="0" w:leftChars="0" w:right="0"/>
              <w:jc w:val="both"/>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3、开标顺序：</w:t>
            </w:r>
          </w:p>
          <w:p>
            <w:pPr>
              <w:spacing w:line="360" w:lineRule="auto"/>
              <w:ind w:left="0" w:leftChars="0" w:right="0"/>
              <w:jc w:val="both"/>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①供应商解密：投标企业制作电子响应文件时，必须使用本单位企业数字证书进行加密，投标企业在开标前须自行检查数字证书有效性。在解密时间到达后，系统作出解密提示，请各供应商自行解密即可。开标解密时未解密成功的视为撤销其响应文件（因电子开标系统原因除外）。</w:t>
            </w:r>
          </w:p>
          <w:p>
            <w:pPr>
              <w:spacing w:line="360" w:lineRule="auto"/>
              <w:ind w:left="0" w:leftChars="0" w:right="0"/>
              <w:jc w:val="both"/>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②采购人解密。采购人或其委托的代理机构持有本单位CA数字证书进行二次解密。</w:t>
            </w:r>
          </w:p>
          <w:p>
            <w:pPr>
              <w:spacing w:line="360" w:lineRule="auto"/>
              <w:ind w:left="0" w:leftChars="0" w:right="0"/>
              <w:jc w:val="both"/>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③唱标。查看唱标信息（系统不提供语音在线播放，该页面停留5分钟供供应商查看，如无异议视为同意）。采购人、监督人需要关注开标过程中，供应商随时在线提出的异议、问题沟通等信息，并做好及时回复；</w:t>
            </w:r>
          </w:p>
          <w:p>
            <w:pPr>
              <w:spacing w:line="360" w:lineRule="auto"/>
              <w:ind w:left="0" w:leftChars="0" w:right="0"/>
              <w:jc w:val="both"/>
              <w:rPr>
                <w:rFonts w:hint="eastAsia" w:ascii="仿宋" w:hAnsi="仿宋" w:eastAsia="仿宋" w:cs="仿宋"/>
                <w:color w:val="auto"/>
                <w:sz w:val="28"/>
                <w:szCs w:val="28"/>
                <w:lang w:val="zh-CN" w:eastAsia="zh-CN" w:bidi="zh-CN"/>
              </w:rPr>
            </w:pPr>
            <w:r>
              <w:rPr>
                <w:rFonts w:hint="eastAsia" w:ascii="仿宋" w:hAnsi="仿宋" w:cs="仿宋"/>
                <w:color w:val="auto"/>
                <w:sz w:val="28"/>
                <w:szCs w:val="28"/>
                <w:lang w:val="en-US" w:eastAsia="zh-CN"/>
              </w:rPr>
              <w:t>④采购人、监督人等相关人员在开标记录表上（可进入原评标系统直接打印）签字确认</w:t>
            </w:r>
            <w:r>
              <w:rPr>
                <w:rFonts w:hint="eastAsia" w:ascii="仿宋" w:hAnsi="仿宋" w:cs="仿宋"/>
                <w:color w:val="auto"/>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31</w:t>
            </w:r>
          </w:p>
        </w:tc>
        <w:tc>
          <w:tcPr>
            <w:tcW w:w="2337" w:type="dxa"/>
            <w:vAlign w:val="center"/>
          </w:tcPr>
          <w:p>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供应商代表出席开标会要求 </w:t>
            </w:r>
          </w:p>
        </w:tc>
        <w:tc>
          <w:tcPr>
            <w:tcW w:w="6599" w:type="dxa"/>
            <w:vAlign w:val="center"/>
          </w:tcPr>
          <w:p>
            <w:pPr>
              <w:spacing w:line="360" w:lineRule="auto"/>
              <w:ind w:left="0" w:leftChars="0"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代表持本单位CA数字证书需提前登录不见面</w:t>
            </w:r>
            <w:r>
              <w:rPr>
                <w:rFonts w:hint="eastAsia" w:ascii="仿宋" w:hAnsi="仿宋" w:eastAsia="仿宋" w:cs="仿宋"/>
                <w:color w:val="auto"/>
                <w:sz w:val="28"/>
                <w:szCs w:val="28"/>
                <w:lang w:val="en-US" w:eastAsia="zh-CN"/>
              </w:rPr>
              <w:t>开标系统</w:t>
            </w:r>
            <w:r>
              <w:rPr>
                <w:rFonts w:hint="eastAsia" w:ascii="仿宋" w:hAnsi="仿宋" w:eastAsia="仿宋" w:cs="仿宋"/>
                <w:color w:val="auto"/>
                <w:sz w:val="28"/>
                <w:szCs w:val="28"/>
                <w:lang w:val="en-US"/>
              </w:rPr>
              <w:t>。投标时间截止，在线公布</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w:t>
            </w:r>
            <w:r>
              <w:rPr>
                <w:rFonts w:hint="eastAsia" w:ascii="仿宋" w:hAnsi="仿宋" w:eastAsia="仿宋" w:cs="仿宋"/>
                <w:color w:val="auto"/>
                <w:sz w:val="28"/>
                <w:szCs w:val="28"/>
                <w:lang w:val="en-US" w:eastAsia="zh-CN"/>
              </w:rPr>
              <w:t>采购人</w:t>
            </w:r>
            <w:r>
              <w:rPr>
                <w:rFonts w:hint="eastAsia" w:ascii="仿宋" w:hAnsi="仿宋" w:eastAsia="仿宋" w:cs="仿宋"/>
                <w:color w:val="auto"/>
                <w:sz w:val="28"/>
                <w:szCs w:val="28"/>
                <w:lang w:val="en-US"/>
              </w:rPr>
              <w:t>代表、监标人等有关名单。主持人（代理公司）根据</w:t>
            </w:r>
            <w:r>
              <w:rPr>
                <w:rFonts w:hint="eastAsia" w:ascii="仿宋" w:hAnsi="仿宋" w:eastAsia="仿宋" w:cs="仿宋"/>
                <w:color w:val="auto"/>
                <w:sz w:val="28"/>
                <w:szCs w:val="28"/>
                <w:lang w:val="en-US" w:eastAsia="zh-CN"/>
              </w:rPr>
              <w:t>响应文件递交实际情况</w:t>
            </w:r>
            <w:r>
              <w:rPr>
                <w:rFonts w:hint="eastAsia" w:ascii="仿宋" w:hAnsi="仿宋" w:eastAsia="仿宋" w:cs="仿宋"/>
                <w:color w:val="auto"/>
                <w:sz w:val="28"/>
                <w:szCs w:val="28"/>
                <w:lang w:val="en-US"/>
              </w:rPr>
              <w:t>来确定有效</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lang w:val="en-US"/>
              </w:rPr>
              <w:t>，并退回不符合要求的</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lang w:val="en-US"/>
              </w:rPr>
              <w:t>。</w:t>
            </w:r>
            <w:r>
              <w:rPr>
                <w:rFonts w:hint="eastAsia" w:ascii="仿宋" w:hAnsi="仿宋" w:eastAsia="仿宋" w:cs="仿宋"/>
                <w:color w:val="auto"/>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32</w:t>
            </w:r>
          </w:p>
        </w:tc>
        <w:tc>
          <w:tcPr>
            <w:tcW w:w="2337" w:type="dxa"/>
            <w:vAlign w:val="center"/>
          </w:tcPr>
          <w:p>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监督 </w:t>
            </w:r>
          </w:p>
        </w:tc>
        <w:tc>
          <w:tcPr>
            <w:tcW w:w="6599" w:type="dxa"/>
            <w:vAlign w:val="center"/>
          </w:tcPr>
          <w:p>
            <w:pPr>
              <w:spacing w:line="360" w:lineRule="auto"/>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 xml:space="preserve">本项目的招标投标活动及其相关当事人应当接受有管辖权的招标投标行政监督部门依法实施的监督。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33</w:t>
            </w:r>
          </w:p>
        </w:tc>
        <w:tc>
          <w:tcPr>
            <w:tcW w:w="2337" w:type="dxa"/>
            <w:vAlign w:val="center"/>
          </w:tcPr>
          <w:p>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解释权 </w:t>
            </w:r>
          </w:p>
        </w:tc>
        <w:tc>
          <w:tcPr>
            <w:tcW w:w="6599" w:type="dxa"/>
            <w:vAlign w:val="center"/>
          </w:tcPr>
          <w:p>
            <w:pPr>
              <w:spacing w:line="360" w:lineRule="auto"/>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构成本磋商文件的各个组成文件应互为解释，互为说明；如有不明确或不一致，构成合同文件组成内容的，以合同文件约定内容为准， 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负责解释。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34</w:t>
            </w:r>
          </w:p>
        </w:tc>
        <w:tc>
          <w:tcPr>
            <w:tcW w:w="2337" w:type="dxa"/>
            <w:vAlign w:val="center"/>
          </w:tcPr>
          <w:p>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供应商提出问题的截止时间 </w:t>
            </w:r>
          </w:p>
        </w:tc>
        <w:tc>
          <w:tcPr>
            <w:tcW w:w="6599" w:type="dxa"/>
            <w:vAlign w:val="center"/>
          </w:tcPr>
          <w:p>
            <w:pPr>
              <w:spacing w:line="360" w:lineRule="auto"/>
              <w:ind w:left="0" w:leftChars="0" w:right="0"/>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 xml:space="preserve">供应商认为采购文件、采购过程和中标、成交结果使自己的权益受到损害的，可以在知道或者应知其权益受到损害之日起七个工作日内，以书面形式向采购人提出质疑。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822" w:type="dxa"/>
            <w:vAlign w:val="center"/>
          </w:tcPr>
          <w:p>
            <w:pPr>
              <w:spacing w:line="360" w:lineRule="auto"/>
              <w:jc w:val="center"/>
              <w:rPr>
                <w:rFonts w:hint="default" w:ascii="仿宋" w:hAnsi="仿宋" w:cs="仿宋"/>
                <w:color w:val="auto"/>
                <w:sz w:val="28"/>
                <w:szCs w:val="28"/>
                <w:lang w:val="en-US" w:eastAsia="zh-CN"/>
              </w:rPr>
            </w:pPr>
            <w:r>
              <w:rPr>
                <w:rFonts w:hint="eastAsia" w:ascii="仿宋" w:hAnsi="仿宋" w:cs="仿宋"/>
                <w:color w:val="auto"/>
                <w:sz w:val="28"/>
                <w:szCs w:val="28"/>
                <w:lang w:val="en-US" w:eastAsia="zh-CN"/>
              </w:rPr>
              <w:t>35</w:t>
            </w:r>
          </w:p>
        </w:tc>
        <w:tc>
          <w:tcPr>
            <w:tcW w:w="2337" w:type="dxa"/>
            <w:vAlign w:val="center"/>
          </w:tcPr>
          <w:p>
            <w:pPr>
              <w:spacing w:line="360" w:lineRule="auto"/>
              <w:jc w:val="both"/>
              <w:rPr>
                <w:rFonts w:hint="eastAsia" w:ascii="仿宋" w:hAnsi="仿宋" w:eastAsia="仿宋" w:cs="仿宋"/>
                <w:color w:val="auto"/>
                <w:sz w:val="28"/>
                <w:szCs w:val="28"/>
              </w:rPr>
            </w:pPr>
          </w:p>
          <w:p>
            <w:pPr>
              <w:spacing w:line="360" w:lineRule="auto"/>
              <w:ind w:left="0" w:leftChars="0" w:right="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其他说明 </w:t>
            </w:r>
          </w:p>
        </w:tc>
        <w:tc>
          <w:tcPr>
            <w:tcW w:w="6599" w:type="dxa"/>
            <w:vAlign w:val="center"/>
          </w:tcPr>
          <w:p>
            <w:pPr>
              <w:spacing w:line="360" w:lineRule="auto"/>
              <w:jc w:val="both"/>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”与“</w:t>
            </w:r>
            <w:r>
              <w:rPr>
                <w:rFonts w:hint="eastAsia" w:ascii="仿宋" w:hAnsi="仿宋" w:cs="仿宋"/>
                <w:color w:val="auto"/>
                <w:sz w:val="28"/>
                <w:szCs w:val="28"/>
                <w:lang w:val="en-US" w:eastAsia="zh-CN"/>
              </w:rPr>
              <w:t>招标人</w:t>
            </w:r>
            <w:r>
              <w:rPr>
                <w:rFonts w:hint="eastAsia" w:ascii="仿宋" w:hAnsi="仿宋" w:eastAsia="仿宋" w:cs="仿宋"/>
                <w:color w:val="auto"/>
                <w:sz w:val="28"/>
                <w:szCs w:val="28"/>
              </w:rPr>
              <w:t>”，“</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”与“</w:t>
            </w:r>
            <w:r>
              <w:rPr>
                <w:rFonts w:hint="eastAsia" w:ascii="仿宋" w:hAnsi="仿宋" w:cs="仿宋"/>
                <w:color w:val="auto"/>
                <w:sz w:val="28"/>
                <w:szCs w:val="28"/>
                <w:lang w:val="en-US" w:eastAsia="zh-CN"/>
              </w:rPr>
              <w:t>投标人</w:t>
            </w:r>
            <w:r>
              <w:rPr>
                <w:rFonts w:hint="eastAsia" w:ascii="仿宋" w:hAnsi="仿宋" w:eastAsia="仿宋" w:cs="仿宋"/>
                <w:color w:val="auto"/>
                <w:sz w:val="28"/>
                <w:szCs w:val="28"/>
              </w:rPr>
              <w:t xml:space="preserve">”按照同一意思理解。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22" w:type="dxa"/>
            <w:vAlign w:val="center"/>
          </w:tcPr>
          <w:p>
            <w:pPr>
              <w:spacing w:line="360" w:lineRule="auto"/>
              <w:ind w:left="0" w:leftChars="0" w:right="0" w:rightChars="0"/>
              <w:jc w:val="center"/>
              <w:rPr>
                <w:rFonts w:hint="default" w:ascii="仿宋" w:hAnsi="仿宋" w:cs="仿宋"/>
                <w:color w:val="auto"/>
                <w:sz w:val="28"/>
                <w:szCs w:val="28"/>
                <w:lang w:val="en-US" w:eastAsia="zh-CN"/>
              </w:rPr>
            </w:pPr>
            <w:bookmarkStart w:id="11" w:name="_Toc14930"/>
            <w:bookmarkStart w:id="12" w:name="_Toc4198"/>
            <w:r>
              <w:rPr>
                <w:rFonts w:hint="eastAsia" w:ascii="仿宋" w:hAnsi="仿宋" w:cs="仿宋"/>
                <w:color w:val="auto"/>
                <w:sz w:val="28"/>
                <w:szCs w:val="28"/>
                <w:lang w:val="en-US" w:eastAsia="zh-CN"/>
              </w:rPr>
              <w:t>36</w:t>
            </w:r>
          </w:p>
        </w:tc>
        <w:tc>
          <w:tcPr>
            <w:tcW w:w="2337" w:type="dxa"/>
            <w:vAlign w:val="center"/>
          </w:tcPr>
          <w:p>
            <w:pPr>
              <w:spacing w:line="360" w:lineRule="auto"/>
              <w:ind w:left="0" w:leftChars="0" w:right="0"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招标代理费</w:t>
            </w:r>
          </w:p>
        </w:tc>
        <w:tc>
          <w:tcPr>
            <w:tcW w:w="6599" w:type="dxa"/>
            <w:vAlign w:val="center"/>
          </w:tcPr>
          <w:p>
            <w:pPr>
              <w:spacing w:line="360" w:lineRule="auto"/>
              <w:ind w:left="0" w:leftChars="0" w:right="0" w:rightChars="0"/>
              <w:jc w:val="both"/>
              <w:rPr>
                <w:rFonts w:hint="eastAsia" w:ascii="仿宋" w:hAnsi="仿宋" w:eastAsia="仿宋" w:cs="仿宋"/>
                <w:color w:val="auto"/>
                <w:sz w:val="28"/>
                <w:szCs w:val="28"/>
              </w:rPr>
            </w:pPr>
            <w:r>
              <w:rPr>
                <w:rFonts w:hint="eastAsia" w:ascii="仿宋" w:hAnsi="仿宋" w:eastAsia="仿宋" w:cs="仿宋"/>
                <w:color w:val="auto"/>
                <w:sz w:val="28"/>
                <w:szCs w:val="28"/>
              </w:rPr>
              <w:t>与采购人商定，参照豫招协【2023】002号文规定之招标代理服务收费计算标准，中标、成交供应商在领取中标通知书时一次性向釆购代理机构缴纳。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9758" w:type="dxa"/>
            <w:gridSpan w:val="3"/>
            <w:vAlign w:val="center"/>
          </w:tcPr>
          <w:p>
            <w:pPr>
              <w:spacing w:line="360" w:lineRule="auto"/>
              <w:rPr>
                <w:rFonts w:ascii="仿宋" w:hAnsi="仿宋" w:cs="仿宋"/>
                <w:b/>
                <w:bCs/>
                <w:color w:val="auto"/>
                <w:sz w:val="22"/>
                <w:highlight w:val="none"/>
              </w:rPr>
            </w:pPr>
            <w:r>
              <w:rPr>
                <w:rFonts w:hint="eastAsia"/>
                <w:color w:val="auto"/>
                <w:highlight w:val="none"/>
              </w:rPr>
              <w:t xml:space="preserve"> </w:t>
            </w:r>
            <w:r>
              <w:rPr>
                <w:rFonts w:hint="eastAsia" w:ascii="仿宋" w:hAnsi="仿宋" w:cs="仿宋"/>
                <w:b/>
                <w:bCs/>
                <w:color w:val="auto"/>
                <w:sz w:val="22"/>
                <w:highlight w:val="none"/>
                <w:lang w:val="en-US"/>
              </w:rPr>
              <w:t>1.</w:t>
            </w:r>
            <w:r>
              <w:rPr>
                <w:rFonts w:hint="eastAsia" w:ascii="仿宋" w:hAnsi="仿宋" w:cs="仿宋"/>
                <w:b/>
                <w:bCs/>
                <w:color w:val="auto"/>
                <w:sz w:val="22"/>
                <w:highlight w:val="none"/>
              </w:rPr>
              <w:t>接受和拒绝任何或所有投标的权力：釆购人通过法定或规定的程序，有权在授标之前任何时候接受或拒绝任何投标，以及宣布招标无效，对受影响的供应商不承担任何责任，也无义务向受影响的供应商解释</w:t>
            </w:r>
            <w:r>
              <w:rPr>
                <w:rFonts w:hint="eastAsia" w:ascii="仿宋" w:hAnsi="仿宋" w:cs="仿宋"/>
                <w:b/>
                <w:bCs/>
                <w:color w:val="auto"/>
                <w:sz w:val="22"/>
                <w:highlight w:val="none"/>
                <w:lang w:eastAsia="zh-CN"/>
              </w:rPr>
              <w:t>采取</w:t>
            </w:r>
            <w:r>
              <w:rPr>
                <w:rFonts w:hint="eastAsia" w:ascii="仿宋" w:hAnsi="仿宋" w:cs="仿宋"/>
                <w:b/>
                <w:bCs/>
                <w:color w:val="auto"/>
                <w:sz w:val="22"/>
                <w:highlight w:val="none"/>
              </w:rPr>
              <w:t>这一行动的理由；</w:t>
            </w:r>
          </w:p>
          <w:p>
            <w:pPr>
              <w:spacing w:line="360" w:lineRule="auto"/>
              <w:rPr>
                <w:rFonts w:ascii="仿宋" w:hAnsi="仿宋" w:cs="仿宋"/>
                <w:b/>
                <w:bCs/>
                <w:color w:val="auto"/>
                <w:sz w:val="22"/>
                <w:highlight w:val="none"/>
              </w:rPr>
            </w:pPr>
            <w:r>
              <w:rPr>
                <w:rFonts w:hint="eastAsia" w:ascii="仿宋" w:hAnsi="仿宋" w:cs="仿宋"/>
                <w:b/>
                <w:bCs/>
                <w:color w:val="auto"/>
                <w:sz w:val="22"/>
                <w:highlight w:val="none"/>
                <w:lang w:val="en-US"/>
              </w:rPr>
              <w:t>2.</w:t>
            </w:r>
            <w:r>
              <w:rPr>
                <w:rFonts w:hint="eastAsia" w:ascii="仿宋" w:hAnsi="仿宋" w:cs="仿宋"/>
                <w:b/>
                <w:bCs/>
                <w:color w:val="auto"/>
                <w:sz w:val="22"/>
                <w:highlight w:val="none"/>
              </w:rPr>
              <w:t>采购人声明：供应商因参与投标活动而涉及的人身伤害、财产损害、侵犯他人权益、 仲裁或诉讼等，应当责任自负、费用自担，并应保证釆购人和招标代理机构免于承担上述责任或者其他不良影响；釆购人声明</w:t>
            </w:r>
            <w:r>
              <w:rPr>
                <w:rFonts w:hint="eastAsia" w:ascii="仿宋" w:hAnsi="仿宋" w:cs="仿宋"/>
                <w:b/>
                <w:bCs/>
                <w:color w:val="auto"/>
                <w:sz w:val="22"/>
                <w:highlight w:val="none"/>
                <w:lang w:val="en-US"/>
              </w:rPr>
              <w:t>磋商</w:t>
            </w:r>
            <w:r>
              <w:rPr>
                <w:rFonts w:hint="eastAsia" w:ascii="仿宋" w:hAnsi="仿宋" w:cs="仿宋"/>
                <w:b/>
                <w:bCs/>
                <w:color w:val="auto"/>
                <w:sz w:val="22"/>
                <w:highlight w:val="none"/>
              </w:rPr>
              <w:t xml:space="preserve">文件中附带的参考资料是以诚信的态度提供的，是釆购人现有的和客观的信息。采购人不对供应商由此做出的任何理解、推论、判 断、结论和决策进行负责； </w:t>
            </w:r>
          </w:p>
          <w:p>
            <w:pPr>
              <w:spacing w:line="360" w:lineRule="auto"/>
              <w:ind w:left="0" w:leftChars="0" w:right="0" w:rightChars="0"/>
              <w:jc w:val="both"/>
              <w:rPr>
                <w:rFonts w:hint="eastAsia" w:ascii="仿宋" w:hAnsi="仿宋" w:eastAsia="仿宋" w:cs="仿宋"/>
                <w:color w:val="auto"/>
                <w:sz w:val="28"/>
                <w:szCs w:val="28"/>
              </w:rPr>
            </w:pPr>
            <w:r>
              <w:rPr>
                <w:rFonts w:hint="eastAsia" w:ascii="仿宋" w:hAnsi="仿宋" w:cs="仿宋"/>
                <w:b/>
                <w:bCs/>
                <w:color w:val="auto"/>
                <w:sz w:val="22"/>
                <w:highlight w:val="none"/>
              </w:rPr>
              <w:t>备注：投标须知前附表是投标须知的说明和补充，如投标须知前附表和投标须知前后内容有不一致之处，以前附表内容为准。以上内容为必须满足的条件。如不满足，将导致无效投标。</w:t>
            </w:r>
          </w:p>
        </w:tc>
      </w:tr>
    </w:tbl>
    <w:p>
      <w:pPr>
        <w:ind w:firstLine="480"/>
        <w:rPr>
          <w:rFonts w:hint="eastAsia" w:ascii="宋体" w:hAnsi="宋体" w:eastAsia="宋体" w:cs="宋体"/>
          <w:color w:val="auto"/>
          <w:sz w:val="24"/>
          <w:szCs w:val="24"/>
        </w:rPr>
      </w:pPr>
      <w:r>
        <w:rPr>
          <w:rFonts w:hint="eastAsia"/>
          <w:color w:val="auto"/>
        </w:rPr>
        <w:br w:type="page"/>
      </w:r>
    </w:p>
    <w:p>
      <w:pPr>
        <w:bidi w:val="0"/>
        <w:rPr>
          <w:rFonts w:hint="eastAsia"/>
          <w:lang w:val="en-US" w:eastAsia="zh-CN"/>
        </w:rPr>
      </w:pPr>
    </w:p>
    <w:p>
      <w:pPr>
        <w:spacing w:line="360" w:lineRule="auto"/>
        <w:jc w:val="center"/>
        <w:rPr>
          <w:rFonts w:hint="eastAsia"/>
          <w:b/>
          <w:bCs/>
          <w:color w:val="auto"/>
          <w:sz w:val="32"/>
          <w:szCs w:val="32"/>
          <w:lang w:val="en-US" w:eastAsia="zh-CN"/>
        </w:rPr>
      </w:pPr>
      <w:r>
        <w:rPr>
          <w:rFonts w:hint="eastAsia"/>
          <w:b/>
          <w:bCs/>
          <w:color w:val="auto"/>
          <w:sz w:val="32"/>
          <w:szCs w:val="32"/>
          <w:lang w:val="en-US" w:eastAsia="zh-CN"/>
        </w:rPr>
        <w:t>唐河县城区市政桥梁检测项目</w:t>
      </w:r>
    </w:p>
    <w:p>
      <w:pPr>
        <w:spacing w:line="360" w:lineRule="auto"/>
        <w:jc w:val="center"/>
        <w:rPr>
          <w:rFonts w:hint="default"/>
          <w:b/>
          <w:bCs/>
          <w:color w:val="auto"/>
          <w:sz w:val="32"/>
          <w:szCs w:val="32"/>
          <w:lang w:val="en-US" w:eastAsia="zh-CN"/>
        </w:rPr>
      </w:pPr>
      <w:r>
        <w:rPr>
          <w:rFonts w:hint="eastAsia"/>
          <w:b/>
          <w:bCs/>
          <w:color w:val="auto"/>
          <w:sz w:val="32"/>
          <w:szCs w:val="32"/>
          <w:lang w:val="en-US" w:eastAsia="zh-CN"/>
        </w:rPr>
        <w:t>服务内容及要求</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jc w:val="left"/>
        <w:textAlignment w:val="auto"/>
        <w:rPr>
          <w:rFonts w:hint="eastAsia" w:ascii="仿宋" w:hAnsi="仿宋" w:eastAsia="仿宋" w:cs="仿宋"/>
          <w:color w:val="auto"/>
          <w:sz w:val="28"/>
          <w:szCs w:val="28"/>
          <w:lang w:val="en-US" w:eastAsia="zh-CN"/>
        </w:rPr>
      </w:pPr>
      <w:r>
        <w:rPr>
          <w:rFonts w:hint="eastAsia" w:ascii="仿宋" w:hAnsi="仿宋" w:cs="仿宋"/>
          <w:b/>
          <w:bCs/>
          <w:color w:val="auto"/>
          <w:sz w:val="28"/>
          <w:szCs w:val="28"/>
          <w:lang w:val="en-US" w:eastAsia="zh-CN"/>
        </w:rPr>
        <w:t>一、</w:t>
      </w:r>
      <w:r>
        <w:rPr>
          <w:rFonts w:hint="eastAsia" w:ascii="仿宋" w:hAnsi="仿宋" w:eastAsia="仿宋" w:cs="仿宋"/>
          <w:b/>
          <w:bCs/>
          <w:color w:val="auto"/>
          <w:sz w:val="28"/>
          <w:szCs w:val="28"/>
          <w:lang w:val="en-US" w:eastAsia="zh-CN"/>
        </w:rPr>
        <w:t>服务内容：</w:t>
      </w:r>
      <w:r>
        <w:rPr>
          <w:rFonts w:hint="eastAsia" w:ascii="仿宋" w:hAnsi="仿宋" w:eastAsia="仿宋" w:cs="仿宋"/>
          <w:color w:val="auto"/>
          <w:sz w:val="28"/>
          <w:szCs w:val="28"/>
          <w:lang w:val="en-US" w:eastAsia="zh-CN"/>
        </w:rPr>
        <w:t>对唐河县八龙桥、兴达路桥、竹林寺桥、南泉桥、伏牛路与星江路交叉口向西第一座桥、伏牛路与星江路向西第二座桥、工业路与唐飞路交叉口桥、工业路与文峰路交叉口桥、龙山南路桥、北京大道与星江路交叉口桥、滨河路与伏牛路交叉口向南300米桥、滨河路与伏牛路交叉口向南1100米桥、星江路与伏牛路交叉口桥、友兰大道双语学校门口桥、兴达路向东第一座桥、兴达路向东第二座桥、竹林路与友兰大道交叉口向南50米桥、新华路与友兰大道交叉口向南50米桥、唐河五里河大桥、友兰大道三里庄桥、新春路老民政局门口桥、上马路与友兰大道交叉口向南50米桥、谢岗大桥、盛居路与旭生路交叉口向东第一座桥等24座市政桥梁进行常规检测以及部分动静载检测，并提供响应的检测报告。</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jc w:val="left"/>
        <w:textAlignment w:val="auto"/>
        <w:rPr>
          <w:rFonts w:hint="eastAsia" w:ascii="仿宋" w:hAnsi="仿宋" w:eastAsia="仿宋" w:cs="仿宋"/>
          <w:color w:val="auto"/>
          <w:sz w:val="28"/>
          <w:szCs w:val="28"/>
          <w:lang w:val="en-US" w:eastAsia="zh-CN"/>
        </w:rPr>
      </w:pPr>
      <w:r>
        <w:rPr>
          <w:rFonts w:hint="eastAsia" w:ascii="仿宋" w:hAnsi="仿宋" w:cs="仿宋"/>
          <w:b/>
          <w:bCs/>
          <w:color w:val="auto"/>
          <w:sz w:val="28"/>
          <w:szCs w:val="28"/>
          <w:lang w:val="en-US" w:eastAsia="zh-CN"/>
        </w:rPr>
        <w:t>二、</w:t>
      </w:r>
      <w:r>
        <w:rPr>
          <w:rFonts w:hint="eastAsia" w:ascii="仿宋" w:hAnsi="仿宋" w:eastAsia="仿宋" w:cs="仿宋"/>
          <w:b/>
          <w:bCs/>
          <w:color w:val="auto"/>
          <w:sz w:val="28"/>
          <w:szCs w:val="28"/>
          <w:lang w:val="en-US" w:eastAsia="zh-CN"/>
        </w:rPr>
        <w:t>服务地点：</w:t>
      </w:r>
      <w:r>
        <w:rPr>
          <w:rFonts w:hint="eastAsia" w:ascii="仿宋" w:hAnsi="仿宋" w:eastAsia="仿宋" w:cs="仿宋"/>
          <w:color w:val="auto"/>
          <w:sz w:val="28"/>
          <w:szCs w:val="28"/>
          <w:lang w:val="en-US" w:eastAsia="zh-CN"/>
        </w:rPr>
        <w:t>唐河县城区，具体检测内容以下表为准。</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1"/>
        <w:gridCol w:w="2153"/>
        <w:gridCol w:w="2591"/>
        <w:gridCol w:w="1174"/>
        <w:gridCol w:w="1214"/>
        <w:gridCol w:w="1413"/>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7"/>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2023年唐河县市政桥梁检测费用报价一览表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5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桥梁名称</w:t>
            </w:r>
          </w:p>
        </w:tc>
        <w:tc>
          <w:tcPr>
            <w:tcW w:w="130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检测项目</w:t>
            </w:r>
          </w:p>
        </w:tc>
        <w:tc>
          <w:tcPr>
            <w:tcW w:w="58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检测点数</w:t>
            </w:r>
          </w:p>
        </w:tc>
        <w:tc>
          <w:tcPr>
            <w:tcW w:w="60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709"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检测合价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35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八龙桥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(长45m，宽53m)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兴达路桥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(长66.72m，宽25m)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竹林寺桥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(长82m，宽24.5m)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南泉桥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(长138m，宽16m)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伏牛路与星江路交叉口向西第一座桥(长67.26m，宽25.1m)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伏牛路与星江路向西第二座桥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(长12m，宽24m)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工业路与唐飞路交叉口桥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(长55.35m，宽19.8m)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工业路与文峰路交叉口桥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(长54m，宽25m)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龙山南路桥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(长54m,宽20m)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北京大道与星江路交叉口桥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(长14.8m，宽35m）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滨河路与伏牛路交叉口向南300米桥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(长13m，宽36m)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滨河路与伏牛路交叉口向南1100米桥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(长63m，宽25m)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星江路与伏牛路交叉口桥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(长66.8m，宽25.6m)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友兰大道双语学校门口桥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(长12m，宽53m）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兴达路向东第一座桥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(长9m，宽29m)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兴达路向东第二座桥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(长14m，宽29m)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竹林路与友兰大道交叉口向南50米桥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(长8m，宽15m)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新华路与友兰大道交叉口向南50米桥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(长10m，宽16m)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唐河五里河大桥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(长807m，宽25m)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友兰大道三里庄桥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(长8m，宽32m)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新春路老民政局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门口桥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(长8m，宽22m)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上马路与友兰大道交叉口向南50米桥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(长8m，宽14.5m)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谢岗大桥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(长50m，宽16m)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动载试验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盛居路与旭生路交叉口向东第一座桥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(长49m，宽45m)</w:t>
            </w: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下部结构技术状况评定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桥面系技术状况评定</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混凝土强度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碳化深度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保护层厚度</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混凝土氯离子含量</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混凝土电阻率</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钢筋锈蚀</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c>
          <w:tcPr>
            <w:tcW w:w="35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8"/>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after="0" w:line="4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三、商务要求：</w:t>
      </w:r>
    </w:p>
    <w:p>
      <w:pPr>
        <w:keepNext w:val="0"/>
        <w:keepLines w:val="0"/>
        <w:pageBreakBefore w:val="0"/>
        <w:widowControl w:val="0"/>
        <w:kinsoku/>
        <w:wordWrap/>
        <w:overflowPunct/>
        <w:topLinePunct w:val="0"/>
        <w:autoSpaceDE/>
        <w:autoSpaceDN/>
        <w:bidi w:val="0"/>
        <w:adjustRightInd/>
        <w:snapToGrid/>
        <w:spacing w:before="0" w:after="0" w:line="400" w:lineRule="exact"/>
        <w:ind w:firstLine="560" w:firstLineChars="200"/>
        <w:textAlignment w:val="auto"/>
        <w:rPr>
          <w:rFonts w:hint="eastAsia" w:ascii="仿宋" w:hAnsi="仿宋" w:eastAsia="仿宋" w:cs="仿宋"/>
          <w:color w:val="auto"/>
          <w:sz w:val="28"/>
          <w:szCs w:val="28"/>
        </w:rPr>
      </w:pPr>
      <w:r>
        <w:rPr>
          <w:rFonts w:hint="eastAsia" w:ascii="仿宋" w:hAnsi="仿宋" w:cs="仿宋"/>
          <w:color w:val="auto"/>
          <w:sz w:val="28"/>
          <w:szCs w:val="28"/>
          <w:lang w:val="en-US" w:eastAsia="zh-CN"/>
        </w:rPr>
        <w:t>1.</w:t>
      </w:r>
      <w:r>
        <w:rPr>
          <w:rFonts w:hint="eastAsia" w:ascii="仿宋" w:hAnsi="仿宋" w:eastAsia="仿宋" w:cs="仿宋"/>
          <w:color w:val="auto"/>
          <w:sz w:val="28"/>
          <w:szCs w:val="28"/>
        </w:rPr>
        <w:t>供应商具有独立法人资格，具有有效的营业执照、税务登记证、组织机构代码证（或三证合一）；</w:t>
      </w:r>
    </w:p>
    <w:p>
      <w:pPr>
        <w:keepNext w:val="0"/>
        <w:keepLines w:val="0"/>
        <w:pageBreakBefore w:val="0"/>
        <w:widowControl w:val="0"/>
        <w:kinsoku/>
        <w:wordWrap/>
        <w:overflowPunct/>
        <w:topLinePunct w:val="0"/>
        <w:autoSpaceDE/>
        <w:autoSpaceDN/>
        <w:bidi w:val="0"/>
        <w:adjustRightInd/>
        <w:snapToGrid/>
        <w:spacing w:before="0" w:after="0"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cs="仿宋"/>
          <w:color w:val="auto"/>
          <w:sz w:val="28"/>
          <w:szCs w:val="28"/>
          <w:lang w:val="en-US" w:eastAsia="zh-CN"/>
        </w:rPr>
        <w:t>2.</w:t>
      </w:r>
      <w:r>
        <w:rPr>
          <w:rFonts w:hint="eastAsia" w:ascii="仿宋" w:hAnsi="仿宋" w:eastAsia="仿宋" w:cs="仿宋"/>
          <w:color w:val="auto"/>
          <w:sz w:val="28"/>
          <w:szCs w:val="28"/>
          <w:highlight w:val="none"/>
        </w:rPr>
        <w:t>供应商具备公路工程试验检测机构综合甲级或桥梁隧道工程检测专项资质或有关行政主管部门颁发的城市桥梁检测资质，且具备省级及以上计量行政部门颁发的计量认证证书，并在人员、设备方面具有相应的检测能力；</w:t>
      </w:r>
    </w:p>
    <w:p>
      <w:pPr>
        <w:keepNext w:val="0"/>
        <w:keepLines w:val="0"/>
        <w:pageBreakBefore w:val="0"/>
        <w:widowControl w:val="0"/>
        <w:kinsoku/>
        <w:wordWrap/>
        <w:overflowPunct/>
        <w:topLinePunct w:val="0"/>
        <w:autoSpaceDE/>
        <w:autoSpaceDN/>
        <w:bidi w:val="0"/>
        <w:adjustRightInd/>
        <w:snapToGrid/>
        <w:spacing w:before="0" w:after="0" w:line="4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cs="仿宋"/>
          <w:color w:val="auto"/>
          <w:sz w:val="28"/>
          <w:szCs w:val="28"/>
          <w:lang w:val="en-US" w:eastAsia="zh-CN"/>
        </w:rPr>
        <w:t>3.</w:t>
      </w:r>
      <w:r>
        <w:rPr>
          <w:rFonts w:hint="eastAsia" w:ascii="仿宋" w:hAnsi="仿宋" w:eastAsia="仿宋" w:cs="仿宋"/>
          <w:color w:val="auto"/>
          <w:sz w:val="28"/>
          <w:szCs w:val="28"/>
          <w:highlight w:val="none"/>
          <w:lang w:val="en-US" w:eastAsia="zh-CN"/>
        </w:rPr>
        <w:t>拟派项目负责人需具备相关专业高级职称</w:t>
      </w:r>
      <w:r>
        <w:rPr>
          <w:rFonts w:hint="eastAsia" w:ascii="仿宋" w:hAnsi="仿宋" w:eastAsia="仿宋" w:cs="仿宋"/>
          <w:color w:val="auto"/>
          <w:sz w:val="28"/>
          <w:szCs w:val="28"/>
          <w:lang w:val="en-US" w:eastAsia="zh-CN"/>
        </w:rPr>
        <w:t xml:space="preserve">，并出具无在检测项目承诺书；   </w:t>
      </w:r>
    </w:p>
    <w:p>
      <w:pPr>
        <w:keepNext w:val="0"/>
        <w:keepLines w:val="0"/>
        <w:pageBreakBefore w:val="0"/>
        <w:widowControl w:val="0"/>
        <w:kinsoku/>
        <w:wordWrap/>
        <w:overflowPunct/>
        <w:topLinePunct w:val="0"/>
        <w:autoSpaceDE/>
        <w:autoSpaceDN/>
        <w:bidi w:val="0"/>
        <w:adjustRightInd/>
        <w:snapToGrid/>
        <w:spacing w:before="0" w:after="0" w:line="400" w:lineRule="exact"/>
        <w:ind w:firstLine="560" w:firstLineChars="200"/>
        <w:textAlignment w:val="auto"/>
        <w:rPr>
          <w:rFonts w:hint="eastAsia" w:ascii="仿宋" w:hAnsi="仿宋" w:eastAsia="仿宋" w:cs="仿宋"/>
          <w:color w:val="auto"/>
          <w:sz w:val="28"/>
          <w:szCs w:val="28"/>
        </w:rPr>
      </w:pPr>
      <w:r>
        <w:rPr>
          <w:rFonts w:hint="eastAsia" w:ascii="仿宋" w:hAnsi="仿宋" w:cs="仿宋"/>
          <w:color w:val="auto"/>
          <w:sz w:val="28"/>
          <w:szCs w:val="28"/>
          <w:lang w:val="en-US" w:eastAsia="zh-CN"/>
        </w:rPr>
        <w:t>4.</w:t>
      </w:r>
      <w:r>
        <w:rPr>
          <w:rFonts w:hint="eastAsia" w:ascii="仿宋" w:hAnsi="仿宋" w:eastAsia="仿宋" w:cs="仿宋"/>
          <w:color w:val="auto"/>
          <w:sz w:val="28"/>
          <w:szCs w:val="28"/>
        </w:rPr>
        <w:t>参加本次政府采购活动前三年内，在经营活动中没有重大违法犯罪记录；</w:t>
      </w:r>
    </w:p>
    <w:p>
      <w:pPr>
        <w:keepNext w:val="0"/>
        <w:keepLines w:val="0"/>
        <w:pageBreakBefore w:val="0"/>
        <w:widowControl w:val="0"/>
        <w:kinsoku/>
        <w:wordWrap/>
        <w:overflowPunct/>
        <w:topLinePunct w:val="0"/>
        <w:autoSpaceDE/>
        <w:autoSpaceDN/>
        <w:bidi w:val="0"/>
        <w:adjustRightInd/>
        <w:snapToGrid/>
        <w:spacing w:before="0" w:after="0" w:line="400" w:lineRule="exact"/>
        <w:ind w:firstLine="560" w:firstLineChars="200"/>
        <w:textAlignment w:val="auto"/>
        <w:rPr>
          <w:rFonts w:hint="eastAsia" w:ascii="仿宋" w:hAnsi="仿宋" w:eastAsia="仿宋" w:cs="仿宋"/>
          <w:color w:val="auto"/>
          <w:sz w:val="28"/>
          <w:szCs w:val="28"/>
        </w:rPr>
      </w:pPr>
      <w:r>
        <w:rPr>
          <w:rFonts w:hint="eastAsia" w:ascii="仿宋" w:hAnsi="仿宋" w:cs="仿宋"/>
          <w:color w:val="auto"/>
          <w:sz w:val="28"/>
          <w:szCs w:val="28"/>
          <w:lang w:val="en-US" w:eastAsia="zh-CN"/>
        </w:rPr>
        <w:t>5.</w:t>
      </w:r>
      <w:r>
        <w:rPr>
          <w:rFonts w:hint="eastAsia" w:ascii="仿宋" w:hAnsi="仿宋" w:eastAsia="仿宋" w:cs="仿宋"/>
          <w:color w:val="auto"/>
          <w:sz w:val="28"/>
          <w:szCs w:val="28"/>
        </w:rPr>
        <w:t>财务状况良好，没有处于被责令停业、破产状态，各投标人须提供具有近三年</w:t>
      </w:r>
      <w:r>
        <w:rPr>
          <w:rFonts w:hint="eastAsia" w:ascii="仿宋" w:hAnsi="仿宋" w:eastAsia="仿宋" w:cs="仿宋"/>
          <w:color w:val="auto"/>
          <w:sz w:val="28"/>
          <w:szCs w:val="28"/>
          <w:highlight w:val="none"/>
        </w:rPr>
        <w:t>（2020年度、2021年度、2022年度）经</w:t>
      </w:r>
      <w:r>
        <w:rPr>
          <w:rFonts w:hint="eastAsia" w:ascii="仿宋" w:hAnsi="仿宋" w:eastAsia="仿宋" w:cs="仿宋"/>
          <w:color w:val="auto"/>
          <w:sz w:val="28"/>
          <w:szCs w:val="28"/>
        </w:rPr>
        <w:t>审计的财务报告，信誉良好（成立不足三年的企业，从成立之日算起）。</w:t>
      </w:r>
    </w:p>
    <w:p>
      <w:pPr>
        <w:keepNext w:val="0"/>
        <w:keepLines w:val="0"/>
        <w:pageBreakBefore w:val="0"/>
        <w:widowControl w:val="0"/>
        <w:kinsoku/>
        <w:wordWrap/>
        <w:overflowPunct/>
        <w:topLinePunct w:val="0"/>
        <w:autoSpaceDE/>
        <w:autoSpaceDN/>
        <w:bidi w:val="0"/>
        <w:adjustRightInd/>
        <w:snapToGrid/>
        <w:spacing w:before="0" w:after="0" w:line="400" w:lineRule="exact"/>
        <w:ind w:firstLine="560" w:firstLineChars="200"/>
        <w:textAlignment w:val="auto"/>
        <w:rPr>
          <w:rFonts w:hint="eastAsia" w:ascii="仿宋" w:hAnsi="仿宋" w:eastAsia="仿宋" w:cs="仿宋"/>
          <w:color w:val="auto"/>
          <w:sz w:val="28"/>
          <w:szCs w:val="28"/>
        </w:rPr>
      </w:pPr>
      <w:r>
        <w:rPr>
          <w:rFonts w:hint="eastAsia" w:ascii="仿宋" w:hAnsi="仿宋" w:cs="仿宋"/>
          <w:color w:val="auto"/>
          <w:sz w:val="28"/>
          <w:szCs w:val="28"/>
          <w:lang w:val="en-US" w:eastAsia="zh-CN"/>
        </w:rPr>
        <w:t>6.</w:t>
      </w:r>
      <w:r>
        <w:rPr>
          <w:rFonts w:hint="eastAsia" w:ascii="仿宋" w:hAnsi="仿宋" w:eastAsia="仿宋" w:cs="仿宋"/>
          <w:color w:val="auto"/>
          <w:sz w:val="28"/>
          <w:szCs w:val="28"/>
        </w:rPr>
        <w:t>供应商依法缴纳税收（提供2023年1月1日以来任意三个月完税证明或缴税凭证）和社会保障资金（提供2023年1月1日以来任意三个月的社保缴纳凭证或社保缴费记录)。依法免税或不需要缴纳社会保障资金的供应商，应提供相应证明文件。</w:t>
      </w:r>
    </w:p>
    <w:p>
      <w:pPr>
        <w:keepNext w:val="0"/>
        <w:keepLines w:val="0"/>
        <w:pageBreakBefore w:val="0"/>
        <w:widowControl w:val="0"/>
        <w:kinsoku/>
        <w:wordWrap/>
        <w:overflowPunct/>
        <w:topLinePunct w:val="0"/>
        <w:autoSpaceDE/>
        <w:autoSpaceDN/>
        <w:bidi w:val="0"/>
        <w:adjustRightInd/>
        <w:snapToGrid/>
        <w:spacing w:before="0" w:after="0" w:line="400" w:lineRule="exact"/>
        <w:ind w:firstLine="560" w:firstLineChars="200"/>
        <w:textAlignment w:val="auto"/>
        <w:rPr>
          <w:rFonts w:hint="eastAsia" w:ascii="仿宋" w:hAnsi="仿宋" w:eastAsia="仿宋" w:cs="仿宋"/>
          <w:color w:val="auto"/>
          <w:sz w:val="28"/>
          <w:szCs w:val="28"/>
        </w:rPr>
      </w:pPr>
      <w:r>
        <w:rPr>
          <w:rFonts w:hint="eastAsia" w:ascii="仿宋" w:hAnsi="仿宋" w:cs="仿宋"/>
          <w:color w:val="auto"/>
          <w:sz w:val="28"/>
          <w:szCs w:val="28"/>
          <w:lang w:val="en-US" w:eastAsia="zh-CN"/>
        </w:rPr>
        <w:t>7.</w:t>
      </w:r>
      <w:r>
        <w:rPr>
          <w:rFonts w:hint="eastAsia" w:ascii="仿宋" w:hAnsi="仿宋" w:eastAsia="仿宋" w:cs="仿宋"/>
          <w:color w:val="auto"/>
          <w:sz w:val="28"/>
          <w:szCs w:val="28"/>
        </w:rPr>
        <w:t>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p>
      <w:pPr>
        <w:keepNext w:val="0"/>
        <w:keepLines w:val="0"/>
        <w:pageBreakBefore w:val="0"/>
        <w:widowControl w:val="0"/>
        <w:kinsoku/>
        <w:wordWrap/>
        <w:overflowPunct/>
        <w:topLinePunct w:val="0"/>
        <w:autoSpaceDE/>
        <w:autoSpaceDN/>
        <w:bidi w:val="0"/>
        <w:adjustRightInd/>
        <w:snapToGrid/>
        <w:spacing w:before="0" w:after="0" w:line="400" w:lineRule="exact"/>
        <w:ind w:firstLine="560" w:firstLineChars="200"/>
        <w:textAlignment w:val="auto"/>
        <w:rPr>
          <w:rFonts w:hint="eastAsia" w:ascii="仿宋" w:hAnsi="仿宋" w:eastAsia="仿宋" w:cs="仿宋"/>
          <w:color w:val="auto"/>
          <w:sz w:val="28"/>
          <w:szCs w:val="28"/>
        </w:rPr>
      </w:pPr>
      <w:r>
        <w:rPr>
          <w:rFonts w:hint="eastAsia" w:ascii="仿宋" w:hAnsi="仿宋" w:cs="仿宋"/>
          <w:color w:val="auto"/>
          <w:sz w:val="28"/>
          <w:szCs w:val="28"/>
          <w:lang w:val="en-US" w:eastAsia="zh-CN"/>
        </w:rPr>
        <w:t>8.</w:t>
      </w:r>
      <w:r>
        <w:rPr>
          <w:rFonts w:hint="eastAsia" w:ascii="仿宋" w:hAnsi="仿宋" w:eastAsia="仿宋" w:cs="仿宋"/>
          <w:color w:val="auto"/>
          <w:sz w:val="28"/>
          <w:szCs w:val="28"/>
        </w:rPr>
        <w:t>本次招标不接受联合体投标，不允许分包和转包。</w:t>
      </w:r>
    </w:p>
    <w:p>
      <w:pPr>
        <w:keepNext w:val="0"/>
        <w:keepLines w:val="0"/>
        <w:pageBreakBefore w:val="0"/>
        <w:widowControl w:val="0"/>
        <w:kinsoku/>
        <w:wordWrap/>
        <w:overflowPunct/>
        <w:topLinePunct w:val="0"/>
        <w:autoSpaceDE/>
        <w:autoSpaceDN/>
        <w:bidi w:val="0"/>
        <w:adjustRightInd/>
        <w:snapToGrid/>
        <w:spacing w:before="0" w:after="0" w:line="400" w:lineRule="exact"/>
        <w:ind w:firstLine="560" w:firstLineChars="200"/>
        <w:textAlignment w:val="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9.</w:t>
      </w:r>
      <w:r>
        <w:rPr>
          <w:rFonts w:hint="eastAsia" w:ascii="仿宋" w:hAnsi="仿宋" w:eastAsia="仿宋" w:cs="仿宋"/>
          <w:color w:val="auto"/>
          <w:sz w:val="28"/>
          <w:szCs w:val="28"/>
        </w:rPr>
        <w:t>满足法律、行政法规及本项目</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rPr>
        <w:t>文件规定的其他条件。</w:t>
      </w:r>
      <w:r>
        <w:rPr>
          <w:rFonts w:hint="eastAsia" w:ascii="仿宋" w:hAnsi="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4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按照唐河县财政局《关于在政府采购活动中试行供应商资格信用承诺制的通知》唐财购[2021]18号的要求，供应商在投标(响应)时，按照规定提供“投标承诺函”(详见采购文件)的，无需再提交上述（3.5）（3.6）的证明材料。供应商在中标(成交)后，应将上述由投标承诺函替代的证明材料提交采购人、采购代理机构，证明材料将随公告一并公示。</w:t>
      </w:r>
    </w:p>
    <w:p>
      <w:pPr>
        <w:keepNext w:val="0"/>
        <w:keepLines w:val="0"/>
        <w:pageBreakBefore w:val="0"/>
        <w:widowControl w:val="0"/>
        <w:kinsoku/>
        <w:wordWrap/>
        <w:overflowPunct/>
        <w:topLinePunct w:val="0"/>
        <w:autoSpaceDE/>
        <w:autoSpaceDN/>
        <w:bidi w:val="0"/>
        <w:adjustRightInd/>
        <w:snapToGrid/>
        <w:spacing w:before="0" w:after="0" w:line="400" w:lineRule="exact"/>
        <w:ind w:firstLine="560" w:firstLineChars="200"/>
        <w:textAlignment w:val="auto"/>
        <w:rPr>
          <w:rFonts w:hint="eastAsia"/>
          <w:lang w:val="en-US" w:eastAsia="zh-CN"/>
        </w:rPr>
      </w:pPr>
      <w:r>
        <w:rPr>
          <w:rFonts w:hint="eastAsia" w:ascii="仿宋" w:hAnsi="仿宋" w:eastAsia="仿宋" w:cs="仿宋"/>
          <w:color w:val="auto"/>
          <w:sz w:val="28"/>
          <w:szCs w:val="28"/>
        </w:rPr>
        <w:t xml:space="preserve">（注：本项目实行资格后审，审查内容以投标截止时间前上传企业诚信库信息（南阳市诚信库网站https://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诺责任。） </w:t>
      </w:r>
      <w:bookmarkStart w:id="13" w:name="_Toc11661"/>
    </w:p>
    <w:p>
      <w:pPr>
        <w:pStyle w:val="8"/>
        <w:ind w:left="0" w:leftChars="0" w:firstLine="0" w:firstLineChars="0"/>
        <w:rPr>
          <w:rFonts w:hint="eastAsia"/>
          <w:lang w:val="en-US" w:eastAsia="zh-CN"/>
        </w:rPr>
      </w:pPr>
    </w:p>
    <w:p>
      <w:pPr>
        <w:jc w:val="center"/>
        <w:rPr>
          <w:rFonts w:hint="eastAsia"/>
          <w:b/>
          <w:bCs/>
          <w:color w:val="auto"/>
          <w:sz w:val="32"/>
          <w:szCs w:val="28"/>
        </w:rPr>
      </w:pPr>
    </w:p>
    <w:p>
      <w:pPr>
        <w:jc w:val="center"/>
        <w:rPr>
          <w:rFonts w:hint="eastAsia"/>
          <w:b/>
          <w:bCs/>
          <w:color w:val="auto"/>
          <w:sz w:val="32"/>
          <w:szCs w:val="28"/>
        </w:rPr>
      </w:pPr>
    </w:p>
    <w:p>
      <w:pPr>
        <w:jc w:val="center"/>
        <w:rPr>
          <w:rFonts w:hint="eastAsia"/>
          <w:b/>
          <w:bCs/>
          <w:color w:val="auto"/>
          <w:sz w:val="32"/>
          <w:szCs w:val="28"/>
        </w:rPr>
      </w:pPr>
    </w:p>
    <w:p>
      <w:pPr>
        <w:jc w:val="center"/>
        <w:rPr>
          <w:rFonts w:hint="eastAsia"/>
          <w:b/>
          <w:bCs/>
          <w:color w:val="auto"/>
          <w:sz w:val="32"/>
          <w:szCs w:val="28"/>
        </w:rPr>
      </w:pPr>
    </w:p>
    <w:p>
      <w:pPr>
        <w:jc w:val="center"/>
        <w:rPr>
          <w:rFonts w:hint="eastAsia"/>
          <w:b/>
          <w:bCs/>
          <w:color w:val="auto"/>
          <w:sz w:val="32"/>
          <w:szCs w:val="28"/>
        </w:rPr>
      </w:pPr>
      <w:r>
        <w:rPr>
          <w:rFonts w:hint="eastAsia"/>
          <w:b/>
          <w:bCs/>
          <w:color w:val="auto"/>
          <w:sz w:val="32"/>
          <w:szCs w:val="28"/>
        </w:rPr>
        <w:t>第三部分</w:t>
      </w:r>
      <w:r>
        <w:rPr>
          <w:rFonts w:hint="eastAsia"/>
          <w:b/>
          <w:bCs/>
          <w:color w:val="auto"/>
          <w:sz w:val="32"/>
          <w:szCs w:val="28"/>
        </w:rPr>
        <w:tab/>
      </w:r>
      <w:r>
        <w:rPr>
          <w:rFonts w:hint="eastAsia"/>
          <w:b/>
          <w:bCs/>
          <w:color w:val="auto"/>
          <w:sz w:val="32"/>
          <w:szCs w:val="28"/>
        </w:rPr>
        <w:t>供应商须知正文部分</w:t>
      </w:r>
      <w:bookmarkEnd w:id="11"/>
      <w:bookmarkEnd w:id="12"/>
      <w:bookmarkEnd w:id="13"/>
    </w:p>
    <w:p>
      <w:pPr>
        <w:pStyle w:val="3"/>
        <w:rPr>
          <w:rFonts w:hint="eastAsia"/>
          <w:color w:val="auto"/>
        </w:rPr>
      </w:pPr>
      <w:bookmarkStart w:id="14" w:name="一、总则"/>
      <w:bookmarkEnd w:id="14"/>
      <w:bookmarkStart w:id="15" w:name="_Toc13555"/>
      <w:bookmarkStart w:id="16" w:name="_Toc21660"/>
      <w:r>
        <w:rPr>
          <w:rFonts w:hint="eastAsia"/>
          <w:color w:val="auto"/>
        </w:rPr>
        <w:t>一、总则</w:t>
      </w:r>
      <w:bookmarkEnd w:id="15"/>
      <w:bookmarkEnd w:id="16"/>
      <w:r>
        <w:rPr>
          <w:rFonts w:hint="eastAsia"/>
          <w:color w:val="auto"/>
        </w:rPr>
        <w:t xml:space="preserve"> </w:t>
      </w:r>
    </w:p>
    <w:p>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1.1</w:t>
      </w:r>
      <w:r>
        <w:rPr>
          <w:rFonts w:hint="eastAsia" w:ascii="仿宋" w:hAnsi="仿宋" w:eastAsia="仿宋" w:cs="仿宋"/>
          <w:b/>
          <w:bCs/>
          <w:color w:val="auto"/>
          <w:sz w:val="28"/>
          <w:szCs w:val="28"/>
        </w:rPr>
        <w:t>适用法律</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本次招标采购适用的主要法律法规为《中华人民共和国政府采购法》、《中华人民共和国合同法》、《中华人民共和国政府采购法实施条例》。</w:t>
      </w:r>
    </w:p>
    <w:p>
      <w:pPr>
        <w:spacing w:line="360" w:lineRule="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1.2 定义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1.2.1</w:t>
      </w:r>
      <w:r>
        <w:rPr>
          <w:rFonts w:hint="eastAsia" w:ascii="仿宋" w:hAnsi="仿宋" w:eastAsia="仿宋" w:cs="仿宋"/>
          <w:color w:val="auto"/>
          <w:sz w:val="28"/>
          <w:szCs w:val="28"/>
        </w:rPr>
        <w:t>“采购人（</w:t>
      </w:r>
      <w:r>
        <w:rPr>
          <w:rFonts w:hint="eastAsia" w:ascii="仿宋" w:hAnsi="仿宋" w:cs="仿宋"/>
          <w:color w:val="auto"/>
          <w:sz w:val="28"/>
          <w:szCs w:val="28"/>
          <w:lang w:val="en-US" w:eastAsia="zh-CN"/>
        </w:rPr>
        <w:t>招标人</w:t>
      </w:r>
      <w:r>
        <w:rPr>
          <w:rFonts w:hint="eastAsia" w:ascii="仿宋" w:hAnsi="仿宋" w:eastAsia="仿宋" w:cs="仿宋"/>
          <w:color w:val="auto"/>
          <w:sz w:val="28"/>
          <w:szCs w:val="28"/>
        </w:rPr>
        <w:t>）”：</w:t>
      </w:r>
      <w:r>
        <w:rPr>
          <w:rFonts w:hint="eastAsia" w:ascii="仿宋" w:hAnsi="仿宋" w:eastAsia="仿宋" w:cs="仿宋"/>
          <w:color w:val="auto"/>
          <w:sz w:val="28"/>
          <w:szCs w:val="28"/>
          <w:highlight w:val="none"/>
        </w:rPr>
        <w:t>指本</w:t>
      </w:r>
      <w:r>
        <w:rPr>
          <w:rFonts w:hint="eastAsia" w:ascii="仿宋" w:hAnsi="仿宋" w:eastAsia="仿宋" w:cs="仿宋"/>
          <w:color w:val="auto"/>
          <w:sz w:val="28"/>
          <w:szCs w:val="28"/>
        </w:rPr>
        <w:t xml:space="preserve">项目采购单位；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1.2.2</w:t>
      </w:r>
      <w:r>
        <w:rPr>
          <w:rFonts w:hint="eastAsia" w:ascii="仿宋" w:hAnsi="仿宋" w:eastAsia="仿宋" w:cs="仿宋"/>
          <w:color w:val="auto"/>
          <w:sz w:val="28"/>
          <w:szCs w:val="28"/>
        </w:rPr>
        <w:t xml:space="preserve">“代理机构”：指受采购人委托的有代理资质的第三方机构；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1.2.3</w:t>
      </w:r>
      <w:r>
        <w:rPr>
          <w:rFonts w:hint="eastAsia" w:ascii="仿宋" w:hAnsi="仿宋" w:eastAsia="仿宋" w:cs="仿宋"/>
          <w:color w:val="auto"/>
          <w:sz w:val="28"/>
          <w:szCs w:val="28"/>
        </w:rPr>
        <w:t>“供应商（</w:t>
      </w:r>
      <w:r>
        <w:rPr>
          <w:rFonts w:hint="eastAsia" w:ascii="仿宋" w:hAnsi="仿宋" w:cs="仿宋"/>
          <w:color w:val="auto"/>
          <w:sz w:val="28"/>
          <w:szCs w:val="28"/>
          <w:lang w:eastAsia="zh-CN"/>
        </w:rPr>
        <w:t>投标人</w:t>
      </w:r>
      <w:r>
        <w:rPr>
          <w:rFonts w:hint="eastAsia" w:ascii="仿宋" w:hAnsi="仿宋" w:eastAsia="仿宋" w:cs="仿宋"/>
          <w:color w:val="auto"/>
          <w:sz w:val="28"/>
          <w:szCs w:val="28"/>
        </w:rPr>
        <w:t>）”系指向招标采购单位提交</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的供应商；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1.2.4</w:t>
      </w:r>
      <w:r>
        <w:rPr>
          <w:rFonts w:hint="eastAsia" w:ascii="仿宋" w:hAnsi="仿宋" w:eastAsia="仿宋" w:cs="仿宋"/>
          <w:color w:val="auto"/>
          <w:sz w:val="28"/>
          <w:szCs w:val="28"/>
        </w:rPr>
        <w:t>“中标人（成交人）”系指被确定为承接本项目并负责其实施的</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w:t>
      </w:r>
      <w:r>
        <w:rPr>
          <w:rFonts w:hint="eastAsia" w:ascii="仿宋" w:hAnsi="仿宋" w:cs="仿宋"/>
          <w:color w:val="auto"/>
          <w:sz w:val="28"/>
          <w:szCs w:val="28"/>
          <w:lang w:eastAsia="zh-CN"/>
        </w:rPr>
        <w:t>投标人</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1.2.5</w:t>
      </w:r>
      <w:r>
        <w:rPr>
          <w:rFonts w:hint="eastAsia" w:ascii="仿宋" w:hAnsi="仿宋" w:eastAsia="仿宋" w:cs="仿宋"/>
          <w:color w:val="auto"/>
          <w:sz w:val="28"/>
          <w:szCs w:val="28"/>
        </w:rPr>
        <w:t>“货物”系指供应商按</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要求，须向采购人提供的货物及相应资料；包括手册</w:t>
      </w:r>
      <w:r>
        <w:rPr>
          <w:rFonts w:hint="eastAsia" w:ascii="仿宋" w:hAnsi="仿宋" w:eastAsia="仿宋" w:cs="仿宋"/>
          <w:color w:val="auto"/>
          <w:sz w:val="28"/>
          <w:szCs w:val="28"/>
          <w:highlight w:val="none"/>
        </w:rPr>
        <w:t>及其它</w:t>
      </w:r>
      <w:r>
        <w:rPr>
          <w:rFonts w:hint="eastAsia" w:ascii="仿宋" w:hAnsi="仿宋" w:eastAsia="仿宋" w:cs="仿宋"/>
          <w:color w:val="auto"/>
          <w:sz w:val="28"/>
          <w:szCs w:val="28"/>
        </w:rPr>
        <w:t xml:space="preserve">有关技术资料；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1.2.6</w:t>
      </w:r>
      <w:r>
        <w:rPr>
          <w:rFonts w:hint="eastAsia" w:ascii="仿宋" w:hAnsi="仿宋" w:eastAsia="仿宋" w:cs="仿宋"/>
          <w:color w:val="auto"/>
          <w:sz w:val="28"/>
          <w:szCs w:val="28"/>
        </w:rPr>
        <w:t>“服务”指</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 xml:space="preserve">中规定的供应商须承担的服务内容。 </w:t>
      </w:r>
    </w:p>
    <w:p>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1.3</w:t>
      </w:r>
      <w:r>
        <w:rPr>
          <w:rFonts w:hint="eastAsia" w:ascii="仿宋" w:hAnsi="仿宋" w:eastAsia="仿宋" w:cs="仿宋"/>
          <w:b/>
          <w:bCs/>
          <w:color w:val="auto"/>
          <w:sz w:val="28"/>
          <w:szCs w:val="28"/>
        </w:rPr>
        <w:t xml:space="preserve">合格的货物和服务：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供应商须提供符合国家质量标准，相关行业强制执行标准的技术服务。</w:t>
      </w:r>
    </w:p>
    <w:p>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t>1.</w:t>
      </w:r>
      <w:r>
        <w:rPr>
          <w:rFonts w:hint="eastAsia" w:ascii="仿宋" w:hAnsi="仿宋" w:cs="仿宋"/>
          <w:b/>
          <w:bCs/>
          <w:color w:val="auto"/>
          <w:sz w:val="28"/>
          <w:szCs w:val="28"/>
          <w:lang w:val="en-US" w:eastAsia="zh-CN"/>
        </w:rPr>
        <w:t>4</w:t>
      </w:r>
      <w:r>
        <w:rPr>
          <w:rFonts w:hint="eastAsia" w:ascii="仿宋" w:hAnsi="仿宋" w:eastAsia="仿宋" w:cs="仿宋"/>
          <w:b/>
          <w:bCs/>
          <w:color w:val="auto"/>
          <w:sz w:val="28"/>
          <w:szCs w:val="28"/>
        </w:rPr>
        <w:t xml:space="preserve"> </w:t>
      </w:r>
      <w:r>
        <w:rPr>
          <w:rFonts w:hint="eastAsia" w:ascii="仿宋" w:hAnsi="仿宋" w:cs="仿宋"/>
          <w:b/>
          <w:bCs/>
          <w:color w:val="auto"/>
          <w:sz w:val="28"/>
          <w:szCs w:val="28"/>
          <w:lang w:eastAsia="zh-CN"/>
        </w:rPr>
        <w:t>供应商</w:t>
      </w:r>
      <w:r>
        <w:rPr>
          <w:rFonts w:hint="eastAsia" w:ascii="仿宋" w:hAnsi="仿宋" w:eastAsia="仿宋" w:cs="仿宋"/>
          <w:b/>
          <w:bCs/>
          <w:color w:val="auto"/>
          <w:sz w:val="28"/>
          <w:szCs w:val="28"/>
        </w:rPr>
        <w:t>应具备的条件：</w:t>
      </w:r>
      <w:r>
        <w:rPr>
          <w:rFonts w:hint="eastAsia" w:ascii="仿宋" w:hAnsi="仿宋" w:eastAsia="仿宋" w:cs="仿宋"/>
          <w:color w:val="auto"/>
          <w:sz w:val="28"/>
          <w:szCs w:val="28"/>
        </w:rPr>
        <w:t>见</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须知前附表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不得存在下列情形之一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1.5.1</w:t>
      </w:r>
      <w:r>
        <w:rPr>
          <w:rFonts w:hint="eastAsia" w:ascii="仿宋" w:hAnsi="仿宋" w:eastAsia="仿宋" w:cs="仿宋"/>
          <w:color w:val="auto"/>
          <w:sz w:val="28"/>
          <w:szCs w:val="28"/>
        </w:rPr>
        <w:t>为</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不具有独立法人资格的附属机构（单位）；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1.5.2</w:t>
      </w:r>
      <w:r>
        <w:rPr>
          <w:rFonts w:hint="eastAsia" w:ascii="仿宋" w:hAnsi="仿宋" w:eastAsia="仿宋" w:cs="仿宋"/>
          <w:color w:val="auto"/>
          <w:sz w:val="28"/>
          <w:szCs w:val="28"/>
        </w:rPr>
        <w:t xml:space="preserve">为本项目前期准备提供咨询服务的；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1.5.3</w:t>
      </w:r>
      <w:r>
        <w:rPr>
          <w:rFonts w:hint="eastAsia" w:ascii="仿宋" w:hAnsi="仿宋" w:eastAsia="仿宋" w:cs="仿宋"/>
          <w:color w:val="auto"/>
          <w:sz w:val="28"/>
          <w:szCs w:val="28"/>
        </w:rPr>
        <w:t xml:space="preserve">为本项目提供招标代理服务的；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1.5.4</w:t>
      </w:r>
      <w:r>
        <w:rPr>
          <w:rFonts w:hint="eastAsia" w:ascii="仿宋" w:hAnsi="仿宋" w:eastAsia="仿宋" w:cs="仿宋"/>
          <w:color w:val="auto"/>
          <w:sz w:val="28"/>
          <w:szCs w:val="28"/>
        </w:rPr>
        <w:t xml:space="preserve">被责令停业的；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1.5.5</w:t>
      </w:r>
      <w:r>
        <w:rPr>
          <w:rFonts w:hint="eastAsia" w:ascii="仿宋" w:hAnsi="仿宋" w:eastAsia="仿宋" w:cs="仿宋"/>
          <w:color w:val="auto"/>
          <w:sz w:val="28"/>
          <w:szCs w:val="28"/>
        </w:rPr>
        <w:t xml:space="preserve">被暂停或取消投标资格的；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1.5.6</w:t>
      </w:r>
      <w:r>
        <w:rPr>
          <w:rFonts w:hint="eastAsia" w:ascii="仿宋" w:hAnsi="仿宋" w:eastAsia="仿宋" w:cs="仿宋"/>
          <w:color w:val="auto"/>
          <w:sz w:val="28"/>
          <w:szCs w:val="28"/>
        </w:rPr>
        <w:t xml:space="preserve">财产被接管或冻结的；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1.5.7</w:t>
      </w:r>
      <w:r>
        <w:rPr>
          <w:rFonts w:hint="eastAsia" w:ascii="仿宋" w:hAnsi="仿宋" w:eastAsia="仿宋" w:cs="仿宋"/>
          <w:color w:val="auto"/>
          <w:sz w:val="28"/>
          <w:szCs w:val="28"/>
        </w:rPr>
        <w:t xml:space="preserve">在最近三年内有骗取中标或严重违约或重大质量问题的。 </w:t>
      </w:r>
    </w:p>
    <w:p>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1.6</w:t>
      </w:r>
      <w:r>
        <w:rPr>
          <w:rFonts w:hint="eastAsia" w:ascii="仿宋" w:hAnsi="仿宋" w:eastAsia="仿宋" w:cs="仿宋"/>
          <w:b/>
          <w:bCs/>
          <w:color w:val="auto"/>
          <w:sz w:val="28"/>
          <w:szCs w:val="28"/>
        </w:rPr>
        <w:t xml:space="preserve">费用承担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1.6.1</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准备和参加投标活动发生的一切费用自理，不论投标结果如何，</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概不负责。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1.6.2</w:t>
      </w:r>
      <w:r>
        <w:rPr>
          <w:rFonts w:hint="eastAsia" w:ascii="仿宋" w:hAnsi="仿宋" w:eastAsia="仿宋" w:cs="仿宋"/>
          <w:color w:val="auto"/>
          <w:sz w:val="28"/>
          <w:szCs w:val="28"/>
        </w:rPr>
        <w:t xml:space="preserve">与采购人商定，参照豫招协【2023】002号文规定之招标代理服务收费计算标准，中标、成交供应商在领取中标通知书时一次性向釆购代理机构缴纳。对于小型项目，如按本指导意见计算出的代理服务费，明显低于代理机构代理成本时，招标人与招标代理机构约定招标代理服务费不足1万元的按1万元收取。 </w:t>
      </w:r>
    </w:p>
    <w:p>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1.7</w:t>
      </w:r>
      <w:r>
        <w:rPr>
          <w:rFonts w:hint="eastAsia" w:ascii="仿宋" w:hAnsi="仿宋" w:eastAsia="仿宋" w:cs="仿宋"/>
          <w:b/>
          <w:bCs/>
          <w:color w:val="auto"/>
          <w:sz w:val="28"/>
          <w:szCs w:val="28"/>
        </w:rPr>
        <w:t xml:space="preserve">保密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参与招标投标活动的各方应对</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和</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中的商业和技术等秘密保密，违者应对由此造成的后果承担法律责任。 </w:t>
      </w:r>
    </w:p>
    <w:p>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1.8</w:t>
      </w:r>
      <w:r>
        <w:rPr>
          <w:rFonts w:hint="eastAsia" w:ascii="仿宋" w:hAnsi="仿宋" w:eastAsia="仿宋" w:cs="仿宋"/>
          <w:b/>
          <w:bCs/>
          <w:color w:val="auto"/>
          <w:sz w:val="28"/>
          <w:szCs w:val="28"/>
        </w:rPr>
        <w:t xml:space="preserve">语言文字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除专用术语外，与招标投标有关的语言均使用中文。必要时专用术语应附有中文注释。</w:t>
      </w:r>
    </w:p>
    <w:p>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r>
        <w:rPr>
          <w:rFonts w:hint="eastAsia" w:ascii="仿宋" w:hAnsi="仿宋" w:cs="仿宋"/>
          <w:b/>
          <w:bCs/>
          <w:color w:val="auto"/>
          <w:sz w:val="28"/>
          <w:szCs w:val="28"/>
          <w:lang w:val="en-US" w:eastAsia="zh-CN"/>
        </w:rPr>
        <w:t>9</w:t>
      </w:r>
      <w:r>
        <w:rPr>
          <w:rFonts w:hint="eastAsia" w:ascii="仿宋" w:hAnsi="仿宋" w:eastAsia="仿宋" w:cs="仿宋"/>
          <w:b/>
          <w:bCs/>
          <w:color w:val="auto"/>
          <w:sz w:val="28"/>
          <w:szCs w:val="28"/>
        </w:rPr>
        <w:t xml:space="preserve"> 计量单位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所有计量均采用中华人民共和国法定计量单位。</w:t>
      </w:r>
    </w:p>
    <w:p>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r>
        <w:rPr>
          <w:rFonts w:hint="eastAsia" w:ascii="仿宋" w:hAnsi="仿宋" w:cs="仿宋"/>
          <w:b/>
          <w:bCs/>
          <w:color w:val="auto"/>
          <w:sz w:val="28"/>
          <w:szCs w:val="28"/>
          <w:lang w:val="en-US" w:eastAsia="zh-CN"/>
        </w:rPr>
        <w:t>10</w:t>
      </w:r>
      <w:r>
        <w:rPr>
          <w:rFonts w:hint="eastAsia" w:ascii="仿宋" w:hAnsi="仿宋" w:eastAsia="仿宋" w:cs="仿宋"/>
          <w:b/>
          <w:bCs/>
          <w:color w:val="auto"/>
          <w:sz w:val="28"/>
          <w:szCs w:val="28"/>
        </w:rPr>
        <w:t xml:space="preserve"> 踏勘现场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本项目不组织现场踏勘。</w:t>
      </w:r>
    </w:p>
    <w:p>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1</w:t>
      </w:r>
      <w:r>
        <w:rPr>
          <w:rFonts w:hint="eastAsia" w:ascii="仿宋" w:hAnsi="仿宋" w:eastAsia="仿宋" w:cs="仿宋"/>
          <w:b/>
          <w:bCs/>
          <w:color w:val="auto"/>
          <w:sz w:val="28"/>
          <w:szCs w:val="28"/>
        </w:rPr>
        <w:t xml:space="preserve"> 投标预备会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本项目不召开预备会。</w:t>
      </w:r>
    </w:p>
    <w:p>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2</w:t>
      </w:r>
      <w:r>
        <w:rPr>
          <w:rFonts w:hint="eastAsia" w:ascii="仿宋" w:hAnsi="仿宋" w:eastAsia="仿宋" w:cs="仿宋"/>
          <w:b/>
          <w:bCs/>
          <w:color w:val="auto"/>
          <w:sz w:val="28"/>
          <w:szCs w:val="28"/>
        </w:rPr>
        <w:t xml:space="preserve"> 分包</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本项目不接受任何分包。 </w:t>
      </w:r>
    </w:p>
    <w:p>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3</w:t>
      </w:r>
      <w:r>
        <w:rPr>
          <w:rFonts w:hint="eastAsia" w:ascii="仿宋" w:hAnsi="仿宋" w:eastAsia="仿宋" w:cs="仿宋"/>
          <w:b/>
          <w:bCs/>
          <w:color w:val="auto"/>
          <w:sz w:val="28"/>
          <w:szCs w:val="28"/>
        </w:rPr>
        <w:t xml:space="preserve">偏离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按</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须知前附表规定。</w:t>
      </w:r>
    </w:p>
    <w:p>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1.1</w:t>
      </w:r>
      <w:r>
        <w:rPr>
          <w:rFonts w:hint="eastAsia" w:ascii="仿宋" w:hAnsi="仿宋" w:cs="仿宋"/>
          <w:b/>
          <w:bCs/>
          <w:color w:val="auto"/>
          <w:sz w:val="28"/>
          <w:szCs w:val="28"/>
          <w:lang w:val="en-US" w:eastAsia="zh-CN"/>
        </w:rPr>
        <w:t>4</w:t>
      </w:r>
      <w:r>
        <w:rPr>
          <w:rFonts w:hint="eastAsia" w:ascii="仿宋" w:hAnsi="仿宋" w:eastAsia="仿宋" w:cs="仿宋"/>
          <w:b/>
          <w:bCs/>
          <w:color w:val="auto"/>
          <w:sz w:val="28"/>
          <w:szCs w:val="28"/>
        </w:rPr>
        <w:t xml:space="preserve"> 付款方式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按照</w:t>
      </w:r>
      <w:r>
        <w:rPr>
          <w:rFonts w:hint="eastAsia" w:ascii="仿宋" w:hAnsi="仿宋" w:cs="仿宋"/>
          <w:color w:val="auto"/>
          <w:sz w:val="28"/>
          <w:szCs w:val="28"/>
          <w:lang w:eastAsia="zh-CN"/>
        </w:rPr>
        <w:t>采购文件供应商</w:t>
      </w:r>
      <w:r>
        <w:rPr>
          <w:rFonts w:hint="eastAsia" w:ascii="仿宋" w:hAnsi="仿宋" w:eastAsia="仿宋" w:cs="仿宋"/>
          <w:color w:val="auto"/>
          <w:sz w:val="28"/>
          <w:szCs w:val="28"/>
        </w:rPr>
        <w:t>须知前附表中约定执行。</w:t>
      </w:r>
      <w:bookmarkStart w:id="17" w:name="二、磋商文件"/>
      <w:bookmarkEnd w:id="17"/>
    </w:p>
    <w:p>
      <w:pPr>
        <w:pStyle w:val="3"/>
        <w:rPr>
          <w:rFonts w:hint="eastAsia"/>
          <w:color w:val="auto"/>
        </w:rPr>
      </w:pPr>
      <w:r>
        <w:rPr>
          <w:rFonts w:hint="eastAsia"/>
          <w:color w:val="auto"/>
        </w:rPr>
        <w:t xml:space="preserve">二、磋商文件 </w:t>
      </w:r>
    </w:p>
    <w:p>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2.1</w:t>
      </w:r>
      <w:r>
        <w:rPr>
          <w:rFonts w:hint="eastAsia" w:ascii="仿宋" w:hAnsi="仿宋" w:eastAsia="仿宋" w:cs="仿宋"/>
          <w:b/>
          <w:bCs/>
          <w:color w:val="auto"/>
          <w:sz w:val="28"/>
          <w:szCs w:val="28"/>
        </w:rPr>
        <w:t>磋商文件构成</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2.1.1</w:t>
      </w:r>
      <w:r>
        <w:rPr>
          <w:rFonts w:hint="eastAsia" w:ascii="仿宋" w:hAnsi="仿宋" w:eastAsia="仿宋" w:cs="仿宋"/>
          <w:color w:val="auto"/>
          <w:sz w:val="28"/>
          <w:szCs w:val="28"/>
        </w:rPr>
        <w:t>要求提供的服务、招标过程、合同条件和技术要求在</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 xml:space="preserve">中均有说明。 </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 xml:space="preserve">的内容如下：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第一部分 磋商公告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第二部分   供应商须知前附表</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第三部分  供应商须知正文部分</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第四部分 合同主要条款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第五部分 电子标</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文件格式</w:t>
      </w:r>
    </w:p>
    <w:p>
      <w:pPr>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2.2 磋商文件的澄清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2.2.1供应商应仔细阅读和检查采购文件的全部内容。如发现缺页或附件不全，应及时向采购人提出，以便补齐。如有疑问，应按供应商须知前附表规定的时间和形式将提出的问题送达采购人，要求采购人对采购文件予以澄清。采购文件的澄清以供应商须知前附表规定的形式发给所有下载采购文件的供应商，但不指明澄清问题的来源。澄清发出的时间距本章规定的投标截止时间不足15日的，并且澄清内容可能影响响应文件编制的，将相应延长投标截止时间。供应商应及时关注交易中心系统，自行下载澄清文件，采购人澄清文件已经交易中心系统发布，即视为潜在供应商收到澄清通知，供应商应知道但因关注不及时而未能知道，后果自负。除非采购人认为确有必要答复，否则，采购人有权拒绝回复供应商在本章规定的时间后的任何澄清要求。</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2.3</w:t>
      </w:r>
      <w:r>
        <w:rPr>
          <w:rFonts w:hint="eastAsia" w:ascii="仿宋" w:hAnsi="仿宋" w:eastAsia="仿宋" w:cs="仿宋"/>
          <w:b/>
          <w:bCs/>
          <w:color w:val="auto"/>
          <w:sz w:val="28"/>
          <w:szCs w:val="28"/>
        </w:rPr>
        <w:t xml:space="preserve">磋商文件的修改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2.3.1</w:t>
      </w:r>
      <w:r>
        <w:rPr>
          <w:rFonts w:hint="eastAsia" w:ascii="仿宋" w:hAnsi="仿宋" w:eastAsia="仿宋" w:cs="仿宋"/>
          <w:color w:val="auto"/>
          <w:sz w:val="28"/>
          <w:szCs w:val="28"/>
        </w:rPr>
        <w:t>在磋商截止时间5天前，采购人可以书面形式修改采购文件，并以公告形式通知供应商。</w:t>
      </w:r>
      <w:bookmarkStart w:id="18" w:name="三、响应性文件"/>
      <w:bookmarkEnd w:id="18"/>
      <w:r>
        <w:rPr>
          <w:rFonts w:hint="eastAsia" w:ascii="仿宋" w:hAnsi="仿宋" w:eastAsia="仿宋" w:cs="仿宋"/>
          <w:color w:val="auto"/>
          <w:sz w:val="28"/>
          <w:szCs w:val="28"/>
        </w:rPr>
        <w:t xml:space="preserve"> </w:t>
      </w:r>
    </w:p>
    <w:p>
      <w:pPr>
        <w:pStyle w:val="3"/>
        <w:rPr>
          <w:rFonts w:hint="eastAsia"/>
          <w:color w:val="auto"/>
        </w:rPr>
      </w:pPr>
      <w:r>
        <w:rPr>
          <w:rFonts w:hint="eastAsia"/>
          <w:color w:val="auto"/>
        </w:rPr>
        <w:t>三、</w:t>
      </w:r>
      <w:r>
        <w:rPr>
          <w:rFonts w:hint="eastAsia"/>
          <w:color w:val="auto"/>
          <w:lang w:eastAsia="zh-CN"/>
        </w:rPr>
        <w:t>符合性</w:t>
      </w:r>
      <w:r>
        <w:rPr>
          <w:rFonts w:hint="eastAsia"/>
          <w:color w:val="auto"/>
        </w:rPr>
        <w:t xml:space="preserve">文件 </w:t>
      </w:r>
    </w:p>
    <w:p>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3.1</w:t>
      </w:r>
      <w:r>
        <w:rPr>
          <w:rFonts w:hint="eastAsia" w:ascii="仿宋" w:hAnsi="仿宋" w:eastAsia="仿宋" w:cs="仿宋"/>
          <w:b/>
          <w:bCs/>
          <w:color w:val="auto"/>
          <w:sz w:val="28"/>
          <w:szCs w:val="28"/>
        </w:rPr>
        <w:t>投标的语言</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3.1.1</w:t>
      </w:r>
      <w:r>
        <w:rPr>
          <w:rFonts w:hint="eastAsia" w:ascii="仿宋" w:hAnsi="仿宋" w:eastAsia="仿宋" w:cs="仿宋"/>
          <w:color w:val="auto"/>
          <w:sz w:val="28"/>
          <w:szCs w:val="28"/>
        </w:rPr>
        <w:t>供应商提交的</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文件以及供应商与采购人就有关投标的所有来往函电均应使用中文书写。 </w:t>
      </w:r>
    </w:p>
    <w:p>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3.2</w:t>
      </w:r>
      <w:r>
        <w:rPr>
          <w:rFonts w:hint="eastAsia" w:ascii="仿宋" w:hAnsi="仿宋" w:cs="仿宋"/>
          <w:b/>
          <w:bCs/>
          <w:color w:val="auto"/>
          <w:sz w:val="28"/>
          <w:szCs w:val="28"/>
          <w:lang w:eastAsia="zh-CN"/>
        </w:rPr>
        <w:t>符合性</w:t>
      </w:r>
      <w:r>
        <w:rPr>
          <w:rFonts w:hint="eastAsia" w:ascii="仿宋" w:hAnsi="仿宋" w:eastAsia="仿宋" w:cs="仿宋"/>
          <w:b/>
          <w:bCs/>
          <w:color w:val="auto"/>
          <w:sz w:val="28"/>
          <w:szCs w:val="28"/>
        </w:rPr>
        <w:t xml:space="preserve">文件构成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3.2.1</w:t>
      </w:r>
      <w:r>
        <w:rPr>
          <w:rFonts w:hint="eastAsia" w:ascii="仿宋" w:hAnsi="仿宋" w:eastAsia="仿宋" w:cs="仿宋"/>
          <w:color w:val="auto"/>
          <w:sz w:val="28"/>
          <w:szCs w:val="28"/>
        </w:rPr>
        <w:t>供应商编写的</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文件应包括下列内容（</w:t>
      </w:r>
      <w:r>
        <w:rPr>
          <w:rFonts w:hint="eastAsia" w:ascii="仿宋" w:hAnsi="仿宋" w:cs="仿宋"/>
          <w:color w:val="auto"/>
          <w:sz w:val="28"/>
          <w:szCs w:val="28"/>
          <w:lang w:eastAsia="zh-CN"/>
        </w:rPr>
        <w:t>但</w:t>
      </w:r>
      <w:r>
        <w:rPr>
          <w:rFonts w:hint="eastAsia" w:ascii="仿宋" w:hAnsi="仿宋" w:eastAsia="仿宋" w:cs="仿宋"/>
          <w:color w:val="auto"/>
          <w:sz w:val="28"/>
          <w:szCs w:val="28"/>
        </w:rPr>
        <w:t xml:space="preserve">不限于）： </w:t>
      </w:r>
    </w:p>
    <w:p>
      <w:pPr>
        <w:numPr>
          <w:ilvl w:val="0"/>
          <w:numId w:val="2"/>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磋商函及磋商一览表 </w:t>
      </w:r>
    </w:p>
    <w:p>
      <w:pPr>
        <w:numPr>
          <w:ilvl w:val="0"/>
          <w:numId w:val="2"/>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法定代表人身份证明 </w:t>
      </w:r>
    </w:p>
    <w:p>
      <w:pPr>
        <w:numPr>
          <w:ilvl w:val="0"/>
          <w:numId w:val="2"/>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授权委托书 </w:t>
      </w:r>
    </w:p>
    <w:p>
      <w:pPr>
        <w:numPr>
          <w:ilvl w:val="0"/>
          <w:numId w:val="2"/>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技术标部分 </w:t>
      </w:r>
    </w:p>
    <w:p>
      <w:pPr>
        <w:numPr>
          <w:ilvl w:val="0"/>
          <w:numId w:val="2"/>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供应商类似业绩（加盖电子签章） </w:t>
      </w:r>
    </w:p>
    <w:p>
      <w:pPr>
        <w:numPr>
          <w:ilvl w:val="0"/>
          <w:numId w:val="2"/>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基本情况表 </w:t>
      </w:r>
    </w:p>
    <w:p>
      <w:pPr>
        <w:numPr>
          <w:ilvl w:val="0"/>
          <w:numId w:val="2"/>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其他需提供的资料 </w:t>
      </w:r>
    </w:p>
    <w:p>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3.3</w:t>
      </w:r>
      <w:r>
        <w:rPr>
          <w:rFonts w:hint="eastAsia" w:ascii="仿宋" w:hAnsi="仿宋" w:cs="仿宋"/>
          <w:b/>
          <w:bCs/>
          <w:color w:val="auto"/>
          <w:sz w:val="28"/>
          <w:szCs w:val="28"/>
          <w:lang w:eastAsia="zh-CN"/>
        </w:rPr>
        <w:t>符合性</w:t>
      </w:r>
      <w:r>
        <w:rPr>
          <w:rFonts w:hint="eastAsia" w:ascii="仿宋" w:hAnsi="仿宋" w:eastAsia="仿宋" w:cs="仿宋"/>
          <w:b/>
          <w:bCs/>
          <w:color w:val="auto"/>
          <w:sz w:val="28"/>
          <w:szCs w:val="28"/>
        </w:rPr>
        <w:t xml:space="preserve">文件的编制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3.3.1</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文件应按磋商文件提供的“电子标</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文件格式”进行编写，如有必要，可以增加附页，作为响应文件的组成部分。其中，响应文件中的磋商一览表在满足磋商文件实质性要求的基础上，可以提出比磋商文件要求更有利于采购人的承诺。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3.3.2</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文件应当对磋商文件有关工期、磋商有效期、质量要求、采购范围等实质性内容作出响应。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3.3.3</w:t>
      </w:r>
      <w:r>
        <w:rPr>
          <w:rFonts w:hint="eastAsia" w:ascii="仿宋" w:hAnsi="仿宋" w:eastAsia="仿宋" w:cs="仿宋"/>
          <w:color w:val="auto"/>
          <w:sz w:val="28"/>
          <w:szCs w:val="28"/>
        </w:rPr>
        <w:t>响应文件电子签章的具体要求见供应商须知前附表。</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3.3.4 响应文件份数详见供应商须知前附表。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3.3.5 不允许递交备选磋商方案。</w:t>
      </w:r>
    </w:p>
    <w:p>
      <w:pPr>
        <w:spacing w:line="360" w:lineRule="auto"/>
        <w:rPr>
          <w:rFonts w:hint="eastAsia" w:ascii="仿宋" w:hAnsi="仿宋" w:eastAsia="仿宋" w:cs="仿宋"/>
          <w:color w:val="auto"/>
          <w:sz w:val="28"/>
          <w:szCs w:val="28"/>
        </w:rPr>
      </w:pPr>
      <w:r>
        <w:rPr>
          <w:rFonts w:hint="eastAsia" w:ascii="仿宋" w:hAnsi="仿宋" w:eastAsia="仿宋" w:cs="仿宋"/>
          <w:b/>
          <w:bCs/>
          <w:color w:val="auto"/>
          <w:sz w:val="28"/>
          <w:szCs w:val="28"/>
        </w:rPr>
        <w:t>3.4. 磋商报价</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3.4.1</w:t>
      </w:r>
      <w:r>
        <w:rPr>
          <w:rFonts w:hint="eastAsia" w:ascii="仿宋" w:hAnsi="仿宋" w:eastAsia="仿宋" w:cs="仿宋"/>
          <w:color w:val="auto"/>
          <w:sz w:val="28"/>
          <w:szCs w:val="28"/>
        </w:rPr>
        <w:t>供应商需按照磋商函一览表中的要求填写相应的表格。</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3.4.2</w:t>
      </w:r>
      <w:r>
        <w:rPr>
          <w:rFonts w:hint="eastAsia" w:ascii="仿宋" w:hAnsi="仿宋" w:eastAsia="仿宋" w:cs="仿宋"/>
          <w:color w:val="auto"/>
          <w:sz w:val="28"/>
          <w:szCs w:val="28"/>
        </w:rPr>
        <w:t xml:space="preserve">本次采购为竞争性磋商采购，允许符合要求的供应商在规定的时间提交二次报价。  </w:t>
      </w:r>
    </w:p>
    <w:p>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3.5</w:t>
      </w:r>
      <w:r>
        <w:rPr>
          <w:rFonts w:hint="eastAsia" w:ascii="仿宋" w:hAnsi="仿宋" w:eastAsia="仿宋" w:cs="仿宋"/>
          <w:b/>
          <w:bCs/>
          <w:color w:val="auto"/>
          <w:sz w:val="28"/>
          <w:szCs w:val="28"/>
        </w:rPr>
        <w:t xml:space="preserve">磋商保证金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3.5.1</w:t>
      </w:r>
      <w:r>
        <w:rPr>
          <w:rFonts w:hint="eastAsia" w:ascii="仿宋" w:hAnsi="仿宋" w:eastAsia="仿宋" w:cs="仿宋"/>
          <w:color w:val="auto"/>
          <w:sz w:val="28"/>
          <w:szCs w:val="28"/>
        </w:rPr>
        <w:t xml:space="preserve">本项目不收磋商保证金。 </w:t>
      </w:r>
    </w:p>
    <w:p>
      <w:pPr>
        <w:spacing w:line="360" w:lineRule="auto"/>
        <w:rPr>
          <w:rFonts w:hint="eastAsia" w:ascii="仿宋" w:hAnsi="仿宋" w:eastAsia="仿宋" w:cs="仿宋"/>
          <w:b/>
          <w:bCs/>
          <w:color w:val="auto"/>
          <w:sz w:val="28"/>
          <w:szCs w:val="28"/>
        </w:rPr>
      </w:pPr>
      <w:r>
        <w:rPr>
          <w:rFonts w:hint="eastAsia" w:ascii="仿宋" w:hAnsi="仿宋" w:cs="仿宋"/>
          <w:b/>
          <w:bCs/>
          <w:color w:val="auto"/>
          <w:sz w:val="28"/>
          <w:szCs w:val="28"/>
          <w:lang w:val="en-US" w:eastAsia="zh-CN"/>
        </w:rPr>
        <w:t>3.6</w:t>
      </w:r>
      <w:r>
        <w:rPr>
          <w:rFonts w:hint="eastAsia" w:ascii="仿宋" w:hAnsi="仿宋" w:eastAsia="仿宋" w:cs="仿宋"/>
          <w:b/>
          <w:bCs/>
          <w:color w:val="auto"/>
          <w:sz w:val="28"/>
          <w:szCs w:val="28"/>
        </w:rPr>
        <w:t xml:space="preserve">磋商有效期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3.6.1</w:t>
      </w:r>
      <w:r>
        <w:rPr>
          <w:rFonts w:hint="eastAsia" w:ascii="仿宋" w:hAnsi="仿宋" w:eastAsia="仿宋" w:cs="仿宋"/>
          <w:color w:val="auto"/>
          <w:sz w:val="28"/>
          <w:szCs w:val="28"/>
        </w:rPr>
        <w:t>磋商有效期为磋商</w:t>
      </w:r>
      <w:r>
        <w:rPr>
          <w:rFonts w:hint="eastAsia" w:ascii="仿宋" w:hAnsi="仿宋" w:eastAsia="仿宋" w:cs="仿宋"/>
          <w:color w:val="auto"/>
          <w:sz w:val="28"/>
          <w:szCs w:val="28"/>
          <w:highlight w:val="none"/>
        </w:rPr>
        <w:t>截止</w:t>
      </w:r>
      <w:r>
        <w:rPr>
          <w:rFonts w:hint="eastAsia" w:ascii="仿宋" w:hAnsi="仿宋" w:eastAsia="仿宋" w:cs="仿宋"/>
          <w:color w:val="auto"/>
          <w:sz w:val="28"/>
          <w:szCs w:val="28"/>
        </w:rPr>
        <w:t xml:space="preserve">之日起60天。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3.6.2</w:t>
      </w:r>
      <w:r>
        <w:rPr>
          <w:rFonts w:hint="eastAsia" w:ascii="仿宋" w:hAnsi="仿宋" w:eastAsia="仿宋" w:cs="仿宋"/>
          <w:color w:val="auto"/>
          <w:sz w:val="28"/>
          <w:szCs w:val="28"/>
        </w:rPr>
        <w:t xml:space="preserve">如遇特殊情况，采购人可在磋商有效期期满前，要求供应商延长其磋商有效期。供应商可以拒绝或同意上述要求，延长有效期的要求与答复均为书面形式。不同意上述要求的供应商将视为自动放弃投标。 </w:t>
      </w:r>
    </w:p>
    <w:p>
      <w:pPr>
        <w:pStyle w:val="3"/>
        <w:rPr>
          <w:rFonts w:hint="eastAsia"/>
          <w:color w:val="auto"/>
        </w:rPr>
      </w:pPr>
      <w:bookmarkStart w:id="19" w:name="四、投标"/>
      <w:bookmarkEnd w:id="19"/>
      <w:bookmarkStart w:id="20" w:name="_Toc1371"/>
      <w:bookmarkStart w:id="21" w:name="_Toc22577"/>
      <w:r>
        <w:rPr>
          <w:rFonts w:hint="eastAsia"/>
          <w:color w:val="auto"/>
        </w:rPr>
        <w:t>四、投标</w:t>
      </w:r>
      <w:bookmarkEnd w:id="20"/>
      <w:bookmarkEnd w:id="21"/>
      <w:r>
        <w:rPr>
          <w:rFonts w:hint="eastAsia"/>
          <w:color w:val="auto"/>
        </w:rPr>
        <w:t xml:space="preserve"> </w:t>
      </w:r>
    </w:p>
    <w:p>
      <w:pPr>
        <w:spacing w:line="360" w:lineRule="auto"/>
        <w:rPr>
          <w:rFonts w:hint="eastAsia" w:ascii="仿宋" w:hAnsi="仿宋" w:eastAsia="仿宋" w:cs="仿宋"/>
          <w:color w:val="auto"/>
          <w:sz w:val="28"/>
          <w:szCs w:val="28"/>
        </w:rPr>
      </w:pPr>
      <w:bookmarkStart w:id="22" w:name="4.1 响应性文件的递交"/>
      <w:bookmarkEnd w:id="22"/>
      <w:r>
        <w:rPr>
          <w:rFonts w:hint="eastAsia" w:ascii="仿宋" w:hAnsi="仿宋" w:cs="仿宋"/>
          <w:b/>
          <w:bCs/>
          <w:color w:val="auto"/>
          <w:sz w:val="28"/>
          <w:szCs w:val="28"/>
          <w:lang w:val="en-US" w:eastAsia="zh-CN"/>
        </w:rPr>
        <w:t>4.1</w:t>
      </w:r>
      <w:r>
        <w:rPr>
          <w:rFonts w:hint="eastAsia" w:ascii="仿宋" w:hAnsi="仿宋" w:cs="仿宋"/>
          <w:b/>
          <w:bCs/>
          <w:color w:val="auto"/>
          <w:sz w:val="28"/>
          <w:szCs w:val="28"/>
          <w:lang w:eastAsia="zh-CN"/>
        </w:rPr>
        <w:t>符合性</w:t>
      </w:r>
      <w:r>
        <w:rPr>
          <w:rFonts w:hint="eastAsia" w:ascii="仿宋" w:hAnsi="仿宋" w:eastAsia="仿宋" w:cs="仿宋"/>
          <w:b/>
          <w:bCs/>
          <w:color w:val="auto"/>
          <w:sz w:val="28"/>
          <w:szCs w:val="28"/>
        </w:rPr>
        <w:t>文件的递交</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4.1.1</w:t>
      </w:r>
      <w:r>
        <w:rPr>
          <w:rFonts w:hint="eastAsia" w:ascii="仿宋" w:hAnsi="仿宋" w:eastAsia="仿宋" w:cs="仿宋"/>
          <w:color w:val="auto"/>
          <w:sz w:val="28"/>
          <w:szCs w:val="28"/>
        </w:rPr>
        <w:t xml:space="preserve">电子响应文件的递交：见供应商须知前附表。 </w:t>
      </w:r>
    </w:p>
    <w:p>
      <w:pPr>
        <w:spacing w:line="360" w:lineRule="auto"/>
        <w:rPr>
          <w:rFonts w:hint="eastAsia" w:ascii="仿宋" w:hAnsi="仿宋" w:eastAsia="仿宋" w:cs="仿宋"/>
          <w:b/>
          <w:bCs/>
          <w:color w:val="auto"/>
          <w:sz w:val="28"/>
          <w:szCs w:val="28"/>
        </w:rPr>
      </w:pPr>
      <w:bookmarkStart w:id="23" w:name="4.2 电子响应文件的修改与撤回"/>
      <w:bookmarkEnd w:id="23"/>
      <w:r>
        <w:rPr>
          <w:rFonts w:hint="eastAsia" w:ascii="仿宋" w:hAnsi="仿宋" w:cs="仿宋"/>
          <w:b/>
          <w:bCs/>
          <w:color w:val="auto"/>
          <w:sz w:val="28"/>
          <w:szCs w:val="28"/>
          <w:lang w:val="en-US" w:eastAsia="zh-CN"/>
        </w:rPr>
        <w:t>4.2</w:t>
      </w:r>
      <w:r>
        <w:rPr>
          <w:rFonts w:hint="eastAsia" w:ascii="仿宋" w:hAnsi="仿宋" w:eastAsia="仿宋" w:cs="仿宋"/>
          <w:b/>
          <w:bCs/>
          <w:color w:val="auto"/>
          <w:sz w:val="28"/>
          <w:szCs w:val="28"/>
        </w:rPr>
        <w:t xml:space="preserve">电子响应文件的修改与撤回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4.2.1</w:t>
      </w:r>
      <w:r>
        <w:rPr>
          <w:rFonts w:hint="eastAsia" w:ascii="仿宋" w:hAnsi="仿宋" w:eastAsia="仿宋" w:cs="仿宋"/>
          <w:color w:val="auto"/>
          <w:sz w:val="28"/>
          <w:szCs w:val="28"/>
        </w:rPr>
        <w:t xml:space="preserve">供应商可以在磋商截止期之前修改电子响应文件。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4.2.2</w:t>
      </w:r>
      <w:r>
        <w:rPr>
          <w:rFonts w:hint="eastAsia" w:ascii="仿宋" w:hAnsi="仿宋" w:eastAsia="仿宋" w:cs="仿宋"/>
          <w:color w:val="auto"/>
          <w:sz w:val="28"/>
          <w:szCs w:val="28"/>
        </w:rPr>
        <w:t>在磋商截止期后不能修改及撤回其电子响应文件。</w:t>
      </w:r>
      <w:bookmarkStart w:id="24" w:name="五、开标与磋商"/>
      <w:bookmarkEnd w:id="24"/>
      <w:r>
        <w:rPr>
          <w:rFonts w:hint="eastAsia" w:ascii="仿宋" w:hAnsi="仿宋" w:eastAsia="仿宋" w:cs="仿宋"/>
          <w:color w:val="auto"/>
          <w:sz w:val="28"/>
          <w:szCs w:val="28"/>
        </w:rPr>
        <w:t xml:space="preserve"> </w:t>
      </w:r>
    </w:p>
    <w:p>
      <w:pPr>
        <w:pStyle w:val="3"/>
        <w:rPr>
          <w:rFonts w:hint="default" w:eastAsia="宋体"/>
          <w:color w:val="auto"/>
          <w:lang w:val="en-US" w:eastAsia="zh-CN"/>
        </w:rPr>
      </w:pPr>
      <w:r>
        <w:rPr>
          <w:rFonts w:hint="eastAsia"/>
          <w:color w:val="auto"/>
        </w:rPr>
        <w:t>五、开标与磋商</w:t>
      </w:r>
      <w:r>
        <w:rPr>
          <w:rFonts w:hint="eastAsia"/>
          <w:color w:val="auto"/>
          <w:lang w:eastAsia="zh-CN"/>
        </w:rPr>
        <w:t>、</w:t>
      </w:r>
      <w:r>
        <w:rPr>
          <w:rFonts w:hint="eastAsia"/>
          <w:color w:val="auto"/>
          <w:lang w:val="en-US" w:eastAsia="zh-CN"/>
        </w:rPr>
        <w:t>合同</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w:t>
      </w:r>
      <w:r>
        <w:rPr>
          <w:rFonts w:hint="eastAsia" w:ascii="仿宋" w:hAnsi="仿宋" w:eastAsia="仿宋" w:cs="仿宋"/>
          <w:color w:val="auto"/>
          <w:sz w:val="28"/>
          <w:szCs w:val="28"/>
        </w:rPr>
        <w:t xml:space="preserve">开标时间及地点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5.1.1</w:t>
      </w:r>
      <w:r>
        <w:rPr>
          <w:rFonts w:hint="eastAsia" w:ascii="仿宋" w:hAnsi="仿宋" w:eastAsia="仿宋" w:cs="仿宋"/>
          <w:color w:val="auto"/>
          <w:sz w:val="28"/>
          <w:szCs w:val="28"/>
        </w:rPr>
        <w:t>开标时间：详见供应商须知前附表</w:t>
      </w:r>
      <w:r>
        <w:rPr>
          <w:rFonts w:hint="eastAsia" w:ascii="仿宋" w:hAnsi="仿宋" w:cs="仿宋"/>
          <w:color w:val="auto"/>
          <w:sz w:val="28"/>
          <w:szCs w:val="28"/>
          <w:lang w:eastAsia="zh-CN"/>
        </w:rPr>
        <w:t>或磋商公告</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5.1.2</w:t>
      </w:r>
      <w:r>
        <w:rPr>
          <w:rFonts w:hint="eastAsia" w:ascii="仿宋" w:hAnsi="仿宋" w:eastAsia="仿宋" w:cs="仿宋"/>
          <w:color w:val="auto"/>
          <w:sz w:val="28"/>
          <w:szCs w:val="28"/>
        </w:rPr>
        <w:t>开标地点：详见供应商须知前附表</w:t>
      </w:r>
      <w:r>
        <w:rPr>
          <w:rFonts w:hint="eastAsia" w:ascii="仿宋" w:hAnsi="仿宋" w:cs="仿宋"/>
          <w:color w:val="auto"/>
          <w:sz w:val="28"/>
          <w:szCs w:val="28"/>
          <w:lang w:eastAsia="zh-CN"/>
        </w:rPr>
        <w:t>或磋商公告</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5.1.3</w:t>
      </w:r>
      <w:r>
        <w:rPr>
          <w:rFonts w:hint="eastAsia" w:ascii="仿宋" w:hAnsi="仿宋" w:eastAsia="仿宋" w:cs="仿宋"/>
          <w:color w:val="auto"/>
          <w:sz w:val="28"/>
          <w:szCs w:val="28"/>
          <w:lang w:val="en-US" w:eastAsia="zh-CN"/>
        </w:rPr>
        <w:t>供应商代表持本单位CA数字证书需提前登录不见面开标系统。投标时间截止，在线公布供应商、采购人代表、监标人等有关名单。主持人（代理公司）根据响应文件递交实际情况来确定有效供应商，并退回不符合要求的响应文件。</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b/>
          <w:bCs/>
          <w:color w:val="auto"/>
          <w:sz w:val="28"/>
          <w:szCs w:val="28"/>
        </w:rPr>
      </w:pPr>
      <w:bookmarkStart w:id="25" w:name="5.2 开标程序"/>
      <w:bookmarkEnd w:id="25"/>
      <w:r>
        <w:rPr>
          <w:rFonts w:hint="eastAsia" w:ascii="仿宋" w:hAnsi="仿宋" w:cs="仿宋"/>
          <w:b/>
          <w:bCs/>
          <w:color w:val="auto"/>
          <w:sz w:val="28"/>
          <w:szCs w:val="28"/>
          <w:lang w:val="en-US" w:eastAsia="zh-CN"/>
        </w:rPr>
        <w:t>5.2</w:t>
      </w:r>
      <w:r>
        <w:rPr>
          <w:rFonts w:hint="eastAsia" w:ascii="仿宋" w:hAnsi="仿宋" w:eastAsia="仿宋" w:cs="仿宋"/>
          <w:b/>
          <w:bCs/>
          <w:color w:val="auto"/>
          <w:sz w:val="28"/>
          <w:szCs w:val="28"/>
        </w:rPr>
        <w:t xml:space="preserve">开标程序 </w:t>
      </w:r>
    </w:p>
    <w:p>
      <w:p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采购人将按供应商须知前附表的时间和地点举行开标会议，参加开标的供应商应使用本企业CA数字证书，在投标截止时间前登录不见面开标系统。</w:t>
      </w:r>
    </w:p>
    <w:p>
      <w:p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5.2.1主持人按下列程序进行开标：</w:t>
      </w:r>
    </w:p>
    <w:p>
      <w:pPr>
        <w:spacing w:line="360" w:lineRule="auto"/>
        <w:rPr>
          <w:rFonts w:hint="eastAsia" w:ascii="仿宋" w:hAnsi="仿宋" w:cs="仿宋"/>
          <w:color w:val="auto"/>
          <w:sz w:val="28"/>
          <w:szCs w:val="28"/>
          <w:lang w:val="en-US" w:eastAsia="zh-CN"/>
        </w:rPr>
      </w:pPr>
      <w:bookmarkStart w:id="26" w:name="_bookmark35"/>
      <w:bookmarkEnd w:id="26"/>
      <w:bookmarkStart w:id="27" w:name="5.3_开标异议"/>
      <w:bookmarkEnd w:id="27"/>
      <w:r>
        <w:rPr>
          <w:rFonts w:hint="eastAsia" w:ascii="仿宋" w:hAnsi="仿宋" w:cs="仿宋"/>
          <w:color w:val="auto"/>
          <w:sz w:val="28"/>
          <w:szCs w:val="28"/>
          <w:lang w:val="en-US" w:eastAsia="zh-CN"/>
        </w:rPr>
        <w:t>1、供应商代表持本单位CA数字证书需提前登录不见面开标系统。</w:t>
      </w:r>
    </w:p>
    <w:p>
      <w:p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2、开标时间到，在线公布供应商、采购人代表、监标人等有关名单。主持人（代理公司）根据响应文件递交实际情况来确定有效供应商，并退回不符合要求的响应文件。</w:t>
      </w:r>
    </w:p>
    <w:p>
      <w:p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3、开标顺序：</w:t>
      </w:r>
    </w:p>
    <w:p>
      <w:p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①供应商解密：投标企业制作电子响应文件时，必须使用本单位企业数字证书进行加密，投标企业在开标前须自行检查数字证书有效性。在解密时间到达后，系统作出解密提示，请各供应商自行解密即可。开标解密时未解密成功的视为撤销其响应文件（因电子开标系统原因除外）。</w:t>
      </w:r>
    </w:p>
    <w:p>
      <w:p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②采购人解密。采购人持有本单位CA数字证书进行二次解密。</w:t>
      </w:r>
    </w:p>
    <w:p>
      <w:p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③唱标。查看唱标信息（系统不提供语音在线播放，该页面停留5分钟供供应商查看，如无异议视为同意）。采购人、监督人需要关注开标过程中，供应商随时在线提出的异议、问题沟通等信息，并做好及时回复；</w:t>
      </w:r>
    </w:p>
    <w:p>
      <w:p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④采购人、监督人等相关人员在开标记录表上（可进入原评标系统直接打印）签字确认。</w:t>
      </w:r>
    </w:p>
    <w:p>
      <w:p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⑤采购代理机构宣布开标结束，在评标系统中点击“开标结束”，并进行“采购文件导入”或“控制价文件导入”。</w:t>
      </w:r>
    </w:p>
    <w:p>
      <w:p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5.2.2 响应文件有下列情况之一者将视为无效标书。</w:t>
      </w:r>
    </w:p>
    <w:p>
      <w:p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（1）投标截止时间以后送达的响应文件；</w:t>
      </w:r>
    </w:p>
    <w:p>
      <w:p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（3）未按要求盖供应商单位电子签章、法定代表人或委托代理人签字（盖章）的；</w:t>
      </w:r>
    </w:p>
    <w:p>
      <w:p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（4）未按规定填写及响应文件字迹模糊、辨认不清或内容不全者；</w:t>
      </w:r>
    </w:p>
    <w:p>
      <w:p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5.2.3电子响应文件的解密</w:t>
      </w:r>
    </w:p>
    <w:p>
      <w:p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5.2.3.1本项目为全流程电子化交易项目，电子响应文件采用双重加密。在投标截止时间到达后，分标段进行解密。</w:t>
      </w:r>
    </w:p>
    <w:p>
      <w:p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5.2.3.2电子响应文件解密异常情况处理</w:t>
      </w:r>
    </w:p>
    <w:p>
      <w:pPr>
        <w:spacing w:line="360" w:lineRule="auto"/>
        <w:rPr>
          <w:rFonts w:hint="eastAsia" w:ascii="仿宋" w:hAnsi="仿宋" w:cs="仿宋"/>
          <w:color w:val="auto"/>
          <w:sz w:val="28"/>
          <w:szCs w:val="28"/>
          <w:lang w:val="en-US" w:eastAsia="zh-CN"/>
        </w:rPr>
      </w:pPr>
      <w:r>
        <w:rPr>
          <w:rFonts w:hint="eastAsia" w:ascii="仿宋" w:hAnsi="仿宋" w:cs="仿宋"/>
          <w:color w:val="auto"/>
          <w:sz w:val="28"/>
          <w:szCs w:val="28"/>
          <w:lang w:val="en-US" w:eastAsia="zh-CN"/>
        </w:rPr>
        <w:t>（1）开标过程中如遇到紧急事项，可在不见面开标大厅中进行提出异议或文字交流，严重问题可拨打技术支持电话400-998-0000。</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（2）不见面开标过程中，如供应商准备不到位，造成无法及时解密、网络问题等情况造成开标无法继续的，视为该供应商自动放弃投标（30分钟内），将被退回响应文件。</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5.2.4</w:t>
      </w:r>
      <w:r>
        <w:rPr>
          <w:rFonts w:hint="eastAsia" w:ascii="仿宋" w:hAnsi="仿宋" w:eastAsia="仿宋" w:cs="仿宋"/>
          <w:color w:val="auto"/>
          <w:sz w:val="28"/>
          <w:szCs w:val="28"/>
        </w:rPr>
        <w:t>代理机构在开标结束后将</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和有效电子</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导入评标系统。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5.2.5</w:t>
      </w:r>
      <w:r>
        <w:rPr>
          <w:rFonts w:hint="eastAsia" w:ascii="仿宋" w:hAnsi="仿宋" w:eastAsia="仿宋" w:cs="仿宋"/>
          <w:color w:val="auto"/>
          <w:sz w:val="28"/>
          <w:szCs w:val="28"/>
        </w:rPr>
        <w:t xml:space="preserve">磋商小组将审查每一份响应文件是否对磋商文件提出的所有实质性要求和条件作出响应。未能在实质上响应的投标，将作为无效标处理。实质上未响应是指： </w:t>
      </w:r>
    </w:p>
    <w:p>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未按磋商文件规定签章的：</w:t>
      </w:r>
    </w:p>
    <w:p>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未按磋商文件规定的格式填写，内容不完整或无法辨认的； </w:t>
      </w:r>
    </w:p>
    <w:p>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供应商资格条件不符合国家规定和磋商文件要求的； </w:t>
      </w:r>
    </w:p>
    <w:p>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违反国家强制性标准的； </w:t>
      </w:r>
    </w:p>
    <w:p>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响应文件附有采购人不能接受的条件的； </w:t>
      </w:r>
    </w:p>
    <w:p>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对同一标段递交内容不同的响应文件（一标多投），或在一份响应文件中对同一标段报有两个（ 含两个）以上报价的； </w:t>
      </w:r>
    </w:p>
    <w:p>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以他人名义投标、串通投标、弄虚作假的； </w:t>
      </w:r>
    </w:p>
    <w:p>
      <w:pPr>
        <w:numPr>
          <w:ilvl w:val="0"/>
          <w:numId w:val="3"/>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名称、组织机构等重要人员与报名时不一致的； </w:t>
      </w:r>
    </w:p>
    <w:p>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超出磋商文件规定及违反国家有关规定的； </w:t>
      </w:r>
    </w:p>
    <w:p>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磋商报价高出本标段最高磋商限价的； </w:t>
      </w:r>
    </w:p>
    <w:p>
      <w:pPr>
        <w:numPr>
          <w:ilvl w:val="0"/>
          <w:numId w:val="3"/>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磋商文件规定的其它情况。</w:t>
      </w:r>
    </w:p>
    <w:p>
      <w:pPr>
        <w:numPr>
          <w:ilvl w:val="0"/>
          <w:numId w:val="0"/>
        </w:numPr>
        <w:spacing w:line="360" w:lineRule="auto"/>
        <w:ind w:right="0"/>
        <w:rPr>
          <w:rFonts w:hint="eastAsia" w:ascii="仿宋" w:hAnsi="仿宋" w:eastAsia="仿宋" w:cs="仿宋"/>
          <w:color w:val="auto"/>
          <w:sz w:val="28"/>
          <w:szCs w:val="28"/>
        </w:rPr>
      </w:pPr>
      <w:r>
        <w:rPr>
          <w:rFonts w:hint="eastAsia" w:ascii="仿宋" w:hAnsi="仿宋" w:eastAsia="仿宋" w:cs="仿宋"/>
          <w:color w:val="auto"/>
          <w:sz w:val="28"/>
          <w:szCs w:val="28"/>
        </w:rPr>
        <w:t>5.2.</w:t>
      </w:r>
      <w:r>
        <w:rPr>
          <w:rFonts w:hint="eastAsia" w:ascii="仿宋" w:hAnsi="仿宋" w:cs="仿宋"/>
          <w:color w:val="auto"/>
          <w:sz w:val="28"/>
          <w:szCs w:val="28"/>
          <w:lang w:val="en-US" w:eastAsia="zh-CN"/>
        </w:rPr>
        <w:t>6</w:t>
      </w:r>
      <w:r>
        <w:rPr>
          <w:rFonts w:hint="eastAsia" w:ascii="仿宋" w:hAnsi="仿宋" w:eastAsia="仿宋" w:cs="仿宋"/>
          <w:color w:val="auto"/>
          <w:sz w:val="28"/>
          <w:szCs w:val="28"/>
        </w:rPr>
        <w:t xml:space="preserve">评标和决标过程的保密 </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开标后至采购人公布成交结果之前，有关响应文件的检查、澄清、评比和定标等信息对与本过程无关的供应商及其他人员保密。供应商不应对采购人或有关人员施加影响和试图获取评标信息，违者导致被取消中标资格。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5.2.7</w:t>
      </w:r>
      <w:r>
        <w:rPr>
          <w:rFonts w:hint="eastAsia" w:ascii="仿宋" w:hAnsi="仿宋" w:eastAsia="仿宋" w:cs="仿宋"/>
          <w:color w:val="auto"/>
          <w:sz w:val="28"/>
          <w:szCs w:val="28"/>
        </w:rPr>
        <w:t xml:space="preserve">响应文件的澄清 </w:t>
      </w:r>
    </w:p>
    <w:p>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为了有助于响应文件的检查和评审，采购人可以单独要求供应商澄清其响应文件。磋商小组的澄清要求和响应的答复均应采用书面形式</w:t>
      </w:r>
      <w:r>
        <w:rPr>
          <w:rFonts w:hint="eastAsia" w:ascii="仿宋" w:hAnsi="仿宋" w:eastAsia="仿宋" w:cs="仿宋"/>
          <w:color w:val="auto"/>
          <w:sz w:val="28"/>
          <w:szCs w:val="28"/>
          <w:lang w:val="en-US" w:eastAsia="zh-CN"/>
        </w:rPr>
        <w:t>并在线提交</w:t>
      </w:r>
      <w:r>
        <w:rPr>
          <w:rFonts w:hint="eastAsia" w:ascii="仿宋" w:hAnsi="仿宋" w:eastAsia="仿宋" w:cs="仿宋"/>
          <w:color w:val="auto"/>
          <w:sz w:val="28"/>
          <w:szCs w:val="28"/>
        </w:rPr>
        <w:t>。除了规定改正算术错误外，供应商不得修改磋商报价和响应文件中的其它实质性内容。</w:t>
      </w:r>
    </w:p>
    <w:p>
      <w:pPr>
        <w:numPr>
          <w:ilvl w:val="0"/>
          <w:numId w:val="4"/>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供应商以书面形式澄清的问题，需由供应商法定代表人或其委托代理人签字确认后作为磋商文件的组成部分，</w:t>
      </w:r>
      <w:r>
        <w:rPr>
          <w:rFonts w:hint="eastAsia" w:ascii="仿宋" w:hAnsi="仿宋" w:eastAsia="仿宋" w:cs="仿宋"/>
          <w:color w:val="auto"/>
          <w:sz w:val="28"/>
          <w:szCs w:val="28"/>
          <w:lang w:val="en-US" w:eastAsia="zh-CN"/>
        </w:rPr>
        <w:t>在线</w:t>
      </w:r>
      <w:r>
        <w:rPr>
          <w:rFonts w:hint="eastAsia" w:ascii="仿宋" w:hAnsi="仿宋" w:eastAsia="仿宋" w:cs="仿宋"/>
          <w:color w:val="auto"/>
          <w:sz w:val="28"/>
          <w:szCs w:val="28"/>
        </w:rPr>
        <w:t xml:space="preserve">提交。供应商未按磋商小组的澄清要求进行澄清的，磋商小组可以不对其响应文件继续评审。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5.2.8</w:t>
      </w:r>
      <w:r>
        <w:rPr>
          <w:rFonts w:hint="eastAsia" w:ascii="仿宋" w:hAnsi="仿宋" w:eastAsia="仿宋" w:cs="仿宋"/>
          <w:color w:val="auto"/>
          <w:sz w:val="28"/>
          <w:szCs w:val="28"/>
        </w:rPr>
        <w:t>响应文件的检查和</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评定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w:t>
      </w:r>
      <w:r>
        <w:rPr>
          <w:rFonts w:hint="eastAsia" w:ascii="仿宋" w:hAnsi="仿宋" w:cs="仿宋"/>
          <w:color w:val="auto"/>
          <w:sz w:val="28"/>
          <w:szCs w:val="28"/>
          <w:lang w:val="en-US" w:eastAsia="zh-CN"/>
        </w:rPr>
        <w:t>1</w:t>
      </w:r>
      <w:r>
        <w:rPr>
          <w:rFonts w:hint="eastAsia" w:ascii="仿宋" w:hAnsi="仿宋" w:cs="仿宋"/>
          <w:color w:val="auto"/>
          <w:sz w:val="28"/>
          <w:szCs w:val="28"/>
          <w:lang w:eastAsia="zh-CN"/>
        </w:rPr>
        <w:t>）</w:t>
      </w:r>
      <w:r>
        <w:rPr>
          <w:rFonts w:hint="eastAsia" w:ascii="仿宋" w:hAnsi="仿宋" w:eastAsia="仿宋" w:cs="仿宋"/>
          <w:color w:val="auto"/>
          <w:sz w:val="28"/>
          <w:szCs w:val="28"/>
        </w:rPr>
        <w:t>在评审时，采购人将首先审定响应文件是否在实质上响应了磋商文件的要求。采购人对磋商</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的鉴定将基于响应文件的本身内容。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w:t>
      </w:r>
      <w:r>
        <w:rPr>
          <w:rFonts w:hint="eastAsia" w:ascii="仿宋" w:hAnsi="仿宋" w:cs="仿宋"/>
          <w:color w:val="auto"/>
          <w:sz w:val="28"/>
          <w:szCs w:val="28"/>
          <w:lang w:val="en-US" w:eastAsia="zh-CN"/>
        </w:rPr>
        <w:t>2</w:t>
      </w:r>
      <w:r>
        <w:rPr>
          <w:rFonts w:hint="eastAsia" w:ascii="仿宋" w:hAnsi="仿宋" w:cs="仿宋"/>
          <w:color w:val="auto"/>
          <w:sz w:val="28"/>
          <w:szCs w:val="28"/>
          <w:lang w:eastAsia="zh-CN"/>
        </w:rPr>
        <w:t>）</w:t>
      </w:r>
      <w:r>
        <w:rPr>
          <w:rFonts w:hint="eastAsia" w:ascii="仿宋" w:hAnsi="仿宋" w:eastAsia="仿宋" w:cs="仿宋"/>
          <w:color w:val="auto"/>
          <w:sz w:val="28"/>
          <w:szCs w:val="28"/>
        </w:rPr>
        <w:t xml:space="preserve">实质上响应磋商文件要求的响应文件应该与磋商文件所有条款、条件和规范相符，无重大偏关或保留。所谓重大偏差和保留是指：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①、</w:t>
      </w:r>
      <w:r>
        <w:rPr>
          <w:rFonts w:hint="eastAsia" w:ascii="仿宋" w:hAnsi="仿宋" w:eastAsia="仿宋" w:cs="仿宋"/>
          <w:color w:val="auto"/>
          <w:sz w:val="28"/>
          <w:szCs w:val="28"/>
        </w:rPr>
        <w:t xml:space="preserve">对投标范围和内容有实质性的偏离；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②、</w:t>
      </w:r>
      <w:r>
        <w:rPr>
          <w:rFonts w:hint="eastAsia" w:ascii="仿宋" w:hAnsi="仿宋" w:eastAsia="仿宋" w:cs="仿宋"/>
          <w:color w:val="auto"/>
          <w:sz w:val="28"/>
          <w:szCs w:val="28"/>
        </w:rPr>
        <w:t xml:space="preserve">对服务质量或使用性能产生不利影响；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③、对合同中规定的双方的权利和义务作实质性的修改； </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④、纠正这种偏差或保留，将会对其他响应要求的</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竞争产生不公正的影响。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5.2.9</w:t>
      </w:r>
      <w:r>
        <w:rPr>
          <w:rFonts w:hint="eastAsia" w:ascii="仿宋" w:hAnsi="仿宋" w:eastAsia="仿宋" w:cs="仿宋"/>
          <w:color w:val="auto"/>
          <w:sz w:val="28"/>
          <w:szCs w:val="28"/>
        </w:rPr>
        <w:t>如果响应文件实质上没有响应</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的要求，</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将予以拒绝。也不再允许</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改正或撤回这些不符合要求的偏差与保留。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5.2.10</w:t>
      </w:r>
      <w:r>
        <w:rPr>
          <w:rFonts w:hint="eastAsia" w:ascii="仿宋" w:hAnsi="仿宋" w:eastAsia="仿宋" w:cs="仿宋"/>
          <w:color w:val="auto"/>
          <w:sz w:val="28"/>
          <w:szCs w:val="28"/>
        </w:rPr>
        <w:t>在评标过程中评标委员会发现</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以他人的名义投标、串通投标、以行贿手段谋取中标或者以其他弄虚作假方式投标的，该</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的</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作无效标处理。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5.2.11</w:t>
      </w:r>
      <w:r>
        <w:rPr>
          <w:rFonts w:hint="eastAsia" w:ascii="仿宋" w:hAnsi="仿宋" w:eastAsia="仿宋" w:cs="仿宋"/>
          <w:color w:val="auto"/>
          <w:sz w:val="28"/>
          <w:szCs w:val="28"/>
        </w:rPr>
        <w:t>在评标过程中，评标委员会发现</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的报价明显低于其他投标报价或者明显高于最高限价，使得其投标报价可能低于其个别成本的，将要求该</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作出书面说明并提供相关证明资料。</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不能合理说明或者不能提供相关证明材料的，由评标委员会认定</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以低于成本报价竞标，其</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按无效处理。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5.2.12</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资格条件不符合国家有关规定和</w:t>
      </w:r>
      <w:r>
        <w:rPr>
          <w:rFonts w:hint="eastAsia" w:ascii="仿宋" w:hAnsi="仿宋" w:cs="仿宋"/>
          <w:color w:val="auto"/>
          <w:sz w:val="28"/>
          <w:szCs w:val="28"/>
          <w:lang w:eastAsia="zh-CN"/>
        </w:rPr>
        <w:t>采购文件</w:t>
      </w:r>
      <w:r>
        <w:rPr>
          <w:rFonts w:hint="eastAsia" w:ascii="仿宋" w:hAnsi="仿宋" w:eastAsia="仿宋" w:cs="仿宋"/>
          <w:color w:val="auto"/>
          <w:sz w:val="28"/>
          <w:szCs w:val="28"/>
        </w:rPr>
        <w:t>要求的，或者拒不按照要求对</w:t>
      </w:r>
      <w:r>
        <w:rPr>
          <w:rFonts w:hint="eastAsia" w:ascii="仿宋" w:hAnsi="仿宋" w:cs="仿宋"/>
          <w:color w:val="auto"/>
          <w:sz w:val="28"/>
          <w:szCs w:val="28"/>
          <w:lang w:eastAsia="zh-CN"/>
        </w:rPr>
        <w:t>磋商响应文件</w:t>
      </w:r>
      <w:r>
        <w:rPr>
          <w:rFonts w:hint="eastAsia" w:ascii="仿宋" w:hAnsi="仿宋" w:eastAsia="仿宋" w:cs="仿宋"/>
          <w:color w:val="auto"/>
          <w:sz w:val="28"/>
          <w:szCs w:val="28"/>
        </w:rPr>
        <w:t xml:space="preserve">进行澄清、说明或者补正的，评标委员会将否决其投标。 </w:t>
      </w:r>
    </w:p>
    <w:p>
      <w:pPr>
        <w:spacing w:line="360" w:lineRule="auto"/>
        <w:rPr>
          <w:rFonts w:hint="eastAsia" w:ascii="仿宋" w:hAnsi="仿宋" w:eastAsia="仿宋" w:cs="仿宋"/>
          <w:b/>
          <w:bCs/>
          <w:color w:val="auto"/>
          <w:sz w:val="28"/>
          <w:szCs w:val="28"/>
        </w:rPr>
      </w:pPr>
      <w:bookmarkStart w:id="28" w:name="5.3磋商小组的组成及工作要求"/>
      <w:bookmarkEnd w:id="28"/>
      <w:r>
        <w:rPr>
          <w:rFonts w:hint="eastAsia" w:ascii="仿宋" w:hAnsi="仿宋" w:cs="仿宋"/>
          <w:b/>
          <w:bCs/>
          <w:color w:val="auto"/>
          <w:sz w:val="28"/>
          <w:szCs w:val="28"/>
          <w:lang w:val="en-US" w:eastAsia="zh-CN"/>
        </w:rPr>
        <w:t>5.3</w:t>
      </w:r>
      <w:r>
        <w:rPr>
          <w:rFonts w:hint="eastAsia" w:ascii="仿宋" w:hAnsi="仿宋" w:eastAsia="仿宋" w:cs="仿宋"/>
          <w:b/>
          <w:bCs/>
          <w:color w:val="auto"/>
          <w:sz w:val="28"/>
          <w:szCs w:val="28"/>
        </w:rPr>
        <w:t xml:space="preserve">磋商小组的组成及工作要求 </w:t>
      </w:r>
    </w:p>
    <w:p>
      <w:pPr>
        <w:spacing w:line="360" w:lineRule="auto"/>
        <w:rPr>
          <w:rFonts w:hint="eastAsia" w:ascii="仿宋" w:hAnsi="仿宋" w:eastAsia="仿宋" w:cs="仿宋"/>
          <w:color w:val="auto"/>
          <w:sz w:val="28"/>
          <w:szCs w:val="28"/>
        </w:rPr>
      </w:pPr>
      <w:r>
        <w:rPr>
          <w:rFonts w:hint="eastAsia" w:ascii="仿宋" w:hAnsi="仿宋" w:cs="仿宋"/>
          <w:b w:val="0"/>
          <w:bCs w:val="0"/>
          <w:color w:val="auto"/>
          <w:sz w:val="28"/>
          <w:szCs w:val="28"/>
          <w:lang w:val="en-US" w:eastAsia="zh-CN"/>
        </w:rPr>
        <w:t>5.3.1</w:t>
      </w:r>
      <w:r>
        <w:rPr>
          <w:rFonts w:hint="eastAsia" w:ascii="仿宋" w:hAnsi="仿宋" w:eastAsia="仿宋" w:cs="仿宋"/>
          <w:color w:val="auto"/>
          <w:sz w:val="28"/>
          <w:szCs w:val="28"/>
        </w:rPr>
        <w:t>按照《</w:t>
      </w:r>
      <w:r>
        <w:rPr>
          <w:rFonts w:hint="eastAsia" w:ascii="仿宋" w:hAnsi="仿宋" w:cs="仿宋"/>
          <w:color w:val="auto"/>
          <w:sz w:val="28"/>
          <w:szCs w:val="28"/>
          <w:lang w:val="en-US" w:eastAsia="zh-CN"/>
        </w:rPr>
        <w:t>中华人民共和国政府采购法</w:t>
      </w:r>
      <w:r>
        <w:rPr>
          <w:rFonts w:hint="eastAsia" w:ascii="仿宋" w:hAnsi="仿宋" w:eastAsia="仿宋" w:cs="仿宋"/>
          <w:color w:val="auto"/>
          <w:sz w:val="28"/>
          <w:szCs w:val="28"/>
        </w:rPr>
        <w:t>》和《评标委员会评标办法暂行规定》的规定，磋商由依法组建的磋商小组负责。磋商小组由</w:t>
      </w:r>
      <w:r>
        <w:rPr>
          <w:rFonts w:hint="eastAsia" w:ascii="仿宋" w:hAnsi="仿宋" w:cs="仿宋"/>
          <w:color w:val="auto"/>
          <w:sz w:val="28"/>
          <w:szCs w:val="28"/>
          <w:lang w:eastAsia="zh-CN"/>
        </w:rPr>
        <w:t>采购人</w:t>
      </w:r>
      <w:r>
        <w:rPr>
          <w:rFonts w:hint="eastAsia" w:ascii="仿宋" w:hAnsi="仿宋" w:eastAsia="仿宋" w:cs="仿宋"/>
          <w:color w:val="auto"/>
          <w:sz w:val="28"/>
          <w:szCs w:val="28"/>
        </w:rPr>
        <w:t xml:space="preserve">或其委托的招标代理机构熟悉相关业务的代表，以及有关技术、经济等方面的专家组成。磋商小组成员人数以及技术、经济等方面专家的确定方式见供应商须知前附表。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5.3.2</w:t>
      </w:r>
      <w:r>
        <w:rPr>
          <w:rFonts w:hint="eastAsia" w:ascii="仿宋" w:hAnsi="仿宋" w:eastAsia="仿宋" w:cs="仿宋"/>
          <w:color w:val="auto"/>
          <w:sz w:val="28"/>
          <w:szCs w:val="28"/>
        </w:rPr>
        <w:t xml:space="preserve">磋商小组成员有下列情形之一的，应当回避： </w:t>
      </w:r>
    </w:p>
    <w:p>
      <w:pPr>
        <w:numPr>
          <w:ilvl w:val="0"/>
          <w:numId w:val="5"/>
        </w:numPr>
        <w:spacing w:line="360" w:lineRule="auto"/>
        <w:rPr>
          <w:rFonts w:hint="eastAsia" w:ascii="仿宋" w:hAnsi="仿宋" w:eastAsia="仿宋" w:cs="仿宋"/>
          <w:color w:val="auto"/>
          <w:sz w:val="28"/>
          <w:szCs w:val="28"/>
        </w:rPr>
      </w:pPr>
      <w:r>
        <w:rPr>
          <w:rFonts w:hint="eastAsia" w:ascii="仿宋" w:hAnsi="仿宋" w:cs="仿宋"/>
          <w:color w:val="auto"/>
          <w:sz w:val="28"/>
          <w:szCs w:val="28"/>
          <w:lang w:eastAsia="zh-CN"/>
        </w:rPr>
        <w:t>采购人</w:t>
      </w:r>
      <w:r>
        <w:rPr>
          <w:rFonts w:hint="eastAsia" w:ascii="仿宋" w:hAnsi="仿宋" w:eastAsia="仿宋" w:cs="仿宋"/>
          <w:color w:val="auto"/>
          <w:sz w:val="28"/>
          <w:szCs w:val="28"/>
        </w:rPr>
        <w:t>或</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的主要负责人的近亲属； </w:t>
      </w:r>
    </w:p>
    <w:p>
      <w:pPr>
        <w:numPr>
          <w:ilvl w:val="0"/>
          <w:numId w:val="5"/>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项目主管部门或者行政监督部门的人员； </w:t>
      </w:r>
    </w:p>
    <w:p>
      <w:pPr>
        <w:numPr>
          <w:ilvl w:val="0"/>
          <w:numId w:val="5"/>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与</w:t>
      </w:r>
      <w:r>
        <w:rPr>
          <w:rFonts w:hint="eastAsia" w:ascii="仿宋" w:hAnsi="仿宋" w:cs="仿宋"/>
          <w:color w:val="auto"/>
          <w:sz w:val="28"/>
          <w:szCs w:val="28"/>
          <w:lang w:eastAsia="zh-CN"/>
        </w:rPr>
        <w:t>供应商</w:t>
      </w:r>
      <w:r>
        <w:rPr>
          <w:rFonts w:hint="eastAsia" w:ascii="仿宋" w:hAnsi="仿宋" w:eastAsia="仿宋" w:cs="仿宋"/>
          <w:color w:val="auto"/>
          <w:sz w:val="28"/>
          <w:szCs w:val="28"/>
        </w:rPr>
        <w:t xml:space="preserve">有经济利益关系，可能影响对投标公正评审的； </w:t>
      </w:r>
    </w:p>
    <w:p>
      <w:pPr>
        <w:numPr>
          <w:ilvl w:val="0"/>
          <w:numId w:val="5"/>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曾因在招标、评标以及其他与招标投标有关活动中从事违法行为而受过行政处罚或刑事处罚的。 </w:t>
      </w:r>
    </w:p>
    <w:p>
      <w:pPr>
        <w:spacing w:line="360" w:lineRule="auto"/>
        <w:rPr>
          <w:rFonts w:hint="eastAsia" w:ascii="仿宋" w:hAnsi="仿宋" w:cs="仿宋"/>
          <w:b/>
          <w:bCs/>
          <w:color w:val="auto"/>
          <w:sz w:val="28"/>
          <w:szCs w:val="28"/>
          <w:lang w:val="en-US" w:eastAsia="zh-CN"/>
        </w:rPr>
      </w:pPr>
      <w:r>
        <w:rPr>
          <w:rFonts w:hint="eastAsia" w:ascii="仿宋" w:hAnsi="仿宋" w:cs="仿宋"/>
          <w:color w:val="auto"/>
          <w:sz w:val="28"/>
          <w:szCs w:val="28"/>
          <w:lang w:val="en-US" w:eastAsia="zh-CN"/>
        </w:rPr>
        <w:t>5.3.3</w:t>
      </w:r>
      <w:r>
        <w:rPr>
          <w:rFonts w:hint="eastAsia" w:ascii="仿宋" w:hAnsi="仿宋" w:eastAsia="仿宋" w:cs="仿宋"/>
          <w:color w:val="auto"/>
          <w:sz w:val="28"/>
          <w:szCs w:val="28"/>
        </w:rPr>
        <w:t>本次磋商严格按照招标管理的有关规定，坚持公开、公平、公正和择优的原则，依据各投标单位对所投</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文件的承诺，以保证</w:t>
      </w:r>
      <w:r>
        <w:rPr>
          <w:rFonts w:hint="eastAsia" w:ascii="仿宋" w:hAnsi="仿宋" w:cs="仿宋"/>
          <w:color w:val="auto"/>
          <w:sz w:val="28"/>
          <w:szCs w:val="28"/>
          <w:lang w:val="en-US" w:eastAsia="zh-CN"/>
        </w:rPr>
        <w:t>评价编制方案</w:t>
      </w:r>
      <w:r>
        <w:rPr>
          <w:rFonts w:hint="eastAsia" w:ascii="仿宋" w:hAnsi="仿宋" w:eastAsia="仿宋" w:cs="仿宋"/>
          <w:color w:val="auto"/>
          <w:sz w:val="28"/>
          <w:szCs w:val="28"/>
        </w:rPr>
        <w:t>质量等技术方案的论证为主要内容，分两步进行评定：一是初评，对照磋商文件各条款，对</w:t>
      </w:r>
      <w:r>
        <w:rPr>
          <w:rFonts w:hint="eastAsia" w:ascii="仿宋" w:hAnsi="仿宋" w:cs="仿宋"/>
          <w:color w:val="auto"/>
          <w:sz w:val="28"/>
          <w:szCs w:val="28"/>
          <w:lang w:eastAsia="zh-CN"/>
        </w:rPr>
        <w:t>综合标</w:t>
      </w:r>
      <w:r>
        <w:rPr>
          <w:rFonts w:hint="eastAsia" w:ascii="仿宋" w:hAnsi="仿宋" w:eastAsia="仿宋" w:cs="仿宋"/>
          <w:color w:val="auto"/>
          <w:sz w:val="28"/>
          <w:szCs w:val="28"/>
        </w:rPr>
        <w:t>和技术标进行符合性鉴定，鉴定</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文件是否实质上响应磋商文件的要求。二</w:t>
      </w:r>
      <w:r>
        <w:rPr>
          <w:rFonts w:hint="eastAsia" w:ascii="仿宋" w:hAnsi="仿宋" w:eastAsia="仿宋" w:cs="仿宋"/>
          <w:color w:val="auto"/>
          <w:sz w:val="28"/>
          <w:szCs w:val="28"/>
          <w:highlight w:val="none"/>
        </w:rPr>
        <w:t>是详</w:t>
      </w:r>
      <w:r>
        <w:rPr>
          <w:rFonts w:hint="eastAsia" w:ascii="仿宋" w:hAnsi="仿宋" w:eastAsia="仿宋" w:cs="仿宋"/>
          <w:color w:val="auto"/>
          <w:sz w:val="28"/>
          <w:szCs w:val="28"/>
        </w:rPr>
        <w:t>评，对照磋商细则进行综合评定。磋商小组写出磋商报告，按所得分值，由高到低的次序，由磋商小组推荐</w:t>
      </w:r>
      <w:r>
        <w:rPr>
          <w:rFonts w:hint="eastAsia" w:ascii="仿宋" w:hAnsi="仿宋" w:cs="仿宋"/>
          <w:color w:val="auto"/>
          <w:sz w:val="28"/>
          <w:szCs w:val="28"/>
          <w:lang w:val="en-US" w:eastAsia="zh-CN"/>
        </w:rPr>
        <w:t>3</w:t>
      </w:r>
      <w:r>
        <w:rPr>
          <w:rFonts w:hint="eastAsia" w:ascii="仿宋" w:hAnsi="仿宋" w:eastAsia="仿宋" w:cs="仿宋"/>
          <w:color w:val="auto"/>
          <w:sz w:val="28"/>
          <w:szCs w:val="28"/>
        </w:rPr>
        <w:t xml:space="preserve">名为成交候选人，原则上第一名成交，如第一名确实存在有问题或不履行承诺，报招标监督管理机构核准后再按顺序顺延确定成交单位。并在发布在公告媒体，接受社会各界实名举报。 </w:t>
      </w:r>
      <w:bookmarkStart w:id="29" w:name="5.4磋商程序"/>
      <w:bookmarkEnd w:id="29"/>
    </w:p>
    <w:p>
      <w:pPr>
        <w:spacing w:line="360" w:lineRule="auto"/>
        <w:rPr>
          <w:rFonts w:hint="eastAsia" w:ascii="仿宋" w:hAnsi="仿宋" w:eastAsia="仿宋" w:cs="仿宋"/>
          <w:color w:val="auto"/>
          <w:sz w:val="28"/>
          <w:szCs w:val="28"/>
        </w:rPr>
      </w:pPr>
      <w:r>
        <w:rPr>
          <w:rFonts w:hint="eastAsia" w:ascii="仿宋" w:hAnsi="仿宋" w:cs="仿宋"/>
          <w:b/>
          <w:bCs/>
          <w:color w:val="auto"/>
          <w:sz w:val="28"/>
          <w:szCs w:val="28"/>
          <w:lang w:val="en-US" w:eastAsia="zh-CN"/>
        </w:rPr>
        <w:t>5.4</w:t>
      </w:r>
      <w:r>
        <w:rPr>
          <w:rFonts w:hint="eastAsia" w:ascii="仿宋" w:hAnsi="仿宋" w:eastAsia="仿宋" w:cs="仿宋"/>
          <w:b/>
          <w:bCs/>
          <w:color w:val="auto"/>
          <w:sz w:val="28"/>
          <w:szCs w:val="28"/>
        </w:rPr>
        <w:t>磋商程序</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5.4.1</w:t>
      </w:r>
      <w:r>
        <w:rPr>
          <w:rFonts w:hint="eastAsia" w:ascii="仿宋" w:hAnsi="仿宋" w:eastAsia="仿宋" w:cs="仿宋"/>
          <w:color w:val="auto"/>
          <w:sz w:val="28"/>
          <w:szCs w:val="28"/>
        </w:rPr>
        <w:t xml:space="preserve">准备会：招标代理人、采购人和磋商小组参加，由采购人介绍项目情况；磋商小组成员推选小组组长；招标方宣布磋商纪律，磋商方法，定标原则。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5.4.2</w:t>
      </w:r>
      <w:r>
        <w:rPr>
          <w:rFonts w:hint="eastAsia" w:ascii="仿宋" w:hAnsi="仿宋" w:eastAsia="仿宋" w:cs="仿宋"/>
          <w:color w:val="auto"/>
          <w:sz w:val="28"/>
          <w:szCs w:val="28"/>
        </w:rPr>
        <w:t xml:space="preserve">资格审查。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5.4.3</w:t>
      </w:r>
      <w:r>
        <w:rPr>
          <w:rFonts w:hint="eastAsia" w:ascii="仿宋" w:hAnsi="仿宋" w:eastAsia="仿宋" w:cs="仿宋"/>
          <w:color w:val="auto"/>
          <w:sz w:val="28"/>
          <w:szCs w:val="28"/>
        </w:rPr>
        <w:t>审阅</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文件（符合性审查）。确认每一份</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是否做出实质性响应。实质性响应的投标是指投标符合磋商文件的所有条款、条件和要求，而无重大偏离和保留。重大偏离和保留是指影响到磋商文件规定的范围、质量和性能，或限制了招标方、采购人的权利和供应商的义务的规定，而纠正这些偏差将影响到</w:t>
      </w:r>
      <w:r>
        <w:rPr>
          <w:rFonts w:hint="eastAsia" w:ascii="仿宋" w:hAnsi="仿宋" w:eastAsia="仿宋" w:cs="仿宋"/>
          <w:color w:val="auto"/>
          <w:sz w:val="28"/>
          <w:szCs w:val="28"/>
          <w:highlight w:val="none"/>
        </w:rPr>
        <w:t>其它</w:t>
      </w:r>
      <w:r>
        <w:rPr>
          <w:rFonts w:hint="eastAsia" w:ascii="仿宋" w:hAnsi="仿宋" w:eastAsia="仿宋" w:cs="仿宋"/>
          <w:color w:val="auto"/>
          <w:sz w:val="28"/>
          <w:szCs w:val="28"/>
        </w:rPr>
        <w:t>提交实质性</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文件的供应商的公平竞争地位。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5.4.4</w:t>
      </w:r>
      <w:r>
        <w:rPr>
          <w:rFonts w:hint="eastAsia" w:ascii="仿宋" w:hAnsi="仿宋" w:eastAsia="仿宋" w:cs="仿宋"/>
          <w:color w:val="auto"/>
          <w:sz w:val="28"/>
          <w:szCs w:val="28"/>
        </w:rPr>
        <w:t xml:space="preserve">技术和商务评审。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5.4.5</w:t>
      </w:r>
      <w:r>
        <w:rPr>
          <w:rFonts w:hint="eastAsia" w:ascii="仿宋" w:hAnsi="仿宋" w:eastAsia="仿宋" w:cs="仿宋"/>
          <w:color w:val="auto"/>
          <w:sz w:val="28"/>
          <w:szCs w:val="28"/>
        </w:rPr>
        <w:t xml:space="preserve">推荐成交供应商。 </w:t>
      </w:r>
    </w:p>
    <w:p>
      <w:pPr>
        <w:spacing w:line="360" w:lineRule="auto"/>
        <w:rPr>
          <w:rFonts w:hint="eastAsia" w:ascii="仿宋" w:hAnsi="仿宋" w:eastAsia="仿宋" w:cs="仿宋"/>
          <w:color w:val="auto"/>
          <w:sz w:val="28"/>
          <w:szCs w:val="28"/>
        </w:rPr>
      </w:pPr>
      <w:bookmarkStart w:id="30" w:name="5.5磋商小组澄清和修改的要求"/>
      <w:bookmarkEnd w:id="30"/>
      <w:r>
        <w:rPr>
          <w:rFonts w:hint="eastAsia" w:ascii="仿宋" w:hAnsi="仿宋" w:cs="仿宋"/>
          <w:b/>
          <w:bCs/>
          <w:color w:val="auto"/>
          <w:sz w:val="28"/>
          <w:szCs w:val="28"/>
          <w:lang w:val="en-US" w:eastAsia="zh-CN"/>
        </w:rPr>
        <w:t>5.5</w:t>
      </w:r>
      <w:r>
        <w:rPr>
          <w:rFonts w:hint="eastAsia" w:ascii="仿宋" w:hAnsi="仿宋" w:eastAsia="仿宋" w:cs="仿宋"/>
          <w:b/>
          <w:bCs/>
          <w:color w:val="auto"/>
          <w:sz w:val="28"/>
          <w:szCs w:val="28"/>
        </w:rPr>
        <w:t xml:space="preserve">磋商小组澄清和修改的要求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5.5.1磋商小组在磋商时将会视实际情况要求供应商对其符合性文件内容进行澄清或说明。供应商所做的重要承诺均应为书面形式，并由其法定代表人或授权代理人签字在线提交，作为符合性文件的一部分，具有同等的法律效力。</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5.5.2</w:t>
      </w:r>
      <w:r>
        <w:rPr>
          <w:rFonts w:hint="eastAsia" w:ascii="仿宋" w:hAnsi="仿宋" w:eastAsia="仿宋" w:cs="仿宋"/>
          <w:color w:val="auto"/>
          <w:sz w:val="28"/>
          <w:szCs w:val="28"/>
        </w:rPr>
        <w:t xml:space="preserve">除非磋商小组主动要求，招标以外的任何时候，供应商均不得就磋商及报价事宜与磋商小组成员联系。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5.5.3</w:t>
      </w:r>
      <w:r>
        <w:rPr>
          <w:rFonts w:hint="eastAsia" w:ascii="仿宋" w:hAnsi="仿宋" w:eastAsia="仿宋" w:cs="仿宋"/>
          <w:color w:val="auto"/>
          <w:sz w:val="28"/>
          <w:szCs w:val="28"/>
        </w:rPr>
        <w:t xml:space="preserve">供应商必须对磋商小组的澄清和说明要求做出明确响应，否则由此产生的任何不利于供应商的后果由其自行承担。 </w:t>
      </w:r>
    </w:p>
    <w:p>
      <w:pPr>
        <w:spacing w:line="360" w:lineRule="auto"/>
        <w:rPr>
          <w:rFonts w:hint="eastAsia" w:ascii="仿宋" w:hAnsi="仿宋" w:eastAsia="仿宋" w:cs="仿宋"/>
          <w:color w:val="auto"/>
          <w:sz w:val="28"/>
          <w:szCs w:val="28"/>
        </w:rPr>
      </w:pPr>
      <w:bookmarkStart w:id="31" w:name="5.6、磋商纪律"/>
      <w:bookmarkEnd w:id="31"/>
      <w:r>
        <w:rPr>
          <w:rFonts w:hint="eastAsia" w:ascii="仿宋" w:hAnsi="仿宋" w:cs="仿宋"/>
          <w:b/>
          <w:bCs/>
          <w:color w:val="auto"/>
          <w:sz w:val="28"/>
          <w:szCs w:val="28"/>
          <w:lang w:val="en-US" w:eastAsia="zh-CN"/>
        </w:rPr>
        <w:t>5.6</w:t>
      </w:r>
      <w:r>
        <w:rPr>
          <w:rFonts w:hint="eastAsia" w:ascii="仿宋" w:hAnsi="仿宋" w:eastAsia="仿宋" w:cs="仿宋"/>
          <w:b/>
          <w:bCs/>
          <w:color w:val="auto"/>
          <w:sz w:val="28"/>
          <w:szCs w:val="28"/>
        </w:rPr>
        <w:t>磋商纪律</w:t>
      </w: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5.6.1</w:t>
      </w:r>
      <w:r>
        <w:rPr>
          <w:rFonts w:hint="eastAsia" w:ascii="仿宋" w:hAnsi="仿宋" w:eastAsia="仿宋" w:cs="仿宋"/>
          <w:color w:val="auto"/>
          <w:sz w:val="28"/>
          <w:szCs w:val="28"/>
        </w:rPr>
        <w:t>开标后，直到宣布授予中标人合同为止，凡涉及</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文件的评审和比较、成交候选人的推荐情况以及与磋商有关的其它情况均应严格保密。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5.6.2</w:t>
      </w:r>
      <w:r>
        <w:rPr>
          <w:rFonts w:hint="eastAsia" w:ascii="仿宋" w:hAnsi="仿宋" w:eastAsia="仿宋" w:cs="仿宋"/>
          <w:color w:val="auto"/>
          <w:sz w:val="28"/>
          <w:szCs w:val="28"/>
        </w:rPr>
        <w:t>磋商小组成员和参与磋商工作的有关成员不得透露对</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文件的评审和比较、成交候选人的推荐情况以及磋商有关的其它情况。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5.6.3</w:t>
      </w:r>
      <w:r>
        <w:rPr>
          <w:rFonts w:hint="eastAsia" w:ascii="仿宋" w:hAnsi="仿宋" w:eastAsia="仿宋" w:cs="仿宋"/>
          <w:color w:val="auto"/>
          <w:sz w:val="28"/>
          <w:szCs w:val="28"/>
        </w:rPr>
        <w:t xml:space="preserve">除供应商须知规定以外开标以后自授予成交通知书前，任何供应商均不得与其供应商有关的问题主动与采购人发生联系。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5.6.4</w:t>
      </w:r>
      <w:r>
        <w:rPr>
          <w:rFonts w:hint="eastAsia" w:ascii="仿宋" w:hAnsi="仿宋" w:eastAsia="仿宋" w:cs="仿宋"/>
          <w:color w:val="auto"/>
          <w:sz w:val="28"/>
          <w:szCs w:val="28"/>
        </w:rPr>
        <w:t>如果供应商试图对磋商小组的磋商施加影响，将导致该供应商的</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 xml:space="preserve">文件被拒绝。 </w:t>
      </w:r>
    </w:p>
    <w:p>
      <w:pPr>
        <w:spacing w:line="360" w:lineRule="auto"/>
        <w:rPr>
          <w:rFonts w:hint="eastAsia" w:ascii="仿宋" w:hAnsi="仿宋" w:eastAsia="仿宋" w:cs="仿宋"/>
          <w:color w:val="auto"/>
          <w:sz w:val="28"/>
          <w:szCs w:val="28"/>
        </w:rPr>
      </w:pPr>
      <w:r>
        <w:rPr>
          <w:rFonts w:hint="eastAsia" w:ascii="仿宋" w:hAnsi="仿宋" w:cs="仿宋"/>
          <w:color w:val="auto"/>
          <w:sz w:val="28"/>
          <w:szCs w:val="28"/>
          <w:lang w:val="en-US" w:eastAsia="zh-CN"/>
        </w:rPr>
        <w:t>5.6.5</w:t>
      </w:r>
      <w:r>
        <w:rPr>
          <w:rFonts w:hint="eastAsia" w:ascii="仿宋" w:hAnsi="仿宋" w:eastAsia="仿宋" w:cs="仿宋"/>
          <w:color w:val="auto"/>
          <w:sz w:val="28"/>
          <w:szCs w:val="28"/>
        </w:rPr>
        <w:t xml:space="preserve">其他单位及其工作人员对磋商小组的磋商施加影响，采购人将依据有关法律、法规对其提起诉讼。 </w:t>
      </w:r>
    </w:p>
    <w:p>
      <w:pPr>
        <w:keepNext w:val="0"/>
        <w:keepLines w:val="0"/>
        <w:pageBreakBefore w:val="0"/>
        <w:kinsoku/>
        <w:wordWrap/>
        <w:overflowPunct/>
        <w:topLinePunct w:val="0"/>
        <w:autoSpaceDE w:val="0"/>
        <w:autoSpaceDN w:val="0"/>
        <w:bidi w:val="0"/>
        <w:adjustRightInd/>
        <w:snapToGrid/>
        <w:spacing w:before="0" w:beforeAutospacing="0" w:after="0" w:afterAutospacing="0" w:line="360" w:lineRule="auto"/>
        <w:textAlignment w:val="auto"/>
        <w:rPr>
          <w:rFonts w:hint="eastAsia" w:ascii="仿宋" w:hAnsi="仿宋" w:eastAsia="仿宋" w:cs="仿宋"/>
          <w:color w:val="auto"/>
          <w:sz w:val="28"/>
          <w:szCs w:val="28"/>
        </w:rPr>
      </w:pPr>
      <w:bookmarkStart w:id="32" w:name="5.7磋商"/>
      <w:bookmarkEnd w:id="32"/>
      <w:r>
        <w:rPr>
          <w:rFonts w:hint="eastAsia" w:ascii="仿宋" w:hAnsi="仿宋" w:cs="仿宋"/>
          <w:b/>
          <w:bCs/>
          <w:color w:val="auto"/>
          <w:sz w:val="28"/>
          <w:szCs w:val="28"/>
          <w:lang w:val="en-US" w:eastAsia="zh-CN"/>
        </w:rPr>
        <w:t>5.7</w:t>
      </w:r>
      <w:r>
        <w:rPr>
          <w:rFonts w:hint="eastAsia" w:ascii="仿宋" w:hAnsi="仿宋" w:eastAsia="仿宋" w:cs="仿宋"/>
          <w:b/>
          <w:bCs/>
          <w:color w:val="auto"/>
          <w:sz w:val="28"/>
          <w:szCs w:val="28"/>
        </w:rPr>
        <w:t xml:space="preserve">磋商 </w:t>
      </w:r>
    </w:p>
    <w:p>
      <w:pPr>
        <w:keepNext w:val="0"/>
        <w:keepLines w:val="0"/>
        <w:pageBreakBefore w:val="0"/>
        <w:kinsoku/>
        <w:wordWrap/>
        <w:overflowPunct/>
        <w:topLinePunct w:val="0"/>
        <w:autoSpaceDE w:val="0"/>
        <w:autoSpaceDN w:val="0"/>
        <w:bidi w:val="0"/>
        <w:adjustRightInd/>
        <w:snapToGrid/>
        <w:spacing w:before="0" w:beforeAutospacing="0" w:after="0" w:afterAutospacing="0"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5.7.1 磋商小组按照 “磋商办法（综合评分法）”规定的方法、磋商因素、标准和程序对</w:t>
      </w:r>
      <w:r>
        <w:rPr>
          <w:rFonts w:hint="eastAsia" w:ascii="仿宋" w:hAnsi="仿宋" w:cs="仿宋"/>
          <w:color w:val="auto"/>
          <w:sz w:val="28"/>
          <w:szCs w:val="28"/>
          <w:lang w:eastAsia="zh-CN"/>
        </w:rPr>
        <w:t>符合性</w:t>
      </w:r>
      <w:r>
        <w:rPr>
          <w:rFonts w:hint="eastAsia" w:ascii="仿宋" w:hAnsi="仿宋" w:eastAsia="仿宋" w:cs="仿宋"/>
          <w:color w:val="auto"/>
          <w:sz w:val="28"/>
          <w:szCs w:val="28"/>
        </w:rPr>
        <w:t>文件进行评审。“磋商办法（综合评分法）”没有规定的方法、评审因素和标准，不作为磋商依据。</w:t>
      </w:r>
      <w:bookmarkStart w:id="33" w:name="六、磋商办法（综合评分法）"/>
      <w:bookmarkEnd w:id="33"/>
    </w:p>
    <w:p>
      <w:pPr>
        <w:pStyle w:val="38"/>
        <w:keepNext w:val="0"/>
        <w:keepLines w:val="0"/>
        <w:pageBreakBefore w:val="0"/>
        <w:kinsoku/>
        <w:wordWrap/>
        <w:overflowPunct/>
        <w:topLinePunct w:val="0"/>
        <w:autoSpaceDE w:val="0"/>
        <w:autoSpaceDN w:val="0"/>
        <w:bidi w:val="0"/>
        <w:adjustRightInd/>
        <w:snapToGrid/>
        <w:spacing w:before="0" w:beforeAutospacing="0" w:after="0" w:afterAutospacing="0" w:line="360" w:lineRule="auto"/>
        <w:textAlignment w:val="auto"/>
        <w:rPr>
          <w:rFonts w:hint="eastAsia" w:ascii="仿宋" w:hAnsi="仿宋" w:eastAsia="仿宋" w:cs="仿宋"/>
          <w:b/>
          <w:bCs/>
          <w:color w:val="auto"/>
          <w:kern w:val="0"/>
          <w:sz w:val="28"/>
          <w:szCs w:val="28"/>
          <w:lang w:val="zh-CN" w:eastAsia="zh-CN" w:bidi="zh-CN"/>
        </w:rPr>
      </w:pPr>
      <w:r>
        <w:rPr>
          <w:rFonts w:hint="eastAsia" w:ascii="仿宋" w:hAnsi="仿宋" w:cs="仿宋"/>
          <w:b/>
          <w:bCs/>
          <w:color w:val="auto"/>
          <w:kern w:val="0"/>
          <w:sz w:val="28"/>
          <w:szCs w:val="28"/>
          <w:lang w:val="en-US" w:eastAsia="zh-CN" w:bidi="zh-CN"/>
        </w:rPr>
        <w:t>5.8</w:t>
      </w:r>
      <w:r>
        <w:rPr>
          <w:rFonts w:hint="eastAsia" w:ascii="仿宋" w:hAnsi="仿宋" w:eastAsia="仿宋" w:cs="仿宋"/>
          <w:b/>
          <w:bCs/>
          <w:color w:val="auto"/>
          <w:kern w:val="0"/>
          <w:sz w:val="28"/>
          <w:szCs w:val="28"/>
          <w:lang w:val="zh-CN" w:eastAsia="zh-CN" w:bidi="zh-CN"/>
        </w:rPr>
        <w:t>合同签订</w:t>
      </w:r>
    </w:p>
    <w:p>
      <w:pPr>
        <w:pStyle w:val="38"/>
        <w:keepNext w:val="0"/>
        <w:keepLines w:val="0"/>
        <w:pageBreakBefore w:val="0"/>
        <w:kinsoku/>
        <w:wordWrap/>
        <w:overflowPunct/>
        <w:topLinePunct w:val="0"/>
        <w:autoSpaceDE w:val="0"/>
        <w:autoSpaceDN w:val="0"/>
        <w:bidi w:val="0"/>
        <w:adjustRightInd/>
        <w:snapToGrid/>
        <w:spacing w:before="0" w:beforeAutospacing="0" w:after="0" w:afterAutospacing="0" w:line="360" w:lineRule="auto"/>
        <w:textAlignment w:val="auto"/>
        <w:rPr>
          <w:rFonts w:hint="eastAsia" w:ascii="仿宋" w:hAnsi="仿宋" w:eastAsia="仿宋" w:cs="仿宋"/>
          <w:color w:val="auto"/>
          <w:kern w:val="0"/>
          <w:sz w:val="28"/>
          <w:szCs w:val="28"/>
          <w:lang w:val="zh-CN" w:eastAsia="zh-CN" w:bidi="zh-CN"/>
        </w:rPr>
      </w:pPr>
      <w:r>
        <w:rPr>
          <w:rFonts w:hint="eastAsia" w:ascii="仿宋" w:hAnsi="仿宋" w:cs="仿宋"/>
          <w:color w:val="auto"/>
          <w:kern w:val="0"/>
          <w:sz w:val="28"/>
          <w:szCs w:val="28"/>
          <w:lang w:val="en-US" w:eastAsia="zh-CN" w:bidi="zh-CN"/>
        </w:rPr>
        <w:t>5.8</w:t>
      </w:r>
      <w:r>
        <w:rPr>
          <w:rFonts w:hint="eastAsia" w:ascii="仿宋" w:hAnsi="仿宋" w:eastAsia="仿宋" w:cs="仿宋"/>
          <w:color w:val="auto"/>
          <w:kern w:val="0"/>
          <w:sz w:val="28"/>
          <w:szCs w:val="28"/>
          <w:lang w:val="zh-CN" w:eastAsia="zh-CN" w:bidi="zh-CN"/>
        </w:rPr>
        <w:t>.1中标(成交)通知书发出之日起1个工作日内供应商应与采购人签订政府采购合同。</w:t>
      </w:r>
    </w:p>
    <w:p>
      <w:pPr>
        <w:pStyle w:val="38"/>
        <w:keepNext w:val="0"/>
        <w:keepLines w:val="0"/>
        <w:pageBreakBefore w:val="0"/>
        <w:kinsoku/>
        <w:wordWrap/>
        <w:overflowPunct/>
        <w:topLinePunct w:val="0"/>
        <w:autoSpaceDE w:val="0"/>
        <w:autoSpaceDN w:val="0"/>
        <w:bidi w:val="0"/>
        <w:adjustRightInd/>
        <w:snapToGrid/>
        <w:spacing w:before="0" w:beforeAutospacing="0" w:after="0" w:afterAutospacing="0" w:line="360" w:lineRule="auto"/>
        <w:textAlignment w:val="auto"/>
        <w:rPr>
          <w:rFonts w:hint="eastAsia" w:ascii="仿宋" w:hAnsi="仿宋" w:eastAsia="仿宋" w:cs="仿宋"/>
          <w:color w:val="auto"/>
          <w:kern w:val="0"/>
          <w:sz w:val="28"/>
          <w:szCs w:val="28"/>
          <w:lang w:val="zh-CN" w:eastAsia="zh-CN" w:bidi="zh-CN"/>
        </w:rPr>
      </w:pPr>
      <w:r>
        <w:rPr>
          <w:rFonts w:hint="eastAsia" w:ascii="仿宋" w:hAnsi="仿宋" w:cs="仿宋"/>
          <w:color w:val="auto"/>
          <w:kern w:val="0"/>
          <w:sz w:val="28"/>
          <w:szCs w:val="28"/>
          <w:lang w:val="en-US" w:eastAsia="zh-CN" w:bidi="zh-CN"/>
        </w:rPr>
        <w:t>5.8</w:t>
      </w:r>
      <w:r>
        <w:rPr>
          <w:rFonts w:hint="eastAsia" w:ascii="仿宋" w:hAnsi="仿宋" w:eastAsia="仿宋" w:cs="仿宋"/>
          <w:color w:val="auto"/>
          <w:kern w:val="0"/>
          <w:sz w:val="28"/>
          <w:szCs w:val="28"/>
          <w:lang w:val="zh-CN" w:eastAsia="zh-CN" w:bidi="zh-CN"/>
        </w:rPr>
        <w:t>.2供应商与采购人签订的政府采购合同，应当符合采购项目特点的技术要求，包括采购人与供应商权利义务、验收程序和要求、合同内容、交付时间、付款程序和条件、签订日期、采购人、供应商账户信息、违约赔偿和处罚程序、争议处理等内容。</w:t>
      </w:r>
    </w:p>
    <w:p>
      <w:pPr>
        <w:pStyle w:val="38"/>
        <w:keepNext w:val="0"/>
        <w:keepLines w:val="0"/>
        <w:pageBreakBefore w:val="0"/>
        <w:kinsoku/>
        <w:wordWrap/>
        <w:overflowPunct/>
        <w:topLinePunct w:val="0"/>
        <w:autoSpaceDE w:val="0"/>
        <w:autoSpaceDN w:val="0"/>
        <w:bidi w:val="0"/>
        <w:adjustRightInd/>
        <w:snapToGrid/>
        <w:spacing w:before="0" w:beforeAutospacing="0" w:after="0" w:afterAutospacing="0" w:line="360" w:lineRule="auto"/>
        <w:textAlignment w:val="auto"/>
        <w:rPr>
          <w:rFonts w:hint="eastAsia" w:ascii="仿宋" w:hAnsi="仿宋" w:eastAsia="仿宋" w:cs="仿宋"/>
          <w:color w:val="auto"/>
          <w:kern w:val="0"/>
          <w:sz w:val="28"/>
          <w:szCs w:val="28"/>
          <w:lang w:val="zh-CN" w:eastAsia="zh-CN" w:bidi="zh-CN"/>
        </w:rPr>
      </w:pPr>
      <w:r>
        <w:rPr>
          <w:rFonts w:hint="eastAsia" w:ascii="仿宋" w:hAnsi="仿宋" w:cs="仿宋"/>
          <w:color w:val="auto"/>
          <w:kern w:val="0"/>
          <w:sz w:val="28"/>
          <w:szCs w:val="28"/>
          <w:lang w:val="en-US" w:eastAsia="zh-CN" w:bidi="zh-CN"/>
        </w:rPr>
        <w:t>5.9</w:t>
      </w:r>
      <w:r>
        <w:rPr>
          <w:rFonts w:hint="eastAsia" w:ascii="仿宋" w:hAnsi="仿宋" w:eastAsia="仿宋" w:cs="仿宋"/>
          <w:color w:val="auto"/>
          <w:kern w:val="0"/>
          <w:sz w:val="28"/>
          <w:szCs w:val="28"/>
          <w:lang w:val="zh-CN" w:eastAsia="zh-CN" w:bidi="zh-CN"/>
        </w:rPr>
        <w:t xml:space="preserve">合同备案 </w:t>
      </w:r>
    </w:p>
    <w:p>
      <w:pPr>
        <w:pStyle w:val="38"/>
        <w:keepNext w:val="0"/>
        <w:keepLines w:val="0"/>
        <w:pageBreakBefore w:val="0"/>
        <w:kinsoku/>
        <w:wordWrap/>
        <w:overflowPunct/>
        <w:topLinePunct w:val="0"/>
        <w:autoSpaceDE w:val="0"/>
        <w:autoSpaceDN w:val="0"/>
        <w:bidi w:val="0"/>
        <w:adjustRightInd/>
        <w:snapToGrid/>
        <w:spacing w:before="0" w:beforeAutospacing="0" w:after="0" w:afterAutospacing="0" w:line="360" w:lineRule="auto"/>
        <w:textAlignment w:val="auto"/>
        <w:rPr>
          <w:rFonts w:hint="eastAsia" w:ascii="仿宋" w:hAnsi="仿宋" w:eastAsia="仿宋" w:cs="仿宋"/>
          <w:color w:val="auto"/>
          <w:kern w:val="0"/>
          <w:sz w:val="28"/>
          <w:szCs w:val="28"/>
          <w:lang w:val="zh-CN" w:eastAsia="zh-CN" w:bidi="zh-CN"/>
        </w:rPr>
      </w:pPr>
      <w:r>
        <w:rPr>
          <w:rFonts w:hint="eastAsia" w:ascii="仿宋" w:hAnsi="仿宋" w:cs="仿宋"/>
          <w:color w:val="auto"/>
          <w:kern w:val="0"/>
          <w:sz w:val="28"/>
          <w:szCs w:val="28"/>
          <w:lang w:val="en-US" w:eastAsia="zh-CN" w:bidi="zh-CN"/>
        </w:rPr>
        <w:t>5.9</w:t>
      </w:r>
      <w:r>
        <w:rPr>
          <w:rFonts w:hint="eastAsia" w:ascii="仿宋" w:hAnsi="仿宋" w:eastAsia="仿宋" w:cs="仿宋"/>
          <w:color w:val="auto"/>
          <w:kern w:val="0"/>
          <w:sz w:val="28"/>
          <w:szCs w:val="28"/>
          <w:lang w:val="zh-CN" w:eastAsia="zh-CN" w:bidi="zh-CN"/>
        </w:rPr>
        <w:t>.1政府采购合同签订之日起1个工作日内，供应商应当配合采购人办理合同备案并公示，登录河南省电子化政府采购系统“合同管理”模块，填写合同基本信息，并上传政府采购合同、中标(成交)通知书。</w:t>
      </w:r>
    </w:p>
    <w:p>
      <w:pPr>
        <w:pStyle w:val="38"/>
        <w:keepNext w:val="0"/>
        <w:keepLines w:val="0"/>
        <w:pageBreakBefore w:val="0"/>
        <w:kinsoku/>
        <w:wordWrap/>
        <w:overflowPunct/>
        <w:topLinePunct w:val="0"/>
        <w:autoSpaceDE w:val="0"/>
        <w:autoSpaceDN w:val="0"/>
        <w:bidi w:val="0"/>
        <w:adjustRightInd/>
        <w:snapToGrid/>
        <w:spacing w:before="0" w:beforeAutospacing="0" w:after="0" w:afterAutospacing="0" w:line="360" w:lineRule="auto"/>
        <w:textAlignment w:val="auto"/>
        <w:rPr>
          <w:rFonts w:hint="eastAsia" w:ascii="仿宋" w:hAnsi="仿宋" w:eastAsia="仿宋" w:cs="仿宋"/>
          <w:color w:val="auto"/>
          <w:kern w:val="0"/>
          <w:sz w:val="28"/>
          <w:szCs w:val="28"/>
          <w:lang w:val="zh-CN" w:eastAsia="zh-CN" w:bidi="zh-CN"/>
        </w:rPr>
      </w:pPr>
      <w:r>
        <w:rPr>
          <w:rFonts w:hint="eastAsia" w:ascii="仿宋" w:hAnsi="仿宋" w:cs="仿宋"/>
          <w:color w:val="auto"/>
          <w:kern w:val="0"/>
          <w:sz w:val="28"/>
          <w:szCs w:val="28"/>
          <w:lang w:val="en-US" w:eastAsia="zh-CN" w:bidi="zh-CN"/>
        </w:rPr>
        <w:t>5.9</w:t>
      </w:r>
      <w:r>
        <w:rPr>
          <w:rFonts w:hint="eastAsia" w:ascii="仿宋" w:hAnsi="仿宋" w:eastAsia="仿宋" w:cs="仿宋"/>
          <w:color w:val="auto"/>
          <w:kern w:val="0"/>
          <w:sz w:val="28"/>
          <w:szCs w:val="28"/>
          <w:lang w:val="zh-CN" w:eastAsia="zh-CN" w:bidi="zh-CN"/>
        </w:rPr>
        <w:t>.2政府采购合同公告备案是法定要求，供应商应当配合采购人及时履行备案手续。</w:t>
      </w:r>
    </w:p>
    <w:p>
      <w:pPr>
        <w:rPr>
          <w:rFonts w:hint="eastAsia" w:ascii="仿宋" w:hAnsi="仿宋" w:eastAsia="仿宋" w:cs="仿宋"/>
          <w:color w:val="auto"/>
          <w:kern w:val="0"/>
          <w:sz w:val="28"/>
          <w:szCs w:val="28"/>
          <w:lang w:val="zh-CN" w:eastAsia="zh-CN" w:bidi="zh-CN"/>
        </w:rPr>
      </w:pPr>
    </w:p>
    <w:p>
      <w:pPr>
        <w:rPr>
          <w:rFonts w:hint="eastAsia" w:ascii="仿宋" w:hAnsi="仿宋" w:eastAsia="仿宋" w:cs="仿宋"/>
          <w:color w:val="auto"/>
          <w:kern w:val="0"/>
          <w:sz w:val="28"/>
          <w:szCs w:val="28"/>
          <w:lang w:val="zh-CN" w:eastAsia="zh-CN" w:bidi="zh-CN"/>
        </w:rPr>
      </w:pPr>
    </w:p>
    <w:p>
      <w:pPr>
        <w:rPr>
          <w:rFonts w:hint="eastAsia" w:ascii="仿宋" w:hAnsi="仿宋" w:eastAsia="仿宋" w:cs="仿宋"/>
          <w:color w:val="auto"/>
          <w:kern w:val="0"/>
          <w:sz w:val="28"/>
          <w:szCs w:val="28"/>
          <w:lang w:val="zh-CN" w:eastAsia="zh-CN" w:bidi="zh-CN"/>
        </w:rPr>
      </w:pPr>
    </w:p>
    <w:p>
      <w:pPr>
        <w:rPr>
          <w:rFonts w:hint="eastAsia" w:ascii="仿宋" w:hAnsi="仿宋" w:eastAsia="仿宋" w:cs="仿宋"/>
          <w:color w:val="auto"/>
          <w:kern w:val="0"/>
          <w:sz w:val="28"/>
          <w:szCs w:val="28"/>
          <w:lang w:val="zh-CN" w:eastAsia="zh-CN" w:bidi="zh-CN"/>
        </w:rPr>
      </w:pPr>
      <w:r>
        <w:rPr>
          <w:rFonts w:hint="eastAsia" w:ascii="仿宋" w:hAnsi="仿宋" w:eastAsia="仿宋" w:cs="仿宋"/>
          <w:color w:val="auto"/>
          <w:kern w:val="0"/>
          <w:sz w:val="28"/>
          <w:szCs w:val="28"/>
          <w:lang w:val="zh-CN" w:eastAsia="zh-CN" w:bidi="zh-CN"/>
        </w:rPr>
        <w:br w:type="textWrapping"/>
      </w:r>
    </w:p>
    <w:p>
      <w:pPr>
        <w:rPr>
          <w:rFonts w:hint="eastAsia" w:ascii="仿宋" w:hAnsi="仿宋" w:eastAsia="仿宋" w:cs="仿宋"/>
          <w:color w:val="auto"/>
          <w:kern w:val="0"/>
          <w:sz w:val="28"/>
          <w:szCs w:val="28"/>
          <w:lang w:val="zh-CN" w:eastAsia="zh-CN" w:bidi="zh-CN"/>
        </w:rPr>
      </w:pPr>
    </w:p>
    <w:p>
      <w:pPr>
        <w:rPr>
          <w:rFonts w:hint="eastAsia"/>
          <w:color w:val="auto"/>
        </w:rPr>
      </w:pPr>
    </w:p>
    <w:p>
      <w:pPr>
        <w:pStyle w:val="3"/>
        <w:rPr>
          <w:rFonts w:hint="eastAsia"/>
          <w:color w:val="auto"/>
        </w:rPr>
      </w:pPr>
      <w:r>
        <w:rPr>
          <w:rFonts w:hint="eastAsia"/>
          <w:color w:val="auto"/>
          <w:lang w:val="en-US" w:eastAsia="zh-CN"/>
        </w:rPr>
        <w:t>六</w:t>
      </w:r>
      <w:r>
        <w:rPr>
          <w:rFonts w:hint="eastAsia"/>
          <w:color w:val="auto"/>
        </w:rPr>
        <w:t xml:space="preserve">、磋商办法（综合评分法） </w:t>
      </w:r>
    </w:p>
    <w:p>
      <w:pPr>
        <w:spacing w:line="360" w:lineRule="auto"/>
        <w:jc w:val="center"/>
        <w:rPr>
          <w:rFonts w:hint="eastAsia" w:ascii="仿宋" w:hAnsi="仿宋" w:eastAsia="仿宋" w:cs="仿宋"/>
          <w:b/>
          <w:bCs/>
          <w:color w:val="auto"/>
          <w:sz w:val="28"/>
          <w:szCs w:val="28"/>
          <w:highlight w:val="none"/>
        </w:rPr>
      </w:pPr>
      <w:bookmarkStart w:id="34" w:name="磋商办法前附表"/>
      <w:bookmarkEnd w:id="34"/>
      <w:r>
        <w:rPr>
          <w:rFonts w:hint="eastAsia" w:ascii="仿宋" w:hAnsi="仿宋" w:eastAsia="仿宋" w:cs="仿宋"/>
          <w:b/>
          <w:bCs/>
          <w:color w:val="auto"/>
          <w:sz w:val="28"/>
          <w:szCs w:val="28"/>
          <w:highlight w:val="none"/>
        </w:rPr>
        <w:t>磋商办法前附表</w:t>
      </w:r>
    </w:p>
    <w:tbl>
      <w:tblPr>
        <w:tblStyle w:val="21"/>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13"/>
        <w:gridCol w:w="1009"/>
        <w:gridCol w:w="2181"/>
        <w:gridCol w:w="5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51" w:type="pct"/>
            <w:gridSpan w:val="3"/>
            <w:vAlign w:val="center"/>
          </w:tcPr>
          <w:p>
            <w:pPr>
              <w:autoSpaceDE w:val="0"/>
              <w:autoSpaceDN w:val="0"/>
              <w:adjustRightIn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1096" w:type="pct"/>
            <w:vAlign w:val="center"/>
          </w:tcPr>
          <w:p>
            <w:pPr>
              <w:autoSpaceDE w:val="0"/>
              <w:autoSpaceDN w:val="0"/>
              <w:adjustRightIn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2852" w:type="pct"/>
            <w:vAlign w:val="center"/>
          </w:tcPr>
          <w:p>
            <w:pPr>
              <w:autoSpaceDE w:val="0"/>
              <w:autoSpaceDN w:val="0"/>
              <w:adjustRightIn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4" w:type="pct"/>
            <w:gridSpan w:val="2"/>
            <w:vMerge w:val="restart"/>
            <w:vAlign w:val="center"/>
          </w:tcPr>
          <w:p>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2.1.1</w:t>
            </w:r>
          </w:p>
        </w:tc>
        <w:tc>
          <w:tcPr>
            <w:tcW w:w="506" w:type="pct"/>
            <w:vMerge w:val="restart"/>
            <w:vAlign w:val="center"/>
          </w:tcPr>
          <w:p>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形式</w:t>
            </w:r>
          </w:p>
          <w:p>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w:t>
            </w:r>
            <w:r>
              <w:rPr>
                <w:rFonts w:hint="eastAsia" w:cs="宋体"/>
                <w:color w:val="auto"/>
                <w:kern w:val="0"/>
                <w:szCs w:val="21"/>
                <w:highlight w:val="none"/>
                <w:lang w:eastAsia="zh-CN"/>
              </w:rPr>
              <w:t>（</w:t>
            </w:r>
            <w:r>
              <w:rPr>
                <w:rFonts w:hint="eastAsia" w:cs="宋体"/>
                <w:color w:val="auto"/>
                <w:kern w:val="0"/>
                <w:szCs w:val="21"/>
                <w:highlight w:val="none"/>
                <w:lang w:val="en-US" w:eastAsia="zh-CN"/>
              </w:rPr>
              <w:t>符合性</w:t>
            </w:r>
            <w:r>
              <w:rPr>
                <w:rFonts w:hint="eastAsia" w:cs="宋体"/>
                <w:color w:val="auto"/>
                <w:kern w:val="0"/>
                <w:szCs w:val="21"/>
                <w:highlight w:val="none"/>
                <w:lang w:eastAsia="zh-CN"/>
              </w:rPr>
              <w:t>）</w:t>
            </w:r>
            <w:r>
              <w:rPr>
                <w:rFonts w:hint="eastAsia" w:ascii="宋体" w:hAnsi="宋体" w:cs="宋体"/>
                <w:color w:val="auto"/>
                <w:kern w:val="0"/>
                <w:szCs w:val="21"/>
                <w:highlight w:val="none"/>
              </w:rPr>
              <w:t>审</w:t>
            </w:r>
          </w:p>
          <w:p>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标准</w:t>
            </w:r>
          </w:p>
        </w:tc>
        <w:tc>
          <w:tcPr>
            <w:tcW w:w="1096" w:type="pct"/>
            <w:vAlign w:val="center"/>
          </w:tcPr>
          <w:p>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2852" w:type="pct"/>
            <w:vAlign w:val="center"/>
          </w:tcPr>
          <w:p>
            <w:pPr>
              <w:autoSpaceDE w:val="0"/>
              <w:autoSpaceDN w:val="0"/>
              <w:adjustRightIn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4" w:type="pct"/>
            <w:gridSpan w:val="2"/>
            <w:vMerge w:val="continue"/>
            <w:vAlign w:val="center"/>
          </w:tcPr>
          <w:p>
            <w:pPr>
              <w:autoSpaceDE w:val="0"/>
              <w:autoSpaceDN w:val="0"/>
              <w:adjustRightInd w:val="0"/>
              <w:spacing w:line="320" w:lineRule="exact"/>
              <w:jc w:val="center"/>
              <w:rPr>
                <w:rFonts w:ascii="宋体" w:hAnsi="宋体" w:cs="宋体"/>
                <w:color w:val="auto"/>
                <w:kern w:val="0"/>
                <w:szCs w:val="21"/>
                <w:highlight w:val="none"/>
              </w:rPr>
            </w:pPr>
          </w:p>
        </w:tc>
        <w:tc>
          <w:tcPr>
            <w:tcW w:w="506" w:type="pct"/>
            <w:vMerge w:val="continue"/>
            <w:vAlign w:val="center"/>
          </w:tcPr>
          <w:p>
            <w:pPr>
              <w:autoSpaceDE w:val="0"/>
              <w:autoSpaceDN w:val="0"/>
              <w:adjustRightInd w:val="0"/>
              <w:spacing w:line="320" w:lineRule="exact"/>
              <w:jc w:val="center"/>
              <w:rPr>
                <w:rFonts w:ascii="宋体" w:hAnsi="宋体" w:cs="宋体"/>
                <w:color w:val="auto"/>
                <w:kern w:val="0"/>
                <w:szCs w:val="21"/>
                <w:highlight w:val="none"/>
              </w:rPr>
            </w:pPr>
          </w:p>
        </w:tc>
        <w:tc>
          <w:tcPr>
            <w:tcW w:w="1096" w:type="pct"/>
            <w:vAlign w:val="center"/>
          </w:tcPr>
          <w:p>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投标函签字盖章</w:t>
            </w:r>
          </w:p>
        </w:tc>
        <w:tc>
          <w:tcPr>
            <w:tcW w:w="2852" w:type="pct"/>
            <w:vAlign w:val="center"/>
          </w:tcPr>
          <w:p>
            <w:pPr>
              <w:autoSpaceDE w:val="0"/>
              <w:autoSpaceDN w:val="0"/>
              <w:adjustRightInd w:val="0"/>
              <w:spacing w:line="320" w:lineRule="exact"/>
              <w:rPr>
                <w:rFonts w:ascii="宋体" w:hAnsi="宋体" w:cs="宋体"/>
                <w:color w:val="auto"/>
                <w:kern w:val="0"/>
                <w:szCs w:val="21"/>
                <w:highlight w:val="none"/>
              </w:rPr>
            </w:pPr>
            <w:r>
              <w:rPr>
                <w:rFonts w:hint="eastAsia" w:ascii="宋体" w:hAnsi="宋体"/>
                <w:color w:val="auto"/>
                <w:szCs w:val="21"/>
                <w:highlight w:val="none"/>
              </w:rPr>
              <w:t>有法定代表人电子签名并加盖单位电子签章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4" w:type="pct"/>
            <w:gridSpan w:val="2"/>
            <w:vMerge w:val="continue"/>
            <w:vAlign w:val="center"/>
          </w:tcPr>
          <w:p>
            <w:pPr>
              <w:autoSpaceDE w:val="0"/>
              <w:autoSpaceDN w:val="0"/>
              <w:adjustRightInd w:val="0"/>
              <w:spacing w:line="320" w:lineRule="exact"/>
              <w:jc w:val="center"/>
              <w:rPr>
                <w:rFonts w:ascii="宋体" w:hAnsi="宋体" w:cs="宋体"/>
                <w:color w:val="auto"/>
                <w:kern w:val="0"/>
                <w:szCs w:val="21"/>
                <w:highlight w:val="none"/>
              </w:rPr>
            </w:pPr>
          </w:p>
        </w:tc>
        <w:tc>
          <w:tcPr>
            <w:tcW w:w="506" w:type="pct"/>
            <w:vMerge w:val="continue"/>
            <w:vAlign w:val="center"/>
          </w:tcPr>
          <w:p>
            <w:pPr>
              <w:autoSpaceDE w:val="0"/>
              <w:autoSpaceDN w:val="0"/>
              <w:adjustRightInd w:val="0"/>
              <w:spacing w:line="320" w:lineRule="exact"/>
              <w:jc w:val="center"/>
              <w:rPr>
                <w:rFonts w:ascii="宋体" w:hAnsi="宋体" w:cs="宋体"/>
                <w:color w:val="auto"/>
                <w:kern w:val="0"/>
                <w:szCs w:val="21"/>
                <w:highlight w:val="none"/>
              </w:rPr>
            </w:pPr>
          </w:p>
        </w:tc>
        <w:tc>
          <w:tcPr>
            <w:tcW w:w="1096" w:type="pct"/>
            <w:vAlign w:val="center"/>
          </w:tcPr>
          <w:p>
            <w:pPr>
              <w:autoSpaceDE w:val="0"/>
              <w:autoSpaceDN w:val="0"/>
              <w:adjustRightInd w:val="0"/>
              <w:spacing w:line="320" w:lineRule="exact"/>
              <w:jc w:val="center"/>
              <w:rPr>
                <w:rFonts w:hint="eastAsia" w:ascii="宋体" w:hAnsi="宋体" w:eastAsia="仿宋" w:cs="宋体"/>
                <w:color w:val="auto"/>
                <w:kern w:val="0"/>
                <w:szCs w:val="21"/>
                <w:highlight w:val="none"/>
                <w:lang w:eastAsia="zh-CN"/>
              </w:rPr>
            </w:pPr>
            <w:r>
              <w:rPr>
                <w:rFonts w:hint="eastAsia" w:cs="宋体"/>
                <w:color w:val="auto"/>
                <w:kern w:val="0"/>
                <w:szCs w:val="21"/>
                <w:highlight w:val="none"/>
                <w:lang w:eastAsia="zh-CN"/>
              </w:rPr>
              <w:t>磋商响应文件格式</w:t>
            </w:r>
          </w:p>
        </w:tc>
        <w:tc>
          <w:tcPr>
            <w:tcW w:w="2852" w:type="pct"/>
            <w:vAlign w:val="center"/>
          </w:tcPr>
          <w:p>
            <w:pPr>
              <w:autoSpaceDE w:val="0"/>
              <w:autoSpaceDN w:val="0"/>
              <w:adjustRightIn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符合第</w:t>
            </w:r>
            <w:r>
              <w:rPr>
                <w:rFonts w:hint="eastAsia" w:cs="宋体"/>
                <w:color w:val="auto"/>
                <w:kern w:val="0"/>
                <w:szCs w:val="21"/>
                <w:highlight w:val="none"/>
                <w:lang w:eastAsia="zh-CN"/>
              </w:rPr>
              <w:t>五部分</w:t>
            </w:r>
            <w:r>
              <w:rPr>
                <w:rFonts w:hint="eastAsia" w:ascii="宋体" w:hAnsi="宋体" w:cs="宋体"/>
                <w:color w:val="auto"/>
                <w:kern w:val="0"/>
                <w:szCs w:val="21"/>
                <w:highlight w:val="none"/>
              </w:rPr>
              <w:t>“</w:t>
            </w:r>
            <w:r>
              <w:rPr>
                <w:rFonts w:hint="eastAsia" w:cs="宋体"/>
                <w:color w:val="auto"/>
                <w:kern w:val="0"/>
                <w:szCs w:val="21"/>
                <w:highlight w:val="none"/>
                <w:lang w:eastAsia="zh-CN"/>
              </w:rPr>
              <w:t>磋商响应文件格式</w:t>
            </w:r>
            <w:r>
              <w:rPr>
                <w:rFonts w:hint="eastAsia" w:ascii="宋体" w:hAnsi="宋体" w:cs="宋体"/>
                <w:color w:val="auto"/>
                <w:kern w:val="0"/>
                <w:szCs w:val="21"/>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4" w:type="pct"/>
            <w:gridSpan w:val="2"/>
            <w:vMerge w:val="continue"/>
            <w:vAlign w:val="center"/>
          </w:tcPr>
          <w:p>
            <w:pPr>
              <w:autoSpaceDE w:val="0"/>
              <w:autoSpaceDN w:val="0"/>
              <w:adjustRightInd w:val="0"/>
              <w:spacing w:line="320" w:lineRule="exact"/>
              <w:jc w:val="center"/>
              <w:rPr>
                <w:rFonts w:ascii="宋体" w:hAnsi="宋体" w:cs="宋体"/>
                <w:color w:val="auto"/>
                <w:kern w:val="0"/>
                <w:szCs w:val="21"/>
                <w:highlight w:val="none"/>
              </w:rPr>
            </w:pPr>
          </w:p>
        </w:tc>
        <w:tc>
          <w:tcPr>
            <w:tcW w:w="506" w:type="pct"/>
            <w:vMerge w:val="continue"/>
            <w:vAlign w:val="center"/>
          </w:tcPr>
          <w:p>
            <w:pPr>
              <w:autoSpaceDE w:val="0"/>
              <w:autoSpaceDN w:val="0"/>
              <w:adjustRightInd w:val="0"/>
              <w:spacing w:line="320" w:lineRule="exact"/>
              <w:jc w:val="center"/>
              <w:rPr>
                <w:rFonts w:ascii="宋体" w:hAnsi="宋体" w:cs="宋体"/>
                <w:color w:val="auto"/>
                <w:kern w:val="0"/>
                <w:szCs w:val="21"/>
                <w:highlight w:val="none"/>
              </w:rPr>
            </w:pPr>
          </w:p>
        </w:tc>
        <w:tc>
          <w:tcPr>
            <w:tcW w:w="1096" w:type="pct"/>
            <w:vAlign w:val="center"/>
          </w:tcPr>
          <w:p>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报价唯一</w:t>
            </w:r>
          </w:p>
        </w:tc>
        <w:tc>
          <w:tcPr>
            <w:tcW w:w="2852" w:type="pct"/>
            <w:vAlign w:val="center"/>
          </w:tcPr>
          <w:p>
            <w:pPr>
              <w:autoSpaceDE w:val="0"/>
              <w:autoSpaceDN w:val="0"/>
              <w:adjustRightIn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44" w:type="pct"/>
            <w:gridSpan w:val="2"/>
            <w:vMerge w:val="restart"/>
            <w:vAlign w:val="center"/>
          </w:tcPr>
          <w:p>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2.1.2</w:t>
            </w:r>
          </w:p>
        </w:tc>
        <w:tc>
          <w:tcPr>
            <w:tcW w:w="506" w:type="pct"/>
            <w:vMerge w:val="restart"/>
            <w:vAlign w:val="center"/>
          </w:tcPr>
          <w:p>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资格</w:t>
            </w:r>
          </w:p>
          <w:p>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评审</w:t>
            </w:r>
          </w:p>
          <w:p>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标准</w:t>
            </w:r>
          </w:p>
          <w:p>
            <w:pPr>
              <w:autoSpaceDE w:val="0"/>
              <w:autoSpaceDN w:val="0"/>
              <w:adjustRightInd w:val="0"/>
              <w:spacing w:line="320" w:lineRule="exact"/>
              <w:jc w:val="center"/>
              <w:rPr>
                <w:rFonts w:ascii="宋体" w:hAnsi="宋体" w:cs="宋体"/>
                <w:color w:val="auto"/>
                <w:kern w:val="0"/>
                <w:szCs w:val="21"/>
                <w:highlight w:val="none"/>
              </w:rPr>
            </w:pPr>
          </w:p>
        </w:tc>
        <w:tc>
          <w:tcPr>
            <w:tcW w:w="1096" w:type="pct"/>
            <w:vAlign w:val="center"/>
          </w:tcPr>
          <w:p>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营业执照</w:t>
            </w:r>
          </w:p>
        </w:tc>
        <w:tc>
          <w:tcPr>
            <w:tcW w:w="2852" w:type="pct"/>
            <w:vAlign w:val="center"/>
          </w:tcPr>
          <w:p>
            <w:pPr>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具备有效的营业执照（原件扫描上传至诚信库中）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44" w:type="pct"/>
            <w:gridSpan w:val="2"/>
            <w:vMerge w:val="continue"/>
            <w:vAlign w:val="center"/>
          </w:tcPr>
          <w:p>
            <w:pPr>
              <w:autoSpaceDE w:val="0"/>
              <w:autoSpaceDN w:val="0"/>
              <w:adjustRightInd w:val="0"/>
              <w:spacing w:line="320" w:lineRule="exact"/>
              <w:jc w:val="center"/>
              <w:rPr>
                <w:rFonts w:ascii="宋体" w:hAnsi="宋体" w:cs="宋体"/>
                <w:color w:val="auto"/>
                <w:kern w:val="0"/>
                <w:szCs w:val="21"/>
                <w:highlight w:val="none"/>
              </w:rPr>
            </w:pPr>
          </w:p>
        </w:tc>
        <w:tc>
          <w:tcPr>
            <w:tcW w:w="506" w:type="pct"/>
            <w:vMerge w:val="continue"/>
            <w:vAlign w:val="center"/>
          </w:tcPr>
          <w:p>
            <w:pPr>
              <w:autoSpaceDE w:val="0"/>
              <w:autoSpaceDN w:val="0"/>
              <w:adjustRightInd w:val="0"/>
              <w:spacing w:line="320" w:lineRule="exact"/>
              <w:jc w:val="center"/>
              <w:rPr>
                <w:rFonts w:ascii="宋体" w:hAnsi="宋体" w:cs="宋体"/>
                <w:color w:val="auto"/>
                <w:kern w:val="0"/>
                <w:szCs w:val="21"/>
                <w:highlight w:val="none"/>
              </w:rPr>
            </w:pPr>
          </w:p>
        </w:tc>
        <w:tc>
          <w:tcPr>
            <w:tcW w:w="1096" w:type="pct"/>
            <w:vAlign w:val="center"/>
          </w:tcPr>
          <w:p>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资质等级</w:t>
            </w:r>
          </w:p>
        </w:tc>
        <w:tc>
          <w:tcPr>
            <w:tcW w:w="2852" w:type="pct"/>
            <w:vAlign w:val="center"/>
          </w:tcPr>
          <w:p>
            <w:pPr>
              <w:autoSpaceDE w:val="0"/>
              <w:autoSpaceDN w:val="0"/>
              <w:adjustRightInd w:val="0"/>
              <w:spacing w:line="320" w:lineRule="exact"/>
              <w:rPr>
                <w:rFonts w:ascii="宋体" w:hAnsi="宋体" w:cs="宋体"/>
                <w:color w:val="auto"/>
                <w:kern w:val="0"/>
                <w:szCs w:val="21"/>
                <w:highlight w:val="none"/>
              </w:rPr>
            </w:pPr>
            <w:r>
              <w:rPr>
                <w:rFonts w:hint="eastAsia"/>
                <w:color w:val="auto"/>
                <w:szCs w:val="21"/>
                <w:highlight w:val="none"/>
              </w:rPr>
              <w:t>符合第二章“</w:t>
            </w:r>
            <w:r>
              <w:rPr>
                <w:rFonts w:hint="eastAsia"/>
                <w:color w:val="auto"/>
                <w:szCs w:val="21"/>
                <w:highlight w:val="none"/>
                <w:lang w:eastAsia="zh-CN"/>
              </w:rPr>
              <w:t>供应商须知</w:t>
            </w:r>
            <w:r>
              <w:rPr>
                <w:rFonts w:hint="eastAsia"/>
                <w:color w:val="auto"/>
                <w:szCs w:val="21"/>
                <w:highlight w:val="none"/>
              </w:rPr>
              <w:t>”的要求（原件扫描上传至诚信库中）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44" w:type="pct"/>
            <w:gridSpan w:val="2"/>
            <w:vMerge w:val="continue"/>
            <w:vAlign w:val="center"/>
          </w:tcPr>
          <w:p>
            <w:pPr>
              <w:autoSpaceDE w:val="0"/>
              <w:autoSpaceDN w:val="0"/>
              <w:adjustRightInd w:val="0"/>
              <w:spacing w:line="320" w:lineRule="exact"/>
              <w:jc w:val="center"/>
              <w:rPr>
                <w:rFonts w:ascii="宋体" w:hAnsi="宋体" w:cs="宋体"/>
                <w:color w:val="auto"/>
                <w:kern w:val="0"/>
                <w:szCs w:val="21"/>
                <w:highlight w:val="none"/>
              </w:rPr>
            </w:pPr>
          </w:p>
        </w:tc>
        <w:tc>
          <w:tcPr>
            <w:tcW w:w="506" w:type="pct"/>
            <w:vMerge w:val="continue"/>
            <w:vAlign w:val="center"/>
          </w:tcPr>
          <w:p>
            <w:pPr>
              <w:autoSpaceDE w:val="0"/>
              <w:autoSpaceDN w:val="0"/>
              <w:adjustRightInd w:val="0"/>
              <w:spacing w:line="320" w:lineRule="exact"/>
              <w:jc w:val="center"/>
              <w:rPr>
                <w:rFonts w:ascii="宋体" w:hAnsi="宋体" w:cs="宋体"/>
                <w:color w:val="auto"/>
                <w:kern w:val="0"/>
                <w:szCs w:val="21"/>
                <w:highlight w:val="none"/>
              </w:rPr>
            </w:pPr>
          </w:p>
        </w:tc>
        <w:tc>
          <w:tcPr>
            <w:tcW w:w="1096" w:type="pct"/>
            <w:vAlign w:val="center"/>
          </w:tcPr>
          <w:p>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2852" w:type="pct"/>
            <w:vAlign w:val="center"/>
          </w:tcPr>
          <w:p>
            <w:pPr>
              <w:autoSpaceDE w:val="0"/>
              <w:autoSpaceDN w:val="0"/>
              <w:adjustRightInd w:val="0"/>
              <w:spacing w:line="320" w:lineRule="exact"/>
              <w:rPr>
                <w:color w:val="auto"/>
                <w:szCs w:val="21"/>
                <w:highlight w:val="none"/>
              </w:rPr>
            </w:pPr>
            <w:r>
              <w:rPr>
                <w:rFonts w:hint="eastAsia" w:ascii="宋体" w:hAnsi="宋体" w:cs="宋体"/>
                <w:color w:val="auto"/>
                <w:kern w:val="0"/>
                <w:szCs w:val="21"/>
                <w:highlight w:val="none"/>
              </w:rPr>
              <w:t>符合第二章“</w:t>
            </w:r>
            <w:r>
              <w:rPr>
                <w:rFonts w:hint="eastAsia" w:cs="宋体"/>
                <w:color w:val="auto"/>
                <w:kern w:val="0"/>
                <w:szCs w:val="21"/>
                <w:highlight w:val="none"/>
                <w:lang w:eastAsia="zh-CN"/>
              </w:rPr>
              <w:t>供应商须知</w:t>
            </w:r>
            <w:r>
              <w:rPr>
                <w:rFonts w:hint="eastAsia" w:ascii="宋体" w:hAnsi="宋体" w:cs="宋体"/>
                <w:color w:val="auto"/>
                <w:kern w:val="0"/>
                <w:szCs w:val="21"/>
                <w:highlight w:val="none"/>
              </w:rPr>
              <w:t>”的要求（原件扫描上传至诚信库中）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544" w:type="pct"/>
            <w:gridSpan w:val="2"/>
            <w:vMerge w:val="continue"/>
            <w:vAlign w:val="center"/>
          </w:tcPr>
          <w:p>
            <w:pPr>
              <w:autoSpaceDE w:val="0"/>
              <w:autoSpaceDN w:val="0"/>
              <w:adjustRightInd w:val="0"/>
              <w:spacing w:line="320" w:lineRule="exact"/>
              <w:jc w:val="center"/>
              <w:rPr>
                <w:rFonts w:ascii="宋体" w:hAnsi="宋体" w:cs="宋体"/>
                <w:color w:val="auto"/>
                <w:kern w:val="0"/>
                <w:szCs w:val="21"/>
                <w:highlight w:val="none"/>
              </w:rPr>
            </w:pPr>
          </w:p>
        </w:tc>
        <w:tc>
          <w:tcPr>
            <w:tcW w:w="506" w:type="pct"/>
            <w:vMerge w:val="continue"/>
            <w:vAlign w:val="center"/>
          </w:tcPr>
          <w:p>
            <w:pPr>
              <w:autoSpaceDE w:val="0"/>
              <w:autoSpaceDN w:val="0"/>
              <w:adjustRightInd w:val="0"/>
              <w:spacing w:line="320" w:lineRule="exact"/>
              <w:jc w:val="center"/>
              <w:rPr>
                <w:rFonts w:ascii="宋体" w:hAnsi="宋体" w:cs="宋体"/>
                <w:color w:val="auto"/>
                <w:kern w:val="0"/>
                <w:szCs w:val="21"/>
                <w:highlight w:val="none"/>
              </w:rPr>
            </w:pPr>
          </w:p>
        </w:tc>
        <w:tc>
          <w:tcPr>
            <w:tcW w:w="1096" w:type="pct"/>
            <w:vAlign w:val="center"/>
          </w:tcPr>
          <w:p>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信誉要求</w:t>
            </w:r>
          </w:p>
        </w:tc>
        <w:tc>
          <w:tcPr>
            <w:tcW w:w="2852" w:type="pct"/>
            <w:vAlign w:val="center"/>
          </w:tcPr>
          <w:p>
            <w:pPr>
              <w:autoSpaceDE w:val="0"/>
              <w:autoSpaceDN w:val="0"/>
              <w:adjustRightInd w:val="0"/>
              <w:spacing w:line="320" w:lineRule="exact"/>
              <w:rPr>
                <w:rFonts w:ascii="宋体" w:hAnsi="宋体" w:cs="宋体"/>
                <w:color w:val="auto"/>
                <w:kern w:val="0"/>
                <w:szCs w:val="21"/>
                <w:highlight w:val="none"/>
              </w:rPr>
            </w:pPr>
            <w:r>
              <w:rPr>
                <w:rFonts w:hint="eastAsia" w:ascii="宋体" w:hAnsi="宋体" w:cs="宋体"/>
                <w:color w:val="auto"/>
                <w:kern w:val="0"/>
                <w:szCs w:val="21"/>
                <w:highlight w:val="none"/>
              </w:rPr>
              <w:t>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4" w:type="pct"/>
            <w:gridSpan w:val="2"/>
            <w:vMerge w:val="continue"/>
            <w:vAlign w:val="center"/>
          </w:tcPr>
          <w:p>
            <w:pPr>
              <w:autoSpaceDE w:val="0"/>
              <w:autoSpaceDN w:val="0"/>
              <w:adjustRightInd w:val="0"/>
              <w:spacing w:line="320" w:lineRule="exact"/>
              <w:jc w:val="center"/>
              <w:rPr>
                <w:rFonts w:ascii="宋体" w:hAnsi="宋体" w:cs="宋体"/>
                <w:color w:val="auto"/>
                <w:kern w:val="0"/>
                <w:szCs w:val="21"/>
                <w:highlight w:val="none"/>
              </w:rPr>
            </w:pPr>
          </w:p>
        </w:tc>
        <w:tc>
          <w:tcPr>
            <w:tcW w:w="506" w:type="pct"/>
            <w:vMerge w:val="continue"/>
            <w:vAlign w:val="center"/>
          </w:tcPr>
          <w:p>
            <w:pPr>
              <w:autoSpaceDE w:val="0"/>
              <w:autoSpaceDN w:val="0"/>
              <w:adjustRightInd w:val="0"/>
              <w:spacing w:line="320" w:lineRule="exact"/>
              <w:jc w:val="center"/>
              <w:rPr>
                <w:rFonts w:ascii="宋体" w:hAnsi="宋体" w:cs="宋体"/>
                <w:color w:val="auto"/>
                <w:kern w:val="0"/>
                <w:szCs w:val="21"/>
                <w:highlight w:val="none"/>
              </w:rPr>
            </w:pPr>
          </w:p>
        </w:tc>
        <w:tc>
          <w:tcPr>
            <w:tcW w:w="1096" w:type="pct"/>
            <w:vAlign w:val="center"/>
          </w:tcPr>
          <w:p>
            <w:pPr>
              <w:autoSpaceDE w:val="0"/>
              <w:autoSpaceDN w:val="0"/>
              <w:adjustRightIn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其他要求</w:t>
            </w:r>
          </w:p>
        </w:tc>
        <w:tc>
          <w:tcPr>
            <w:tcW w:w="2852" w:type="pct"/>
            <w:vAlign w:val="center"/>
          </w:tcPr>
          <w:p>
            <w:pPr>
              <w:autoSpaceDE w:val="0"/>
              <w:autoSpaceDN w:val="0"/>
              <w:adjustRightInd w:val="0"/>
              <w:spacing w:line="320" w:lineRule="exact"/>
              <w:rPr>
                <w:rFonts w:hint="eastAsia"/>
                <w:color w:val="auto"/>
                <w:highlight w:val="none"/>
              </w:rPr>
            </w:pPr>
            <w:r>
              <w:rPr>
                <w:rFonts w:hint="eastAsia"/>
                <w:color w:val="auto"/>
                <w:highlight w:val="none"/>
              </w:rPr>
              <w:t>符合第二章“</w:t>
            </w:r>
            <w:r>
              <w:rPr>
                <w:rFonts w:hint="eastAsia"/>
                <w:color w:val="auto"/>
                <w:highlight w:val="none"/>
                <w:lang w:eastAsia="zh-CN"/>
              </w:rPr>
              <w:t>供应商须知</w:t>
            </w:r>
            <w:r>
              <w:rPr>
                <w:rFonts w:hint="eastAsia"/>
                <w:color w:val="auto"/>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4" w:type="pct"/>
            <w:gridSpan w:val="2"/>
            <w:vMerge w:val="restart"/>
            <w:vAlign w:val="center"/>
          </w:tcPr>
          <w:p>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bookmarkStart w:id="35" w:name="_Toc374097580"/>
            <w:r>
              <w:rPr>
                <w:rFonts w:hint="eastAsia" w:cs="宋体"/>
                <w:color w:val="auto"/>
                <w:kern w:val="0"/>
                <w:szCs w:val="21"/>
                <w:highlight w:val="none"/>
                <w:lang w:val="en-US" w:eastAsia="zh-CN"/>
              </w:rPr>
              <w:t>2.1.3</w:t>
            </w:r>
          </w:p>
        </w:tc>
        <w:tc>
          <w:tcPr>
            <w:tcW w:w="506" w:type="pct"/>
            <w:vMerge w:val="restart"/>
            <w:vAlign w:val="center"/>
          </w:tcPr>
          <w:p>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响应性（技术）评审</w:t>
            </w:r>
          </w:p>
        </w:tc>
        <w:tc>
          <w:tcPr>
            <w:tcW w:w="1096" w:type="pct"/>
            <w:vAlign w:val="center"/>
          </w:tcPr>
          <w:p>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磋商内容</w:t>
            </w:r>
          </w:p>
        </w:tc>
        <w:tc>
          <w:tcPr>
            <w:tcW w:w="2852" w:type="pct"/>
            <w:vAlign w:val="center"/>
          </w:tcPr>
          <w:p>
            <w:pPr>
              <w:autoSpaceDE w:val="0"/>
              <w:autoSpaceDN w:val="0"/>
              <w:adjustRightInd w:val="0"/>
              <w:spacing w:line="320" w:lineRule="exact"/>
              <w:rPr>
                <w:rFonts w:hint="eastAsia"/>
                <w:color w:val="auto"/>
                <w:highlight w:val="none"/>
              </w:rPr>
            </w:pPr>
            <w:r>
              <w:rPr>
                <w:rFonts w:hint="eastAsia"/>
                <w:color w:val="auto"/>
                <w:highlight w:val="none"/>
                <w:lang w:val="en-US" w:eastAsia="zh-CN"/>
              </w:rPr>
              <w:t xml:space="preserve">符合第二部分“供应商须知前附表”规定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4" w:type="pct"/>
            <w:gridSpan w:val="2"/>
            <w:vMerge w:val="continue"/>
            <w:vAlign w:val="center"/>
          </w:tcPr>
          <w:p>
            <w:pPr>
              <w:autoSpaceDE w:val="0"/>
              <w:autoSpaceDN w:val="0"/>
              <w:adjustRightInd w:val="0"/>
              <w:spacing w:line="320" w:lineRule="exact"/>
              <w:jc w:val="center"/>
              <w:rPr>
                <w:rFonts w:hint="eastAsia" w:cs="宋体"/>
                <w:color w:val="auto"/>
                <w:kern w:val="0"/>
                <w:szCs w:val="21"/>
                <w:highlight w:val="none"/>
                <w:lang w:val="en-US" w:eastAsia="zh-CN"/>
              </w:rPr>
            </w:pPr>
          </w:p>
        </w:tc>
        <w:tc>
          <w:tcPr>
            <w:tcW w:w="506" w:type="pct"/>
            <w:vMerge w:val="continue"/>
            <w:vAlign w:val="center"/>
          </w:tcPr>
          <w:p>
            <w:pPr>
              <w:autoSpaceDE w:val="0"/>
              <w:autoSpaceDN w:val="0"/>
              <w:adjustRightInd w:val="0"/>
              <w:spacing w:line="320" w:lineRule="exact"/>
              <w:jc w:val="center"/>
              <w:rPr>
                <w:rFonts w:hint="eastAsia" w:cs="宋体"/>
                <w:color w:val="auto"/>
                <w:kern w:val="0"/>
                <w:szCs w:val="21"/>
                <w:highlight w:val="none"/>
                <w:lang w:val="en-US" w:eastAsia="zh-CN"/>
              </w:rPr>
            </w:pPr>
          </w:p>
        </w:tc>
        <w:tc>
          <w:tcPr>
            <w:tcW w:w="1096" w:type="pct"/>
            <w:vAlign w:val="center"/>
          </w:tcPr>
          <w:p>
            <w:pPr>
              <w:autoSpaceDE w:val="0"/>
              <w:autoSpaceDN w:val="0"/>
              <w:adjustRightInd w:val="0"/>
              <w:spacing w:line="320" w:lineRule="exact"/>
              <w:jc w:val="center"/>
              <w:rPr>
                <w:rFonts w:hint="eastAsia"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工期（合同履行期限）</w:t>
            </w:r>
          </w:p>
        </w:tc>
        <w:tc>
          <w:tcPr>
            <w:tcW w:w="2852" w:type="pct"/>
            <w:vAlign w:val="center"/>
          </w:tcPr>
          <w:p>
            <w:pPr>
              <w:autoSpaceDE w:val="0"/>
              <w:autoSpaceDN w:val="0"/>
              <w:adjustRightInd w:val="0"/>
              <w:spacing w:line="320" w:lineRule="exact"/>
              <w:rPr>
                <w:rFonts w:hint="eastAsia"/>
                <w:color w:val="auto"/>
                <w:highlight w:val="none"/>
              </w:rPr>
            </w:pPr>
            <w:r>
              <w:rPr>
                <w:rFonts w:hint="eastAsia"/>
                <w:color w:val="auto"/>
                <w:highlight w:val="none"/>
                <w:lang w:val="en-US" w:eastAsia="zh-CN"/>
              </w:rPr>
              <w:t xml:space="preserve">符合第二部分“供应商须知前附表”规定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4" w:type="pct"/>
            <w:gridSpan w:val="2"/>
            <w:vMerge w:val="continue"/>
            <w:vAlign w:val="center"/>
          </w:tcPr>
          <w:p>
            <w:pPr>
              <w:autoSpaceDE w:val="0"/>
              <w:autoSpaceDN w:val="0"/>
              <w:adjustRightInd w:val="0"/>
              <w:spacing w:line="320" w:lineRule="exact"/>
              <w:jc w:val="center"/>
              <w:rPr>
                <w:rFonts w:hint="eastAsia" w:cs="宋体"/>
                <w:color w:val="auto"/>
                <w:kern w:val="0"/>
                <w:szCs w:val="21"/>
                <w:highlight w:val="none"/>
                <w:lang w:val="en-US" w:eastAsia="zh-CN"/>
              </w:rPr>
            </w:pPr>
          </w:p>
        </w:tc>
        <w:tc>
          <w:tcPr>
            <w:tcW w:w="506" w:type="pct"/>
            <w:vMerge w:val="continue"/>
            <w:vAlign w:val="center"/>
          </w:tcPr>
          <w:p>
            <w:pPr>
              <w:autoSpaceDE w:val="0"/>
              <w:autoSpaceDN w:val="0"/>
              <w:adjustRightInd w:val="0"/>
              <w:spacing w:line="320" w:lineRule="exact"/>
              <w:jc w:val="center"/>
              <w:rPr>
                <w:rFonts w:hint="eastAsia" w:cs="宋体"/>
                <w:color w:val="auto"/>
                <w:kern w:val="0"/>
                <w:szCs w:val="21"/>
                <w:highlight w:val="none"/>
                <w:lang w:val="en-US" w:eastAsia="zh-CN"/>
              </w:rPr>
            </w:pPr>
          </w:p>
        </w:tc>
        <w:tc>
          <w:tcPr>
            <w:tcW w:w="1096" w:type="pct"/>
            <w:vAlign w:val="center"/>
          </w:tcPr>
          <w:p>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质量要求</w:t>
            </w:r>
          </w:p>
        </w:tc>
        <w:tc>
          <w:tcPr>
            <w:tcW w:w="2852" w:type="pct"/>
            <w:vAlign w:val="center"/>
          </w:tcPr>
          <w:p>
            <w:pPr>
              <w:autoSpaceDE w:val="0"/>
              <w:autoSpaceDN w:val="0"/>
              <w:adjustRightInd w:val="0"/>
              <w:spacing w:line="320" w:lineRule="exact"/>
              <w:rPr>
                <w:rFonts w:hint="eastAsia"/>
                <w:color w:val="auto"/>
                <w:highlight w:val="none"/>
              </w:rPr>
            </w:pPr>
            <w:r>
              <w:rPr>
                <w:rFonts w:hint="eastAsia"/>
                <w:color w:val="auto"/>
                <w:highlight w:val="none"/>
                <w:lang w:val="en-US" w:eastAsia="zh-CN"/>
              </w:rPr>
              <w:t xml:space="preserve">符合第二部分“供应商须知前附表”规定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4" w:type="pct"/>
            <w:gridSpan w:val="2"/>
            <w:vMerge w:val="continue"/>
            <w:vAlign w:val="center"/>
          </w:tcPr>
          <w:p>
            <w:pPr>
              <w:autoSpaceDE w:val="0"/>
              <w:autoSpaceDN w:val="0"/>
              <w:adjustRightInd w:val="0"/>
              <w:spacing w:line="320" w:lineRule="exact"/>
              <w:jc w:val="center"/>
              <w:rPr>
                <w:rFonts w:hint="eastAsia" w:cs="宋体"/>
                <w:color w:val="auto"/>
                <w:kern w:val="0"/>
                <w:szCs w:val="21"/>
                <w:highlight w:val="none"/>
                <w:lang w:val="en-US" w:eastAsia="zh-CN"/>
              </w:rPr>
            </w:pPr>
          </w:p>
        </w:tc>
        <w:tc>
          <w:tcPr>
            <w:tcW w:w="506" w:type="pct"/>
            <w:vMerge w:val="continue"/>
            <w:vAlign w:val="center"/>
          </w:tcPr>
          <w:p>
            <w:pPr>
              <w:autoSpaceDE w:val="0"/>
              <w:autoSpaceDN w:val="0"/>
              <w:adjustRightInd w:val="0"/>
              <w:spacing w:line="320" w:lineRule="exact"/>
              <w:jc w:val="center"/>
              <w:rPr>
                <w:rFonts w:hint="eastAsia" w:cs="宋体"/>
                <w:color w:val="auto"/>
                <w:kern w:val="0"/>
                <w:szCs w:val="21"/>
                <w:highlight w:val="none"/>
                <w:lang w:val="en-US" w:eastAsia="zh-CN"/>
              </w:rPr>
            </w:pPr>
          </w:p>
        </w:tc>
        <w:tc>
          <w:tcPr>
            <w:tcW w:w="1096" w:type="pct"/>
            <w:vAlign w:val="center"/>
          </w:tcPr>
          <w:p>
            <w:pPr>
              <w:autoSpaceDE w:val="0"/>
              <w:autoSpaceDN w:val="0"/>
              <w:adjustRightInd w:val="0"/>
              <w:spacing w:line="320" w:lineRule="exact"/>
              <w:jc w:val="center"/>
              <w:rPr>
                <w:rFonts w:hint="default" w:ascii="宋体" w:hAnsi="宋体" w:eastAsia="仿宋" w:cs="宋体"/>
                <w:color w:val="auto"/>
                <w:kern w:val="0"/>
                <w:szCs w:val="21"/>
                <w:highlight w:val="none"/>
                <w:lang w:val="en-US" w:eastAsia="zh-CN"/>
              </w:rPr>
            </w:pPr>
            <w:r>
              <w:rPr>
                <w:rFonts w:hint="eastAsia" w:cs="宋体"/>
                <w:color w:val="auto"/>
                <w:kern w:val="0"/>
                <w:szCs w:val="21"/>
                <w:highlight w:val="none"/>
                <w:lang w:val="en-US" w:eastAsia="zh-CN"/>
              </w:rPr>
              <w:t>磋商有效期</w:t>
            </w:r>
          </w:p>
        </w:tc>
        <w:tc>
          <w:tcPr>
            <w:tcW w:w="2852" w:type="pct"/>
            <w:vAlign w:val="center"/>
          </w:tcPr>
          <w:p>
            <w:pPr>
              <w:autoSpaceDE w:val="0"/>
              <w:autoSpaceDN w:val="0"/>
              <w:adjustRightInd w:val="0"/>
              <w:spacing w:line="320" w:lineRule="exact"/>
              <w:rPr>
                <w:rFonts w:hint="eastAsia"/>
                <w:color w:val="auto"/>
                <w:highlight w:val="none"/>
              </w:rPr>
            </w:pPr>
            <w:r>
              <w:rPr>
                <w:rFonts w:hint="eastAsia"/>
                <w:color w:val="auto"/>
                <w:highlight w:val="none"/>
                <w:lang w:val="en-US" w:eastAsia="zh-CN"/>
              </w:rPr>
              <w:t xml:space="preserve">符合第二部分“供应商须知前附表”规定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4" w:type="pct"/>
            <w:gridSpan w:val="2"/>
            <w:vMerge w:val="continue"/>
            <w:vAlign w:val="center"/>
          </w:tcPr>
          <w:p>
            <w:pPr>
              <w:autoSpaceDE w:val="0"/>
              <w:autoSpaceDN w:val="0"/>
              <w:adjustRightInd w:val="0"/>
              <w:spacing w:line="320" w:lineRule="exact"/>
              <w:jc w:val="center"/>
              <w:rPr>
                <w:rFonts w:hint="eastAsia" w:cs="宋体"/>
                <w:color w:val="auto"/>
                <w:kern w:val="0"/>
                <w:szCs w:val="21"/>
                <w:highlight w:val="none"/>
                <w:lang w:val="en-US" w:eastAsia="zh-CN"/>
              </w:rPr>
            </w:pPr>
          </w:p>
        </w:tc>
        <w:tc>
          <w:tcPr>
            <w:tcW w:w="506" w:type="pct"/>
            <w:vMerge w:val="continue"/>
            <w:vAlign w:val="center"/>
          </w:tcPr>
          <w:p>
            <w:pPr>
              <w:autoSpaceDE w:val="0"/>
              <w:autoSpaceDN w:val="0"/>
              <w:adjustRightInd w:val="0"/>
              <w:spacing w:line="320" w:lineRule="exact"/>
              <w:jc w:val="center"/>
              <w:rPr>
                <w:rFonts w:hint="eastAsia" w:cs="宋体"/>
                <w:color w:val="auto"/>
                <w:kern w:val="0"/>
                <w:szCs w:val="21"/>
                <w:highlight w:val="none"/>
                <w:lang w:val="en-US" w:eastAsia="zh-CN"/>
              </w:rPr>
            </w:pPr>
          </w:p>
        </w:tc>
        <w:tc>
          <w:tcPr>
            <w:tcW w:w="1096" w:type="pct"/>
            <w:vAlign w:val="center"/>
          </w:tcPr>
          <w:p>
            <w:pPr>
              <w:autoSpaceDE w:val="0"/>
              <w:autoSpaceDN w:val="0"/>
              <w:adjustRightInd w:val="0"/>
              <w:spacing w:line="320" w:lineRule="exact"/>
              <w:jc w:val="center"/>
              <w:rPr>
                <w:rFonts w:hint="default" w:cs="宋体"/>
                <w:color w:val="auto"/>
                <w:kern w:val="0"/>
                <w:szCs w:val="21"/>
                <w:highlight w:val="none"/>
                <w:lang w:val="en-US" w:eastAsia="zh-CN"/>
              </w:rPr>
            </w:pPr>
            <w:r>
              <w:rPr>
                <w:rFonts w:hint="eastAsia" w:cs="宋体"/>
                <w:color w:val="auto"/>
                <w:kern w:val="0"/>
                <w:szCs w:val="21"/>
                <w:highlight w:val="none"/>
                <w:lang w:val="en-US" w:eastAsia="zh-CN"/>
              </w:rPr>
              <w:t>实质性响应</w:t>
            </w:r>
          </w:p>
        </w:tc>
        <w:tc>
          <w:tcPr>
            <w:tcW w:w="2852" w:type="pct"/>
            <w:vAlign w:val="center"/>
          </w:tcPr>
          <w:p>
            <w:pPr>
              <w:autoSpaceDE w:val="0"/>
              <w:autoSpaceDN w:val="0"/>
              <w:adjustRightInd w:val="0"/>
              <w:spacing w:line="320" w:lineRule="exact"/>
              <w:rPr>
                <w:rFonts w:hint="default" w:eastAsia="仿宋"/>
                <w:color w:val="auto"/>
                <w:highlight w:val="none"/>
                <w:lang w:val="en-US" w:eastAsia="zh-CN"/>
              </w:rPr>
            </w:pPr>
            <w:r>
              <w:rPr>
                <w:rFonts w:hint="eastAsia"/>
                <w:color w:val="auto"/>
                <w:highlight w:val="none"/>
                <w:lang w:val="en-US" w:eastAsia="zh-CN"/>
              </w:rPr>
              <w:t>响应磋商文件实质性要求</w:t>
            </w:r>
          </w:p>
        </w:tc>
      </w:tr>
      <w:bookmarkEnd w:id="3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51" w:type="pct"/>
            <w:gridSpan w:val="3"/>
            <w:noWrap w:val="0"/>
            <w:vAlign w:val="center"/>
          </w:tcPr>
          <w:p>
            <w:pPr>
              <w:jc w:val="center"/>
              <w:rPr>
                <w:rFonts w:hint="eastAsia" w:ascii="宋体" w:hAnsi="宋体" w:cs="宋体"/>
                <w:b/>
                <w:bCs/>
                <w:color w:val="auto"/>
                <w:szCs w:val="21"/>
              </w:rPr>
            </w:pPr>
            <w:r>
              <w:rPr>
                <w:rFonts w:hint="eastAsia" w:ascii="宋体" w:hAnsi="宋体" w:cs="宋体"/>
                <w:b/>
                <w:bCs/>
                <w:color w:val="auto"/>
                <w:szCs w:val="21"/>
              </w:rPr>
              <w:t>条款号</w:t>
            </w:r>
          </w:p>
        </w:tc>
        <w:tc>
          <w:tcPr>
            <w:tcW w:w="1096" w:type="pct"/>
            <w:noWrap w:val="0"/>
            <w:vAlign w:val="center"/>
          </w:tcPr>
          <w:p>
            <w:pPr>
              <w:jc w:val="center"/>
              <w:rPr>
                <w:rFonts w:hint="eastAsia" w:ascii="宋体" w:hAnsi="宋体" w:cs="宋体"/>
                <w:b/>
                <w:bCs/>
                <w:color w:val="auto"/>
                <w:szCs w:val="21"/>
              </w:rPr>
            </w:pPr>
            <w:r>
              <w:rPr>
                <w:rFonts w:hint="eastAsia" w:ascii="宋体" w:hAnsi="宋体" w:cs="宋体"/>
                <w:b/>
                <w:bCs/>
                <w:color w:val="auto"/>
                <w:szCs w:val="21"/>
              </w:rPr>
              <w:t>条款内容</w:t>
            </w:r>
          </w:p>
        </w:tc>
        <w:tc>
          <w:tcPr>
            <w:tcW w:w="2852" w:type="pct"/>
            <w:noWrap w:val="0"/>
            <w:vAlign w:val="center"/>
          </w:tcPr>
          <w:p>
            <w:pPr>
              <w:jc w:val="center"/>
              <w:rPr>
                <w:rFonts w:hint="eastAsia" w:ascii="宋体" w:hAnsi="宋体" w:cs="宋体"/>
                <w:b/>
                <w:bCs/>
                <w:color w:val="auto"/>
                <w:szCs w:val="21"/>
              </w:rPr>
            </w:pPr>
            <w:r>
              <w:rPr>
                <w:rFonts w:hint="eastAsia" w:ascii="宋体" w:hAnsi="宋体" w:cs="宋体"/>
                <w:b/>
                <w:bCs/>
                <w:color w:val="auto"/>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51" w:type="pct"/>
            <w:gridSpan w:val="3"/>
            <w:noWrap w:val="0"/>
            <w:vAlign w:val="center"/>
          </w:tcPr>
          <w:p>
            <w:pPr>
              <w:pStyle w:val="36"/>
              <w:spacing w:line="240" w:lineRule="atLeast"/>
              <w:jc w:val="center"/>
              <w:rPr>
                <w:rFonts w:hint="eastAsia" w:hAnsi="宋体" w:cs="宋体"/>
                <w:color w:val="auto"/>
                <w:sz w:val="21"/>
                <w:szCs w:val="21"/>
                <w:highlight w:val="none"/>
              </w:rPr>
            </w:pPr>
            <w:r>
              <w:rPr>
                <w:rFonts w:hint="eastAsia" w:hAnsi="宋体" w:cs="宋体"/>
                <w:color w:val="auto"/>
                <w:sz w:val="21"/>
                <w:szCs w:val="21"/>
                <w:highlight w:val="none"/>
              </w:rPr>
              <w:t>2.2.1</w:t>
            </w:r>
          </w:p>
        </w:tc>
        <w:tc>
          <w:tcPr>
            <w:tcW w:w="1096" w:type="pct"/>
            <w:noWrap w:val="0"/>
            <w:vAlign w:val="center"/>
          </w:tcPr>
          <w:p>
            <w:pPr>
              <w:pStyle w:val="36"/>
              <w:spacing w:line="240" w:lineRule="atLeast"/>
              <w:jc w:val="center"/>
              <w:rPr>
                <w:rFonts w:hint="eastAsia" w:hAnsi="宋体" w:eastAsia="仿宋" w:cs="宋体"/>
                <w:color w:val="auto"/>
                <w:kern w:val="0"/>
                <w:sz w:val="24"/>
                <w:szCs w:val="21"/>
                <w:highlight w:val="none"/>
                <w:lang w:val="en-US" w:eastAsia="zh-CN" w:bidi="zh-CN"/>
              </w:rPr>
            </w:pPr>
            <w:r>
              <w:rPr>
                <w:rFonts w:hint="eastAsia" w:hAnsi="宋体" w:eastAsia="仿宋" w:cs="宋体"/>
                <w:color w:val="auto"/>
                <w:kern w:val="0"/>
                <w:sz w:val="24"/>
                <w:szCs w:val="21"/>
                <w:highlight w:val="none"/>
                <w:lang w:val="en-US" w:eastAsia="zh-CN" w:bidi="zh-CN"/>
              </w:rPr>
              <w:t>分值构成</w:t>
            </w:r>
          </w:p>
          <w:p>
            <w:pPr>
              <w:pStyle w:val="36"/>
              <w:spacing w:line="240" w:lineRule="atLeast"/>
              <w:jc w:val="center"/>
              <w:rPr>
                <w:rFonts w:hint="eastAsia" w:hAnsi="宋体" w:cs="宋体"/>
                <w:color w:val="auto"/>
                <w:sz w:val="21"/>
                <w:szCs w:val="21"/>
                <w:highlight w:val="none"/>
              </w:rPr>
            </w:pPr>
            <w:r>
              <w:rPr>
                <w:rFonts w:hint="eastAsia" w:hAnsi="宋体" w:eastAsia="仿宋" w:cs="宋体"/>
                <w:color w:val="auto"/>
                <w:kern w:val="0"/>
                <w:sz w:val="24"/>
                <w:szCs w:val="21"/>
                <w:highlight w:val="none"/>
                <w:lang w:val="en-US" w:eastAsia="zh-CN" w:bidi="zh-CN"/>
              </w:rPr>
              <w:t>（总分100分）</w:t>
            </w:r>
          </w:p>
        </w:tc>
        <w:tc>
          <w:tcPr>
            <w:tcW w:w="2852" w:type="pct"/>
            <w:noWrap w:val="0"/>
            <w:vAlign w:val="center"/>
          </w:tcPr>
          <w:p>
            <w:pPr>
              <w:rPr>
                <w:rFonts w:hint="eastAsia" w:ascii="宋体" w:hAnsi="宋体" w:cs="宋体"/>
                <w:color w:val="auto"/>
                <w:szCs w:val="21"/>
                <w:highlight w:val="none"/>
              </w:rPr>
            </w:pPr>
            <w:r>
              <w:rPr>
                <w:rFonts w:hint="eastAsia" w:cs="宋体"/>
                <w:color w:val="auto"/>
                <w:szCs w:val="21"/>
                <w:highlight w:val="none"/>
                <w:lang w:val="en-US" w:eastAsia="zh-CN"/>
              </w:rPr>
              <w:t>磋商报价</w:t>
            </w:r>
            <w:r>
              <w:rPr>
                <w:rFonts w:hint="eastAsia" w:ascii="宋体" w:hAnsi="宋体" w:cs="宋体"/>
                <w:color w:val="auto"/>
                <w:szCs w:val="21"/>
                <w:highlight w:val="none"/>
              </w:rPr>
              <w:t>：</w:t>
            </w:r>
            <w:r>
              <w:rPr>
                <w:rFonts w:hint="eastAsia" w:cs="宋体"/>
                <w:color w:val="auto"/>
                <w:szCs w:val="21"/>
                <w:highlight w:val="none"/>
                <w:lang w:val="en-US" w:eastAsia="zh-CN"/>
              </w:rPr>
              <w:t>10</w:t>
            </w:r>
            <w:r>
              <w:rPr>
                <w:rFonts w:hint="eastAsia" w:ascii="宋体" w:hAnsi="宋体" w:cs="宋体"/>
                <w:color w:val="auto"/>
                <w:szCs w:val="21"/>
                <w:highlight w:val="none"/>
              </w:rPr>
              <w:t>分</w:t>
            </w:r>
          </w:p>
          <w:p>
            <w:pPr>
              <w:rPr>
                <w:rFonts w:hint="eastAsia" w:ascii="宋体" w:hAnsi="宋体" w:cs="宋体"/>
                <w:color w:val="auto"/>
                <w:szCs w:val="21"/>
                <w:highlight w:val="none"/>
              </w:rPr>
            </w:pPr>
            <w:r>
              <w:rPr>
                <w:rFonts w:hint="eastAsia" w:cs="宋体"/>
                <w:color w:val="auto"/>
                <w:szCs w:val="21"/>
                <w:highlight w:val="none"/>
                <w:lang w:val="en-US" w:eastAsia="zh-CN"/>
              </w:rPr>
              <w:t>技术标</w:t>
            </w:r>
            <w:r>
              <w:rPr>
                <w:rFonts w:hint="eastAsia" w:ascii="宋体" w:hAnsi="宋体" w:cs="宋体"/>
                <w:color w:val="auto"/>
                <w:szCs w:val="21"/>
                <w:highlight w:val="none"/>
              </w:rPr>
              <w:t>：</w:t>
            </w:r>
            <w:r>
              <w:rPr>
                <w:rFonts w:hint="eastAsia" w:cs="宋体"/>
                <w:color w:val="auto"/>
                <w:szCs w:val="21"/>
                <w:highlight w:val="none"/>
                <w:lang w:val="en-US" w:eastAsia="zh-CN"/>
              </w:rPr>
              <w:t>60</w:t>
            </w:r>
            <w:r>
              <w:rPr>
                <w:rFonts w:hint="eastAsia" w:ascii="宋体" w:hAnsi="宋体" w:cs="宋体"/>
                <w:color w:val="auto"/>
                <w:szCs w:val="21"/>
                <w:highlight w:val="none"/>
              </w:rPr>
              <w:t>分</w:t>
            </w:r>
          </w:p>
          <w:p>
            <w:pPr>
              <w:rPr>
                <w:rFonts w:hint="eastAsia" w:ascii="宋体" w:hAnsi="宋体" w:cs="宋体"/>
                <w:color w:val="auto"/>
                <w:szCs w:val="21"/>
                <w:highlight w:val="none"/>
              </w:rPr>
            </w:pPr>
            <w:r>
              <w:rPr>
                <w:rFonts w:hint="eastAsia" w:cs="宋体"/>
                <w:color w:val="auto"/>
                <w:szCs w:val="21"/>
                <w:highlight w:val="none"/>
                <w:lang w:val="en-US" w:eastAsia="zh-CN"/>
              </w:rPr>
              <w:t>综合标</w:t>
            </w:r>
            <w:r>
              <w:rPr>
                <w:rFonts w:hint="eastAsia" w:ascii="宋体" w:hAnsi="宋体" w:cs="宋体"/>
                <w:color w:val="auto"/>
                <w:szCs w:val="21"/>
                <w:highlight w:val="none"/>
              </w:rPr>
              <w:t>：</w:t>
            </w:r>
            <w:r>
              <w:rPr>
                <w:rFonts w:hint="eastAsia" w:cs="宋体"/>
                <w:color w:val="auto"/>
                <w:szCs w:val="21"/>
                <w:highlight w:val="none"/>
                <w:lang w:val="en-US" w:eastAsia="zh-CN"/>
              </w:rPr>
              <w:t>30</w:t>
            </w:r>
            <w:r>
              <w:rPr>
                <w:rFonts w:hint="eastAsia" w:ascii="宋体" w:hAnsi="宋体" w:cs="宋体"/>
                <w:color w:val="auto"/>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51" w:type="pct"/>
            <w:gridSpan w:val="3"/>
            <w:noWrap w:val="0"/>
            <w:vAlign w:val="center"/>
          </w:tcPr>
          <w:p>
            <w:pPr>
              <w:pStyle w:val="36"/>
              <w:spacing w:line="240" w:lineRule="atLeast"/>
              <w:jc w:val="center"/>
              <w:rPr>
                <w:rFonts w:hint="eastAsia" w:hAnsi="宋体" w:eastAsia="宋体" w:cs="宋体"/>
                <w:color w:val="auto"/>
                <w:sz w:val="21"/>
                <w:szCs w:val="21"/>
                <w:lang w:eastAsia="zh-CN"/>
              </w:rPr>
            </w:pPr>
            <w:r>
              <w:rPr>
                <w:rFonts w:hint="eastAsia" w:hAnsi="宋体" w:cs="宋体"/>
                <w:color w:val="auto"/>
                <w:sz w:val="21"/>
                <w:szCs w:val="21"/>
              </w:rPr>
              <w:t>2.2.2</w:t>
            </w:r>
          </w:p>
        </w:tc>
        <w:tc>
          <w:tcPr>
            <w:tcW w:w="1096" w:type="pct"/>
            <w:noWrap w:val="0"/>
            <w:vAlign w:val="center"/>
          </w:tcPr>
          <w:p>
            <w:pPr>
              <w:pStyle w:val="36"/>
              <w:spacing w:line="240" w:lineRule="atLeast"/>
              <w:jc w:val="center"/>
              <w:rPr>
                <w:rFonts w:hint="default" w:ascii="宋体" w:hAnsi="宋体" w:eastAsia="仿宋" w:cs="宋体"/>
                <w:color w:val="auto"/>
                <w:kern w:val="0"/>
                <w:sz w:val="24"/>
                <w:szCs w:val="21"/>
                <w:highlight w:val="none"/>
                <w:lang w:val="en-US" w:eastAsia="zh-CN" w:bidi="zh-CN"/>
              </w:rPr>
            </w:pPr>
            <w:r>
              <w:rPr>
                <w:rFonts w:hint="eastAsia" w:hAnsi="宋体" w:eastAsia="仿宋" w:cs="宋体"/>
                <w:color w:val="auto"/>
                <w:kern w:val="0"/>
                <w:sz w:val="24"/>
                <w:szCs w:val="21"/>
                <w:highlight w:val="none"/>
                <w:lang w:val="en-US" w:eastAsia="zh-CN" w:bidi="zh-CN"/>
              </w:rPr>
              <w:t>磋商基准价</w:t>
            </w:r>
          </w:p>
        </w:tc>
        <w:tc>
          <w:tcPr>
            <w:tcW w:w="2852" w:type="pct"/>
            <w:noWrap w:val="0"/>
            <w:vAlign w:val="center"/>
          </w:tcPr>
          <w:p>
            <w:pPr>
              <w:autoSpaceDE w:val="0"/>
              <w:autoSpaceDN w:val="0"/>
              <w:adjustRightInd w:val="0"/>
              <w:spacing w:line="320" w:lineRule="exact"/>
              <w:rPr>
                <w:rFonts w:hint="eastAsia" w:ascii="宋体" w:hAnsi="宋体" w:eastAsia="仿宋" w:cs="宋体"/>
                <w:color w:val="auto"/>
                <w:kern w:val="0"/>
                <w:sz w:val="24"/>
                <w:szCs w:val="21"/>
                <w:highlight w:val="none"/>
                <w:lang w:val="zh-CN" w:eastAsia="zh-CN" w:bidi="zh-CN"/>
              </w:rPr>
            </w:pPr>
            <w:r>
              <w:rPr>
                <w:rFonts w:hint="eastAsia" w:ascii="宋体" w:hAnsi="宋体" w:eastAsia="仿宋" w:cs="宋体"/>
                <w:color w:val="auto"/>
                <w:kern w:val="0"/>
                <w:sz w:val="24"/>
                <w:szCs w:val="21"/>
                <w:highlight w:val="none"/>
                <w:lang w:val="en-US" w:eastAsia="zh-CN" w:bidi="zh-CN"/>
              </w:rPr>
              <w:t>采用低价优先法计算，即满足竞争性磋商文件要求且最终磋商报价最低的供应商的价格为磋商基准价</w:t>
            </w:r>
            <w:r>
              <w:rPr>
                <w:rFonts w:hint="eastAsia" w:cs="宋体"/>
                <w:color w:val="auto"/>
                <w:kern w:val="0"/>
                <w:sz w:val="24"/>
                <w:szCs w:val="21"/>
                <w:highlight w:val="none"/>
                <w:lang w:val="en-US"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51" w:type="pct"/>
            <w:gridSpan w:val="3"/>
            <w:noWrap w:val="0"/>
            <w:vAlign w:val="center"/>
          </w:tcPr>
          <w:p>
            <w:pPr>
              <w:pStyle w:val="36"/>
              <w:spacing w:line="240" w:lineRule="atLeast"/>
              <w:jc w:val="center"/>
              <w:rPr>
                <w:rFonts w:hint="eastAsia" w:hAnsi="宋体" w:cs="宋体"/>
                <w:color w:val="auto"/>
                <w:sz w:val="21"/>
                <w:szCs w:val="21"/>
              </w:rPr>
            </w:pPr>
            <w:r>
              <w:rPr>
                <w:rFonts w:hint="eastAsia" w:hAnsi="宋体" w:cs="宋体"/>
                <w:color w:val="auto"/>
                <w:sz w:val="21"/>
                <w:szCs w:val="21"/>
              </w:rPr>
              <w:t>2.2.3</w:t>
            </w:r>
          </w:p>
        </w:tc>
        <w:tc>
          <w:tcPr>
            <w:tcW w:w="1096" w:type="pct"/>
            <w:noWrap w:val="0"/>
            <w:vAlign w:val="center"/>
          </w:tcPr>
          <w:p>
            <w:pPr>
              <w:pStyle w:val="36"/>
              <w:spacing w:line="240" w:lineRule="atLeast"/>
              <w:jc w:val="center"/>
              <w:rPr>
                <w:rFonts w:hint="default" w:ascii="宋体" w:hAnsi="宋体" w:eastAsia="仿宋" w:cs="宋体"/>
                <w:strike w:val="0"/>
                <w:dstrike w:val="0"/>
                <w:color w:val="auto"/>
                <w:kern w:val="0"/>
                <w:sz w:val="24"/>
                <w:szCs w:val="21"/>
                <w:highlight w:val="none"/>
                <w:lang w:val="en-US" w:eastAsia="zh-CN" w:bidi="zh-CN"/>
              </w:rPr>
            </w:pPr>
            <w:r>
              <w:rPr>
                <w:rFonts w:hint="eastAsia" w:hAnsi="宋体" w:eastAsia="仿宋" w:cs="宋体"/>
                <w:strike w:val="0"/>
                <w:dstrike w:val="0"/>
                <w:color w:val="auto"/>
                <w:kern w:val="0"/>
                <w:sz w:val="24"/>
                <w:szCs w:val="21"/>
                <w:highlight w:val="none"/>
                <w:lang w:val="en-US" w:eastAsia="zh-CN" w:bidi="zh-CN"/>
              </w:rPr>
              <w:t>磋商报价（10分）</w:t>
            </w:r>
          </w:p>
        </w:tc>
        <w:tc>
          <w:tcPr>
            <w:tcW w:w="2852" w:type="pct"/>
            <w:noWrap w:val="0"/>
            <w:vAlign w:val="center"/>
          </w:tcPr>
          <w:p>
            <w:pPr>
              <w:autoSpaceDE w:val="0"/>
              <w:autoSpaceDN w:val="0"/>
              <w:adjustRightInd w:val="0"/>
              <w:spacing w:line="320" w:lineRule="exact"/>
              <w:rPr>
                <w:rFonts w:hint="eastAsia" w:ascii="宋体" w:hAnsi="宋体" w:eastAsia="仿宋" w:cs="宋体"/>
                <w:strike w:val="0"/>
                <w:dstrike w:val="0"/>
                <w:color w:val="auto"/>
                <w:kern w:val="0"/>
                <w:sz w:val="24"/>
                <w:szCs w:val="21"/>
                <w:highlight w:val="none"/>
                <w:lang w:val="zh-CN" w:eastAsia="zh-CN" w:bidi="zh-CN"/>
              </w:rPr>
            </w:pPr>
            <w:r>
              <w:rPr>
                <w:rFonts w:hint="eastAsia" w:ascii="宋体" w:hAnsi="宋体" w:eastAsia="仿宋" w:cs="宋体"/>
                <w:strike w:val="0"/>
                <w:dstrike w:val="0"/>
                <w:color w:val="auto"/>
                <w:kern w:val="0"/>
                <w:sz w:val="24"/>
                <w:szCs w:val="21"/>
                <w:highlight w:val="none"/>
                <w:lang w:val="en-US" w:eastAsia="zh-CN" w:bidi="zh-CN"/>
              </w:rPr>
              <w:t>满足竞争性磋商文件要求且磋商报价最低的供应商的价格为磋商基准价，其价格为满分</w:t>
            </w:r>
            <w:r>
              <w:rPr>
                <w:rFonts w:hint="eastAsia" w:cs="宋体"/>
                <w:strike w:val="0"/>
                <w:dstrike w:val="0"/>
                <w:color w:val="auto"/>
                <w:kern w:val="0"/>
                <w:sz w:val="24"/>
                <w:szCs w:val="21"/>
                <w:highlight w:val="none"/>
                <w:lang w:val="en-US" w:eastAsia="zh-CN" w:bidi="zh-CN"/>
              </w:rPr>
              <w:t>10</w:t>
            </w:r>
            <w:r>
              <w:rPr>
                <w:rFonts w:hint="eastAsia" w:ascii="宋体" w:hAnsi="宋体" w:eastAsia="仿宋" w:cs="宋体"/>
                <w:strike w:val="0"/>
                <w:dstrike w:val="0"/>
                <w:color w:val="auto"/>
                <w:kern w:val="0"/>
                <w:sz w:val="24"/>
                <w:szCs w:val="21"/>
                <w:highlight w:val="none"/>
                <w:lang w:val="en-US" w:eastAsia="zh-CN" w:bidi="zh-CN"/>
              </w:rPr>
              <w:t xml:space="preserve">分。 </w:t>
            </w:r>
          </w:p>
          <w:p>
            <w:pPr>
              <w:autoSpaceDE w:val="0"/>
              <w:autoSpaceDN w:val="0"/>
              <w:adjustRightInd w:val="0"/>
              <w:spacing w:line="320" w:lineRule="exact"/>
              <w:rPr>
                <w:rFonts w:hint="eastAsia" w:ascii="宋体" w:hAnsi="宋体" w:eastAsia="仿宋" w:cs="宋体"/>
                <w:strike w:val="0"/>
                <w:dstrike w:val="0"/>
                <w:color w:val="auto"/>
                <w:kern w:val="0"/>
                <w:sz w:val="24"/>
                <w:szCs w:val="21"/>
                <w:highlight w:val="none"/>
                <w:lang w:val="en-US" w:eastAsia="zh-CN" w:bidi="zh-CN"/>
              </w:rPr>
            </w:pPr>
            <w:r>
              <w:rPr>
                <w:rFonts w:hint="eastAsia" w:ascii="宋体" w:hAnsi="宋体" w:eastAsia="仿宋" w:cs="宋体"/>
                <w:strike w:val="0"/>
                <w:dstrike w:val="0"/>
                <w:color w:val="auto"/>
                <w:kern w:val="0"/>
                <w:sz w:val="24"/>
                <w:szCs w:val="21"/>
                <w:highlight w:val="none"/>
                <w:lang w:val="en-US" w:eastAsia="zh-CN" w:bidi="zh-CN"/>
              </w:rPr>
              <w:t>磋商报价得分=（磋商基准价/磋商报价）×</w:t>
            </w:r>
            <w:r>
              <w:rPr>
                <w:rFonts w:hint="eastAsia" w:cs="宋体"/>
                <w:strike w:val="0"/>
                <w:dstrike w:val="0"/>
                <w:color w:val="auto"/>
                <w:kern w:val="0"/>
                <w:sz w:val="24"/>
                <w:szCs w:val="21"/>
                <w:highlight w:val="none"/>
                <w:lang w:val="en-US" w:eastAsia="zh-CN" w:bidi="zh-CN"/>
              </w:rPr>
              <w:t>1</w:t>
            </w:r>
            <w:r>
              <w:rPr>
                <w:rFonts w:hint="eastAsia" w:ascii="宋体" w:hAnsi="宋体" w:eastAsia="仿宋" w:cs="宋体"/>
                <w:strike w:val="0"/>
                <w:dstrike w:val="0"/>
                <w:color w:val="auto"/>
                <w:kern w:val="0"/>
                <w:sz w:val="24"/>
                <w:szCs w:val="21"/>
                <w:highlight w:val="none"/>
                <w:lang w:val="en-US" w:eastAsia="zh-CN" w:bidi="zh-CN"/>
              </w:rPr>
              <w:t xml:space="preserve">0 </w:t>
            </w:r>
          </w:p>
          <w:p>
            <w:pPr>
              <w:autoSpaceDE w:val="0"/>
              <w:autoSpaceDN w:val="0"/>
              <w:adjustRightInd w:val="0"/>
              <w:spacing w:line="320" w:lineRule="exact"/>
              <w:rPr>
                <w:rFonts w:hint="eastAsia" w:ascii="宋体" w:hAnsi="宋体" w:eastAsia="仿宋" w:cs="宋体"/>
                <w:strike w:val="0"/>
                <w:dstrike w:val="0"/>
                <w:color w:val="auto"/>
                <w:kern w:val="0"/>
                <w:sz w:val="24"/>
                <w:szCs w:val="21"/>
                <w:highlight w:val="none"/>
                <w:lang w:val="en-US" w:eastAsia="zh-CN" w:bidi="zh-CN"/>
              </w:rPr>
            </w:pPr>
            <w:r>
              <w:rPr>
                <w:rFonts w:hint="eastAsia" w:ascii="宋体" w:hAnsi="宋体" w:eastAsia="仿宋" w:cs="宋体"/>
                <w:strike w:val="0"/>
                <w:dstrike w:val="0"/>
                <w:color w:val="auto"/>
                <w:kern w:val="0"/>
                <w:sz w:val="24"/>
                <w:szCs w:val="21"/>
                <w:highlight w:val="none"/>
                <w:lang w:val="en-US" w:eastAsia="zh-CN" w:bidi="zh-CN"/>
              </w:rPr>
              <w:t>价格优惠说明：</w:t>
            </w:r>
          </w:p>
          <w:p>
            <w:pPr>
              <w:autoSpaceDE w:val="0"/>
              <w:autoSpaceDN w:val="0"/>
              <w:adjustRightInd w:val="0"/>
              <w:spacing w:line="320" w:lineRule="exact"/>
              <w:rPr>
                <w:rFonts w:hint="eastAsia" w:ascii="宋体" w:hAnsi="宋体" w:eastAsia="仿宋" w:cs="宋体"/>
                <w:strike w:val="0"/>
                <w:dstrike w:val="0"/>
                <w:color w:val="auto"/>
                <w:kern w:val="0"/>
                <w:sz w:val="24"/>
                <w:szCs w:val="21"/>
                <w:highlight w:val="none"/>
                <w:lang w:val="en-US" w:eastAsia="zh-CN" w:bidi="zh-CN"/>
              </w:rPr>
            </w:pPr>
            <w:r>
              <w:rPr>
                <w:rFonts w:hint="eastAsia" w:ascii="宋体" w:hAnsi="宋体" w:eastAsia="仿宋" w:cs="宋体"/>
                <w:strike w:val="0"/>
                <w:dstrike w:val="0"/>
                <w:color w:val="auto"/>
                <w:kern w:val="0"/>
                <w:sz w:val="24"/>
                <w:szCs w:val="21"/>
                <w:highlight w:val="none"/>
                <w:lang w:val="en-US" w:eastAsia="zh-CN" w:bidi="zh-CN"/>
              </w:rPr>
              <w:t>1、为贯彻落实</w:t>
            </w:r>
            <w:r>
              <w:rPr>
                <w:rFonts w:hint="eastAsia" w:cs="宋体"/>
                <w:strike w:val="0"/>
                <w:dstrike w:val="0"/>
                <w:color w:val="auto"/>
                <w:kern w:val="0"/>
                <w:sz w:val="24"/>
                <w:szCs w:val="21"/>
                <w:highlight w:val="none"/>
                <w:lang w:val="en-US" w:eastAsia="zh-CN" w:bidi="zh-CN"/>
              </w:rPr>
              <w:t>《关于进一步加大政府采购支持中小企业力度的通知》（财库【2022】19号）、《政府采购促进中小企业发展管理办法》财库[2020]46号</w:t>
            </w:r>
            <w:r>
              <w:rPr>
                <w:rFonts w:hint="eastAsia" w:ascii="宋体" w:hAnsi="宋体" w:eastAsia="仿宋" w:cs="宋体"/>
                <w:strike w:val="0"/>
                <w:dstrike w:val="0"/>
                <w:color w:val="auto"/>
                <w:kern w:val="0"/>
                <w:sz w:val="24"/>
                <w:szCs w:val="21"/>
                <w:highlight w:val="none"/>
                <w:lang w:val="en-US" w:eastAsia="zh-CN" w:bidi="zh-CN"/>
              </w:rPr>
              <w:t>，本项目鼓励中小企业参与，中小企业须提交《中小企业声明函》原件及相应的中小企业证明材料。</w:t>
            </w:r>
          </w:p>
          <w:p>
            <w:pPr>
              <w:autoSpaceDE w:val="0"/>
              <w:autoSpaceDN w:val="0"/>
              <w:adjustRightInd w:val="0"/>
              <w:spacing w:line="320" w:lineRule="exact"/>
              <w:rPr>
                <w:rFonts w:hint="default" w:ascii="宋体" w:hAnsi="宋体" w:eastAsia="仿宋" w:cs="宋体"/>
                <w:strike w:val="0"/>
                <w:dstrike w:val="0"/>
                <w:color w:val="auto"/>
                <w:kern w:val="0"/>
                <w:sz w:val="24"/>
                <w:szCs w:val="21"/>
                <w:highlight w:val="none"/>
                <w:lang w:val="en-US" w:eastAsia="zh-CN" w:bidi="zh-CN"/>
              </w:rPr>
            </w:pPr>
            <w:r>
              <w:rPr>
                <w:rFonts w:hint="eastAsia" w:ascii="宋体" w:hAnsi="宋体" w:eastAsia="仿宋" w:cs="宋体"/>
                <w:strike w:val="0"/>
                <w:dstrike w:val="0"/>
                <w:color w:val="auto"/>
                <w:kern w:val="0"/>
                <w:sz w:val="24"/>
                <w:szCs w:val="21"/>
                <w:highlight w:val="none"/>
                <w:lang w:val="en-US" w:eastAsia="zh-CN" w:bidi="zh-CN"/>
              </w:rPr>
              <w:t>2、</w:t>
            </w:r>
            <w:r>
              <w:rPr>
                <w:rFonts w:hint="default" w:ascii="宋体" w:hAnsi="宋体" w:eastAsia="仿宋" w:cs="宋体"/>
                <w:strike w:val="0"/>
                <w:dstrike w:val="0"/>
                <w:color w:val="auto"/>
                <w:kern w:val="0"/>
                <w:sz w:val="24"/>
                <w:szCs w:val="21"/>
                <w:highlight w:val="none"/>
                <w:lang w:val="en-US" w:eastAsia="zh-CN" w:bidi="zh-CN"/>
              </w:rPr>
              <w:t>中小企业划型标准以工信部联企业〔2011）300 号《工业和信息化部国家统计局国家发展和改革委财政部关于印发中小企业划型标准规定的通知》及</w:t>
            </w:r>
            <w:r>
              <w:rPr>
                <w:rFonts w:hint="eastAsia" w:cs="宋体"/>
                <w:strike w:val="0"/>
                <w:dstrike w:val="0"/>
                <w:color w:val="auto"/>
                <w:kern w:val="0"/>
                <w:sz w:val="24"/>
                <w:szCs w:val="21"/>
                <w:highlight w:val="none"/>
                <w:lang w:val="en-US" w:eastAsia="zh-CN" w:bidi="zh-CN"/>
              </w:rPr>
              <w:t>《关于进一步加大政府采购支持中小企业力度的通知》（财库【2022】19号）</w:t>
            </w:r>
            <w:r>
              <w:rPr>
                <w:rFonts w:hint="default" w:ascii="宋体" w:hAnsi="宋体" w:eastAsia="仿宋" w:cs="宋体"/>
                <w:strike w:val="0"/>
                <w:dstrike w:val="0"/>
                <w:color w:val="auto"/>
                <w:kern w:val="0"/>
                <w:sz w:val="24"/>
                <w:szCs w:val="21"/>
                <w:highlight w:val="none"/>
                <w:lang w:val="en-US" w:eastAsia="zh-CN" w:bidi="zh-CN"/>
              </w:rPr>
              <w:t xml:space="preserve">为依据。 </w:t>
            </w:r>
          </w:p>
          <w:p>
            <w:pPr>
              <w:autoSpaceDE w:val="0"/>
              <w:autoSpaceDN w:val="0"/>
              <w:adjustRightInd w:val="0"/>
              <w:spacing w:line="320" w:lineRule="exact"/>
              <w:rPr>
                <w:rFonts w:hint="default" w:ascii="宋体" w:hAnsi="宋体" w:eastAsia="仿宋" w:cs="宋体"/>
                <w:strike w:val="0"/>
                <w:dstrike w:val="0"/>
                <w:color w:val="auto"/>
                <w:kern w:val="0"/>
                <w:sz w:val="24"/>
                <w:szCs w:val="21"/>
                <w:highlight w:val="none"/>
                <w:lang w:val="en-US" w:eastAsia="zh-CN" w:bidi="zh-CN"/>
              </w:rPr>
            </w:pPr>
            <w:r>
              <w:rPr>
                <w:rFonts w:hint="default" w:ascii="宋体" w:hAnsi="宋体" w:eastAsia="仿宋" w:cs="宋体"/>
                <w:strike w:val="0"/>
                <w:dstrike w:val="0"/>
                <w:color w:val="auto"/>
                <w:kern w:val="0"/>
                <w:sz w:val="24"/>
                <w:szCs w:val="21"/>
                <w:highlight w:val="none"/>
                <w:lang w:val="en-US" w:eastAsia="zh-CN" w:bidi="zh-CN"/>
              </w:rPr>
              <w:t>3、评审时给予小型和微型企业</w:t>
            </w:r>
            <w:r>
              <w:rPr>
                <w:rFonts w:hint="eastAsia" w:cs="宋体"/>
                <w:strike w:val="0"/>
                <w:dstrike w:val="0"/>
                <w:color w:val="auto"/>
                <w:kern w:val="0"/>
                <w:sz w:val="24"/>
                <w:szCs w:val="21"/>
                <w:highlight w:val="none"/>
                <w:lang w:val="en-US" w:eastAsia="zh-CN" w:bidi="zh-CN"/>
              </w:rPr>
              <w:t>20</w:t>
            </w:r>
            <w:r>
              <w:rPr>
                <w:rFonts w:hint="default" w:ascii="宋体" w:hAnsi="宋体" w:eastAsia="仿宋" w:cs="宋体"/>
                <w:strike w:val="0"/>
                <w:dstrike w:val="0"/>
                <w:color w:val="auto"/>
                <w:kern w:val="0"/>
                <w:sz w:val="24"/>
                <w:szCs w:val="21"/>
                <w:highlight w:val="none"/>
                <w:lang w:val="en-US" w:eastAsia="zh-CN" w:bidi="zh-CN"/>
              </w:rPr>
              <w:t>%的价格扣除，用扣除后的价格参与评审。即小微型企业优惠后报价=投标报价*（1-</w:t>
            </w:r>
            <w:r>
              <w:rPr>
                <w:rFonts w:hint="eastAsia" w:cs="宋体"/>
                <w:strike w:val="0"/>
                <w:dstrike w:val="0"/>
                <w:color w:val="auto"/>
                <w:kern w:val="0"/>
                <w:sz w:val="24"/>
                <w:szCs w:val="21"/>
                <w:highlight w:val="none"/>
                <w:lang w:val="en-US" w:eastAsia="zh-CN" w:bidi="zh-CN"/>
              </w:rPr>
              <w:t>20</w:t>
            </w:r>
            <w:r>
              <w:rPr>
                <w:rFonts w:hint="default" w:ascii="宋体" w:hAnsi="宋体" w:eastAsia="仿宋" w:cs="宋体"/>
                <w:strike w:val="0"/>
                <w:dstrike w:val="0"/>
                <w:color w:val="auto"/>
                <w:kern w:val="0"/>
                <w:sz w:val="24"/>
                <w:szCs w:val="21"/>
                <w:highlight w:val="none"/>
                <w:lang w:val="en-US" w:eastAsia="zh-CN" w:bidi="zh-CN"/>
              </w:rPr>
              <w:t xml:space="preserve">%）。 </w:t>
            </w:r>
          </w:p>
          <w:p>
            <w:pPr>
              <w:pStyle w:val="36"/>
              <w:spacing w:line="240" w:lineRule="atLeast"/>
              <w:jc w:val="both"/>
              <w:rPr>
                <w:rFonts w:hint="eastAsia" w:ascii="宋体" w:hAnsi="宋体" w:eastAsia="仿宋" w:cs="宋体"/>
                <w:strike w:val="0"/>
                <w:dstrike w:val="0"/>
                <w:color w:val="auto"/>
                <w:kern w:val="0"/>
                <w:sz w:val="24"/>
                <w:szCs w:val="21"/>
                <w:highlight w:val="none"/>
                <w:lang w:val="zh-CN" w:eastAsia="zh-CN" w:bidi="zh-CN"/>
              </w:rPr>
            </w:pPr>
            <w:r>
              <w:rPr>
                <w:rFonts w:hint="default" w:ascii="宋体" w:hAnsi="宋体" w:eastAsia="仿宋" w:cs="宋体"/>
                <w:strike w:val="0"/>
                <w:dstrike w:val="0"/>
                <w:color w:val="auto"/>
                <w:kern w:val="0"/>
                <w:sz w:val="24"/>
                <w:szCs w:val="21"/>
                <w:highlight w:val="none"/>
                <w:lang w:val="en-US" w:eastAsia="zh-CN" w:bidi="zh-CN"/>
              </w:rPr>
              <w:t>4、监狱企业及残疾人福利性单位视同小微企业。</w:t>
            </w:r>
          </w:p>
          <w:p>
            <w:pPr>
              <w:pStyle w:val="36"/>
              <w:spacing w:line="240" w:lineRule="atLeast"/>
              <w:jc w:val="both"/>
              <w:rPr>
                <w:rFonts w:hint="eastAsia" w:ascii="宋体" w:hAnsi="宋体" w:eastAsia="仿宋" w:cs="宋体"/>
                <w:strike w:val="0"/>
                <w:dstrike w:val="0"/>
                <w:color w:val="auto"/>
                <w:kern w:val="0"/>
                <w:sz w:val="24"/>
                <w:szCs w:val="21"/>
                <w:highlight w:val="none"/>
                <w:lang w:val="zh-CN" w:eastAsia="zh-CN" w:bidi="zh-CN"/>
              </w:rPr>
            </w:pPr>
            <w:r>
              <w:rPr>
                <w:rFonts w:hint="default" w:ascii="宋体" w:hAnsi="宋体" w:eastAsia="仿宋" w:cs="宋体"/>
                <w:b/>
                <w:bCs/>
                <w:strike w:val="0"/>
                <w:dstrike w:val="0"/>
                <w:color w:val="auto"/>
                <w:kern w:val="0"/>
                <w:sz w:val="24"/>
                <w:szCs w:val="21"/>
                <w:highlight w:val="none"/>
                <w:lang w:val="en-US" w:eastAsia="zh-CN" w:bidi="zh-CN"/>
              </w:rPr>
              <w:t xml:space="preserve">采购标的所属行业为: </w:t>
            </w:r>
            <w:r>
              <w:rPr>
                <w:rFonts w:hint="eastAsia" w:hAnsi="宋体" w:eastAsia="仿宋" w:cs="宋体"/>
                <w:b/>
                <w:bCs/>
                <w:strike w:val="0"/>
                <w:dstrike w:val="0"/>
                <w:color w:val="auto"/>
                <w:kern w:val="0"/>
                <w:sz w:val="24"/>
                <w:szCs w:val="21"/>
                <w:highlight w:val="none"/>
                <w:lang w:val="en-US" w:eastAsia="zh-CN" w:bidi="zh-CN"/>
              </w:rPr>
              <w:t>服务</w:t>
            </w:r>
            <w:r>
              <w:rPr>
                <w:rFonts w:hint="default" w:ascii="宋体" w:hAnsi="宋体" w:eastAsia="仿宋" w:cs="宋体"/>
                <w:b/>
                <w:bCs/>
                <w:strike w:val="0"/>
                <w:dstrike w:val="0"/>
                <w:color w:val="auto"/>
                <w:kern w:val="0"/>
                <w:sz w:val="24"/>
                <w:szCs w:val="21"/>
                <w:highlight w:val="none"/>
                <w:lang w:val="en-US" w:eastAsia="zh-CN" w:bidi="zh-CN"/>
              </w:rPr>
              <w:t>类</w:t>
            </w:r>
            <w:r>
              <w:rPr>
                <w:rFonts w:hint="eastAsia" w:hAnsi="宋体" w:eastAsia="仿宋" w:cs="宋体"/>
                <w:b/>
                <w:bCs/>
                <w:strike w:val="0"/>
                <w:dstrike w:val="0"/>
                <w:color w:val="auto"/>
                <w:kern w:val="0"/>
                <w:sz w:val="24"/>
                <w:szCs w:val="21"/>
                <w:highlight w:val="none"/>
                <w:lang w:val="en-US"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51" w:type="pct"/>
            <w:gridSpan w:val="3"/>
            <w:noWrap w:val="0"/>
            <w:vAlign w:val="center"/>
          </w:tcPr>
          <w:p>
            <w:pPr>
              <w:pStyle w:val="36"/>
              <w:spacing w:line="240" w:lineRule="atLeast"/>
              <w:jc w:val="center"/>
              <w:rPr>
                <w:rFonts w:hint="eastAsia" w:ascii="宋体" w:hAnsi="宋体" w:eastAsia="仿宋" w:cs="宋体"/>
                <w:b/>
                <w:bCs/>
                <w:color w:val="auto"/>
                <w:kern w:val="0"/>
                <w:sz w:val="24"/>
                <w:szCs w:val="21"/>
                <w:highlight w:val="none"/>
                <w:lang w:val="en-US" w:eastAsia="zh-CN" w:bidi="zh-CN"/>
              </w:rPr>
            </w:pPr>
            <w:r>
              <w:rPr>
                <w:rFonts w:hint="eastAsia" w:ascii="宋体" w:hAnsi="宋体" w:eastAsia="仿宋" w:cs="宋体"/>
                <w:b/>
                <w:bCs/>
                <w:color w:val="auto"/>
                <w:kern w:val="0"/>
                <w:sz w:val="24"/>
                <w:szCs w:val="21"/>
                <w:highlight w:val="none"/>
                <w:lang w:val="en-US" w:eastAsia="zh-CN" w:bidi="zh-CN"/>
              </w:rPr>
              <w:t>条款号</w:t>
            </w:r>
          </w:p>
        </w:tc>
        <w:tc>
          <w:tcPr>
            <w:tcW w:w="1096" w:type="pct"/>
            <w:noWrap w:val="0"/>
            <w:vAlign w:val="center"/>
          </w:tcPr>
          <w:p>
            <w:pPr>
              <w:pStyle w:val="36"/>
              <w:spacing w:line="240" w:lineRule="atLeast"/>
              <w:jc w:val="center"/>
              <w:rPr>
                <w:rFonts w:hint="eastAsia" w:ascii="宋体" w:hAnsi="宋体" w:eastAsia="仿宋" w:cs="宋体"/>
                <w:b/>
                <w:bCs/>
                <w:color w:val="auto"/>
                <w:kern w:val="0"/>
                <w:sz w:val="24"/>
                <w:szCs w:val="21"/>
                <w:highlight w:val="none"/>
                <w:lang w:val="zh-CN" w:eastAsia="zh-CN" w:bidi="zh-CN"/>
              </w:rPr>
            </w:pPr>
            <w:r>
              <w:rPr>
                <w:rFonts w:hint="eastAsia" w:ascii="宋体" w:hAnsi="宋体" w:eastAsia="仿宋" w:cs="宋体"/>
                <w:b/>
                <w:bCs/>
                <w:color w:val="auto"/>
                <w:kern w:val="0"/>
                <w:sz w:val="24"/>
                <w:szCs w:val="21"/>
                <w:highlight w:val="none"/>
                <w:lang w:val="zh-CN" w:eastAsia="zh-CN" w:bidi="zh-CN"/>
              </w:rPr>
              <w:t>技术部分评分因素</w:t>
            </w:r>
          </w:p>
        </w:tc>
        <w:tc>
          <w:tcPr>
            <w:tcW w:w="2852" w:type="pct"/>
            <w:noWrap w:val="0"/>
            <w:vAlign w:val="center"/>
          </w:tcPr>
          <w:p>
            <w:pPr>
              <w:pStyle w:val="36"/>
              <w:spacing w:line="240" w:lineRule="atLeast"/>
              <w:jc w:val="both"/>
              <w:rPr>
                <w:rFonts w:hint="eastAsia" w:ascii="宋体" w:hAnsi="宋体" w:eastAsia="仿宋" w:cs="宋体"/>
                <w:b/>
                <w:bCs/>
                <w:color w:val="auto"/>
                <w:kern w:val="0"/>
                <w:sz w:val="24"/>
                <w:szCs w:val="21"/>
                <w:highlight w:val="none"/>
                <w:lang w:val="zh-CN" w:eastAsia="zh-CN" w:bidi="zh-CN"/>
              </w:rPr>
            </w:pPr>
            <w:r>
              <w:rPr>
                <w:rFonts w:hint="eastAsia" w:ascii="宋体" w:hAnsi="宋体" w:eastAsia="仿宋" w:cs="宋体"/>
                <w:b/>
                <w:bCs/>
                <w:color w:val="auto"/>
                <w:kern w:val="0"/>
                <w:sz w:val="24"/>
                <w:szCs w:val="21"/>
                <w:highlight w:val="none"/>
                <w:lang w:val="zh-CN" w:eastAsia="zh-CN" w:bidi="zh-CN"/>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7" w:type="pct"/>
            <w:vMerge w:val="restart"/>
            <w:noWrap w:val="0"/>
            <w:vAlign w:val="center"/>
          </w:tcPr>
          <w:p>
            <w:pPr>
              <w:pStyle w:val="36"/>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2.2.4（1）</w:t>
            </w:r>
          </w:p>
        </w:tc>
        <w:tc>
          <w:tcPr>
            <w:tcW w:w="613" w:type="pct"/>
            <w:gridSpan w:val="2"/>
            <w:vMerge w:val="restart"/>
            <w:noWrap w:val="0"/>
            <w:vAlign w:val="center"/>
          </w:tcPr>
          <w:p>
            <w:pPr>
              <w:pStyle w:val="36"/>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hAnsi="宋体" w:eastAsia="仿宋" w:cs="宋体"/>
                <w:color w:val="auto"/>
                <w:kern w:val="0"/>
                <w:sz w:val="24"/>
                <w:szCs w:val="21"/>
                <w:highlight w:val="none"/>
                <w:lang w:val="en-US" w:eastAsia="zh-CN" w:bidi="zh-CN"/>
              </w:rPr>
              <w:t>技术标</w:t>
            </w:r>
            <w:r>
              <w:rPr>
                <w:rFonts w:hint="eastAsia" w:ascii="宋体" w:hAnsi="宋体" w:eastAsia="仿宋" w:cs="宋体"/>
                <w:color w:val="auto"/>
                <w:kern w:val="0"/>
                <w:sz w:val="24"/>
                <w:szCs w:val="21"/>
                <w:highlight w:val="none"/>
                <w:lang w:val="en-US" w:eastAsia="zh-CN" w:bidi="zh-CN"/>
              </w:rPr>
              <w:t>评分标准</w:t>
            </w:r>
          </w:p>
          <w:p>
            <w:pPr>
              <w:pStyle w:val="36"/>
              <w:spacing w:line="240" w:lineRule="atLeast"/>
              <w:jc w:val="center"/>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w:t>
            </w:r>
            <w:r>
              <w:rPr>
                <w:rFonts w:hint="eastAsia" w:hAnsi="宋体" w:eastAsia="仿宋" w:cs="宋体"/>
                <w:color w:val="auto"/>
                <w:kern w:val="0"/>
                <w:sz w:val="24"/>
                <w:szCs w:val="21"/>
                <w:highlight w:val="none"/>
                <w:lang w:val="en-US" w:eastAsia="zh-CN" w:bidi="zh-CN"/>
              </w:rPr>
              <w:t>60</w:t>
            </w:r>
            <w:r>
              <w:rPr>
                <w:rFonts w:hint="eastAsia" w:ascii="宋体" w:hAnsi="宋体" w:eastAsia="仿宋" w:cs="宋体"/>
                <w:color w:val="auto"/>
                <w:kern w:val="0"/>
                <w:sz w:val="24"/>
                <w:szCs w:val="21"/>
                <w:highlight w:val="none"/>
                <w:lang w:val="en-US" w:eastAsia="zh-CN" w:bidi="zh-CN"/>
              </w:rPr>
              <w:t>分）</w:t>
            </w:r>
          </w:p>
          <w:p>
            <w:pPr>
              <w:pStyle w:val="36"/>
              <w:spacing w:line="240" w:lineRule="atLeast"/>
              <w:jc w:val="center"/>
              <w:rPr>
                <w:rFonts w:hint="eastAsia" w:ascii="宋体" w:hAnsi="宋体" w:eastAsia="仿宋" w:cs="宋体"/>
                <w:color w:val="auto"/>
                <w:kern w:val="0"/>
                <w:sz w:val="24"/>
                <w:szCs w:val="21"/>
                <w:highlight w:val="none"/>
                <w:lang w:val="en-US" w:eastAsia="zh-CN" w:bidi="zh-CN"/>
              </w:rPr>
            </w:pPr>
          </w:p>
        </w:tc>
        <w:tc>
          <w:tcPr>
            <w:tcW w:w="1096" w:type="pct"/>
            <w:noWrap w:val="0"/>
            <w:vAlign w:val="center"/>
          </w:tcPr>
          <w:p>
            <w:pPr>
              <w:ind w:left="15" w:hanging="16" w:hangingChars="7"/>
              <w:jc w:val="center"/>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现状情况分析及工作建议</w:t>
            </w:r>
          </w:p>
          <w:p>
            <w:pPr>
              <w:ind w:left="0" w:leftChars="0" w:right="0" w:rightChars="0"/>
              <w:jc w:val="left"/>
              <w:rPr>
                <w:rFonts w:hint="eastAsia" w:ascii="宋体" w:hAnsi="宋体" w:eastAsia="仿宋" w:cs="宋体"/>
                <w:color w:val="auto"/>
                <w:kern w:val="0"/>
                <w:sz w:val="24"/>
                <w:szCs w:val="21"/>
                <w:highlight w:val="none"/>
                <w:lang w:val="zh-CN" w:eastAsia="zh-CN" w:bidi="zh-CN"/>
              </w:rPr>
            </w:pPr>
            <w:r>
              <w:rPr>
                <w:rFonts w:hint="eastAsia" w:ascii="仿宋" w:hAnsi="仿宋" w:eastAsia="仿宋" w:cs="仿宋"/>
                <w:color w:val="auto"/>
                <w:sz w:val="24"/>
                <w:szCs w:val="24"/>
              </w:rPr>
              <w:t>（0-</w:t>
            </w:r>
            <w:r>
              <w:rPr>
                <w:rFonts w:hint="eastAsia" w:ascii="仿宋" w:hAnsi="仿宋" w:cs="仿宋"/>
                <w:color w:val="auto"/>
                <w:sz w:val="24"/>
                <w:szCs w:val="24"/>
                <w:lang w:val="en-US" w:eastAsia="zh-CN"/>
              </w:rPr>
              <w:t>10</w:t>
            </w:r>
            <w:r>
              <w:rPr>
                <w:rFonts w:hint="eastAsia" w:ascii="仿宋" w:hAnsi="仿宋" w:eastAsia="仿宋" w:cs="仿宋"/>
                <w:color w:val="auto"/>
                <w:sz w:val="24"/>
                <w:szCs w:val="24"/>
              </w:rPr>
              <w:t>分）</w:t>
            </w:r>
          </w:p>
        </w:tc>
        <w:tc>
          <w:tcPr>
            <w:tcW w:w="2852" w:type="pct"/>
            <w:noWrap w:val="0"/>
            <w:vAlign w:val="center"/>
          </w:tcPr>
          <w:p>
            <w:pPr>
              <w:widowControl/>
              <w:jc w:val="left"/>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根据本项目的工作目的、背景、目标及内容的理解阐述情况进行评价；</w:t>
            </w:r>
          </w:p>
          <w:p>
            <w:pPr>
              <w:widowControl/>
              <w:jc w:val="left"/>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评分标准：对本项目的工作目的、背景、目标及内容理解</w:t>
            </w:r>
            <w:r>
              <w:rPr>
                <w:rFonts w:hint="eastAsia" w:ascii="仿宋" w:hAnsi="仿宋" w:eastAsia="仿宋" w:cs="仿宋"/>
                <w:b/>
                <w:bCs/>
                <w:color w:val="auto"/>
                <w:sz w:val="24"/>
                <w:szCs w:val="24"/>
              </w:rPr>
              <w:t>完整、逻辑清晰，全面、合理，科学、规范、可行性强，完全满足采购人项目需求，得</w:t>
            </w:r>
            <w:r>
              <w:rPr>
                <w:rFonts w:hint="eastAsia" w:ascii="仿宋" w:hAnsi="仿宋" w:cs="仿宋"/>
                <w:b/>
                <w:bCs/>
                <w:color w:val="auto"/>
                <w:sz w:val="24"/>
                <w:szCs w:val="24"/>
                <w:lang w:val="en-US" w:eastAsia="zh-CN"/>
              </w:rPr>
              <w:t>10</w:t>
            </w:r>
            <w:r>
              <w:rPr>
                <w:rFonts w:hint="eastAsia" w:ascii="仿宋" w:hAnsi="仿宋" w:eastAsia="仿宋" w:cs="仿宋"/>
                <w:b/>
                <w:bCs/>
                <w:color w:val="auto"/>
                <w:sz w:val="24"/>
                <w:szCs w:val="24"/>
              </w:rPr>
              <w:t xml:space="preserve">分； </w:t>
            </w:r>
          </w:p>
          <w:p>
            <w:pPr>
              <w:widowControl/>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理解基本完整、逻辑基本清晰，基本全面、合理，方案可行、较为规范，基本满足采购人项目需求，得</w:t>
            </w:r>
            <w:r>
              <w:rPr>
                <w:rFonts w:hint="eastAsia" w:ascii="仿宋" w:hAnsi="仿宋" w:cs="仿宋"/>
                <w:b/>
                <w:bCs/>
                <w:color w:val="auto"/>
                <w:sz w:val="24"/>
                <w:szCs w:val="24"/>
                <w:lang w:val="en-US" w:eastAsia="zh-CN"/>
              </w:rPr>
              <w:t>6</w:t>
            </w:r>
            <w:r>
              <w:rPr>
                <w:rFonts w:hint="eastAsia" w:ascii="仿宋" w:hAnsi="仿宋" w:eastAsia="仿宋" w:cs="仿宋"/>
                <w:b/>
                <w:bCs/>
                <w:color w:val="auto"/>
                <w:sz w:val="24"/>
                <w:szCs w:val="24"/>
              </w:rPr>
              <w:t>分；</w:t>
            </w:r>
          </w:p>
          <w:p>
            <w:pPr>
              <w:widowControl/>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理解基本完整、逻辑基本清晰，基本全面、合理，方案可行、较为规范，方案不存在严重缺项得</w:t>
            </w:r>
            <w:r>
              <w:rPr>
                <w:rFonts w:hint="eastAsia" w:ascii="仿宋" w:hAnsi="仿宋" w:cs="仿宋"/>
                <w:b/>
                <w:bCs/>
                <w:color w:val="auto"/>
                <w:sz w:val="24"/>
                <w:szCs w:val="24"/>
                <w:lang w:val="en-US" w:eastAsia="zh-CN"/>
              </w:rPr>
              <w:t>3</w:t>
            </w:r>
            <w:r>
              <w:rPr>
                <w:rFonts w:hint="eastAsia" w:ascii="仿宋" w:hAnsi="仿宋" w:eastAsia="仿宋" w:cs="仿宋"/>
                <w:b/>
                <w:bCs/>
                <w:color w:val="auto"/>
                <w:sz w:val="24"/>
                <w:szCs w:val="24"/>
              </w:rPr>
              <w:t>分；</w:t>
            </w:r>
          </w:p>
          <w:p>
            <w:pPr>
              <w:ind w:left="0" w:leftChars="0" w:right="0" w:rightChars="0"/>
              <w:jc w:val="left"/>
              <w:rPr>
                <w:rFonts w:hint="eastAsia"/>
                <w:color w:val="auto"/>
                <w:lang w:val="zh-CN" w:eastAsia="zh-CN"/>
              </w:rPr>
            </w:pPr>
            <w:r>
              <w:rPr>
                <w:rFonts w:hint="eastAsia" w:ascii="仿宋" w:hAnsi="仿宋" w:eastAsia="仿宋" w:cs="仿宋"/>
                <w:b/>
                <w:bCs/>
                <w:color w:val="auto"/>
                <w:sz w:val="24"/>
                <w:szCs w:val="24"/>
              </w:rPr>
              <w:t>方案存在严重缺项或不提供，得0分。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7" w:type="pct"/>
            <w:vMerge w:val="continue"/>
            <w:noWrap w:val="0"/>
            <w:vAlign w:val="center"/>
          </w:tcPr>
          <w:p>
            <w:pPr>
              <w:pStyle w:val="36"/>
              <w:spacing w:line="240" w:lineRule="atLeast"/>
              <w:jc w:val="center"/>
              <w:rPr>
                <w:rFonts w:hint="eastAsia" w:ascii="宋体" w:hAnsi="宋体" w:eastAsia="仿宋" w:cs="宋体"/>
                <w:color w:val="auto"/>
                <w:kern w:val="0"/>
                <w:sz w:val="24"/>
                <w:szCs w:val="21"/>
                <w:highlight w:val="none"/>
                <w:lang w:val="en-US" w:eastAsia="zh-CN" w:bidi="zh-CN"/>
              </w:rPr>
            </w:pPr>
          </w:p>
        </w:tc>
        <w:tc>
          <w:tcPr>
            <w:tcW w:w="613" w:type="pct"/>
            <w:gridSpan w:val="2"/>
            <w:vMerge w:val="continue"/>
            <w:noWrap w:val="0"/>
            <w:vAlign w:val="center"/>
          </w:tcPr>
          <w:p>
            <w:pPr>
              <w:pStyle w:val="36"/>
              <w:spacing w:line="240" w:lineRule="atLeast"/>
              <w:jc w:val="center"/>
              <w:rPr>
                <w:rFonts w:hint="eastAsia" w:ascii="宋体" w:hAnsi="宋体" w:eastAsia="仿宋" w:cs="宋体"/>
                <w:color w:val="auto"/>
                <w:kern w:val="0"/>
                <w:sz w:val="24"/>
                <w:szCs w:val="21"/>
                <w:highlight w:val="none"/>
                <w:lang w:val="en-US" w:eastAsia="zh-CN" w:bidi="zh-CN"/>
              </w:rPr>
            </w:pPr>
          </w:p>
        </w:tc>
        <w:tc>
          <w:tcPr>
            <w:tcW w:w="1096" w:type="pct"/>
            <w:noWrap w:val="0"/>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组织机构</w:t>
            </w:r>
          </w:p>
          <w:p>
            <w:pPr>
              <w:ind w:left="0" w:leftChars="0" w:right="0" w:rightChars="0"/>
              <w:jc w:val="left"/>
              <w:rPr>
                <w:rFonts w:hint="eastAsia" w:ascii="宋体" w:hAnsi="宋体" w:eastAsia="仿宋" w:cs="宋体"/>
                <w:color w:val="auto"/>
                <w:kern w:val="0"/>
                <w:sz w:val="24"/>
                <w:szCs w:val="21"/>
                <w:highlight w:val="none"/>
                <w:lang w:val="zh-CN" w:eastAsia="zh-CN" w:bidi="zh-CN"/>
              </w:rPr>
            </w:pPr>
            <w:r>
              <w:rPr>
                <w:rFonts w:hint="eastAsia" w:ascii="仿宋" w:hAnsi="仿宋" w:eastAsia="仿宋" w:cs="仿宋"/>
                <w:color w:val="auto"/>
                <w:sz w:val="24"/>
                <w:szCs w:val="24"/>
              </w:rPr>
              <w:t>（0-</w:t>
            </w:r>
            <w:r>
              <w:rPr>
                <w:rFonts w:hint="eastAsia" w:ascii="仿宋" w:hAnsi="仿宋" w:cs="仿宋"/>
                <w:color w:val="auto"/>
                <w:sz w:val="24"/>
                <w:szCs w:val="24"/>
                <w:lang w:val="en-US" w:eastAsia="zh-CN"/>
              </w:rPr>
              <w:t>10</w:t>
            </w:r>
            <w:r>
              <w:rPr>
                <w:rFonts w:hint="eastAsia" w:ascii="仿宋" w:hAnsi="仿宋" w:eastAsia="仿宋" w:cs="仿宋"/>
                <w:color w:val="auto"/>
                <w:sz w:val="24"/>
                <w:szCs w:val="24"/>
              </w:rPr>
              <w:t>分）</w:t>
            </w:r>
          </w:p>
        </w:tc>
        <w:tc>
          <w:tcPr>
            <w:tcW w:w="2852" w:type="pct"/>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项目组织机构、项目实施主要人员岗位职责分配合理、可行；</w:t>
            </w:r>
          </w:p>
          <w:p>
            <w:pPr>
              <w:widowControl/>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评分标准：组织机构完整、逻辑清晰，全面、合理，科学、规范、可行性强，完全满足采购人项目需求，得</w:t>
            </w:r>
            <w:r>
              <w:rPr>
                <w:rFonts w:hint="eastAsia" w:ascii="仿宋" w:hAnsi="仿宋" w:cs="仿宋"/>
                <w:b/>
                <w:bCs/>
                <w:color w:val="auto"/>
                <w:sz w:val="24"/>
                <w:szCs w:val="24"/>
                <w:lang w:val="en-US" w:eastAsia="zh-CN"/>
              </w:rPr>
              <w:t>10</w:t>
            </w:r>
            <w:r>
              <w:rPr>
                <w:rFonts w:hint="eastAsia" w:ascii="仿宋" w:hAnsi="仿宋" w:eastAsia="仿宋" w:cs="仿宋"/>
                <w:b/>
                <w:bCs/>
                <w:color w:val="auto"/>
                <w:sz w:val="24"/>
                <w:szCs w:val="24"/>
              </w:rPr>
              <w:t xml:space="preserve">分； </w:t>
            </w:r>
          </w:p>
          <w:p>
            <w:pPr>
              <w:widowControl/>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组织机构基本完整、逻辑基本清晰，基本全面、合理，方案可行、较为规范，基本满足采购人项目需求，得</w:t>
            </w:r>
            <w:r>
              <w:rPr>
                <w:rFonts w:hint="eastAsia" w:ascii="仿宋" w:hAnsi="仿宋" w:cs="仿宋"/>
                <w:b/>
                <w:bCs/>
                <w:color w:val="auto"/>
                <w:sz w:val="24"/>
                <w:szCs w:val="24"/>
                <w:lang w:val="en-US" w:eastAsia="zh-CN"/>
              </w:rPr>
              <w:t>6</w:t>
            </w:r>
            <w:r>
              <w:rPr>
                <w:rFonts w:hint="eastAsia" w:ascii="仿宋" w:hAnsi="仿宋" w:eastAsia="仿宋" w:cs="仿宋"/>
                <w:b/>
                <w:bCs/>
                <w:color w:val="auto"/>
                <w:sz w:val="24"/>
                <w:szCs w:val="24"/>
              </w:rPr>
              <w:t>分；</w:t>
            </w:r>
          </w:p>
          <w:p>
            <w:pPr>
              <w:widowControl/>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组织机构基本完整、逻辑基本清晰，基本全面、合理，方案可行、较为规范，方案不存在严重缺项得</w:t>
            </w:r>
            <w:r>
              <w:rPr>
                <w:rFonts w:hint="eastAsia" w:ascii="仿宋" w:hAnsi="仿宋" w:cs="仿宋"/>
                <w:b/>
                <w:bCs/>
                <w:color w:val="auto"/>
                <w:sz w:val="24"/>
                <w:szCs w:val="24"/>
                <w:lang w:val="en-US" w:eastAsia="zh-CN"/>
              </w:rPr>
              <w:t>3</w:t>
            </w:r>
            <w:r>
              <w:rPr>
                <w:rFonts w:hint="eastAsia" w:ascii="仿宋" w:hAnsi="仿宋" w:eastAsia="仿宋" w:cs="仿宋"/>
                <w:b/>
                <w:bCs/>
                <w:color w:val="auto"/>
                <w:sz w:val="24"/>
                <w:szCs w:val="24"/>
              </w:rPr>
              <w:t>分；</w:t>
            </w:r>
          </w:p>
          <w:p>
            <w:pPr>
              <w:ind w:left="0" w:leftChars="0" w:right="0" w:rightChars="0"/>
              <w:jc w:val="left"/>
              <w:rPr>
                <w:rFonts w:hint="eastAsia"/>
                <w:color w:val="auto"/>
                <w:lang w:val="zh-CN" w:eastAsia="zh-CN"/>
              </w:rPr>
            </w:pPr>
            <w:r>
              <w:rPr>
                <w:rFonts w:hint="eastAsia" w:ascii="仿宋" w:hAnsi="仿宋" w:eastAsia="仿宋" w:cs="仿宋"/>
                <w:b/>
                <w:bCs/>
                <w:color w:val="auto"/>
                <w:sz w:val="24"/>
                <w:szCs w:val="24"/>
              </w:rPr>
              <w:t>方案存在严重缺项或不提供，得0分。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7" w:type="pct"/>
            <w:vMerge w:val="continue"/>
            <w:noWrap w:val="0"/>
            <w:vAlign w:val="center"/>
          </w:tcPr>
          <w:p>
            <w:pPr>
              <w:pStyle w:val="36"/>
              <w:spacing w:line="240" w:lineRule="atLeast"/>
              <w:jc w:val="center"/>
              <w:rPr>
                <w:rFonts w:hint="eastAsia" w:ascii="宋体" w:hAnsi="宋体" w:eastAsia="仿宋" w:cs="宋体"/>
                <w:color w:val="auto"/>
                <w:kern w:val="0"/>
                <w:sz w:val="24"/>
                <w:szCs w:val="21"/>
                <w:highlight w:val="none"/>
                <w:lang w:val="en-US" w:eastAsia="zh-CN" w:bidi="zh-CN"/>
              </w:rPr>
            </w:pPr>
          </w:p>
        </w:tc>
        <w:tc>
          <w:tcPr>
            <w:tcW w:w="613" w:type="pct"/>
            <w:gridSpan w:val="2"/>
            <w:vMerge w:val="continue"/>
            <w:noWrap w:val="0"/>
            <w:vAlign w:val="center"/>
          </w:tcPr>
          <w:p>
            <w:pPr>
              <w:pStyle w:val="36"/>
              <w:spacing w:line="240" w:lineRule="atLeast"/>
              <w:jc w:val="center"/>
              <w:rPr>
                <w:rFonts w:hint="eastAsia" w:ascii="宋体" w:hAnsi="宋体" w:eastAsia="仿宋" w:cs="宋体"/>
                <w:color w:val="auto"/>
                <w:kern w:val="0"/>
                <w:sz w:val="24"/>
                <w:szCs w:val="21"/>
                <w:highlight w:val="none"/>
                <w:lang w:val="en-US" w:eastAsia="zh-CN" w:bidi="zh-CN"/>
              </w:rPr>
            </w:pPr>
          </w:p>
        </w:tc>
        <w:tc>
          <w:tcPr>
            <w:tcW w:w="1096" w:type="pct"/>
            <w:noWrap w:val="0"/>
            <w:vAlign w:val="center"/>
          </w:tcPr>
          <w:p>
            <w:pPr>
              <w:ind w:left="315" w:hanging="360" w:hangingChars="150"/>
              <w:jc w:val="center"/>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技术方案</w:t>
            </w:r>
          </w:p>
          <w:p>
            <w:pPr>
              <w:ind w:left="0" w:leftChars="0" w:right="0" w:rightChars="0"/>
              <w:jc w:val="left"/>
              <w:rPr>
                <w:rFonts w:hint="eastAsia" w:ascii="宋体" w:hAnsi="宋体" w:eastAsia="仿宋" w:cs="宋体"/>
                <w:color w:val="auto"/>
                <w:kern w:val="0"/>
                <w:sz w:val="24"/>
                <w:szCs w:val="21"/>
                <w:highlight w:val="none"/>
                <w:lang w:val="zh-CN" w:eastAsia="zh-CN" w:bidi="zh-CN"/>
              </w:rPr>
            </w:pPr>
            <w:r>
              <w:rPr>
                <w:rFonts w:hint="eastAsia" w:ascii="仿宋" w:hAnsi="仿宋" w:eastAsia="仿宋" w:cs="仿宋"/>
                <w:color w:val="auto"/>
                <w:sz w:val="24"/>
                <w:szCs w:val="24"/>
              </w:rPr>
              <w:t>（0-</w:t>
            </w:r>
            <w:r>
              <w:rPr>
                <w:rFonts w:hint="eastAsia" w:ascii="仿宋" w:hAnsi="仿宋" w:cs="仿宋"/>
                <w:color w:val="auto"/>
                <w:sz w:val="24"/>
                <w:szCs w:val="24"/>
                <w:lang w:val="en-US" w:eastAsia="zh-CN"/>
              </w:rPr>
              <w:t>10</w:t>
            </w:r>
            <w:r>
              <w:rPr>
                <w:rFonts w:hint="eastAsia" w:ascii="仿宋" w:hAnsi="仿宋" w:eastAsia="仿宋" w:cs="仿宋"/>
                <w:color w:val="auto"/>
                <w:sz w:val="24"/>
                <w:szCs w:val="24"/>
              </w:rPr>
              <w:t>分）</w:t>
            </w:r>
          </w:p>
        </w:tc>
        <w:tc>
          <w:tcPr>
            <w:tcW w:w="2852" w:type="pct"/>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根据供应商提供的工作方法及技术路线进行评价；</w:t>
            </w:r>
          </w:p>
          <w:p>
            <w:pPr>
              <w:widowControl/>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评分标准：工作方法及技术路线完整、逻辑清晰，全面、合理，科学、规范、可行性强，完全满足采购人项目需求，得</w:t>
            </w:r>
            <w:r>
              <w:rPr>
                <w:rFonts w:hint="eastAsia" w:ascii="仿宋" w:hAnsi="仿宋" w:cs="仿宋"/>
                <w:b/>
                <w:bCs/>
                <w:color w:val="auto"/>
                <w:sz w:val="24"/>
                <w:szCs w:val="24"/>
                <w:lang w:val="en-US" w:eastAsia="zh-CN"/>
              </w:rPr>
              <w:t>10</w:t>
            </w:r>
            <w:r>
              <w:rPr>
                <w:rFonts w:hint="eastAsia" w:ascii="仿宋" w:hAnsi="仿宋" w:eastAsia="仿宋" w:cs="仿宋"/>
                <w:b/>
                <w:bCs/>
                <w:color w:val="auto"/>
                <w:sz w:val="24"/>
                <w:szCs w:val="24"/>
              </w:rPr>
              <w:t xml:space="preserve">分； </w:t>
            </w:r>
          </w:p>
          <w:p>
            <w:pPr>
              <w:widowControl/>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工作方法及技术路线基本完整、逻辑基本清晰，基本全面、合理，方案可行、较为规范，基本满足采购人项目需求，得</w:t>
            </w:r>
            <w:r>
              <w:rPr>
                <w:rFonts w:hint="eastAsia" w:ascii="仿宋" w:hAnsi="仿宋" w:cs="仿宋"/>
                <w:b/>
                <w:bCs/>
                <w:color w:val="auto"/>
                <w:sz w:val="24"/>
                <w:szCs w:val="24"/>
                <w:lang w:val="en-US" w:eastAsia="zh-CN"/>
              </w:rPr>
              <w:t>6</w:t>
            </w:r>
            <w:r>
              <w:rPr>
                <w:rFonts w:hint="eastAsia" w:ascii="仿宋" w:hAnsi="仿宋" w:eastAsia="仿宋" w:cs="仿宋"/>
                <w:b/>
                <w:bCs/>
                <w:color w:val="auto"/>
                <w:sz w:val="24"/>
                <w:szCs w:val="24"/>
              </w:rPr>
              <w:t>分；</w:t>
            </w:r>
          </w:p>
          <w:p>
            <w:pPr>
              <w:widowControl/>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工作方法及技术路线基本完整、逻辑基本清晰，基本全面、合理，方案可行、较为规范，方案不存在严重缺项得</w:t>
            </w:r>
            <w:r>
              <w:rPr>
                <w:rFonts w:hint="eastAsia" w:ascii="仿宋" w:hAnsi="仿宋" w:cs="仿宋"/>
                <w:b/>
                <w:bCs/>
                <w:color w:val="auto"/>
                <w:sz w:val="24"/>
                <w:szCs w:val="24"/>
                <w:lang w:val="en-US" w:eastAsia="zh-CN"/>
              </w:rPr>
              <w:t>3</w:t>
            </w:r>
            <w:r>
              <w:rPr>
                <w:rFonts w:hint="eastAsia" w:ascii="仿宋" w:hAnsi="仿宋" w:eastAsia="仿宋" w:cs="仿宋"/>
                <w:b/>
                <w:bCs/>
                <w:color w:val="auto"/>
                <w:sz w:val="24"/>
                <w:szCs w:val="24"/>
              </w:rPr>
              <w:t>分；</w:t>
            </w:r>
          </w:p>
          <w:p>
            <w:pPr>
              <w:ind w:left="0" w:leftChars="0" w:right="0" w:rightChars="0"/>
              <w:jc w:val="left"/>
              <w:rPr>
                <w:rFonts w:hint="eastAsia" w:ascii="宋体" w:hAnsi="宋体" w:eastAsia="仿宋" w:cs="宋体"/>
                <w:color w:val="auto"/>
                <w:kern w:val="0"/>
                <w:sz w:val="24"/>
                <w:szCs w:val="21"/>
                <w:highlight w:val="none"/>
                <w:lang w:val="zh-CN" w:eastAsia="zh-CN" w:bidi="zh-CN"/>
              </w:rPr>
            </w:pPr>
            <w:r>
              <w:rPr>
                <w:rFonts w:hint="eastAsia" w:ascii="仿宋" w:hAnsi="仿宋" w:eastAsia="仿宋" w:cs="仿宋"/>
                <w:b/>
                <w:bCs/>
                <w:color w:val="auto"/>
                <w:sz w:val="24"/>
                <w:szCs w:val="24"/>
              </w:rPr>
              <w:t>方案存在严重缺项或不提供，得0分。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7" w:type="pct"/>
            <w:vMerge w:val="continue"/>
            <w:noWrap w:val="0"/>
            <w:vAlign w:val="center"/>
          </w:tcPr>
          <w:p>
            <w:pPr>
              <w:pStyle w:val="36"/>
              <w:spacing w:line="240" w:lineRule="atLeast"/>
              <w:jc w:val="center"/>
              <w:rPr>
                <w:rFonts w:hint="eastAsia" w:ascii="宋体" w:hAnsi="宋体" w:eastAsia="仿宋" w:cs="宋体"/>
                <w:color w:val="auto"/>
                <w:kern w:val="0"/>
                <w:sz w:val="24"/>
                <w:szCs w:val="21"/>
                <w:highlight w:val="none"/>
                <w:lang w:val="en-US" w:eastAsia="zh-CN" w:bidi="zh-CN"/>
              </w:rPr>
            </w:pPr>
          </w:p>
        </w:tc>
        <w:tc>
          <w:tcPr>
            <w:tcW w:w="613" w:type="pct"/>
            <w:gridSpan w:val="2"/>
            <w:vMerge w:val="continue"/>
            <w:noWrap w:val="0"/>
            <w:vAlign w:val="center"/>
          </w:tcPr>
          <w:p>
            <w:pPr>
              <w:pStyle w:val="36"/>
              <w:spacing w:line="240" w:lineRule="atLeast"/>
              <w:jc w:val="center"/>
              <w:rPr>
                <w:rFonts w:hint="eastAsia" w:ascii="宋体" w:hAnsi="宋体" w:eastAsia="仿宋" w:cs="宋体"/>
                <w:color w:val="auto"/>
                <w:kern w:val="0"/>
                <w:sz w:val="24"/>
                <w:szCs w:val="21"/>
                <w:highlight w:val="none"/>
                <w:lang w:val="en-US" w:eastAsia="zh-CN" w:bidi="zh-CN"/>
              </w:rPr>
            </w:pPr>
          </w:p>
        </w:tc>
        <w:tc>
          <w:tcPr>
            <w:tcW w:w="1096" w:type="pct"/>
            <w:noWrap w:val="0"/>
            <w:vAlign w:val="center"/>
          </w:tcPr>
          <w:p>
            <w:pPr>
              <w:ind w:left="360" w:leftChars="0" w:right="0" w:rightChars="0" w:hanging="360" w:hangingChars="150"/>
              <w:jc w:val="center"/>
              <w:rPr>
                <w:rFonts w:hint="eastAsia" w:ascii="宋体" w:hAnsi="宋体" w:eastAsia="仿宋" w:cs="宋体"/>
                <w:color w:val="auto"/>
                <w:kern w:val="0"/>
                <w:sz w:val="24"/>
                <w:szCs w:val="21"/>
                <w:highlight w:val="none"/>
                <w:lang w:val="zh-CN" w:eastAsia="zh-CN" w:bidi="zh-CN"/>
              </w:rPr>
            </w:pPr>
            <w:r>
              <w:rPr>
                <w:rFonts w:hint="eastAsia" w:ascii="仿宋" w:hAnsi="仿宋" w:eastAsia="仿宋" w:cs="仿宋"/>
                <w:color w:val="auto"/>
                <w:sz w:val="24"/>
                <w:szCs w:val="24"/>
                <w:lang w:bidi="ar"/>
              </w:rPr>
              <w:t>质量保障措施</w:t>
            </w:r>
            <w:r>
              <w:rPr>
                <w:rFonts w:hint="eastAsia" w:ascii="仿宋" w:hAnsi="仿宋" w:eastAsia="仿宋" w:cs="仿宋"/>
                <w:color w:val="auto"/>
                <w:sz w:val="24"/>
                <w:szCs w:val="24"/>
              </w:rPr>
              <w:t>（0-</w:t>
            </w:r>
            <w:r>
              <w:rPr>
                <w:rFonts w:hint="eastAsia" w:ascii="仿宋" w:hAnsi="仿宋" w:cs="仿宋"/>
                <w:color w:val="auto"/>
                <w:sz w:val="24"/>
                <w:szCs w:val="24"/>
                <w:lang w:val="en-US" w:eastAsia="zh-CN"/>
              </w:rPr>
              <w:t>10</w:t>
            </w:r>
            <w:r>
              <w:rPr>
                <w:rFonts w:hint="eastAsia" w:ascii="仿宋" w:hAnsi="仿宋" w:eastAsia="仿宋" w:cs="仿宋"/>
                <w:color w:val="auto"/>
                <w:sz w:val="24"/>
                <w:szCs w:val="24"/>
              </w:rPr>
              <w:t>分）</w:t>
            </w:r>
          </w:p>
        </w:tc>
        <w:tc>
          <w:tcPr>
            <w:tcW w:w="2852" w:type="pct"/>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确保工程质量和服务期限技术和组织措施合理、可行；</w:t>
            </w:r>
          </w:p>
          <w:p>
            <w:pPr>
              <w:pStyle w:val="41"/>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评分标准：质量保证措施完整、逻辑清晰，全面、合理，科学、规范、可行性强，完全满足采购人项目需求，得</w:t>
            </w:r>
            <w:r>
              <w:rPr>
                <w:rFonts w:hint="eastAsia" w:ascii="仿宋" w:hAnsi="仿宋" w:eastAsia="仿宋" w:cs="仿宋"/>
                <w:b/>
                <w:bCs/>
                <w:color w:val="auto"/>
                <w:sz w:val="24"/>
                <w:szCs w:val="24"/>
                <w:lang w:val="en-US" w:eastAsia="zh-CN"/>
              </w:rPr>
              <w:t>10</w:t>
            </w:r>
            <w:r>
              <w:rPr>
                <w:rFonts w:hint="eastAsia" w:ascii="仿宋" w:hAnsi="仿宋" w:eastAsia="仿宋" w:cs="仿宋"/>
                <w:b/>
                <w:bCs/>
                <w:color w:val="auto"/>
                <w:sz w:val="24"/>
                <w:szCs w:val="24"/>
              </w:rPr>
              <w:t xml:space="preserve">分； </w:t>
            </w:r>
          </w:p>
          <w:p>
            <w:pPr>
              <w:pStyle w:val="41"/>
              <w:rPr>
                <w:rFonts w:hint="eastAsia" w:ascii="仿宋" w:hAnsi="仿宋" w:eastAsia="仿宋" w:cs="仿宋"/>
                <w:b/>
                <w:bCs/>
                <w:color w:val="auto"/>
                <w:sz w:val="24"/>
                <w:szCs w:val="24"/>
              </w:rPr>
            </w:pPr>
            <w:r>
              <w:rPr>
                <w:rFonts w:hint="eastAsia" w:ascii="仿宋" w:hAnsi="仿宋" w:eastAsia="仿宋" w:cs="仿宋"/>
                <w:b/>
                <w:bCs/>
                <w:color w:val="auto"/>
                <w:sz w:val="24"/>
                <w:szCs w:val="24"/>
              </w:rPr>
              <w:t>质量保证措施基本完整、逻辑基本清晰，基本全面、合理，方案可行、较为规范，基本满足采购人项目需求，得</w:t>
            </w:r>
            <w:r>
              <w:rPr>
                <w:rFonts w:hint="eastAsia" w:ascii="仿宋" w:hAnsi="仿宋" w:eastAsia="仿宋" w:cs="仿宋"/>
                <w:b/>
                <w:bCs/>
                <w:color w:val="auto"/>
                <w:sz w:val="24"/>
                <w:szCs w:val="24"/>
                <w:lang w:val="en-US" w:eastAsia="zh-CN"/>
              </w:rPr>
              <w:t>6</w:t>
            </w:r>
            <w:r>
              <w:rPr>
                <w:rFonts w:hint="eastAsia" w:ascii="仿宋" w:hAnsi="仿宋" w:eastAsia="仿宋" w:cs="仿宋"/>
                <w:b/>
                <w:bCs/>
                <w:color w:val="auto"/>
                <w:sz w:val="24"/>
                <w:szCs w:val="24"/>
              </w:rPr>
              <w:t>分；</w:t>
            </w:r>
          </w:p>
          <w:p>
            <w:pPr>
              <w:pStyle w:val="41"/>
              <w:rPr>
                <w:rFonts w:hint="eastAsia" w:ascii="仿宋" w:hAnsi="仿宋" w:eastAsia="仿宋" w:cs="仿宋"/>
                <w:b/>
                <w:bCs/>
                <w:color w:val="auto"/>
                <w:sz w:val="24"/>
                <w:szCs w:val="24"/>
              </w:rPr>
            </w:pPr>
            <w:r>
              <w:rPr>
                <w:rFonts w:hint="eastAsia" w:ascii="仿宋" w:hAnsi="仿宋" w:eastAsia="仿宋" w:cs="仿宋"/>
                <w:b/>
                <w:bCs/>
                <w:color w:val="auto"/>
                <w:sz w:val="24"/>
                <w:szCs w:val="24"/>
              </w:rPr>
              <w:t>质量保证措施基本完整、逻辑基本清晰，基本全面、合理，方案可行、较为规范，方案不存在严重缺项得</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分；</w:t>
            </w:r>
          </w:p>
          <w:p>
            <w:pPr>
              <w:ind w:left="0" w:leftChars="0" w:right="0" w:rightChars="0"/>
              <w:jc w:val="left"/>
              <w:rPr>
                <w:rFonts w:hint="eastAsia" w:ascii="宋体" w:hAnsi="宋体" w:eastAsia="仿宋" w:cs="宋体"/>
                <w:color w:val="auto"/>
                <w:kern w:val="0"/>
                <w:sz w:val="24"/>
                <w:szCs w:val="21"/>
                <w:highlight w:val="none"/>
                <w:lang w:val="zh-CN" w:eastAsia="zh-CN" w:bidi="zh-CN"/>
              </w:rPr>
            </w:pPr>
            <w:r>
              <w:rPr>
                <w:rFonts w:hint="eastAsia" w:ascii="仿宋" w:hAnsi="仿宋" w:eastAsia="仿宋" w:cs="仿宋"/>
                <w:b/>
                <w:bCs/>
                <w:color w:val="auto"/>
                <w:sz w:val="24"/>
                <w:szCs w:val="24"/>
              </w:rPr>
              <w:t>方案存在严重缺项或不提供，得0分。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7" w:type="pct"/>
            <w:vMerge w:val="continue"/>
            <w:noWrap w:val="0"/>
            <w:vAlign w:val="center"/>
          </w:tcPr>
          <w:p>
            <w:pPr>
              <w:pStyle w:val="36"/>
              <w:spacing w:line="240" w:lineRule="atLeast"/>
              <w:jc w:val="center"/>
              <w:rPr>
                <w:rFonts w:hint="eastAsia" w:ascii="宋体" w:hAnsi="宋体" w:eastAsia="仿宋" w:cs="宋体"/>
                <w:color w:val="auto"/>
                <w:kern w:val="0"/>
                <w:sz w:val="24"/>
                <w:szCs w:val="21"/>
                <w:highlight w:val="none"/>
                <w:lang w:val="en-US" w:eastAsia="zh-CN" w:bidi="zh-CN"/>
              </w:rPr>
            </w:pPr>
          </w:p>
        </w:tc>
        <w:tc>
          <w:tcPr>
            <w:tcW w:w="613" w:type="pct"/>
            <w:gridSpan w:val="2"/>
            <w:vMerge w:val="continue"/>
            <w:noWrap w:val="0"/>
            <w:vAlign w:val="center"/>
          </w:tcPr>
          <w:p>
            <w:pPr>
              <w:spacing w:line="360" w:lineRule="auto"/>
              <w:jc w:val="left"/>
              <w:rPr>
                <w:rFonts w:hint="eastAsia" w:ascii="宋体" w:hAnsi="宋体" w:eastAsia="仿宋" w:cs="宋体"/>
                <w:color w:val="auto"/>
                <w:kern w:val="0"/>
                <w:sz w:val="24"/>
                <w:szCs w:val="21"/>
                <w:highlight w:val="none"/>
                <w:lang w:val="en-US" w:eastAsia="zh-CN" w:bidi="zh-CN"/>
              </w:rPr>
            </w:pPr>
          </w:p>
        </w:tc>
        <w:tc>
          <w:tcPr>
            <w:tcW w:w="1096" w:type="pct"/>
            <w:noWrap w:val="0"/>
            <w:vAlign w:val="center"/>
          </w:tcPr>
          <w:p>
            <w:pPr>
              <w:ind w:left="15" w:hanging="16" w:hangingChars="7"/>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技术</w:t>
            </w:r>
            <w:r>
              <w:rPr>
                <w:rFonts w:hint="eastAsia" w:ascii="仿宋" w:hAnsi="仿宋" w:eastAsia="仿宋" w:cs="仿宋"/>
                <w:color w:val="auto"/>
                <w:sz w:val="24"/>
                <w:szCs w:val="24"/>
                <w:lang w:eastAsia="zh-CN"/>
              </w:rPr>
              <w:t>检测</w:t>
            </w:r>
          </w:p>
          <w:p>
            <w:pPr>
              <w:ind w:left="0" w:leftChars="0" w:right="0" w:rightChars="0"/>
              <w:jc w:val="left"/>
              <w:rPr>
                <w:rFonts w:hint="eastAsia" w:ascii="宋体" w:hAnsi="宋体" w:eastAsia="仿宋" w:cs="宋体"/>
                <w:color w:val="auto"/>
                <w:kern w:val="0"/>
                <w:sz w:val="24"/>
                <w:szCs w:val="21"/>
                <w:highlight w:val="none"/>
                <w:lang w:val="zh-CN" w:eastAsia="zh-CN" w:bidi="zh-CN"/>
              </w:rPr>
            </w:pPr>
            <w:r>
              <w:rPr>
                <w:rFonts w:hint="eastAsia" w:ascii="仿宋" w:hAnsi="仿宋" w:eastAsia="仿宋" w:cs="仿宋"/>
                <w:color w:val="auto"/>
                <w:sz w:val="24"/>
                <w:szCs w:val="24"/>
              </w:rPr>
              <w:t>（0-</w:t>
            </w:r>
            <w:r>
              <w:rPr>
                <w:rFonts w:hint="eastAsia" w:ascii="仿宋" w:hAnsi="仿宋" w:cs="仿宋"/>
                <w:color w:val="auto"/>
                <w:sz w:val="24"/>
                <w:szCs w:val="24"/>
                <w:lang w:val="en-US" w:eastAsia="zh-CN"/>
              </w:rPr>
              <w:t>10</w:t>
            </w:r>
            <w:r>
              <w:rPr>
                <w:rFonts w:hint="eastAsia" w:ascii="仿宋" w:hAnsi="仿宋" w:eastAsia="仿宋" w:cs="仿宋"/>
                <w:color w:val="auto"/>
                <w:sz w:val="24"/>
                <w:szCs w:val="24"/>
              </w:rPr>
              <w:t>分）</w:t>
            </w:r>
          </w:p>
        </w:tc>
        <w:tc>
          <w:tcPr>
            <w:tcW w:w="2852" w:type="pct"/>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提供切实可行的</w:t>
            </w:r>
            <w:r>
              <w:rPr>
                <w:rFonts w:hint="eastAsia" w:ascii="仿宋" w:hAnsi="仿宋" w:eastAsia="仿宋" w:cs="仿宋"/>
                <w:color w:val="auto"/>
                <w:sz w:val="24"/>
                <w:szCs w:val="24"/>
                <w:lang w:eastAsia="zh-CN"/>
              </w:rPr>
              <w:t>检测</w:t>
            </w:r>
            <w:r>
              <w:rPr>
                <w:rFonts w:hint="eastAsia" w:ascii="仿宋" w:hAnsi="仿宋" w:eastAsia="仿宋" w:cs="仿宋"/>
                <w:color w:val="auto"/>
                <w:sz w:val="24"/>
                <w:szCs w:val="24"/>
              </w:rPr>
              <w:t>方案及保证措施，方案的准确性、精密性、完整性及可比性完整、可行；</w:t>
            </w:r>
          </w:p>
          <w:p>
            <w:pPr>
              <w:pStyle w:val="41"/>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评分标准：技术</w:t>
            </w:r>
            <w:r>
              <w:rPr>
                <w:rFonts w:hint="eastAsia" w:ascii="仿宋" w:hAnsi="仿宋" w:eastAsia="仿宋" w:cs="仿宋"/>
                <w:b/>
                <w:bCs/>
                <w:color w:val="auto"/>
                <w:sz w:val="24"/>
                <w:szCs w:val="24"/>
                <w:lang w:eastAsia="zh-CN"/>
              </w:rPr>
              <w:t>检测</w:t>
            </w:r>
            <w:r>
              <w:rPr>
                <w:rFonts w:hint="eastAsia" w:ascii="仿宋" w:hAnsi="仿宋" w:eastAsia="仿宋" w:cs="仿宋"/>
                <w:b/>
                <w:bCs/>
                <w:color w:val="auto"/>
                <w:sz w:val="24"/>
                <w:szCs w:val="24"/>
              </w:rPr>
              <w:t>方案完整、逻辑清晰，全面、合理，科学、规范、可行性强，完全满足采购人项目需求，得</w:t>
            </w:r>
            <w:r>
              <w:rPr>
                <w:rFonts w:hint="eastAsia" w:ascii="仿宋" w:hAnsi="仿宋" w:eastAsia="仿宋" w:cs="仿宋"/>
                <w:b/>
                <w:bCs/>
                <w:color w:val="auto"/>
                <w:sz w:val="24"/>
                <w:szCs w:val="24"/>
                <w:lang w:val="en-US" w:eastAsia="zh-CN"/>
              </w:rPr>
              <w:t>10</w:t>
            </w:r>
            <w:r>
              <w:rPr>
                <w:rFonts w:hint="eastAsia" w:ascii="仿宋" w:hAnsi="仿宋" w:eastAsia="仿宋" w:cs="仿宋"/>
                <w:b/>
                <w:bCs/>
                <w:color w:val="auto"/>
                <w:sz w:val="24"/>
                <w:szCs w:val="24"/>
              </w:rPr>
              <w:t xml:space="preserve">分； </w:t>
            </w:r>
          </w:p>
          <w:p>
            <w:pPr>
              <w:pStyle w:val="41"/>
              <w:rPr>
                <w:rFonts w:hint="eastAsia" w:ascii="仿宋" w:hAnsi="仿宋" w:eastAsia="仿宋" w:cs="仿宋"/>
                <w:b/>
                <w:bCs/>
                <w:color w:val="auto"/>
                <w:sz w:val="24"/>
                <w:szCs w:val="24"/>
              </w:rPr>
            </w:pPr>
            <w:r>
              <w:rPr>
                <w:rFonts w:hint="eastAsia" w:ascii="仿宋" w:hAnsi="仿宋" w:eastAsia="仿宋" w:cs="仿宋"/>
                <w:b/>
                <w:bCs/>
                <w:color w:val="auto"/>
                <w:sz w:val="24"/>
                <w:szCs w:val="24"/>
              </w:rPr>
              <w:t>技术</w:t>
            </w:r>
            <w:r>
              <w:rPr>
                <w:rFonts w:hint="eastAsia" w:ascii="仿宋" w:hAnsi="仿宋" w:eastAsia="仿宋" w:cs="仿宋"/>
                <w:b/>
                <w:bCs/>
                <w:color w:val="auto"/>
                <w:sz w:val="24"/>
                <w:szCs w:val="24"/>
                <w:lang w:eastAsia="zh-CN"/>
              </w:rPr>
              <w:t>检测</w:t>
            </w:r>
            <w:r>
              <w:rPr>
                <w:rFonts w:hint="eastAsia" w:ascii="仿宋" w:hAnsi="仿宋" w:eastAsia="仿宋" w:cs="仿宋"/>
                <w:b/>
                <w:bCs/>
                <w:color w:val="auto"/>
                <w:sz w:val="24"/>
                <w:szCs w:val="24"/>
              </w:rPr>
              <w:t>方案基本完整、逻辑基本清晰，基本全面、合理，方案可行、较为规范，基本满足采购人项目需求，得</w:t>
            </w:r>
            <w:r>
              <w:rPr>
                <w:rFonts w:hint="eastAsia" w:ascii="仿宋" w:hAnsi="仿宋" w:eastAsia="仿宋" w:cs="仿宋"/>
                <w:b/>
                <w:bCs/>
                <w:color w:val="auto"/>
                <w:sz w:val="24"/>
                <w:szCs w:val="24"/>
                <w:lang w:val="en-US" w:eastAsia="zh-CN"/>
              </w:rPr>
              <w:t>6</w:t>
            </w:r>
            <w:r>
              <w:rPr>
                <w:rFonts w:hint="eastAsia" w:ascii="仿宋" w:hAnsi="仿宋" w:eastAsia="仿宋" w:cs="仿宋"/>
                <w:b/>
                <w:bCs/>
                <w:color w:val="auto"/>
                <w:sz w:val="24"/>
                <w:szCs w:val="24"/>
              </w:rPr>
              <w:t>分；</w:t>
            </w:r>
          </w:p>
          <w:p>
            <w:pPr>
              <w:pStyle w:val="41"/>
              <w:rPr>
                <w:rFonts w:hint="eastAsia" w:ascii="仿宋" w:hAnsi="仿宋" w:eastAsia="仿宋" w:cs="仿宋"/>
                <w:b/>
                <w:bCs/>
                <w:color w:val="auto"/>
                <w:sz w:val="24"/>
                <w:szCs w:val="24"/>
              </w:rPr>
            </w:pPr>
            <w:r>
              <w:rPr>
                <w:rFonts w:hint="eastAsia" w:ascii="仿宋" w:hAnsi="仿宋" w:eastAsia="仿宋" w:cs="仿宋"/>
                <w:b/>
                <w:bCs/>
                <w:color w:val="auto"/>
                <w:sz w:val="24"/>
                <w:szCs w:val="24"/>
              </w:rPr>
              <w:t>技术</w:t>
            </w:r>
            <w:r>
              <w:rPr>
                <w:rFonts w:hint="eastAsia" w:ascii="仿宋" w:hAnsi="仿宋" w:eastAsia="仿宋" w:cs="仿宋"/>
                <w:b/>
                <w:bCs/>
                <w:color w:val="auto"/>
                <w:sz w:val="24"/>
                <w:szCs w:val="24"/>
                <w:lang w:eastAsia="zh-CN"/>
              </w:rPr>
              <w:t>检测</w:t>
            </w:r>
            <w:r>
              <w:rPr>
                <w:rFonts w:hint="eastAsia" w:ascii="仿宋" w:hAnsi="仿宋" w:eastAsia="仿宋" w:cs="仿宋"/>
                <w:b/>
                <w:bCs/>
                <w:color w:val="auto"/>
                <w:sz w:val="24"/>
                <w:szCs w:val="24"/>
              </w:rPr>
              <w:t>方案基本完整、逻辑基本清晰，基本全面、合理，方案可行、较为规范，方案不存在严重缺项得</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分；</w:t>
            </w:r>
          </w:p>
          <w:p>
            <w:pPr>
              <w:ind w:left="0" w:leftChars="0" w:right="0" w:rightChars="0"/>
              <w:jc w:val="left"/>
              <w:rPr>
                <w:rFonts w:hint="eastAsia" w:ascii="宋体" w:hAnsi="宋体" w:eastAsia="仿宋" w:cs="宋体"/>
                <w:color w:val="auto"/>
                <w:kern w:val="0"/>
                <w:sz w:val="24"/>
                <w:szCs w:val="21"/>
                <w:highlight w:val="none"/>
                <w:lang w:val="zh-CN" w:eastAsia="zh-CN" w:bidi="zh-CN"/>
              </w:rPr>
            </w:pPr>
            <w:r>
              <w:rPr>
                <w:rFonts w:hint="eastAsia" w:ascii="仿宋" w:hAnsi="仿宋" w:eastAsia="仿宋" w:cs="仿宋"/>
                <w:b/>
                <w:bCs/>
                <w:color w:val="auto"/>
                <w:sz w:val="24"/>
                <w:szCs w:val="24"/>
              </w:rPr>
              <w:t>方案存在严重缺项或不提供，得0分。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7" w:type="pct"/>
            <w:vMerge w:val="continue"/>
            <w:noWrap w:val="0"/>
            <w:vAlign w:val="center"/>
          </w:tcPr>
          <w:p>
            <w:pPr>
              <w:pStyle w:val="36"/>
              <w:spacing w:line="240" w:lineRule="atLeast"/>
              <w:jc w:val="center"/>
              <w:rPr>
                <w:rFonts w:hint="eastAsia" w:ascii="宋体" w:hAnsi="宋体" w:eastAsia="仿宋" w:cs="宋体"/>
                <w:color w:val="auto"/>
                <w:kern w:val="0"/>
                <w:sz w:val="24"/>
                <w:szCs w:val="21"/>
                <w:highlight w:val="none"/>
                <w:lang w:val="en-US" w:eastAsia="zh-CN" w:bidi="zh-CN"/>
              </w:rPr>
            </w:pPr>
          </w:p>
        </w:tc>
        <w:tc>
          <w:tcPr>
            <w:tcW w:w="613" w:type="pct"/>
            <w:gridSpan w:val="2"/>
            <w:vMerge w:val="continue"/>
            <w:noWrap w:val="0"/>
            <w:vAlign w:val="center"/>
          </w:tcPr>
          <w:p>
            <w:pPr>
              <w:spacing w:line="360" w:lineRule="auto"/>
              <w:jc w:val="left"/>
              <w:rPr>
                <w:rFonts w:hint="eastAsia" w:ascii="宋体" w:hAnsi="宋体" w:eastAsia="仿宋" w:cs="宋体"/>
                <w:color w:val="auto"/>
                <w:kern w:val="0"/>
                <w:sz w:val="24"/>
                <w:szCs w:val="21"/>
                <w:highlight w:val="none"/>
                <w:lang w:val="en-US" w:eastAsia="zh-CN" w:bidi="zh-CN"/>
              </w:rPr>
            </w:pPr>
          </w:p>
        </w:tc>
        <w:tc>
          <w:tcPr>
            <w:tcW w:w="1096" w:type="pct"/>
            <w:noWrap w:val="0"/>
            <w:vAlign w:val="center"/>
          </w:tcPr>
          <w:p>
            <w:pPr>
              <w:pStyle w:val="19"/>
              <w:ind w:left="0" w:leftChars="0" w:right="0" w:rightChars="0" w:firstLine="0" w:firstLineChars="0"/>
              <w:rPr>
                <w:rFonts w:hint="eastAsia" w:hAnsi="宋体" w:eastAsia="仿宋" w:cs="宋体"/>
                <w:color w:val="auto"/>
                <w:kern w:val="0"/>
                <w:sz w:val="24"/>
                <w:szCs w:val="21"/>
                <w:highlight w:val="none"/>
                <w:lang w:val="zh-CN" w:eastAsia="zh-CN" w:bidi="zh-CN"/>
              </w:rPr>
            </w:pPr>
            <w:r>
              <w:rPr>
                <w:rFonts w:hint="eastAsia" w:ascii="仿宋" w:hAnsi="仿宋" w:eastAsia="仿宋" w:cs="仿宋"/>
                <w:color w:val="auto"/>
                <w:sz w:val="24"/>
                <w:szCs w:val="24"/>
              </w:rPr>
              <w:t>重点难点分析（0-</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c>
          <w:tcPr>
            <w:tcW w:w="2852" w:type="pct"/>
            <w:noWrap w:val="0"/>
            <w:vAlign w:val="center"/>
          </w:tcPr>
          <w:p>
            <w:pPr>
              <w:pStyle w:val="41"/>
              <w:rPr>
                <w:rFonts w:hint="eastAsia" w:ascii="仿宋" w:hAnsi="仿宋" w:eastAsia="仿宋" w:cs="仿宋"/>
                <w:color w:val="auto"/>
                <w:sz w:val="24"/>
                <w:szCs w:val="24"/>
              </w:rPr>
            </w:pPr>
            <w:r>
              <w:rPr>
                <w:rFonts w:hint="eastAsia" w:ascii="仿宋" w:hAnsi="仿宋" w:eastAsia="仿宋" w:cs="仿宋"/>
                <w:color w:val="auto"/>
                <w:sz w:val="24"/>
                <w:szCs w:val="24"/>
              </w:rPr>
              <w:t>根据供应商对本项目重点难点分析进行评价；</w:t>
            </w:r>
          </w:p>
          <w:p>
            <w:pPr>
              <w:pStyle w:val="41"/>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评分标准：对本项目重点内容分析科学准确、难点分析透彻且应对措施完整、逻辑清晰，全面、合理，科学、规范、可行性强，完全满足采购人项目需求，得</w:t>
            </w:r>
            <w:r>
              <w:rPr>
                <w:rFonts w:hint="eastAsia" w:ascii="仿宋" w:hAnsi="仿宋" w:eastAsia="仿宋" w:cs="仿宋"/>
                <w:b/>
                <w:bCs/>
                <w:color w:val="auto"/>
                <w:sz w:val="24"/>
                <w:szCs w:val="24"/>
                <w:lang w:val="en-US" w:eastAsia="zh-CN"/>
              </w:rPr>
              <w:t>10</w:t>
            </w:r>
            <w:r>
              <w:rPr>
                <w:rFonts w:hint="eastAsia" w:ascii="仿宋" w:hAnsi="仿宋" w:eastAsia="仿宋" w:cs="仿宋"/>
                <w:b/>
                <w:bCs/>
                <w:color w:val="auto"/>
                <w:sz w:val="24"/>
                <w:szCs w:val="24"/>
              </w:rPr>
              <w:t xml:space="preserve">分； </w:t>
            </w:r>
          </w:p>
          <w:p>
            <w:pPr>
              <w:pStyle w:val="41"/>
              <w:rPr>
                <w:rFonts w:hint="eastAsia" w:ascii="仿宋" w:hAnsi="仿宋" w:eastAsia="仿宋" w:cs="仿宋"/>
                <w:b/>
                <w:bCs/>
                <w:color w:val="auto"/>
                <w:sz w:val="24"/>
                <w:szCs w:val="24"/>
              </w:rPr>
            </w:pPr>
            <w:r>
              <w:rPr>
                <w:rFonts w:hint="eastAsia" w:ascii="仿宋" w:hAnsi="仿宋" w:eastAsia="仿宋" w:cs="仿宋"/>
                <w:b/>
                <w:bCs/>
                <w:color w:val="auto"/>
                <w:sz w:val="24"/>
                <w:szCs w:val="24"/>
              </w:rPr>
              <w:t>重点内容分析基本完整、逻辑基本清晰，基本全面、合理，方案可行、较为规范，基本满足采购人项目需求，得</w:t>
            </w:r>
            <w:r>
              <w:rPr>
                <w:rFonts w:hint="eastAsia" w:ascii="仿宋" w:hAnsi="仿宋" w:eastAsia="仿宋" w:cs="仿宋"/>
                <w:b/>
                <w:bCs/>
                <w:color w:val="auto"/>
                <w:sz w:val="24"/>
                <w:szCs w:val="24"/>
                <w:lang w:val="en-US" w:eastAsia="zh-CN"/>
              </w:rPr>
              <w:t>6</w:t>
            </w:r>
            <w:r>
              <w:rPr>
                <w:rFonts w:hint="eastAsia" w:ascii="仿宋" w:hAnsi="仿宋" w:eastAsia="仿宋" w:cs="仿宋"/>
                <w:b/>
                <w:bCs/>
                <w:color w:val="auto"/>
                <w:sz w:val="24"/>
                <w:szCs w:val="24"/>
              </w:rPr>
              <w:t>分；</w:t>
            </w:r>
          </w:p>
          <w:p>
            <w:pPr>
              <w:pStyle w:val="41"/>
              <w:rPr>
                <w:rFonts w:hint="eastAsia" w:ascii="仿宋" w:hAnsi="仿宋" w:eastAsia="仿宋" w:cs="仿宋"/>
                <w:b/>
                <w:bCs/>
                <w:color w:val="auto"/>
                <w:sz w:val="24"/>
                <w:szCs w:val="24"/>
              </w:rPr>
            </w:pPr>
            <w:r>
              <w:rPr>
                <w:rFonts w:hint="eastAsia" w:ascii="仿宋" w:hAnsi="仿宋" w:eastAsia="仿宋" w:cs="仿宋"/>
                <w:b/>
                <w:bCs/>
                <w:color w:val="auto"/>
                <w:sz w:val="24"/>
                <w:szCs w:val="24"/>
              </w:rPr>
              <w:t>重点内容分析基本完整、逻辑基本清晰，基本全面、合理，方案可行、较为规范，方案不存在严重缺项得</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分；</w:t>
            </w:r>
          </w:p>
          <w:p>
            <w:pPr>
              <w:ind w:left="0" w:leftChars="0" w:right="0" w:rightChars="0"/>
              <w:jc w:val="left"/>
              <w:rPr>
                <w:rFonts w:hint="eastAsia"/>
                <w:color w:val="auto"/>
                <w:lang w:val="zh-CN" w:eastAsia="zh-CN"/>
              </w:rPr>
            </w:pPr>
            <w:r>
              <w:rPr>
                <w:rFonts w:hint="eastAsia" w:ascii="仿宋" w:hAnsi="仿宋" w:eastAsia="仿宋" w:cs="仿宋"/>
                <w:b/>
                <w:bCs/>
                <w:color w:val="auto"/>
                <w:sz w:val="24"/>
                <w:szCs w:val="24"/>
              </w:rPr>
              <w:t>方案存在严重缺项或不提供，得0分。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0" w:hRule="atLeast"/>
          <w:jc w:val="center"/>
        </w:trPr>
        <w:tc>
          <w:tcPr>
            <w:tcW w:w="437" w:type="pct"/>
            <w:vMerge w:val="restart"/>
            <w:noWrap w:val="0"/>
            <w:vAlign w:val="center"/>
          </w:tcPr>
          <w:p>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ascii="宋体" w:hAnsi="宋体" w:eastAsia="仿宋" w:cs="宋体"/>
                <w:color w:val="auto"/>
                <w:kern w:val="0"/>
                <w:sz w:val="24"/>
                <w:szCs w:val="21"/>
                <w:highlight w:val="none"/>
                <w:lang w:val="en-US" w:eastAsia="zh-CN" w:bidi="zh-CN"/>
              </w:rPr>
              <w:t>2.2.4（</w:t>
            </w:r>
            <w:r>
              <w:rPr>
                <w:rFonts w:hint="eastAsia" w:cs="宋体"/>
                <w:color w:val="auto"/>
                <w:kern w:val="0"/>
                <w:sz w:val="24"/>
                <w:szCs w:val="21"/>
                <w:highlight w:val="none"/>
                <w:lang w:val="en-US" w:eastAsia="zh-CN" w:bidi="zh-CN"/>
              </w:rPr>
              <w:t>2</w:t>
            </w:r>
            <w:r>
              <w:rPr>
                <w:rFonts w:hint="eastAsia" w:ascii="宋体" w:hAnsi="宋体" w:eastAsia="仿宋" w:cs="宋体"/>
                <w:color w:val="auto"/>
                <w:kern w:val="0"/>
                <w:sz w:val="24"/>
                <w:szCs w:val="21"/>
                <w:highlight w:val="none"/>
                <w:lang w:val="en-US" w:eastAsia="zh-CN" w:bidi="zh-CN"/>
              </w:rPr>
              <w:t>）</w:t>
            </w:r>
          </w:p>
        </w:tc>
        <w:tc>
          <w:tcPr>
            <w:tcW w:w="613" w:type="pct"/>
            <w:gridSpan w:val="2"/>
            <w:vMerge w:val="restart"/>
            <w:noWrap w:val="0"/>
            <w:vAlign w:val="center"/>
          </w:tcPr>
          <w:p>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r>
              <w:rPr>
                <w:rFonts w:hint="eastAsia" w:cs="宋体"/>
                <w:color w:val="auto"/>
                <w:kern w:val="0"/>
                <w:sz w:val="24"/>
                <w:szCs w:val="21"/>
                <w:highlight w:val="none"/>
                <w:lang w:val="en-US" w:eastAsia="zh-CN" w:bidi="zh-CN"/>
              </w:rPr>
              <w:t>综合</w:t>
            </w:r>
            <w:r>
              <w:rPr>
                <w:rFonts w:hint="eastAsia" w:ascii="宋体" w:hAnsi="宋体" w:eastAsia="仿宋" w:cs="宋体"/>
                <w:color w:val="auto"/>
                <w:kern w:val="0"/>
                <w:sz w:val="24"/>
                <w:szCs w:val="21"/>
                <w:highlight w:val="none"/>
                <w:lang w:val="en-US" w:eastAsia="zh-CN" w:bidi="zh-CN"/>
              </w:rPr>
              <w:t>标部分</w:t>
            </w:r>
            <w:r>
              <w:rPr>
                <w:rFonts w:hint="eastAsia" w:cs="宋体"/>
                <w:color w:val="auto"/>
                <w:kern w:val="0"/>
                <w:sz w:val="24"/>
                <w:szCs w:val="21"/>
                <w:highlight w:val="none"/>
                <w:lang w:val="en-US" w:eastAsia="zh-CN" w:bidi="zh-CN"/>
              </w:rPr>
              <w:t>（30分）</w:t>
            </w:r>
            <w:r>
              <w:rPr>
                <w:rFonts w:hint="eastAsia" w:ascii="宋体" w:hAnsi="宋体" w:eastAsia="仿宋" w:cs="宋体"/>
                <w:color w:val="auto"/>
                <w:kern w:val="0"/>
                <w:sz w:val="24"/>
                <w:szCs w:val="21"/>
                <w:highlight w:val="none"/>
                <w:lang w:val="en-US" w:eastAsia="zh-CN" w:bidi="zh-CN"/>
              </w:rPr>
              <w:t xml:space="preserve"> </w:t>
            </w:r>
          </w:p>
        </w:tc>
        <w:tc>
          <w:tcPr>
            <w:tcW w:w="1096" w:type="pct"/>
            <w:shd w:val="clear" w:color="auto" w:fill="auto"/>
            <w:noWrap w:val="0"/>
            <w:vAlign w:val="center"/>
          </w:tcPr>
          <w:p>
            <w:pPr>
              <w:ind w:left="16" w:leftChars="0" w:right="0" w:rightChars="0" w:hanging="16" w:hangingChars="7"/>
              <w:jc w:val="center"/>
              <w:rPr>
                <w:rFonts w:hint="eastAsia" w:ascii="宋体" w:hAnsi="宋体" w:eastAsia="仿宋" w:cs="宋体"/>
                <w:b w:val="0"/>
                <w:bCs w:val="0"/>
                <w:color w:val="auto"/>
                <w:kern w:val="0"/>
                <w:sz w:val="24"/>
                <w:szCs w:val="21"/>
                <w:highlight w:val="none"/>
                <w:lang w:val="en-US" w:eastAsia="zh-CN" w:bidi="zh-CN"/>
              </w:rPr>
            </w:pPr>
            <w:r>
              <w:rPr>
                <w:rFonts w:hint="eastAsia" w:ascii="仿宋" w:hAnsi="仿宋" w:eastAsia="仿宋" w:cs="仿宋"/>
                <w:color w:val="auto"/>
                <w:kern w:val="2"/>
                <w:sz w:val="24"/>
                <w:szCs w:val="24"/>
                <w:highlight w:val="none"/>
                <w:lang w:val="en-US" w:eastAsia="zh-CN" w:bidi="ar-SA"/>
              </w:rPr>
              <w:t>企业业绩（</w:t>
            </w:r>
            <w:r>
              <w:rPr>
                <w:rFonts w:hint="eastAsia" w:ascii="仿宋" w:hAnsi="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eastAsia="zh-CN" w:bidi="ar-SA"/>
              </w:rPr>
              <w:t>分）</w:t>
            </w:r>
          </w:p>
        </w:tc>
        <w:tc>
          <w:tcPr>
            <w:tcW w:w="2852" w:type="pct"/>
            <w:shd w:val="clear" w:color="auto" w:fill="auto"/>
            <w:noWrap w:val="0"/>
            <w:vAlign w:val="center"/>
          </w:tcPr>
          <w:p>
            <w:pPr>
              <w:ind w:left="16" w:leftChars="0" w:hanging="16" w:hangingChars="7"/>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2021年1月1日（以合同签订时间为准）以来承担过的类似项目业绩，且需提供中标通知书、合同协议书，每份完整业绩得</w:t>
            </w:r>
            <w:r>
              <w:rPr>
                <w:rFonts w:hint="eastAsia" w:ascii="仿宋" w:hAnsi="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en-US" w:eastAsia="zh-CN" w:bidi="ar-SA"/>
              </w:rPr>
              <w:t>分，最多得</w:t>
            </w:r>
            <w:r>
              <w:rPr>
                <w:rFonts w:hint="eastAsia" w:ascii="仿宋" w:hAnsi="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en-US" w:eastAsia="zh-CN" w:bidi="ar-SA"/>
              </w:rPr>
              <w:t>分。</w:t>
            </w:r>
          </w:p>
          <w:p>
            <w:pPr>
              <w:ind w:left="17" w:leftChars="0" w:right="0" w:rightChars="0" w:hanging="17" w:hangingChars="7"/>
              <w:jc w:val="left"/>
              <w:rPr>
                <w:rFonts w:hint="eastAsia" w:ascii="宋体" w:hAnsi="宋体" w:eastAsia="仿宋" w:cs="宋体"/>
                <w:b w:val="0"/>
                <w:bCs w:val="0"/>
                <w:color w:val="auto"/>
                <w:kern w:val="0"/>
                <w:sz w:val="24"/>
                <w:szCs w:val="21"/>
                <w:highlight w:val="none"/>
                <w:lang w:val="en-US" w:eastAsia="zh-CN" w:bidi="zh-CN"/>
              </w:rPr>
            </w:pPr>
            <w:r>
              <w:rPr>
                <w:rFonts w:hint="eastAsia" w:ascii="仿宋" w:hAnsi="仿宋" w:eastAsia="仿宋" w:cs="仿宋"/>
                <w:b/>
                <w:bCs/>
                <w:color w:val="auto"/>
                <w:kern w:val="2"/>
                <w:sz w:val="24"/>
                <w:szCs w:val="24"/>
                <w:highlight w:val="none"/>
                <w:lang w:val="en-US" w:eastAsia="zh-CN" w:bidi="ar-SA"/>
              </w:rPr>
              <w:t>注：需提供合同、中标通知书（响应文件中附扫描件）。（以供应商企业诚信库“投标所需的其他材料”中上传的原件扫描件为准）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4" w:hRule="atLeast"/>
          <w:jc w:val="center"/>
        </w:trPr>
        <w:tc>
          <w:tcPr>
            <w:tcW w:w="437" w:type="pct"/>
            <w:vMerge w:val="continue"/>
            <w:noWrap w:val="0"/>
            <w:vAlign w:val="center"/>
          </w:tcPr>
          <w:p>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613" w:type="pct"/>
            <w:gridSpan w:val="2"/>
            <w:vMerge w:val="continue"/>
            <w:noWrap w:val="0"/>
            <w:vAlign w:val="center"/>
          </w:tcPr>
          <w:p>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1096" w:type="pct"/>
            <w:shd w:val="clear" w:color="auto" w:fill="auto"/>
            <w:noWrap w:val="0"/>
            <w:vAlign w:val="center"/>
          </w:tcPr>
          <w:p>
            <w:pPr>
              <w:ind w:left="16" w:leftChars="0" w:right="0" w:rightChars="0" w:hanging="16" w:hangingChars="7"/>
              <w:jc w:val="center"/>
              <w:rPr>
                <w:rFonts w:hint="eastAsia" w:ascii="宋体" w:hAnsi="宋体" w:eastAsia="仿宋" w:cs="宋体"/>
                <w:color w:val="auto"/>
                <w:kern w:val="0"/>
                <w:sz w:val="24"/>
                <w:szCs w:val="21"/>
                <w:highlight w:val="none"/>
                <w:lang w:val="en-US" w:eastAsia="zh-CN" w:bidi="zh-CN"/>
              </w:rPr>
            </w:pPr>
            <w:r>
              <w:rPr>
                <w:rFonts w:hint="eastAsia" w:ascii="仿宋" w:hAnsi="仿宋" w:eastAsia="仿宋" w:cs="仿宋"/>
                <w:color w:val="auto"/>
                <w:kern w:val="2"/>
                <w:sz w:val="24"/>
                <w:szCs w:val="24"/>
                <w:highlight w:val="none"/>
                <w:lang w:val="en-US" w:eastAsia="zh-CN" w:bidi="ar-SA"/>
              </w:rPr>
              <w:t>企业认证（</w:t>
            </w:r>
            <w:r>
              <w:rPr>
                <w:rFonts w:hint="eastAsia" w:ascii="仿宋" w:hAnsi="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en-US" w:eastAsia="zh-CN" w:bidi="ar-SA"/>
              </w:rPr>
              <w:t>分）</w:t>
            </w:r>
          </w:p>
        </w:tc>
        <w:tc>
          <w:tcPr>
            <w:tcW w:w="2852" w:type="pct"/>
            <w:shd w:val="clear" w:color="auto" w:fill="auto"/>
            <w:noWrap w:val="0"/>
            <w:vAlign w:val="center"/>
          </w:tcPr>
          <w:p>
            <w:pPr>
              <w:pStyle w:val="41"/>
              <w:rPr>
                <w:rFonts w:hint="eastAsia" w:ascii="宋体" w:hAnsi="宋体" w:eastAsia="仿宋" w:cs="宋体"/>
                <w:color w:val="auto"/>
                <w:kern w:val="0"/>
                <w:sz w:val="24"/>
                <w:szCs w:val="21"/>
                <w:highlight w:val="none"/>
                <w:lang w:val="en-US" w:eastAsia="zh-CN" w:bidi="zh-CN"/>
              </w:rPr>
            </w:pPr>
            <w:r>
              <w:rPr>
                <w:rFonts w:hint="eastAsia" w:ascii="仿宋" w:hAnsi="仿宋" w:eastAsia="仿宋" w:cs="仿宋"/>
                <w:color w:val="auto"/>
                <w:kern w:val="2"/>
                <w:sz w:val="24"/>
                <w:szCs w:val="24"/>
                <w:highlight w:val="none"/>
                <w:lang w:val="en-US" w:eastAsia="zh-CN" w:bidi="ar-SA"/>
              </w:rPr>
              <w:t>供应商通过ISO质量管理体系认证、环境管理体系认证、职业健康安全管理体系认证的，每个得1分，最高得3分，没有的不得分。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437" w:type="pct"/>
            <w:vMerge w:val="continue"/>
            <w:noWrap w:val="0"/>
            <w:vAlign w:val="center"/>
          </w:tcPr>
          <w:p>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613" w:type="pct"/>
            <w:gridSpan w:val="2"/>
            <w:vMerge w:val="continue"/>
            <w:noWrap w:val="0"/>
            <w:vAlign w:val="center"/>
          </w:tcPr>
          <w:p>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1096" w:type="pct"/>
            <w:vMerge w:val="restart"/>
            <w:noWrap w:val="0"/>
            <w:vAlign w:val="center"/>
          </w:tcPr>
          <w:p>
            <w:pPr>
              <w:ind w:left="360" w:leftChars="0" w:right="0" w:rightChars="0" w:hanging="360" w:hangingChars="150"/>
              <w:jc w:val="center"/>
              <w:rPr>
                <w:rFonts w:hint="eastAsia" w:ascii="宋体" w:hAnsi="宋体" w:eastAsia="仿宋" w:cs="宋体"/>
                <w:color w:val="auto"/>
                <w:kern w:val="0"/>
                <w:sz w:val="24"/>
                <w:szCs w:val="21"/>
                <w:highlight w:val="none"/>
                <w:lang w:val="en-US" w:eastAsia="zh-CN" w:bidi="zh-CN"/>
              </w:rPr>
            </w:pPr>
            <w:r>
              <w:rPr>
                <w:rFonts w:hint="eastAsia" w:ascii="仿宋" w:hAnsi="仿宋" w:eastAsia="仿宋" w:cs="仿宋"/>
                <w:color w:val="auto"/>
                <w:sz w:val="24"/>
                <w:szCs w:val="24"/>
                <w:highlight w:val="none"/>
                <w:lang w:val="en-US" w:eastAsia="zh-CN"/>
              </w:rPr>
              <w:t>优惠服务承诺（10分）</w:t>
            </w:r>
          </w:p>
        </w:tc>
        <w:tc>
          <w:tcPr>
            <w:tcW w:w="2852" w:type="pct"/>
            <w:noWrap w:val="0"/>
            <w:vAlign w:val="center"/>
          </w:tcPr>
          <w:p>
            <w:pPr>
              <w:pStyle w:val="41"/>
              <w:rPr>
                <w:rFonts w:hint="eastAsia" w:ascii="宋体" w:hAnsi="宋体" w:eastAsia="仿宋" w:cs="宋体"/>
                <w:color w:val="auto"/>
                <w:kern w:val="0"/>
                <w:sz w:val="24"/>
                <w:szCs w:val="21"/>
                <w:highlight w:val="none"/>
                <w:lang w:val="en-US" w:eastAsia="zh-CN" w:bidi="zh-CN"/>
              </w:rPr>
            </w:pPr>
            <w:r>
              <w:rPr>
                <w:rFonts w:hint="eastAsia" w:ascii="仿宋" w:hAnsi="仿宋" w:eastAsia="仿宋" w:cs="仿宋"/>
                <w:color w:val="auto"/>
                <w:sz w:val="24"/>
                <w:szCs w:val="24"/>
                <w:highlight w:val="none"/>
              </w:rPr>
              <w:t>1.有具体的优惠承诺，符合工程实际情况，确保依法依规，优惠合理，详实可行的得4-5分；一般得1-3分</w:t>
            </w:r>
            <w:r>
              <w:rPr>
                <w:rFonts w:hint="eastAsia" w:ascii="仿宋" w:hAnsi="仿宋" w:eastAsia="仿宋" w:cs="仿宋"/>
                <w:color w:val="auto"/>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jc w:val="center"/>
        </w:trPr>
        <w:tc>
          <w:tcPr>
            <w:tcW w:w="437" w:type="pct"/>
            <w:vMerge w:val="continue"/>
            <w:noWrap w:val="0"/>
            <w:vAlign w:val="center"/>
          </w:tcPr>
          <w:p>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613" w:type="pct"/>
            <w:gridSpan w:val="2"/>
            <w:vMerge w:val="continue"/>
            <w:noWrap w:val="0"/>
            <w:vAlign w:val="center"/>
          </w:tcPr>
          <w:p>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1096" w:type="pct"/>
            <w:vMerge w:val="continue"/>
            <w:noWrap w:val="0"/>
            <w:vAlign w:val="center"/>
          </w:tcPr>
          <w:p>
            <w:pPr>
              <w:ind w:left="360" w:leftChars="0" w:right="0" w:rightChars="0" w:hanging="360" w:hangingChars="150"/>
              <w:jc w:val="center"/>
              <w:rPr>
                <w:rFonts w:hint="eastAsia" w:ascii="仿宋" w:hAnsi="仿宋" w:eastAsia="仿宋" w:cs="仿宋"/>
                <w:color w:val="auto"/>
                <w:sz w:val="24"/>
                <w:szCs w:val="24"/>
                <w:highlight w:val="none"/>
                <w:lang w:val="en-US" w:eastAsia="zh-CN"/>
              </w:rPr>
            </w:pPr>
          </w:p>
        </w:tc>
        <w:tc>
          <w:tcPr>
            <w:tcW w:w="2852" w:type="pct"/>
            <w:noWrap w:val="0"/>
            <w:vAlign w:val="center"/>
          </w:tcPr>
          <w:p>
            <w:pPr>
              <w:pStyle w:val="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2.根据售后服务方案完整性、可行性及合理性得4-5分；一般得1-3分</w:t>
            </w:r>
            <w:r>
              <w:rPr>
                <w:rFonts w:hint="eastAsia" w:ascii="仿宋" w:hAnsi="仿宋" w:eastAsia="仿宋" w:cs="仿宋"/>
                <w:color w:val="auto"/>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437" w:type="pct"/>
            <w:vMerge w:val="continue"/>
            <w:noWrap w:val="0"/>
            <w:vAlign w:val="center"/>
          </w:tcPr>
          <w:p>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613" w:type="pct"/>
            <w:gridSpan w:val="2"/>
            <w:vMerge w:val="continue"/>
            <w:noWrap w:val="0"/>
            <w:vAlign w:val="center"/>
          </w:tcPr>
          <w:p>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1096" w:type="pct"/>
            <w:noWrap w:val="0"/>
            <w:vAlign w:val="center"/>
          </w:tcPr>
          <w:p>
            <w:pPr>
              <w:ind w:left="12" w:leftChars="0" w:right="0" w:rightChars="0" w:hanging="12" w:hangingChars="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项目管理机构（</w:t>
            </w:r>
            <w:r>
              <w:rPr>
                <w:rFonts w:hint="eastAsia" w:ascii="仿宋" w:hAnsi="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2852" w:type="pct"/>
            <w:noWrap w:val="0"/>
            <w:vAlign w:val="center"/>
          </w:tcPr>
          <w:p>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cs="仿宋"/>
                <w:b w:val="0"/>
                <w:bCs w:val="0"/>
                <w:color w:val="auto"/>
                <w:sz w:val="24"/>
                <w:szCs w:val="24"/>
                <w:highlight w:val="none"/>
                <w:lang w:val="en-US" w:eastAsia="zh-CN"/>
              </w:rPr>
              <w:t>技术</w:t>
            </w:r>
            <w:r>
              <w:rPr>
                <w:rFonts w:hint="eastAsia" w:ascii="仿宋" w:hAnsi="仿宋" w:eastAsia="仿宋" w:cs="仿宋"/>
                <w:b w:val="0"/>
                <w:bCs w:val="0"/>
                <w:color w:val="auto"/>
                <w:sz w:val="24"/>
                <w:szCs w:val="24"/>
                <w:highlight w:val="none"/>
                <w:lang w:val="en-US" w:eastAsia="zh-CN"/>
              </w:rPr>
              <w:t>负责人具有相关专业高级工程师得2分；</w:t>
            </w:r>
          </w:p>
          <w:p>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2.项目机构管理人员具有桥梁专业检测员或检测工程师证书的，每增加一人得1分，最多得</w:t>
            </w:r>
            <w:r>
              <w:rPr>
                <w:rFonts w:hint="eastAsia" w:ascii="仿宋" w:hAnsi="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lang w:val="en-US" w:eastAsia="zh-CN"/>
              </w:rPr>
              <w:t>分；</w:t>
            </w:r>
          </w:p>
          <w:p>
            <w:pPr>
              <w:ind w:left="0" w:leftChars="0" w:right="0" w:right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（以企业诚信库“投标所需资料”中证件原件的扫描件为准；）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437" w:type="pct"/>
            <w:vMerge w:val="continue"/>
            <w:noWrap w:val="0"/>
            <w:vAlign w:val="center"/>
          </w:tcPr>
          <w:p>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613" w:type="pct"/>
            <w:gridSpan w:val="2"/>
            <w:vMerge w:val="continue"/>
            <w:noWrap w:val="0"/>
            <w:vAlign w:val="center"/>
          </w:tcPr>
          <w:p>
            <w:pPr>
              <w:autoSpaceDE w:val="0"/>
              <w:autoSpaceDN w:val="0"/>
              <w:adjustRightInd w:val="0"/>
              <w:spacing w:line="320" w:lineRule="exact"/>
              <w:rPr>
                <w:rFonts w:hint="eastAsia" w:ascii="宋体" w:hAnsi="宋体" w:eastAsia="仿宋" w:cs="宋体"/>
                <w:color w:val="auto"/>
                <w:kern w:val="0"/>
                <w:sz w:val="24"/>
                <w:szCs w:val="21"/>
                <w:highlight w:val="none"/>
                <w:lang w:val="en-US" w:eastAsia="zh-CN" w:bidi="zh-CN"/>
              </w:rPr>
            </w:pPr>
          </w:p>
        </w:tc>
        <w:tc>
          <w:tcPr>
            <w:tcW w:w="1096" w:type="pct"/>
            <w:noWrap w:val="0"/>
            <w:vAlign w:val="center"/>
          </w:tcPr>
          <w:p>
            <w:pPr>
              <w:ind w:left="12" w:leftChars="0" w:right="0" w:rightChars="0" w:hanging="12" w:hangingChars="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响应文件总体评价</w:t>
            </w:r>
            <w:r>
              <w:rPr>
                <w:rFonts w:hint="eastAsia" w:ascii="仿宋" w:hAnsi="仿宋" w:cs="仿宋"/>
                <w:color w:val="auto"/>
                <w:sz w:val="24"/>
                <w:szCs w:val="24"/>
                <w:highlight w:val="none"/>
                <w:lang w:val="en-US" w:eastAsia="zh-CN"/>
              </w:rPr>
              <w:t>（3分）</w:t>
            </w:r>
          </w:p>
        </w:tc>
        <w:tc>
          <w:tcPr>
            <w:tcW w:w="2852" w:type="pct"/>
            <w:noWrap w:val="0"/>
            <w:vAlign w:val="center"/>
          </w:tcPr>
          <w:p>
            <w:pPr>
              <w:ind w:left="0"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评标委员会根据供应商的</w:t>
            </w:r>
            <w:r>
              <w:rPr>
                <w:rFonts w:hint="eastAsia" w:ascii="仿宋" w:hAnsi="仿宋" w:cs="仿宋"/>
                <w:color w:val="auto"/>
                <w:sz w:val="24"/>
                <w:szCs w:val="24"/>
                <w:highlight w:val="none"/>
                <w:lang w:val="en-US" w:eastAsia="zh-CN"/>
              </w:rPr>
              <w:t>响应</w:t>
            </w:r>
            <w:r>
              <w:rPr>
                <w:rFonts w:hint="eastAsia" w:ascii="仿宋" w:hAnsi="仿宋" w:eastAsia="仿宋" w:cs="仿宋"/>
                <w:color w:val="auto"/>
                <w:sz w:val="24"/>
                <w:szCs w:val="24"/>
                <w:highlight w:val="none"/>
              </w:rPr>
              <w:t xml:space="preserve">文件完整性，商务响应及技术应答是否具体、详实。 </w:t>
            </w:r>
          </w:p>
          <w:p>
            <w:pPr>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注：</w:t>
            </w:r>
            <w:r>
              <w:rPr>
                <w:rFonts w:hint="eastAsia" w:ascii="仿宋" w:hAnsi="仿宋" w:eastAsia="仿宋" w:cs="仿宋"/>
                <w:color w:val="auto"/>
                <w:sz w:val="24"/>
                <w:szCs w:val="24"/>
                <w:highlight w:val="none"/>
              </w:rPr>
              <w:t>第一档文件具体、详实可行的得3分</w:t>
            </w:r>
            <w:r>
              <w:rPr>
                <w:rFonts w:hint="eastAsia" w:ascii="仿宋" w:hAnsi="仿宋" w:cs="仿宋"/>
                <w:color w:val="auto"/>
                <w:sz w:val="24"/>
                <w:szCs w:val="24"/>
                <w:highlight w:val="none"/>
                <w:lang w:eastAsia="zh-CN"/>
              </w:rPr>
              <w:t>；</w:t>
            </w:r>
            <w:r>
              <w:rPr>
                <w:rFonts w:hint="eastAsia" w:ascii="仿宋" w:hAnsi="仿宋" w:eastAsia="仿宋" w:cs="仿宋"/>
                <w:color w:val="auto"/>
                <w:sz w:val="24"/>
                <w:szCs w:val="24"/>
                <w:highlight w:val="none"/>
              </w:rPr>
              <w:t>第二档文件具体、详实基本可行的得2分</w:t>
            </w:r>
            <w:r>
              <w:rPr>
                <w:rFonts w:hint="eastAsia" w:ascii="仿宋" w:hAnsi="仿宋" w:cs="仿宋"/>
                <w:color w:val="auto"/>
                <w:sz w:val="24"/>
                <w:szCs w:val="24"/>
                <w:highlight w:val="none"/>
                <w:lang w:eastAsia="zh-CN"/>
              </w:rPr>
              <w:t>；</w:t>
            </w:r>
            <w:r>
              <w:rPr>
                <w:rFonts w:hint="eastAsia" w:ascii="仿宋" w:hAnsi="仿宋" w:eastAsia="仿宋" w:cs="仿宋"/>
                <w:color w:val="auto"/>
                <w:sz w:val="24"/>
                <w:szCs w:val="24"/>
                <w:highlight w:val="none"/>
              </w:rPr>
              <w:t>第三档文件基本完整、投标文件响应不全面1分</w:t>
            </w:r>
            <w:r>
              <w:rPr>
                <w:rFonts w:hint="eastAsia" w:ascii="仿宋" w:hAnsi="仿宋" w:cs="仿宋"/>
                <w:color w:val="auto"/>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000" w:type="pct"/>
            <w:gridSpan w:val="5"/>
            <w:noWrap w:val="0"/>
            <w:vAlign w:val="center"/>
          </w:tcPr>
          <w:p>
            <w:pPr>
              <w:rPr>
                <w:rFonts w:hint="eastAsia" w:ascii="宋体" w:hAnsi="宋体" w:cs="宋体"/>
                <w:b/>
                <w:color w:val="auto"/>
                <w:szCs w:val="21"/>
              </w:rPr>
            </w:pPr>
            <w:r>
              <w:rPr>
                <w:rFonts w:hint="eastAsia" w:ascii="宋体" w:hAnsi="宋体" w:cs="宋体"/>
                <w:b/>
                <w:color w:val="auto"/>
                <w:szCs w:val="21"/>
              </w:rPr>
              <w:t>注：评分办法前附表中涉及的证件和材料</w:t>
            </w:r>
            <w:r>
              <w:rPr>
                <w:rFonts w:hint="eastAsia" w:ascii="宋体" w:hAnsi="宋体" w:cs="宋体"/>
                <w:b/>
                <w:bCs/>
                <w:color w:val="auto"/>
                <w:szCs w:val="21"/>
              </w:rPr>
              <w:t>以</w:t>
            </w:r>
            <w:r>
              <w:rPr>
                <w:rFonts w:hint="eastAsia" w:ascii="宋体" w:hAnsi="宋体" w:cs="宋体"/>
                <w:b/>
                <w:bCs/>
                <w:color w:val="auto"/>
                <w:szCs w:val="21"/>
                <w:lang w:val="en-US" w:eastAsia="zh-CN"/>
              </w:rPr>
              <w:t>南阳</w:t>
            </w:r>
            <w:r>
              <w:rPr>
                <w:rFonts w:hint="eastAsia" w:ascii="宋体" w:hAnsi="宋体"/>
                <w:b/>
                <w:bCs/>
                <w:color w:val="auto"/>
              </w:rPr>
              <w:t>企业诚信库中证件原件的扫描件为准</w:t>
            </w:r>
            <w:r>
              <w:rPr>
                <w:rFonts w:hint="eastAsia" w:ascii="宋体" w:hAnsi="宋体" w:cs="宋体"/>
                <w:b/>
                <w:color w:val="auto"/>
                <w:szCs w:val="21"/>
              </w:rPr>
              <w:t>，在投标文件中附复印件，</w:t>
            </w:r>
            <w:r>
              <w:rPr>
                <w:rFonts w:hint="eastAsia" w:ascii="宋体" w:hAnsi="宋体" w:cs="宋体"/>
                <w:b/>
                <w:color w:val="auto"/>
                <w:szCs w:val="21"/>
                <w:lang w:val="en-US" w:eastAsia="zh-CN"/>
              </w:rPr>
              <w:t>南阳</w:t>
            </w:r>
            <w:r>
              <w:rPr>
                <w:rFonts w:hint="eastAsia" w:ascii="宋体" w:hAnsi="宋体"/>
                <w:b/>
                <w:bCs/>
                <w:color w:val="auto"/>
              </w:rPr>
              <w:t>企业诚信库中证件原件的扫描件</w:t>
            </w:r>
            <w:r>
              <w:rPr>
                <w:rFonts w:hint="eastAsia" w:ascii="宋体" w:hAnsi="宋体" w:cs="宋体"/>
                <w:b/>
                <w:color w:val="auto"/>
                <w:szCs w:val="21"/>
              </w:rPr>
              <w:t>与投标文件中的复印件不一致者，均不得分；</w:t>
            </w:r>
          </w:p>
        </w:tc>
      </w:tr>
    </w:tbl>
    <w:p>
      <w:pPr>
        <w:tabs>
          <w:tab w:val="center" w:pos="882"/>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1、投标人提供的证明文件，应当保证其所证明事项的充分性、完整性，否则，将不予计分；且要求</w:t>
      </w:r>
      <w:r>
        <w:rPr>
          <w:rFonts w:hint="eastAsia" w:cs="宋体"/>
          <w:b/>
          <w:bCs/>
          <w:color w:val="auto"/>
          <w:szCs w:val="21"/>
          <w:highlight w:val="none"/>
          <w:lang w:eastAsia="zh-CN"/>
        </w:rPr>
        <w:t>磋商响应文件</w:t>
      </w:r>
      <w:r>
        <w:rPr>
          <w:rFonts w:hint="eastAsia" w:ascii="宋体" w:hAnsi="宋体" w:cs="宋体"/>
          <w:b/>
          <w:bCs/>
          <w:color w:val="auto"/>
          <w:szCs w:val="21"/>
          <w:highlight w:val="none"/>
        </w:rPr>
        <w:t>中附加盖公章的复印件，</w:t>
      </w:r>
      <w:r>
        <w:rPr>
          <w:rFonts w:hint="eastAsia" w:cs="宋体"/>
          <w:b/>
          <w:bCs/>
          <w:color w:val="auto"/>
          <w:szCs w:val="21"/>
          <w:highlight w:val="none"/>
          <w:lang w:eastAsia="zh-CN"/>
        </w:rPr>
        <w:t>磋商响应文件</w:t>
      </w:r>
      <w:r>
        <w:rPr>
          <w:rFonts w:hint="eastAsia" w:ascii="宋体" w:hAnsi="宋体" w:cs="宋体"/>
          <w:b/>
          <w:bCs/>
          <w:color w:val="auto"/>
          <w:szCs w:val="21"/>
          <w:highlight w:val="none"/>
        </w:rPr>
        <w:t>中的复印件应与诚信库中提交的原件扫描件一致，否则不得分。</w:t>
      </w:r>
    </w:p>
    <w:p>
      <w:pPr>
        <w:tabs>
          <w:tab w:val="center" w:pos="882"/>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2、团队人员资格业绩情况：提供技术职称证书、注册证书（如有）等。团队人员的专业类型，以技术职称证书或注册证书为准；技术职称证书或注册证书未标明的，以毕业证书为准。</w:t>
      </w:r>
    </w:p>
    <w:p>
      <w:pPr>
        <w:tabs>
          <w:tab w:val="center" w:pos="882"/>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3、以上所获得的荣誉证书均以行政主管部门或其委托的行业协会颁发的原件为准。</w:t>
      </w:r>
    </w:p>
    <w:p>
      <w:pPr>
        <w:tabs>
          <w:tab w:val="center" w:pos="882"/>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4、项目负责人与投标人业绩合同可以重复使用。</w:t>
      </w:r>
    </w:p>
    <w:p>
      <w:pPr>
        <w:pStyle w:val="36"/>
        <w:rPr>
          <w:rFonts w:hint="eastAsia"/>
          <w:color w:val="auto"/>
        </w:rPr>
      </w:pPr>
      <w:r>
        <w:rPr>
          <w:rFonts w:hint="eastAsia" w:ascii="宋体" w:hAnsi="宋体" w:cs="宋体"/>
          <w:b/>
          <w:bCs/>
          <w:color w:val="auto"/>
          <w:szCs w:val="21"/>
          <w:highlight w:val="none"/>
        </w:rPr>
        <w:t>注：以上所提供的原件扫描件必须按要求上传至诚信库所对应的栏目中，否则该项不得分。</w:t>
      </w:r>
    </w:p>
    <w:p>
      <w:pPr>
        <w:pStyle w:val="45"/>
        <w:rPr>
          <w:rFonts w:hint="eastAsia"/>
          <w:color w:val="auto"/>
        </w:rPr>
      </w:pPr>
    </w:p>
    <w:p>
      <w:pPr>
        <w:pStyle w:val="47"/>
        <w:numPr>
          <w:ilvl w:val="0"/>
          <w:numId w:val="6"/>
        </w:numPr>
        <w:tabs>
          <w:tab w:val="left" w:pos="1470"/>
        </w:tabs>
        <w:spacing w:before="99" w:after="0" w:line="240" w:lineRule="auto"/>
        <w:ind w:left="1470" w:right="0" w:hanging="360"/>
        <w:jc w:val="left"/>
        <w:rPr>
          <w:rFonts w:hint="eastAsia" w:ascii="仿宋" w:hAnsi="仿宋" w:eastAsia="仿宋" w:cs="仿宋"/>
          <w:color w:val="auto"/>
          <w:sz w:val="28"/>
          <w:szCs w:val="28"/>
        </w:rPr>
      </w:pPr>
      <w:bookmarkStart w:id="36" w:name="1.磋商方法"/>
      <w:bookmarkEnd w:id="36"/>
      <w:r>
        <w:rPr>
          <w:rFonts w:hint="eastAsia" w:ascii="仿宋" w:hAnsi="仿宋" w:eastAsia="仿宋" w:cs="仿宋"/>
          <w:color w:val="auto"/>
          <w:sz w:val="28"/>
          <w:szCs w:val="28"/>
        </w:rPr>
        <w:t>评审方法</w:t>
      </w:r>
    </w:p>
    <w:p>
      <w:pPr>
        <w:pStyle w:val="10"/>
        <w:spacing w:before="91" w:line="312" w:lineRule="auto"/>
        <w:ind w:right="535" w:firstLine="571"/>
        <w:jc w:val="left"/>
        <w:rPr>
          <w:rFonts w:hint="eastAsia" w:ascii="仿宋" w:hAnsi="仿宋" w:eastAsia="仿宋" w:cs="仿宋"/>
          <w:color w:val="auto"/>
          <w:sz w:val="28"/>
          <w:szCs w:val="28"/>
        </w:rPr>
      </w:pPr>
      <w:r>
        <w:rPr>
          <w:rFonts w:hint="eastAsia" w:ascii="仿宋" w:hAnsi="仿宋" w:eastAsia="仿宋" w:cs="仿宋"/>
          <w:color w:val="auto"/>
          <w:sz w:val="28"/>
          <w:szCs w:val="28"/>
        </w:rPr>
        <w:t>本次评审采用综合评分法。磋商小组对满足磋商文件要求的响应文件，按照本章规定的评审标准进行评审，按评审办法的量化指标评审得分由高到低顺序推荐</w:t>
      </w:r>
      <w:r>
        <w:rPr>
          <w:rFonts w:hint="eastAsia" w:ascii="仿宋" w:hAnsi="仿宋" w:eastAsia="仿宋" w:cs="仿宋"/>
          <w:color w:val="auto"/>
          <w:spacing w:val="-6"/>
          <w:sz w:val="28"/>
          <w:szCs w:val="28"/>
        </w:rPr>
        <w:t>候选供应商排名。评审得分相同的，按照最后磋商报价由低到高的顺序推荐。评审得分</w:t>
      </w:r>
      <w:r>
        <w:rPr>
          <w:rFonts w:hint="eastAsia" w:ascii="仿宋" w:hAnsi="仿宋" w:eastAsia="仿宋" w:cs="仿宋"/>
          <w:color w:val="auto"/>
          <w:sz w:val="28"/>
          <w:szCs w:val="28"/>
        </w:rPr>
        <w:t>且最后报价相同的，按照供应商拟定的实施方案优劣顺序推荐。</w:t>
      </w:r>
    </w:p>
    <w:p>
      <w:pPr>
        <w:pStyle w:val="47"/>
        <w:numPr>
          <w:ilvl w:val="0"/>
          <w:numId w:val="6"/>
        </w:numPr>
        <w:tabs>
          <w:tab w:val="left" w:pos="1470"/>
        </w:tabs>
        <w:spacing w:before="2" w:after="0" w:line="240" w:lineRule="auto"/>
        <w:ind w:left="1470" w:right="0" w:hanging="360"/>
        <w:jc w:val="left"/>
        <w:rPr>
          <w:rFonts w:hint="eastAsia" w:ascii="仿宋" w:hAnsi="仿宋" w:eastAsia="仿宋" w:cs="仿宋"/>
          <w:color w:val="auto"/>
          <w:sz w:val="28"/>
          <w:szCs w:val="28"/>
        </w:rPr>
      </w:pPr>
      <w:r>
        <w:rPr>
          <w:rFonts w:hint="eastAsia" w:ascii="仿宋" w:hAnsi="仿宋" w:eastAsia="仿宋" w:cs="仿宋"/>
          <w:color w:val="auto"/>
          <w:sz w:val="28"/>
          <w:szCs w:val="28"/>
        </w:rPr>
        <w:t>评审标准</w:t>
      </w:r>
    </w:p>
    <w:p>
      <w:pPr>
        <w:pStyle w:val="47"/>
        <w:numPr>
          <w:ilvl w:val="1"/>
          <w:numId w:val="6"/>
        </w:numPr>
        <w:tabs>
          <w:tab w:val="left" w:pos="1590"/>
        </w:tabs>
        <w:spacing w:before="93" w:after="0" w:line="240" w:lineRule="auto"/>
        <w:ind w:left="1590" w:right="0" w:hanging="480"/>
        <w:jc w:val="left"/>
        <w:rPr>
          <w:rFonts w:hint="eastAsia" w:ascii="仿宋" w:hAnsi="仿宋" w:eastAsia="仿宋" w:cs="仿宋"/>
          <w:color w:val="auto"/>
          <w:sz w:val="28"/>
          <w:szCs w:val="28"/>
        </w:rPr>
      </w:pPr>
      <w:r>
        <w:rPr>
          <w:rFonts w:hint="eastAsia" w:ascii="仿宋" w:hAnsi="仿宋" w:eastAsia="仿宋" w:cs="仿宋"/>
          <w:color w:val="auto"/>
          <w:sz w:val="28"/>
          <w:szCs w:val="28"/>
        </w:rPr>
        <w:t>磋商响应文件初审</w:t>
      </w:r>
    </w:p>
    <w:p>
      <w:pPr>
        <w:pStyle w:val="47"/>
        <w:numPr>
          <w:ilvl w:val="2"/>
          <w:numId w:val="6"/>
        </w:numPr>
        <w:tabs>
          <w:tab w:val="left" w:pos="1830"/>
        </w:tabs>
        <w:spacing w:before="0" w:after="0" w:line="307" w:lineRule="exact"/>
        <w:ind w:left="1830" w:right="0" w:hanging="72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形式评审</w:t>
      </w:r>
      <w:r>
        <w:rPr>
          <w:rFonts w:hint="eastAsia" w:ascii="仿宋" w:hAnsi="仿宋" w:eastAsia="仿宋" w:cs="仿宋"/>
          <w:color w:val="auto"/>
          <w:sz w:val="28"/>
          <w:szCs w:val="28"/>
        </w:rPr>
        <w:t>标准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见磋商办法前附表</w:t>
      </w:r>
      <w:r>
        <w:rPr>
          <w:rFonts w:hint="eastAsia" w:ascii="仿宋" w:hAnsi="仿宋" w:eastAsia="仿宋" w:cs="仿宋"/>
          <w:color w:val="auto"/>
          <w:sz w:val="28"/>
          <w:szCs w:val="28"/>
        </w:rPr>
        <w:t>。</w:t>
      </w:r>
    </w:p>
    <w:p>
      <w:pPr>
        <w:pStyle w:val="47"/>
        <w:numPr>
          <w:ilvl w:val="2"/>
          <w:numId w:val="6"/>
        </w:numPr>
        <w:tabs>
          <w:tab w:val="left" w:pos="1830"/>
        </w:tabs>
        <w:spacing w:before="91" w:after="0" w:line="240" w:lineRule="auto"/>
        <w:ind w:left="1830" w:right="0" w:hanging="720"/>
        <w:jc w:val="left"/>
        <w:rPr>
          <w:rFonts w:hint="eastAsia" w:ascii="仿宋" w:hAnsi="仿宋" w:eastAsia="仿宋" w:cs="仿宋"/>
          <w:color w:val="auto"/>
          <w:sz w:val="28"/>
          <w:szCs w:val="28"/>
        </w:rPr>
      </w:pPr>
      <w:r>
        <w:rPr>
          <w:rFonts w:hint="eastAsia" w:ascii="仿宋" w:hAnsi="仿宋" w:eastAsia="仿宋" w:cs="仿宋"/>
          <w:color w:val="auto"/>
          <w:sz w:val="28"/>
          <w:szCs w:val="28"/>
        </w:rPr>
        <w:t>资格性检查标准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见磋商办法前附表</w:t>
      </w:r>
      <w:r>
        <w:rPr>
          <w:rFonts w:hint="eastAsia" w:ascii="仿宋" w:hAnsi="仿宋" w:eastAsia="仿宋" w:cs="仿宋"/>
          <w:color w:val="auto"/>
          <w:sz w:val="28"/>
          <w:szCs w:val="28"/>
        </w:rPr>
        <w:t>。</w:t>
      </w:r>
    </w:p>
    <w:p>
      <w:pPr>
        <w:pStyle w:val="47"/>
        <w:numPr>
          <w:ilvl w:val="2"/>
          <w:numId w:val="6"/>
        </w:numPr>
        <w:tabs>
          <w:tab w:val="left" w:pos="1830"/>
        </w:tabs>
        <w:spacing w:before="0" w:after="0" w:line="307" w:lineRule="exact"/>
        <w:ind w:left="1830" w:right="0" w:hanging="72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lang w:eastAsia="zh-CN"/>
        </w:rPr>
        <w:t>性</w:t>
      </w:r>
      <w:r>
        <w:rPr>
          <w:rFonts w:hint="eastAsia" w:ascii="仿宋" w:hAnsi="仿宋" w:eastAsia="仿宋" w:cs="仿宋"/>
          <w:color w:val="auto"/>
          <w:sz w:val="28"/>
          <w:szCs w:val="28"/>
        </w:rPr>
        <w:t>检查评审标准：</w:t>
      </w:r>
      <w:r>
        <w:rPr>
          <w:rFonts w:hint="eastAsia" w:ascii="仿宋" w:hAnsi="仿宋" w:eastAsia="仿宋" w:cs="仿宋"/>
          <w:color w:val="auto"/>
          <w:sz w:val="28"/>
          <w:szCs w:val="28"/>
          <w:lang w:val="en-US" w:eastAsia="zh-CN"/>
        </w:rPr>
        <w:t>见磋商办法前附表。</w:t>
      </w:r>
    </w:p>
    <w:p>
      <w:pPr>
        <w:pStyle w:val="47"/>
        <w:numPr>
          <w:ilvl w:val="2"/>
          <w:numId w:val="6"/>
        </w:numPr>
        <w:tabs>
          <w:tab w:val="left" w:pos="1830"/>
        </w:tabs>
        <w:spacing w:before="0" w:after="0" w:line="307" w:lineRule="exact"/>
        <w:ind w:left="1830" w:right="0" w:hanging="72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符合下列条件的响应文件，其投标将被否决，不再进入详细的评审阶段； </w:t>
      </w:r>
    </w:p>
    <w:p>
      <w:pPr>
        <w:pStyle w:val="47"/>
        <w:numPr>
          <w:ilvl w:val="0"/>
          <w:numId w:val="0"/>
        </w:numPr>
        <w:tabs>
          <w:tab w:val="left" w:pos="1830"/>
        </w:tabs>
        <w:spacing w:before="0" w:after="0" w:line="307" w:lineRule="exact"/>
        <w:ind w:left="1110" w:leftChars="0" w:right="0" w:rightChars="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●响应文件未按规定编写，未按要求加盖单位电子签章或法定代表人或被授权委托人签字或盖章的； </w:t>
      </w:r>
    </w:p>
    <w:p>
      <w:pPr>
        <w:pStyle w:val="47"/>
        <w:numPr>
          <w:ilvl w:val="0"/>
          <w:numId w:val="0"/>
        </w:numPr>
        <w:tabs>
          <w:tab w:val="left" w:pos="1830"/>
        </w:tabs>
        <w:spacing w:before="0" w:after="0" w:line="307" w:lineRule="exact"/>
        <w:ind w:left="1110" w:leftChars="0" w:right="0" w:rightChars="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●响应文件无报价，报价出现负数或投标报价高于采购控制价的； </w:t>
      </w:r>
    </w:p>
    <w:p>
      <w:pPr>
        <w:pStyle w:val="47"/>
        <w:numPr>
          <w:ilvl w:val="0"/>
          <w:numId w:val="0"/>
        </w:numPr>
        <w:tabs>
          <w:tab w:val="left" w:pos="1830"/>
        </w:tabs>
        <w:spacing w:before="0" w:after="0" w:line="307" w:lineRule="exact"/>
        <w:ind w:left="1110" w:leftChars="0" w:right="0" w:rightChars="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●响应文件附有采购人不能接受的条件的； </w:t>
      </w:r>
    </w:p>
    <w:p>
      <w:pPr>
        <w:pStyle w:val="47"/>
        <w:numPr>
          <w:ilvl w:val="0"/>
          <w:numId w:val="0"/>
        </w:numPr>
        <w:tabs>
          <w:tab w:val="left" w:pos="1830"/>
        </w:tabs>
        <w:spacing w:before="0" w:after="0" w:line="307" w:lineRule="exact"/>
        <w:ind w:left="1110" w:leftChars="0" w:right="0" w:rightChars="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●有关法律法规规章规定的其他情况。 </w:t>
      </w:r>
    </w:p>
    <w:p>
      <w:pPr>
        <w:pStyle w:val="47"/>
        <w:numPr>
          <w:ilvl w:val="0"/>
          <w:numId w:val="6"/>
        </w:numPr>
        <w:tabs>
          <w:tab w:val="left" w:pos="1470"/>
        </w:tabs>
        <w:spacing w:before="2" w:after="0" w:line="240" w:lineRule="auto"/>
        <w:ind w:left="1470" w:right="0" w:hanging="36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分值构成与评分标准 </w:t>
      </w:r>
    </w:p>
    <w:p>
      <w:pPr>
        <w:pStyle w:val="47"/>
        <w:numPr>
          <w:ilvl w:val="0"/>
          <w:numId w:val="0"/>
        </w:numPr>
        <w:tabs>
          <w:tab w:val="left" w:pos="1830"/>
        </w:tabs>
        <w:spacing w:before="0" w:after="0" w:line="307" w:lineRule="exact"/>
        <w:ind w:right="0" w:rightChars="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（1）分值构成 </w:t>
      </w:r>
    </w:p>
    <w:p>
      <w:pPr>
        <w:pStyle w:val="47"/>
        <w:numPr>
          <w:ilvl w:val="0"/>
          <w:numId w:val="0"/>
        </w:numPr>
        <w:tabs>
          <w:tab w:val="left" w:pos="1830"/>
        </w:tabs>
        <w:spacing w:before="0" w:after="0" w:line="307" w:lineRule="exact"/>
        <w:ind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磋商报价：见磋商办法前附表； </w:t>
      </w:r>
    </w:p>
    <w:p>
      <w:pPr>
        <w:pStyle w:val="47"/>
        <w:numPr>
          <w:ilvl w:val="0"/>
          <w:numId w:val="0"/>
        </w:numPr>
        <w:tabs>
          <w:tab w:val="left" w:pos="1830"/>
        </w:tabs>
        <w:spacing w:before="0" w:after="0" w:line="307" w:lineRule="exact"/>
        <w:ind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商务标：见磋商办法前附表； </w:t>
      </w:r>
    </w:p>
    <w:p>
      <w:pPr>
        <w:pStyle w:val="47"/>
        <w:numPr>
          <w:ilvl w:val="0"/>
          <w:numId w:val="0"/>
        </w:numPr>
        <w:tabs>
          <w:tab w:val="left" w:pos="1830"/>
        </w:tabs>
        <w:spacing w:before="0" w:after="0" w:line="307" w:lineRule="exact"/>
        <w:ind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c 技术标：见磋商办法前附表。 </w:t>
      </w:r>
    </w:p>
    <w:p>
      <w:pPr>
        <w:pStyle w:val="47"/>
        <w:numPr>
          <w:ilvl w:val="0"/>
          <w:numId w:val="0"/>
        </w:numPr>
        <w:tabs>
          <w:tab w:val="left" w:pos="1830"/>
        </w:tabs>
        <w:spacing w:before="0" w:after="0" w:line="307" w:lineRule="exact"/>
        <w:ind w:right="0" w:rightChars="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（2）磋商基准价计算 </w:t>
      </w:r>
    </w:p>
    <w:p>
      <w:pPr>
        <w:pStyle w:val="47"/>
        <w:numPr>
          <w:ilvl w:val="0"/>
          <w:numId w:val="0"/>
        </w:numPr>
        <w:tabs>
          <w:tab w:val="left" w:pos="1830"/>
        </w:tabs>
        <w:spacing w:before="0" w:after="0" w:line="307" w:lineRule="exact"/>
        <w:ind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磋商基准价计算方法：见磋商办法前附表； </w:t>
      </w:r>
    </w:p>
    <w:p>
      <w:pPr>
        <w:pStyle w:val="47"/>
        <w:numPr>
          <w:ilvl w:val="0"/>
          <w:numId w:val="0"/>
        </w:numPr>
        <w:tabs>
          <w:tab w:val="left" w:pos="1830"/>
        </w:tabs>
        <w:spacing w:before="0" w:after="0" w:line="307" w:lineRule="exact"/>
        <w:ind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磋商报价评审方法：见磋商办法前附表。 </w:t>
      </w:r>
    </w:p>
    <w:p>
      <w:pPr>
        <w:pStyle w:val="47"/>
        <w:numPr>
          <w:ilvl w:val="0"/>
          <w:numId w:val="0"/>
        </w:numPr>
        <w:tabs>
          <w:tab w:val="left" w:pos="1830"/>
        </w:tabs>
        <w:spacing w:before="0" w:after="0" w:line="307" w:lineRule="exact"/>
        <w:ind w:right="0" w:rightChars="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（3）评分标准 </w:t>
      </w:r>
    </w:p>
    <w:p>
      <w:pPr>
        <w:pStyle w:val="47"/>
        <w:numPr>
          <w:ilvl w:val="0"/>
          <w:numId w:val="0"/>
        </w:numPr>
        <w:tabs>
          <w:tab w:val="left" w:pos="1830"/>
        </w:tabs>
        <w:spacing w:before="0" w:after="0" w:line="307" w:lineRule="exact"/>
        <w:ind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磋商报价评分标准：见磋商办法前附表； </w:t>
      </w:r>
    </w:p>
    <w:p>
      <w:pPr>
        <w:pStyle w:val="47"/>
        <w:numPr>
          <w:ilvl w:val="0"/>
          <w:numId w:val="0"/>
        </w:numPr>
        <w:tabs>
          <w:tab w:val="left" w:pos="1830"/>
        </w:tabs>
        <w:spacing w:before="0" w:after="0" w:line="307" w:lineRule="exact"/>
        <w:ind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商务标评分标准：见磋商办法前附表； </w:t>
      </w:r>
    </w:p>
    <w:p>
      <w:pPr>
        <w:pStyle w:val="47"/>
        <w:numPr>
          <w:ilvl w:val="0"/>
          <w:numId w:val="0"/>
        </w:numPr>
        <w:tabs>
          <w:tab w:val="left" w:pos="1830"/>
        </w:tabs>
        <w:spacing w:before="0" w:after="0" w:line="307" w:lineRule="exact"/>
        <w:ind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c 技术标评分标准：见磋商办法前附表。 </w:t>
      </w:r>
    </w:p>
    <w:p>
      <w:pPr>
        <w:pStyle w:val="47"/>
        <w:numPr>
          <w:ilvl w:val="0"/>
          <w:numId w:val="0"/>
        </w:numPr>
        <w:tabs>
          <w:tab w:val="left" w:pos="1830"/>
        </w:tabs>
        <w:spacing w:before="0" w:after="0" w:line="307" w:lineRule="exact"/>
        <w:ind w:right="0" w:rightChars="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（4）最终得分的确定 </w:t>
      </w:r>
    </w:p>
    <w:p>
      <w:pPr>
        <w:pStyle w:val="47"/>
        <w:numPr>
          <w:ilvl w:val="0"/>
          <w:numId w:val="0"/>
        </w:numPr>
        <w:tabs>
          <w:tab w:val="left" w:pos="1830"/>
        </w:tabs>
        <w:spacing w:before="0" w:after="0" w:line="307" w:lineRule="exact"/>
        <w:ind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a 供应商最终得分=磋商报价部分得分+商务标部分得分+技术标部分得分； </w:t>
      </w:r>
    </w:p>
    <w:p>
      <w:pPr>
        <w:pStyle w:val="47"/>
        <w:numPr>
          <w:ilvl w:val="0"/>
          <w:numId w:val="0"/>
        </w:numPr>
        <w:tabs>
          <w:tab w:val="left" w:pos="1830"/>
        </w:tabs>
        <w:spacing w:before="0" w:after="0" w:line="307" w:lineRule="exact"/>
        <w:ind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b 磋商小组完成对磋商报价、商务标和技术标的汇总后，取平均值作为该供应商的最终得分； </w:t>
      </w:r>
    </w:p>
    <w:p>
      <w:pPr>
        <w:pStyle w:val="47"/>
        <w:numPr>
          <w:ilvl w:val="0"/>
          <w:numId w:val="0"/>
        </w:numPr>
        <w:tabs>
          <w:tab w:val="left" w:pos="1830"/>
        </w:tabs>
        <w:spacing w:before="0" w:after="0" w:line="307" w:lineRule="exact"/>
        <w:ind w:right="0" w:rightChars="0" w:firstLine="560" w:firstLineChars="200"/>
        <w:jc w:val="left"/>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 xml:space="preserve">c 最终得分计算分值保留两位小数。 </w:t>
      </w:r>
    </w:p>
    <w:p>
      <w:pPr>
        <w:pStyle w:val="47"/>
        <w:numPr>
          <w:ilvl w:val="1"/>
          <w:numId w:val="6"/>
        </w:numPr>
        <w:tabs>
          <w:tab w:val="left" w:pos="1590"/>
        </w:tabs>
        <w:spacing w:before="91" w:after="0" w:line="240" w:lineRule="auto"/>
        <w:ind w:left="1590" w:right="0" w:hanging="480"/>
        <w:jc w:val="left"/>
        <w:rPr>
          <w:rFonts w:hint="eastAsia" w:ascii="仿宋" w:hAnsi="仿宋" w:eastAsia="仿宋" w:cs="仿宋"/>
          <w:color w:val="auto"/>
          <w:sz w:val="28"/>
          <w:szCs w:val="28"/>
        </w:rPr>
      </w:pPr>
      <w:r>
        <w:rPr>
          <w:rFonts w:hint="eastAsia" w:ascii="仿宋" w:hAnsi="仿宋" w:eastAsia="仿宋" w:cs="仿宋"/>
          <w:color w:val="auto"/>
          <w:sz w:val="28"/>
          <w:szCs w:val="28"/>
        </w:rPr>
        <w:t>澄清有关问题</w:t>
      </w:r>
    </w:p>
    <w:p>
      <w:pPr>
        <w:pStyle w:val="47"/>
        <w:keepNext w:val="0"/>
        <w:keepLines w:val="0"/>
        <w:pageBreakBefore w:val="0"/>
        <w:widowControl w:val="0"/>
        <w:numPr>
          <w:ilvl w:val="2"/>
          <w:numId w:val="6"/>
        </w:numPr>
        <w:tabs>
          <w:tab w:val="left" w:pos="1833"/>
        </w:tabs>
        <w:kinsoku/>
        <w:wordWrap/>
        <w:overflowPunct/>
        <w:topLinePunct w:val="0"/>
        <w:autoSpaceDE w:val="0"/>
        <w:autoSpaceDN w:val="0"/>
        <w:bidi w:val="0"/>
        <w:adjustRightInd/>
        <w:snapToGrid/>
        <w:spacing w:before="93" w:after="0" w:line="400" w:lineRule="exact"/>
        <w:ind w:left="538" w:right="533" w:firstLine="571"/>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对响应文件中含义不明确、同类问题表述不一致或者有明显文字和计算错</w:t>
      </w:r>
      <w:r>
        <w:rPr>
          <w:rFonts w:hint="eastAsia" w:ascii="仿宋" w:hAnsi="仿宋" w:eastAsia="仿宋" w:cs="仿宋"/>
          <w:color w:val="auto"/>
          <w:spacing w:val="-5"/>
          <w:sz w:val="28"/>
          <w:szCs w:val="28"/>
        </w:rPr>
        <w:t>误的内容，磋商小组可以书面形式</w:t>
      </w:r>
      <w:r>
        <w:rPr>
          <w:rFonts w:hint="eastAsia" w:ascii="仿宋" w:hAnsi="仿宋" w:eastAsia="仿宋" w:cs="仿宋"/>
          <w:color w:val="auto"/>
          <w:sz w:val="28"/>
          <w:szCs w:val="28"/>
        </w:rPr>
        <w:t>（应当由磋商小组专家签字</w:t>
      </w:r>
      <w:r>
        <w:rPr>
          <w:rFonts w:hint="eastAsia" w:ascii="仿宋" w:hAnsi="仿宋" w:eastAsia="仿宋" w:cs="仿宋"/>
          <w:color w:val="auto"/>
          <w:spacing w:val="-17"/>
          <w:sz w:val="28"/>
          <w:szCs w:val="28"/>
        </w:rPr>
        <w:t>）</w:t>
      </w:r>
      <w:r>
        <w:rPr>
          <w:rFonts w:hint="eastAsia" w:ascii="仿宋" w:hAnsi="仿宋" w:eastAsia="仿宋" w:cs="仿宋"/>
          <w:color w:val="auto"/>
          <w:spacing w:val="-2"/>
          <w:sz w:val="28"/>
          <w:szCs w:val="28"/>
        </w:rPr>
        <w:t>要求供应商作出必要的</w:t>
      </w:r>
      <w:r>
        <w:rPr>
          <w:rFonts w:hint="eastAsia" w:ascii="仿宋" w:hAnsi="仿宋" w:eastAsia="仿宋" w:cs="仿宋"/>
          <w:color w:val="auto"/>
          <w:spacing w:val="-7"/>
          <w:sz w:val="28"/>
          <w:szCs w:val="28"/>
        </w:rPr>
        <w:t>澄清、说明或者纠正。供应商的澄清、说明或者补正应当采用书面形式，由其授权代表</w:t>
      </w:r>
      <w:r>
        <w:rPr>
          <w:rFonts w:hint="eastAsia" w:ascii="仿宋" w:hAnsi="仿宋" w:eastAsia="仿宋" w:cs="仿宋"/>
          <w:color w:val="auto"/>
          <w:sz w:val="28"/>
          <w:szCs w:val="28"/>
        </w:rPr>
        <w:t>人签字，并不得超出响应文件的范围或者改变响应文件的实质性内容。</w:t>
      </w:r>
    </w:p>
    <w:p>
      <w:pPr>
        <w:pStyle w:val="47"/>
        <w:keepNext w:val="0"/>
        <w:keepLines w:val="0"/>
        <w:pageBreakBefore w:val="0"/>
        <w:widowControl w:val="0"/>
        <w:numPr>
          <w:ilvl w:val="2"/>
          <w:numId w:val="6"/>
        </w:numPr>
        <w:tabs>
          <w:tab w:val="left" w:pos="1833"/>
        </w:tabs>
        <w:kinsoku/>
        <w:wordWrap/>
        <w:overflowPunct/>
        <w:topLinePunct w:val="0"/>
        <w:autoSpaceDE w:val="0"/>
        <w:autoSpaceDN w:val="0"/>
        <w:bidi w:val="0"/>
        <w:adjustRightInd/>
        <w:snapToGrid/>
        <w:spacing w:before="2" w:after="0" w:line="400" w:lineRule="exact"/>
        <w:ind w:left="538" w:right="545" w:firstLine="571"/>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磋商小组要求供应商澄清、说明或者更正响应文件应当以书面形式作出。供应商的澄清、说明或者更正应当由法定代表人或授权代表人签字或者加盖公章。</w:t>
      </w:r>
    </w:p>
    <w:p>
      <w:pPr>
        <w:pStyle w:val="47"/>
        <w:keepNext w:val="0"/>
        <w:keepLines w:val="0"/>
        <w:pageBreakBefore w:val="0"/>
        <w:widowControl w:val="0"/>
        <w:numPr>
          <w:ilvl w:val="1"/>
          <w:numId w:val="6"/>
        </w:numPr>
        <w:tabs>
          <w:tab w:val="left" w:pos="1590"/>
        </w:tabs>
        <w:kinsoku/>
        <w:wordWrap/>
        <w:overflowPunct/>
        <w:topLinePunct w:val="0"/>
        <w:autoSpaceDE w:val="0"/>
        <w:autoSpaceDN w:val="0"/>
        <w:bidi w:val="0"/>
        <w:adjustRightInd/>
        <w:snapToGrid/>
        <w:spacing w:before="0" w:after="0" w:line="400" w:lineRule="exact"/>
        <w:ind w:left="1590" w:right="0" w:hanging="48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比较与评价</w:t>
      </w:r>
    </w:p>
    <w:p>
      <w:pPr>
        <w:pStyle w:val="47"/>
        <w:keepNext w:val="0"/>
        <w:keepLines w:val="0"/>
        <w:pageBreakBefore w:val="0"/>
        <w:widowControl w:val="0"/>
        <w:numPr>
          <w:ilvl w:val="2"/>
          <w:numId w:val="6"/>
        </w:numPr>
        <w:tabs>
          <w:tab w:val="left" w:pos="1833"/>
        </w:tabs>
        <w:kinsoku/>
        <w:wordWrap/>
        <w:overflowPunct/>
        <w:topLinePunct w:val="0"/>
        <w:autoSpaceDE w:val="0"/>
        <w:autoSpaceDN w:val="0"/>
        <w:bidi w:val="0"/>
        <w:adjustRightInd/>
        <w:snapToGrid/>
        <w:spacing w:before="94" w:after="0" w:line="400" w:lineRule="exact"/>
        <w:ind w:left="538" w:right="545" w:firstLine="571"/>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按磋商文件中规定的评审方法和标准，对资格性检查和符合性检查合格的响应文件进行详细评审，详细</w:t>
      </w:r>
      <w:r>
        <w:rPr>
          <w:rFonts w:hint="eastAsia" w:ascii="仿宋" w:hAnsi="仿宋" w:eastAsia="仿宋" w:cs="仿宋"/>
          <w:color w:val="auto"/>
          <w:sz w:val="28"/>
          <w:szCs w:val="28"/>
          <w:lang w:eastAsia="zh-CN"/>
        </w:rPr>
        <w:t>评审</w:t>
      </w:r>
      <w:r>
        <w:rPr>
          <w:rFonts w:hint="eastAsia" w:ascii="仿宋" w:hAnsi="仿宋" w:eastAsia="仿宋" w:cs="仿宋"/>
          <w:color w:val="auto"/>
          <w:sz w:val="28"/>
          <w:szCs w:val="28"/>
        </w:rPr>
        <w:t>标准：见评审方法前附表。</w:t>
      </w:r>
    </w:p>
    <w:p>
      <w:pPr>
        <w:pStyle w:val="47"/>
        <w:keepNext w:val="0"/>
        <w:keepLines w:val="0"/>
        <w:pageBreakBefore w:val="0"/>
        <w:widowControl w:val="0"/>
        <w:numPr>
          <w:ilvl w:val="2"/>
          <w:numId w:val="6"/>
        </w:numPr>
        <w:tabs>
          <w:tab w:val="left" w:pos="1830"/>
        </w:tabs>
        <w:kinsoku/>
        <w:wordWrap/>
        <w:overflowPunct/>
        <w:topLinePunct w:val="0"/>
        <w:autoSpaceDE w:val="0"/>
        <w:autoSpaceDN w:val="0"/>
        <w:bidi w:val="0"/>
        <w:adjustRightInd/>
        <w:snapToGrid/>
        <w:spacing w:before="0" w:after="0" w:line="400" w:lineRule="exact"/>
        <w:ind w:left="1830" w:right="0" w:hanging="72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磋商小组按规定的量化指标和分值进行打分，并计算出综合评审得分。</w:t>
      </w:r>
    </w:p>
    <w:p>
      <w:pPr>
        <w:pStyle w:val="47"/>
        <w:keepNext w:val="0"/>
        <w:keepLines w:val="0"/>
        <w:pageBreakBefore w:val="0"/>
        <w:widowControl w:val="0"/>
        <w:numPr>
          <w:ilvl w:val="2"/>
          <w:numId w:val="6"/>
        </w:numPr>
        <w:tabs>
          <w:tab w:val="left" w:pos="1833"/>
        </w:tabs>
        <w:kinsoku/>
        <w:wordWrap/>
        <w:overflowPunct/>
        <w:topLinePunct w:val="0"/>
        <w:autoSpaceDE w:val="0"/>
        <w:autoSpaceDN w:val="0"/>
        <w:bidi w:val="0"/>
        <w:adjustRightInd/>
        <w:snapToGrid/>
        <w:spacing w:before="93" w:after="0" w:line="400" w:lineRule="exact"/>
        <w:ind w:left="538" w:right="545" w:firstLine="571"/>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汇总全体磋商小组对各供应商的打分并计算算术平均值，即供应商的最终评审得分；</w:t>
      </w:r>
    </w:p>
    <w:p>
      <w:pPr>
        <w:pStyle w:val="47"/>
        <w:keepNext w:val="0"/>
        <w:keepLines w:val="0"/>
        <w:pageBreakBefore w:val="0"/>
        <w:widowControl w:val="0"/>
        <w:numPr>
          <w:ilvl w:val="2"/>
          <w:numId w:val="6"/>
        </w:numPr>
        <w:tabs>
          <w:tab w:val="left" w:pos="1830"/>
        </w:tabs>
        <w:kinsoku/>
        <w:wordWrap/>
        <w:overflowPunct/>
        <w:topLinePunct w:val="0"/>
        <w:autoSpaceDE w:val="0"/>
        <w:autoSpaceDN w:val="0"/>
        <w:bidi w:val="0"/>
        <w:adjustRightInd/>
        <w:snapToGrid/>
        <w:spacing w:before="0" w:after="0" w:line="400" w:lineRule="exact"/>
        <w:ind w:left="1830" w:right="0" w:hanging="72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评分分值计算保留小数点后两位，小数点后第三位“四舍五入”。</w:t>
      </w:r>
    </w:p>
    <w:p>
      <w:pPr>
        <w:pStyle w:val="47"/>
        <w:keepNext w:val="0"/>
        <w:keepLines w:val="0"/>
        <w:pageBreakBefore w:val="0"/>
        <w:widowControl w:val="0"/>
        <w:numPr>
          <w:ilvl w:val="0"/>
          <w:numId w:val="6"/>
        </w:numPr>
        <w:tabs>
          <w:tab w:val="left" w:pos="1470"/>
        </w:tabs>
        <w:kinsoku/>
        <w:wordWrap/>
        <w:overflowPunct/>
        <w:topLinePunct w:val="0"/>
        <w:autoSpaceDE w:val="0"/>
        <w:autoSpaceDN w:val="0"/>
        <w:bidi w:val="0"/>
        <w:adjustRightInd/>
        <w:snapToGrid/>
        <w:spacing w:before="94" w:after="0" w:line="400" w:lineRule="exact"/>
        <w:ind w:left="1470" w:right="0" w:hanging="36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评审程序</w:t>
      </w:r>
    </w:p>
    <w:p>
      <w:pPr>
        <w:pStyle w:val="47"/>
        <w:keepNext w:val="0"/>
        <w:keepLines w:val="0"/>
        <w:pageBreakBefore w:val="0"/>
        <w:widowControl w:val="0"/>
        <w:numPr>
          <w:ilvl w:val="1"/>
          <w:numId w:val="6"/>
        </w:numPr>
        <w:tabs>
          <w:tab w:val="left" w:pos="1590"/>
        </w:tabs>
        <w:kinsoku/>
        <w:wordWrap/>
        <w:overflowPunct/>
        <w:topLinePunct w:val="0"/>
        <w:autoSpaceDE w:val="0"/>
        <w:autoSpaceDN w:val="0"/>
        <w:bidi w:val="0"/>
        <w:adjustRightInd/>
        <w:snapToGrid/>
        <w:spacing w:before="90" w:after="0" w:line="400" w:lineRule="exact"/>
        <w:ind w:left="1590" w:right="0" w:hanging="48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响应文件初审</w:t>
      </w:r>
    </w:p>
    <w:p>
      <w:pPr>
        <w:pStyle w:val="10"/>
        <w:keepNext w:val="0"/>
        <w:keepLines w:val="0"/>
        <w:pageBreakBefore w:val="0"/>
        <w:widowControl w:val="0"/>
        <w:kinsoku/>
        <w:wordWrap/>
        <w:overflowPunct/>
        <w:topLinePunct w:val="0"/>
        <w:autoSpaceDE w:val="0"/>
        <w:autoSpaceDN w:val="0"/>
        <w:bidi w:val="0"/>
        <w:adjustRightInd/>
        <w:snapToGrid/>
        <w:spacing w:before="94" w:line="400" w:lineRule="exact"/>
        <w:ind w:right="534" w:firstLine="571"/>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磋商小组依据本章</w:t>
      </w:r>
      <w:r>
        <w:rPr>
          <w:rFonts w:hint="eastAsia" w:ascii="仿宋" w:hAnsi="仿宋" w:eastAsia="仿宋" w:cs="仿宋"/>
          <w:color w:val="auto"/>
          <w:spacing w:val="-3"/>
          <w:sz w:val="28"/>
          <w:szCs w:val="28"/>
        </w:rPr>
        <w:t>规定的检查标准，对响应文件进行初审。有一项不符</w:t>
      </w:r>
      <w:r>
        <w:rPr>
          <w:rFonts w:hint="eastAsia" w:ascii="仿宋" w:hAnsi="仿宋" w:eastAsia="仿宋" w:cs="仿宋"/>
          <w:color w:val="auto"/>
          <w:sz w:val="28"/>
          <w:szCs w:val="28"/>
        </w:rPr>
        <w:t>合检查标准的，其磋商将被拒绝，不能进入后续评审或磋商程序。</w:t>
      </w:r>
    </w:p>
    <w:p>
      <w:pPr>
        <w:pStyle w:val="47"/>
        <w:keepNext w:val="0"/>
        <w:keepLines w:val="0"/>
        <w:pageBreakBefore w:val="0"/>
        <w:widowControl w:val="0"/>
        <w:numPr>
          <w:ilvl w:val="1"/>
          <w:numId w:val="6"/>
        </w:numPr>
        <w:tabs>
          <w:tab w:val="left" w:pos="1590"/>
        </w:tabs>
        <w:kinsoku/>
        <w:wordWrap/>
        <w:overflowPunct/>
        <w:topLinePunct w:val="0"/>
        <w:autoSpaceDE w:val="0"/>
        <w:autoSpaceDN w:val="0"/>
        <w:bidi w:val="0"/>
        <w:adjustRightInd/>
        <w:snapToGrid/>
        <w:spacing w:before="0" w:after="0" w:line="400" w:lineRule="exact"/>
        <w:ind w:left="1590" w:right="0" w:hanging="48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磋商</w:t>
      </w:r>
    </w:p>
    <w:p>
      <w:pPr>
        <w:pStyle w:val="10"/>
        <w:keepNext w:val="0"/>
        <w:keepLines w:val="0"/>
        <w:pageBreakBefore w:val="0"/>
        <w:widowControl w:val="0"/>
        <w:kinsoku/>
        <w:wordWrap/>
        <w:overflowPunct/>
        <w:topLinePunct w:val="0"/>
        <w:autoSpaceDE w:val="0"/>
        <w:autoSpaceDN w:val="0"/>
        <w:bidi w:val="0"/>
        <w:adjustRightInd/>
        <w:snapToGrid/>
        <w:spacing w:before="99" w:line="400" w:lineRule="exact"/>
        <w:ind w:left="111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磋商程序详见供应商须知。</w:t>
      </w:r>
    </w:p>
    <w:p>
      <w:pPr>
        <w:pStyle w:val="47"/>
        <w:keepNext w:val="0"/>
        <w:keepLines w:val="0"/>
        <w:pageBreakBefore w:val="0"/>
        <w:widowControl w:val="0"/>
        <w:numPr>
          <w:ilvl w:val="1"/>
          <w:numId w:val="6"/>
        </w:numPr>
        <w:tabs>
          <w:tab w:val="left" w:pos="1590"/>
        </w:tabs>
        <w:kinsoku/>
        <w:wordWrap/>
        <w:overflowPunct/>
        <w:topLinePunct w:val="0"/>
        <w:autoSpaceDE w:val="0"/>
        <w:autoSpaceDN w:val="0"/>
        <w:bidi w:val="0"/>
        <w:adjustRightInd/>
        <w:snapToGrid/>
        <w:spacing w:before="91" w:after="0" w:line="400" w:lineRule="exact"/>
        <w:ind w:left="1590" w:right="0" w:hanging="48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澄清及算术修正</w:t>
      </w:r>
    </w:p>
    <w:p>
      <w:pPr>
        <w:pStyle w:val="10"/>
        <w:keepNext w:val="0"/>
        <w:keepLines w:val="0"/>
        <w:pageBreakBefore w:val="0"/>
        <w:widowControl w:val="0"/>
        <w:kinsoku/>
        <w:wordWrap/>
        <w:overflowPunct/>
        <w:topLinePunct w:val="0"/>
        <w:autoSpaceDE w:val="0"/>
        <w:autoSpaceDN w:val="0"/>
        <w:bidi w:val="0"/>
        <w:adjustRightInd/>
        <w:snapToGrid/>
        <w:spacing w:before="93" w:line="400" w:lineRule="exact"/>
        <w:ind w:right="546" w:firstLine="571"/>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供应商按照磋商小组和磋商文件的要求进行问题澄清。算术修正的要求和原则详见供应商须知。</w:t>
      </w:r>
    </w:p>
    <w:p>
      <w:pPr>
        <w:pStyle w:val="47"/>
        <w:keepNext w:val="0"/>
        <w:keepLines w:val="0"/>
        <w:pageBreakBefore w:val="0"/>
        <w:widowControl w:val="0"/>
        <w:numPr>
          <w:ilvl w:val="1"/>
          <w:numId w:val="6"/>
        </w:numPr>
        <w:tabs>
          <w:tab w:val="left" w:pos="1590"/>
        </w:tabs>
        <w:kinsoku/>
        <w:wordWrap/>
        <w:overflowPunct/>
        <w:topLinePunct w:val="0"/>
        <w:autoSpaceDE w:val="0"/>
        <w:autoSpaceDN w:val="0"/>
        <w:bidi w:val="0"/>
        <w:adjustRightInd/>
        <w:snapToGrid/>
        <w:spacing w:before="0" w:after="0" w:line="400" w:lineRule="exact"/>
        <w:ind w:left="1590" w:right="0" w:hanging="48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比较与评价</w:t>
      </w:r>
    </w:p>
    <w:p>
      <w:pPr>
        <w:pStyle w:val="10"/>
        <w:keepNext w:val="0"/>
        <w:keepLines w:val="0"/>
        <w:pageBreakBefore w:val="0"/>
        <w:widowControl w:val="0"/>
        <w:kinsoku/>
        <w:wordWrap/>
        <w:overflowPunct/>
        <w:topLinePunct w:val="0"/>
        <w:autoSpaceDE w:val="0"/>
        <w:autoSpaceDN w:val="0"/>
        <w:bidi w:val="0"/>
        <w:adjustRightInd/>
        <w:snapToGrid/>
        <w:spacing w:before="93" w:line="400" w:lineRule="exact"/>
        <w:ind w:right="367" w:firstLine="571"/>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磋商小组按照评审方法前附表进行比较和评价，评分分值计算保留小数点后两位， 小数点后第三位“四舍五入”。</w:t>
      </w:r>
    </w:p>
    <w:p>
      <w:pPr>
        <w:pStyle w:val="47"/>
        <w:keepNext w:val="0"/>
        <w:keepLines w:val="0"/>
        <w:pageBreakBefore w:val="0"/>
        <w:widowControl w:val="0"/>
        <w:numPr>
          <w:ilvl w:val="1"/>
          <w:numId w:val="6"/>
        </w:numPr>
        <w:tabs>
          <w:tab w:val="left" w:pos="1590"/>
        </w:tabs>
        <w:kinsoku/>
        <w:wordWrap/>
        <w:overflowPunct/>
        <w:topLinePunct w:val="0"/>
        <w:autoSpaceDE w:val="0"/>
        <w:autoSpaceDN w:val="0"/>
        <w:bidi w:val="0"/>
        <w:adjustRightInd/>
        <w:snapToGrid/>
        <w:spacing w:before="0" w:after="0" w:line="400" w:lineRule="exact"/>
        <w:ind w:left="1590" w:right="0" w:hanging="48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推荐成交候选供应商名单</w:t>
      </w:r>
    </w:p>
    <w:p>
      <w:pPr>
        <w:pStyle w:val="47"/>
        <w:keepNext w:val="0"/>
        <w:keepLines w:val="0"/>
        <w:pageBreakBefore w:val="0"/>
        <w:widowControl w:val="0"/>
        <w:numPr>
          <w:ilvl w:val="2"/>
          <w:numId w:val="6"/>
        </w:numPr>
        <w:tabs>
          <w:tab w:val="left" w:pos="1830"/>
        </w:tabs>
        <w:kinsoku/>
        <w:wordWrap/>
        <w:overflowPunct/>
        <w:topLinePunct w:val="0"/>
        <w:autoSpaceDE w:val="0"/>
        <w:autoSpaceDN w:val="0"/>
        <w:bidi w:val="0"/>
        <w:adjustRightInd/>
        <w:snapToGrid/>
        <w:spacing w:before="94" w:after="0" w:line="400" w:lineRule="exact"/>
        <w:ind w:left="1830" w:right="0" w:hanging="72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磋商小组按照综合评审得分由高到低的顺序推荐候选供应商。</w:t>
      </w:r>
    </w:p>
    <w:p>
      <w:pPr>
        <w:pStyle w:val="47"/>
        <w:keepNext w:val="0"/>
        <w:keepLines w:val="0"/>
        <w:pageBreakBefore w:val="0"/>
        <w:widowControl w:val="0"/>
        <w:numPr>
          <w:ilvl w:val="2"/>
          <w:numId w:val="6"/>
        </w:numPr>
        <w:tabs>
          <w:tab w:val="left" w:pos="1830"/>
        </w:tabs>
        <w:kinsoku/>
        <w:wordWrap/>
        <w:overflowPunct/>
        <w:topLinePunct w:val="0"/>
        <w:autoSpaceDE w:val="0"/>
        <w:autoSpaceDN w:val="0"/>
        <w:bidi w:val="0"/>
        <w:adjustRightInd/>
        <w:snapToGrid/>
        <w:spacing w:before="94" w:after="0" w:line="400" w:lineRule="exact"/>
        <w:ind w:left="1830" w:right="0" w:hanging="720"/>
        <w:jc w:val="left"/>
        <w:textAlignment w:val="auto"/>
        <w:rPr>
          <w:color w:val="auto"/>
          <w:sz w:val="24"/>
        </w:rPr>
      </w:pPr>
      <w:r>
        <w:rPr>
          <w:rFonts w:hint="eastAsia" w:ascii="仿宋" w:hAnsi="仿宋" w:eastAsia="仿宋" w:cs="仿宋"/>
          <w:color w:val="auto"/>
          <w:sz w:val="28"/>
          <w:szCs w:val="28"/>
        </w:rPr>
        <w:t>磋商小组完成评审后，应当向采购人提交书面评审报告。</w:t>
      </w:r>
    </w:p>
    <w:p>
      <w:pPr>
        <w:rPr>
          <w:rFonts w:hint="eastAsia"/>
          <w:color w:val="auto"/>
        </w:rPr>
      </w:pPr>
      <w:bookmarkStart w:id="37" w:name="_Toc27915"/>
      <w:bookmarkStart w:id="38" w:name="_Toc17172"/>
      <w:r>
        <w:rPr>
          <w:rFonts w:hint="eastAsia"/>
          <w:color w:val="auto"/>
        </w:rPr>
        <w:br w:type="page"/>
      </w:r>
    </w:p>
    <w:bookmarkEnd w:id="37"/>
    <w:bookmarkEnd w:id="38"/>
    <w:p>
      <w:pPr>
        <w:widowControl w:val="0"/>
        <w:autoSpaceDE w:val="0"/>
        <w:autoSpaceDN w:val="0"/>
        <w:spacing w:before="17"/>
        <w:ind w:right="854"/>
        <w:jc w:val="center"/>
        <w:outlineLvl w:val="0"/>
        <w:rPr>
          <w:rFonts w:ascii="黑体" w:hAnsi="黑体" w:eastAsia="黑体" w:cs="黑体"/>
          <w:sz w:val="40"/>
          <w:szCs w:val="40"/>
          <w:lang w:val="zh-CN" w:eastAsia="zh-CN" w:bidi="zh-CN"/>
        </w:rPr>
      </w:pPr>
      <w:bookmarkStart w:id="39" w:name="_Toc2445"/>
      <w:r>
        <w:rPr>
          <w:rFonts w:hint="eastAsia" w:ascii="黑体" w:hAnsi="黑体" w:eastAsia="黑体" w:cs="黑体"/>
          <w:sz w:val="40"/>
          <w:szCs w:val="40"/>
          <w:lang w:val="zh-CN" w:eastAsia="zh-CN" w:bidi="zh-CN"/>
        </w:rPr>
        <w:t>第四部分</w:t>
      </w:r>
      <w:r>
        <w:rPr>
          <w:rFonts w:hint="eastAsia" w:ascii="黑体" w:hAnsi="黑体" w:eastAsia="黑体" w:cs="黑体"/>
          <w:sz w:val="40"/>
          <w:szCs w:val="40"/>
          <w:lang w:val="zh-CN" w:eastAsia="zh-CN" w:bidi="zh-CN"/>
        </w:rPr>
        <w:tab/>
      </w:r>
      <w:r>
        <w:rPr>
          <w:rFonts w:hint="eastAsia" w:ascii="黑体" w:hAnsi="黑体" w:eastAsia="黑体" w:cs="黑体"/>
          <w:sz w:val="40"/>
          <w:szCs w:val="40"/>
          <w:lang w:val="zh-CN" w:eastAsia="zh-CN" w:bidi="zh-CN"/>
        </w:rPr>
        <w:t>合同格式</w:t>
      </w:r>
      <w:bookmarkEnd w:id="39"/>
      <w:r>
        <w:rPr>
          <w:rFonts w:hint="eastAsia" w:ascii="黑体" w:hAnsi="黑体" w:eastAsia="黑体" w:cs="黑体"/>
          <w:sz w:val="40"/>
          <w:szCs w:val="40"/>
          <w:lang w:val="zh-CN" w:eastAsia="zh-CN" w:bidi="zh-CN"/>
        </w:rPr>
        <w:t xml:space="preserve"> </w:t>
      </w:r>
    </w:p>
    <w:p>
      <w:pPr>
        <w:spacing w:before="0" w:after="0" w:line="240" w:lineRule="auto"/>
        <w:ind w:left="0" w:right="0"/>
        <w:jc w:val="center"/>
      </w:pPr>
      <w:r>
        <w:rPr>
          <w:rFonts w:hint="eastAsia"/>
        </w:rPr>
        <w:t>（以签订正式合同时为准）</w:t>
      </w:r>
    </w:p>
    <w:p>
      <w:pPr>
        <w:spacing w:before="0" w:after="0" w:line="240" w:lineRule="auto"/>
        <w:ind w:left="0" w:right="0"/>
        <w:rPr>
          <w:rFonts w:ascii="仿宋" w:hAnsi="仿宋" w:cs="仿宋"/>
          <w:sz w:val="28"/>
          <w:szCs w:val="28"/>
        </w:rPr>
      </w:pPr>
      <w:r>
        <w:rPr>
          <w:rFonts w:hint="eastAsia" w:ascii="仿宋" w:hAnsi="仿宋" w:cs="仿宋"/>
          <w:sz w:val="28"/>
          <w:szCs w:val="28"/>
        </w:rPr>
        <w:t xml:space="preserve">甲方： </w:t>
      </w:r>
      <w:r>
        <w:rPr>
          <w:rFonts w:hint="eastAsia" w:ascii="仿宋" w:hAnsi="仿宋" w:cs="仿宋"/>
          <w:sz w:val="28"/>
          <w:szCs w:val="28"/>
        </w:rPr>
        <w:tab/>
      </w:r>
      <w:r>
        <w:rPr>
          <w:rFonts w:hint="eastAsia" w:ascii="仿宋" w:hAnsi="仿宋" w:cs="仿宋"/>
          <w:sz w:val="28"/>
          <w:szCs w:val="28"/>
        </w:rPr>
        <w:t xml:space="preserve">（以下简称甲方） </w:t>
      </w:r>
    </w:p>
    <w:p>
      <w:pPr>
        <w:spacing w:before="0" w:after="0" w:line="240" w:lineRule="auto"/>
        <w:ind w:left="0" w:right="0"/>
        <w:rPr>
          <w:rFonts w:ascii="仿宋" w:hAnsi="仿宋" w:cs="仿宋"/>
          <w:sz w:val="28"/>
          <w:szCs w:val="28"/>
        </w:rPr>
      </w:pPr>
      <w:r>
        <w:rPr>
          <w:rFonts w:hint="eastAsia" w:ascii="仿宋" w:hAnsi="仿宋" w:cs="仿宋"/>
          <w:sz w:val="28"/>
          <w:szCs w:val="28"/>
        </w:rPr>
        <w:t xml:space="preserve">乙方： </w:t>
      </w:r>
      <w:r>
        <w:rPr>
          <w:rFonts w:hint="eastAsia" w:ascii="仿宋" w:hAnsi="仿宋" w:cs="仿宋"/>
          <w:sz w:val="28"/>
          <w:szCs w:val="28"/>
        </w:rPr>
        <w:tab/>
      </w:r>
      <w:r>
        <w:rPr>
          <w:rFonts w:hint="eastAsia" w:ascii="仿宋" w:hAnsi="仿宋" w:cs="仿宋"/>
          <w:sz w:val="28"/>
          <w:szCs w:val="28"/>
        </w:rPr>
        <w:t>（以下简称乙方）</w:t>
      </w:r>
    </w:p>
    <w:p>
      <w:pPr>
        <w:spacing w:before="0" w:after="0" w:line="240" w:lineRule="auto"/>
        <w:ind w:left="0" w:right="0"/>
        <w:rPr>
          <w:rFonts w:ascii="仿宋" w:hAnsi="仿宋" w:cs="仿宋"/>
          <w:sz w:val="28"/>
          <w:szCs w:val="28"/>
        </w:rPr>
      </w:pPr>
      <w:r>
        <w:rPr>
          <w:rFonts w:hint="eastAsia" w:ascii="仿宋" w:hAnsi="仿宋" w:cs="仿宋"/>
          <w:sz w:val="28"/>
          <w:szCs w:val="28"/>
        </w:rPr>
        <w:t xml:space="preserve">甲、乙双方根据 </w:t>
      </w:r>
      <w:r>
        <w:rPr>
          <w:rFonts w:hint="eastAsia" w:ascii="仿宋" w:hAnsi="仿宋" w:cs="仿宋"/>
          <w:sz w:val="28"/>
          <w:szCs w:val="28"/>
        </w:rPr>
        <w:tab/>
      </w:r>
      <w:r>
        <w:rPr>
          <w:rFonts w:hint="eastAsia" w:ascii="仿宋" w:hAnsi="仿宋" w:cs="仿宋"/>
          <w:sz w:val="28"/>
          <w:szCs w:val="28"/>
        </w:rPr>
        <w:t xml:space="preserve">年 </w:t>
      </w:r>
      <w:r>
        <w:rPr>
          <w:rFonts w:hint="eastAsia" w:ascii="仿宋" w:hAnsi="仿宋" w:cs="仿宋"/>
          <w:sz w:val="28"/>
          <w:szCs w:val="28"/>
        </w:rPr>
        <w:tab/>
      </w:r>
      <w:r>
        <w:rPr>
          <w:rFonts w:hint="eastAsia" w:ascii="仿宋" w:hAnsi="仿宋" w:cs="仿宋"/>
          <w:sz w:val="28"/>
          <w:szCs w:val="28"/>
        </w:rPr>
        <w:t xml:space="preserve">月 </w:t>
      </w:r>
      <w:r>
        <w:rPr>
          <w:rFonts w:hint="eastAsia" w:ascii="仿宋" w:hAnsi="仿宋" w:cs="仿宋"/>
          <w:sz w:val="28"/>
          <w:szCs w:val="28"/>
        </w:rPr>
        <w:tab/>
      </w:r>
      <w:r>
        <w:rPr>
          <w:rFonts w:hint="eastAsia" w:ascii="仿宋" w:hAnsi="仿宋" w:cs="仿宋"/>
          <w:sz w:val="28"/>
          <w:szCs w:val="28"/>
        </w:rPr>
        <w:t xml:space="preserve">日 </w:t>
      </w:r>
      <w:r>
        <w:rPr>
          <w:rFonts w:hint="eastAsia" w:ascii="仿宋" w:hAnsi="仿宋" w:cs="仿宋"/>
          <w:sz w:val="28"/>
          <w:szCs w:val="28"/>
        </w:rPr>
        <w:tab/>
      </w:r>
      <w:r>
        <w:rPr>
          <w:rFonts w:hint="eastAsia" w:ascii="仿宋" w:hAnsi="仿宋" w:cs="仿宋"/>
          <w:sz w:val="28"/>
          <w:szCs w:val="28"/>
        </w:rPr>
        <w:t>项目投标结果和投标文件的承诺，依照《中华人民共和国合同法》及有关法律、法规，遵循平等、自愿、公平和诚实信用的原则，双方就本采购事项协商一致经双方协商一致，订立以下合同：</w:t>
      </w:r>
    </w:p>
    <w:p>
      <w:pPr>
        <w:spacing w:before="0" w:after="0" w:line="240" w:lineRule="auto"/>
        <w:ind w:left="0" w:right="0"/>
        <w:rPr>
          <w:rFonts w:ascii="仿宋" w:hAnsi="仿宋" w:cs="仿宋"/>
          <w:sz w:val="28"/>
          <w:szCs w:val="28"/>
        </w:rPr>
      </w:pPr>
      <w:r>
        <w:rPr>
          <w:rFonts w:hint="eastAsia" w:ascii="仿宋" w:hAnsi="仿宋" w:cs="仿宋"/>
          <w:sz w:val="28"/>
          <w:szCs w:val="28"/>
        </w:rPr>
        <w:t>第一条 项目概况</w:t>
      </w:r>
    </w:p>
    <w:p>
      <w:pPr>
        <w:spacing w:before="0" w:after="0" w:line="240" w:lineRule="auto"/>
        <w:ind w:left="0" w:right="0"/>
        <w:rPr>
          <w:rFonts w:ascii="仿宋" w:hAnsi="仿宋" w:cs="仿宋"/>
          <w:sz w:val="28"/>
          <w:szCs w:val="28"/>
        </w:rPr>
      </w:pPr>
      <w:r>
        <w:rPr>
          <w:rFonts w:hint="eastAsia" w:ascii="仿宋" w:hAnsi="仿宋" w:cs="仿宋"/>
          <w:sz w:val="28"/>
          <w:szCs w:val="28"/>
        </w:rPr>
        <w:t xml:space="preserve">项目名称： </w:t>
      </w:r>
      <w:r>
        <w:rPr>
          <w:rFonts w:hint="eastAsia" w:ascii="仿宋" w:hAnsi="仿宋" w:cs="仿宋"/>
          <w:sz w:val="28"/>
          <w:szCs w:val="28"/>
        </w:rPr>
        <w:tab/>
      </w:r>
      <w:r>
        <w:rPr>
          <w:rFonts w:hint="eastAsia" w:ascii="仿宋" w:hAnsi="仿宋" w:cs="仿宋"/>
          <w:sz w:val="28"/>
          <w:szCs w:val="28"/>
        </w:rPr>
        <w:t xml:space="preserve">                                    </w:t>
      </w:r>
    </w:p>
    <w:p>
      <w:pPr>
        <w:spacing w:before="0" w:after="0" w:line="240" w:lineRule="auto"/>
        <w:ind w:left="0" w:right="0"/>
        <w:rPr>
          <w:rFonts w:ascii="仿宋" w:hAnsi="仿宋" w:cs="仿宋"/>
          <w:sz w:val="28"/>
          <w:szCs w:val="28"/>
        </w:rPr>
      </w:pPr>
      <w:r>
        <w:rPr>
          <w:rFonts w:hint="eastAsia" w:ascii="仿宋" w:hAnsi="仿宋" w:cs="仿宋"/>
          <w:sz w:val="28"/>
          <w:szCs w:val="28"/>
        </w:rPr>
        <w:t xml:space="preserve">项目内容： </w:t>
      </w:r>
      <w:r>
        <w:rPr>
          <w:rFonts w:hint="eastAsia" w:ascii="仿宋" w:hAnsi="仿宋" w:cs="仿宋"/>
          <w:sz w:val="28"/>
          <w:szCs w:val="28"/>
        </w:rPr>
        <w:tab/>
      </w:r>
      <w:r>
        <w:rPr>
          <w:rFonts w:hint="eastAsia" w:ascii="仿宋" w:hAnsi="仿宋" w:cs="仿宋"/>
          <w:sz w:val="28"/>
          <w:szCs w:val="28"/>
        </w:rPr>
        <w:t xml:space="preserve"> </w:t>
      </w:r>
    </w:p>
    <w:p>
      <w:pPr>
        <w:spacing w:before="0" w:after="0" w:line="240" w:lineRule="auto"/>
        <w:ind w:left="0" w:right="0"/>
        <w:rPr>
          <w:rFonts w:ascii="仿宋" w:hAnsi="仿宋" w:cs="仿宋"/>
          <w:sz w:val="28"/>
          <w:szCs w:val="28"/>
        </w:rPr>
      </w:pPr>
      <w:r>
        <w:rPr>
          <w:rFonts w:hint="eastAsia" w:ascii="仿宋" w:hAnsi="仿宋" w:cs="仿宋"/>
          <w:sz w:val="28"/>
          <w:szCs w:val="28"/>
        </w:rPr>
        <w:t>第二条 编制周期</w:t>
      </w:r>
    </w:p>
    <w:p>
      <w:pPr>
        <w:spacing w:before="0" w:after="0" w:line="240" w:lineRule="auto"/>
        <w:ind w:left="0" w:right="0"/>
        <w:rPr>
          <w:rFonts w:ascii="仿宋" w:hAnsi="仿宋" w:cs="仿宋"/>
          <w:sz w:val="28"/>
          <w:szCs w:val="28"/>
        </w:rPr>
      </w:pPr>
      <w:r>
        <w:rPr>
          <w:rFonts w:hint="eastAsia" w:ascii="仿宋" w:hAnsi="仿宋" w:cs="仿宋"/>
          <w:sz w:val="28"/>
          <w:szCs w:val="28"/>
        </w:rPr>
        <w:t xml:space="preserve">起始日期： </w:t>
      </w:r>
      <w:r>
        <w:rPr>
          <w:rFonts w:hint="eastAsia" w:ascii="仿宋" w:hAnsi="仿宋" w:cs="仿宋"/>
          <w:sz w:val="28"/>
          <w:szCs w:val="28"/>
        </w:rPr>
        <w:tab/>
      </w:r>
      <w:r>
        <w:rPr>
          <w:rFonts w:hint="eastAsia" w:ascii="仿宋" w:hAnsi="仿宋" w:cs="仿宋"/>
          <w:sz w:val="28"/>
          <w:szCs w:val="28"/>
        </w:rPr>
        <w:t xml:space="preserve">年 </w:t>
      </w:r>
      <w:r>
        <w:rPr>
          <w:rFonts w:hint="eastAsia" w:ascii="仿宋" w:hAnsi="仿宋" w:cs="仿宋"/>
          <w:sz w:val="28"/>
          <w:szCs w:val="28"/>
        </w:rPr>
        <w:tab/>
      </w:r>
      <w:r>
        <w:rPr>
          <w:rFonts w:hint="eastAsia" w:ascii="仿宋" w:hAnsi="仿宋" w:cs="仿宋"/>
          <w:sz w:val="28"/>
          <w:szCs w:val="28"/>
        </w:rPr>
        <w:t xml:space="preserve">月 </w:t>
      </w:r>
      <w:r>
        <w:rPr>
          <w:rFonts w:hint="eastAsia" w:ascii="仿宋" w:hAnsi="仿宋" w:cs="仿宋"/>
          <w:sz w:val="28"/>
          <w:szCs w:val="28"/>
        </w:rPr>
        <w:tab/>
      </w:r>
      <w:r>
        <w:rPr>
          <w:rFonts w:hint="eastAsia" w:ascii="仿宋" w:hAnsi="仿宋" w:cs="仿宋"/>
          <w:sz w:val="28"/>
          <w:szCs w:val="28"/>
        </w:rPr>
        <w:t xml:space="preserve">日，终止日期： </w:t>
      </w:r>
      <w:r>
        <w:rPr>
          <w:rFonts w:hint="eastAsia" w:ascii="仿宋" w:hAnsi="仿宋" w:cs="仿宋"/>
          <w:sz w:val="28"/>
          <w:szCs w:val="28"/>
        </w:rPr>
        <w:tab/>
      </w:r>
      <w:r>
        <w:rPr>
          <w:rFonts w:hint="eastAsia" w:ascii="仿宋" w:hAnsi="仿宋" w:cs="仿宋"/>
          <w:sz w:val="28"/>
          <w:szCs w:val="28"/>
        </w:rPr>
        <w:t xml:space="preserve">年 </w:t>
      </w:r>
      <w:r>
        <w:rPr>
          <w:rFonts w:hint="eastAsia" w:ascii="仿宋" w:hAnsi="仿宋" w:cs="仿宋"/>
          <w:sz w:val="28"/>
          <w:szCs w:val="28"/>
        </w:rPr>
        <w:tab/>
      </w:r>
      <w:r>
        <w:rPr>
          <w:rFonts w:hint="eastAsia" w:ascii="仿宋" w:hAnsi="仿宋" w:cs="仿宋"/>
          <w:sz w:val="28"/>
          <w:szCs w:val="28"/>
        </w:rPr>
        <w:t xml:space="preserve">月 </w:t>
      </w:r>
      <w:r>
        <w:rPr>
          <w:rFonts w:hint="eastAsia" w:ascii="仿宋" w:hAnsi="仿宋" w:cs="仿宋"/>
          <w:sz w:val="28"/>
          <w:szCs w:val="28"/>
        </w:rPr>
        <w:tab/>
      </w:r>
      <w:r>
        <w:rPr>
          <w:rFonts w:hint="eastAsia" w:ascii="仿宋" w:hAnsi="仿宋" w:cs="仿宋"/>
          <w:sz w:val="28"/>
          <w:szCs w:val="28"/>
        </w:rPr>
        <w:t>日。</w:t>
      </w:r>
    </w:p>
    <w:p>
      <w:pPr>
        <w:spacing w:before="0" w:after="0" w:line="240" w:lineRule="auto"/>
        <w:ind w:left="0" w:right="0"/>
        <w:rPr>
          <w:rFonts w:ascii="仿宋" w:hAnsi="仿宋" w:cs="仿宋"/>
          <w:sz w:val="28"/>
          <w:szCs w:val="28"/>
        </w:rPr>
      </w:pPr>
      <w:r>
        <w:rPr>
          <w:rFonts w:hint="eastAsia" w:ascii="仿宋" w:hAnsi="仿宋" w:cs="仿宋"/>
          <w:sz w:val="28"/>
          <w:szCs w:val="28"/>
        </w:rPr>
        <w:t>第三条</w:t>
      </w:r>
      <w:r>
        <w:rPr>
          <w:rFonts w:hint="eastAsia" w:ascii="仿宋" w:hAnsi="仿宋" w:cs="仿宋"/>
          <w:sz w:val="28"/>
          <w:szCs w:val="28"/>
        </w:rPr>
        <w:tab/>
      </w:r>
      <w:r>
        <w:rPr>
          <w:rFonts w:hint="eastAsia" w:ascii="仿宋" w:hAnsi="仿宋" w:cs="仿宋"/>
          <w:sz w:val="28"/>
          <w:szCs w:val="28"/>
        </w:rPr>
        <w:t>成交金额、合同金额</w:t>
      </w:r>
    </w:p>
    <w:p>
      <w:pPr>
        <w:spacing w:before="0" w:after="0" w:line="240" w:lineRule="auto"/>
        <w:ind w:left="0" w:right="0"/>
        <w:rPr>
          <w:sz w:val="28"/>
          <w:szCs w:val="24"/>
        </w:rPr>
      </w:pPr>
      <w:r>
        <w:rPr>
          <w:rFonts w:hint="eastAsia"/>
          <w:sz w:val="28"/>
          <w:szCs w:val="24"/>
        </w:rPr>
        <w:t>1、成交金额：（大写、小写）</w:t>
      </w:r>
      <w:r>
        <w:rPr>
          <w:rFonts w:hint="eastAsia"/>
          <w:sz w:val="28"/>
          <w:szCs w:val="24"/>
        </w:rPr>
        <w:tab/>
      </w:r>
    </w:p>
    <w:p>
      <w:pPr>
        <w:spacing w:before="0" w:after="0" w:line="240" w:lineRule="auto"/>
        <w:ind w:left="0" w:right="0"/>
        <w:rPr>
          <w:rFonts w:ascii="仿宋" w:hAnsi="仿宋" w:cs="仿宋"/>
          <w:szCs w:val="28"/>
        </w:rPr>
      </w:pPr>
      <w:r>
        <w:rPr>
          <w:rFonts w:hint="eastAsia"/>
          <w:sz w:val="28"/>
          <w:szCs w:val="24"/>
        </w:rPr>
        <w:t>2、合同金额：（大写、小写）</w:t>
      </w:r>
      <w:r>
        <w:rPr>
          <w:rFonts w:hint="eastAsia"/>
          <w:sz w:val="28"/>
          <w:szCs w:val="24"/>
        </w:rPr>
        <w:tab/>
      </w:r>
      <w:r>
        <w:rPr>
          <w:rFonts w:hint="eastAsia"/>
          <w:sz w:val="28"/>
          <w:szCs w:val="24"/>
        </w:rPr>
        <w:t xml:space="preserve"> </w:t>
      </w:r>
      <w:r>
        <w:rPr>
          <w:rFonts w:hint="eastAsia" w:ascii="仿宋" w:hAnsi="仿宋" w:cs="仿宋"/>
          <w:szCs w:val="28"/>
        </w:rPr>
        <w:t xml:space="preserve">          </w:t>
      </w:r>
    </w:p>
    <w:p>
      <w:pPr>
        <w:spacing w:before="0" w:after="0" w:line="240" w:lineRule="auto"/>
        <w:ind w:left="0" w:right="0"/>
        <w:rPr>
          <w:rFonts w:ascii="仿宋" w:hAnsi="仿宋" w:cs="仿宋"/>
          <w:sz w:val="28"/>
          <w:szCs w:val="28"/>
        </w:rPr>
      </w:pPr>
      <w:r>
        <w:rPr>
          <w:rFonts w:hint="eastAsia" w:ascii="仿宋" w:hAnsi="仿宋" w:cs="仿宋"/>
          <w:sz w:val="28"/>
          <w:szCs w:val="28"/>
        </w:rPr>
        <w:t>合同价格应为包括完成本项目的人力成本、设备成本、管理费、利润、税金等费用在内的全部费用。甲方不再另付任何费用。</w:t>
      </w:r>
    </w:p>
    <w:p>
      <w:pPr>
        <w:spacing w:before="0" w:after="0" w:line="240" w:lineRule="auto"/>
        <w:ind w:left="0" w:right="0"/>
        <w:rPr>
          <w:rFonts w:ascii="仿宋" w:hAnsi="仿宋" w:cs="仿宋"/>
          <w:sz w:val="28"/>
          <w:szCs w:val="28"/>
        </w:rPr>
      </w:pPr>
      <w:r>
        <w:rPr>
          <w:rFonts w:hint="eastAsia" w:ascii="仿宋" w:hAnsi="仿宋" w:cs="仿宋"/>
          <w:sz w:val="28"/>
          <w:szCs w:val="28"/>
        </w:rPr>
        <w:t>第四条</w:t>
      </w:r>
      <w:r>
        <w:rPr>
          <w:rFonts w:hint="eastAsia" w:ascii="仿宋" w:hAnsi="仿宋" w:cs="仿宋"/>
          <w:sz w:val="28"/>
          <w:szCs w:val="28"/>
        </w:rPr>
        <w:tab/>
      </w:r>
      <w:r>
        <w:rPr>
          <w:rFonts w:hint="eastAsia" w:ascii="仿宋" w:hAnsi="仿宋" w:cs="仿宋"/>
          <w:sz w:val="28"/>
          <w:szCs w:val="28"/>
        </w:rPr>
        <w:t xml:space="preserve">价款的结算： </w:t>
      </w:r>
      <w:r>
        <w:rPr>
          <w:rFonts w:hint="eastAsia" w:ascii="仿宋" w:hAnsi="仿宋" w:cs="仿宋"/>
          <w:sz w:val="28"/>
          <w:szCs w:val="28"/>
        </w:rPr>
        <w:tab/>
      </w:r>
      <w:r>
        <w:rPr>
          <w:rFonts w:hint="eastAsia" w:ascii="仿宋" w:hAnsi="仿宋" w:cs="仿宋"/>
          <w:sz w:val="28"/>
          <w:szCs w:val="28"/>
        </w:rPr>
        <w:t>。</w:t>
      </w:r>
    </w:p>
    <w:p>
      <w:pPr>
        <w:spacing w:before="0" w:after="0" w:line="240" w:lineRule="auto"/>
        <w:ind w:left="0" w:right="0"/>
        <w:rPr>
          <w:rFonts w:ascii="仿宋" w:hAnsi="仿宋" w:cs="仿宋"/>
          <w:sz w:val="28"/>
          <w:szCs w:val="28"/>
        </w:rPr>
      </w:pPr>
      <w:r>
        <w:rPr>
          <w:rFonts w:hint="eastAsia" w:ascii="仿宋" w:hAnsi="仿宋" w:cs="仿宋"/>
          <w:sz w:val="28"/>
          <w:szCs w:val="28"/>
        </w:rPr>
        <w:t>第五条</w:t>
      </w:r>
      <w:r>
        <w:rPr>
          <w:rFonts w:hint="eastAsia" w:ascii="仿宋" w:hAnsi="仿宋" w:cs="仿宋"/>
          <w:sz w:val="28"/>
          <w:szCs w:val="28"/>
        </w:rPr>
        <w:tab/>
      </w:r>
      <w:r>
        <w:rPr>
          <w:rFonts w:hint="eastAsia" w:ascii="仿宋" w:hAnsi="仿宋" w:cs="仿宋"/>
          <w:sz w:val="28"/>
          <w:szCs w:val="28"/>
        </w:rPr>
        <w:t xml:space="preserve">质量标准及检查验收办法： </w:t>
      </w:r>
      <w:r>
        <w:rPr>
          <w:rFonts w:hint="eastAsia" w:ascii="仿宋" w:hAnsi="仿宋" w:cs="仿宋"/>
          <w:sz w:val="28"/>
          <w:szCs w:val="28"/>
        </w:rPr>
        <w:tab/>
      </w:r>
      <w:r>
        <w:rPr>
          <w:rFonts w:hint="eastAsia" w:ascii="仿宋" w:hAnsi="仿宋" w:cs="仿宋"/>
          <w:sz w:val="28"/>
          <w:szCs w:val="28"/>
        </w:rPr>
        <w:t>。</w:t>
      </w:r>
    </w:p>
    <w:p>
      <w:pPr>
        <w:spacing w:before="0" w:after="0" w:line="240" w:lineRule="auto"/>
        <w:ind w:left="0" w:right="0"/>
        <w:rPr>
          <w:rFonts w:ascii="仿宋" w:hAnsi="仿宋" w:cs="仿宋"/>
          <w:sz w:val="28"/>
          <w:szCs w:val="28"/>
        </w:rPr>
      </w:pPr>
      <w:r>
        <w:rPr>
          <w:rFonts w:hint="eastAsia" w:ascii="仿宋" w:hAnsi="仿宋" w:cs="仿宋"/>
          <w:sz w:val="28"/>
          <w:szCs w:val="28"/>
        </w:rPr>
        <w:t>第六条</w:t>
      </w:r>
      <w:r>
        <w:rPr>
          <w:rFonts w:hint="eastAsia" w:ascii="仿宋" w:hAnsi="仿宋" w:cs="仿宋"/>
          <w:sz w:val="28"/>
          <w:szCs w:val="28"/>
        </w:rPr>
        <w:tab/>
      </w:r>
      <w:r>
        <w:rPr>
          <w:rFonts w:hint="eastAsia" w:ascii="仿宋" w:hAnsi="仿宋" w:cs="仿宋"/>
          <w:sz w:val="28"/>
          <w:szCs w:val="28"/>
        </w:rPr>
        <w:t>甲方的违约责任：</w:t>
      </w:r>
    </w:p>
    <w:p>
      <w:pPr>
        <w:spacing w:before="0" w:after="0" w:line="240" w:lineRule="auto"/>
        <w:ind w:left="0" w:right="0"/>
        <w:rPr>
          <w:rFonts w:ascii="仿宋" w:hAnsi="仿宋" w:cs="仿宋"/>
          <w:sz w:val="28"/>
          <w:szCs w:val="28"/>
        </w:rPr>
      </w:pPr>
      <w:r>
        <w:rPr>
          <w:rFonts w:hint="eastAsia" w:ascii="仿宋" w:hAnsi="仿宋" w:cs="仿宋"/>
          <w:sz w:val="28"/>
          <w:szCs w:val="28"/>
        </w:rPr>
        <w:t>甲方逾期付款的，应按未付款项部分计算，以每日千分之五的比例向乙方支付违约金。</w:t>
      </w:r>
    </w:p>
    <w:p>
      <w:pPr>
        <w:spacing w:before="0" w:after="0" w:line="240" w:lineRule="auto"/>
        <w:ind w:left="0" w:right="0"/>
        <w:rPr>
          <w:rFonts w:ascii="仿宋" w:hAnsi="仿宋" w:cs="仿宋"/>
          <w:sz w:val="28"/>
          <w:szCs w:val="28"/>
        </w:rPr>
      </w:pPr>
      <w:r>
        <w:rPr>
          <w:rFonts w:hint="eastAsia" w:ascii="仿宋" w:hAnsi="仿宋" w:cs="仿宋"/>
          <w:sz w:val="28"/>
          <w:szCs w:val="28"/>
        </w:rPr>
        <w:t>第七条 乙方的违约责任及违约扣罚标准： 按询价通知书的商务要求执行。</w:t>
      </w:r>
    </w:p>
    <w:p>
      <w:pPr>
        <w:spacing w:before="0" w:after="0" w:line="240" w:lineRule="auto"/>
        <w:ind w:left="0" w:right="0"/>
        <w:rPr>
          <w:rFonts w:ascii="仿宋" w:hAnsi="仿宋" w:cs="仿宋"/>
          <w:sz w:val="28"/>
          <w:szCs w:val="28"/>
        </w:rPr>
      </w:pPr>
      <w:r>
        <w:rPr>
          <w:rFonts w:hint="eastAsia" w:ascii="仿宋" w:hAnsi="仿宋" w:cs="仿宋"/>
          <w:sz w:val="28"/>
          <w:szCs w:val="28"/>
        </w:rPr>
        <w:t>第八条</w:t>
      </w:r>
      <w:r>
        <w:rPr>
          <w:rFonts w:hint="eastAsia" w:ascii="仿宋" w:hAnsi="仿宋" w:cs="仿宋"/>
          <w:sz w:val="28"/>
          <w:szCs w:val="28"/>
        </w:rPr>
        <w:tab/>
      </w:r>
      <w:r>
        <w:rPr>
          <w:rFonts w:hint="eastAsia" w:ascii="仿宋" w:hAnsi="仿宋" w:cs="仿宋"/>
          <w:sz w:val="28"/>
          <w:szCs w:val="28"/>
        </w:rPr>
        <w:t>不可抗力</w:t>
      </w:r>
    </w:p>
    <w:p>
      <w:pPr>
        <w:spacing w:before="0" w:after="0" w:line="240" w:lineRule="auto"/>
        <w:ind w:left="0" w:right="0"/>
        <w:rPr>
          <w:rFonts w:ascii="仿宋" w:hAnsi="仿宋" w:cs="仿宋"/>
          <w:sz w:val="28"/>
          <w:szCs w:val="28"/>
        </w:rPr>
      </w:pPr>
      <w:r>
        <w:rPr>
          <w:rFonts w:hint="eastAsia" w:ascii="仿宋" w:hAnsi="仿宋" w:cs="仿宋"/>
          <w:sz w:val="28"/>
          <w:szCs w:val="28"/>
        </w:rPr>
        <w:t>1、不可抗力事故系指买卖双方在缔结合同时所不能预见的，并且它的发生及其后果是无法避免和无法克服的事故。受阻一方应在不可抗力事故发生后尽快用电报、传真或电传通知对方，并于事故发生后 14 天内将有关当局出具的证明文件用特快专递或挂号信寄给对方审阅确认。</w:t>
      </w:r>
    </w:p>
    <w:p>
      <w:pPr>
        <w:spacing w:before="0" w:after="0" w:line="240" w:lineRule="auto"/>
        <w:ind w:left="0" w:right="0"/>
        <w:rPr>
          <w:rFonts w:ascii="仿宋" w:hAnsi="仿宋" w:cs="仿宋"/>
          <w:sz w:val="28"/>
          <w:szCs w:val="28"/>
        </w:rPr>
      </w:pPr>
      <w:r>
        <w:rPr>
          <w:rFonts w:hint="eastAsia" w:ascii="仿宋" w:hAnsi="仿宋" w:cs="仿宋"/>
          <w:sz w:val="28"/>
          <w:szCs w:val="28"/>
        </w:rPr>
        <w:t>2、签约双方任一方由于受诸如战争、严重火灾、洪水、台风、地震等不可抗力事故的影响而不能执行合同时，经确认后，允许延期履行、部分履行或不履行合同，并根据情况可部分或全部免予承担违约责任。</w:t>
      </w:r>
    </w:p>
    <w:p>
      <w:pPr>
        <w:spacing w:before="0" w:after="0" w:line="240" w:lineRule="auto"/>
        <w:ind w:left="0" w:right="0"/>
        <w:rPr>
          <w:rFonts w:ascii="仿宋" w:hAnsi="仿宋" w:cs="仿宋"/>
          <w:sz w:val="28"/>
          <w:szCs w:val="28"/>
        </w:rPr>
      </w:pPr>
      <w:r>
        <w:rPr>
          <w:rFonts w:hint="eastAsia" w:ascii="仿宋" w:hAnsi="仿宋" w:cs="仿宋"/>
          <w:sz w:val="28"/>
          <w:szCs w:val="28"/>
        </w:rPr>
        <w:t>第九条</w:t>
      </w:r>
      <w:r>
        <w:rPr>
          <w:rFonts w:hint="eastAsia" w:ascii="仿宋" w:hAnsi="仿宋" w:cs="仿宋"/>
          <w:sz w:val="28"/>
          <w:szCs w:val="28"/>
        </w:rPr>
        <w:tab/>
      </w:r>
      <w:r>
        <w:rPr>
          <w:rFonts w:hint="eastAsia" w:ascii="仿宋" w:hAnsi="仿宋" w:cs="仿宋"/>
          <w:sz w:val="28"/>
          <w:szCs w:val="28"/>
        </w:rPr>
        <w:t>争议的解决</w:t>
      </w:r>
    </w:p>
    <w:p>
      <w:pPr>
        <w:spacing w:before="0" w:after="0" w:line="240" w:lineRule="auto"/>
        <w:ind w:left="0" w:right="0"/>
        <w:rPr>
          <w:rFonts w:ascii="仿宋" w:hAnsi="仿宋" w:cs="仿宋"/>
          <w:sz w:val="28"/>
          <w:szCs w:val="28"/>
        </w:rPr>
      </w:pPr>
      <w:r>
        <w:rPr>
          <w:rFonts w:hint="eastAsia" w:ascii="仿宋" w:hAnsi="仿宋" w:cs="仿宋"/>
          <w:sz w:val="28"/>
          <w:szCs w:val="28"/>
        </w:rPr>
        <w:t>执行本合同发生纠纷，当事人双方应当及时协商解决，协商不成的一方依法向唐河县人民法院提起诉讼。</w:t>
      </w:r>
    </w:p>
    <w:p>
      <w:pPr>
        <w:numPr>
          <w:ilvl w:val="0"/>
          <w:numId w:val="7"/>
        </w:numPr>
        <w:spacing w:before="0" w:after="0" w:line="240" w:lineRule="auto"/>
        <w:ind w:left="0" w:right="0"/>
        <w:rPr>
          <w:rFonts w:ascii="仿宋" w:hAnsi="仿宋" w:cs="仿宋"/>
          <w:sz w:val="28"/>
          <w:szCs w:val="28"/>
        </w:rPr>
      </w:pPr>
      <w:r>
        <w:rPr>
          <w:rFonts w:hint="eastAsia" w:ascii="仿宋" w:hAnsi="仿宋" w:cs="仿宋"/>
          <w:sz w:val="28"/>
          <w:szCs w:val="28"/>
        </w:rPr>
        <w:t>履约保证金</w:t>
      </w:r>
    </w:p>
    <w:p>
      <w:pPr>
        <w:widowControl w:val="0"/>
        <w:autoSpaceDE w:val="0"/>
        <w:autoSpaceDN w:val="0"/>
        <w:jc w:val="both"/>
        <w:rPr>
          <w:rFonts w:ascii="仿宋" w:hAnsi="仿宋" w:eastAsia="仿宋" w:cs="仿宋"/>
          <w:sz w:val="28"/>
          <w:szCs w:val="28"/>
          <w:lang w:val="en-US" w:eastAsia="zh-CN" w:bidi="zh-CN"/>
        </w:rPr>
      </w:pPr>
      <w:r>
        <w:rPr>
          <w:rFonts w:hint="eastAsia" w:ascii="仿宋" w:hAnsi="仿宋" w:eastAsia="仿宋" w:cs="仿宋"/>
          <w:sz w:val="28"/>
          <w:szCs w:val="28"/>
          <w:lang w:val="en-US" w:eastAsia="zh-CN" w:bidi="zh-CN"/>
        </w:rPr>
        <w:t>本项目免收履约保证金</w:t>
      </w:r>
    </w:p>
    <w:p>
      <w:pPr>
        <w:spacing w:before="0" w:after="0" w:line="240" w:lineRule="auto"/>
        <w:ind w:left="0" w:right="0"/>
        <w:rPr>
          <w:rFonts w:ascii="仿宋" w:hAnsi="仿宋" w:cs="仿宋"/>
          <w:sz w:val="28"/>
          <w:szCs w:val="28"/>
        </w:rPr>
      </w:pPr>
      <w:r>
        <w:rPr>
          <w:rFonts w:hint="eastAsia" w:ascii="仿宋" w:hAnsi="仿宋" w:cs="仿宋"/>
          <w:sz w:val="28"/>
          <w:szCs w:val="28"/>
        </w:rPr>
        <w:t>第十一条 监督和管理</w:t>
      </w:r>
    </w:p>
    <w:p>
      <w:pPr>
        <w:spacing w:before="0" w:after="0" w:line="240" w:lineRule="auto"/>
        <w:ind w:left="0" w:right="0"/>
        <w:rPr>
          <w:rFonts w:ascii="仿宋" w:hAnsi="仿宋" w:cs="仿宋"/>
          <w:sz w:val="28"/>
          <w:szCs w:val="28"/>
        </w:rPr>
      </w:pPr>
      <w:r>
        <w:rPr>
          <w:rFonts w:hint="eastAsia" w:ascii="仿宋" w:hAnsi="仿宋" w:cs="仿宋"/>
          <w:sz w:val="28"/>
          <w:szCs w:val="28"/>
        </w:rPr>
        <w:t>1、与本项目采购活动相关的询价通知书、询价响应文件、成交通知书等文件是构成本合同不可分割的部分。</w:t>
      </w:r>
    </w:p>
    <w:p>
      <w:pPr>
        <w:spacing w:before="0" w:after="0" w:line="240" w:lineRule="auto"/>
        <w:ind w:left="0" w:right="0"/>
        <w:rPr>
          <w:rFonts w:ascii="仿宋" w:hAnsi="仿宋" w:cs="仿宋"/>
          <w:sz w:val="28"/>
          <w:szCs w:val="28"/>
        </w:rPr>
      </w:pPr>
      <w:r>
        <w:rPr>
          <w:rFonts w:hint="eastAsia" w:ascii="仿宋" w:hAnsi="仿宋" w:cs="仿宋"/>
          <w:sz w:val="28"/>
          <w:szCs w:val="28"/>
        </w:rPr>
        <w:t>2、合同订立后，甲方应将合同政府采购管理部门备案一份；双方不得变更合同实质性条款。</w:t>
      </w:r>
    </w:p>
    <w:p>
      <w:pPr>
        <w:spacing w:before="0" w:after="0" w:line="240" w:lineRule="auto"/>
        <w:ind w:left="0" w:right="0"/>
        <w:rPr>
          <w:rFonts w:ascii="仿宋" w:hAnsi="仿宋" w:cs="仿宋"/>
          <w:sz w:val="28"/>
          <w:szCs w:val="28"/>
        </w:rPr>
      </w:pPr>
      <w:r>
        <w:rPr>
          <w:rFonts w:hint="eastAsia" w:ascii="仿宋" w:hAnsi="仿宋" w:cs="仿宋"/>
          <w:sz w:val="28"/>
          <w:szCs w:val="28"/>
        </w:rPr>
        <w:t>第十二条 无效合同</w:t>
      </w:r>
    </w:p>
    <w:p>
      <w:pPr>
        <w:spacing w:before="0" w:after="0" w:line="240" w:lineRule="auto"/>
        <w:ind w:left="0" w:right="0"/>
        <w:rPr>
          <w:rFonts w:ascii="仿宋" w:hAnsi="仿宋" w:cs="仿宋"/>
          <w:sz w:val="28"/>
          <w:szCs w:val="28"/>
        </w:rPr>
      </w:pPr>
      <w:r>
        <w:rPr>
          <w:rFonts w:hint="eastAsia" w:ascii="仿宋" w:hAnsi="仿宋" w:cs="仿宋"/>
          <w:sz w:val="28"/>
          <w:szCs w:val="28"/>
        </w:rPr>
        <w:t>甲乙双方如因违反国家法律、法规和有关政府采购规定，责任由过错方承担。第十三条 附则</w:t>
      </w:r>
    </w:p>
    <w:p>
      <w:pPr>
        <w:spacing w:before="0" w:after="0" w:line="240" w:lineRule="auto"/>
        <w:ind w:left="0" w:right="0"/>
        <w:rPr>
          <w:rFonts w:ascii="仿宋" w:hAnsi="仿宋" w:cs="仿宋"/>
          <w:sz w:val="28"/>
          <w:szCs w:val="28"/>
        </w:rPr>
      </w:pPr>
      <w:r>
        <w:rPr>
          <w:rFonts w:hint="eastAsia" w:ascii="仿宋" w:hAnsi="仿宋" w:cs="仿宋"/>
          <w:sz w:val="28"/>
          <w:szCs w:val="28"/>
        </w:rPr>
        <w:t>本合同经甲乙双方签字盖章并经甲乙双方签字盖章后生效，本合同正本一式四份， 甲乙双方各执贰份。</w:t>
      </w:r>
    </w:p>
    <w:p>
      <w:pPr>
        <w:spacing w:before="0" w:after="0" w:line="240" w:lineRule="auto"/>
        <w:ind w:left="0" w:right="0"/>
        <w:rPr>
          <w:rFonts w:ascii="仿宋" w:hAnsi="仿宋" w:cs="仿宋"/>
          <w:sz w:val="28"/>
          <w:szCs w:val="28"/>
        </w:rPr>
      </w:pPr>
    </w:p>
    <w:p>
      <w:pPr>
        <w:spacing w:before="0" w:after="0" w:line="240" w:lineRule="auto"/>
        <w:ind w:left="0" w:right="0"/>
        <w:rPr>
          <w:rFonts w:ascii="仿宋" w:hAnsi="仿宋" w:cs="仿宋"/>
          <w:sz w:val="28"/>
          <w:szCs w:val="28"/>
        </w:rPr>
      </w:pPr>
      <w:r>
        <w:rPr>
          <w:rFonts w:hint="eastAsia" w:ascii="仿宋" w:hAnsi="仿宋" w:cs="仿宋"/>
          <w:sz w:val="28"/>
          <w:szCs w:val="28"/>
        </w:rPr>
        <w:t>采购人（甲方）：</w:t>
      </w:r>
      <w:r>
        <w:rPr>
          <w:rFonts w:hint="eastAsia" w:ascii="仿宋" w:hAnsi="仿宋" w:cs="仿宋"/>
          <w:sz w:val="28"/>
          <w:szCs w:val="28"/>
        </w:rPr>
        <w:tab/>
      </w:r>
      <w:r>
        <w:rPr>
          <w:rFonts w:hint="eastAsia" w:ascii="仿宋" w:hAnsi="仿宋" w:cs="仿宋"/>
          <w:sz w:val="28"/>
          <w:szCs w:val="28"/>
          <w:lang w:val="en-US"/>
        </w:rPr>
        <w:t xml:space="preserve">           </w:t>
      </w:r>
      <w:r>
        <w:rPr>
          <w:rFonts w:hint="eastAsia" w:ascii="仿宋" w:hAnsi="仿宋" w:cs="仿宋"/>
          <w:sz w:val="28"/>
          <w:szCs w:val="28"/>
        </w:rPr>
        <w:t>供货人（乙方）：</w:t>
      </w:r>
    </w:p>
    <w:p>
      <w:pPr>
        <w:spacing w:before="0" w:after="0" w:line="240" w:lineRule="auto"/>
        <w:ind w:left="0" w:right="0"/>
        <w:rPr>
          <w:rFonts w:ascii="仿宋" w:hAnsi="仿宋" w:cs="仿宋"/>
          <w:sz w:val="28"/>
          <w:szCs w:val="28"/>
        </w:rPr>
      </w:pPr>
      <w:r>
        <w:rPr>
          <w:rFonts w:hint="eastAsia" w:ascii="仿宋" w:hAnsi="仿宋" w:cs="仿宋"/>
          <w:sz w:val="28"/>
          <w:szCs w:val="28"/>
        </w:rPr>
        <w:t>法定代表人（或负责人）：</w:t>
      </w:r>
      <w:r>
        <w:rPr>
          <w:rFonts w:hint="eastAsia" w:ascii="仿宋" w:hAnsi="仿宋" w:cs="仿宋"/>
          <w:sz w:val="28"/>
          <w:szCs w:val="28"/>
        </w:rPr>
        <w:tab/>
      </w:r>
      <w:r>
        <w:rPr>
          <w:rFonts w:hint="eastAsia" w:ascii="仿宋" w:hAnsi="仿宋" w:cs="仿宋"/>
          <w:sz w:val="28"/>
          <w:szCs w:val="28"/>
          <w:lang w:val="en-US"/>
        </w:rPr>
        <w:t xml:space="preserve">      </w:t>
      </w:r>
      <w:r>
        <w:rPr>
          <w:rFonts w:hint="eastAsia" w:ascii="仿宋" w:hAnsi="仿宋" w:cs="仿宋"/>
          <w:sz w:val="28"/>
          <w:szCs w:val="28"/>
        </w:rPr>
        <w:t xml:space="preserve">法定代表人（或负责人）： </w:t>
      </w:r>
    </w:p>
    <w:p>
      <w:pPr>
        <w:spacing w:before="0" w:after="0" w:line="240" w:lineRule="auto"/>
        <w:ind w:left="0" w:right="0"/>
        <w:rPr>
          <w:rFonts w:ascii="仿宋" w:hAnsi="仿宋" w:cs="仿宋"/>
          <w:sz w:val="28"/>
          <w:szCs w:val="28"/>
        </w:rPr>
      </w:pPr>
      <w:r>
        <w:rPr>
          <w:rFonts w:hint="eastAsia" w:ascii="仿宋" w:hAnsi="仿宋" w:cs="仿宋"/>
          <w:sz w:val="28"/>
          <w:szCs w:val="28"/>
        </w:rPr>
        <w:t>委托代理人：</w:t>
      </w:r>
      <w:r>
        <w:rPr>
          <w:rFonts w:hint="eastAsia" w:ascii="仿宋" w:hAnsi="仿宋" w:cs="仿宋"/>
          <w:sz w:val="28"/>
          <w:szCs w:val="28"/>
        </w:rPr>
        <w:tab/>
      </w:r>
      <w:r>
        <w:rPr>
          <w:rFonts w:hint="eastAsia" w:ascii="仿宋" w:hAnsi="仿宋" w:cs="仿宋"/>
          <w:sz w:val="28"/>
          <w:szCs w:val="28"/>
          <w:lang w:val="en-US"/>
        </w:rPr>
        <w:t xml:space="preserve">                </w:t>
      </w:r>
      <w:r>
        <w:rPr>
          <w:rFonts w:hint="eastAsia" w:ascii="仿宋" w:hAnsi="仿宋" w:cs="仿宋"/>
          <w:sz w:val="28"/>
          <w:szCs w:val="28"/>
        </w:rPr>
        <w:t>委托代理人：</w:t>
      </w:r>
    </w:p>
    <w:p>
      <w:pPr>
        <w:spacing w:before="0" w:after="0" w:line="240" w:lineRule="auto"/>
        <w:ind w:left="0" w:right="0"/>
        <w:rPr>
          <w:rFonts w:ascii="仿宋" w:hAnsi="仿宋" w:cs="仿宋"/>
          <w:sz w:val="28"/>
          <w:szCs w:val="28"/>
        </w:rPr>
      </w:pPr>
      <w:r>
        <w:rPr>
          <w:rFonts w:hint="eastAsia" w:ascii="仿宋" w:hAnsi="仿宋" w:cs="仿宋"/>
          <w:sz w:val="28"/>
          <w:szCs w:val="28"/>
        </w:rPr>
        <w:t>地址：</w:t>
      </w:r>
      <w:r>
        <w:rPr>
          <w:rFonts w:hint="eastAsia" w:ascii="仿宋" w:hAnsi="仿宋" w:cs="仿宋"/>
          <w:sz w:val="28"/>
          <w:szCs w:val="28"/>
        </w:rPr>
        <w:tab/>
      </w:r>
      <w:r>
        <w:rPr>
          <w:rFonts w:hint="eastAsia" w:ascii="仿宋" w:hAnsi="仿宋" w:cs="仿宋"/>
          <w:sz w:val="28"/>
          <w:szCs w:val="28"/>
          <w:lang w:val="en-US"/>
        </w:rPr>
        <w:t xml:space="preserve">                      </w:t>
      </w:r>
      <w:r>
        <w:rPr>
          <w:rFonts w:hint="eastAsia" w:ascii="仿宋" w:hAnsi="仿宋" w:cs="仿宋"/>
          <w:sz w:val="28"/>
          <w:szCs w:val="28"/>
        </w:rPr>
        <w:t>地址：</w:t>
      </w:r>
    </w:p>
    <w:p>
      <w:pPr>
        <w:spacing w:before="0" w:after="0" w:line="240" w:lineRule="auto"/>
        <w:ind w:left="0" w:right="0"/>
        <w:rPr>
          <w:rFonts w:ascii="仿宋" w:hAnsi="仿宋" w:cs="仿宋"/>
          <w:sz w:val="28"/>
          <w:szCs w:val="28"/>
        </w:rPr>
      </w:pPr>
      <w:r>
        <w:rPr>
          <w:rFonts w:hint="eastAsia" w:ascii="仿宋" w:hAnsi="仿宋" w:cs="仿宋"/>
          <w:sz w:val="28"/>
          <w:szCs w:val="28"/>
        </w:rPr>
        <w:t>开户银行：</w:t>
      </w:r>
      <w:r>
        <w:rPr>
          <w:rFonts w:hint="eastAsia" w:ascii="仿宋" w:hAnsi="仿宋" w:cs="仿宋"/>
          <w:sz w:val="28"/>
          <w:szCs w:val="28"/>
        </w:rPr>
        <w:tab/>
      </w:r>
      <w:r>
        <w:rPr>
          <w:rFonts w:hint="eastAsia" w:ascii="仿宋" w:hAnsi="仿宋" w:cs="仿宋"/>
          <w:sz w:val="28"/>
          <w:szCs w:val="28"/>
          <w:lang w:val="en-US"/>
        </w:rPr>
        <w:t xml:space="preserve">                      </w:t>
      </w:r>
      <w:r>
        <w:rPr>
          <w:rFonts w:hint="eastAsia" w:ascii="仿宋" w:hAnsi="仿宋" w:cs="仿宋"/>
          <w:sz w:val="28"/>
          <w:szCs w:val="28"/>
        </w:rPr>
        <w:t>开户银行：</w:t>
      </w:r>
    </w:p>
    <w:p>
      <w:pPr>
        <w:spacing w:before="0" w:after="0" w:line="240" w:lineRule="auto"/>
        <w:ind w:left="0" w:right="0"/>
        <w:rPr>
          <w:rFonts w:ascii="仿宋" w:hAnsi="仿宋" w:cs="仿宋"/>
          <w:sz w:val="28"/>
          <w:szCs w:val="28"/>
        </w:rPr>
      </w:pPr>
      <w:r>
        <w:rPr>
          <w:rFonts w:hint="eastAsia" w:ascii="仿宋" w:hAnsi="仿宋" w:cs="仿宋"/>
          <w:sz w:val="28"/>
          <w:szCs w:val="28"/>
          <w:lang w:eastAsia="zh-CN"/>
        </w:rPr>
        <w:t>账号</w:t>
      </w:r>
      <w:r>
        <w:rPr>
          <w:rFonts w:hint="eastAsia" w:ascii="仿宋" w:hAnsi="仿宋" w:cs="仿宋"/>
          <w:sz w:val="28"/>
          <w:szCs w:val="28"/>
        </w:rPr>
        <w:t>：</w:t>
      </w:r>
      <w:r>
        <w:rPr>
          <w:rFonts w:hint="eastAsia" w:ascii="仿宋" w:hAnsi="仿宋" w:cs="仿宋"/>
          <w:sz w:val="28"/>
          <w:szCs w:val="28"/>
        </w:rPr>
        <w:tab/>
      </w:r>
      <w:r>
        <w:rPr>
          <w:rFonts w:hint="eastAsia" w:ascii="仿宋" w:hAnsi="仿宋" w:cs="仿宋"/>
          <w:sz w:val="28"/>
          <w:szCs w:val="28"/>
          <w:lang w:val="en-US"/>
        </w:rPr>
        <w:t xml:space="preserve">                      </w:t>
      </w:r>
      <w:r>
        <w:rPr>
          <w:rFonts w:hint="eastAsia" w:ascii="仿宋" w:hAnsi="仿宋" w:cs="仿宋"/>
          <w:sz w:val="28"/>
          <w:szCs w:val="28"/>
          <w:lang w:val="en-US" w:eastAsia="zh-CN"/>
        </w:rPr>
        <w:t>账号</w:t>
      </w:r>
      <w:r>
        <w:rPr>
          <w:rFonts w:hint="eastAsia" w:ascii="仿宋" w:hAnsi="仿宋" w:cs="仿宋"/>
          <w:sz w:val="28"/>
          <w:szCs w:val="28"/>
        </w:rPr>
        <w:t>：</w:t>
      </w:r>
    </w:p>
    <w:p>
      <w:pPr>
        <w:spacing w:before="0" w:after="0" w:line="240" w:lineRule="auto"/>
        <w:ind w:left="0" w:right="0"/>
        <w:rPr>
          <w:rFonts w:hint="eastAsia" w:ascii="仿宋" w:hAnsi="仿宋" w:eastAsia="仿宋" w:cs="仿宋"/>
          <w:sz w:val="28"/>
          <w:szCs w:val="28"/>
          <w:lang w:eastAsia="zh-CN"/>
        </w:rPr>
        <w:sectPr>
          <w:headerReference r:id="rId7" w:type="default"/>
          <w:pgSz w:w="11910" w:h="16840"/>
          <w:pgMar w:top="1440" w:right="1080" w:bottom="1440" w:left="1080" w:header="882" w:footer="820" w:gutter="0"/>
          <w:cols w:space="720" w:num="1"/>
        </w:sectPr>
      </w:pPr>
      <w:r>
        <w:rPr>
          <w:rFonts w:hint="eastAsia" w:ascii="仿宋" w:hAnsi="仿宋" w:cs="仿宋"/>
          <w:sz w:val="28"/>
          <w:szCs w:val="28"/>
        </w:rPr>
        <w:t>电话：</w:t>
      </w:r>
      <w:r>
        <w:rPr>
          <w:rFonts w:hint="eastAsia" w:ascii="仿宋" w:hAnsi="仿宋" w:cs="仿宋"/>
          <w:sz w:val="28"/>
          <w:szCs w:val="28"/>
        </w:rPr>
        <w:tab/>
      </w:r>
      <w:r>
        <w:rPr>
          <w:rFonts w:hint="eastAsia" w:ascii="仿宋" w:hAnsi="仿宋" w:cs="仿宋"/>
          <w:sz w:val="28"/>
          <w:szCs w:val="28"/>
          <w:lang w:val="en-US"/>
        </w:rPr>
        <w:t xml:space="preserve">                      </w:t>
      </w:r>
      <w:r>
        <w:rPr>
          <w:rFonts w:hint="eastAsia" w:ascii="仿宋" w:hAnsi="仿宋" w:cs="仿宋"/>
          <w:sz w:val="28"/>
          <w:szCs w:val="28"/>
        </w:rPr>
        <w:t>电话</w:t>
      </w:r>
      <w:r>
        <w:rPr>
          <w:rFonts w:hint="eastAsia" w:ascii="仿宋" w:hAnsi="仿宋" w:cs="仿宋"/>
          <w:sz w:val="28"/>
          <w:szCs w:val="28"/>
          <w:lang w:eastAsia="zh-CN"/>
        </w:rPr>
        <w:t>：</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val="zh-CN" w:eastAsia="zh-CN" w:bidi="zh-CN"/>
        </w:rPr>
        <mc:AlternateContent>
          <mc:Choice Requires="wpg">
            <w:drawing>
              <wp:inline distT="0" distB="0" distL="114300" distR="114300">
                <wp:extent cx="6226810" cy="36830"/>
                <wp:effectExtent l="0" t="8890" r="2540" b="11430"/>
                <wp:docPr id="6" name="组合 1036"/>
                <wp:cNvGraphicFramePr/>
                <a:graphic xmlns:a="http://schemas.openxmlformats.org/drawingml/2006/main">
                  <a:graphicData uri="http://schemas.microsoft.com/office/word/2010/wordprocessingGroup">
                    <wpg:wgp>
                      <wpg:cNvGrpSpPr/>
                      <wpg:grpSpPr>
                        <a:xfrm>
                          <a:off x="0" y="0"/>
                          <a:ext cx="6226810" cy="36830"/>
                          <a:chOff x="0" y="14"/>
                          <a:chExt cx="9806" cy="36"/>
                        </a:xfrm>
                      </wpg:grpSpPr>
                      <wps:wsp>
                        <wps:cNvPr id="4" name="直线 1037"/>
                        <wps:cNvCnPr/>
                        <wps:spPr>
                          <a:xfrm>
                            <a:off x="0" y="50"/>
                            <a:ext cx="9806" cy="0"/>
                          </a:xfrm>
                          <a:prstGeom prst="line">
                            <a:avLst/>
                          </a:prstGeom>
                          <a:ln w="9144" cap="flat" cmpd="sng">
                            <a:solidFill>
                              <a:srgbClr val="000000">
                                <a:alpha val="100000"/>
                              </a:srgbClr>
                            </a:solidFill>
                            <a:prstDash val="solid"/>
                            <a:headEnd type="none" w="med" len="med"/>
                            <a:tailEnd type="none" w="med" len="med"/>
                          </a:ln>
                        </wps:spPr>
                        <wps:bodyPr upright="1"/>
                      </wps:wsp>
                      <wps:wsp>
                        <wps:cNvPr id="5" name="直线 1038"/>
                        <wps:cNvCnPr/>
                        <wps:spPr>
                          <a:xfrm>
                            <a:off x="0" y="14"/>
                            <a:ext cx="9806" cy="0"/>
                          </a:xfrm>
                          <a:prstGeom prst="line">
                            <a:avLst/>
                          </a:prstGeom>
                          <a:ln w="18288" cap="flat" cmpd="sng">
                            <a:solidFill>
                              <a:srgbClr val="000000">
                                <a:alpha val="100000"/>
                              </a:srgbClr>
                            </a:solidFill>
                            <a:prstDash val="solid"/>
                            <a:headEnd type="none" w="med" len="med"/>
                            <a:tailEnd type="none" w="med" len="med"/>
                          </a:ln>
                        </wps:spPr>
                        <wps:bodyPr upright="1"/>
                      </wps:wsp>
                    </wpg:wgp>
                  </a:graphicData>
                </a:graphic>
              </wp:inline>
            </w:drawing>
          </mc:Choice>
          <mc:Fallback>
            <w:pict>
              <v:group id="组合 1036" o:spid="_x0000_s1026" o:spt="203" style="height:2.9pt;width:490.3pt;" coordorigin="0,14" coordsize="9806,36" o:gfxdata="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vsyO9UAAAADAQAADwAAAAAAAAABACAA&#10;AAAiAAAAZHJzL2Rvd25yZXYueG1sUEsBAhQAFAAAAAgAh07iQEv8FkaCAgAASgcAAA4AAAAAAAAA&#10;AQAgAAAAJAEAAGRycy9lMm9Eb2MueG1sUEsFBgAAAAAGAAYAWQEAABgGAAAAAA==&#10;">
                <o:lock v:ext="edit" aspectratio="f"/>
                <v:line id="直线 1037" o:spid="_x0000_s1026" o:spt="20" style="position:absolute;left:0;top:50;height:0;width:9806;"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直线 1038" o:spid="_x0000_s1026" o:spt="20" style="position:absolute;left:0;top:14;height:0;width:9806;" filled="f" stroked="t" coordsize="21600,21600" o:gfxdata="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TkqjugAAANoA&#10;AAAPAAAAAAAAAAEAIAAAACIAAABkcnMvZG93bnJldi54bWxQSwECFAAUAAAACACHTuJAMy8FnjsA&#10;AAA5AAAAEAAAAAAAAAABACAAAAAJAQAAZHJzL3NoYXBleG1sLnhtbFBLBQYAAAAABgAGAFsBAACz&#10;AwAAAAA=&#10;">
                  <v:fill on="f" focussize="0,0"/>
                  <v:stroke weight="1.44pt" color="#000000" joinstyle="round"/>
                  <v:imagedata o:title=""/>
                  <o:lock v:ext="edit" aspectratio="f"/>
                </v:line>
                <w10:wrap type="none"/>
                <w10:anchorlock/>
              </v:group>
            </w:pict>
          </mc:Fallback>
        </mc:AlternateContent>
      </w:r>
    </w:p>
    <w:p>
      <w:pPr>
        <w:pStyle w:val="2"/>
        <w:outlineLvl w:val="0"/>
        <w:rPr>
          <w:rFonts w:hint="eastAsia" w:ascii="仿宋" w:hAnsi="仿宋" w:eastAsia="仿宋" w:cs="仿宋"/>
          <w:color w:val="auto"/>
          <w:szCs w:val="28"/>
        </w:rPr>
      </w:pPr>
      <w:bookmarkStart w:id="40" w:name="第五部分  电子标响应文件格式"/>
      <w:bookmarkEnd w:id="40"/>
      <w:bookmarkStart w:id="41" w:name="_Toc29534"/>
      <w:bookmarkStart w:id="42" w:name="_Toc21407"/>
      <w:bookmarkStart w:id="43" w:name="_Toc11"/>
      <w:r>
        <w:rPr>
          <w:rFonts w:hint="eastAsia"/>
          <w:color w:val="auto"/>
        </w:rPr>
        <w:t>第五部分</w:t>
      </w:r>
      <w:r>
        <w:rPr>
          <w:rFonts w:hint="eastAsia"/>
          <w:color w:val="auto"/>
        </w:rPr>
        <w:tab/>
      </w:r>
      <w:r>
        <w:rPr>
          <w:rFonts w:hint="eastAsia"/>
          <w:color w:val="auto"/>
          <w:lang w:val="en-US" w:eastAsia="zh-CN"/>
        </w:rPr>
        <w:t>磋商</w:t>
      </w:r>
      <w:r>
        <w:rPr>
          <w:rFonts w:hint="eastAsia"/>
          <w:color w:val="auto"/>
        </w:rPr>
        <w:t>响应文件格式</w:t>
      </w:r>
      <w:bookmarkEnd w:id="41"/>
      <w:bookmarkEnd w:id="42"/>
      <w:bookmarkEnd w:id="43"/>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jc w:val="center"/>
        <w:rPr>
          <w:b/>
          <w:bCs/>
          <w:color w:val="auto"/>
          <w:sz w:val="40"/>
          <w:szCs w:val="36"/>
        </w:rPr>
      </w:pPr>
      <w:bookmarkStart w:id="44" w:name="响应文件封面格式"/>
      <w:bookmarkEnd w:id="44"/>
      <w:r>
        <w:rPr>
          <w:rFonts w:hint="eastAsia"/>
          <w:b/>
          <w:bCs/>
          <w:color w:val="auto"/>
          <w:sz w:val="40"/>
          <w:szCs w:val="36"/>
          <w:u w:val="single"/>
          <w:lang w:val="en-US" w:eastAsia="zh-CN"/>
        </w:rPr>
        <w:t xml:space="preserve">             </w:t>
      </w:r>
      <w:r>
        <w:rPr>
          <w:b/>
          <w:bCs/>
          <w:color w:val="auto"/>
          <w:sz w:val="40"/>
          <w:szCs w:val="36"/>
        </w:rPr>
        <w:t>（项目名称）</w:t>
      </w:r>
    </w:p>
    <w:p>
      <w:pPr>
        <w:pStyle w:val="10"/>
        <w:ind w:left="0"/>
        <w:rPr>
          <w:b/>
          <w:color w:val="auto"/>
          <w:sz w:val="48"/>
        </w:rPr>
      </w:pPr>
    </w:p>
    <w:p>
      <w:pPr>
        <w:pStyle w:val="10"/>
        <w:ind w:left="0"/>
        <w:rPr>
          <w:b/>
          <w:color w:val="auto"/>
          <w:sz w:val="48"/>
        </w:rPr>
      </w:pPr>
    </w:p>
    <w:p>
      <w:pPr>
        <w:pStyle w:val="10"/>
        <w:ind w:left="0"/>
        <w:rPr>
          <w:b/>
          <w:color w:val="auto"/>
          <w:sz w:val="48"/>
        </w:rPr>
      </w:pPr>
    </w:p>
    <w:p>
      <w:pPr>
        <w:pStyle w:val="10"/>
        <w:spacing w:before="11"/>
        <w:ind w:left="0"/>
        <w:rPr>
          <w:b/>
          <w:color w:val="auto"/>
          <w:sz w:val="54"/>
        </w:rPr>
      </w:pPr>
    </w:p>
    <w:p>
      <w:pPr>
        <w:spacing w:before="0"/>
        <w:ind w:left="531" w:right="542" w:firstLine="0"/>
        <w:jc w:val="center"/>
        <w:outlineLvl w:val="0"/>
        <w:rPr>
          <w:b/>
          <w:color w:val="auto"/>
          <w:sz w:val="72"/>
        </w:rPr>
      </w:pPr>
      <w:bookmarkStart w:id="45" w:name="_Toc1586"/>
      <w:bookmarkStart w:id="46" w:name="_Toc26469"/>
      <w:r>
        <w:rPr>
          <w:b/>
          <w:color w:val="auto"/>
          <w:sz w:val="72"/>
        </w:rPr>
        <w:t>竞争性磋商响应文件</w:t>
      </w:r>
      <w:bookmarkEnd w:id="45"/>
      <w:bookmarkEnd w:id="46"/>
    </w:p>
    <w:p>
      <w:pPr>
        <w:pStyle w:val="10"/>
        <w:ind w:left="0"/>
        <w:rPr>
          <w:b/>
          <w:color w:val="auto"/>
          <w:sz w:val="72"/>
        </w:rPr>
      </w:pPr>
    </w:p>
    <w:p>
      <w:pPr>
        <w:pStyle w:val="10"/>
        <w:ind w:left="0"/>
        <w:rPr>
          <w:b/>
          <w:color w:val="auto"/>
          <w:sz w:val="72"/>
        </w:rPr>
      </w:pPr>
    </w:p>
    <w:p>
      <w:pPr>
        <w:pStyle w:val="10"/>
        <w:ind w:left="0"/>
        <w:rPr>
          <w:b/>
          <w:color w:val="auto"/>
          <w:sz w:val="72"/>
        </w:rPr>
      </w:pPr>
    </w:p>
    <w:p>
      <w:pPr>
        <w:pStyle w:val="10"/>
        <w:spacing w:before="8"/>
        <w:ind w:left="0"/>
        <w:rPr>
          <w:b/>
          <w:color w:val="auto"/>
          <w:sz w:val="104"/>
        </w:rPr>
      </w:pPr>
    </w:p>
    <w:p>
      <w:pPr>
        <w:ind w:firstLine="1606" w:firstLineChars="500"/>
        <w:rPr>
          <w:b/>
          <w:bCs/>
          <w:color w:val="auto"/>
          <w:sz w:val="32"/>
          <w:szCs w:val="28"/>
        </w:rPr>
      </w:pPr>
      <w:r>
        <w:rPr>
          <w:b/>
          <w:bCs/>
          <w:color w:val="auto"/>
          <w:sz w:val="32"/>
          <w:szCs w:val="28"/>
        </w:rPr>
        <w:t>供</w:t>
      </w:r>
      <w:r>
        <w:rPr>
          <w:b/>
          <w:bCs/>
          <w:color w:val="auto"/>
          <w:sz w:val="32"/>
          <w:szCs w:val="28"/>
        </w:rPr>
        <w:tab/>
      </w:r>
      <w:r>
        <w:rPr>
          <w:b/>
          <w:bCs/>
          <w:color w:val="auto"/>
          <w:sz w:val="32"/>
          <w:szCs w:val="28"/>
        </w:rPr>
        <w:t>应</w:t>
      </w:r>
      <w:r>
        <w:rPr>
          <w:b/>
          <w:bCs/>
          <w:color w:val="auto"/>
          <w:sz w:val="32"/>
          <w:szCs w:val="28"/>
        </w:rPr>
        <w:tab/>
      </w:r>
      <w:r>
        <w:rPr>
          <w:b/>
          <w:bCs/>
          <w:color w:val="auto"/>
          <w:sz w:val="32"/>
          <w:szCs w:val="28"/>
        </w:rPr>
        <w:t>商：</w:t>
      </w:r>
      <w:r>
        <w:rPr>
          <w:b/>
          <w:bCs/>
          <w:color w:val="auto"/>
          <w:sz w:val="32"/>
          <w:szCs w:val="28"/>
          <w:u w:val="single"/>
        </w:rPr>
        <w:t xml:space="preserve"> </w:t>
      </w:r>
      <w:r>
        <w:rPr>
          <w:rFonts w:hint="eastAsia"/>
          <w:b/>
          <w:bCs/>
          <w:color w:val="auto"/>
          <w:sz w:val="32"/>
          <w:szCs w:val="28"/>
          <w:u w:val="single"/>
          <w:lang w:val="en-US" w:eastAsia="zh-CN"/>
        </w:rPr>
        <w:t xml:space="preserve">              </w:t>
      </w:r>
      <w:r>
        <w:rPr>
          <w:b/>
          <w:bCs/>
          <w:color w:val="auto"/>
          <w:sz w:val="32"/>
          <w:szCs w:val="28"/>
          <w:u w:val="single"/>
        </w:rPr>
        <w:tab/>
      </w:r>
      <w:r>
        <w:rPr>
          <w:b/>
          <w:bCs/>
          <w:color w:val="auto"/>
          <w:sz w:val="32"/>
          <w:szCs w:val="28"/>
        </w:rPr>
        <w:t>（</w:t>
      </w:r>
      <w:r>
        <w:rPr>
          <w:rFonts w:hint="eastAsia"/>
          <w:b/>
          <w:bCs/>
          <w:color w:val="auto"/>
          <w:sz w:val="32"/>
          <w:szCs w:val="28"/>
          <w:lang w:val="en-US" w:eastAsia="zh-CN"/>
        </w:rPr>
        <w:t>电子签章</w:t>
      </w:r>
      <w:r>
        <w:rPr>
          <w:b/>
          <w:bCs/>
          <w:color w:val="auto"/>
          <w:sz w:val="32"/>
          <w:szCs w:val="28"/>
        </w:rPr>
        <w:t xml:space="preserve">） </w:t>
      </w:r>
    </w:p>
    <w:p>
      <w:pPr>
        <w:ind w:firstLine="964" w:firstLineChars="300"/>
        <w:rPr>
          <w:b/>
          <w:bCs/>
          <w:color w:val="auto"/>
          <w:sz w:val="32"/>
          <w:szCs w:val="28"/>
        </w:rPr>
      </w:pPr>
      <w:r>
        <w:rPr>
          <w:b/>
          <w:bCs/>
          <w:color w:val="auto"/>
          <w:sz w:val="32"/>
          <w:szCs w:val="28"/>
        </w:rPr>
        <w:t>法定代表人或其授权委托人：</w:t>
      </w:r>
      <w:r>
        <w:rPr>
          <w:b/>
          <w:bCs/>
          <w:color w:val="auto"/>
          <w:sz w:val="32"/>
          <w:szCs w:val="28"/>
          <w:u w:val="single"/>
        </w:rPr>
        <w:t xml:space="preserve"> </w:t>
      </w:r>
      <w:r>
        <w:rPr>
          <w:rFonts w:hint="eastAsia"/>
          <w:b/>
          <w:bCs/>
          <w:color w:val="auto"/>
          <w:sz w:val="32"/>
          <w:szCs w:val="28"/>
          <w:u w:val="single"/>
          <w:lang w:val="en-US" w:eastAsia="zh-CN"/>
        </w:rPr>
        <w:t xml:space="preserve">     </w:t>
      </w:r>
      <w:r>
        <w:rPr>
          <w:b/>
          <w:bCs/>
          <w:color w:val="auto"/>
          <w:sz w:val="32"/>
          <w:szCs w:val="28"/>
        </w:rPr>
        <w:t>（</w:t>
      </w:r>
      <w:r>
        <w:rPr>
          <w:rFonts w:hint="eastAsia"/>
          <w:b/>
          <w:bCs/>
          <w:color w:val="auto"/>
          <w:sz w:val="32"/>
          <w:szCs w:val="28"/>
          <w:lang w:val="en-US" w:eastAsia="zh-CN"/>
        </w:rPr>
        <w:t>电子签名或</w:t>
      </w:r>
      <w:r>
        <w:rPr>
          <w:b/>
          <w:bCs/>
          <w:color w:val="auto"/>
          <w:sz w:val="32"/>
          <w:szCs w:val="28"/>
        </w:rPr>
        <w:t xml:space="preserve">签字） </w:t>
      </w:r>
    </w:p>
    <w:p>
      <w:pPr>
        <w:ind w:firstLine="1606" w:firstLineChars="500"/>
        <w:rPr>
          <w:b/>
          <w:color w:val="auto"/>
        </w:rPr>
      </w:pPr>
      <w:r>
        <w:rPr>
          <w:b/>
          <w:bCs/>
          <w:color w:val="auto"/>
          <w:sz w:val="32"/>
          <w:szCs w:val="28"/>
        </w:rPr>
        <w:t>日</w:t>
      </w:r>
      <w:r>
        <w:rPr>
          <w:b/>
          <w:bCs/>
          <w:color w:val="auto"/>
          <w:sz w:val="32"/>
          <w:szCs w:val="28"/>
        </w:rPr>
        <w:tab/>
      </w:r>
      <w:r>
        <w:rPr>
          <w:b/>
          <w:bCs/>
          <w:color w:val="auto"/>
          <w:sz w:val="32"/>
          <w:szCs w:val="28"/>
        </w:rPr>
        <w:t xml:space="preserve">期： </w:t>
      </w:r>
      <w:r>
        <w:rPr>
          <w:rFonts w:hint="eastAsia"/>
          <w:b/>
          <w:bCs/>
          <w:color w:val="auto"/>
          <w:sz w:val="32"/>
          <w:szCs w:val="28"/>
          <w:lang w:val="en-US" w:eastAsia="zh-CN"/>
        </w:rPr>
        <w:t xml:space="preserve">       </w:t>
      </w:r>
      <w:r>
        <w:rPr>
          <w:b/>
          <w:bCs/>
          <w:color w:val="auto"/>
          <w:sz w:val="32"/>
          <w:szCs w:val="28"/>
        </w:rPr>
        <w:t xml:space="preserve">年 </w:t>
      </w:r>
      <w:r>
        <w:rPr>
          <w:rFonts w:hint="eastAsia"/>
          <w:b/>
          <w:bCs/>
          <w:color w:val="auto"/>
          <w:sz w:val="32"/>
          <w:szCs w:val="28"/>
          <w:lang w:val="en-US" w:eastAsia="zh-CN"/>
        </w:rPr>
        <w:t xml:space="preserve">    </w:t>
      </w:r>
      <w:r>
        <w:rPr>
          <w:b/>
          <w:bCs/>
          <w:color w:val="auto"/>
          <w:sz w:val="32"/>
          <w:szCs w:val="28"/>
        </w:rPr>
        <w:t xml:space="preserve">月 </w:t>
      </w:r>
      <w:r>
        <w:rPr>
          <w:rFonts w:hint="eastAsia"/>
          <w:b/>
          <w:bCs/>
          <w:color w:val="auto"/>
          <w:sz w:val="32"/>
          <w:szCs w:val="28"/>
          <w:lang w:val="en-US" w:eastAsia="zh-CN"/>
        </w:rPr>
        <w:t xml:space="preserve">    </w:t>
      </w:r>
      <w:r>
        <w:rPr>
          <w:b/>
          <w:bCs/>
          <w:color w:val="auto"/>
          <w:sz w:val="32"/>
          <w:szCs w:val="28"/>
        </w:rPr>
        <w:t>日</w:t>
      </w:r>
    </w:p>
    <w:p>
      <w:pPr>
        <w:spacing w:after="0" w:line="364" w:lineRule="auto"/>
        <w:jc w:val="left"/>
        <w:rPr>
          <w:color w:val="auto"/>
        </w:rPr>
        <w:sectPr>
          <w:footerReference r:id="rId8" w:type="default"/>
          <w:pgSz w:w="11910" w:h="16840"/>
          <w:pgMar w:top="1417" w:right="1417" w:bottom="1417" w:left="1417" w:header="888" w:footer="910" w:gutter="0"/>
          <w:pgNumType w:fmt="decimal" w:start="1"/>
          <w:cols w:space="720" w:num="1"/>
        </w:sectPr>
      </w:pPr>
    </w:p>
    <w:p>
      <w:pPr>
        <w:spacing w:before="125"/>
        <w:ind w:left="538" w:right="538" w:firstLine="0"/>
        <w:jc w:val="center"/>
        <w:outlineLvl w:val="0"/>
        <w:rPr>
          <w:b/>
          <w:color w:val="auto"/>
          <w:sz w:val="32"/>
        </w:rPr>
      </w:pPr>
      <w:bookmarkStart w:id="47" w:name="_Toc23538"/>
      <w:r>
        <w:rPr>
          <w:b/>
          <w:color w:val="auto"/>
          <w:sz w:val="32"/>
        </w:rPr>
        <w:t>一、报价函及附录</w:t>
      </w:r>
      <w:bookmarkEnd w:id="47"/>
    </w:p>
    <w:p>
      <w:pPr>
        <w:widowControl w:val="0"/>
        <w:autoSpaceDE w:val="0"/>
        <w:autoSpaceDN w:val="0"/>
        <w:spacing w:before="242"/>
        <w:ind w:left="1105" w:right="542"/>
        <w:jc w:val="center"/>
        <w:outlineLvl w:val="3"/>
        <w:rPr>
          <w:rFonts w:ascii="仿宋" w:hAnsi="仿宋" w:eastAsia="仿宋" w:cs="仿宋"/>
          <w:b/>
          <w:bCs/>
          <w:sz w:val="28"/>
          <w:szCs w:val="28"/>
          <w:lang w:val="zh-CN" w:eastAsia="zh-CN" w:bidi="zh-CN"/>
        </w:rPr>
      </w:pPr>
      <w:r>
        <w:rPr>
          <w:rFonts w:ascii="仿宋" w:hAnsi="仿宋" w:eastAsia="仿宋" w:cs="仿宋"/>
          <w:b/>
          <w:bCs/>
          <w:sz w:val="28"/>
          <w:szCs w:val="28"/>
          <w:lang w:val="zh-CN" w:eastAsia="zh-CN" w:bidi="zh-CN"/>
        </w:rPr>
        <w:t>（一）报价函</w:t>
      </w:r>
    </w:p>
    <w:p>
      <w:pPr>
        <w:widowControl w:val="0"/>
        <w:autoSpaceDE w:val="0"/>
        <w:autoSpaceDN w:val="0"/>
        <w:spacing w:before="3"/>
        <w:jc w:val="both"/>
        <w:rPr>
          <w:rFonts w:ascii="宋体" w:hAnsi="宋体" w:eastAsia="宋体" w:cs="宋体"/>
          <w:b/>
          <w:sz w:val="20"/>
          <w:szCs w:val="21"/>
          <w:lang w:val="zh-CN" w:eastAsia="zh-CN" w:bidi="zh-CN"/>
        </w:rPr>
      </w:pPr>
    </w:p>
    <w:p>
      <w:pPr>
        <w:keepNext w:val="0"/>
        <w:keepLines w:val="0"/>
        <w:pageBreakBefore w:val="0"/>
        <w:widowControl w:val="0"/>
        <w:tabs>
          <w:tab w:val="left" w:pos="2578"/>
        </w:tabs>
        <w:kinsoku/>
        <w:wordWrap/>
        <w:overflowPunct/>
        <w:topLinePunct w:val="0"/>
        <w:autoSpaceDE w:val="0"/>
        <w:autoSpaceDN w:val="0"/>
        <w:bidi w:val="0"/>
        <w:adjustRightInd/>
        <w:snapToGrid/>
        <w:spacing w:line="360" w:lineRule="auto"/>
        <w:jc w:val="both"/>
        <w:textAlignment w:val="auto"/>
        <w:rPr>
          <w:rFonts w:ascii="仿宋" w:hAnsi="仿宋" w:eastAsia="仿宋" w:cs="仿宋"/>
          <w:sz w:val="28"/>
          <w:szCs w:val="28"/>
          <w:lang w:val="zh-CN" w:eastAsia="zh-CN" w:bidi="zh-CN"/>
        </w:rPr>
      </w:pPr>
      <w:r>
        <w:rPr>
          <w:rFonts w:hint="eastAsia" w:ascii="仿宋" w:hAnsi="仿宋" w:eastAsia="仿宋" w:cs="仿宋"/>
          <w:sz w:val="28"/>
          <w:szCs w:val="28"/>
          <w:lang w:val="zh-CN" w:eastAsia="zh-CN" w:bidi="zh-CN"/>
        </w:rPr>
        <w:t>致：</w:t>
      </w:r>
      <w:r>
        <w:rPr>
          <w:rFonts w:hint="eastAsia" w:ascii="仿宋" w:hAnsi="仿宋" w:eastAsia="仿宋" w:cs="仿宋"/>
          <w:sz w:val="28"/>
          <w:szCs w:val="28"/>
          <w:u w:val="single"/>
          <w:lang w:val="zh-CN" w:eastAsia="zh-CN" w:bidi="zh-CN"/>
        </w:rPr>
        <w:t xml:space="preserve"> </w:t>
      </w:r>
      <w:r>
        <w:rPr>
          <w:rFonts w:hint="eastAsia" w:ascii="仿宋" w:hAnsi="仿宋" w:eastAsia="仿宋" w:cs="仿宋"/>
          <w:sz w:val="28"/>
          <w:szCs w:val="28"/>
          <w:u w:val="single"/>
          <w:lang w:val="zh-CN" w:eastAsia="zh-CN" w:bidi="zh-CN"/>
        </w:rPr>
        <w:tab/>
      </w:r>
      <w:r>
        <w:rPr>
          <w:rFonts w:hint="eastAsia" w:ascii="仿宋" w:hAnsi="仿宋" w:eastAsia="仿宋" w:cs="仿宋"/>
          <w:sz w:val="28"/>
          <w:szCs w:val="28"/>
          <w:u w:val="single"/>
          <w:lang w:val="zh-CN" w:eastAsia="zh-CN" w:bidi="zh-CN"/>
        </w:rPr>
        <w:t>（采购人）</w:t>
      </w:r>
    </w:p>
    <w:p>
      <w:pPr>
        <w:keepNext w:val="0"/>
        <w:keepLines w:val="0"/>
        <w:pageBreakBefore w:val="0"/>
        <w:widowControl w:val="0"/>
        <w:numPr>
          <w:ilvl w:val="0"/>
          <w:numId w:val="0"/>
        </w:numPr>
        <w:tabs>
          <w:tab w:val="left" w:pos="1384"/>
          <w:tab w:val="left" w:pos="3688"/>
          <w:tab w:val="left" w:pos="4535"/>
          <w:tab w:val="left" w:pos="6059"/>
          <w:tab w:val="left" w:pos="9129"/>
        </w:tabs>
        <w:kinsoku/>
        <w:wordWrap/>
        <w:overflowPunct/>
        <w:topLinePunct w:val="0"/>
        <w:autoSpaceDE w:val="0"/>
        <w:autoSpaceDN w:val="0"/>
        <w:bidi w:val="0"/>
        <w:adjustRightInd/>
        <w:snapToGrid/>
        <w:spacing w:before="0" w:line="360" w:lineRule="auto"/>
        <w:ind w:left="0" w:leftChars="0" w:right="0" w:rightChars="0" w:firstLine="560" w:firstLineChars="200"/>
        <w:jc w:val="both"/>
        <w:textAlignment w:val="auto"/>
        <w:rPr>
          <w:rFonts w:ascii="仿宋" w:hAnsi="仿宋" w:eastAsia="仿宋" w:cs="仿宋"/>
          <w:sz w:val="28"/>
          <w:szCs w:val="28"/>
          <w:lang w:val="zh-CN" w:eastAsia="zh-CN" w:bidi="zh-CN"/>
        </w:rPr>
      </w:pPr>
      <w:r>
        <w:rPr>
          <w:rFonts w:hint="eastAsia" w:ascii="仿宋" w:hAnsi="仿宋" w:eastAsia="仿宋" w:cs="仿宋"/>
          <w:sz w:val="28"/>
          <w:szCs w:val="28"/>
          <w:lang w:val="en-US" w:eastAsia="zh-CN" w:bidi="zh-CN"/>
        </w:rPr>
        <w:t>1.</w:t>
      </w:r>
      <w:r>
        <w:rPr>
          <w:rFonts w:hint="eastAsia" w:ascii="仿宋" w:hAnsi="仿宋" w:eastAsia="仿宋" w:cs="仿宋"/>
          <w:sz w:val="28"/>
          <w:szCs w:val="28"/>
          <w:lang w:val="zh-CN" w:eastAsia="zh-CN" w:bidi="zh-CN"/>
        </w:rPr>
        <w:t>我方已仔细研究</w:t>
      </w:r>
      <w:r>
        <w:rPr>
          <w:rFonts w:hint="eastAsia" w:ascii="仿宋" w:hAnsi="仿宋" w:eastAsia="仿宋" w:cs="仿宋"/>
          <w:spacing w:val="4"/>
          <w:sz w:val="28"/>
          <w:szCs w:val="28"/>
          <w:lang w:val="zh-CN" w:eastAsia="zh-CN" w:bidi="zh-CN"/>
        </w:rPr>
        <w:t>了</w:t>
      </w:r>
      <w:r>
        <w:rPr>
          <w:rFonts w:hint="eastAsia" w:ascii="仿宋" w:hAnsi="仿宋" w:eastAsia="仿宋" w:cs="仿宋"/>
          <w:spacing w:val="4"/>
          <w:sz w:val="28"/>
          <w:szCs w:val="28"/>
          <w:u w:val="single"/>
          <w:lang w:val="zh-CN" w:eastAsia="zh-CN" w:bidi="zh-CN"/>
        </w:rPr>
        <w:t xml:space="preserve"> </w:t>
      </w:r>
      <w:r>
        <w:rPr>
          <w:rFonts w:hint="eastAsia" w:ascii="仿宋" w:hAnsi="仿宋" w:eastAsia="仿宋" w:cs="仿宋"/>
          <w:spacing w:val="4"/>
          <w:sz w:val="28"/>
          <w:szCs w:val="28"/>
          <w:u w:val="single"/>
          <w:lang w:val="zh-CN" w:eastAsia="zh-CN" w:bidi="zh-CN"/>
        </w:rPr>
        <w:tab/>
      </w:r>
      <w:r>
        <w:rPr>
          <w:rFonts w:hint="eastAsia" w:ascii="仿宋" w:hAnsi="仿宋" w:eastAsia="仿宋" w:cs="仿宋"/>
          <w:spacing w:val="4"/>
          <w:sz w:val="28"/>
          <w:szCs w:val="28"/>
          <w:u w:val="single"/>
          <w:lang w:val="zh-CN" w:eastAsia="zh-CN" w:bidi="zh-CN"/>
        </w:rPr>
        <w:tab/>
      </w:r>
      <w:r>
        <w:rPr>
          <w:rFonts w:hint="eastAsia" w:ascii="仿宋" w:hAnsi="仿宋" w:eastAsia="仿宋" w:cs="仿宋"/>
          <w:sz w:val="28"/>
          <w:szCs w:val="28"/>
          <w:lang w:val="zh-CN" w:eastAsia="zh-CN" w:bidi="zh-CN"/>
        </w:rPr>
        <w:t>（项目名称</w:t>
      </w:r>
      <w:r>
        <w:rPr>
          <w:rFonts w:hint="eastAsia" w:ascii="仿宋" w:hAnsi="仿宋" w:eastAsia="仿宋" w:cs="仿宋"/>
          <w:spacing w:val="3"/>
          <w:sz w:val="28"/>
          <w:szCs w:val="28"/>
          <w:lang w:val="zh-CN" w:eastAsia="zh-CN" w:bidi="zh-CN"/>
        </w:rPr>
        <w:t>）</w:t>
      </w:r>
      <w:r>
        <w:rPr>
          <w:rFonts w:hint="eastAsia" w:ascii="仿宋" w:hAnsi="仿宋" w:eastAsia="仿宋" w:cs="仿宋"/>
          <w:sz w:val="28"/>
          <w:szCs w:val="28"/>
          <w:lang w:val="zh-CN" w:eastAsia="zh-CN" w:bidi="zh-CN"/>
        </w:rPr>
        <w:t>磋商文件的全部内容，</w:t>
      </w:r>
      <w:r>
        <w:rPr>
          <w:rFonts w:hint="eastAsia" w:ascii="仿宋" w:hAnsi="仿宋" w:eastAsia="仿宋" w:cs="仿宋"/>
          <w:spacing w:val="-12"/>
          <w:sz w:val="28"/>
          <w:szCs w:val="28"/>
          <w:lang w:val="zh-CN" w:eastAsia="zh-CN" w:bidi="zh-CN"/>
        </w:rPr>
        <w:t>愿</w:t>
      </w:r>
      <w:r>
        <w:rPr>
          <w:rFonts w:hint="eastAsia" w:ascii="仿宋" w:hAnsi="仿宋" w:eastAsia="仿宋" w:cs="仿宋"/>
          <w:sz w:val="28"/>
          <w:szCs w:val="28"/>
          <w:lang w:val="zh-CN" w:eastAsia="zh-CN" w:bidi="zh-CN"/>
        </w:rPr>
        <w:t>意以人民币大写</w:t>
      </w:r>
      <w:r>
        <w:rPr>
          <w:rFonts w:hint="eastAsia" w:ascii="仿宋" w:hAnsi="仿宋" w:eastAsia="仿宋" w:cs="仿宋"/>
          <w:sz w:val="28"/>
          <w:szCs w:val="28"/>
          <w:u w:val="single"/>
          <w:lang w:val="zh-CN" w:eastAsia="zh-CN" w:bidi="zh-CN"/>
        </w:rPr>
        <w:t xml:space="preserve"> </w:t>
      </w:r>
      <w:r>
        <w:rPr>
          <w:rFonts w:hint="eastAsia" w:ascii="仿宋" w:hAnsi="仿宋" w:eastAsia="仿宋" w:cs="仿宋"/>
          <w:sz w:val="28"/>
          <w:szCs w:val="28"/>
          <w:u w:val="single"/>
          <w:lang w:val="en-US" w:eastAsia="zh-CN" w:bidi="zh-CN"/>
        </w:rPr>
        <w:t xml:space="preserve">  </w:t>
      </w:r>
      <w:r>
        <w:rPr>
          <w:rFonts w:hint="eastAsia" w:ascii="仿宋" w:hAnsi="仿宋" w:eastAsia="仿宋" w:cs="仿宋"/>
          <w:sz w:val="28"/>
          <w:szCs w:val="28"/>
          <w:u w:val="single"/>
          <w:lang w:val="zh-CN" w:eastAsia="zh-CN" w:bidi="zh-CN"/>
        </w:rPr>
        <w:tab/>
      </w:r>
      <w:r>
        <w:rPr>
          <w:rFonts w:hint="eastAsia" w:ascii="仿宋" w:hAnsi="仿宋" w:eastAsia="仿宋" w:cs="仿宋"/>
          <w:sz w:val="28"/>
          <w:szCs w:val="28"/>
          <w:lang w:val="zh-CN" w:eastAsia="zh-CN" w:bidi="zh-CN"/>
        </w:rPr>
        <w:t>（小写：￥</w:t>
      </w:r>
      <w:r>
        <w:rPr>
          <w:rFonts w:hint="eastAsia" w:ascii="仿宋" w:hAnsi="仿宋" w:eastAsia="仿宋" w:cs="仿宋"/>
          <w:sz w:val="28"/>
          <w:szCs w:val="28"/>
          <w:u w:val="single"/>
          <w:lang w:val="zh-CN" w:eastAsia="zh-CN" w:bidi="zh-CN"/>
        </w:rPr>
        <w:t xml:space="preserve">    </w:t>
      </w:r>
      <w:r>
        <w:rPr>
          <w:rFonts w:hint="eastAsia" w:ascii="仿宋" w:hAnsi="仿宋" w:eastAsia="仿宋" w:cs="仿宋"/>
          <w:spacing w:val="28"/>
          <w:sz w:val="28"/>
          <w:szCs w:val="28"/>
          <w:lang w:val="zh-CN" w:eastAsia="zh-CN" w:bidi="zh-CN"/>
        </w:rPr>
        <w:t xml:space="preserve"> </w:t>
      </w:r>
      <w:r>
        <w:rPr>
          <w:rFonts w:hint="eastAsia" w:ascii="仿宋" w:hAnsi="仿宋" w:eastAsia="仿宋" w:cs="仿宋"/>
          <w:sz w:val="28"/>
          <w:szCs w:val="28"/>
          <w:lang w:val="zh-CN" w:eastAsia="zh-CN" w:bidi="zh-CN"/>
        </w:rPr>
        <w:t>）的投标总报价，合同履行期限</w:t>
      </w:r>
      <w:r>
        <w:rPr>
          <w:rFonts w:hint="eastAsia" w:ascii="仿宋" w:hAnsi="仿宋" w:eastAsia="仿宋" w:cs="仿宋"/>
          <w:sz w:val="28"/>
          <w:szCs w:val="28"/>
          <w:u w:val="single"/>
          <w:lang w:val="zh-CN" w:eastAsia="zh-CN" w:bidi="zh-CN"/>
        </w:rPr>
        <w:t xml:space="preserve"> </w:t>
      </w:r>
      <w:r>
        <w:rPr>
          <w:rFonts w:hint="eastAsia" w:ascii="仿宋" w:hAnsi="仿宋" w:eastAsia="仿宋" w:cs="仿宋"/>
          <w:sz w:val="28"/>
          <w:szCs w:val="28"/>
          <w:u w:val="single"/>
          <w:lang w:val="zh-CN" w:eastAsia="zh-CN" w:bidi="zh-CN"/>
        </w:rPr>
        <w:tab/>
      </w:r>
      <w:r>
        <w:rPr>
          <w:rFonts w:hint="eastAsia" w:ascii="仿宋" w:hAnsi="仿宋" w:eastAsia="仿宋" w:cs="仿宋"/>
          <w:sz w:val="28"/>
          <w:szCs w:val="28"/>
          <w:u w:val="single"/>
          <w:lang w:val="en-US" w:eastAsia="zh-CN" w:bidi="zh-CN"/>
        </w:rPr>
        <w:t xml:space="preserve">  </w:t>
      </w:r>
      <w:r>
        <w:rPr>
          <w:rFonts w:hint="eastAsia" w:ascii="仿宋" w:hAnsi="仿宋" w:eastAsia="仿宋" w:cs="仿宋"/>
          <w:sz w:val="28"/>
          <w:szCs w:val="28"/>
          <w:u w:val="none"/>
          <w:lang w:val="en-US" w:eastAsia="zh-CN" w:bidi="zh-CN"/>
        </w:rPr>
        <w:t>日</w:t>
      </w:r>
      <w:r>
        <w:rPr>
          <w:rFonts w:hint="eastAsia" w:ascii="仿宋" w:hAnsi="仿宋" w:eastAsia="仿宋" w:cs="仿宋"/>
          <w:spacing w:val="-14"/>
          <w:sz w:val="28"/>
          <w:szCs w:val="28"/>
          <w:lang w:val="zh-CN" w:eastAsia="zh-CN" w:bidi="zh-CN"/>
        </w:rPr>
        <w:t>历</w:t>
      </w:r>
      <w:r>
        <w:rPr>
          <w:rFonts w:hint="eastAsia" w:ascii="仿宋" w:hAnsi="仿宋" w:eastAsia="仿宋" w:cs="仿宋"/>
          <w:sz w:val="28"/>
          <w:szCs w:val="28"/>
          <w:lang w:val="zh-CN" w:eastAsia="zh-CN" w:bidi="zh-CN"/>
        </w:rPr>
        <w:t>天，按合同约定实施和完成本项目，质量达到</w:t>
      </w:r>
      <w:r>
        <w:rPr>
          <w:rFonts w:hint="eastAsia" w:ascii="仿宋" w:hAnsi="仿宋" w:eastAsia="仿宋" w:cs="仿宋"/>
          <w:sz w:val="28"/>
          <w:szCs w:val="28"/>
          <w:u w:val="single"/>
          <w:lang w:val="zh-CN" w:eastAsia="zh-CN" w:bidi="zh-CN"/>
        </w:rPr>
        <w:t xml:space="preserve"> </w:t>
      </w:r>
      <w:r>
        <w:rPr>
          <w:rFonts w:hint="eastAsia" w:ascii="仿宋" w:hAnsi="仿宋" w:eastAsia="仿宋" w:cs="仿宋"/>
          <w:sz w:val="28"/>
          <w:szCs w:val="28"/>
          <w:u w:val="single"/>
          <w:lang w:val="zh-CN" w:eastAsia="zh-CN" w:bidi="zh-CN"/>
        </w:rPr>
        <w:tab/>
      </w:r>
      <w:r>
        <w:rPr>
          <w:rFonts w:hint="eastAsia" w:ascii="仿宋" w:hAnsi="仿宋" w:eastAsia="仿宋" w:cs="仿宋"/>
          <w:sz w:val="28"/>
          <w:szCs w:val="28"/>
          <w:lang w:val="zh-CN" w:eastAsia="zh-CN" w:bidi="zh-CN"/>
        </w:rPr>
        <w:t>。</w:t>
      </w:r>
    </w:p>
    <w:p>
      <w:pPr>
        <w:keepNext w:val="0"/>
        <w:keepLines w:val="0"/>
        <w:pageBreakBefore w:val="0"/>
        <w:widowControl w:val="0"/>
        <w:numPr>
          <w:ilvl w:val="0"/>
          <w:numId w:val="0"/>
        </w:numPr>
        <w:tabs>
          <w:tab w:val="left" w:pos="1380"/>
        </w:tabs>
        <w:kinsoku/>
        <w:wordWrap/>
        <w:overflowPunct/>
        <w:topLinePunct w:val="0"/>
        <w:autoSpaceDE w:val="0"/>
        <w:autoSpaceDN w:val="0"/>
        <w:bidi w:val="0"/>
        <w:adjustRightInd/>
        <w:snapToGrid/>
        <w:spacing w:before="0" w:line="360" w:lineRule="auto"/>
        <w:ind w:right="0" w:rightChars="0" w:firstLine="560" w:firstLineChars="200"/>
        <w:jc w:val="both"/>
        <w:textAlignment w:val="auto"/>
        <w:rPr>
          <w:rFonts w:ascii="仿宋" w:hAnsi="仿宋" w:eastAsia="仿宋" w:cs="仿宋"/>
          <w:sz w:val="28"/>
          <w:szCs w:val="28"/>
          <w:lang w:val="zh-CN" w:eastAsia="zh-CN" w:bidi="zh-CN"/>
        </w:rPr>
      </w:pPr>
      <w:r>
        <w:rPr>
          <w:rFonts w:hint="eastAsia" w:ascii="仿宋" w:hAnsi="仿宋" w:eastAsia="仿宋" w:cs="仿宋"/>
          <w:sz w:val="28"/>
          <w:szCs w:val="28"/>
          <w:lang w:val="en-US" w:eastAsia="zh-CN" w:bidi="zh-CN"/>
        </w:rPr>
        <w:t>2.</w:t>
      </w:r>
      <w:r>
        <w:rPr>
          <w:rFonts w:hint="eastAsia" w:ascii="仿宋" w:hAnsi="仿宋" w:eastAsia="仿宋" w:cs="仿宋"/>
          <w:sz w:val="28"/>
          <w:szCs w:val="28"/>
          <w:lang w:val="zh-CN" w:eastAsia="zh-CN" w:bidi="zh-CN"/>
        </w:rPr>
        <w:t>我方承诺在磋商有效期内不修改、撤销响应文件。</w:t>
      </w:r>
    </w:p>
    <w:p>
      <w:pPr>
        <w:keepNext w:val="0"/>
        <w:keepLines w:val="0"/>
        <w:pageBreakBefore w:val="0"/>
        <w:widowControl w:val="0"/>
        <w:numPr>
          <w:ilvl w:val="0"/>
          <w:numId w:val="0"/>
        </w:numPr>
        <w:tabs>
          <w:tab w:val="left" w:pos="1380"/>
        </w:tabs>
        <w:kinsoku/>
        <w:wordWrap/>
        <w:overflowPunct/>
        <w:topLinePunct w:val="0"/>
        <w:autoSpaceDE w:val="0"/>
        <w:autoSpaceDN w:val="0"/>
        <w:bidi w:val="0"/>
        <w:adjustRightInd/>
        <w:snapToGrid/>
        <w:spacing w:before="0" w:line="360" w:lineRule="auto"/>
        <w:ind w:leftChars="0" w:right="0" w:rightChars="0" w:firstLine="560" w:firstLineChars="200"/>
        <w:jc w:val="both"/>
        <w:textAlignment w:val="auto"/>
        <w:rPr>
          <w:rFonts w:ascii="仿宋" w:hAnsi="仿宋" w:eastAsia="仿宋" w:cs="仿宋"/>
          <w:sz w:val="28"/>
          <w:szCs w:val="28"/>
          <w:lang w:val="zh-CN" w:eastAsia="zh-CN" w:bidi="zh-CN"/>
        </w:rPr>
      </w:pPr>
      <w:r>
        <w:rPr>
          <w:rFonts w:hint="eastAsia" w:ascii="仿宋" w:hAnsi="仿宋" w:eastAsia="仿宋" w:cs="仿宋"/>
          <w:sz w:val="28"/>
          <w:szCs w:val="28"/>
          <w:lang w:val="en-US" w:eastAsia="zh-CN" w:bidi="zh-CN"/>
        </w:rPr>
        <w:t>3.</w:t>
      </w:r>
      <w:r>
        <w:rPr>
          <w:rFonts w:hint="eastAsia" w:ascii="仿宋" w:hAnsi="仿宋" w:eastAsia="仿宋" w:cs="仿宋"/>
          <w:sz w:val="28"/>
          <w:szCs w:val="28"/>
          <w:lang w:val="zh-CN" w:eastAsia="zh-CN" w:bidi="zh-CN"/>
        </w:rPr>
        <w:t>如我方中标：</w:t>
      </w:r>
    </w:p>
    <w:p>
      <w:pPr>
        <w:keepNext w:val="0"/>
        <w:keepLines w:val="0"/>
        <w:pageBreakBefore w:val="0"/>
        <w:widowControl w:val="0"/>
        <w:tabs>
          <w:tab w:val="left" w:pos="1380"/>
        </w:tabs>
        <w:kinsoku/>
        <w:wordWrap/>
        <w:overflowPunct/>
        <w:topLinePunct w:val="0"/>
        <w:autoSpaceDE w:val="0"/>
        <w:autoSpaceDN w:val="0"/>
        <w:bidi w:val="0"/>
        <w:adjustRightInd/>
        <w:snapToGrid/>
        <w:spacing w:before="0" w:line="360" w:lineRule="auto"/>
        <w:ind w:left="0" w:right="0" w:firstLine="560" w:firstLineChars="200"/>
        <w:jc w:val="left"/>
        <w:textAlignment w:val="auto"/>
        <w:rPr>
          <w:rFonts w:ascii="仿宋" w:hAnsi="仿宋" w:eastAsia="仿宋" w:cs="仿宋"/>
          <w:sz w:val="28"/>
          <w:szCs w:val="28"/>
          <w:lang w:val="zh-CN" w:eastAsia="zh-CN" w:bidi="zh-CN"/>
        </w:rPr>
      </w:pPr>
      <w:r>
        <w:rPr>
          <w:rFonts w:hint="eastAsia" w:ascii="仿宋" w:hAnsi="仿宋" w:eastAsia="仿宋" w:cs="仿宋"/>
          <w:sz w:val="28"/>
          <w:szCs w:val="28"/>
          <w:lang w:val="zh-CN" w:eastAsia="zh-CN" w:bidi="zh-CN"/>
        </w:rPr>
        <w:t>(l）</w:t>
      </w:r>
      <w:r>
        <w:rPr>
          <w:rFonts w:hint="eastAsia" w:ascii="仿宋" w:hAnsi="仿宋" w:eastAsia="仿宋" w:cs="仿宋"/>
          <w:spacing w:val="-1"/>
          <w:sz w:val="28"/>
          <w:szCs w:val="28"/>
          <w:lang w:val="zh-CN" w:eastAsia="zh-CN" w:bidi="zh-CN"/>
        </w:rPr>
        <w:t>我方承诺在收到成交通知书后，在成交通知书规定的期限内与你方签订合同。</w:t>
      </w:r>
    </w:p>
    <w:p>
      <w:pPr>
        <w:keepNext w:val="0"/>
        <w:keepLines w:val="0"/>
        <w:pageBreakBefore w:val="0"/>
        <w:widowControl w:val="0"/>
        <w:tabs>
          <w:tab w:val="left" w:pos="1380"/>
        </w:tabs>
        <w:kinsoku/>
        <w:wordWrap/>
        <w:overflowPunct/>
        <w:topLinePunct w:val="0"/>
        <w:autoSpaceDE w:val="0"/>
        <w:autoSpaceDN w:val="0"/>
        <w:bidi w:val="0"/>
        <w:adjustRightInd/>
        <w:snapToGrid/>
        <w:spacing w:before="0" w:line="360" w:lineRule="auto"/>
        <w:ind w:left="0" w:right="0" w:firstLine="560" w:firstLineChars="200"/>
        <w:jc w:val="left"/>
        <w:textAlignment w:val="auto"/>
        <w:rPr>
          <w:rFonts w:ascii="仿宋" w:hAnsi="仿宋" w:eastAsia="仿宋" w:cs="仿宋"/>
          <w:sz w:val="28"/>
          <w:szCs w:val="28"/>
          <w:lang w:val="zh-CN" w:eastAsia="zh-CN" w:bidi="zh-CN"/>
        </w:rPr>
      </w:pPr>
      <w:r>
        <w:rPr>
          <w:rFonts w:hint="eastAsia" w:ascii="仿宋" w:hAnsi="仿宋" w:eastAsia="仿宋" w:cs="仿宋"/>
          <w:sz w:val="28"/>
          <w:szCs w:val="28"/>
          <w:lang w:val="zh-CN" w:eastAsia="zh-CN" w:bidi="zh-CN"/>
        </w:rPr>
        <w:t>(2）随同本磋商函递交的磋商函附录属于合同文件的组成部分。</w:t>
      </w:r>
    </w:p>
    <w:p>
      <w:pPr>
        <w:keepNext w:val="0"/>
        <w:keepLines w:val="0"/>
        <w:pageBreakBefore w:val="0"/>
        <w:widowControl w:val="0"/>
        <w:tabs>
          <w:tab w:val="left" w:pos="1380"/>
        </w:tabs>
        <w:kinsoku/>
        <w:wordWrap/>
        <w:overflowPunct/>
        <w:topLinePunct w:val="0"/>
        <w:autoSpaceDE w:val="0"/>
        <w:autoSpaceDN w:val="0"/>
        <w:bidi w:val="0"/>
        <w:adjustRightInd/>
        <w:snapToGrid/>
        <w:spacing w:before="0" w:line="360" w:lineRule="auto"/>
        <w:ind w:left="0" w:right="0" w:firstLine="560" w:firstLineChars="200"/>
        <w:jc w:val="left"/>
        <w:textAlignment w:val="auto"/>
        <w:rPr>
          <w:rFonts w:ascii="仿宋" w:hAnsi="仿宋" w:eastAsia="仿宋" w:cs="仿宋"/>
          <w:sz w:val="28"/>
          <w:szCs w:val="28"/>
          <w:lang w:val="zh-CN" w:eastAsia="zh-CN" w:bidi="zh-CN"/>
        </w:rPr>
      </w:pPr>
      <w:r>
        <w:rPr>
          <w:rFonts w:hint="eastAsia" w:ascii="仿宋" w:hAnsi="仿宋" w:eastAsia="仿宋" w:cs="仿宋"/>
          <w:sz w:val="28"/>
          <w:szCs w:val="28"/>
          <w:lang w:val="zh-CN" w:eastAsia="zh-CN" w:bidi="zh-CN"/>
        </w:rPr>
        <w:t>(3）我方承诺在合同约定的期限内完成并移交全部合同</w:t>
      </w:r>
      <w:r>
        <w:rPr>
          <w:rFonts w:hint="eastAsia" w:ascii="仿宋" w:hAnsi="仿宋" w:eastAsia="仿宋" w:cs="仿宋"/>
          <w:sz w:val="28"/>
          <w:szCs w:val="28"/>
          <w:lang w:val="en-US" w:eastAsia="zh-CN" w:bidi="zh-CN"/>
        </w:rPr>
        <w:t>任务</w:t>
      </w:r>
      <w:r>
        <w:rPr>
          <w:rFonts w:hint="eastAsia" w:ascii="仿宋" w:hAnsi="仿宋" w:eastAsia="仿宋" w:cs="仿宋"/>
          <w:sz w:val="28"/>
          <w:szCs w:val="28"/>
          <w:lang w:val="zh-CN" w:eastAsia="zh-CN" w:bidi="zh-CN"/>
        </w:rPr>
        <w:t>。</w:t>
      </w:r>
    </w:p>
    <w:p>
      <w:pPr>
        <w:keepNext w:val="0"/>
        <w:keepLines w:val="0"/>
        <w:pageBreakBefore w:val="0"/>
        <w:widowControl w:val="0"/>
        <w:tabs>
          <w:tab w:val="left" w:pos="1380"/>
        </w:tabs>
        <w:kinsoku/>
        <w:wordWrap/>
        <w:overflowPunct/>
        <w:topLinePunct w:val="0"/>
        <w:autoSpaceDE w:val="0"/>
        <w:autoSpaceDN w:val="0"/>
        <w:bidi w:val="0"/>
        <w:adjustRightInd/>
        <w:snapToGrid/>
        <w:spacing w:before="0" w:line="360" w:lineRule="auto"/>
        <w:ind w:left="0" w:right="0" w:firstLine="560" w:firstLineChars="200"/>
        <w:jc w:val="left"/>
        <w:textAlignment w:val="auto"/>
        <w:rPr>
          <w:rFonts w:ascii="仿宋" w:hAnsi="仿宋" w:eastAsia="仿宋" w:cs="仿宋"/>
          <w:sz w:val="28"/>
          <w:szCs w:val="28"/>
          <w:lang w:val="zh-CN" w:eastAsia="zh-CN" w:bidi="zh-CN"/>
        </w:rPr>
      </w:pPr>
      <w:r>
        <w:rPr>
          <w:rFonts w:hint="eastAsia" w:ascii="仿宋" w:hAnsi="仿宋" w:eastAsia="仿宋" w:cs="仿宋"/>
          <w:sz w:val="28"/>
          <w:szCs w:val="28"/>
          <w:lang w:val="en-US" w:eastAsia="zh-CN" w:bidi="zh-CN"/>
        </w:rPr>
        <w:t>4.</w:t>
      </w:r>
      <w:r>
        <w:rPr>
          <w:rFonts w:hint="eastAsia" w:ascii="仿宋" w:hAnsi="仿宋" w:eastAsia="仿宋" w:cs="仿宋"/>
          <w:sz w:val="28"/>
          <w:szCs w:val="28"/>
          <w:lang w:val="zh-CN" w:eastAsia="zh-CN" w:bidi="zh-CN"/>
        </w:rPr>
        <w:t>我方在此声明，所递交的响应文件及有关资料内容完整、真实和准确。</w:t>
      </w:r>
    </w:p>
    <w:p>
      <w:pPr>
        <w:keepNext w:val="0"/>
        <w:keepLines w:val="0"/>
        <w:pageBreakBefore w:val="0"/>
        <w:widowControl w:val="0"/>
        <w:tabs>
          <w:tab w:val="left" w:pos="3899"/>
        </w:tabs>
        <w:kinsoku/>
        <w:wordWrap/>
        <w:overflowPunct/>
        <w:topLinePunct w:val="0"/>
        <w:autoSpaceDE w:val="0"/>
        <w:autoSpaceDN w:val="0"/>
        <w:bidi w:val="0"/>
        <w:adjustRightInd/>
        <w:snapToGrid/>
        <w:spacing w:before="0" w:line="360" w:lineRule="auto"/>
        <w:ind w:left="0" w:right="0" w:firstLine="560" w:firstLineChars="200"/>
        <w:jc w:val="both"/>
        <w:textAlignment w:val="auto"/>
        <w:rPr>
          <w:rFonts w:ascii="仿宋" w:hAnsi="仿宋" w:eastAsia="仿宋" w:cs="仿宋"/>
          <w:sz w:val="28"/>
          <w:szCs w:val="28"/>
          <w:lang w:val="zh-CN" w:eastAsia="zh-CN" w:bidi="zh-CN"/>
        </w:rPr>
      </w:pPr>
      <w:r>
        <w:rPr>
          <w:rFonts w:hint="eastAsia" w:ascii="仿宋" w:hAnsi="仿宋" w:eastAsia="仿宋" w:cs="仿宋"/>
          <w:sz w:val="28"/>
          <w:szCs w:val="28"/>
          <w:lang w:val="en-US" w:eastAsia="zh-CN" w:bidi="zh-CN"/>
        </w:rPr>
        <w:t>5</w:t>
      </w:r>
      <w:r>
        <w:rPr>
          <w:rFonts w:hint="eastAsia" w:ascii="仿宋" w:hAnsi="仿宋" w:eastAsia="仿宋" w:cs="仿宋"/>
          <w:sz w:val="28"/>
          <w:szCs w:val="28"/>
          <w:lang w:val="zh-CN" w:eastAsia="zh-CN" w:bidi="zh-CN"/>
        </w:rPr>
        <w:t>.</w:t>
      </w:r>
      <w:r>
        <w:rPr>
          <w:rFonts w:hint="eastAsia" w:ascii="仿宋" w:hAnsi="仿宋" w:eastAsia="仿宋" w:cs="仿宋"/>
          <w:sz w:val="28"/>
          <w:szCs w:val="28"/>
          <w:u w:val="single"/>
          <w:lang w:val="zh-CN" w:eastAsia="zh-CN" w:bidi="zh-CN"/>
        </w:rPr>
        <w:t xml:space="preserve"> </w:t>
      </w:r>
      <w:r>
        <w:rPr>
          <w:rFonts w:hint="eastAsia" w:ascii="仿宋" w:hAnsi="仿宋" w:eastAsia="仿宋" w:cs="仿宋"/>
          <w:sz w:val="28"/>
          <w:szCs w:val="28"/>
          <w:u w:val="single"/>
          <w:lang w:val="zh-CN" w:eastAsia="zh-CN" w:bidi="zh-CN"/>
        </w:rPr>
        <w:tab/>
      </w:r>
      <w:r>
        <w:rPr>
          <w:rFonts w:hint="eastAsia" w:ascii="仿宋" w:hAnsi="仿宋" w:eastAsia="仿宋" w:cs="仿宋"/>
          <w:sz w:val="28"/>
          <w:szCs w:val="28"/>
          <w:lang w:val="zh-CN" w:eastAsia="zh-CN" w:bidi="zh-CN"/>
        </w:rPr>
        <w:t>（其他补充说明）。</w:t>
      </w:r>
    </w:p>
    <w:p>
      <w:pPr>
        <w:keepNext w:val="0"/>
        <w:keepLines w:val="0"/>
        <w:pageBreakBefore w:val="0"/>
        <w:widowControl w:val="0"/>
        <w:kinsoku/>
        <w:wordWrap/>
        <w:overflowPunct/>
        <w:topLinePunct w:val="0"/>
        <w:autoSpaceDE w:val="0"/>
        <w:autoSpaceDN w:val="0"/>
        <w:bidi w:val="0"/>
        <w:adjustRightInd/>
        <w:snapToGrid/>
        <w:spacing w:before="0"/>
        <w:ind w:left="0" w:right="0"/>
        <w:jc w:val="both"/>
        <w:textAlignment w:val="auto"/>
        <w:rPr>
          <w:rFonts w:ascii="仿宋" w:hAnsi="仿宋" w:eastAsia="仿宋" w:cs="仿宋"/>
          <w:sz w:val="28"/>
          <w:szCs w:val="28"/>
          <w:lang w:val="zh-CN" w:eastAsia="zh-CN" w:bidi="zh-CN"/>
        </w:rPr>
      </w:pPr>
    </w:p>
    <w:p>
      <w:pPr>
        <w:widowControl w:val="0"/>
        <w:autoSpaceDE w:val="0"/>
        <w:autoSpaceDN w:val="0"/>
        <w:jc w:val="both"/>
        <w:rPr>
          <w:rFonts w:ascii="仿宋" w:hAnsi="仿宋" w:eastAsia="仿宋" w:cs="仿宋"/>
          <w:sz w:val="28"/>
          <w:szCs w:val="28"/>
          <w:lang w:val="zh-CN" w:eastAsia="zh-CN" w:bidi="zh-CN"/>
        </w:rPr>
      </w:pPr>
    </w:p>
    <w:p>
      <w:pPr>
        <w:widowControl w:val="0"/>
        <w:autoSpaceDE w:val="0"/>
        <w:autoSpaceDN w:val="0"/>
        <w:spacing w:before="9"/>
        <w:jc w:val="both"/>
        <w:rPr>
          <w:rFonts w:ascii="仿宋" w:hAnsi="仿宋" w:eastAsia="仿宋" w:cs="仿宋"/>
          <w:sz w:val="28"/>
          <w:szCs w:val="28"/>
          <w:lang w:val="zh-CN" w:eastAsia="zh-CN" w:bidi="zh-CN"/>
        </w:rPr>
      </w:pPr>
    </w:p>
    <w:p>
      <w:pPr>
        <w:widowControl w:val="0"/>
        <w:autoSpaceDE w:val="0"/>
        <w:autoSpaceDN w:val="0"/>
        <w:ind w:firstLine="6160" w:firstLineChars="2200"/>
        <w:jc w:val="both"/>
        <w:rPr>
          <w:rFonts w:ascii="仿宋" w:hAnsi="仿宋" w:eastAsia="仿宋" w:cs="仿宋"/>
          <w:sz w:val="28"/>
          <w:szCs w:val="28"/>
          <w:lang w:val="zh-CN" w:eastAsia="zh-CN" w:bidi="zh-CN"/>
        </w:rPr>
      </w:pPr>
      <w:r>
        <w:rPr>
          <w:rFonts w:hint="eastAsia" w:ascii="仿宋" w:hAnsi="仿宋" w:eastAsia="仿宋" w:cs="仿宋"/>
          <w:sz w:val="28"/>
          <w:szCs w:val="28"/>
          <w:lang w:val="zh-CN" w:eastAsia="zh-CN" w:bidi="zh-CN"/>
        </w:rPr>
        <w:t>供应商（单位公章）：</w:t>
      </w:r>
    </w:p>
    <w:p>
      <w:pPr>
        <w:widowControl w:val="0"/>
        <w:autoSpaceDE w:val="0"/>
        <w:autoSpaceDN w:val="0"/>
        <w:spacing w:before="153"/>
        <w:ind w:firstLine="3640" w:firstLineChars="1300"/>
        <w:jc w:val="both"/>
        <w:rPr>
          <w:rFonts w:ascii="仿宋" w:hAnsi="仿宋" w:eastAsia="仿宋" w:cs="仿宋"/>
          <w:sz w:val="28"/>
          <w:szCs w:val="28"/>
          <w:lang w:val="zh-CN" w:eastAsia="zh-CN" w:bidi="zh-CN"/>
        </w:rPr>
      </w:pPr>
      <w:r>
        <w:rPr>
          <w:rFonts w:hint="eastAsia" w:ascii="仿宋" w:hAnsi="仿宋" w:eastAsia="仿宋" w:cs="仿宋"/>
          <w:sz w:val="28"/>
          <w:szCs w:val="28"/>
          <w:lang w:val="zh-CN" w:eastAsia="zh-CN" w:bidi="zh-CN"/>
        </w:rPr>
        <w:t>法人代表或其授权委托人（签字或盖章）：</w:t>
      </w:r>
    </w:p>
    <w:p>
      <w:pPr>
        <w:spacing w:before="0" w:after="0" w:line="240" w:lineRule="auto"/>
        <w:ind w:left="0" w:right="0"/>
        <w:jc w:val="right"/>
        <w:rPr>
          <w:rFonts w:ascii="宋体" w:hAnsi="宋体" w:cs="宋体"/>
        </w:rPr>
      </w:pPr>
      <w:r>
        <w:rPr>
          <w:rFonts w:hint="eastAsia" w:ascii="仿宋" w:hAnsi="仿宋" w:cs="仿宋"/>
          <w:sz w:val="28"/>
          <w:szCs w:val="28"/>
          <w:u w:val="single"/>
        </w:rPr>
        <w:t xml:space="preserve"> </w:t>
      </w:r>
      <w:r>
        <w:rPr>
          <w:rFonts w:hint="eastAsia" w:ascii="仿宋" w:hAnsi="仿宋" w:cs="仿宋"/>
          <w:sz w:val="28"/>
          <w:szCs w:val="28"/>
          <w:u w:val="single"/>
        </w:rPr>
        <w:tab/>
      </w:r>
      <w:r>
        <w:rPr>
          <w:rFonts w:hint="eastAsia" w:ascii="仿宋" w:hAnsi="仿宋" w:cs="仿宋"/>
          <w:sz w:val="28"/>
          <w:szCs w:val="28"/>
        </w:rPr>
        <w:t>年</w:t>
      </w:r>
      <w:r>
        <w:rPr>
          <w:rFonts w:hint="eastAsia" w:ascii="仿宋" w:hAnsi="仿宋" w:cs="仿宋"/>
          <w:sz w:val="28"/>
          <w:szCs w:val="28"/>
          <w:u w:val="single"/>
        </w:rPr>
        <w:t xml:space="preserve"> </w:t>
      </w:r>
      <w:r>
        <w:rPr>
          <w:rFonts w:hint="eastAsia" w:ascii="仿宋" w:hAnsi="仿宋" w:cs="仿宋"/>
          <w:sz w:val="28"/>
          <w:szCs w:val="28"/>
          <w:u w:val="single"/>
        </w:rPr>
        <w:tab/>
      </w:r>
      <w:r>
        <w:rPr>
          <w:rFonts w:hint="eastAsia" w:ascii="仿宋" w:hAnsi="仿宋" w:cs="仿宋"/>
          <w:sz w:val="28"/>
          <w:szCs w:val="28"/>
        </w:rPr>
        <w:t>月</w:t>
      </w:r>
      <w:r>
        <w:rPr>
          <w:rFonts w:hint="eastAsia" w:ascii="仿宋" w:hAnsi="仿宋" w:cs="仿宋"/>
          <w:sz w:val="28"/>
          <w:szCs w:val="28"/>
          <w:u w:val="single"/>
        </w:rPr>
        <w:t xml:space="preserve"> </w:t>
      </w:r>
      <w:r>
        <w:rPr>
          <w:rFonts w:hint="eastAsia" w:ascii="仿宋" w:hAnsi="仿宋" w:cs="仿宋"/>
          <w:sz w:val="28"/>
          <w:szCs w:val="28"/>
          <w:u w:val="single"/>
        </w:rPr>
        <w:tab/>
      </w:r>
      <w:r>
        <w:rPr>
          <w:rFonts w:hint="eastAsia" w:ascii="仿宋" w:hAnsi="仿宋" w:cs="仿宋"/>
          <w:sz w:val="28"/>
          <w:szCs w:val="28"/>
        </w:rPr>
        <w:t>日</w:t>
      </w:r>
    </w:p>
    <w:p>
      <w:pPr>
        <w:jc w:val="right"/>
        <w:rPr>
          <w:color w:val="auto"/>
        </w:rPr>
      </w:pPr>
    </w:p>
    <w:p>
      <w:pPr>
        <w:rPr>
          <w:color w:val="auto"/>
        </w:rPr>
      </w:pPr>
      <w:r>
        <w:rPr>
          <w:color w:val="auto"/>
        </w:rPr>
        <w:br w:type="page"/>
      </w:r>
    </w:p>
    <w:p>
      <w:pPr>
        <w:pStyle w:val="5"/>
        <w:numPr>
          <w:ilvl w:val="0"/>
          <w:numId w:val="8"/>
        </w:numPr>
        <w:ind w:left="1105"/>
        <w:outlineLvl w:val="1"/>
        <w:rPr>
          <w:color w:val="auto"/>
        </w:rPr>
      </w:pPr>
      <w:bookmarkStart w:id="48" w:name="_Toc4075"/>
      <w:r>
        <w:rPr>
          <w:color w:val="auto"/>
        </w:rPr>
        <w:t>磋商报价表</w:t>
      </w:r>
      <w:bookmarkEnd w:id="48"/>
    </w:p>
    <w:p>
      <w:pPr>
        <w:numPr>
          <w:ilvl w:val="0"/>
          <w:numId w:val="0"/>
        </w:numPr>
        <w:ind w:right="0" w:rightChars="0"/>
      </w:pPr>
    </w:p>
    <w:tbl>
      <w:tblPr>
        <w:tblStyle w:val="21"/>
        <w:tblW w:w="9162" w:type="dxa"/>
        <w:tblInd w:w="4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82"/>
        <w:gridCol w:w="3214"/>
        <w:gridCol w:w="3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2782" w:type="dxa"/>
          </w:tcPr>
          <w:p>
            <w:pPr>
              <w:pStyle w:val="48"/>
              <w:spacing w:before="5"/>
              <w:jc w:val="center"/>
              <w:rPr>
                <w:rFonts w:ascii="仿宋" w:hAnsi="仿宋" w:eastAsia="仿宋" w:cs="仿宋"/>
                <w:b/>
                <w:sz w:val="28"/>
                <w:szCs w:val="28"/>
              </w:rPr>
            </w:pPr>
          </w:p>
          <w:p>
            <w:pPr>
              <w:pStyle w:val="48"/>
              <w:ind w:right="523"/>
              <w:jc w:val="center"/>
              <w:rPr>
                <w:rFonts w:ascii="仿宋" w:hAnsi="仿宋" w:eastAsia="仿宋" w:cs="仿宋"/>
                <w:sz w:val="28"/>
                <w:szCs w:val="28"/>
              </w:rPr>
            </w:pPr>
            <w:r>
              <w:rPr>
                <w:rFonts w:hint="eastAsia" w:ascii="仿宋" w:hAnsi="仿宋" w:eastAsia="仿宋" w:cs="仿宋"/>
                <w:sz w:val="28"/>
                <w:szCs w:val="28"/>
                <w:highlight w:val="none"/>
                <w:lang w:val="en-US"/>
              </w:rPr>
              <w:t xml:space="preserve"> </w:t>
            </w:r>
            <w:r>
              <w:rPr>
                <w:rFonts w:hint="eastAsia" w:ascii="仿宋" w:hAnsi="仿宋" w:eastAsia="仿宋" w:cs="仿宋"/>
                <w:sz w:val="28"/>
                <w:szCs w:val="28"/>
                <w:highlight w:val="none"/>
              </w:rPr>
              <w:t>项目名称</w:t>
            </w:r>
          </w:p>
        </w:tc>
        <w:tc>
          <w:tcPr>
            <w:tcW w:w="6380" w:type="dxa"/>
            <w:gridSpan w:val="2"/>
          </w:tcPr>
          <w:p>
            <w:pPr>
              <w:pStyle w:val="48"/>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2782" w:type="dxa"/>
          </w:tcPr>
          <w:p>
            <w:pPr>
              <w:pStyle w:val="48"/>
              <w:spacing w:before="10"/>
              <w:jc w:val="center"/>
              <w:rPr>
                <w:rFonts w:ascii="仿宋" w:hAnsi="仿宋" w:eastAsia="仿宋" w:cs="仿宋"/>
                <w:b/>
                <w:sz w:val="28"/>
                <w:szCs w:val="28"/>
              </w:rPr>
            </w:pPr>
          </w:p>
          <w:p>
            <w:pPr>
              <w:pStyle w:val="48"/>
              <w:ind w:left="529" w:right="523"/>
              <w:jc w:val="center"/>
              <w:rPr>
                <w:rFonts w:ascii="仿宋" w:hAnsi="仿宋" w:eastAsia="仿宋" w:cs="仿宋"/>
                <w:sz w:val="28"/>
                <w:szCs w:val="28"/>
              </w:rPr>
            </w:pPr>
            <w:r>
              <w:rPr>
                <w:rFonts w:hint="eastAsia" w:ascii="仿宋" w:hAnsi="仿宋" w:eastAsia="仿宋" w:cs="仿宋"/>
                <w:sz w:val="28"/>
                <w:szCs w:val="28"/>
              </w:rPr>
              <w:t>供应商名称</w:t>
            </w:r>
          </w:p>
        </w:tc>
        <w:tc>
          <w:tcPr>
            <w:tcW w:w="6380" w:type="dxa"/>
            <w:gridSpan w:val="2"/>
          </w:tcPr>
          <w:p>
            <w:pPr>
              <w:pStyle w:val="48"/>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2782" w:type="dxa"/>
          </w:tcPr>
          <w:p>
            <w:pPr>
              <w:pStyle w:val="48"/>
              <w:spacing w:before="134"/>
              <w:ind w:right="523"/>
              <w:jc w:val="center"/>
              <w:rPr>
                <w:rFonts w:ascii="仿宋" w:hAnsi="仿宋" w:eastAsia="仿宋" w:cs="仿宋"/>
                <w:sz w:val="28"/>
                <w:szCs w:val="28"/>
              </w:rPr>
            </w:pPr>
            <w:r>
              <w:rPr>
                <w:rFonts w:hint="eastAsia" w:ascii="仿宋" w:hAnsi="仿宋" w:eastAsia="仿宋" w:cs="仿宋"/>
                <w:sz w:val="28"/>
                <w:szCs w:val="28"/>
              </w:rPr>
              <w:t>磋商报价</w:t>
            </w:r>
          </w:p>
          <w:p>
            <w:pPr>
              <w:pStyle w:val="48"/>
              <w:spacing w:before="52"/>
              <w:ind w:left="529" w:right="523"/>
              <w:jc w:val="center"/>
              <w:rPr>
                <w:rFonts w:ascii="仿宋" w:hAnsi="仿宋" w:eastAsia="仿宋" w:cs="仿宋"/>
                <w:sz w:val="28"/>
                <w:szCs w:val="28"/>
              </w:rPr>
            </w:pPr>
            <w:r>
              <w:rPr>
                <w:rFonts w:hint="eastAsia" w:ascii="仿宋" w:hAnsi="仿宋" w:eastAsia="仿宋" w:cs="仿宋"/>
                <w:sz w:val="28"/>
                <w:szCs w:val="28"/>
              </w:rPr>
              <w:t>（首次报价）</w:t>
            </w:r>
          </w:p>
        </w:tc>
        <w:tc>
          <w:tcPr>
            <w:tcW w:w="3214" w:type="dxa"/>
          </w:tcPr>
          <w:p>
            <w:pPr>
              <w:pStyle w:val="48"/>
              <w:spacing w:before="8"/>
              <w:rPr>
                <w:rFonts w:ascii="仿宋" w:hAnsi="仿宋" w:eastAsia="仿宋" w:cs="仿宋"/>
                <w:b/>
                <w:sz w:val="28"/>
                <w:szCs w:val="28"/>
              </w:rPr>
            </w:pPr>
          </w:p>
          <w:p>
            <w:pPr>
              <w:pStyle w:val="48"/>
              <w:ind w:left="107"/>
              <w:rPr>
                <w:rFonts w:ascii="仿宋" w:hAnsi="仿宋" w:eastAsia="仿宋" w:cs="仿宋"/>
                <w:sz w:val="28"/>
                <w:szCs w:val="28"/>
              </w:rPr>
            </w:pPr>
            <w:r>
              <w:rPr>
                <w:rFonts w:hint="eastAsia" w:ascii="仿宋" w:hAnsi="仿宋" w:eastAsia="仿宋" w:cs="仿宋"/>
                <w:sz w:val="28"/>
                <w:szCs w:val="28"/>
              </w:rPr>
              <w:t>（大写）</w:t>
            </w:r>
          </w:p>
        </w:tc>
        <w:tc>
          <w:tcPr>
            <w:tcW w:w="3166" w:type="dxa"/>
          </w:tcPr>
          <w:p>
            <w:pPr>
              <w:pStyle w:val="48"/>
              <w:spacing w:before="8"/>
              <w:rPr>
                <w:rFonts w:ascii="仿宋" w:hAnsi="仿宋" w:eastAsia="仿宋" w:cs="仿宋"/>
                <w:b/>
                <w:sz w:val="28"/>
                <w:szCs w:val="28"/>
              </w:rPr>
            </w:pPr>
          </w:p>
          <w:p>
            <w:pPr>
              <w:pStyle w:val="48"/>
              <w:ind w:left="107"/>
              <w:rPr>
                <w:rFonts w:ascii="仿宋" w:hAnsi="仿宋" w:eastAsia="仿宋" w:cs="仿宋"/>
                <w:sz w:val="28"/>
                <w:szCs w:val="28"/>
              </w:rPr>
            </w:pPr>
            <w:r>
              <w:rPr>
                <w:rFonts w:hint="eastAsia" w:ascii="仿宋" w:hAnsi="仿宋" w:eastAsia="仿宋" w:cs="仿宋"/>
                <w:sz w:val="28"/>
                <w:szCs w:val="28"/>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2782" w:type="dxa"/>
          </w:tcPr>
          <w:p>
            <w:pPr>
              <w:pStyle w:val="48"/>
              <w:spacing w:before="1"/>
              <w:jc w:val="center"/>
              <w:rPr>
                <w:rFonts w:ascii="仿宋" w:hAnsi="仿宋" w:eastAsia="仿宋" w:cs="仿宋"/>
                <w:b/>
                <w:sz w:val="28"/>
                <w:szCs w:val="28"/>
              </w:rPr>
            </w:pPr>
          </w:p>
          <w:p>
            <w:pPr>
              <w:pStyle w:val="48"/>
              <w:ind w:left="529" w:right="523"/>
              <w:jc w:val="center"/>
              <w:rPr>
                <w:rFonts w:ascii="仿宋" w:hAnsi="仿宋" w:eastAsia="仿宋" w:cs="仿宋"/>
                <w:sz w:val="28"/>
                <w:szCs w:val="28"/>
              </w:rPr>
            </w:pPr>
            <w:r>
              <w:rPr>
                <w:rFonts w:hint="eastAsia" w:ascii="仿宋" w:hAnsi="仿宋" w:eastAsia="仿宋" w:cs="仿宋"/>
                <w:sz w:val="28"/>
                <w:szCs w:val="28"/>
              </w:rPr>
              <w:t>质量</w:t>
            </w:r>
          </w:p>
        </w:tc>
        <w:tc>
          <w:tcPr>
            <w:tcW w:w="6380" w:type="dxa"/>
            <w:gridSpan w:val="2"/>
          </w:tcPr>
          <w:p>
            <w:pPr>
              <w:pStyle w:val="48"/>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2782" w:type="dxa"/>
          </w:tcPr>
          <w:p>
            <w:pPr>
              <w:pStyle w:val="48"/>
              <w:spacing w:before="5"/>
              <w:jc w:val="center"/>
              <w:rPr>
                <w:rFonts w:ascii="仿宋" w:hAnsi="仿宋" w:eastAsia="仿宋" w:cs="仿宋"/>
                <w:b/>
                <w:sz w:val="28"/>
                <w:szCs w:val="28"/>
              </w:rPr>
            </w:pPr>
          </w:p>
          <w:p>
            <w:pPr>
              <w:pStyle w:val="48"/>
              <w:ind w:left="529" w:right="523"/>
              <w:jc w:val="center"/>
              <w:rPr>
                <w:rFonts w:ascii="仿宋" w:hAnsi="仿宋" w:eastAsia="仿宋" w:cs="仿宋"/>
                <w:sz w:val="28"/>
                <w:szCs w:val="28"/>
              </w:rPr>
            </w:pPr>
            <w:r>
              <w:rPr>
                <w:rFonts w:hint="eastAsia" w:ascii="仿宋" w:hAnsi="仿宋" w:eastAsia="仿宋" w:cs="仿宋"/>
                <w:sz w:val="28"/>
                <w:szCs w:val="28"/>
              </w:rPr>
              <w:t>合同履行期限</w:t>
            </w:r>
          </w:p>
        </w:tc>
        <w:tc>
          <w:tcPr>
            <w:tcW w:w="6380" w:type="dxa"/>
            <w:gridSpan w:val="2"/>
          </w:tcPr>
          <w:p>
            <w:pPr>
              <w:pStyle w:val="48"/>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2782" w:type="dxa"/>
          </w:tcPr>
          <w:p>
            <w:pPr>
              <w:pStyle w:val="48"/>
              <w:spacing w:before="4"/>
              <w:jc w:val="center"/>
              <w:rPr>
                <w:rFonts w:ascii="仿宋" w:hAnsi="仿宋" w:eastAsia="仿宋" w:cs="仿宋"/>
                <w:b/>
                <w:sz w:val="28"/>
                <w:szCs w:val="28"/>
              </w:rPr>
            </w:pPr>
          </w:p>
          <w:p>
            <w:pPr>
              <w:pStyle w:val="48"/>
              <w:ind w:left="529" w:right="523"/>
              <w:jc w:val="center"/>
              <w:rPr>
                <w:rFonts w:ascii="仿宋" w:hAnsi="仿宋" w:eastAsia="仿宋" w:cs="仿宋"/>
                <w:sz w:val="28"/>
                <w:szCs w:val="28"/>
              </w:rPr>
            </w:pPr>
            <w:r>
              <w:rPr>
                <w:rFonts w:hint="eastAsia" w:ascii="仿宋" w:hAnsi="仿宋" w:eastAsia="仿宋" w:cs="仿宋"/>
                <w:sz w:val="28"/>
                <w:szCs w:val="28"/>
              </w:rPr>
              <w:t>磋商有效期</w:t>
            </w:r>
          </w:p>
        </w:tc>
        <w:tc>
          <w:tcPr>
            <w:tcW w:w="6380" w:type="dxa"/>
            <w:gridSpan w:val="2"/>
          </w:tcPr>
          <w:p>
            <w:pPr>
              <w:pStyle w:val="48"/>
              <w:spacing w:before="4"/>
              <w:rPr>
                <w:rFonts w:ascii="仿宋" w:hAnsi="仿宋" w:eastAsia="仿宋" w:cs="仿宋"/>
                <w:b/>
                <w:sz w:val="28"/>
                <w:szCs w:val="28"/>
              </w:rPr>
            </w:pPr>
          </w:p>
          <w:p>
            <w:pPr>
              <w:pStyle w:val="48"/>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2782" w:type="dxa"/>
          </w:tcPr>
          <w:p>
            <w:pPr>
              <w:pStyle w:val="48"/>
              <w:spacing w:before="10"/>
              <w:jc w:val="center"/>
              <w:rPr>
                <w:rFonts w:ascii="仿宋" w:hAnsi="仿宋" w:eastAsia="仿宋" w:cs="仿宋"/>
                <w:b/>
                <w:sz w:val="28"/>
                <w:szCs w:val="28"/>
              </w:rPr>
            </w:pPr>
          </w:p>
          <w:p>
            <w:pPr>
              <w:pStyle w:val="48"/>
              <w:ind w:right="523"/>
              <w:jc w:val="center"/>
              <w:rPr>
                <w:rFonts w:ascii="仿宋" w:hAnsi="仿宋" w:eastAsia="仿宋" w:cs="仿宋"/>
                <w:sz w:val="28"/>
                <w:szCs w:val="28"/>
              </w:rPr>
            </w:pPr>
            <w:r>
              <w:rPr>
                <w:rFonts w:hint="eastAsia" w:ascii="仿宋" w:hAnsi="仿宋" w:eastAsia="仿宋" w:cs="仿宋"/>
                <w:sz w:val="28"/>
                <w:szCs w:val="28"/>
                <w:lang w:val="en-US"/>
              </w:rPr>
              <w:t xml:space="preserve"> </w:t>
            </w:r>
            <w:r>
              <w:rPr>
                <w:rFonts w:hint="eastAsia" w:ascii="仿宋" w:hAnsi="仿宋" w:eastAsia="仿宋" w:cs="仿宋"/>
                <w:sz w:val="28"/>
                <w:szCs w:val="28"/>
              </w:rPr>
              <w:t>其他优惠说明：</w:t>
            </w:r>
          </w:p>
        </w:tc>
        <w:tc>
          <w:tcPr>
            <w:tcW w:w="6380" w:type="dxa"/>
            <w:gridSpan w:val="2"/>
          </w:tcPr>
          <w:p>
            <w:pPr>
              <w:pStyle w:val="48"/>
              <w:rPr>
                <w:rFonts w:ascii="仿宋" w:hAnsi="仿宋" w:eastAsia="仿宋" w:cs="仿宋"/>
                <w:sz w:val="28"/>
                <w:szCs w:val="28"/>
              </w:rPr>
            </w:pPr>
          </w:p>
        </w:tc>
      </w:tr>
    </w:tbl>
    <w:p>
      <w:pPr>
        <w:pStyle w:val="10"/>
        <w:spacing w:before="4"/>
        <w:ind w:left="0"/>
        <w:rPr>
          <w:b/>
          <w:color w:val="auto"/>
          <w:sz w:val="10"/>
        </w:rPr>
      </w:pPr>
    </w:p>
    <w:p>
      <w:pPr>
        <w:widowControl w:val="0"/>
        <w:spacing w:after="319" w:line="1" w:lineRule="exact"/>
        <w:rPr>
          <w:color w:val="auto"/>
        </w:rPr>
      </w:pPr>
    </w:p>
    <w:p>
      <w:pPr>
        <w:spacing w:before="0" w:after="0" w:line="240" w:lineRule="auto"/>
        <w:ind w:left="0" w:right="0" w:firstLine="5600" w:firstLineChars="2000"/>
        <w:rPr>
          <w:rFonts w:hint="eastAsia" w:ascii="宋体" w:hAnsi="宋体" w:cs="宋体"/>
          <w:sz w:val="28"/>
          <w:szCs w:val="28"/>
        </w:rPr>
      </w:pPr>
    </w:p>
    <w:p>
      <w:pPr>
        <w:spacing w:before="0" w:after="0" w:line="240" w:lineRule="auto"/>
        <w:ind w:left="0" w:right="0" w:firstLine="5600" w:firstLineChars="2000"/>
        <w:rPr>
          <w:rFonts w:hint="eastAsia" w:ascii="宋体" w:hAnsi="宋体" w:cs="宋体"/>
          <w:sz w:val="28"/>
          <w:szCs w:val="28"/>
        </w:rPr>
      </w:pPr>
    </w:p>
    <w:p>
      <w:pPr>
        <w:spacing w:before="0" w:after="0" w:line="240" w:lineRule="auto"/>
        <w:ind w:left="0" w:right="0" w:firstLine="5600" w:firstLineChars="2000"/>
        <w:rPr>
          <w:rFonts w:hint="eastAsia" w:ascii="宋体" w:hAnsi="宋体" w:cs="宋体"/>
          <w:sz w:val="28"/>
          <w:szCs w:val="28"/>
        </w:rPr>
      </w:pPr>
    </w:p>
    <w:p>
      <w:pPr>
        <w:spacing w:before="0" w:after="0" w:line="360" w:lineRule="auto"/>
        <w:ind w:left="0" w:right="0" w:firstLine="5600" w:firstLineChars="2000"/>
        <w:rPr>
          <w:rFonts w:ascii="宋体" w:hAnsi="宋体" w:cs="宋体"/>
          <w:sz w:val="28"/>
          <w:szCs w:val="28"/>
        </w:rPr>
      </w:pPr>
      <w:r>
        <w:rPr>
          <w:rFonts w:hint="eastAsia" w:ascii="宋体" w:hAnsi="宋体" w:cs="宋体"/>
          <w:sz w:val="28"/>
          <w:szCs w:val="28"/>
        </w:rPr>
        <w:t>供应商（盖章）：</w:t>
      </w:r>
    </w:p>
    <w:p>
      <w:pPr>
        <w:spacing w:before="0" w:after="0" w:line="360" w:lineRule="auto"/>
        <w:ind w:left="0" w:right="0" w:firstLine="2240" w:firstLineChars="800"/>
        <w:rPr>
          <w:rFonts w:ascii="宋体" w:hAnsi="宋体" w:cs="宋体"/>
          <w:sz w:val="28"/>
          <w:szCs w:val="28"/>
        </w:rPr>
      </w:pPr>
      <w:r>
        <w:rPr>
          <w:rFonts w:hint="eastAsia" w:ascii="宋体" w:hAnsi="宋体" w:cs="宋体"/>
          <w:sz w:val="28"/>
          <w:szCs w:val="28"/>
        </w:rPr>
        <w:t xml:space="preserve">法定代表人或其委托代理人（签字或盖章）： </w:t>
      </w:r>
    </w:p>
    <w:p>
      <w:pPr>
        <w:spacing w:before="0" w:after="0" w:line="360" w:lineRule="auto"/>
        <w:ind w:left="0" w:right="0"/>
        <w:jc w:val="right"/>
        <w:rPr>
          <w:rFonts w:ascii="宋体" w:hAnsi="宋体" w:cs="宋体"/>
          <w:sz w:val="28"/>
          <w:szCs w:val="28"/>
        </w:rPr>
      </w:pPr>
      <w:r>
        <w:rPr>
          <w:rFonts w:hint="eastAsia" w:ascii="宋体" w:hAnsi="宋体" w:cs="宋体"/>
          <w:sz w:val="28"/>
          <w:szCs w:val="28"/>
        </w:rPr>
        <w:t>日期：</w:t>
      </w:r>
      <w:r>
        <w:rPr>
          <w:rFonts w:hint="eastAsia" w:ascii="宋体" w:hAnsi="宋体" w:cs="宋体"/>
          <w:sz w:val="28"/>
          <w:szCs w:val="28"/>
        </w:rPr>
        <w:tab/>
      </w:r>
      <w:r>
        <w:rPr>
          <w:rFonts w:hint="eastAsia" w:ascii="宋体" w:hAnsi="宋体" w:cs="宋体"/>
          <w:sz w:val="28"/>
          <w:szCs w:val="28"/>
        </w:rPr>
        <w:t>年</w:t>
      </w:r>
      <w:r>
        <w:rPr>
          <w:rFonts w:hint="eastAsia" w:ascii="宋体" w:hAnsi="宋体" w:cs="宋体"/>
          <w:sz w:val="28"/>
          <w:szCs w:val="28"/>
        </w:rPr>
        <w:tab/>
      </w:r>
      <w:r>
        <w:rPr>
          <w:rFonts w:hint="eastAsia" w:ascii="宋体" w:hAnsi="宋体" w:cs="宋体"/>
          <w:sz w:val="28"/>
          <w:szCs w:val="28"/>
        </w:rPr>
        <w:t>月</w:t>
      </w:r>
      <w:r>
        <w:rPr>
          <w:rFonts w:hint="eastAsia" w:ascii="宋体" w:hAnsi="宋体" w:cs="宋体"/>
          <w:sz w:val="28"/>
          <w:szCs w:val="28"/>
        </w:rPr>
        <w:tab/>
      </w:r>
      <w:r>
        <w:rPr>
          <w:rFonts w:hint="eastAsia" w:ascii="宋体" w:hAnsi="宋体" w:cs="宋体"/>
          <w:sz w:val="28"/>
          <w:szCs w:val="28"/>
        </w:rPr>
        <w:t>日</w:t>
      </w:r>
    </w:p>
    <w:p>
      <w:pPr>
        <w:pStyle w:val="10"/>
        <w:ind w:left="0"/>
        <w:rPr>
          <w:b/>
          <w:color w:val="auto"/>
          <w:sz w:val="28"/>
        </w:rPr>
      </w:pPr>
    </w:p>
    <w:p/>
    <w:p>
      <w:pPr>
        <w:spacing w:before="125"/>
        <w:ind w:left="538" w:right="539" w:firstLine="0"/>
        <w:jc w:val="center"/>
        <w:outlineLvl w:val="0"/>
        <w:rPr>
          <w:b/>
          <w:color w:val="auto"/>
          <w:sz w:val="32"/>
        </w:rPr>
      </w:pPr>
      <w:bookmarkStart w:id="49" w:name="_Toc12302"/>
    </w:p>
    <w:p>
      <w:pPr>
        <w:spacing w:before="125"/>
        <w:ind w:left="538" w:right="539" w:firstLine="0"/>
        <w:jc w:val="center"/>
        <w:outlineLvl w:val="0"/>
        <w:rPr>
          <w:b/>
          <w:color w:val="auto"/>
          <w:sz w:val="32"/>
        </w:rPr>
      </w:pPr>
    </w:p>
    <w:p>
      <w:pPr>
        <w:spacing w:before="125"/>
        <w:ind w:left="538" w:right="539" w:firstLine="0"/>
        <w:jc w:val="center"/>
        <w:outlineLvl w:val="0"/>
        <w:rPr>
          <w:b/>
          <w:color w:val="auto"/>
          <w:sz w:val="32"/>
        </w:rPr>
      </w:pPr>
    </w:p>
    <w:p>
      <w:pPr>
        <w:spacing w:before="125"/>
        <w:ind w:left="538" w:right="539" w:firstLine="0"/>
        <w:jc w:val="center"/>
        <w:outlineLvl w:val="0"/>
        <w:rPr>
          <w:b/>
          <w:color w:val="auto"/>
          <w:sz w:val="32"/>
        </w:rPr>
      </w:pPr>
    </w:p>
    <w:p>
      <w:pPr>
        <w:spacing w:before="125"/>
        <w:ind w:left="538" w:right="539" w:firstLine="0"/>
        <w:jc w:val="center"/>
        <w:outlineLvl w:val="0"/>
        <w:rPr>
          <w:b/>
          <w:color w:val="auto"/>
          <w:sz w:val="32"/>
        </w:rPr>
      </w:pPr>
    </w:p>
    <w:p>
      <w:pPr>
        <w:spacing w:before="125"/>
        <w:ind w:right="539"/>
        <w:jc w:val="both"/>
        <w:outlineLvl w:val="0"/>
        <w:rPr>
          <w:b/>
          <w:color w:val="auto"/>
          <w:sz w:val="32"/>
        </w:rPr>
      </w:pPr>
    </w:p>
    <w:p>
      <w:pPr>
        <w:spacing w:before="125"/>
        <w:ind w:left="538" w:right="539" w:firstLine="0"/>
        <w:jc w:val="center"/>
        <w:outlineLvl w:val="0"/>
        <w:rPr>
          <w:b/>
          <w:color w:val="auto"/>
          <w:sz w:val="32"/>
        </w:rPr>
      </w:pPr>
      <w:r>
        <w:rPr>
          <w:b/>
          <w:color w:val="auto"/>
          <w:sz w:val="32"/>
        </w:rPr>
        <w:t>二、法定代表身份证明</w:t>
      </w:r>
      <w:bookmarkEnd w:id="49"/>
    </w:p>
    <w:p>
      <w:pPr>
        <w:pStyle w:val="10"/>
        <w:keepNext w:val="0"/>
        <w:keepLines w:val="0"/>
        <w:pageBreakBefore w:val="0"/>
        <w:widowControl w:val="0"/>
        <w:tabs>
          <w:tab w:val="left" w:pos="2874"/>
          <w:tab w:val="left" w:pos="4074"/>
          <w:tab w:val="left" w:pos="5274"/>
          <w:tab w:val="left" w:pos="5394"/>
          <w:tab w:val="left" w:pos="5514"/>
        </w:tabs>
        <w:kinsoku/>
        <w:wordWrap/>
        <w:overflowPunct/>
        <w:topLinePunct w:val="0"/>
        <w:autoSpaceDE w:val="0"/>
        <w:autoSpaceDN w:val="0"/>
        <w:bidi w:val="0"/>
        <w:adjustRightInd/>
        <w:snapToGrid/>
        <w:spacing w:before="0" w:line="600" w:lineRule="exact"/>
        <w:ind w:left="0" w:right="0"/>
        <w:textAlignment w:val="auto"/>
        <w:rPr>
          <w:rFonts w:hint="eastAsia" w:ascii="仿宋" w:hAnsi="仿宋" w:eastAsia="仿宋" w:cs="仿宋"/>
          <w:color w:val="auto"/>
          <w:spacing w:val="26"/>
          <w:sz w:val="28"/>
          <w:szCs w:val="28"/>
          <w:u w:val="single"/>
        </w:rPr>
      </w:pPr>
      <w:r>
        <w:rPr>
          <w:rFonts w:hint="eastAsia" w:ascii="仿宋" w:hAnsi="仿宋" w:eastAsia="仿宋" w:cs="仿宋"/>
          <w:color w:val="auto"/>
          <w:spacing w:val="-1"/>
          <w:sz w:val="28"/>
          <w:szCs w:val="28"/>
        </w:rPr>
        <w:t>供</w:t>
      </w:r>
      <w:r>
        <w:rPr>
          <w:rFonts w:hint="eastAsia" w:ascii="仿宋" w:hAnsi="仿宋" w:eastAsia="仿宋" w:cs="仿宋"/>
          <w:color w:val="auto"/>
          <w:sz w:val="28"/>
          <w:szCs w:val="28"/>
        </w:rPr>
        <w:t>应商名称：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pacing w:val="-1"/>
          <w:sz w:val="28"/>
          <w:szCs w:val="28"/>
          <w:u w:val="single"/>
        </w:rPr>
        <w:t xml:space="preserve"> </w:t>
      </w:r>
    </w:p>
    <w:p>
      <w:pPr>
        <w:pStyle w:val="10"/>
        <w:keepNext w:val="0"/>
        <w:keepLines w:val="0"/>
        <w:pageBreakBefore w:val="0"/>
        <w:widowControl w:val="0"/>
        <w:tabs>
          <w:tab w:val="left" w:pos="2874"/>
          <w:tab w:val="left" w:pos="4074"/>
          <w:tab w:val="left" w:pos="5274"/>
          <w:tab w:val="left" w:pos="5394"/>
          <w:tab w:val="left" w:pos="5514"/>
        </w:tabs>
        <w:kinsoku/>
        <w:wordWrap/>
        <w:overflowPunct/>
        <w:topLinePunct w:val="0"/>
        <w:autoSpaceDE w:val="0"/>
        <w:autoSpaceDN w:val="0"/>
        <w:bidi w:val="0"/>
        <w:adjustRightInd/>
        <w:snapToGrid/>
        <w:spacing w:before="0" w:line="600" w:lineRule="exact"/>
        <w:ind w:left="0" w:right="0"/>
        <w:textAlignment w:val="auto"/>
        <w:rPr>
          <w:rFonts w:hint="eastAsia" w:ascii="仿宋" w:hAnsi="仿宋" w:eastAsia="仿宋" w:cs="仿宋"/>
          <w:color w:val="auto"/>
          <w:spacing w:val="29"/>
          <w:sz w:val="28"/>
          <w:szCs w:val="28"/>
          <w:u w:val="single"/>
        </w:rPr>
      </w:pPr>
      <w:r>
        <w:rPr>
          <w:rFonts w:hint="eastAsia" w:ascii="仿宋" w:hAnsi="仿宋" w:eastAsia="仿宋" w:cs="仿宋"/>
          <w:color w:val="auto"/>
          <w:spacing w:val="-1"/>
          <w:sz w:val="28"/>
          <w:szCs w:val="28"/>
        </w:rPr>
        <w:t>单</w:t>
      </w:r>
      <w:r>
        <w:rPr>
          <w:rFonts w:hint="eastAsia" w:ascii="仿宋" w:hAnsi="仿宋" w:eastAsia="仿宋" w:cs="仿宋"/>
          <w:color w:val="auto"/>
          <w:sz w:val="28"/>
          <w:szCs w:val="28"/>
        </w:rPr>
        <w:t>位性质：</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pacing w:val="-1"/>
          <w:sz w:val="28"/>
          <w:szCs w:val="28"/>
          <w:u w:val="single"/>
        </w:rPr>
        <w:t xml:space="preserve"> </w:t>
      </w:r>
    </w:p>
    <w:p>
      <w:pPr>
        <w:pStyle w:val="10"/>
        <w:keepNext w:val="0"/>
        <w:keepLines w:val="0"/>
        <w:pageBreakBefore w:val="0"/>
        <w:widowControl w:val="0"/>
        <w:tabs>
          <w:tab w:val="left" w:pos="2874"/>
          <w:tab w:val="left" w:pos="4074"/>
          <w:tab w:val="left" w:pos="5274"/>
          <w:tab w:val="left" w:pos="5394"/>
          <w:tab w:val="left" w:pos="5514"/>
        </w:tabs>
        <w:kinsoku/>
        <w:wordWrap/>
        <w:overflowPunct/>
        <w:topLinePunct w:val="0"/>
        <w:autoSpaceDE w:val="0"/>
        <w:autoSpaceDN w:val="0"/>
        <w:bidi w:val="0"/>
        <w:adjustRightInd/>
        <w:snapToGrid/>
        <w:spacing w:before="0" w:line="600" w:lineRule="exact"/>
        <w:ind w:left="0" w:right="0"/>
        <w:textAlignment w:val="auto"/>
        <w:rPr>
          <w:rFonts w:hint="eastAsia" w:ascii="仿宋" w:hAnsi="仿宋" w:eastAsia="仿宋" w:cs="仿宋"/>
          <w:color w:val="auto"/>
          <w:sz w:val="28"/>
          <w:szCs w:val="28"/>
          <w:u w:val="single"/>
        </w:rPr>
      </w:pPr>
      <w:r>
        <w:rPr>
          <w:rFonts w:hint="eastAsia" w:ascii="仿宋" w:hAnsi="仿宋" w:eastAsia="仿宋" w:cs="仿宋"/>
          <w:color w:val="auto"/>
          <w:spacing w:val="-1"/>
          <w:sz w:val="28"/>
          <w:szCs w:val="28"/>
        </w:rPr>
        <w:t>地</w:t>
      </w:r>
      <w:r>
        <w:rPr>
          <w:rFonts w:hint="eastAsia" w:ascii="仿宋" w:hAnsi="仿宋" w:eastAsia="仿宋" w:cs="仿宋"/>
          <w:color w:val="auto"/>
          <w:sz w:val="28"/>
          <w:szCs w:val="28"/>
        </w:rPr>
        <w:t>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p>
    <w:p>
      <w:pPr>
        <w:pStyle w:val="10"/>
        <w:keepNext w:val="0"/>
        <w:keepLines w:val="0"/>
        <w:pageBreakBefore w:val="0"/>
        <w:widowControl w:val="0"/>
        <w:tabs>
          <w:tab w:val="left" w:pos="2874"/>
          <w:tab w:val="left" w:pos="4074"/>
          <w:tab w:val="left" w:pos="5274"/>
          <w:tab w:val="left" w:pos="5394"/>
          <w:tab w:val="left" w:pos="5514"/>
        </w:tabs>
        <w:kinsoku/>
        <w:wordWrap/>
        <w:overflowPunct/>
        <w:topLinePunct w:val="0"/>
        <w:autoSpaceDE w:val="0"/>
        <w:autoSpaceDN w:val="0"/>
        <w:bidi w:val="0"/>
        <w:adjustRightInd/>
        <w:snapToGrid/>
        <w:spacing w:before="0" w:line="600" w:lineRule="exact"/>
        <w:ind w:left="0" w:right="0"/>
        <w:textAlignment w:val="auto"/>
        <w:rPr>
          <w:rFonts w:hint="eastAsia" w:ascii="仿宋" w:hAnsi="仿宋" w:eastAsia="仿宋" w:cs="仿宋"/>
          <w:color w:val="auto"/>
          <w:spacing w:val="-16"/>
          <w:sz w:val="28"/>
          <w:szCs w:val="28"/>
        </w:rPr>
      </w:pPr>
      <w:r>
        <w:rPr>
          <w:rFonts w:hint="eastAsia" w:ascii="仿宋" w:hAnsi="仿宋" w:eastAsia="仿宋" w:cs="仿宋"/>
          <w:color w:val="auto"/>
          <w:sz w:val="28"/>
          <w:szCs w:val="28"/>
        </w:rPr>
        <w:t>成立时间：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pacing w:val="-16"/>
          <w:sz w:val="28"/>
          <w:szCs w:val="28"/>
        </w:rPr>
        <w:t>日</w:t>
      </w:r>
    </w:p>
    <w:p>
      <w:pPr>
        <w:pStyle w:val="10"/>
        <w:keepNext w:val="0"/>
        <w:keepLines w:val="0"/>
        <w:pageBreakBefore w:val="0"/>
        <w:widowControl w:val="0"/>
        <w:tabs>
          <w:tab w:val="left" w:pos="2874"/>
          <w:tab w:val="left" w:pos="4074"/>
          <w:tab w:val="left" w:pos="5274"/>
          <w:tab w:val="left" w:pos="5394"/>
          <w:tab w:val="left" w:pos="5514"/>
        </w:tabs>
        <w:kinsoku/>
        <w:wordWrap/>
        <w:overflowPunct/>
        <w:topLinePunct w:val="0"/>
        <w:autoSpaceDE w:val="0"/>
        <w:autoSpaceDN w:val="0"/>
        <w:bidi w:val="0"/>
        <w:adjustRightInd/>
        <w:snapToGrid/>
        <w:spacing w:before="0" w:line="600" w:lineRule="exact"/>
        <w:ind w:left="0" w:right="0"/>
        <w:textAlignment w:val="auto"/>
        <w:rPr>
          <w:rFonts w:hint="eastAsia" w:ascii="仿宋" w:hAnsi="仿宋" w:eastAsia="仿宋" w:cs="仿宋"/>
          <w:color w:val="auto"/>
          <w:sz w:val="28"/>
          <w:szCs w:val="28"/>
        </w:rPr>
      </w:pPr>
      <w:r>
        <w:rPr>
          <w:rFonts w:hint="eastAsia" w:ascii="仿宋" w:hAnsi="仿宋" w:eastAsia="仿宋" w:cs="仿宋"/>
          <w:color w:val="auto"/>
          <w:spacing w:val="-1"/>
          <w:sz w:val="28"/>
          <w:szCs w:val="28"/>
        </w:rPr>
        <w:t>经</w:t>
      </w:r>
      <w:r>
        <w:rPr>
          <w:rFonts w:hint="eastAsia" w:ascii="仿宋" w:hAnsi="仿宋" w:eastAsia="仿宋" w:cs="仿宋"/>
          <w:color w:val="auto"/>
          <w:sz w:val="28"/>
          <w:szCs w:val="28"/>
        </w:rPr>
        <w:t>营期限：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p>
    <w:p>
      <w:pPr>
        <w:pStyle w:val="10"/>
        <w:keepNext w:val="0"/>
        <w:keepLines w:val="0"/>
        <w:pageBreakBefore w:val="0"/>
        <w:widowControl w:val="0"/>
        <w:tabs>
          <w:tab w:val="left" w:pos="2273"/>
          <w:tab w:val="left" w:pos="4194"/>
          <w:tab w:val="left" w:pos="4314"/>
          <w:tab w:val="left" w:pos="5939"/>
          <w:tab w:val="left" w:pos="7675"/>
        </w:tabs>
        <w:kinsoku/>
        <w:wordWrap/>
        <w:overflowPunct/>
        <w:topLinePunct w:val="0"/>
        <w:autoSpaceDE w:val="0"/>
        <w:autoSpaceDN w:val="0"/>
        <w:bidi w:val="0"/>
        <w:adjustRightInd/>
        <w:snapToGrid/>
        <w:spacing w:before="0" w:line="600" w:lineRule="exact"/>
        <w:ind w:left="0" w:right="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姓名：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性别：</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年龄：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职务：</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（供应商名称）的法定代表人</w:t>
      </w:r>
      <w:r>
        <w:rPr>
          <w:rFonts w:hint="eastAsia" w:ascii="仿宋" w:hAnsi="仿宋" w:eastAsia="仿宋" w:cs="仿宋"/>
          <w:color w:val="auto"/>
          <w:spacing w:val="-19"/>
          <w:sz w:val="28"/>
          <w:szCs w:val="28"/>
        </w:rPr>
        <w:t>。</w:t>
      </w:r>
    </w:p>
    <w:p>
      <w:pPr>
        <w:pStyle w:val="10"/>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特此证明。</w:t>
      </w:r>
    </w:p>
    <w:p>
      <w:pPr>
        <w:pStyle w:val="10"/>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附法人身份证</w:t>
      </w:r>
    </w:p>
    <w:p>
      <w:pPr>
        <w:pStyle w:val="10"/>
        <w:ind w:left="0"/>
        <w:rPr>
          <w:rFonts w:hint="eastAsia" w:ascii="仿宋" w:hAnsi="仿宋" w:eastAsia="仿宋" w:cs="仿宋"/>
          <w:color w:val="auto"/>
          <w:sz w:val="28"/>
          <w:szCs w:val="28"/>
        </w:rPr>
      </w:pPr>
    </w:p>
    <w:p>
      <w:pPr>
        <w:pStyle w:val="10"/>
        <w:ind w:left="0"/>
        <w:rPr>
          <w:rFonts w:hint="eastAsia" w:ascii="仿宋" w:hAnsi="仿宋" w:eastAsia="仿宋" w:cs="仿宋"/>
          <w:color w:val="auto"/>
          <w:sz w:val="28"/>
          <w:szCs w:val="28"/>
        </w:rPr>
      </w:pPr>
    </w:p>
    <w:p>
      <w:pPr>
        <w:pStyle w:val="10"/>
        <w:tabs>
          <w:tab w:val="left" w:pos="7929"/>
        </w:tabs>
        <w:ind w:left="4929"/>
        <w:rPr>
          <w:rFonts w:hint="eastAsia" w:ascii="仿宋" w:hAnsi="仿宋" w:eastAsia="仿宋" w:cs="仿宋"/>
          <w:color w:val="auto"/>
          <w:sz w:val="28"/>
          <w:szCs w:val="28"/>
        </w:rPr>
      </w:pPr>
      <w:r>
        <w:rPr>
          <w:rFonts w:hint="eastAsia" w:ascii="仿宋" w:hAnsi="仿宋" w:eastAsia="仿宋" w:cs="仿宋"/>
          <w:color w:val="auto"/>
          <w:sz w:val="28"/>
          <w:szCs w:val="28"/>
        </w:rPr>
        <w:t>供应商：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电子签章</w:t>
      </w:r>
      <w:r>
        <w:rPr>
          <w:rFonts w:hint="eastAsia" w:ascii="仿宋" w:hAnsi="仿宋" w:eastAsia="仿宋" w:cs="仿宋"/>
          <w:color w:val="auto"/>
          <w:sz w:val="28"/>
          <w:szCs w:val="28"/>
        </w:rPr>
        <w:t>）</w:t>
      </w:r>
    </w:p>
    <w:p>
      <w:pPr>
        <w:pStyle w:val="10"/>
        <w:tabs>
          <w:tab w:val="left" w:pos="7209"/>
          <w:tab w:val="left" w:pos="8289"/>
          <w:tab w:val="left" w:pos="9369"/>
        </w:tabs>
        <w:spacing w:before="134"/>
        <w:ind w:left="6369"/>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日</w:t>
      </w:r>
    </w:p>
    <w:p>
      <w:pPr>
        <w:pStyle w:val="10"/>
        <w:ind w:left="0"/>
        <w:rPr>
          <w:color w:val="auto"/>
          <w:sz w:val="20"/>
        </w:rPr>
      </w:pPr>
    </w:p>
    <w:p>
      <w:pPr>
        <w:pStyle w:val="10"/>
        <w:ind w:left="0"/>
        <w:rPr>
          <w:color w:val="auto"/>
          <w:sz w:val="20"/>
        </w:rPr>
      </w:pPr>
    </w:p>
    <w:p>
      <w:pPr>
        <w:pStyle w:val="10"/>
        <w:spacing w:before="2"/>
        <w:ind w:left="0"/>
        <w:rPr>
          <w:color w:val="auto"/>
          <w:sz w:val="27"/>
        </w:rPr>
      </w:pPr>
    </w:p>
    <w:p>
      <w:pPr>
        <w:spacing w:after="0"/>
        <w:rPr>
          <w:color w:val="auto"/>
        </w:rPr>
        <w:sectPr>
          <w:pgSz w:w="11910" w:h="16840"/>
          <w:pgMar w:top="1380" w:right="880" w:bottom="1100" w:left="880" w:header="888" w:footer="910" w:gutter="0"/>
          <w:pgNumType w:fmt="decimal"/>
          <w:cols w:space="720" w:num="1"/>
        </w:sectPr>
      </w:pPr>
    </w:p>
    <w:p>
      <w:pPr>
        <w:spacing w:before="125"/>
        <w:ind w:left="538" w:right="534" w:firstLine="0"/>
        <w:jc w:val="center"/>
        <w:outlineLvl w:val="0"/>
        <w:rPr>
          <w:b/>
          <w:color w:val="auto"/>
          <w:sz w:val="32"/>
        </w:rPr>
      </w:pPr>
      <w:bookmarkStart w:id="50" w:name="_Toc21392"/>
      <w:r>
        <w:rPr>
          <w:b/>
          <w:color w:val="auto"/>
          <w:sz w:val="32"/>
        </w:rPr>
        <w:t>三、授权委托书</w:t>
      </w:r>
      <w:bookmarkEnd w:id="50"/>
    </w:p>
    <w:p>
      <w:pPr>
        <w:pStyle w:val="10"/>
        <w:tabs>
          <w:tab w:val="left" w:pos="2271"/>
          <w:tab w:val="left" w:pos="2843"/>
          <w:tab w:val="left" w:pos="4295"/>
          <w:tab w:val="left" w:pos="9132"/>
        </w:tabs>
        <w:spacing w:before="222" w:line="343" w:lineRule="auto"/>
        <w:ind w:right="532" w:firstLine="480"/>
        <w:jc w:val="both"/>
        <w:rPr>
          <w:rFonts w:hint="eastAsia" w:ascii="仿宋" w:hAnsi="仿宋" w:eastAsia="仿宋" w:cs="仿宋"/>
          <w:color w:val="auto"/>
          <w:sz w:val="28"/>
          <w:szCs w:val="28"/>
        </w:rPr>
      </w:pPr>
      <w:r>
        <w:rPr>
          <w:rFonts w:hint="eastAsia" w:ascii="仿宋" w:hAnsi="仿宋" w:eastAsia="仿宋" w:cs="仿宋"/>
          <w:color w:val="auto"/>
          <w:sz w:val="28"/>
          <w:szCs w:val="28"/>
        </w:rPr>
        <w:t>本人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姓名</w:t>
      </w:r>
      <w:r>
        <w:rPr>
          <w:rFonts w:hint="eastAsia" w:ascii="仿宋" w:hAnsi="仿宋" w:eastAsia="仿宋" w:cs="仿宋"/>
          <w:color w:val="auto"/>
          <w:spacing w:val="-68"/>
          <w:sz w:val="28"/>
          <w:szCs w:val="28"/>
        </w:rPr>
        <w:t>）</w:t>
      </w: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供应商名称</w:t>
      </w:r>
      <w:r>
        <w:rPr>
          <w:rFonts w:hint="eastAsia" w:ascii="仿宋" w:hAnsi="仿宋" w:eastAsia="仿宋" w:cs="仿宋"/>
          <w:color w:val="auto"/>
          <w:spacing w:val="-68"/>
          <w:sz w:val="28"/>
          <w:szCs w:val="28"/>
        </w:rPr>
        <w:t>）</w:t>
      </w:r>
      <w:r>
        <w:rPr>
          <w:rFonts w:hint="eastAsia" w:ascii="仿宋" w:hAnsi="仿宋" w:eastAsia="仿宋" w:cs="仿宋"/>
          <w:color w:val="auto"/>
          <w:sz w:val="28"/>
          <w:szCs w:val="28"/>
        </w:rPr>
        <w:t>的法定代表人</w:t>
      </w:r>
      <w:r>
        <w:rPr>
          <w:rFonts w:hint="eastAsia" w:ascii="仿宋" w:hAnsi="仿宋" w:eastAsia="仿宋" w:cs="仿宋"/>
          <w:color w:val="auto"/>
          <w:spacing w:val="-68"/>
          <w:sz w:val="28"/>
          <w:szCs w:val="28"/>
        </w:rPr>
        <w:t>，</w:t>
      </w:r>
      <w:r>
        <w:rPr>
          <w:rFonts w:hint="eastAsia" w:ascii="仿宋" w:hAnsi="仿宋" w:eastAsia="仿宋" w:cs="仿宋"/>
          <w:color w:val="auto"/>
          <w:sz w:val="28"/>
          <w:szCs w:val="28"/>
        </w:rPr>
        <w:t>现</w:t>
      </w:r>
      <w:r>
        <w:rPr>
          <w:rFonts w:hint="eastAsia" w:ascii="仿宋" w:hAnsi="仿宋" w:eastAsia="仿宋" w:cs="仿宋"/>
          <w:color w:val="auto"/>
          <w:spacing w:val="-3"/>
          <w:sz w:val="28"/>
          <w:szCs w:val="28"/>
        </w:rPr>
        <w:t>委</w:t>
      </w:r>
      <w:r>
        <w:rPr>
          <w:rFonts w:hint="eastAsia" w:ascii="仿宋" w:hAnsi="仿宋" w:eastAsia="仿宋" w:cs="仿宋"/>
          <w:color w:val="auto"/>
          <w:sz w:val="28"/>
          <w:szCs w:val="28"/>
        </w:rPr>
        <w:t>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w:t>
      </w:r>
      <w:r>
        <w:rPr>
          <w:rFonts w:hint="eastAsia" w:ascii="仿宋" w:hAnsi="仿宋" w:eastAsia="仿宋" w:cs="仿宋"/>
          <w:color w:val="auto"/>
          <w:spacing w:val="-18"/>
          <w:sz w:val="28"/>
          <w:szCs w:val="28"/>
        </w:rPr>
        <w:t>姓</w:t>
      </w:r>
      <w:r>
        <w:rPr>
          <w:rFonts w:hint="eastAsia" w:ascii="仿宋" w:hAnsi="仿宋" w:eastAsia="仿宋" w:cs="仿宋"/>
          <w:color w:val="auto"/>
          <w:sz w:val="28"/>
          <w:szCs w:val="28"/>
        </w:rPr>
        <w:t>名</w:t>
      </w:r>
      <w:r>
        <w:rPr>
          <w:rFonts w:hint="eastAsia" w:ascii="仿宋" w:hAnsi="仿宋" w:eastAsia="仿宋" w:cs="仿宋"/>
          <w:color w:val="auto"/>
          <w:spacing w:val="-8"/>
          <w:sz w:val="28"/>
          <w:szCs w:val="28"/>
        </w:rPr>
        <w:t>）</w:t>
      </w:r>
      <w:r>
        <w:rPr>
          <w:rFonts w:hint="eastAsia" w:ascii="仿宋" w:hAnsi="仿宋" w:eastAsia="仿宋" w:cs="仿宋"/>
          <w:color w:val="auto"/>
          <w:sz w:val="28"/>
          <w:szCs w:val="28"/>
        </w:rPr>
        <w:t>为我方代理人</w:t>
      </w:r>
      <w:r>
        <w:rPr>
          <w:rFonts w:hint="eastAsia" w:ascii="仿宋" w:hAnsi="仿宋" w:eastAsia="仿宋" w:cs="仿宋"/>
          <w:color w:val="auto"/>
          <w:spacing w:val="-8"/>
          <w:sz w:val="28"/>
          <w:szCs w:val="28"/>
        </w:rPr>
        <w:t>。</w:t>
      </w:r>
      <w:r>
        <w:rPr>
          <w:rFonts w:hint="eastAsia" w:ascii="仿宋" w:hAnsi="仿宋" w:eastAsia="仿宋" w:cs="仿宋"/>
          <w:color w:val="auto"/>
          <w:sz w:val="28"/>
          <w:szCs w:val="28"/>
        </w:rPr>
        <w:t>代理人根据授权</w:t>
      </w:r>
      <w:r>
        <w:rPr>
          <w:rFonts w:hint="eastAsia" w:ascii="仿宋" w:hAnsi="仿宋" w:eastAsia="仿宋" w:cs="仿宋"/>
          <w:color w:val="auto"/>
          <w:spacing w:val="-8"/>
          <w:sz w:val="28"/>
          <w:szCs w:val="28"/>
        </w:rPr>
        <w:t>，</w:t>
      </w:r>
      <w:r>
        <w:rPr>
          <w:rFonts w:hint="eastAsia" w:ascii="仿宋" w:hAnsi="仿宋" w:eastAsia="仿宋" w:cs="仿宋"/>
          <w:color w:val="auto"/>
          <w:sz w:val="28"/>
          <w:szCs w:val="28"/>
        </w:rPr>
        <w:t>以我方名义签署</w:t>
      </w:r>
      <w:r>
        <w:rPr>
          <w:rFonts w:hint="eastAsia" w:ascii="仿宋" w:hAnsi="仿宋" w:eastAsia="仿宋" w:cs="仿宋"/>
          <w:color w:val="auto"/>
          <w:spacing w:val="-8"/>
          <w:sz w:val="28"/>
          <w:szCs w:val="28"/>
        </w:rPr>
        <w:t>、</w:t>
      </w:r>
      <w:r>
        <w:rPr>
          <w:rFonts w:hint="eastAsia" w:ascii="仿宋" w:hAnsi="仿宋" w:eastAsia="仿宋" w:cs="仿宋"/>
          <w:color w:val="auto"/>
          <w:sz w:val="28"/>
          <w:szCs w:val="28"/>
        </w:rPr>
        <w:t>澄清</w:t>
      </w:r>
      <w:r>
        <w:rPr>
          <w:rFonts w:hint="eastAsia" w:ascii="仿宋" w:hAnsi="仿宋" w:eastAsia="仿宋" w:cs="仿宋"/>
          <w:color w:val="auto"/>
          <w:spacing w:val="-8"/>
          <w:sz w:val="28"/>
          <w:szCs w:val="28"/>
        </w:rPr>
        <w:t>、</w:t>
      </w:r>
      <w:r>
        <w:rPr>
          <w:rFonts w:hint="eastAsia" w:ascii="仿宋" w:hAnsi="仿宋" w:eastAsia="仿宋" w:cs="仿宋"/>
          <w:color w:val="auto"/>
          <w:sz w:val="28"/>
          <w:szCs w:val="28"/>
        </w:rPr>
        <w:t>说明</w:t>
      </w:r>
      <w:r>
        <w:rPr>
          <w:rFonts w:hint="eastAsia" w:ascii="仿宋" w:hAnsi="仿宋" w:eastAsia="仿宋" w:cs="仿宋"/>
          <w:color w:val="auto"/>
          <w:spacing w:val="-8"/>
          <w:sz w:val="28"/>
          <w:szCs w:val="28"/>
        </w:rPr>
        <w:t>、</w:t>
      </w:r>
      <w:r>
        <w:rPr>
          <w:rFonts w:hint="eastAsia" w:ascii="仿宋" w:hAnsi="仿宋" w:eastAsia="仿宋" w:cs="仿宋"/>
          <w:color w:val="auto"/>
          <w:sz w:val="28"/>
          <w:szCs w:val="28"/>
        </w:rPr>
        <w:t>补正</w:t>
      </w:r>
      <w:r>
        <w:rPr>
          <w:rFonts w:hint="eastAsia" w:ascii="仿宋" w:hAnsi="仿宋" w:eastAsia="仿宋" w:cs="仿宋"/>
          <w:color w:val="auto"/>
          <w:spacing w:val="-8"/>
          <w:sz w:val="28"/>
          <w:szCs w:val="28"/>
        </w:rPr>
        <w:t>、</w:t>
      </w:r>
      <w:r>
        <w:rPr>
          <w:rFonts w:hint="eastAsia" w:ascii="仿宋" w:hAnsi="仿宋" w:eastAsia="仿宋" w:cs="仿宋"/>
          <w:color w:val="auto"/>
          <w:sz w:val="28"/>
          <w:szCs w:val="28"/>
        </w:rPr>
        <w:t>递交</w:t>
      </w:r>
      <w:r>
        <w:rPr>
          <w:rFonts w:hint="eastAsia" w:ascii="仿宋" w:hAnsi="仿宋" w:eastAsia="仿宋" w:cs="仿宋"/>
          <w:color w:val="auto"/>
          <w:spacing w:val="-8"/>
          <w:sz w:val="28"/>
          <w:szCs w:val="28"/>
        </w:rPr>
        <w:t>、</w:t>
      </w:r>
      <w:r>
        <w:rPr>
          <w:rFonts w:hint="eastAsia" w:ascii="仿宋" w:hAnsi="仿宋" w:eastAsia="仿宋" w:cs="仿宋"/>
          <w:color w:val="auto"/>
          <w:sz w:val="28"/>
          <w:szCs w:val="28"/>
        </w:rPr>
        <w:t>撤回、修改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rPr>
        <w:t>（项目名称</w:t>
      </w:r>
      <w:r>
        <w:rPr>
          <w:rFonts w:hint="eastAsia" w:ascii="仿宋" w:hAnsi="仿宋" w:eastAsia="仿宋" w:cs="仿宋"/>
          <w:color w:val="auto"/>
          <w:spacing w:val="3"/>
          <w:sz w:val="28"/>
          <w:szCs w:val="28"/>
        </w:rPr>
        <w:t>）</w:t>
      </w:r>
      <w:r>
        <w:rPr>
          <w:rFonts w:hint="eastAsia" w:ascii="仿宋" w:hAnsi="仿宋" w:eastAsia="仿宋" w:cs="仿宋"/>
          <w:color w:val="auto"/>
          <w:sz w:val="28"/>
          <w:szCs w:val="28"/>
        </w:rPr>
        <w:t>响应文件、签订合同和处理有关事宜，</w:t>
      </w:r>
      <w:r>
        <w:rPr>
          <w:rFonts w:hint="eastAsia" w:ascii="仿宋" w:hAnsi="仿宋" w:eastAsia="仿宋" w:cs="仿宋"/>
          <w:color w:val="auto"/>
          <w:spacing w:val="-12"/>
          <w:sz w:val="28"/>
          <w:szCs w:val="28"/>
        </w:rPr>
        <w:t>其</w:t>
      </w:r>
      <w:r>
        <w:rPr>
          <w:rFonts w:hint="eastAsia" w:ascii="仿宋" w:hAnsi="仿宋" w:eastAsia="仿宋" w:cs="仿宋"/>
          <w:color w:val="auto"/>
          <w:sz w:val="28"/>
          <w:szCs w:val="28"/>
        </w:rPr>
        <w:t>法律后果由我方承担。</w:t>
      </w:r>
    </w:p>
    <w:p>
      <w:pPr>
        <w:pStyle w:val="10"/>
        <w:tabs>
          <w:tab w:val="left" w:pos="3779"/>
        </w:tabs>
        <w:spacing w:line="343" w:lineRule="auto"/>
        <w:ind w:left="1018" w:right="6125"/>
        <w:rPr>
          <w:rFonts w:hint="eastAsia" w:ascii="仿宋" w:hAnsi="仿宋" w:eastAsia="仿宋" w:cs="仿宋"/>
          <w:color w:val="auto"/>
          <w:sz w:val="28"/>
          <w:szCs w:val="28"/>
        </w:rPr>
      </w:pPr>
      <w:r>
        <w:rPr>
          <w:rFonts w:hint="eastAsia" w:ascii="仿宋" w:hAnsi="仿宋" w:eastAsia="仿宋" w:cs="仿宋"/>
          <w:color w:val="auto"/>
          <w:sz w:val="28"/>
          <w:szCs w:val="28"/>
        </w:rPr>
        <w:t>委托期限：</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pacing w:val="-18"/>
          <w:sz w:val="28"/>
          <w:szCs w:val="28"/>
          <w:highlight w:val="none"/>
        </w:rPr>
        <w:t>。</w:t>
      </w:r>
      <w:r>
        <w:rPr>
          <w:rFonts w:hint="eastAsia" w:ascii="仿宋" w:hAnsi="仿宋" w:eastAsia="仿宋" w:cs="仿宋"/>
          <w:color w:val="auto"/>
          <w:sz w:val="28"/>
          <w:szCs w:val="28"/>
        </w:rPr>
        <w:t>代理人无转委托权。</w:t>
      </w:r>
    </w:p>
    <w:p>
      <w:pPr>
        <w:pStyle w:val="10"/>
        <w:tabs>
          <w:tab w:val="left" w:pos="3779"/>
        </w:tabs>
        <w:spacing w:line="343" w:lineRule="auto"/>
        <w:ind w:left="1018" w:right="55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附法人和代理人身份证。</w:t>
      </w:r>
    </w:p>
    <w:p>
      <w:pPr>
        <w:pStyle w:val="10"/>
        <w:ind w:left="0"/>
        <w:rPr>
          <w:rFonts w:hint="eastAsia" w:ascii="仿宋" w:hAnsi="仿宋" w:eastAsia="仿宋" w:cs="仿宋"/>
          <w:color w:val="auto"/>
          <w:sz w:val="28"/>
          <w:szCs w:val="28"/>
        </w:rPr>
      </w:pPr>
    </w:p>
    <w:p>
      <w:pPr>
        <w:pStyle w:val="10"/>
        <w:spacing w:before="9"/>
        <w:ind w:left="0"/>
        <w:rPr>
          <w:rFonts w:hint="eastAsia" w:ascii="仿宋" w:hAnsi="仿宋" w:eastAsia="仿宋" w:cs="仿宋"/>
          <w:color w:val="auto"/>
          <w:sz w:val="28"/>
          <w:szCs w:val="28"/>
        </w:rPr>
      </w:pPr>
    </w:p>
    <w:p>
      <w:pPr>
        <w:pStyle w:val="10"/>
        <w:tabs>
          <w:tab w:val="left" w:pos="7929"/>
          <w:tab w:val="left" w:pos="8649"/>
        </w:tabs>
        <w:spacing w:line="487" w:lineRule="auto"/>
        <w:ind w:left="3609" w:right="534"/>
        <w:jc w:val="both"/>
        <w:rPr>
          <w:rFonts w:hint="eastAsia" w:ascii="仿宋" w:hAnsi="仿宋" w:eastAsia="仿宋" w:cs="仿宋"/>
          <w:color w:val="auto"/>
          <w:spacing w:val="-17"/>
          <w:sz w:val="28"/>
          <w:szCs w:val="28"/>
        </w:rPr>
      </w:pPr>
      <w:r>
        <w:rPr>
          <w:rFonts w:hint="eastAsia" w:ascii="仿宋" w:hAnsi="仿宋" w:eastAsia="仿宋" w:cs="仿宋"/>
          <w:color w:val="auto"/>
          <w:sz w:val="28"/>
          <w:szCs w:val="28"/>
        </w:rPr>
        <w:t>供应商：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电子签章</w:t>
      </w:r>
      <w:r>
        <w:rPr>
          <w:rFonts w:hint="eastAsia" w:ascii="仿宋" w:hAnsi="仿宋" w:eastAsia="仿宋" w:cs="仿宋"/>
          <w:color w:val="auto"/>
          <w:spacing w:val="-17"/>
          <w:sz w:val="28"/>
          <w:szCs w:val="28"/>
        </w:rPr>
        <w:t>）</w:t>
      </w:r>
    </w:p>
    <w:p>
      <w:pPr>
        <w:pStyle w:val="10"/>
        <w:tabs>
          <w:tab w:val="left" w:pos="7929"/>
          <w:tab w:val="left" w:pos="8649"/>
        </w:tabs>
        <w:spacing w:line="487" w:lineRule="auto"/>
        <w:ind w:left="3609" w:right="534"/>
        <w:jc w:val="both"/>
        <w:rPr>
          <w:rFonts w:hint="eastAsia" w:ascii="仿宋" w:hAnsi="仿宋" w:eastAsia="仿宋" w:cs="仿宋"/>
          <w:color w:val="auto"/>
          <w:spacing w:val="-17"/>
          <w:sz w:val="28"/>
          <w:szCs w:val="28"/>
        </w:rPr>
      </w:pPr>
      <w:r>
        <w:rPr>
          <w:rFonts w:hint="eastAsia" w:ascii="仿宋" w:hAnsi="仿宋" w:eastAsia="仿宋" w:cs="仿宋"/>
          <w:color w:val="auto"/>
          <w:spacing w:val="-17"/>
          <w:sz w:val="28"/>
          <w:szCs w:val="28"/>
        </w:rPr>
        <w:t xml:space="preserve"> </w:t>
      </w: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电子签名或签字</w:t>
      </w:r>
      <w:r>
        <w:rPr>
          <w:rFonts w:hint="eastAsia" w:ascii="仿宋" w:hAnsi="仿宋" w:eastAsia="仿宋" w:cs="仿宋"/>
          <w:color w:val="auto"/>
          <w:spacing w:val="-17"/>
          <w:sz w:val="28"/>
          <w:szCs w:val="28"/>
        </w:rPr>
        <w:t xml:space="preserve">） </w:t>
      </w:r>
    </w:p>
    <w:p>
      <w:pPr>
        <w:pStyle w:val="10"/>
        <w:tabs>
          <w:tab w:val="left" w:pos="7929"/>
          <w:tab w:val="left" w:pos="8649"/>
        </w:tabs>
        <w:spacing w:line="487" w:lineRule="auto"/>
        <w:ind w:left="3609" w:right="534"/>
        <w:jc w:val="both"/>
        <w:rPr>
          <w:rFonts w:hint="eastAsia"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（签字</w:t>
      </w:r>
      <w:r>
        <w:rPr>
          <w:rFonts w:hint="eastAsia" w:ascii="仿宋" w:hAnsi="仿宋" w:eastAsia="仿宋" w:cs="仿宋"/>
          <w:color w:val="auto"/>
          <w:spacing w:val="-17"/>
          <w:sz w:val="28"/>
          <w:szCs w:val="28"/>
        </w:rPr>
        <w:t>）</w:t>
      </w:r>
    </w:p>
    <w:p>
      <w:pPr>
        <w:pStyle w:val="10"/>
        <w:tabs>
          <w:tab w:val="left" w:pos="7209"/>
          <w:tab w:val="left" w:pos="8289"/>
          <w:tab w:val="left" w:pos="9369"/>
        </w:tabs>
        <w:ind w:left="6369"/>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rPr>
        <w:t>日</w:t>
      </w:r>
    </w:p>
    <w:p>
      <w:pPr>
        <w:pStyle w:val="10"/>
        <w:ind w:left="0"/>
        <w:rPr>
          <w:color w:val="auto"/>
          <w:sz w:val="20"/>
        </w:rPr>
      </w:pPr>
    </w:p>
    <w:p>
      <w:pPr>
        <w:pStyle w:val="10"/>
        <w:spacing w:before="7"/>
        <w:ind w:left="0"/>
        <w:rPr>
          <w:color w:val="auto"/>
          <w:sz w:val="23"/>
        </w:rPr>
      </w:pPr>
    </w:p>
    <w:p>
      <w:pPr>
        <w:spacing w:after="0"/>
        <w:rPr>
          <w:color w:val="auto"/>
        </w:rPr>
        <w:sectPr>
          <w:pgSz w:w="11910" w:h="16840"/>
          <w:pgMar w:top="1380" w:right="880" w:bottom="1100" w:left="880" w:header="888" w:footer="910" w:gutter="0"/>
          <w:pgNumType w:fmt="decimal"/>
          <w:cols w:space="720" w:num="1"/>
        </w:sectPr>
      </w:pPr>
    </w:p>
    <w:p>
      <w:pPr>
        <w:spacing w:before="125"/>
        <w:ind w:left="538" w:right="539" w:firstLine="0"/>
        <w:jc w:val="center"/>
        <w:outlineLvl w:val="0"/>
        <w:rPr>
          <w:b/>
          <w:color w:val="auto"/>
          <w:sz w:val="32"/>
        </w:rPr>
      </w:pPr>
      <w:bookmarkStart w:id="51" w:name="_Toc14073"/>
      <w:r>
        <w:rPr>
          <w:b/>
          <w:color w:val="auto"/>
          <w:sz w:val="32"/>
        </w:rPr>
        <w:t>四、供应商资格证明文件</w:t>
      </w:r>
      <w:bookmarkEnd w:id="51"/>
    </w:p>
    <w:p>
      <w:pPr>
        <w:pStyle w:val="10"/>
        <w:ind w:left="0"/>
        <w:rPr>
          <w:b/>
          <w:color w:val="auto"/>
          <w:sz w:val="32"/>
        </w:rPr>
      </w:pPr>
    </w:p>
    <w:p>
      <w:pPr>
        <w:rPr>
          <w:b/>
          <w:color w:val="auto"/>
          <w:sz w:val="32"/>
        </w:rPr>
      </w:pPr>
      <w:r>
        <w:rPr>
          <w:b/>
          <w:color w:val="auto"/>
          <w:sz w:val="32"/>
        </w:rPr>
        <w:br w:type="page"/>
      </w:r>
    </w:p>
    <w:p>
      <w:pPr>
        <w:spacing w:before="125"/>
        <w:ind w:left="538" w:right="539" w:firstLine="0"/>
        <w:jc w:val="center"/>
        <w:outlineLvl w:val="0"/>
        <w:rPr>
          <w:b/>
          <w:color w:val="auto"/>
          <w:sz w:val="32"/>
        </w:rPr>
      </w:pPr>
      <w:bookmarkStart w:id="52" w:name="_Toc21983"/>
      <w:r>
        <w:rPr>
          <w:b/>
          <w:color w:val="auto"/>
          <w:sz w:val="32"/>
        </w:rPr>
        <w:t>五、项目管理机构</w:t>
      </w:r>
      <w:bookmarkEnd w:id="52"/>
    </w:p>
    <w:p>
      <w:pPr>
        <w:pStyle w:val="5"/>
        <w:spacing w:before="242"/>
        <w:ind w:right="536"/>
        <w:outlineLvl w:val="1"/>
        <w:rPr>
          <w:color w:val="auto"/>
        </w:rPr>
      </w:pPr>
      <w:bookmarkStart w:id="53" w:name="_Toc17662"/>
      <w:r>
        <w:rPr>
          <w:color w:val="auto"/>
        </w:rPr>
        <w:t>（一）项目人员组成表</w:t>
      </w:r>
      <w:bookmarkEnd w:id="53"/>
    </w:p>
    <w:p>
      <w:pPr>
        <w:pStyle w:val="10"/>
        <w:spacing w:before="4"/>
        <w:ind w:left="0"/>
        <w:rPr>
          <w:b/>
          <w:color w:val="auto"/>
          <w:sz w:val="10"/>
        </w:rPr>
      </w:pPr>
    </w:p>
    <w:tbl>
      <w:tblPr>
        <w:tblStyle w:val="21"/>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pPr>
              <w:pStyle w:val="48"/>
              <w:rPr>
                <w:b/>
                <w:color w:val="auto"/>
                <w:sz w:val="22"/>
              </w:rPr>
            </w:pPr>
          </w:p>
          <w:p>
            <w:pPr>
              <w:pStyle w:val="48"/>
              <w:spacing w:before="3"/>
              <w:rPr>
                <w:b/>
                <w:color w:val="auto"/>
                <w:sz w:val="19"/>
              </w:rPr>
            </w:pPr>
          </w:p>
          <w:p>
            <w:pPr>
              <w:pStyle w:val="48"/>
              <w:ind w:left="227"/>
              <w:rPr>
                <w:color w:val="auto"/>
                <w:sz w:val="22"/>
              </w:rPr>
            </w:pPr>
            <w:r>
              <w:rPr>
                <w:color w:val="auto"/>
                <w:sz w:val="22"/>
              </w:rPr>
              <w:t>职务</w:t>
            </w:r>
          </w:p>
        </w:tc>
        <w:tc>
          <w:tcPr>
            <w:tcW w:w="898" w:type="dxa"/>
            <w:vMerge w:val="restart"/>
            <w:vAlign w:val="top"/>
          </w:tcPr>
          <w:p>
            <w:pPr>
              <w:pStyle w:val="48"/>
              <w:rPr>
                <w:b/>
                <w:color w:val="auto"/>
                <w:sz w:val="22"/>
              </w:rPr>
            </w:pPr>
          </w:p>
          <w:p>
            <w:pPr>
              <w:pStyle w:val="48"/>
              <w:spacing w:before="3"/>
              <w:rPr>
                <w:b/>
                <w:color w:val="auto"/>
                <w:sz w:val="19"/>
              </w:rPr>
            </w:pPr>
          </w:p>
          <w:p>
            <w:pPr>
              <w:pStyle w:val="48"/>
              <w:ind w:left="227"/>
              <w:rPr>
                <w:color w:val="auto"/>
                <w:sz w:val="22"/>
              </w:rPr>
            </w:pPr>
            <w:r>
              <w:rPr>
                <w:color w:val="auto"/>
                <w:sz w:val="22"/>
              </w:rPr>
              <w:t>姓名</w:t>
            </w:r>
          </w:p>
        </w:tc>
        <w:tc>
          <w:tcPr>
            <w:tcW w:w="903" w:type="dxa"/>
            <w:vMerge w:val="restart"/>
            <w:vAlign w:val="top"/>
          </w:tcPr>
          <w:p>
            <w:pPr>
              <w:pStyle w:val="48"/>
              <w:rPr>
                <w:b/>
                <w:color w:val="auto"/>
                <w:sz w:val="22"/>
              </w:rPr>
            </w:pPr>
          </w:p>
          <w:p>
            <w:pPr>
              <w:pStyle w:val="48"/>
              <w:spacing w:before="3"/>
              <w:rPr>
                <w:b/>
                <w:color w:val="auto"/>
                <w:sz w:val="19"/>
              </w:rPr>
            </w:pPr>
          </w:p>
          <w:p>
            <w:pPr>
              <w:pStyle w:val="48"/>
              <w:ind w:left="226"/>
              <w:rPr>
                <w:color w:val="auto"/>
                <w:sz w:val="22"/>
              </w:rPr>
            </w:pPr>
            <w:r>
              <w:rPr>
                <w:color w:val="auto"/>
                <w:sz w:val="22"/>
              </w:rPr>
              <w:t>职称</w:t>
            </w:r>
          </w:p>
        </w:tc>
        <w:tc>
          <w:tcPr>
            <w:tcW w:w="5692" w:type="dxa"/>
            <w:gridSpan w:val="4"/>
            <w:vAlign w:val="top"/>
          </w:tcPr>
          <w:p>
            <w:pPr>
              <w:pStyle w:val="48"/>
              <w:spacing w:before="192"/>
              <w:ind w:left="1851"/>
              <w:rPr>
                <w:color w:val="auto"/>
                <w:sz w:val="22"/>
              </w:rPr>
            </w:pPr>
            <w:r>
              <w:rPr>
                <w:color w:val="auto"/>
                <w:sz w:val="22"/>
              </w:rPr>
              <w:t>执业或职业资格证明</w:t>
            </w:r>
          </w:p>
        </w:tc>
        <w:tc>
          <w:tcPr>
            <w:tcW w:w="901" w:type="dxa"/>
            <w:vMerge w:val="restart"/>
            <w:vAlign w:val="top"/>
          </w:tcPr>
          <w:p>
            <w:pPr>
              <w:pStyle w:val="48"/>
              <w:rPr>
                <w:b/>
                <w:color w:val="auto"/>
                <w:sz w:val="22"/>
              </w:rPr>
            </w:pPr>
          </w:p>
          <w:p>
            <w:pPr>
              <w:pStyle w:val="48"/>
              <w:spacing w:before="3"/>
              <w:rPr>
                <w:b/>
                <w:color w:val="auto"/>
                <w:sz w:val="19"/>
              </w:rPr>
            </w:pPr>
          </w:p>
          <w:p>
            <w:pPr>
              <w:pStyle w:val="48"/>
              <w:ind w:left="226"/>
              <w:rPr>
                <w:color w:val="auto"/>
                <w:sz w:val="22"/>
              </w:rPr>
            </w:pPr>
            <w:r>
              <w:rPr>
                <w:color w:val="auto"/>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pPr>
              <w:rPr>
                <w:color w:val="auto"/>
                <w:sz w:val="2"/>
                <w:szCs w:val="2"/>
              </w:rPr>
            </w:pPr>
          </w:p>
        </w:tc>
        <w:tc>
          <w:tcPr>
            <w:tcW w:w="898" w:type="dxa"/>
            <w:vMerge w:val="continue"/>
            <w:tcBorders>
              <w:top w:val="nil"/>
            </w:tcBorders>
            <w:vAlign w:val="top"/>
          </w:tcPr>
          <w:p>
            <w:pPr>
              <w:rPr>
                <w:color w:val="auto"/>
                <w:sz w:val="2"/>
                <w:szCs w:val="2"/>
              </w:rPr>
            </w:pPr>
          </w:p>
        </w:tc>
        <w:tc>
          <w:tcPr>
            <w:tcW w:w="903" w:type="dxa"/>
            <w:vMerge w:val="continue"/>
            <w:tcBorders>
              <w:top w:val="nil"/>
            </w:tcBorders>
            <w:vAlign w:val="top"/>
          </w:tcPr>
          <w:p>
            <w:pPr>
              <w:rPr>
                <w:color w:val="auto"/>
                <w:sz w:val="2"/>
                <w:szCs w:val="2"/>
              </w:rPr>
            </w:pPr>
          </w:p>
        </w:tc>
        <w:tc>
          <w:tcPr>
            <w:tcW w:w="1498" w:type="dxa"/>
            <w:vAlign w:val="top"/>
          </w:tcPr>
          <w:p>
            <w:pPr>
              <w:pStyle w:val="48"/>
              <w:spacing w:before="192"/>
              <w:ind w:left="303"/>
              <w:rPr>
                <w:color w:val="auto"/>
                <w:sz w:val="22"/>
              </w:rPr>
            </w:pPr>
            <w:r>
              <w:rPr>
                <w:color w:val="auto"/>
                <w:sz w:val="22"/>
              </w:rPr>
              <w:t>证书名称</w:t>
            </w:r>
          </w:p>
        </w:tc>
        <w:tc>
          <w:tcPr>
            <w:tcW w:w="1302" w:type="dxa"/>
            <w:vAlign w:val="top"/>
          </w:tcPr>
          <w:p>
            <w:pPr>
              <w:pStyle w:val="48"/>
              <w:spacing w:before="192"/>
              <w:ind w:left="428"/>
              <w:rPr>
                <w:color w:val="auto"/>
                <w:sz w:val="22"/>
              </w:rPr>
            </w:pPr>
            <w:r>
              <w:rPr>
                <w:color w:val="auto"/>
                <w:sz w:val="22"/>
              </w:rPr>
              <w:t>级别</w:t>
            </w:r>
          </w:p>
        </w:tc>
        <w:tc>
          <w:tcPr>
            <w:tcW w:w="1417" w:type="dxa"/>
            <w:vAlign w:val="top"/>
          </w:tcPr>
          <w:p>
            <w:pPr>
              <w:pStyle w:val="48"/>
              <w:spacing w:before="192"/>
              <w:ind w:left="463" w:right="463"/>
              <w:jc w:val="center"/>
              <w:rPr>
                <w:color w:val="auto"/>
                <w:sz w:val="22"/>
              </w:rPr>
            </w:pPr>
            <w:r>
              <w:rPr>
                <w:color w:val="auto"/>
                <w:sz w:val="22"/>
              </w:rPr>
              <w:t>证号</w:t>
            </w:r>
          </w:p>
        </w:tc>
        <w:tc>
          <w:tcPr>
            <w:tcW w:w="1475" w:type="dxa"/>
            <w:vAlign w:val="top"/>
          </w:tcPr>
          <w:p>
            <w:pPr>
              <w:pStyle w:val="48"/>
              <w:spacing w:before="192"/>
              <w:ind w:left="496" w:right="488"/>
              <w:jc w:val="center"/>
              <w:rPr>
                <w:color w:val="auto"/>
                <w:sz w:val="22"/>
              </w:rPr>
            </w:pPr>
            <w:r>
              <w:rPr>
                <w:color w:val="auto"/>
                <w:sz w:val="22"/>
              </w:rPr>
              <w:t>专业</w:t>
            </w:r>
          </w:p>
        </w:tc>
        <w:tc>
          <w:tcPr>
            <w:tcW w:w="901" w:type="dxa"/>
            <w:vMerge w:val="continue"/>
            <w:tcBorders>
              <w:top w:val="nil"/>
            </w:tcBorders>
            <w:vAlign w:val="top"/>
          </w:tcPr>
          <w:p>
            <w:pPr>
              <w:rPr>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pPr>
              <w:pStyle w:val="48"/>
              <w:rPr>
                <w:rFonts w:ascii="Times New Roman"/>
                <w:color w:val="auto"/>
                <w:sz w:val="24"/>
              </w:rPr>
            </w:pPr>
          </w:p>
        </w:tc>
        <w:tc>
          <w:tcPr>
            <w:tcW w:w="898" w:type="dxa"/>
            <w:vAlign w:val="top"/>
          </w:tcPr>
          <w:p>
            <w:pPr>
              <w:pStyle w:val="48"/>
              <w:rPr>
                <w:rFonts w:ascii="Times New Roman"/>
                <w:color w:val="auto"/>
                <w:sz w:val="24"/>
              </w:rPr>
            </w:pPr>
          </w:p>
        </w:tc>
        <w:tc>
          <w:tcPr>
            <w:tcW w:w="903" w:type="dxa"/>
            <w:vAlign w:val="top"/>
          </w:tcPr>
          <w:p>
            <w:pPr>
              <w:pStyle w:val="48"/>
              <w:rPr>
                <w:rFonts w:ascii="Times New Roman"/>
                <w:color w:val="auto"/>
                <w:sz w:val="24"/>
              </w:rPr>
            </w:pPr>
          </w:p>
        </w:tc>
        <w:tc>
          <w:tcPr>
            <w:tcW w:w="1498" w:type="dxa"/>
            <w:vAlign w:val="top"/>
          </w:tcPr>
          <w:p>
            <w:pPr>
              <w:pStyle w:val="48"/>
              <w:rPr>
                <w:rFonts w:ascii="Times New Roman"/>
                <w:color w:val="auto"/>
                <w:sz w:val="24"/>
              </w:rPr>
            </w:pPr>
          </w:p>
        </w:tc>
        <w:tc>
          <w:tcPr>
            <w:tcW w:w="1302" w:type="dxa"/>
            <w:vAlign w:val="top"/>
          </w:tcPr>
          <w:p>
            <w:pPr>
              <w:pStyle w:val="48"/>
              <w:rPr>
                <w:rFonts w:ascii="Times New Roman"/>
                <w:color w:val="auto"/>
                <w:sz w:val="24"/>
              </w:rPr>
            </w:pPr>
          </w:p>
        </w:tc>
        <w:tc>
          <w:tcPr>
            <w:tcW w:w="1417" w:type="dxa"/>
            <w:vAlign w:val="top"/>
          </w:tcPr>
          <w:p>
            <w:pPr>
              <w:pStyle w:val="48"/>
              <w:rPr>
                <w:rFonts w:ascii="Times New Roman"/>
                <w:color w:val="auto"/>
                <w:sz w:val="24"/>
              </w:rPr>
            </w:pPr>
          </w:p>
        </w:tc>
        <w:tc>
          <w:tcPr>
            <w:tcW w:w="1475" w:type="dxa"/>
            <w:vAlign w:val="top"/>
          </w:tcPr>
          <w:p>
            <w:pPr>
              <w:pStyle w:val="48"/>
              <w:rPr>
                <w:rFonts w:ascii="Times New Roman"/>
                <w:color w:val="auto"/>
                <w:sz w:val="24"/>
              </w:rPr>
            </w:pPr>
          </w:p>
        </w:tc>
        <w:tc>
          <w:tcPr>
            <w:tcW w:w="901"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pPr>
              <w:pStyle w:val="48"/>
              <w:rPr>
                <w:rFonts w:ascii="Times New Roman"/>
                <w:color w:val="auto"/>
                <w:sz w:val="24"/>
              </w:rPr>
            </w:pPr>
          </w:p>
        </w:tc>
        <w:tc>
          <w:tcPr>
            <w:tcW w:w="898" w:type="dxa"/>
            <w:vAlign w:val="top"/>
          </w:tcPr>
          <w:p>
            <w:pPr>
              <w:pStyle w:val="48"/>
              <w:rPr>
                <w:rFonts w:ascii="Times New Roman"/>
                <w:color w:val="auto"/>
                <w:sz w:val="24"/>
              </w:rPr>
            </w:pPr>
          </w:p>
        </w:tc>
        <w:tc>
          <w:tcPr>
            <w:tcW w:w="903" w:type="dxa"/>
            <w:vAlign w:val="top"/>
          </w:tcPr>
          <w:p>
            <w:pPr>
              <w:pStyle w:val="48"/>
              <w:rPr>
                <w:rFonts w:ascii="Times New Roman"/>
                <w:color w:val="auto"/>
                <w:sz w:val="24"/>
              </w:rPr>
            </w:pPr>
          </w:p>
        </w:tc>
        <w:tc>
          <w:tcPr>
            <w:tcW w:w="1498" w:type="dxa"/>
            <w:vAlign w:val="top"/>
          </w:tcPr>
          <w:p>
            <w:pPr>
              <w:pStyle w:val="48"/>
              <w:rPr>
                <w:rFonts w:ascii="Times New Roman"/>
                <w:color w:val="auto"/>
                <w:sz w:val="24"/>
              </w:rPr>
            </w:pPr>
          </w:p>
        </w:tc>
        <w:tc>
          <w:tcPr>
            <w:tcW w:w="1302" w:type="dxa"/>
            <w:vAlign w:val="top"/>
          </w:tcPr>
          <w:p>
            <w:pPr>
              <w:pStyle w:val="48"/>
              <w:rPr>
                <w:rFonts w:ascii="Times New Roman"/>
                <w:color w:val="auto"/>
                <w:sz w:val="24"/>
              </w:rPr>
            </w:pPr>
          </w:p>
        </w:tc>
        <w:tc>
          <w:tcPr>
            <w:tcW w:w="1417" w:type="dxa"/>
            <w:vAlign w:val="top"/>
          </w:tcPr>
          <w:p>
            <w:pPr>
              <w:pStyle w:val="48"/>
              <w:rPr>
                <w:rFonts w:ascii="Times New Roman"/>
                <w:color w:val="auto"/>
                <w:sz w:val="24"/>
              </w:rPr>
            </w:pPr>
          </w:p>
        </w:tc>
        <w:tc>
          <w:tcPr>
            <w:tcW w:w="1475" w:type="dxa"/>
            <w:vAlign w:val="top"/>
          </w:tcPr>
          <w:p>
            <w:pPr>
              <w:pStyle w:val="48"/>
              <w:rPr>
                <w:rFonts w:ascii="Times New Roman"/>
                <w:color w:val="auto"/>
                <w:sz w:val="24"/>
              </w:rPr>
            </w:pPr>
          </w:p>
        </w:tc>
        <w:tc>
          <w:tcPr>
            <w:tcW w:w="901"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pPr>
              <w:pStyle w:val="48"/>
              <w:rPr>
                <w:rFonts w:ascii="Times New Roman"/>
                <w:color w:val="auto"/>
                <w:sz w:val="24"/>
              </w:rPr>
            </w:pPr>
          </w:p>
        </w:tc>
        <w:tc>
          <w:tcPr>
            <w:tcW w:w="898" w:type="dxa"/>
            <w:vAlign w:val="top"/>
          </w:tcPr>
          <w:p>
            <w:pPr>
              <w:pStyle w:val="48"/>
              <w:rPr>
                <w:rFonts w:ascii="Times New Roman"/>
                <w:color w:val="auto"/>
                <w:sz w:val="24"/>
              </w:rPr>
            </w:pPr>
          </w:p>
        </w:tc>
        <w:tc>
          <w:tcPr>
            <w:tcW w:w="903" w:type="dxa"/>
            <w:vAlign w:val="top"/>
          </w:tcPr>
          <w:p>
            <w:pPr>
              <w:pStyle w:val="48"/>
              <w:rPr>
                <w:rFonts w:ascii="Times New Roman"/>
                <w:color w:val="auto"/>
                <w:sz w:val="24"/>
              </w:rPr>
            </w:pPr>
          </w:p>
        </w:tc>
        <w:tc>
          <w:tcPr>
            <w:tcW w:w="1498" w:type="dxa"/>
            <w:vAlign w:val="top"/>
          </w:tcPr>
          <w:p>
            <w:pPr>
              <w:pStyle w:val="48"/>
              <w:rPr>
                <w:rFonts w:ascii="Times New Roman"/>
                <w:color w:val="auto"/>
                <w:sz w:val="24"/>
              </w:rPr>
            </w:pPr>
          </w:p>
        </w:tc>
        <w:tc>
          <w:tcPr>
            <w:tcW w:w="1302" w:type="dxa"/>
            <w:vAlign w:val="top"/>
          </w:tcPr>
          <w:p>
            <w:pPr>
              <w:pStyle w:val="48"/>
              <w:rPr>
                <w:rFonts w:ascii="Times New Roman"/>
                <w:color w:val="auto"/>
                <w:sz w:val="24"/>
              </w:rPr>
            </w:pPr>
          </w:p>
        </w:tc>
        <w:tc>
          <w:tcPr>
            <w:tcW w:w="1417" w:type="dxa"/>
            <w:vAlign w:val="top"/>
          </w:tcPr>
          <w:p>
            <w:pPr>
              <w:pStyle w:val="48"/>
              <w:rPr>
                <w:rFonts w:ascii="Times New Roman"/>
                <w:color w:val="auto"/>
                <w:sz w:val="24"/>
              </w:rPr>
            </w:pPr>
          </w:p>
        </w:tc>
        <w:tc>
          <w:tcPr>
            <w:tcW w:w="1475" w:type="dxa"/>
            <w:vAlign w:val="top"/>
          </w:tcPr>
          <w:p>
            <w:pPr>
              <w:pStyle w:val="48"/>
              <w:rPr>
                <w:rFonts w:ascii="Times New Roman"/>
                <w:color w:val="auto"/>
                <w:sz w:val="24"/>
              </w:rPr>
            </w:pPr>
          </w:p>
        </w:tc>
        <w:tc>
          <w:tcPr>
            <w:tcW w:w="901"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pPr>
              <w:pStyle w:val="48"/>
              <w:rPr>
                <w:rFonts w:ascii="Times New Roman"/>
                <w:color w:val="auto"/>
                <w:sz w:val="24"/>
              </w:rPr>
            </w:pPr>
          </w:p>
        </w:tc>
        <w:tc>
          <w:tcPr>
            <w:tcW w:w="898" w:type="dxa"/>
            <w:vAlign w:val="top"/>
          </w:tcPr>
          <w:p>
            <w:pPr>
              <w:pStyle w:val="48"/>
              <w:rPr>
                <w:rFonts w:ascii="Times New Roman"/>
                <w:color w:val="auto"/>
                <w:sz w:val="24"/>
              </w:rPr>
            </w:pPr>
          </w:p>
        </w:tc>
        <w:tc>
          <w:tcPr>
            <w:tcW w:w="903" w:type="dxa"/>
            <w:vAlign w:val="top"/>
          </w:tcPr>
          <w:p>
            <w:pPr>
              <w:pStyle w:val="48"/>
              <w:rPr>
                <w:rFonts w:ascii="Times New Roman"/>
                <w:color w:val="auto"/>
                <w:sz w:val="24"/>
              </w:rPr>
            </w:pPr>
          </w:p>
        </w:tc>
        <w:tc>
          <w:tcPr>
            <w:tcW w:w="1498" w:type="dxa"/>
            <w:vAlign w:val="top"/>
          </w:tcPr>
          <w:p>
            <w:pPr>
              <w:pStyle w:val="48"/>
              <w:rPr>
                <w:rFonts w:ascii="Times New Roman"/>
                <w:color w:val="auto"/>
                <w:sz w:val="24"/>
              </w:rPr>
            </w:pPr>
          </w:p>
        </w:tc>
        <w:tc>
          <w:tcPr>
            <w:tcW w:w="1302" w:type="dxa"/>
            <w:vAlign w:val="top"/>
          </w:tcPr>
          <w:p>
            <w:pPr>
              <w:pStyle w:val="48"/>
              <w:rPr>
                <w:rFonts w:ascii="Times New Roman"/>
                <w:color w:val="auto"/>
                <w:sz w:val="24"/>
              </w:rPr>
            </w:pPr>
          </w:p>
        </w:tc>
        <w:tc>
          <w:tcPr>
            <w:tcW w:w="1417" w:type="dxa"/>
            <w:vAlign w:val="top"/>
          </w:tcPr>
          <w:p>
            <w:pPr>
              <w:pStyle w:val="48"/>
              <w:rPr>
                <w:rFonts w:ascii="Times New Roman"/>
                <w:color w:val="auto"/>
                <w:sz w:val="24"/>
              </w:rPr>
            </w:pPr>
          </w:p>
        </w:tc>
        <w:tc>
          <w:tcPr>
            <w:tcW w:w="1475" w:type="dxa"/>
            <w:vAlign w:val="top"/>
          </w:tcPr>
          <w:p>
            <w:pPr>
              <w:pStyle w:val="48"/>
              <w:rPr>
                <w:rFonts w:ascii="Times New Roman"/>
                <w:color w:val="auto"/>
                <w:sz w:val="24"/>
              </w:rPr>
            </w:pPr>
          </w:p>
        </w:tc>
        <w:tc>
          <w:tcPr>
            <w:tcW w:w="901"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pPr>
              <w:pStyle w:val="48"/>
              <w:rPr>
                <w:rFonts w:ascii="Times New Roman"/>
                <w:color w:val="auto"/>
                <w:sz w:val="24"/>
              </w:rPr>
            </w:pPr>
          </w:p>
        </w:tc>
        <w:tc>
          <w:tcPr>
            <w:tcW w:w="898" w:type="dxa"/>
            <w:vAlign w:val="top"/>
          </w:tcPr>
          <w:p>
            <w:pPr>
              <w:pStyle w:val="48"/>
              <w:rPr>
                <w:rFonts w:ascii="Times New Roman"/>
                <w:color w:val="auto"/>
                <w:sz w:val="24"/>
              </w:rPr>
            </w:pPr>
          </w:p>
        </w:tc>
        <w:tc>
          <w:tcPr>
            <w:tcW w:w="903" w:type="dxa"/>
            <w:vAlign w:val="top"/>
          </w:tcPr>
          <w:p>
            <w:pPr>
              <w:pStyle w:val="48"/>
              <w:rPr>
                <w:rFonts w:ascii="Times New Roman"/>
                <w:color w:val="auto"/>
                <w:sz w:val="24"/>
              </w:rPr>
            </w:pPr>
          </w:p>
        </w:tc>
        <w:tc>
          <w:tcPr>
            <w:tcW w:w="1498" w:type="dxa"/>
            <w:vAlign w:val="top"/>
          </w:tcPr>
          <w:p>
            <w:pPr>
              <w:pStyle w:val="48"/>
              <w:rPr>
                <w:rFonts w:ascii="Times New Roman"/>
                <w:color w:val="auto"/>
                <w:sz w:val="24"/>
              </w:rPr>
            </w:pPr>
          </w:p>
        </w:tc>
        <w:tc>
          <w:tcPr>
            <w:tcW w:w="1302" w:type="dxa"/>
            <w:vAlign w:val="top"/>
          </w:tcPr>
          <w:p>
            <w:pPr>
              <w:pStyle w:val="48"/>
              <w:rPr>
                <w:rFonts w:ascii="Times New Roman"/>
                <w:color w:val="auto"/>
                <w:sz w:val="24"/>
              </w:rPr>
            </w:pPr>
          </w:p>
        </w:tc>
        <w:tc>
          <w:tcPr>
            <w:tcW w:w="1417" w:type="dxa"/>
            <w:vAlign w:val="top"/>
          </w:tcPr>
          <w:p>
            <w:pPr>
              <w:pStyle w:val="48"/>
              <w:rPr>
                <w:rFonts w:ascii="Times New Roman"/>
                <w:color w:val="auto"/>
                <w:sz w:val="24"/>
              </w:rPr>
            </w:pPr>
          </w:p>
        </w:tc>
        <w:tc>
          <w:tcPr>
            <w:tcW w:w="1475" w:type="dxa"/>
            <w:vAlign w:val="top"/>
          </w:tcPr>
          <w:p>
            <w:pPr>
              <w:pStyle w:val="48"/>
              <w:rPr>
                <w:rFonts w:ascii="Times New Roman"/>
                <w:color w:val="auto"/>
                <w:sz w:val="24"/>
              </w:rPr>
            </w:pPr>
          </w:p>
        </w:tc>
        <w:tc>
          <w:tcPr>
            <w:tcW w:w="901"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pPr>
              <w:pStyle w:val="48"/>
              <w:rPr>
                <w:rFonts w:ascii="Times New Roman"/>
                <w:color w:val="auto"/>
                <w:sz w:val="24"/>
              </w:rPr>
            </w:pPr>
          </w:p>
        </w:tc>
        <w:tc>
          <w:tcPr>
            <w:tcW w:w="898" w:type="dxa"/>
            <w:vAlign w:val="top"/>
          </w:tcPr>
          <w:p>
            <w:pPr>
              <w:pStyle w:val="48"/>
              <w:rPr>
                <w:rFonts w:ascii="Times New Roman"/>
                <w:color w:val="auto"/>
                <w:sz w:val="24"/>
              </w:rPr>
            </w:pPr>
          </w:p>
        </w:tc>
        <w:tc>
          <w:tcPr>
            <w:tcW w:w="903" w:type="dxa"/>
            <w:vAlign w:val="top"/>
          </w:tcPr>
          <w:p>
            <w:pPr>
              <w:pStyle w:val="48"/>
              <w:rPr>
                <w:rFonts w:ascii="Times New Roman"/>
                <w:color w:val="auto"/>
                <w:sz w:val="24"/>
              </w:rPr>
            </w:pPr>
          </w:p>
        </w:tc>
        <w:tc>
          <w:tcPr>
            <w:tcW w:w="1498" w:type="dxa"/>
            <w:vAlign w:val="top"/>
          </w:tcPr>
          <w:p>
            <w:pPr>
              <w:pStyle w:val="48"/>
              <w:rPr>
                <w:rFonts w:ascii="Times New Roman"/>
                <w:color w:val="auto"/>
                <w:sz w:val="24"/>
              </w:rPr>
            </w:pPr>
          </w:p>
        </w:tc>
        <w:tc>
          <w:tcPr>
            <w:tcW w:w="1302" w:type="dxa"/>
            <w:vAlign w:val="top"/>
          </w:tcPr>
          <w:p>
            <w:pPr>
              <w:pStyle w:val="48"/>
              <w:rPr>
                <w:rFonts w:ascii="Times New Roman"/>
                <w:color w:val="auto"/>
                <w:sz w:val="24"/>
              </w:rPr>
            </w:pPr>
          </w:p>
        </w:tc>
        <w:tc>
          <w:tcPr>
            <w:tcW w:w="1417" w:type="dxa"/>
            <w:vAlign w:val="top"/>
          </w:tcPr>
          <w:p>
            <w:pPr>
              <w:pStyle w:val="48"/>
              <w:rPr>
                <w:rFonts w:ascii="Times New Roman"/>
                <w:color w:val="auto"/>
                <w:sz w:val="24"/>
              </w:rPr>
            </w:pPr>
          </w:p>
        </w:tc>
        <w:tc>
          <w:tcPr>
            <w:tcW w:w="1475" w:type="dxa"/>
            <w:vAlign w:val="top"/>
          </w:tcPr>
          <w:p>
            <w:pPr>
              <w:pStyle w:val="48"/>
              <w:rPr>
                <w:rFonts w:ascii="Times New Roman"/>
                <w:color w:val="auto"/>
                <w:sz w:val="24"/>
              </w:rPr>
            </w:pPr>
          </w:p>
        </w:tc>
        <w:tc>
          <w:tcPr>
            <w:tcW w:w="901"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pPr>
              <w:pStyle w:val="48"/>
              <w:rPr>
                <w:rFonts w:ascii="Times New Roman"/>
                <w:color w:val="auto"/>
                <w:sz w:val="24"/>
              </w:rPr>
            </w:pPr>
          </w:p>
        </w:tc>
        <w:tc>
          <w:tcPr>
            <w:tcW w:w="898" w:type="dxa"/>
            <w:vAlign w:val="top"/>
          </w:tcPr>
          <w:p>
            <w:pPr>
              <w:pStyle w:val="48"/>
              <w:rPr>
                <w:rFonts w:ascii="Times New Roman"/>
                <w:color w:val="auto"/>
                <w:sz w:val="24"/>
              </w:rPr>
            </w:pPr>
          </w:p>
        </w:tc>
        <w:tc>
          <w:tcPr>
            <w:tcW w:w="903" w:type="dxa"/>
            <w:vAlign w:val="top"/>
          </w:tcPr>
          <w:p>
            <w:pPr>
              <w:pStyle w:val="48"/>
              <w:rPr>
                <w:rFonts w:ascii="Times New Roman"/>
                <w:color w:val="auto"/>
                <w:sz w:val="24"/>
              </w:rPr>
            </w:pPr>
          </w:p>
        </w:tc>
        <w:tc>
          <w:tcPr>
            <w:tcW w:w="1498" w:type="dxa"/>
            <w:vAlign w:val="top"/>
          </w:tcPr>
          <w:p>
            <w:pPr>
              <w:pStyle w:val="48"/>
              <w:rPr>
                <w:rFonts w:ascii="Times New Roman"/>
                <w:color w:val="auto"/>
                <w:sz w:val="24"/>
              </w:rPr>
            </w:pPr>
          </w:p>
        </w:tc>
        <w:tc>
          <w:tcPr>
            <w:tcW w:w="1302" w:type="dxa"/>
            <w:vAlign w:val="top"/>
          </w:tcPr>
          <w:p>
            <w:pPr>
              <w:pStyle w:val="48"/>
              <w:rPr>
                <w:rFonts w:ascii="Times New Roman"/>
                <w:color w:val="auto"/>
                <w:sz w:val="24"/>
              </w:rPr>
            </w:pPr>
          </w:p>
        </w:tc>
        <w:tc>
          <w:tcPr>
            <w:tcW w:w="1417" w:type="dxa"/>
            <w:vAlign w:val="top"/>
          </w:tcPr>
          <w:p>
            <w:pPr>
              <w:pStyle w:val="48"/>
              <w:rPr>
                <w:rFonts w:ascii="Times New Roman"/>
                <w:color w:val="auto"/>
                <w:sz w:val="24"/>
              </w:rPr>
            </w:pPr>
          </w:p>
        </w:tc>
        <w:tc>
          <w:tcPr>
            <w:tcW w:w="1475" w:type="dxa"/>
            <w:vAlign w:val="top"/>
          </w:tcPr>
          <w:p>
            <w:pPr>
              <w:pStyle w:val="48"/>
              <w:rPr>
                <w:rFonts w:ascii="Times New Roman"/>
                <w:color w:val="auto"/>
                <w:sz w:val="24"/>
              </w:rPr>
            </w:pPr>
          </w:p>
        </w:tc>
        <w:tc>
          <w:tcPr>
            <w:tcW w:w="901"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pPr>
              <w:pStyle w:val="48"/>
              <w:rPr>
                <w:rFonts w:ascii="Times New Roman"/>
                <w:color w:val="auto"/>
                <w:sz w:val="24"/>
              </w:rPr>
            </w:pPr>
          </w:p>
        </w:tc>
        <w:tc>
          <w:tcPr>
            <w:tcW w:w="898" w:type="dxa"/>
            <w:vAlign w:val="top"/>
          </w:tcPr>
          <w:p>
            <w:pPr>
              <w:pStyle w:val="48"/>
              <w:rPr>
                <w:rFonts w:ascii="Times New Roman"/>
                <w:color w:val="auto"/>
                <w:sz w:val="24"/>
              </w:rPr>
            </w:pPr>
          </w:p>
        </w:tc>
        <w:tc>
          <w:tcPr>
            <w:tcW w:w="903" w:type="dxa"/>
            <w:vAlign w:val="top"/>
          </w:tcPr>
          <w:p>
            <w:pPr>
              <w:pStyle w:val="48"/>
              <w:rPr>
                <w:rFonts w:ascii="Times New Roman"/>
                <w:color w:val="auto"/>
                <w:sz w:val="24"/>
              </w:rPr>
            </w:pPr>
          </w:p>
        </w:tc>
        <w:tc>
          <w:tcPr>
            <w:tcW w:w="1498" w:type="dxa"/>
            <w:vAlign w:val="top"/>
          </w:tcPr>
          <w:p>
            <w:pPr>
              <w:pStyle w:val="48"/>
              <w:rPr>
                <w:rFonts w:ascii="Times New Roman"/>
                <w:color w:val="auto"/>
                <w:sz w:val="24"/>
              </w:rPr>
            </w:pPr>
          </w:p>
        </w:tc>
        <w:tc>
          <w:tcPr>
            <w:tcW w:w="1302" w:type="dxa"/>
            <w:vAlign w:val="top"/>
          </w:tcPr>
          <w:p>
            <w:pPr>
              <w:pStyle w:val="48"/>
              <w:rPr>
                <w:rFonts w:ascii="Times New Roman"/>
                <w:color w:val="auto"/>
                <w:sz w:val="24"/>
              </w:rPr>
            </w:pPr>
          </w:p>
        </w:tc>
        <w:tc>
          <w:tcPr>
            <w:tcW w:w="1417" w:type="dxa"/>
            <w:vAlign w:val="top"/>
          </w:tcPr>
          <w:p>
            <w:pPr>
              <w:pStyle w:val="48"/>
              <w:rPr>
                <w:rFonts w:ascii="Times New Roman"/>
                <w:color w:val="auto"/>
                <w:sz w:val="24"/>
              </w:rPr>
            </w:pPr>
          </w:p>
        </w:tc>
        <w:tc>
          <w:tcPr>
            <w:tcW w:w="1475" w:type="dxa"/>
            <w:vAlign w:val="top"/>
          </w:tcPr>
          <w:p>
            <w:pPr>
              <w:pStyle w:val="48"/>
              <w:rPr>
                <w:rFonts w:ascii="Times New Roman"/>
                <w:color w:val="auto"/>
                <w:sz w:val="24"/>
              </w:rPr>
            </w:pPr>
          </w:p>
        </w:tc>
        <w:tc>
          <w:tcPr>
            <w:tcW w:w="901"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pPr>
              <w:pStyle w:val="48"/>
              <w:rPr>
                <w:rFonts w:ascii="Times New Roman"/>
                <w:color w:val="auto"/>
                <w:sz w:val="24"/>
              </w:rPr>
            </w:pPr>
          </w:p>
        </w:tc>
        <w:tc>
          <w:tcPr>
            <w:tcW w:w="898" w:type="dxa"/>
            <w:vAlign w:val="top"/>
          </w:tcPr>
          <w:p>
            <w:pPr>
              <w:pStyle w:val="48"/>
              <w:rPr>
                <w:rFonts w:ascii="Times New Roman"/>
                <w:color w:val="auto"/>
                <w:sz w:val="24"/>
              </w:rPr>
            </w:pPr>
          </w:p>
        </w:tc>
        <w:tc>
          <w:tcPr>
            <w:tcW w:w="903" w:type="dxa"/>
            <w:vAlign w:val="top"/>
          </w:tcPr>
          <w:p>
            <w:pPr>
              <w:pStyle w:val="48"/>
              <w:rPr>
                <w:rFonts w:ascii="Times New Roman"/>
                <w:color w:val="auto"/>
                <w:sz w:val="24"/>
              </w:rPr>
            </w:pPr>
          </w:p>
        </w:tc>
        <w:tc>
          <w:tcPr>
            <w:tcW w:w="1498" w:type="dxa"/>
            <w:vAlign w:val="top"/>
          </w:tcPr>
          <w:p>
            <w:pPr>
              <w:pStyle w:val="48"/>
              <w:rPr>
                <w:rFonts w:ascii="Times New Roman"/>
                <w:color w:val="auto"/>
                <w:sz w:val="24"/>
              </w:rPr>
            </w:pPr>
          </w:p>
        </w:tc>
        <w:tc>
          <w:tcPr>
            <w:tcW w:w="1302" w:type="dxa"/>
            <w:vAlign w:val="top"/>
          </w:tcPr>
          <w:p>
            <w:pPr>
              <w:pStyle w:val="48"/>
              <w:rPr>
                <w:rFonts w:ascii="Times New Roman"/>
                <w:color w:val="auto"/>
                <w:sz w:val="24"/>
              </w:rPr>
            </w:pPr>
          </w:p>
        </w:tc>
        <w:tc>
          <w:tcPr>
            <w:tcW w:w="1417" w:type="dxa"/>
            <w:vAlign w:val="top"/>
          </w:tcPr>
          <w:p>
            <w:pPr>
              <w:pStyle w:val="48"/>
              <w:rPr>
                <w:rFonts w:ascii="Times New Roman"/>
                <w:color w:val="auto"/>
                <w:sz w:val="24"/>
              </w:rPr>
            </w:pPr>
          </w:p>
        </w:tc>
        <w:tc>
          <w:tcPr>
            <w:tcW w:w="1475" w:type="dxa"/>
            <w:vAlign w:val="top"/>
          </w:tcPr>
          <w:p>
            <w:pPr>
              <w:pStyle w:val="48"/>
              <w:rPr>
                <w:rFonts w:ascii="Times New Roman"/>
                <w:color w:val="auto"/>
                <w:sz w:val="24"/>
              </w:rPr>
            </w:pPr>
          </w:p>
        </w:tc>
        <w:tc>
          <w:tcPr>
            <w:tcW w:w="901"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pPr>
              <w:pStyle w:val="48"/>
              <w:rPr>
                <w:rFonts w:ascii="Times New Roman"/>
                <w:color w:val="auto"/>
                <w:sz w:val="24"/>
              </w:rPr>
            </w:pPr>
          </w:p>
        </w:tc>
        <w:tc>
          <w:tcPr>
            <w:tcW w:w="898" w:type="dxa"/>
            <w:vAlign w:val="top"/>
          </w:tcPr>
          <w:p>
            <w:pPr>
              <w:pStyle w:val="48"/>
              <w:rPr>
                <w:rFonts w:ascii="Times New Roman"/>
                <w:color w:val="auto"/>
                <w:sz w:val="24"/>
              </w:rPr>
            </w:pPr>
          </w:p>
        </w:tc>
        <w:tc>
          <w:tcPr>
            <w:tcW w:w="903" w:type="dxa"/>
            <w:vAlign w:val="top"/>
          </w:tcPr>
          <w:p>
            <w:pPr>
              <w:pStyle w:val="48"/>
              <w:rPr>
                <w:rFonts w:ascii="Times New Roman"/>
                <w:color w:val="auto"/>
                <w:sz w:val="24"/>
              </w:rPr>
            </w:pPr>
          </w:p>
        </w:tc>
        <w:tc>
          <w:tcPr>
            <w:tcW w:w="1498" w:type="dxa"/>
            <w:vAlign w:val="top"/>
          </w:tcPr>
          <w:p>
            <w:pPr>
              <w:pStyle w:val="48"/>
              <w:rPr>
                <w:rFonts w:ascii="Times New Roman"/>
                <w:color w:val="auto"/>
                <w:sz w:val="24"/>
              </w:rPr>
            </w:pPr>
          </w:p>
        </w:tc>
        <w:tc>
          <w:tcPr>
            <w:tcW w:w="1302" w:type="dxa"/>
            <w:vAlign w:val="top"/>
          </w:tcPr>
          <w:p>
            <w:pPr>
              <w:pStyle w:val="48"/>
              <w:rPr>
                <w:rFonts w:ascii="Times New Roman"/>
                <w:color w:val="auto"/>
                <w:sz w:val="24"/>
              </w:rPr>
            </w:pPr>
          </w:p>
        </w:tc>
        <w:tc>
          <w:tcPr>
            <w:tcW w:w="1417" w:type="dxa"/>
            <w:vAlign w:val="top"/>
          </w:tcPr>
          <w:p>
            <w:pPr>
              <w:pStyle w:val="48"/>
              <w:rPr>
                <w:rFonts w:ascii="Times New Roman"/>
                <w:color w:val="auto"/>
                <w:sz w:val="24"/>
              </w:rPr>
            </w:pPr>
          </w:p>
        </w:tc>
        <w:tc>
          <w:tcPr>
            <w:tcW w:w="1475" w:type="dxa"/>
            <w:vAlign w:val="top"/>
          </w:tcPr>
          <w:p>
            <w:pPr>
              <w:pStyle w:val="48"/>
              <w:rPr>
                <w:rFonts w:ascii="Times New Roman"/>
                <w:color w:val="auto"/>
                <w:sz w:val="24"/>
              </w:rPr>
            </w:pPr>
          </w:p>
        </w:tc>
        <w:tc>
          <w:tcPr>
            <w:tcW w:w="901"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pPr>
              <w:pStyle w:val="48"/>
              <w:rPr>
                <w:rFonts w:ascii="Times New Roman"/>
                <w:color w:val="auto"/>
                <w:sz w:val="24"/>
              </w:rPr>
            </w:pPr>
          </w:p>
        </w:tc>
        <w:tc>
          <w:tcPr>
            <w:tcW w:w="898" w:type="dxa"/>
            <w:vAlign w:val="top"/>
          </w:tcPr>
          <w:p>
            <w:pPr>
              <w:pStyle w:val="48"/>
              <w:rPr>
                <w:rFonts w:ascii="Times New Roman"/>
                <w:color w:val="auto"/>
                <w:sz w:val="24"/>
              </w:rPr>
            </w:pPr>
          </w:p>
        </w:tc>
        <w:tc>
          <w:tcPr>
            <w:tcW w:w="903" w:type="dxa"/>
            <w:vAlign w:val="top"/>
          </w:tcPr>
          <w:p>
            <w:pPr>
              <w:pStyle w:val="48"/>
              <w:rPr>
                <w:rFonts w:ascii="Times New Roman"/>
                <w:color w:val="auto"/>
                <w:sz w:val="24"/>
              </w:rPr>
            </w:pPr>
          </w:p>
        </w:tc>
        <w:tc>
          <w:tcPr>
            <w:tcW w:w="1498" w:type="dxa"/>
            <w:vAlign w:val="top"/>
          </w:tcPr>
          <w:p>
            <w:pPr>
              <w:pStyle w:val="48"/>
              <w:rPr>
                <w:rFonts w:ascii="Times New Roman"/>
                <w:color w:val="auto"/>
                <w:sz w:val="24"/>
              </w:rPr>
            </w:pPr>
          </w:p>
        </w:tc>
        <w:tc>
          <w:tcPr>
            <w:tcW w:w="1302" w:type="dxa"/>
            <w:vAlign w:val="top"/>
          </w:tcPr>
          <w:p>
            <w:pPr>
              <w:pStyle w:val="48"/>
              <w:rPr>
                <w:rFonts w:ascii="Times New Roman"/>
                <w:color w:val="auto"/>
                <w:sz w:val="24"/>
              </w:rPr>
            </w:pPr>
          </w:p>
        </w:tc>
        <w:tc>
          <w:tcPr>
            <w:tcW w:w="1417" w:type="dxa"/>
            <w:vAlign w:val="top"/>
          </w:tcPr>
          <w:p>
            <w:pPr>
              <w:pStyle w:val="48"/>
              <w:rPr>
                <w:rFonts w:ascii="Times New Roman"/>
                <w:color w:val="auto"/>
                <w:sz w:val="24"/>
              </w:rPr>
            </w:pPr>
          </w:p>
        </w:tc>
        <w:tc>
          <w:tcPr>
            <w:tcW w:w="1475" w:type="dxa"/>
            <w:vAlign w:val="top"/>
          </w:tcPr>
          <w:p>
            <w:pPr>
              <w:pStyle w:val="48"/>
              <w:rPr>
                <w:rFonts w:ascii="Times New Roman"/>
                <w:color w:val="auto"/>
                <w:sz w:val="24"/>
              </w:rPr>
            </w:pPr>
          </w:p>
        </w:tc>
        <w:tc>
          <w:tcPr>
            <w:tcW w:w="901"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pPr>
              <w:pStyle w:val="48"/>
              <w:rPr>
                <w:rFonts w:ascii="Times New Roman"/>
                <w:color w:val="auto"/>
                <w:sz w:val="24"/>
              </w:rPr>
            </w:pPr>
          </w:p>
        </w:tc>
        <w:tc>
          <w:tcPr>
            <w:tcW w:w="898" w:type="dxa"/>
            <w:vAlign w:val="top"/>
          </w:tcPr>
          <w:p>
            <w:pPr>
              <w:pStyle w:val="48"/>
              <w:rPr>
                <w:rFonts w:ascii="Times New Roman"/>
                <w:color w:val="auto"/>
                <w:sz w:val="24"/>
              </w:rPr>
            </w:pPr>
          </w:p>
        </w:tc>
        <w:tc>
          <w:tcPr>
            <w:tcW w:w="903" w:type="dxa"/>
            <w:vAlign w:val="top"/>
          </w:tcPr>
          <w:p>
            <w:pPr>
              <w:pStyle w:val="48"/>
              <w:rPr>
                <w:rFonts w:ascii="Times New Roman"/>
                <w:color w:val="auto"/>
                <w:sz w:val="24"/>
              </w:rPr>
            </w:pPr>
          </w:p>
        </w:tc>
        <w:tc>
          <w:tcPr>
            <w:tcW w:w="1498" w:type="dxa"/>
            <w:vAlign w:val="top"/>
          </w:tcPr>
          <w:p>
            <w:pPr>
              <w:pStyle w:val="48"/>
              <w:rPr>
                <w:rFonts w:ascii="Times New Roman"/>
                <w:color w:val="auto"/>
                <w:sz w:val="24"/>
              </w:rPr>
            </w:pPr>
          </w:p>
        </w:tc>
        <w:tc>
          <w:tcPr>
            <w:tcW w:w="1302" w:type="dxa"/>
            <w:vAlign w:val="top"/>
          </w:tcPr>
          <w:p>
            <w:pPr>
              <w:pStyle w:val="48"/>
              <w:rPr>
                <w:rFonts w:ascii="Times New Roman"/>
                <w:color w:val="auto"/>
                <w:sz w:val="24"/>
              </w:rPr>
            </w:pPr>
          </w:p>
        </w:tc>
        <w:tc>
          <w:tcPr>
            <w:tcW w:w="1417" w:type="dxa"/>
            <w:vAlign w:val="top"/>
          </w:tcPr>
          <w:p>
            <w:pPr>
              <w:pStyle w:val="48"/>
              <w:rPr>
                <w:rFonts w:ascii="Times New Roman"/>
                <w:color w:val="auto"/>
                <w:sz w:val="24"/>
              </w:rPr>
            </w:pPr>
          </w:p>
        </w:tc>
        <w:tc>
          <w:tcPr>
            <w:tcW w:w="1475" w:type="dxa"/>
            <w:vAlign w:val="top"/>
          </w:tcPr>
          <w:p>
            <w:pPr>
              <w:pStyle w:val="48"/>
              <w:rPr>
                <w:rFonts w:ascii="Times New Roman"/>
                <w:color w:val="auto"/>
                <w:sz w:val="24"/>
              </w:rPr>
            </w:pPr>
          </w:p>
        </w:tc>
        <w:tc>
          <w:tcPr>
            <w:tcW w:w="901"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pPr>
              <w:pStyle w:val="48"/>
              <w:rPr>
                <w:rFonts w:ascii="Times New Roman"/>
                <w:color w:val="auto"/>
                <w:sz w:val="24"/>
              </w:rPr>
            </w:pPr>
          </w:p>
        </w:tc>
        <w:tc>
          <w:tcPr>
            <w:tcW w:w="898" w:type="dxa"/>
            <w:vAlign w:val="top"/>
          </w:tcPr>
          <w:p>
            <w:pPr>
              <w:pStyle w:val="48"/>
              <w:rPr>
                <w:rFonts w:ascii="Times New Roman"/>
                <w:color w:val="auto"/>
                <w:sz w:val="24"/>
              </w:rPr>
            </w:pPr>
          </w:p>
        </w:tc>
        <w:tc>
          <w:tcPr>
            <w:tcW w:w="903" w:type="dxa"/>
            <w:vAlign w:val="top"/>
          </w:tcPr>
          <w:p>
            <w:pPr>
              <w:pStyle w:val="48"/>
              <w:rPr>
                <w:rFonts w:ascii="Times New Roman"/>
                <w:color w:val="auto"/>
                <w:sz w:val="24"/>
              </w:rPr>
            </w:pPr>
          </w:p>
        </w:tc>
        <w:tc>
          <w:tcPr>
            <w:tcW w:w="1498" w:type="dxa"/>
            <w:vAlign w:val="top"/>
          </w:tcPr>
          <w:p>
            <w:pPr>
              <w:pStyle w:val="48"/>
              <w:rPr>
                <w:rFonts w:ascii="Times New Roman"/>
                <w:color w:val="auto"/>
                <w:sz w:val="24"/>
              </w:rPr>
            </w:pPr>
          </w:p>
        </w:tc>
        <w:tc>
          <w:tcPr>
            <w:tcW w:w="1302" w:type="dxa"/>
            <w:vAlign w:val="top"/>
          </w:tcPr>
          <w:p>
            <w:pPr>
              <w:pStyle w:val="48"/>
              <w:rPr>
                <w:rFonts w:ascii="Times New Roman"/>
                <w:color w:val="auto"/>
                <w:sz w:val="24"/>
              </w:rPr>
            </w:pPr>
          </w:p>
        </w:tc>
        <w:tc>
          <w:tcPr>
            <w:tcW w:w="1417" w:type="dxa"/>
            <w:vAlign w:val="top"/>
          </w:tcPr>
          <w:p>
            <w:pPr>
              <w:pStyle w:val="48"/>
              <w:rPr>
                <w:rFonts w:ascii="Times New Roman"/>
                <w:color w:val="auto"/>
                <w:sz w:val="24"/>
              </w:rPr>
            </w:pPr>
          </w:p>
        </w:tc>
        <w:tc>
          <w:tcPr>
            <w:tcW w:w="1475" w:type="dxa"/>
            <w:vAlign w:val="top"/>
          </w:tcPr>
          <w:p>
            <w:pPr>
              <w:pStyle w:val="48"/>
              <w:rPr>
                <w:rFonts w:ascii="Times New Roman"/>
                <w:color w:val="auto"/>
                <w:sz w:val="24"/>
              </w:rPr>
            </w:pPr>
          </w:p>
        </w:tc>
        <w:tc>
          <w:tcPr>
            <w:tcW w:w="901" w:type="dxa"/>
            <w:vAlign w:val="top"/>
          </w:tcPr>
          <w:p>
            <w:pPr>
              <w:pStyle w:val="48"/>
              <w:rPr>
                <w:rFonts w:ascii="Times New Roman"/>
                <w:color w:val="auto"/>
                <w:sz w:val="24"/>
              </w:rPr>
            </w:pPr>
          </w:p>
        </w:tc>
      </w:tr>
    </w:tbl>
    <w:p>
      <w:pPr>
        <w:spacing w:after="0"/>
        <w:rPr>
          <w:color w:val="auto"/>
        </w:rPr>
        <w:sectPr>
          <w:pgSz w:w="11910" w:h="16840"/>
          <w:pgMar w:top="1380" w:right="880" w:bottom="1100" w:left="880" w:header="888" w:footer="910" w:gutter="0"/>
          <w:pgNumType w:fmt="decimal"/>
          <w:cols w:space="720" w:num="1"/>
        </w:sectPr>
      </w:pPr>
    </w:p>
    <w:p>
      <w:pPr>
        <w:pStyle w:val="5"/>
        <w:ind w:left="1103"/>
        <w:outlineLvl w:val="1"/>
        <w:rPr>
          <w:color w:val="auto"/>
        </w:rPr>
      </w:pPr>
      <w:bookmarkStart w:id="54" w:name="_Toc24225"/>
      <w:r>
        <w:rPr>
          <w:color w:val="auto"/>
        </w:rPr>
        <w:t>（二）项目负责人简历表</w:t>
      </w:r>
      <w:bookmarkEnd w:id="54"/>
    </w:p>
    <w:p>
      <w:pPr>
        <w:pStyle w:val="10"/>
        <w:spacing w:before="4"/>
        <w:ind w:left="0"/>
        <w:rPr>
          <w:b/>
          <w:color w:val="auto"/>
          <w:sz w:val="10"/>
        </w:rPr>
      </w:pPr>
    </w:p>
    <w:tbl>
      <w:tblPr>
        <w:tblStyle w:val="21"/>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pPr>
              <w:pStyle w:val="48"/>
              <w:spacing w:before="4"/>
              <w:rPr>
                <w:b/>
                <w:color w:val="auto"/>
                <w:sz w:val="19"/>
              </w:rPr>
            </w:pPr>
          </w:p>
          <w:p>
            <w:pPr>
              <w:pStyle w:val="48"/>
              <w:ind w:left="317" w:right="308"/>
              <w:jc w:val="center"/>
              <w:rPr>
                <w:color w:val="auto"/>
                <w:sz w:val="22"/>
              </w:rPr>
            </w:pPr>
            <w:r>
              <w:rPr>
                <w:color w:val="auto"/>
                <w:sz w:val="22"/>
              </w:rPr>
              <w:t>姓 名</w:t>
            </w:r>
          </w:p>
        </w:tc>
        <w:tc>
          <w:tcPr>
            <w:tcW w:w="1558" w:type="dxa"/>
            <w:gridSpan w:val="2"/>
            <w:vAlign w:val="top"/>
          </w:tcPr>
          <w:p>
            <w:pPr>
              <w:pStyle w:val="48"/>
              <w:rPr>
                <w:rFonts w:ascii="Times New Roman"/>
                <w:color w:val="auto"/>
                <w:sz w:val="22"/>
              </w:rPr>
            </w:pPr>
          </w:p>
        </w:tc>
        <w:tc>
          <w:tcPr>
            <w:tcW w:w="1560" w:type="dxa"/>
            <w:vAlign w:val="top"/>
          </w:tcPr>
          <w:p>
            <w:pPr>
              <w:pStyle w:val="48"/>
              <w:spacing w:before="4"/>
              <w:rPr>
                <w:b/>
                <w:color w:val="auto"/>
                <w:sz w:val="19"/>
              </w:rPr>
            </w:pPr>
          </w:p>
          <w:p>
            <w:pPr>
              <w:pStyle w:val="48"/>
              <w:ind w:left="485" w:right="475"/>
              <w:jc w:val="center"/>
              <w:rPr>
                <w:color w:val="auto"/>
                <w:sz w:val="22"/>
              </w:rPr>
            </w:pPr>
            <w:r>
              <w:rPr>
                <w:color w:val="auto"/>
                <w:sz w:val="22"/>
              </w:rPr>
              <w:t>年 龄</w:t>
            </w:r>
          </w:p>
        </w:tc>
        <w:tc>
          <w:tcPr>
            <w:tcW w:w="1558" w:type="dxa"/>
            <w:vAlign w:val="top"/>
          </w:tcPr>
          <w:p>
            <w:pPr>
              <w:pStyle w:val="48"/>
              <w:rPr>
                <w:rFonts w:ascii="Times New Roman"/>
                <w:color w:val="auto"/>
                <w:sz w:val="22"/>
              </w:rPr>
            </w:pPr>
          </w:p>
        </w:tc>
        <w:tc>
          <w:tcPr>
            <w:tcW w:w="1851" w:type="dxa"/>
            <w:gridSpan w:val="2"/>
            <w:vAlign w:val="top"/>
          </w:tcPr>
          <w:p>
            <w:pPr>
              <w:pStyle w:val="48"/>
              <w:spacing w:before="4"/>
              <w:rPr>
                <w:b/>
                <w:color w:val="auto"/>
                <w:sz w:val="19"/>
              </w:rPr>
            </w:pPr>
          </w:p>
          <w:p>
            <w:pPr>
              <w:pStyle w:val="48"/>
              <w:ind w:left="631" w:right="619"/>
              <w:jc w:val="center"/>
              <w:rPr>
                <w:color w:val="auto"/>
                <w:sz w:val="22"/>
              </w:rPr>
            </w:pPr>
            <w:r>
              <w:rPr>
                <w:color w:val="auto"/>
                <w:sz w:val="22"/>
              </w:rPr>
              <w:t>学 历</w:t>
            </w:r>
          </w:p>
        </w:tc>
        <w:tc>
          <w:tcPr>
            <w:tcW w:w="1267" w:type="dxa"/>
            <w:vAlign w:val="top"/>
          </w:tcPr>
          <w:p>
            <w:pPr>
              <w:pStyle w:val="48"/>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pPr>
              <w:pStyle w:val="48"/>
              <w:rPr>
                <w:b/>
                <w:color w:val="auto"/>
                <w:sz w:val="18"/>
              </w:rPr>
            </w:pPr>
          </w:p>
          <w:p>
            <w:pPr>
              <w:pStyle w:val="48"/>
              <w:ind w:left="317" w:right="308"/>
              <w:jc w:val="center"/>
              <w:rPr>
                <w:color w:val="auto"/>
                <w:sz w:val="22"/>
              </w:rPr>
            </w:pPr>
            <w:r>
              <w:rPr>
                <w:color w:val="auto"/>
                <w:sz w:val="22"/>
              </w:rPr>
              <w:t>职 称</w:t>
            </w:r>
          </w:p>
        </w:tc>
        <w:tc>
          <w:tcPr>
            <w:tcW w:w="1558" w:type="dxa"/>
            <w:gridSpan w:val="2"/>
            <w:vAlign w:val="top"/>
          </w:tcPr>
          <w:p>
            <w:pPr>
              <w:pStyle w:val="48"/>
              <w:rPr>
                <w:rFonts w:ascii="Times New Roman"/>
                <w:color w:val="auto"/>
                <w:sz w:val="22"/>
              </w:rPr>
            </w:pPr>
          </w:p>
        </w:tc>
        <w:tc>
          <w:tcPr>
            <w:tcW w:w="1560" w:type="dxa"/>
            <w:vAlign w:val="top"/>
          </w:tcPr>
          <w:p>
            <w:pPr>
              <w:pStyle w:val="48"/>
              <w:rPr>
                <w:b/>
                <w:color w:val="auto"/>
                <w:sz w:val="18"/>
              </w:rPr>
            </w:pPr>
          </w:p>
          <w:p>
            <w:pPr>
              <w:pStyle w:val="48"/>
              <w:ind w:left="485" w:right="475"/>
              <w:jc w:val="center"/>
              <w:rPr>
                <w:color w:val="auto"/>
                <w:sz w:val="22"/>
              </w:rPr>
            </w:pPr>
            <w:r>
              <w:rPr>
                <w:color w:val="auto"/>
                <w:sz w:val="22"/>
              </w:rPr>
              <w:t>职 务</w:t>
            </w:r>
          </w:p>
        </w:tc>
        <w:tc>
          <w:tcPr>
            <w:tcW w:w="1558" w:type="dxa"/>
            <w:vAlign w:val="top"/>
          </w:tcPr>
          <w:p>
            <w:pPr>
              <w:pStyle w:val="48"/>
              <w:rPr>
                <w:rFonts w:ascii="Times New Roman"/>
                <w:color w:val="auto"/>
                <w:sz w:val="22"/>
              </w:rPr>
            </w:pPr>
          </w:p>
        </w:tc>
        <w:tc>
          <w:tcPr>
            <w:tcW w:w="1851" w:type="dxa"/>
            <w:gridSpan w:val="2"/>
            <w:vAlign w:val="top"/>
          </w:tcPr>
          <w:p>
            <w:pPr>
              <w:pStyle w:val="48"/>
              <w:rPr>
                <w:b/>
                <w:color w:val="auto"/>
                <w:sz w:val="18"/>
              </w:rPr>
            </w:pPr>
          </w:p>
          <w:p>
            <w:pPr>
              <w:pStyle w:val="48"/>
              <w:ind w:left="153"/>
              <w:rPr>
                <w:color w:val="auto"/>
                <w:sz w:val="22"/>
              </w:rPr>
            </w:pPr>
            <w:r>
              <w:rPr>
                <w:color w:val="auto"/>
                <w:sz w:val="22"/>
              </w:rPr>
              <w:t>拟在本合同任职</w:t>
            </w:r>
          </w:p>
        </w:tc>
        <w:tc>
          <w:tcPr>
            <w:tcW w:w="1267" w:type="dxa"/>
            <w:vAlign w:val="top"/>
          </w:tcPr>
          <w:p>
            <w:pPr>
              <w:pStyle w:val="48"/>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pPr>
              <w:pStyle w:val="48"/>
              <w:spacing w:before="2"/>
              <w:rPr>
                <w:b/>
                <w:color w:val="auto"/>
                <w:sz w:val="21"/>
              </w:rPr>
            </w:pPr>
          </w:p>
          <w:p>
            <w:pPr>
              <w:pStyle w:val="48"/>
              <w:ind w:left="317" w:right="308"/>
              <w:jc w:val="center"/>
              <w:rPr>
                <w:color w:val="auto"/>
                <w:sz w:val="22"/>
              </w:rPr>
            </w:pPr>
            <w:r>
              <w:rPr>
                <w:color w:val="auto"/>
                <w:sz w:val="22"/>
              </w:rPr>
              <w:t>毕业学校</w:t>
            </w:r>
          </w:p>
        </w:tc>
        <w:tc>
          <w:tcPr>
            <w:tcW w:w="7794" w:type="dxa"/>
            <w:gridSpan w:val="7"/>
            <w:vAlign w:val="top"/>
          </w:tcPr>
          <w:p>
            <w:pPr>
              <w:pStyle w:val="48"/>
              <w:spacing w:before="2"/>
              <w:rPr>
                <w:b/>
                <w:color w:val="auto"/>
                <w:sz w:val="21"/>
              </w:rPr>
            </w:pPr>
          </w:p>
          <w:p>
            <w:pPr>
              <w:pStyle w:val="48"/>
              <w:tabs>
                <w:tab w:val="left" w:pos="1548"/>
                <w:tab w:val="left" w:pos="2758"/>
              </w:tabs>
              <w:ind w:left="7"/>
              <w:jc w:val="center"/>
              <w:rPr>
                <w:color w:val="auto"/>
                <w:sz w:val="22"/>
              </w:rPr>
            </w:pPr>
            <w:r>
              <w:rPr>
                <w:color w:val="auto"/>
                <w:sz w:val="22"/>
              </w:rPr>
              <w:t>年毕业于</w:t>
            </w:r>
            <w:r>
              <w:rPr>
                <w:color w:val="auto"/>
                <w:sz w:val="22"/>
              </w:rPr>
              <w:tab/>
            </w:r>
            <w:r>
              <w:rPr>
                <w:color w:val="auto"/>
                <w:sz w:val="22"/>
              </w:rPr>
              <w:t>学校</w:t>
            </w:r>
            <w:r>
              <w:rPr>
                <w:color w:val="auto"/>
                <w:sz w:val="22"/>
              </w:rPr>
              <w:tab/>
            </w:r>
            <w:r>
              <w:rPr>
                <w:color w:val="auto"/>
                <w:sz w:val="22"/>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pPr>
              <w:pStyle w:val="48"/>
              <w:spacing w:before="11"/>
              <w:rPr>
                <w:b/>
                <w:color w:val="auto"/>
                <w:sz w:val="16"/>
              </w:rPr>
            </w:pPr>
          </w:p>
          <w:p>
            <w:pPr>
              <w:pStyle w:val="48"/>
              <w:ind w:left="3994" w:right="3985"/>
              <w:jc w:val="center"/>
              <w:rPr>
                <w:color w:val="auto"/>
                <w:sz w:val="22"/>
              </w:rPr>
            </w:pPr>
            <w:r>
              <w:rPr>
                <w:color w:val="auto"/>
                <w:sz w:val="22"/>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pPr>
              <w:pStyle w:val="48"/>
              <w:spacing w:before="11"/>
              <w:rPr>
                <w:b/>
                <w:color w:val="auto"/>
                <w:sz w:val="19"/>
              </w:rPr>
            </w:pPr>
          </w:p>
          <w:p>
            <w:pPr>
              <w:pStyle w:val="48"/>
              <w:ind w:left="873" w:right="859"/>
              <w:jc w:val="center"/>
              <w:rPr>
                <w:color w:val="auto"/>
                <w:sz w:val="22"/>
              </w:rPr>
            </w:pPr>
            <w:r>
              <w:rPr>
                <w:color w:val="auto"/>
                <w:sz w:val="22"/>
              </w:rPr>
              <w:t>时 间</w:t>
            </w:r>
          </w:p>
        </w:tc>
        <w:tc>
          <w:tcPr>
            <w:tcW w:w="2338" w:type="dxa"/>
            <w:gridSpan w:val="2"/>
            <w:tcBorders>
              <w:left w:val="single" w:color="000000" w:sz="6" w:space="0"/>
            </w:tcBorders>
            <w:vAlign w:val="top"/>
          </w:tcPr>
          <w:p>
            <w:pPr>
              <w:pStyle w:val="48"/>
              <w:spacing w:before="11"/>
              <w:rPr>
                <w:b/>
                <w:color w:val="auto"/>
                <w:sz w:val="19"/>
              </w:rPr>
            </w:pPr>
          </w:p>
          <w:p>
            <w:pPr>
              <w:pStyle w:val="48"/>
              <w:ind w:left="286"/>
              <w:rPr>
                <w:color w:val="auto"/>
                <w:sz w:val="22"/>
              </w:rPr>
            </w:pPr>
            <w:r>
              <w:rPr>
                <w:color w:val="auto"/>
                <w:sz w:val="22"/>
              </w:rPr>
              <w:t>参加过的类似项目</w:t>
            </w:r>
          </w:p>
        </w:tc>
        <w:tc>
          <w:tcPr>
            <w:tcW w:w="2338" w:type="dxa"/>
            <w:gridSpan w:val="2"/>
            <w:vAlign w:val="top"/>
          </w:tcPr>
          <w:p>
            <w:pPr>
              <w:pStyle w:val="48"/>
              <w:spacing w:before="11"/>
              <w:rPr>
                <w:b/>
                <w:color w:val="auto"/>
                <w:sz w:val="19"/>
              </w:rPr>
            </w:pPr>
          </w:p>
          <w:p>
            <w:pPr>
              <w:pStyle w:val="48"/>
              <w:ind w:left="727"/>
              <w:rPr>
                <w:color w:val="auto"/>
                <w:sz w:val="22"/>
              </w:rPr>
            </w:pPr>
            <w:r>
              <w:rPr>
                <w:color w:val="auto"/>
                <w:sz w:val="22"/>
              </w:rPr>
              <w:t>担任职务</w:t>
            </w:r>
          </w:p>
        </w:tc>
        <w:tc>
          <w:tcPr>
            <w:tcW w:w="2338" w:type="dxa"/>
            <w:gridSpan w:val="2"/>
            <w:vAlign w:val="top"/>
          </w:tcPr>
          <w:p>
            <w:pPr>
              <w:pStyle w:val="48"/>
              <w:spacing w:before="11"/>
              <w:rPr>
                <w:b/>
                <w:color w:val="auto"/>
                <w:sz w:val="19"/>
              </w:rPr>
            </w:pPr>
          </w:p>
          <w:p>
            <w:pPr>
              <w:pStyle w:val="48"/>
              <w:ind w:left="286"/>
              <w:rPr>
                <w:color w:val="auto"/>
                <w:sz w:val="22"/>
              </w:rPr>
            </w:pPr>
            <w:r>
              <w:rPr>
                <w:color w:val="auto"/>
                <w:sz w:val="22"/>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pPr>
              <w:pStyle w:val="48"/>
              <w:rPr>
                <w:rFonts w:ascii="Times New Roman"/>
                <w:color w:val="auto"/>
                <w:sz w:val="22"/>
              </w:rPr>
            </w:pPr>
          </w:p>
        </w:tc>
        <w:tc>
          <w:tcPr>
            <w:tcW w:w="2338" w:type="dxa"/>
            <w:gridSpan w:val="2"/>
            <w:tcBorders>
              <w:left w:val="single" w:color="000000" w:sz="6" w:space="0"/>
            </w:tcBorders>
            <w:vAlign w:val="top"/>
          </w:tcPr>
          <w:p>
            <w:pPr>
              <w:pStyle w:val="48"/>
              <w:rPr>
                <w:rFonts w:ascii="Times New Roman"/>
                <w:color w:val="auto"/>
                <w:sz w:val="22"/>
              </w:rPr>
            </w:pPr>
          </w:p>
        </w:tc>
        <w:tc>
          <w:tcPr>
            <w:tcW w:w="2338" w:type="dxa"/>
            <w:gridSpan w:val="2"/>
            <w:vAlign w:val="top"/>
          </w:tcPr>
          <w:p>
            <w:pPr>
              <w:pStyle w:val="48"/>
              <w:rPr>
                <w:rFonts w:ascii="Times New Roman"/>
                <w:color w:val="auto"/>
                <w:sz w:val="22"/>
              </w:rPr>
            </w:pPr>
          </w:p>
        </w:tc>
        <w:tc>
          <w:tcPr>
            <w:tcW w:w="2338" w:type="dxa"/>
            <w:gridSpan w:val="2"/>
            <w:vAlign w:val="top"/>
          </w:tcPr>
          <w:p>
            <w:pPr>
              <w:pStyle w:val="48"/>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pPr>
              <w:pStyle w:val="48"/>
              <w:rPr>
                <w:rFonts w:ascii="Times New Roman"/>
                <w:color w:val="auto"/>
                <w:sz w:val="22"/>
              </w:rPr>
            </w:pPr>
          </w:p>
        </w:tc>
        <w:tc>
          <w:tcPr>
            <w:tcW w:w="2338" w:type="dxa"/>
            <w:gridSpan w:val="2"/>
            <w:tcBorders>
              <w:left w:val="single" w:color="000000" w:sz="6" w:space="0"/>
            </w:tcBorders>
            <w:vAlign w:val="top"/>
          </w:tcPr>
          <w:p>
            <w:pPr>
              <w:pStyle w:val="48"/>
              <w:rPr>
                <w:rFonts w:ascii="Times New Roman"/>
                <w:color w:val="auto"/>
                <w:sz w:val="22"/>
              </w:rPr>
            </w:pPr>
          </w:p>
        </w:tc>
        <w:tc>
          <w:tcPr>
            <w:tcW w:w="2338" w:type="dxa"/>
            <w:gridSpan w:val="2"/>
            <w:vAlign w:val="top"/>
          </w:tcPr>
          <w:p>
            <w:pPr>
              <w:pStyle w:val="48"/>
              <w:rPr>
                <w:rFonts w:ascii="Times New Roman"/>
                <w:color w:val="auto"/>
                <w:sz w:val="22"/>
              </w:rPr>
            </w:pPr>
          </w:p>
        </w:tc>
        <w:tc>
          <w:tcPr>
            <w:tcW w:w="2338" w:type="dxa"/>
            <w:gridSpan w:val="2"/>
            <w:vAlign w:val="top"/>
          </w:tcPr>
          <w:p>
            <w:pPr>
              <w:pStyle w:val="48"/>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pPr>
              <w:pStyle w:val="48"/>
              <w:rPr>
                <w:rFonts w:ascii="Times New Roman"/>
                <w:color w:val="auto"/>
                <w:sz w:val="22"/>
              </w:rPr>
            </w:pPr>
          </w:p>
        </w:tc>
        <w:tc>
          <w:tcPr>
            <w:tcW w:w="2338" w:type="dxa"/>
            <w:gridSpan w:val="2"/>
            <w:tcBorders>
              <w:left w:val="single" w:color="000000" w:sz="6" w:space="0"/>
            </w:tcBorders>
            <w:vAlign w:val="top"/>
          </w:tcPr>
          <w:p>
            <w:pPr>
              <w:pStyle w:val="48"/>
              <w:rPr>
                <w:rFonts w:ascii="Times New Roman"/>
                <w:color w:val="auto"/>
                <w:sz w:val="22"/>
              </w:rPr>
            </w:pPr>
          </w:p>
        </w:tc>
        <w:tc>
          <w:tcPr>
            <w:tcW w:w="2338" w:type="dxa"/>
            <w:gridSpan w:val="2"/>
            <w:vAlign w:val="top"/>
          </w:tcPr>
          <w:p>
            <w:pPr>
              <w:pStyle w:val="48"/>
              <w:rPr>
                <w:rFonts w:ascii="Times New Roman"/>
                <w:color w:val="auto"/>
                <w:sz w:val="22"/>
              </w:rPr>
            </w:pPr>
          </w:p>
        </w:tc>
        <w:tc>
          <w:tcPr>
            <w:tcW w:w="2338" w:type="dxa"/>
            <w:gridSpan w:val="2"/>
            <w:vAlign w:val="top"/>
          </w:tcPr>
          <w:p>
            <w:pPr>
              <w:pStyle w:val="48"/>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pPr>
              <w:pStyle w:val="48"/>
              <w:rPr>
                <w:rFonts w:ascii="Times New Roman"/>
                <w:color w:val="auto"/>
                <w:sz w:val="22"/>
              </w:rPr>
            </w:pPr>
          </w:p>
        </w:tc>
        <w:tc>
          <w:tcPr>
            <w:tcW w:w="2338" w:type="dxa"/>
            <w:gridSpan w:val="2"/>
            <w:tcBorders>
              <w:left w:val="single" w:color="000000" w:sz="6" w:space="0"/>
            </w:tcBorders>
            <w:vAlign w:val="top"/>
          </w:tcPr>
          <w:p>
            <w:pPr>
              <w:pStyle w:val="48"/>
              <w:rPr>
                <w:rFonts w:ascii="Times New Roman"/>
                <w:color w:val="auto"/>
                <w:sz w:val="22"/>
              </w:rPr>
            </w:pPr>
          </w:p>
        </w:tc>
        <w:tc>
          <w:tcPr>
            <w:tcW w:w="2338" w:type="dxa"/>
            <w:gridSpan w:val="2"/>
            <w:vAlign w:val="top"/>
          </w:tcPr>
          <w:p>
            <w:pPr>
              <w:pStyle w:val="48"/>
              <w:rPr>
                <w:rFonts w:ascii="Times New Roman"/>
                <w:color w:val="auto"/>
                <w:sz w:val="22"/>
              </w:rPr>
            </w:pPr>
          </w:p>
        </w:tc>
        <w:tc>
          <w:tcPr>
            <w:tcW w:w="2338" w:type="dxa"/>
            <w:gridSpan w:val="2"/>
            <w:vAlign w:val="top"/>
          </w:tcPr>
          <w:p>
            <w:pPr>
              <w:pStyle w:val="48"/>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pPr>
              <w:pStyle w:val="48"/>
              <w:rPr>
                <w:rFonts w:ascii="Times New Roman"/>
                <w:color w:val="auto"/>
                <w:sz w:val="22"/>
              </w:rPr>
            </w:pPr>
          </w:p>
        </w:tc>
        <w:tc>
          <w:tcPr>
            <w:tcW w:w="2338" w:type="dxa"/>
            <w:gridSpan w:val="2"/>
            <w:tcBorders>
              <w:left w:val="single" w:color="000000" w:sz="6" w:space="0"/>
            </w:tcBorders>
            <w:vAlign w:val="top"/>
          </w:tcPr>
          <w:p>
            <w:pPr>
              <w:pStyle w:val="48"/>
              <w:rPr>
                <w:rFonts w:ascii="Times New Roman"/>
                <w:color w:val="auto"/>
                <w:sz w:val="22"/>
              </w:rPr>
            </w:pPr>
          </w:p>
        </w:tc>
        <w:tc>
          <w:tcPr>
            <w:tcW w:w="2338" w:type="dxa"/>
            <w:gridSpan w:val="2"/>
            <w:vAlign w:val="top"/>
          </w:tcPr>
          <w:p>
            <w:pPr>
              <w:pStyle w:val="48"/>
              <w:rPr>
                <w:rFonts w:ascii="Times New Roman"/>
                <w:color w:val="auto"/>
                <w:sz w:val="22"/>
              </w:rPr>
            </w:pPr>
          </w:p>
        </w:tc>
        <w:tc>
          <w:tcPr>
            <w:tcW w:w="2338" w:type="dxa"/>
            <w:gridSpan w:val="2"/>
            <w:vAlign w:val="top"/>
          </w:tcPr>
          <w:p>
            <w:pPr>
              <w:pStyle w:val="48"/>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pPr>
              <w:pStyle w:val="48"/>
              <w:rPr>
                <w:rFonts w:ascii="Times New Roman"/>
                <w:color w:val="auto"/>
                <w:sz w:val="22"/>
              </w:rPr>
            </w:pPr>
          </w:p>
        </w:tc>
        <w:tc>
          <w:tcPr>
            <w:tcW w:w="2338" w:type="dxa"/>
            <w:gridSpan w:val="2"/>
            <w:tcBorders>
              <w:left w:val="single" w:color="000000" w:sz="6" w:space="0"/>
            </w:tcBorders>
            <w:vAlign w:val="top"/>
          </w:tcPr>
          <w:p>
            <w:pPr>
              <w:pStyle w:val="48"/>
              <w:rPr>
                <w:rFonts w:ascii="Times New Roman"/>
                <w:color w:val="auto"/>
                <w:sz w:val="22"/>
              </w:rPr>
            </w:pPr>
          </w:p>
        </w:tc>
        <w:tc>
          <w:tcPr>
            <w:tcW w:w="2338" w:type="dxa"/>
            <w:gridSpan w:val="2"/>
            <w:vAlign w:val="top"/>
          </w:tcPr>
          <w:p>
            <w:pPr>
              <w:pStyle w:val="48"/>
              <w:rPr>
                <w:rFonts w:ascii="Times New Roman"/>
                <w:color w:val="auto"/>
                <w:sz w:val="22"/>
              </w:rPr>
            </w:pPr>
          </w:p>
        </w:tc>
        <w:tc>
          <w:tcPr>
            <w:tcW w:w="2338" w:type="dxa"/>
            <w:gridSpan w:val="2"/>
            <w:vAlign w:val="top"/>
          </w:tcPr>
          <w:p>
            <w:pPr>
              <w:pStyle w:val="48"/>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pPr>
              <w:pStyle w:val="48"/>
              <w:rPr>
                <w:rFonts w:ascii="Times New Roman"/>
                <w:color w:val="auto"/>
                <w:sz w:val="22"/>
              </w:rPr>
            </w:pPr>
          </w:p>
        </w:tc>
        <w:tc>
          <w:tcPr>
            <w:tcW w:w="2338" w:type="dxa"/>
            <w:gridSpan w:val="2"/>
            <w:tcBorders>
              <w:left w:val="single" w:color="000000" w:sz="6" w:space="0"/>
            </w:tcBorders>
            <w:vAlign w:val="top"/>
          </w:tcPr>
          <w:p>
            <w:pPr>
              <w:pStyle w:val="48"/>
              <w:rPr>
                <w:rFonts w:ascii="Times New Roman"/>
                <w:color w:val="auto"/>
                <w:sz w:val="22"/>
              </w:rPr>
            </w:pPr>
          </w:p>
        </w:tc>
        <w:tc>
          <w:tcPr>
            <w:tcW w:w="2338" w:type="dxa"/>
            <w:gridSpan w:val="2"/>
            <w:vAlign w:val="top"/>
          </w:tcPr>
          <w:p>
            <w:pPr>
              <w:pStyle w:val="48"/>
              <w:rPr>
                <w:rFonts w:ascii="Times New Roman"/>
                <w:color w:val="auto"/>
                <w:sz w:val="22"/>
              </w:rPr>
            </w:pPr>
          </w:p>
        </w:tc>
        <w:tc>
          <w:tcPr>
            <w:tcW w:w="2338" w:type="dxa"/>
            <w:gridSpan w:val="2"/>
            <w:vAlign w:val="top"/>
          </w:tcPr>
          <w:p>
            <w:pPr>
              <w:pStyle w:val="48"/>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pPr>
              <w:pStyle w:val="48"/>
              <w:rPr>
                <w:rFonts w:ascii="Times New Roman"/>
                <w:color w:val="auto"/>
                <w:sz w:val="22"/>
              </w:rPr>
            </w:pPr>
          </w:p>
        </w:tc>
        <w:tc>
          <w:tcPr>
            <w:tcW w:w="2338" w:type="dxa"/>
            <w:gridSpan w:val="2"/>
            <w:tcBorders>
              <w:left w:val="single" w:color="000000" w:sz="6" w:space="0"/>
            </w:tcBorders>
            <w:vAlign w:val="top"/>
          </w:tcPr>
          <w:p>
            <w:pPr>
              <w:pStyle w:val="48"/>
              <w:rPr>
                <w:rFonts w:ascii="Times New Roman"/>
                <w:color w:val="auto"/>
                <w:sz w:val="22"/>
              </w:rPr>
            </w:pPr>
          </w:p>
        </w:tc>
        <w:tc>
          <w:tcPr>
            <w:tcW w:w="2338" w:type="dxa"/>
            <w:gridSpan w:val="2"/>
            <w:vAlign w:val="top"/>
          </w:tcPr>
          <w:p>
            <w:pPr>
              <w:pStyle w:val="48"/>
              <w:rPr>
                <w:rFonts w:ascii="Times New Roman"/>
                <w:color w:val="auto"/>
                <w:sz w:val="22"/>
              </w:rPr>
            </w:pPr>
          </w:p>
        </w:tc>
        <w:tc>
          <w:tcPr>
            <w:tcW w:w="2338" w:type="dxa"/>
            <w:gridSpan w:val="2"/>
            <w:vAlign w:val="top"/>
          </w:tcPr>
          <w:p>
            <w:pPr>
              <w:pStyle w:val="48"/>
              <w:rPr>
                <w:rFonts w:ascii="Times New Roman"/>
                <w:color w:val="auto"/>
                <w:sz w:val="22"/>
              </w:rPr>
            </w:pPr>
          </w:p>
        </w:tc>
      </w:tr>
    </w:tbl>
    <w:p>
      <w:pPr>
        <w:spacing w:after="0"/>
        <w:rPr>
          <w:color w:val="auto"/>
        </w:rPr>
        <w:sectPr>
          <w:pgSz w:w="11910" w:h="16840"/>
          <w:pgMar w:top="1380" w:right="880" w:bottom="1100" w:left="880" w:header="888" w:footer="910" w:gutter="0"/>
          <w:pgNumType w:fmt="decimal"/>
          <w:cols w:space="720" w:num="1"/>
        </w:sectPr>
      </w:pPr>
    </w:p>
    <w:p>
      <w:pPr>
        <w:spacing w:before="125"/>
        <w:ind w:left="538" w:right="539" w:firstLine="0"/>
        <w:jc w:val="center"/>
        <w:outlineLvl w:val="0"/>
        <w:rPr>
          <w:b/>
          <w:color w:val="auto"/>
          <w:sz w:val="32"/>
        </w:rPr>
      </w:pPr>
      <w:bookmarkStart w:id="55" w:name="_Toc15718"/>
      <w:r>
        <w:rPr>
          <w:b/>
          <w:color w:val="auto"/>
          <w:sz w:val="32"/>
        </w:rPr>
        <w:t>六、类似项目业绩</w:t>
      </w:r>
      <w:bookmarkEnd w:id="55"/>
    </w:p>
    <w:p>
      <w:pPr>
        <w:pStyle w:val="10"/>
        <w:spacing w:before="6"/>
        <w:ind w:left="0"/>
        <w:rPr>
          <w:b/>
          <w:color w:val="auto"/>
          <w:sz w:val="8"/>
        </w:rPr>
      </w:pPr>
    </w:p>
    <w:tbl>
      <w:tblPr>
        <w:tblStyle w:val="21"/>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pPr>
              <w:pStyle w:val="48"/>
              <w:spacing w:before="180"/>
              <w:ind w:left="154" w:right="146"/>
              <w:jc w:val="center"/>
              <w:rPr>
                <w:color w:val="auto"/>
                <w:sz w:val="24"/>
              </w:rPr>
            </w:pPr>
            <w:r>
              <w:rPr>
                <w:color w:val="auto"/>
                <w:sz w:val="24"/>
              </w:rPr>
              <w:t>项目名称</w:t>
            </w:r>
          </w:p>
        </w:tc>
        <w:tc>
          <w:tcPr>
            <w:tcW w:w="6529"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pPr>
              <w:pStyle w:val="48"/>
              <w:spacing w:before="148"/>
              <w:ind w:left="155" w:right="146"/>
              <w:jc w:val="center"/>
              <w:rPr>
                <w:color w:val="auto"/>
                <w:sz w:val="24"/>
              </w:rPr>
            </w:pPr>
            <w:r>
              <w:rPr>
                <w:color w:val="auto"/>
                <w:sz w:val="24"/>
              </w:rPr>
              <w:t>项目所在地</w:t>
            </w:r>
          </w:p>
        </w:tc>
        <w:tc>
          <w:tcPr>
            <w:tcW w:w="6529"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pPr>
              <w:pStyle w:val="48"/>
              <w:spacing w:before="151"/>
              <w:ind w:left="155" w:right="146"/>
              <w:jc w:val="center"/>
              <w:rPr>
                <w:color w:val="auto"/>
                <w:sz w:val="24"/>
              </w:rPr>
            </w:pPr>
            <w:r>
              <w:rPr>
                <w:color w:val="auto"/>
                <w:sz w:val="24"/>
              </w:rPr>
              <w:t>发包人名称</w:t>
            </w:r>
          </w:p>
        </w:tc>
        <w:tc>
          <w:tcPr>
            <w:tcW w:w="6529"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pPr>
              <w:pStyle w:val="48"/>
              <w:spacing w:before="148"/>
              <w:ind w:left="155" w:right="146"/>
              <w:jc w:val="center"/>
              <w:rPr>
                <w:color w:val="auto"/>
                <w:sz w:val="24"/>
              </w:rPr>
            </w:pPr>
            <w:r>
              <w:rPr>
                <w:color w:val="auto"/>
                <w:sz w:val="24"/>
              </w:rPr>
              <w:t>发包人地址</w:t>
            </w:r>
          </w:p>
        </w:tc>
        <w:tc>
          <w:tcPr>
            <w:tcW w:w="6529"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pPr>
              <w:pStyle w:val="48"/>
              <w:spacing w:before="154"/>
              <w:ind w:left="155" w:right="146"/>
              <w:jc w:val="center"/>
              <w:rPr>
                <w:color w:val="auto"/>
                <w:sz w:val="24"/>
              </w:rPr>
            </w:pPr>
            <w:r>
              <w:rPr>
                <w:color w:val="auto"/>
                <w:sz w:val="24"/>
              </w:rPr>
              <w:t>发包人联系人及电话</w:t>
            </w:r>
          </w:p>
        </w:tc>
        <w:tc>
          <w:tcPr>
            <w:tcW w:w="6529"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pPr>
              <w:pStyle w:val="48"/>
              <w:spacing w:before="148"/>
              <w:ind w:left="154" w:right="146"/>
              <w:jc w:val="center"/>
              <w:rPr>
                <w:color w:val="auto"/>
                <w:sz w:val="24"/>
              </w:rPr>
            </w:pPr>
            <w:r>
              <w:rPr>
                <w:color w:val="auto"/>
                <w:sz w:val="24"/>
              </w:rPr>
              <w:t>合同价格</w:t>
            </w:r>
          </w:p>
        </w:tc>
        <w:tc>
          <w:tcPr>
            <w:tcW w:w="6529"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pPr>
              <w:pStyle w:val="48"/>
              <w:spacing w:before="146"/>
              <w:ind w:left="155" w:right="146"/>
              <w:jc w:val="center"/>
              <w:rPr>
                <w:color w:val="auto"/>
                <w:sz w:val="24"/>
              </w:rPr>
            </w:pPr>
            <w:r>
              <w:rPr>
                <w:color w:val="auto"/>
                <w:sz w:val="24"/>
              </w:rPr>
              <w:t>服务开始日期</w:t>
            </w:r>
          </w:p>
        </w:tc>
        <w:tc>
          <w:tcPr>
            <w:tcW w:w="6529"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pPr>
              <w:pStyle w:val="48"/>
              <w:spacing w:before="158"/>
              <w:ind w:left="155" w:right="146"/>
              <w:jc w:val="center"/>
              <w:rPr>
                <w:color w:val="auto"/>
                <w:sz w:val="24"/>
              </w:rPr>
            </w:pPr>
            <w:r>
              <w:rPr>
                <w:color w:val="auto"/>
                <w:sz w:val="24"/>
              </w:rPr>
              <w:t>服务结束日期</w:t>
            </w:r>
          </w:p>
        </w:tc>
        <w:tc>
          <w:tcPr>
            <w:tcW w:w="6529"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pPr>
              <w:pStyle w:val="48"/>
              <w:spacing w:before="146"/>
              <w:ind w:left="155" w:right="146"/>
              <w:jc w:val="center"/>
              <w:rPr>
                <w:color w:val="auto"/>
                <w:sz w:val="24"/>
              </w:rPr>
            </w:pPr>
            <w:r>
              <w:rPr>
                <w:color w:val="auto"/>
                <w:sz w:val="24"/>
              </w:rPr>
              <w:t>承担的工作</w:t>
            </w:r>
          </w:p>
        </w:tc>
        <w:tc>
          <w:tcPr>
            <w:tcW w:w="6529"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pPr>
              <w:pStyle w:val="48"/>
              <w:spacing w:before="151"/>
              <w:ind w:left="154" w:right="146"/>
              <w:jc w:val="center"/>
              <w:rPr>
                <w:color w:val="auto"/>
                <w:sz w:val="24"/>
              </w:rPr>
            </w:pPr>
            <w:r>
              <w:rPr>
                <w:color w:val="auto"/>
                <w:sz w:val="24"/>
              </w:rPr>
              <w:t>质量要求</w:t>
            </w:r>
          </w:p>
        </w:tc>
        <w:tc>
          <w:tcPr>
            <w:tcW w:w="6529"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pPr>
              <w:pStyle w:val="48"/>
              <w:spacing w:before="148"/>
              <w:ind w:left="155" w:right="146"/>
              <w:jc w:val="center"/>
              <w:rPr>
                <w:color w:val="auto"/>
                <w:sz w:val="24"/>
              </w:rPr>
            </w:pPr>
            <w:r>
              <w:rPr>
                <w:color w:val="auto"/>
                <w:sz w:val="24"/>
              </w:rPr>
              <w:t>项目负责人</w:t>
            </w:r>
          </w:p>
        </w:tc>
        <w:tc>
          <w:tcPr>
            <w:tcW w:w="6529"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pPr>
              <w:pStyle w:val="48"/>
              <w:spacing w:before="153"/>
              <w:ind w:left="155" w:right="146"/>
              <w:jc w:val="center"/>
              <w:rPr>
                <w:color w:val="auto"/>
                <w:sz w:val="24"/>
              </w:rPr>
            </w:pPr>
            <w:r>
              <w:rPr>
                <w:color w:val="auto"/>
                <w:sz w:val="24"/>
              </w:rPr>
              <w:t>其他项目人员</w:t>
            </w:r>
          </w:p>
        </w:tc>
        <w:tc>
          <w:tcPr>
            <w:tcW w:w="6529"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pPr>
              <w:pStyle w:val="48"/>
              <w:spacing w:before="151"/>
              <w:ind w:left="155" w:right="146"/>
              <w:jc w:val="center"/>
              <w:rPr>
                <w:color w:val="auto"/>
                <w:sz w:val="24"/>
              </w:rPr>
            </w:pPr>
            <w:r>
              <w:rPr>
                <w:color w:val="auto"/>
                <w:sz w:val="24"/>
              </w:rPr>
              <w:t>业主代表及电话</w:t>
            </w:r>
          </w:p>
        </w:tc>
        <w:tc>
          <w:tcPr>
            <w:tcW w:w="6529"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pPr>
              <w:pStyle w:val="48"/>
              <w:rPr>
                <w:b/>
                <w:color w:val="auto"/>
                <w:sz w:val="24"/>
              </w:rPr>
            </w:pPr>
          </w:p>
          <w:p>
            <w:pPr>
              <w:pStyle w:val="48"/>
              <w:rPr>
                <w:b/>
                <w:color w:val="auto"/>
                <w:sz w:val="24"/>
              </w:rPr>
            </w:pPr>
          </w:p>
          <w:p>
            <w:pPr>
              <w:pStyle w:val="48"/>
              <w:rPr>
                <w:b/>
                <w:color w:val="auto"/>
                <w:sz w:val="24"/>
              </w:rPr>
            </w:pPr>
          </w:p>
          <w:p>
            <w:pPr>
              <w:pStyle w:val="48"/>
              <w:spacing w:before="6"/>
              <w:rPr>
                <w:b/>
                <w:color w:val="auto"/>
                <w:sz w:val="21"/>
              </w:rPr>
            </w:pPr>
          </w:p>
          <w:p>
            <w:pPr>
              <w:pStyle w:val="48"/>
              <w:ind w:left="154" w:right="146"/>
              <w:jc w:val="center"/>
              <w:rPr>
                <w:color w:val="auto"/>
                <w:sz w:val="24"/>
              </w:rPr>
            </w:pPr>
            <w:r>
              <w:rPr>
                <w:color w:val="auto"/>
                <w:sz w:val="24"/>
              </w:rPr>
              <w:t>项目描述</w:t>
            </w:r>
          </w:p>
        </w:tc>
        <w:tc>
          <w:tcPr>
            <w:tcW w:w="6529"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pPr>
              <w:pStyle w:val="48"/>
              <w:spacing w:before="194"/>
              <w:ind w:left="154" w:right="146"/>
              <w:jc w:val="center"/>
              <w:rPr>
                <w:color w:val="auto"/>
                <w:sz w:val="24"/>
              </w:rPr>
            </w:pPr>
            <w:r>
              <w:rPr>
                <w:color w:val="auto"/>
                <w:sz w:val="24"/>
              </w:rPr>
              <w:t>备注</w:t>
            </w:r>
          </w:p>
        </w:tc>
        <w:tc>
          <w:tcPr>
            <w:tcW w:w="6529" w:type="dxa"/>
            <w:vAlign w:val="top"/>
          </w:tcPr>
          <w:p>
            <w:pPr>
              <w:pStyle w:val="48"/>
              <w:rPr>
                <w:rFonts w:ascii="Times New Roman"/>
                <w:color w:val="auto"/>
                <w:sz w:val="24"/>
              </w:rPr>
            </w:pPr>
          </w:p>
        </w:tc>
      </w:tr>
    </w:tbl>
    <w:p>
      <w:pPr>
        <w:spacing w:after="0"/>
        <w:rPr>
          <w:color w:val="auto"/>
        </w:rPr>
        <w:sectPr>
          <w:pgSz w:w="11910" w:h="16840"/>
          <w:pgMar w:top="1380" w:right="880" w:bottom="1100" w:left="880" w:header="888" w:footer="910" w:gutter="0"/>
          <w:pgNumType w:fmt="decimal"/>
          <w:cols w:space="720" w:num="1"/>
        </w:sectPr>
      </w:pPr>
    </w:p>
    <w:p>
      <w:pPr>
        <w:spacing w:before="125"/>
        <w:ind w:left="538" w:right="534" w:firstLine="0"/>
        <w:jc w:val="center"/>
        <w:outlineLvl w:val="0"/>
        <w:rPr>
          <w:b/>
          <w:color w:val="auto"/>
          <w:sz w:val="32"/>
        </w:rPr>
      </w:pPr>
      <w:bookmarkStart w:id="56" w:name="_Toc15355"/>
      <w:r>
        <w:rPr>
          <w:b/>
          <w:color w:val="auto"/>
          <w:sz w:val="32"/>
        </w:rPr>
        <w:t>七、方案编制</w:t>
      </w:r>
      <w:bookmarkEnd w:id="56"/>
    </w:p>
    <w:p>
      <w:pPr>
        <w:pStyle w:val="10"/>
        <w:spacing w:before="188" w:line="364" w:lineRule="auto"/>
        <w:ind w:right="472"/>
        <w:rPr>
          <w:rFonts w:ascii="宋体" w:hAnsi="宋体" w:eastAsia="宋体" w:cs="宋体"/>
          <w:color w:val="auto"/>
          <w:sz w:val="24"/>
          <w:szCs w:val="22"/>
          <w:lang w:val="zh-CN" w:eastAsia="zh-CN" w:bidi="zh-CN"/>
        </w:rPr>
      </w:pPr>
      <w:r>
        <w:rPr>
          <w:rFonts w:hint="eastAsia" w:ascii="仿宋" w:hAnsi="仿宋" w:eastAsia="仿宋" w:cs="仿宋"/>
          <w:color w:val="auto"/>
          <w:sz w:val="28"/>
          <w:szCs w:val="24"/>
          <w:lang w:val="zh-CN" w:eastAsia="zh-CN" w:bidi="zh-CN"/>
        </w:rPr>
        <w:t>供应商应根据采购文件和对现场的勘察情况，</w:t>
      </w:r>
      <w:r>
        <w:rPr>
          <w:rFonts w:hint="eastAsia" w:ascii="仿宋" w:hAnsi="仿宋" w:eastAsia="仿宋" w:cs="仿宋"/>
          <w:color w:val="auto"/>
          <w:sz w:val="28"/>
          <w:szCs w:val="24"/>
          <w:lang w:val="en-US" w:eastAsia="zh-CN" w:bidi="zh-CN"/>
        </w:rPr>
        <w:t>可</w:t>
      </w:r>
      <w:r>
        <w:rPr>
          <w:rFonts w:hint="eastAsia" w:ascii="仿宋" w:hAnsi="仿宋" w:eastAsia="仿宋" w:cs="仿宋"/>
          <w:color w:val="auto"/>
          <w:sz w:val="28"/>
          <w:szCs w:val="24"/>
          <w:lang w:val="zh-CN" w:eastAsia="zh-CN" w:bidi="zh-CN"/>
        </w:rPr>
        <w:t>采用文字并结合图表形式，针对本项目特点编写</w:t>
      </w:r>
      <w:r>
        <w:rPr>
          <w:rFonts w:hint="eastAsia" w:ascii="仿宋" w:hAnsi="仿宋" w:eastAsia="仿宋" w:cs="仿宋"/>
          <w:color w:val="auto"/>
          <w:sz w:val="28"/>
          <w:szCs w:val="24"/>
          <w:lang w:val="en-US" w:eastAsia="zh-CN" w:bidi="zh-CN"/>
        </w:rPr>
        <w:t>施工</w:t>
      </w:r>
      <w:r>
        <w:rPr>
          <w:rFonts w:hint="eastAsia" w:ascii="仿宋" w:hAnsi="仿宋" w:eastAsia="仿宋" w:cs="仿宋"/>
          <w:color w:val="auto"/>
          <w:sz w:val="28"/>
          <w:szCs w:val="24"/>
          <w:lang w:val="zh-CN" w:eastAsia="zh-CN" w:bidi="zh-CN"/>
        </w:rPr>
        <w:t>方案。</w:t>
      </w:r>
    </w:p>
    <w:p>
      <w:pPr>
        <w:pStyle w:val="10"/>
        <w:ind w:left="0"/>
        <w:rPr>
          <w:color w:val="auto"/>
        </w:rPr>
      </w:pPr>
    </w:p>
    <w:p>
      <w:pPr>
        <w:pStyle w:val="10"/>
        <w:ind w:left="0"/>
        <w:rPr>
          <w:color w:val="auto"/>
        </w:rPr>
      </w:pPr>
    </w:p>
    <w:p>
      <w:pPr>
        <w:pStyle w:val="10"/>
        <w:ind w:left="0"/>
        <w:rPr>
          <w:color w:val="auto"/>
        </w:rPr>
      </w:pPr>
    </w:p>
    <w:p>
      <w:pPr>
        <w:pStyle w:val="10"/>
        <w:ind w:left="0"/>
        <w:rPr>
          <w:color w:val="auto"/>
        </w:rPr>
      </w:pPr>
    </w:p>
    <w:p>
      <w:pPr>
        <w:pStyle w:val="10"/>
        <w:ind w:left="0"/>
        <w:rPr>
          <w:color w:val="auto"/>
        </w:rPr>
      </w:pPr>
    </w:p>
    <w:p>
      <w:pPr>
        <w:pStyle w:val="10"/>
        <w:ind w:left="0"/>
        <w:rPr>
          <w:color w:val="auto"/>
        </w:rPr>
      </w:pPr>
    </w:p>
    <w:p>
      <w:pPr>
        <w:pStyle w:val="10"/>
        <w:ind w:left="0"/>
        <w:rPr>
          <w:color w:val="auto"/>
        </w:rPr>
      </w:pPr>
    </w:p>
    <w:p>
      <w:pPr>
        <w:pStyle w:val="10"/>
        <w:ind w:left="0"/>
        <w:rPr>
          <w:color w:val="auto"/>
        </w:rPr>
      </w:pPr>
    </w:p>
    <w:p>
      <w:pPr>
        <w:pStyle w:val="10"/>
        <w:ind w:left="0"/>
        <w:rPr>
          <w:color w:val="auto"/>
        </w:rPr>
      </w:pPr>
    </w:p>
    <w:p>
      <w:pPr>
        <w:pStyle w:val="10"/>
        <w:ind w:left="0"/>
        <w:rPr>
          <w:color w:val="auto"/>
        </w:rPr>
      </w:pPr>
    </w:p>
    <w:p>
      <w:pPr>
        <w:pStyle w:val="10"/>
        <w:ind w:left="0"/>
        <w:rPr>
          <w:color w:val="auto"/>
        </w:rPr>
      </w:pPr>
    </w:p>
    <w:p>
      <w:pPr>
        <w:pStyle w:val="10"/>
        <w:spacing w:before="1"/>
        <w:ind w:left="0"/>
        <w:rPr>
          <w:color w:val="auto"/>
          <w:sz w:val="34"/>
        </w:rPr>
      </w:pPr>
    </w:p>
    <w:p>
      <w:pPr>
        <w:rPr>
          <w:b/>
          <w:color w:val="auto"/>
          <w:sz w:val="32"/>
        </w:rPr>
      </w:pPr>
      <w:bookmarkStart w:id="57" w:name="_Toc21953"/>
      <w:r>
        <w:rPr>
          <w:b/>
          <w:color w:val="auto"/>
          <w:sz w:val="32"/>
        </w:rPr>
        <w:br w:type="page"/>
      </w:r>
    </w:p>
    <w:bookmarkEnd w:id="57"/>
    <w:p>
      <w:pPr>
        <w:spacing w:before="0" w:after="0" w:line="240" w:lineRule="auto"/>
        <w:ind w:left="538" w:right="541"/>
        <w:jc w:val="center"/>
        <w:outlineLvl w:val="0"/>
        <w:rPr>
          <w:rFonts w:ascii="宋体" w:hAnsi="宋体" w:cs="宋体"/>
          <w:b/>
          <w:sz w:val="32"/>
        </w:rPr>
      </w:pPr>
      <w:bookmarkStart w:id="58" w:name="_Toc7890"/>
      <w:r>
        <w:rPr>
          <w:rFonts w:ascii="宋体" w:hAnsi="宋体" w:cs="宋体"/>
          <w:b/>
          <w:sz w:val="32"/>
        </w:rPr>
        <w:t>八、供应商认为需提交的其他材料</w:t>
      </w:r>
      <w:bookmarkEnd w:id="58"/>
    </w:p>
    <w:p>
      <w:pPr>
        <w:rPr>
          <w:color w:val="auto"/>
        </w:rPr>
      </w:pPr>
      <w:r>
        <w:rPr>
          <w:color w:val="auto"/>
        </w:rPr>
        <w:br w:type="page"/>
      </w:r>
    </w:p>
    <w:p>
      <w:pPr>
        <w:pStyle w:val="2"/>
        <w:bidi w:val="0"/>
        <w:rPr>
          <w:rFonts w:hint="eastAsia" w:ascii="宋体" w:hAnsi="宋体" w:eastAsia="仿宋" w:cs="宋体"/>
          <w:b/>
          <w:color w:val="auto"/>
          <w:kern w:val="0"/>
          <w:sz w:val="32"/>
          <w:szCs w:val="22"/>
          <w:lang w:val="en-US" w:eastAsia="zh-CN" w:bidi="zh-CN"/>
        </w:rPr>
      </w:pPr>
      <w:r>
        <w:rPr>
          <w:rFonts w:hint="eastAsia" w:ascii="宋体" w:hAnsi="宋体" w:eastAsia="仿宋" w:cs="宋体"/>
          <w:b/>
          <w:color w:val="auto"/>
          <w:kern w:val="0"/>
          <w:sz w:val="32"/>
          <w:szCs w:val="22"/>
          <w:lang w:val="en-US" w:eastAsia="zh-CN" w:bidi="zh-CN"/>
        </w:rPr>
        <w:t>九、信用承诺书（投标人范本）</w:t>
      </w:r>
    </w:p>
    <w:p>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0"/>
        <w:jc w:val="center"/>
        <w:textAlignment w:val="auto"/>
        <w:rPr>
          <w:rFonts w:hint="eastAsia" w:ascii="宋体" w:hAnsi="宋体" w:eastAsia="宋体" w:cs="宋体"/>
          <w:b/>
          <w:bCs/>
          <w:color w:val="auto"/>
          <w:spacing w:val="0"/>
          <w:w w:val="100"/>
          <w:kern w:val="0"/>
          <w:position w:val="0"/>
          <w:sz w:val="36"/>
          <w:szCs w:val="36"/>
          <w:lang w:eastAsia="zh-CN"/>
        </w:rPr>
      </w:pPr>
      <w:r>
        <w:rPr>
          <w:rFonts w:hint="eastAsia" w:ascii="宋体" w:hAnsi="宋体" w:eastAsia="宋体" w:cs="宋体"/>
          <w:b/>
          <w:bCs/>
          <w:color w:val="auto"/>
          <w:spacing w:val="0"/>
          <w:w w:val="100"/>
          <w:kern w:val="0"/>
          <w:position w:val="0"/>
          <w:sz w:val="36"/>
          <w:szCs w:val="36"/>
          <w:lang w:eastAsia="zh-CN"/>
        </w:rPr>
        <w:t>信用承诺书</w:t>
      </w:r>
    </w:p>
    <w:p>
      <w:pPr>
        <w:keepNext w:val="0"/>
        <w:keepLines w:val="0"/>
        <w:pageBreakBefore w:val="0"/>
        <w:widowControl w:val="0"/>
        <w:kinsoku/>
        <w:wordWrap/>
        <w:overflowPunct/>
        <w:topLinePunct w:val="0"/>
        <w:autoSpaceDE/>
        <w:autoSpaceDN/>
        <w:bidi w:val="0"/>
        <w:adjustRightInd/>
        <w:snapToGrid/>
        <w:spacing w:before="0" w:after="0" w:line="380" w:lineRule="exact"/>
        <w:ind w:left="0" w:right="0" w:firstLine="640" w:firstLineChars="200"/>
        <w:textAlignment w:val="auto"/>
        <w:rPr>
          <w:rFonts w:hint="eastAsia" w:ascii="宋体" w:hAnsi="宋体" w:eastAsia="宋体" w:cs="宋体"/>
          <w:color w:val="auto"/>
          <w:kern w:val="0"/>
          <w:sz w:val="32"/>
          <w:szCs w:val="32"/>
          <w:u w:val="none"/>
          <w:shd w:val="clear" w:color="auto" w:fill="auto"/>
          <w:lang w:val="en-US" w:eastAsia="zh-CN" w:bidi="zh-TW"/>
        </w:rPr>
      </w:pPr>
      <w:r>
        <w:rPr>
          <w:rFonts w:hint="eastAsia" w:ascii="宋体" w:hAnsi="宋体" w:eastAsia="宋体" w:cs="宋体"/>
          <w:color w:val="auto"/>
          <w:kern w:val="0"/>
          <w:sz w:val="32"/>
          <w:szCs w:val="32"/>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pPr>
        <w:keepNext w:val="0"/>
        <w:keepLines w:val="0"/>
        <w:pageBreakBefore w:val="0"/>
        <w:widowControl w:val="0"/>
        <w:kinsoku/>
        <w:wordWrap/>
        <w:overflowPunct/>
        <w:topLinePunct w:val="0"/>
        <w:autoSpaceDE/>
        <w:autoSpaceDN/>
        <w:bidi w:val="0"/>
        <w:adjustRightInd/>
        <w:snapToGrid/>
        <w:spacing w:before="0" w:after="0" w:line="380" w:lineRule="exact"/>
        <w:ind w:left="0" w:right="0" w:firstLine="640" w:firstLineChars="200"/>
        <w:textAlignment w:val="auto"/>
        <w:rPr>
          <w:rFonts w:hint="eastAsia" w:ascii="宋体" w:hAnsi="宋体" w:eastAsia="宋体" w:cs="宋体"/>
          <w:color w:val="auto"/>
          <w:kern w:val="0"/>
          <w:sz w:val="32"/>
          <w:szCs w:val="32"/>
          <w:u w:val="none"/>
          <w:shd w:val="clear" w:color="auto" w:fill="auto"/>
          <w:lang w:val="en-US" w:eastAsia="zh-CN" w:bidi="zh-TW"/>
        </w:rPr>
      </w:pPr>
      <w:r>
        <w:rPr>
          <w:rFonts w:hint="eastAsia" w:ascii="宋体" w:hAnsi="宋体" w:eastAsia="宋体" w:cs="宋体"/>
          <w:color w:val="auto"/>
          <w:kern w:val="0"/>
          <w:sz w:val="32"/>
          <w:szCs w:val="32"/>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keepNext w:val="0"/>
        <w:keepLines w:val="0"/>
        <w:pageBreakBefore w:val="0"/>
        <w:widowControl w:val="0"/>
        <w:kinsoku/>
        <w:wordWrap/>
        <w:overflowPunct/>
        <w:topLinePunct w:val="0"/>
        <w:autoSpaceDE/>
        <w:autoSpaceDN/>
        <w:bidi w:val="0"/>
        <w:adjustRightInd/>
        <w:snapToGrid/>
        <w:spacing w:before="0" w:after="0" w:line="380" w:lineRule="exact"/>
        <w:ind w:left="0" w:right="0" w:firstLine="640" w:firstLineChars="200"/>
        <w:textAlignment w:val="auto"/>
        <w:rPr>
          <w:rFonts w:hint="eastAsia" w:ascii="宋体" w:hAnsi="宋体" w:eastAsia="宋体" w:cs="宋体"/>
          <w:color w:val="auto"/>
          <w:kern w:val="0"/>
          <w:sz w:val="32"/>
          <w:szCs w:val="32"/>
          <w:u w:val="none"/>
          <w:shd w:val="clear" w:color="auto" w:fill="auto"/>
          <w:lang w:val="en-US" w:eastAsia="zh-CN" w:bidi="zh-TW"/>
        </w:rPr>
      </w:pPr>
      <w:r>
        <w:rPr>
          <w:rFonts w:hint="eastAsia" w:ascii="宋体" w:hAnsi="宋体" w:eastAsia="宋体" w:cs="宋体"/>
          <w:color w:val="auto"/>
          <w:kern w:val="0"/>
          <w:sz w:val="32"/>
          <w:szCs w:val="32"/>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pPr>
        <w:keepNext w:val="0"/>
        <w:keepLines w:val="0"/>
        <w:pageBreakBefore w:val="0"/>
        <w:widowControl w:val="0"/>
        <w:kinsoku/>
        <w:wordWrap/>
        <w:overflowPunct/>
        <w:topLinePunct w:val="0"/>
        <w:autoSpaceDE/>
        <w:autoSpaceDN/>
        <w:bidi w:val="0"/>
        <w:adjustRightInd/>
        <w:snapToGrid/>
        <w:spacing w:before="0" w:after="0" w:line="380" w:lineRule="exact"/>
        <w:ind w:left="0" w:right="0" w:firstLine="640" w:firstLineChars="200"/>
        <w:textAlignment w:val="auto"/>
        <w:rPr>
          <w:rFonts w:hint="eastAsia" w:ascii="宋体" w:hAnsi="宋体" w:eastAsia="宋体" w:cs="宋体"/>
          <w:color w:val="auto"/>
          <w:kern w:val="0"/>
          <w:sz w:val="32"/>
          <w:szCs w:val="32"/>
          <w:u w:val="none"/>
          <w:shd w:val="clear" w:color="auto" w:fill="auto"/>
          <w:lang w:val="en-US" w:eastAsia="zh-CN" w:bidi="zh-TW"/>
        </w:rPr>
      </w:pPr>
      <w:r>
        <w:rPr>
          <w:rFonts w:hint="eastAsia" w:ascii="宋体" w:hAnsi="宋体" w:eastAsia="宋体" w:cs="宋体"/>
          <w:color w:val="auto"/>
          <w:kern w:val="0"/>
          <w:sz w:val="32"/>
          <w:szCs w:val="32"/>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pPr>
        <w:keepNext w:val="0"/>
        <w:keepLines w:val="0"/>
        <w:pageBreakBefore w:val="0"/>
        <w:widowControl w:val="0"/>
        <w:kinsoku/>
        <w:wordWrap/>
        <w:overflowPunct/>
        <w:topLinePunct w:val="0"/>
        <w:autoSpaceDE/>
        <w:autoSpaceDN/>
        <w:bidi w:val="0"/>
        <w:adjustRightInd/>
        <w:snapToGrid/>
        <w:spacing w:before="0" w:after="0" w:line="380" w:lineRule="exact"/>
        <w:ind w:left="0" w:right="0" w:firstLine="640" w:firstLineChars="200"/>
        <w:textAlignment w:val="auto"/>
        <w:rPr>
          <w:rFonts w:hint="eastAsia" w:ascii="宋体" w:hAnsi="宋体" w:eastAsia="宋体" w:cs="宋体"/>
          <w:color w:val="auto"/>
          <w:kern w:val="0"/>
          <w:sz w:val="32"/>
          <w:szCs w:val="32"/>
          <w:u w:val="none"/>
          <w:shd w:val="clear" w:color="auto" w:fill="auto"/>
          <w:lang w:val="en-US" w:eastAsia="zh-CN" w:bidi="zh-TW"/>
        </w:rPr>
      </w:pPr>
      <w:r>
        <w:rPr>
          <w:rFonts w:hint="eastAsia" w:ascii="宋体" w:hAnsi="宋体" w:eastAsia="宋体" w:cs="宋体"/>
          <w:color w:val="auto"/>
          <w:kern w:val="0"/>
          <w:sz w:val="32"/>
          <w:szCs w:val="32"/>
          <w:u w:val="none"/>
          <w:shd w:val="clear" w:color="auto" w:fill="auto"/>
          <w:lang w:val="en-US" w:eastAsia="zh-CN" w:bidi="zh-TW"/>
        </w:rPr>
        <w:t>（四）本单位及项目经办人员信用状况良好，未被列为失信惩戒对象或"老赖""，符合参与公共资源交易活动的相关要求。</w:t>
      </w:r>
    </w:p>
    <w:p>
      <w:pPr>
        <w:keepNext w:val="0"/>
        <w:keepLines w:val="0"/>
        <w:pageBreakBefore w:val="0"/>
        <w:widowControl w:val="0"/>
        <w:kinsoku/>
        <w:wordWrap/>
        <w:overflowPunct/>
        <w:topLinePunct w:val="0"/>
        <w:autoSpaceDE/>
        <w:autoSpaceDN/>
        <w:bidi w:val="0"/>
        <w:adjustRightInd/>
        <w:snapToGrid/>
        <w:spacing w:before="0" w:after="0" w:line="380" w:lineRule="exact"/>
        <w:ind w:left="0" w:right="0" w:firstLine="640" w:firstLineChars="200"/>
        <w:textAlignment w:val="auto"/>
        <w:rPr>
          <w:rFonts w:hint="eastAsia" w:ascii="宋体" w:hAnsi="宋体" w:eastAsia="宋体" w:cs="宋体"/>
          <w:color w:val="auto"/>
          <w:kern w:val="0"/>
          <w:sz w:val="32"/>
          <w:szCs w:val="32"/>
          <w:u w:val="none"/>
          <w:shd w:val="clear" w:color="auto" w:fill="auto"/>
          <w:lang w:val="en-US" w:eastAsia="zh-CN" w:bidi="zh-TW"/>
        </w:rPr>
      </w:pPr>
      <w:r>
        <w:rPr>
          <w:rFonts w:hint="eastAsia" w:ascii="宋体" w:hAnsi="宋体" w:eastAsia="宋体" w:cs="宋体"/>
          <w:color w:val="auto"/>
          <w:kern w:val="0"/>
          <w:sz w:val="32"/>
          <w:szCs w:val="32"/>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pPr>
        <w:keepNext w:val="0"/>
        <w:keepLines w:val="0"/>
        <w:pageBreakBefore w:val="0"/>
        <w:widowControl w:val="0"/>
        <w:kinsoku/>
        <w:wordWrap/>
        <w:overflowPunct/>
        <w:topLinePunct w:val="0"/>
        <w:autoSpaceDE/>
        <w:autoSpaceDN/>
        <w:bidi w:val="0"/>
        <w:adjustRightInd/>
        <w:snapToGrid/>
        <w:spacing w:before="0" w:after="0" w:line="380" w:lineRule="exact"/>
        <w:ind w:left="0" w:right="0" w:firstLine="640" w:firstLineChars="200"/>
        <w:textAlignment w:val="auto"/>
        <w:rPr>
          <w:rFonts w:hint="eastAsia" w:ascii="宋体" w:hAnsi="宋体" w:eastAsia="宋体" w:cs="宋体"/>
          <w:color w:val="auto"/>
          <w:kern w:val="0"/>
          <w:sz w:val="32"/>
          <w:szCs w:val="32"/>
          <w:u w:val="none"/>
          <w:shd w:val="clear" w:color="auto" w:fill="auto"/>
          <w:lang w:val="en-US" w:eastAsia="zh-CN" w:bidi="zh-TW"/>
        </w:rPr>
      </w:pPr>
      <w:r>
        <w:rPr>
          <w:rFonts w:hint="eastAsia" w:ascii="宋体" w:hAnsi="宋体" w:eastAsia="宋体" w:cs="宋体"/>
          <w:color w:val="auto"/>
          <w:kern w:val="0"/>
          <w:sz w:val="32"/>
          <w:szCs w:val="32"/>
          <w:u w:val="none"/>
          <w:shd w:val="clear" w:color="auto" w:fill="auto"/>
          <w:lang w:val="en-US" w:eastAsia="zh-CN" w:bidi="zh-TW"/>
        </w:rPr>
        <w:t>（六）若中标，本单位将在规定的时间内与招标人签订合同并自觉履行合同义务，不转包或违法分包中标项目。</w:t>
      </w:r>
    </w:p>
    <w:p>
      <w:pPr>
        <w:keepNext w:val="0"/>
        <w:keepLines w:val="0"/>
        <w:pageBreakBefore w:val="0"/>
        <w:widowControl w:val="0"/>
        <w:kinsoku/>
        <w:wordWrap/>
        <w:overflowPunct/>
        <w:topLinePunct w:val="0"/>
        <w:autoSpaceDE/>
        <w:autoSpaceDN/>
        <w:bidi w:val="0"/>
        <w:adjustRightInd/>
        <w:snapToGrid/>
        <w:spacing w:before="0" w:after="0" w:line="380" w:lineRule="exact"/>
        <w:ind w:left="0" w:right="0" w:firstLine="640" w:firstLineChars="200"/>
        <w:textAlignment w:val="auto"/>
        <w:rPr>
          <w:rFonts w:hint="eastAsia" w:ascii="宋体" w:hAnsi="宋体" w:eastAsia="宋体" w:cs="宋体"/>
          <w:color w:val="auto"/>
          <w:kern w:val="0"/>
          <w:sz w:val="32"/>
          <w:szCs w:val="32"/>
          <w:u w:val="none"/>
          <w:shd w:val="clear" w:color="auto" w:fill="auto"/>
          <w:lang w:val="en-US" w:eastAsia="zh-CN" w:bidi="zh-TW"/>
        </w:rPr>
      </w:pPr>
      <w:r>
        <w:rPr>
          <w:rFonts w:hint="eastAsia" w:ascii="宋体" w:hAnsi="宋体" w:eastAsia="宋体" w:cs="宋体"/>
          <w:color w:val="auto"/>
          <w:kern w:val="0"/>
          <w:sz w:val="32"/>
          <w:szCs w:val="32"/>
          <w:u w:val="none"/>
          <w:shd w:val="clear" w:color="auto" w:fill="auto"/>
          <w:lang w:val="en-US" w:eastAsia="zh-CN" w:bidi="zh-TW"/>
        </w:rPr>
        <w:t>（七）自觉接受政府、行业组织、社会公众、新闻舆论的监督。</w:t>
      </w:r>
    </w:p>
    <w:p>
      <w:pPr>
        <w:keepNext w:val="0"/>
        <w:keepLines w:val="0"/>
        <w:pageBreakBefore w:val="0"/>
        <w:widowControl w:val="0"/>
        <w:kinsoku/>
        <w:wordWrap/>
        <w:overflowPunct/>
        <w:topLinePunct w:val="0"/>
        <w:autoSpaceDE/>
        <w:autoSpaceDN/>
        <w:bidi w:val="0"/>
        <w:adjustRightInd/>
        <w:snapToGrid/>
        <w:spacing w:before="0" w:after="0" w:line="380" w:lineRule="exact"/>
        <w:ind w:left="0" w:right="0" w:firstLine="640" w:firstLineChars="200"/>
        <w:textAlignment w:val="auto"/>
        <w:rPr>
          <w:rFonts w:hint="eastAsia" w:ascii="宋体" w:hAnsi="宋体" w:eastAsia="宋体" w:cs="宋体"/>
          <w:color w:val="auto"/>
          <w:kern w:val="0"/>
          <w:sz w:val="32"/>
          <w:szCs w:val="32"/>
          <w:u w:val="none"/>
          <w:shd w:val="clear" w:color="auto" w:fill="auto"/>
          <w:lang w:val="en-US" w:eastAsia="zh-CN" w:bidi="zh-TW"/>
        </w:rPr>
      </w:pPr>
      <w:r>
        <w:rPr>
          <w:rFonts w:hint="eastAsia" w:ascii="宋体" w:hAnsi="宋体" w:eastAsia="宋体" w:cs="宋体"/>
          <w:color w:val="auto"/>
          <w:kern w:val="0"/>
          <w:sz w:val="32"/>
          <w:szCs w:val="32"/>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32"/>
          <w:szCs w:val="32"/>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32"/>
          <w:szCs w:val="32"/>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pPr>
        <w:keepNext w:val="0"/>
        <w:keepLines w:val="0"/>
        <w:pageBreakBefore w:val="0"/>
        <w:widowControl w:val="0"/>
        <w:kinsoku/>
        <w:wordWrap/>
        <w:overflowPunct/>
        <w:topLinePunct w:val="0"/>
        <w:autoSpaceDE/>
        <w:autoSpaceDN/>
        <w:bidi w:val="0"/>
        <w:adjustRightInd/>
        <w:snapToGrid/>
        <w:spacing w:before="0" w:after="0" w:line="380" w:lineRule="exact"/>
        <w:ind w:left="0" w:right="0" w:firstLine="640" w:firstLineChars="200"/>
        <w:textAlignment w:val="auto"/>
        <w:rPr>
          <w:rFonts w:hint="eastAsia" w:ascii="宋体" w:hAnsi="宋体" w:eastAsia="宋体" w:cs="宋体"/>
          <w:color w:val="auto"/>
          <w:kern w:val="0"/>
          <w:sz w:val="32"/>
          <w:szCs w:val="32"/>
          <w:u w:val="none"/>
          <w:shd w:val="clear" w:color="auto" w:fill="auto"/>
          <w:lang w:val="en-US" w:eastAsia="zh-CN" w:bidi="zh-TW"/>
        </w:rPr>
      </w:pPr>
      <w:r>
        <w:rPr>
          <w:rFonts w:hint="eastAsia" w:ascii="宋体" w:hAnsi="宋体" w:eastAsia="宋体" w:cs="宋体"/>
          <w:color w:val="auto"/>
          <w:kern w:val="0"/>
          <w:sz w:val="32"/>
          <w:szCs w:val="32"/>
          <w:u w:val="none"/>
          <w:shd w:val="clear" w:color="auto" w:fill="auto"/>
          <w:lang w:val="en-US" w:eastAsia="zh-CN" w:bidi="zh-TW"/>
        </w:rPr>
        <w:t>（九）本人已认真阅读了上述承诺，并向本单位员工作了宣传教育。</w:t>
      </w:r>
    </w:p>
    <w:p>
      <w:pPr>
        <w:keepNext w:val="0"/>
        <w:keepLines w:val="0"/>
        <w:pageBreakBefore w:val="0"/>
        <w:widowControl w:val="0"/>
        <w:kinsoku/>
        <w:wordWrap/>
        <w:overflowPunct/>
        <w:topLinePunct w:val="0"/>
        <w:autoSpaceDE/>
        <w:autoSpaceDN/>
        <w:bidi w:val="0"/>
        <w:adjustRightInd/>
        <w:snapToGrid/>
        <w:spacing w:before="0" w:after="0" w:line="380" w:lineRule="exact"/>
        <w:ind w:left="0" w:right="0" w:firstLine="1280" w:firstLineChars="400"/>
        <w:textAlignment w:val="auto"/>
        <w:rPr>
          <w:rFonts w:hint="eastAsia" w:ascii="宋体" w:hAnsi="宋体" w:eastAsia="宋体" w:cs="宋体"/>
          <w:color w:val="auto"/>
          <w:kern w:val="0"/>
          <w:sz w:val="32"/>
          <w:szCs w:val="32"/>
          <w:u w:val="none"/>
          <w:shd w:val="clear" w:color="auto" w:fill="auto"/>
          <w:lang w:val="en-US" w:eastAsia="zh-CN" w:bidi="zh-TW"/>
        </w:rPr>
      </w:pPr>
      <w:r>
        <w:rPr>
          <w:rFonts w:hint="eastAsia" w:ascii="宋体" w:hAnsi="宋体" w:eastAsia="宋体" w:cs="宋体"/>
          <w:color w:val="auto"/>
          <w:kern w:val="0"/>
          <w:sz w:val="32"/>
          <w:szCs w:val="32"/>
          <w:u w:val="none"/>
          <w:shd w:val="clear" w:color="auto" w:fill="auto"/>
          <w:lang w:val="en-US" w:eastAsia="zh-CN" w:bidi="zh-TW"/>
        </w:rPr>
        <w:t>法定代表人或（委托代理人）签字∶</w:t>
      </w:r>
    </w:p>
    <w:p>
      <w:pPr>
        <w:keepNext w:val="0"/>
        <w:keepLines w:val="0"/>
        <w:pageBreakBefore w:val="0"/>
        <w:widowControl w:val="0"/>
        <w:kinsoku/>
        <w:wordWrap/>
        <w:overflowPunct/>
        <w:topLinePunct w:val="0"/>
        <w:autoSpaceDE/>
        <w:autoSpaceDN/>
        <w:bidi w:val="0"/>
        <w:adjustRightInd/>
        <w:snapToGrid/>
        <w:spacing w:before="0" w:after="0" w:line="380" w:lineRule="exact"/>
        <w:ind w:left="0" w:right="0" w:firstLine="3520" w:firstLineChars="1100"/>
        <w:textAlignment w:val="auto"/>
        <w:rPr>
          <w:rFonts w:hint="eastAsia" w:ascii="宋体" w:hAnsi="宋体" w:eastAsia="宋体" w:cs="宋体"/>
          <w:color w:val="auto"/>
          <w:kern w:val="0"/>
          <w:sz w:val="32"/>
          <w:szCs w:val="32"/>
          <w:u w:val="none"/>
          <w:shd w:val="clear" w:color="auto" w:fill="auto"/>
          <w:lang w:val="en-US" w:eastAsia="zh-CN" w:bidi="zh-TW"/>
        </w:rPr>
      </w:pPr>
      <w:r>
        <w:rPr>
          <w:rFonts w:hint="eastAsia" w:ascii="宋体" w:hAnsi="宋体" w:eastAsia="宋体" w:cs="宋体"/>
          <w:color w:val="auto"/>
          <w:kern w:val="0"/>
          <w:sz w:val="32"/>
          <w:szCs w:val="32"/>
          <w:u w:val="none"/>
          <w:shd w:val="clear" w:color="auto" w:fill="auto"/>
          <w:lang w:val="en-US" w:eastAsia="zh-CN" w:bidi="zh-TW"/>
        </w:rPr>
        <w:t xml:space="preserve">企业名称（盖章）∶ </w:t>
      </w:r>
    </w:p>
    <w:p>
      <w:pPr>
        <w:keepNext w:val="0"/>
        <w:keepLines w:val="0"/>
        <w:pageBreakBefore w:val="0"/>
        <w:widowControl w:val="0"/>
        <w:kinsoku/>
        <w:wordWrap/>
        <w:overflowPunct/>
        <w:topLinePunct w:val="0"/>
        <w:autoSpaceDE/>
        <w:autoSpaceDN/>
        <w:bidi w:val="0"/>
        <w:adjustRightInd/>
        <w:snapToGrid/>
        <w:spacing w:before="0" w:after="0" w:line="380" w:lineRule="exact"/>
        <w:ind w:left="0" w:right="0" w:firstLine="3200" w:firstLineChars="1000"/>
        <w:textAlignment w:val="auto"/>
        <w:rPr>
          <w:rFonts w:hint="eastAsia" w:ascii="宋体" w:hAnsi="宋体" w:eastAsia="宋体" w:cs="宋体"/>
          <w:color w:val="auto"/>
          <w:kern w:val="0"/>
          <w:sz w:val="32"/>
          <w:szCs w:val="32"/>
          <w:u w:val="none"/>
          <w:shd w:val="clear" w:color="auto" w:fill="auto"/>
          <w:lang w:val="en-US" w:eastAsia="zh-CN" w:bidi="zh-TW"/>
        </w:rPr>
      </w:pPr>
      <w:r>
        <w:rPr>
          <w:rFonts w:hint="eastAsia" w:ascii="宋体" w:hAnsi="宋体" w:eastAsia="宋体" w:cs="宋体"/>
          <w:color w:val="auto"/>
          <w:kern w:val="0"/>
          <w:sz w:val="32"/>
          <w:szCs w:val="32"/>
          <w:u w:val="none"/>
          <w:shd w:val="clear" w:color="auto" w:fill="auto"/>
          <w:lang w:val="en-US" w:eastAsia="zh-CN" w:bidi="zh-TW"/>
        </w:rPr>
        <w:t>项目负责人（签字）∶</w:t>
      </w:r>
    </w:p>
    <w:p>
      <w:pPr>
        <w:keepNext w:val="0"/>
        <w:keepLines w:val="0"/>
        <w:pageBreakBefore w:val="0"/>
        <w:widowControl w:val="0"/>
        <w:kinsoku/>
        <w:wordWrap/>
        <w:overflowPunct/>
        <w:topLinePunct w:val="0"/>
        <w:autoSpaceDE/>
        <w:autoSpaceDN/>
        <w:bidi w:val="0"/>
        <w:adjustRightInd/>
        <w:snapToGrid/>
        <w:spacing w:before="0" w:after="0" w:line="380" w:lineRule="exact"/>
        <w:ind w:left="0" w:right="0"/>
        <w:jc w:val="right"/>
        <w:textAlignment w:val="auto"/>
        <w:rPr>
          <w:rFonts w:hint="eastAsia" w:ascii="宋体" w:hAnsi="宋体" w:eastAsia="宋体" w:cs="宋体"/>
          <w:color w:val="auto"/>
          <w:kern w:val="0"/>
          <w:sz w:val="32"/>
          <w:szCs w:val="32"/>
          <w:u w:val="none"/>
          <w:shd w:val="clear" w:color="auto" w:fill="auto"/>
          <w:lang w:val="en-US" w:eastAsia="zh-CN" w:bidi="zh-TW"/>
        </w:rPr>
      </w:pPr>
      <w:r>
        <w:rPr>
          <w:rFonts w:hint="eastAsia" w:ascii="宋体" w:hAnsi="宋体" w:eastAsia="宋体" w:cs="宋体"/>
          <w:color w:val="auto"/>
          <w:kern w:val="0"/>
          <w:sz w:val="32"/>
          <w:szCs w:val="32"/>
          <w:u w:val="none"/>
          <w:shd w:val="clear" w:color="auto" w:fill="auto"/>
          <w:lang w:val="en-US" w:eastAsia="zh-CN" w:bidi="zh-TW"/>
        </w:rPr>
        <w:t xml:space="preserve"> 年   月   日</w:t>
      </w:r>
    </w:p>
    <w:p>
      <w:pPr>
        <w:widowControl w:val="0"/>
        <w:tabs>
          <w:tab w:val="left" w:pos="1291"/>
        </w:tabs>
        <w:autoSpaceDE w:val="0"/>
        <w:autoSpaceDN w:val="0"/>
        <w:spacing w:before="17" w:after="0" w:line="240" w:lineRule="auto"/>
        <w:ind w:right="854"/>
        <w:jc w:val="both"/>
        <w:outlineLvl w:val="0"/>
        <w:rPr>
          <w:rFonts w:hint="eastAsia" w:ascii="宋体" w:hAnsi="宋体" w:eastAsia="仿宋" w:cs="宋体"/>
          <w:color w:val="auto"/>
          <w:kern w:val="44"/>
          <w:sz w:val="28"/>
          <w:szCs w:val="22"/>
          <w:lang w:val="en-US" w:eastAsia="zh-CN" w:bidi="zh-CN"/>
        </w:rPr>
      </w:pPr>
      <w:bookmarkStart w:id="59" w:name="_TOC_250000"/>
      <w:bookmarkEnd w:id="59"/>
      <w:bookmarkStart w:id="60" w:name="_Toc21842"/>
    </w:p>
    <w:p>
      <w:pPr>
        <w:widowControl w:val="0"/>
        <w:tabs>
          <w:tab w:val="left" w:pos="1291"/>
        </w:tabs>
        <w:autoSpaceDE w:val="0"/>
        <w:autoSpaceDN w:val="0"/>
        <w:spacing w:before="17" w:after="0" w:line="240" w:lineRule="auto"/>
        <w:ind w:left="4" w:right="854"/>
        <w:jc w:val="center"/>
        <w:outlineLvl w:val="0"/>
        <w:rPr>
          <w:rFonts w:hint="eastAsia"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十、</w:t>
      </w:r>
      <w:r>
        <w:rPr>
          <w:rFonts w:hint="eastAsia" w:eastAsia="宋体" w:cs="宋体"/>
          <w:b/>
          <w:bCs/>
          <w:color w:val="000000"/>
          <w:kern w:val="0"/>
          <w:sz w:val="28"/>
          <w:szCs w:val="28"/>
          <w:lang w:val="en-US" w:eastAsia="zh-CN" w:bidi="ar"/>
        </w:rPr>
        <w:t>投标承诺函</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致（采购人及采购代理机构）：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我公司作为本次采购项目的供应商，严格遵守政府采购相关法律法规的规定，根据竞争性磋商文件要求，现郑重承诺如下：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一、具备《中华人民共和国政府采购法》第二十二条第一款和本项目规定的条件：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（一）具有独立承担民事责任的能力；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（二）具有良好的商业信誉和健全的财务会计制度；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（三）具有履行合同所必需的设备和专业技术能力；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（四）有依法缴纳税收和社会保障资金的良好记录；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（五）参加政府采购活动前三年内，在经营活动中没有重大违法记录；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（六）法律、行政法规规定的其他条件；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（七）根据采购项目提出的特殊条件。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二、完全接受和满足本项目竞争性磋商文件中规定的实质性要求，如对竞争性磋商文件有异议，已经在投标截止时间届满前依法进行维权救济，不存在对竞争性磋商文件有异议的同时又参加投标以求侥幸中标或者为实现其他非法目的的行为。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三、参加本次招标采购活动，不存在与单位负责人为同一人或者存在直接控股、管理关系的其他供应商参与同一合同项下的政府采购活动的行为。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四、参加本次招标采购活动，不存在为采购项目提供整体设计、规范编制或者项目管理、监理、检测等服务的行为。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五、参加本次招标采购活动，不存在和其他供应商在同一合同项下的采购项目中，同时委托同一个自然人、同一家庭的人员、同一单位的人员作为代理人的行为。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六、参加本次政府采购活动要求在近三年内供应商和其法定代表人没有行贿犯罪行为。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七、参加本次招标采购活动，不存在联合体投标。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八、投标文件中提供的能够给予我公司带来优惠、好处的任何材料资料和技术、服务、商务等响应承诺情况都是真实的、有效的、合法的。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九、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十、存在以下行为之一的愿意接受相关部门的处理：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（一）投标有效期内撤销投标文件的；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（二）在采购人确定中标人以前放弃中标候选资格的；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（三）由于中标人的原因未能按照竞争性磋商文件的规定与采购人签订合同；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（四）在响应文件中提供虚假材料谋取中标；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（五）采取不正当手段诋毁、排挤其他供应商；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（六）与采购人、其他供应商或者采购代理机构恶意串通的；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（七）投标有效期内，供应商在政府采购活动中有违法、违规、违纪行为。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由此产生的一切法律后果和责任由我公司承担。我公司声明放弃对此提出任何异议和追索的权利。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本公司对上述承诺的内容事项真实性负责。如经查实上述承诺的内容事项存在虚假，我公司愿意接受以提供虚假材料谋取中标追究法律责任。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供应商名称：（电子签章）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法定代表人或授权代表：（电子签章） </w:t>
      </w:r>
    </w:p>
    <w:p>
      <w:pPr>
        <w:keepNext w:val="0"/>
        <w:keepLines w:val="0"/>
        <w:pageBreakBefore w:val="0"/>
        <w:widowControl w:val="0"/>
        <w:tabs>
          <w:tab w:val="left" w:pos="1291"/>
        </w:tabs>
        <w:kinsoku/>
        <w:wordWrap/>
        <w:overflowPunct/>
        <w:topLinePunct w:val="0"/>
        <w:autoSpaceDE w:val="0"/>
        <w:autoSpaceDN w:val="0"/>
        <w:bidi w:val="0"/>
        <w:adjustRightInd/>
        <w:snapToGrid/>
        <w:spacing w:before="0" w:after="0" w:line="240" w:lineRule="auto"/>
        <w:ind w:left="0" w:right="0"/>
        <w:jc w:val="left"/>
        <w:textAlignment w:val="auto"/>
        <w:outlineLvl w:val="0"/>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4"/>
          <w:szCs w:val="24"/>
          <w:lang w:val="en-US" w:eastAsia="zh-CN" w:bidi="ar"/>
        </w:rPr>
        <w:t xml:space="preserve">日期： </w:t>
      </w:r>
    </w:p>
    <w:p>
      <w:pPr>
        <w:pStyle w:val="20"/>
        <w:ind w:firstLine="2811" w:firstLineChars="1000"/>
        <w:jc w:val="both"/>
        <w:rPr>
          <w:rFonts w:hint="eastAsia" w:ascii="宋体" w:hAnsi="宋体" w:eastAsia="宋体" w:cs="宋体"/>
          <w:b/>
          <w:bCs/>
          <w:color w:val="000000"/>
          <w:kern w:val="0"/>
          <w:sz w:val="28"/>
          <w:szCs w:val="28"/>
          <w:lang w:val="en-US" w:eastAsia="zh-CN" w:bidi="ar"/>
        </w:rPr>
      </w:pPr>
    </w:p>
    <w:p>
      <w:pPr>
        <w:pStyle w:val="20"/>
        <w:ind w:firstLine="2811" w:firstLineChars="1000"/>
        <w:jc w:val="both"/>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十一、供应商认为需附的其他资料</w:t>
      </w:r>
    </w:p>
    <w:p>
      <w:pPr>
        <w:rPr>
          <w:color w:val="auto"/>
        </w:rPr>
      </w:pPr>
    </w:p>
    <w:p>
      <w:pPr>
        <w:pStyle w:val="19"/>
        <w:rPr>
          <w:color w:val="auto"/>
        </w:rPr>
      </w:pPr>
    </w:p>
    <w:p>
      <w:pPr>
        <w:pStyle w:val="20"/>
        <w:rPr>
          <w:color w:val="auto"/>
        </w:rPr>
      </w:pPr>
    </w:p>
    <w:p>
      <w:pPr>
        <w:rPr>
          <w:color w:val="auto"/>
        </w:rPr>
      </w:pPr>
    </w:p>
    <w:p>
      <w:pPr>
        <w:pStyle w:val="19"/>
        <w:rPr>
          <w:color w:val="auto"/>
        </w:rPr>
      </w:pPr>
    </w:p>
    <w:p>
      <w:pPr>
        <w:pStyle w:val="20"/>
        <w:rPr>
          <w:color w:val="auto"/>
        </w:rPr>
      </w:pPr>
    </w:p>
    <w:p>
      <w:pPr>
        <w:rPr>
          <w:color w:val="auto"/>
        </w:rPr>
      </w:pPr>
    </w:p>
    <w:p>
      <w:pPr>
        <w:pStyle w:val="19"/>
        <w:rPr>
          <w:color w:val="auto"/>
        </w:rPr>
      </w:pPr>
    </w:p>
    <w:p>
      <w:pPr>
        <w:pStyle w:val="20"/>
        <w:rPr>
          <w:color w:val="auto"/>
        </w:rPr>
      </w:pPr>
    </w:p>
    <w:p>
      <w:pPr>
        <w:rPr>
          <w:color w:val="auto"/>
        </w:rPr>
      </w:pPr>
    </w:p>
    <w:p>
      <w:pPr>
        <w:pStyle w:val="19"/>
        <w:rPr>
          <w:color w:val="auto"/>
        </w:rPr>
      </w:pPr>
    </w:p>
    <w:p>
      <w:pPr>
        <w:pStyle w:val="20"/>
        <w:rPr>
          <w:color w:val="auto"/>
        </w:rPr>
      </w:pPr>
    </w:p>
    <w:p>
      <w:pPr>
        <w:rPr>
          <w:color w:val="auto"/>
        </w:rPr>
      </w:pPr>
    </w:p>
    <w:p>
      <w:pPr>
        <w:pStyle w:val="19"/>
        <w:rPr>
          <w:color w:val="auto"/>
        </w:rPr>
      </w:pPr>
    </w:p>
    <w:p>
      <w:pPr>
        <w:pStyle w:val="20"/>
        <w:rPr>
          <w:color w:val="auto"/>
        </w:rPr>
      </w:pPr>
    </w:p>
    <w:p>
      <w:pPr>
        <w:rPr>
          <w:color w:val="auto"/>
        </w:rPr>
      </w:pPr>
    </w:p>
    <w:p>
      <w:pPr>
        <w:pStyle w:val="19"/>
        <w:rPr>
          <w:color w:val="auto"/>
        </w:rPr>
      </w:pPr>
    </w:p>
    <w:p>
      <w:pPr>
        <w:pStyle w:val="20"/>
        <w:rPr>
          <w:color w:val="auto"/>
        </w:rPr>
      </w:pPr>
    </w:p>
    <w:p>
      <w:pPr>
        <w:rPr>
          <w:color w:val="auto"/>
        </w:rPr>
      </w:pPr>
    </w:p>
    <w:p>
      <w:pPr>
        <w:pStyle w:val="19"/>
        <w:rPr>
          <w:color w:val="auto"/>
        </w:rPr>
      </w:pPr>
    </w:p>
    <w:p>
      <w:pPr>
        <w:pStyle w:val="20"/>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十二、中小企业声明函</w:t>
      </w:r>
    </w:p>
    <w:p>
      <w:pPr>
        <w:rPr>
          <w:color w:val="auto"/>
        </w:rPr>
      </w:pPr>
    </w:p>
    <w:p>
      <w:pPr>
        <w:pStyle w:val="19"/>
        <w:rPr>
          <w:color w:val="auto"/>
        </w:rPr>
      </w:pPr>
    </w:p>
    <w:p>
      <w:pPr>
        <w:pStyle w:val="20"/>
        <w:rPr>
          <w:color w:val="auto"/>
        </w:rPr>
      </w:pPr>
    </w:p>
    <w:p>
      <w:pPr>
        <w:rPr>
          <w:color w:val="auto"/>
        </w:rPr>
      </w:pPr>
    </w:p>
    <w:p>
      <w:pPr>
        <w:pStyle w:val="19"/>
        <w:rPr>
          <w:color w:val="auto"/>
        </w:rPr>
      </w:pPr>
    </w:p>
    <w:p>
      <w:pPr>
        <w:pStyle w:val="20"/>
        <w:rPr>
          <w:color w:val="auto"/>
        </w:rPr>
      </w:pPr>
    </w:p>
    <w:p>
      <w:pPr>
        <w:rPr>
          <w:color w:val="auto"/>
        </w:rPr>
      </w:pPr>
    </w:p>
    <w:p>
      <w:pPr>
        <w:pStyle w:val="19"/>
        <w:rPr>
          <w:color w:val="auto"/>
        </w:rPr>
      </w:pPr>
    </w:p>
    <w:p>
      <w:pPr>
        <w:pStyle w:val="20"/>
        <w:rPr>
          <w:color w:val="auto"/>
        </w:rPr>
      </w:pPr>
    </w:p>
    <w:p>
      <w:pPr>
        <w:rPr>
          <w:color w:val="auto"/>
        </w:rPr>
      </w:pPr>
    </w:p>
    <w:p>
      <w:pPr>
        <w:pStyle w:val="19"/>
        <w:rPr>
          <w:color w:val="auto"/>
        </w:rPr>
      </w:pPr>
    </w:p>
    <w:p>
      <w:pPr>
        <w:pStyle w:val="20"/>
        <w:rPr>
          <w:color w:val="auto"/>
        </w:rPr>
      </w:pPr>
    </w:p>
    <w:p>
      <w:pPr>
        <w:rPr>
          <w:color w:val="auto"/>
        </w:rPr>
      </w:pPr>
    </w:p>
    <w:p>
      <w:pPr>
        <w:pStyle w:val="19"/>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19"/>
      </w:pPr>
    </w:p>
    <w:p>
      <w:pPr>
        <w:keepNext w:val="0"/>
        <w:keepLines w:val="0"/>
        <w:widowControl/>
        <w:suppressLineNumbers w:val="0"/>
        <w:shd w:val="clear" w:fill="FFFFFF"/>
        <w:bidi w:val="0"/>
        <w:spacing w:before="15" w:beforeAutospacing="0" w:line="15" w:lineRule="atLeast"/>
        <w:ind w:left="0" w:right="0"/>
        <w:jc w:val="center"/>
        <w:rPr>
          <w:color w:val="auto"/>
        </w:rPr>
      </w:pPr>
    </w:p>
    <w:p>
      <w:pPr>
        <w:keepNext w:val="0"/>
        <w:keepLines w:val="0"/>
        <w:widowControl/>
        <w:suppressLineNumbers w:val="0"/>
        <w:shd w:val="clear" w:fill="FFFFFF"/>
        <w:bidi w:val="0"/>
        <w:spacing w:before="15" w:beforeAutospacing="0" w:line="15" w:lineRule="atLeast"/>
        <w:ind w:left="0" w:right="0"/>
        <w:jc w:val="center"/>
        <w:rPr>
          <w:rFonts w:hint="default"/>
          <w:b/>
          <w:bCs/>
          <w:color w:val="auto"/>
          <w:sz w:val="28"/>
          <w:szCs w:val="24"/>
        </w:rPr>
      </w:pPr>
      <w:r>
        <w:rPr>
          <w:b/>
          <w:bCs/>
          <w:color w:val="auto"/>
          <w:sz w:val="28"/>
          <w:szCs w:val="24"/>
        </w:rPr>
        <w:t>第</w:t>
      </w:r>
      <w:r>
        <w:rPr>
          <w:rFonts w:hint="eastAsia"/>
          <w:b/>
          <w:bCs/>
          <w:color w:val="auto"/>
          <w:sz w:val="28"/>
          <w:szCs w:val="24"/>
          <w:lang w:val="en-US" w:eastAsia="zh-CN"/>
        </w:rPr>
        <w:t>六部分</w:t>
      </w:r>
      <w:r>
        <w:rPr>
          <w:b/>
          <w:bCs/>
          <w:color w:val="auto"/>
          <w:sz w:val="28"/>
          <w:szCs w:val="24"/>
        </w:rPr>
        <w:tab/>
      </w:r>
      <w:r>
        <w:rPr>
          <w:rFonts w:hint="eastAsia"/>
          <w:b/>
          <w:bCs/>
          <w:color w:val="auto"/>
          <w:sz w:val="28"/>
          <w:szCs w:val="24"/>
          <w:lang w:val="en-US" w:eastAsia="zh-CN"/>
        </w:rPr>
        <w:t>参考</w:t>
      </w:r>
      <w:r>
        <w:rPr>
          <w:b/>
          <w:bCs/>
          <w:color w:val="auto"/>
          <w:sz w:val="28"/>
          <w:szCs w:val="24"/>
        </w:rPr>
        <w:t>附件</w:t>
      </w:r>
      <w:bookmarkEnd w:id="60"/>
      <w:r>
        <w:rPr>
          <w:rFonts w:hint="default" w:ascii="sans-serif" w:hAnsi="sans-serif" w:eastAsia="sans-serif" w:cs="sans-serif"/>
          <w:b/>
          <w:bCs/>
          <w:kern w:val="0"/>
          <w:sz w:val="32"/>
          <w:szCs w:val="32"/>
          <w:shd w:val="clear" w:fill="FFFFFF"/>
          <w:lang w:val="en-US" w:eastAsia="zh-CN" w:bidi="ar"/>
        </w:rPr>
        <w:t>（</w:t>
      </w:r>
      <w:r>
        <w:rPr>
          <w:rFonts w:hint="default"/>
          <w:b/>
          <w:bCs/>
          <w:color w:val="auto"/>
          <w:sz w:val="28"/>
          <w:szCs w:val="24"/>
          <w:lang w:val="en-US" w:eastAsia="zh-CN"/>
        </w:rPr>
        <w:t>本章非响应文件格式，符合则提供，否则不提供）</w:t>
      </w:r>
    </w:p>
    <w:p>
      <w:pPr>
        <w:pStyle w:val="2"/>
        <w:tabs>
          <w:tab w:val="left" w:pos="1291"/>
        </w:tabs>
        <w:jc w:val="center"/>
        <w:outlineLvl w:val="0"/>
        <w:rPr>
          <w:color w:val="auto"/>
        </w:rPr>
      </w:pPr>
    </w:p>
    <w:p>
      <w:pPr>
        <w:pStyle w:val="10"/>
        <w:spacing w:before="1"/>
        <w:ind w:left="0"/>
        <w:rPr>
          <w:b/>
          <w:color w:val="auto"/>
          <w:sz w:val="14"/>
        </w:rPr>
      </w:pPr>
    </w:p>
    <w:p>
      <w:pPr>
        <w:pStyle w:val="6"/>
        <w:spacing w:before="61"/>
        <w:outlineLvl w:val="0"/>
        <w:rPr>
          <w:rFonts w:hint="eastAsia"/>
          <w:b/>
          <w:color w:val="auto"/>
          <w:sz w:val="32"/>
          <w:highlight w:val="none"/>
        </w:rPr>
      </w:pPr>
      <w:bookmarkStart w:id="61" w:name="_Toc1959"/>
      <w:bookmarkStart w:id="62" w:name="_Toc22139"/>
      <w:r>
        <w:rPr>
          <w:color w:val="auto"/>
          <w:highlight w:val="none"/>
        </w:rPr>
        <w:t>附件一</w:t>
      </w:r>
      <w:bookmarkEnd w:id="61"/>
      <w:r>
        <w:rPr>
          <w:rFonts w:hint="eastAsia"/>
          <w:color w:val="auto"/>
          <w:highlight w:val="none"/>
          <w:lang w:val="en-US" w:eastAsia="zh-CN"/>
        </w:rPr>
        <w:t xml:space="preserve">      </w:t>
      </w:r>
      <w:r>
        <w:rPr>
          <w:rFonts w:hint="eastAsia"/>
          <w:b/>
          <w:color w:val="auto"/>
          <w:sz w:val="32"/>
          <w:highlight w:val="none"/>
        </w:rPr>
        <w:t>中小企业声明函（工程、服务）格式</w:t>
      </w:r>
    </w:p>
    <w:p>
      <w:pPr>
        <w:rPr>
          <w:rFonts w:hint="eastAsia" w:ascii="宋体" w:hAnsi="宋体" w:cs="宋体"/>
          <w:b/>
          <w:color w:val="auto"/>
          <w:sz w:val="32"/>
        </w:rPr>
      </w:pP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firstLine="560" w:firstLineChars="200"/>
        <w:jc w:val="left"/>
        <w:textAlignment w:val="auto"/>
        <w:outlineLvl w:val="0"/>
        <w:rPr>
          <w:rFonts w:hint="eastAsia"/>
          <w:b w:val="0"/>
          <w:bCs/>
          <w:color w:val="auto"/>
          <w:sz w:val="28"/>
          <w:szCs w:val="24"/>
        </w:rPr>
      </w:pPr>
      <w:r>
        <w:rPr>
          <w:rFonts w:hint="eastAsia"/>
          <w:b w:val="0"/>
          <w:bCs/>
          <w:color w:val="auto"/>
          <w:sz w:val="28"/>
          <w:szCs w:val="24"/>
        </w:rPr>
        <w:t>本公司（联合体）郑重声明，</w:t>
      </w:r>
      <w:r>
        <w:rPr>
          <w:rFonts w:hint="eastAsia"/>
          <w:b w:val="0"/>
          <w:bCs/>
          <w:color w:val="auto"/>
          <w:sz w:val="28"/>
          <w:szCs w:val="24"/>
          <w:highlight w:val="none"/>
        </w:rPr>
        <w:t>根据《政府采购促进中小企业发展管理办法》（财库﹝2020﹞46 号）的规定，</w:t>
      </w:r>
      <w:r>
        <w:rPr>
          <w:rFonts w:hint="eastAsia"/>
          <w:b w:val="0"/>
          <w:bCs/>
          <w:color w:val="auto"/>
          <w:sz w:val="28"/>
          <w:szCs w:val="24"/>
        </w:rPr>
        <w:t>本公司（联合体）参加</w:t>
      </w:r>
      <w:r>
        <w:rPr>
          <w:rFonts w:hint="eastAsia"/>
          <w:b w:val="0"/>
          <w:bCs/>
          <w:color w:val="auto"/>
          <w:sz w:val="28"/>
          <w:szCs w:val="24"/>
          <w:u w:val="single"/>
        </w:rPr>
        <w:t>（单位名称）</w:t>
      </w:r>
      <w:r>
        <w:rPr>
          <w:rFonts w:hint="eastAsia"/>
          <w:b w:val="0"/>
          <w:bCs/>
          <w:color w:val="auto"/>
          <w:sz w:val="28"/>
          <w:szCs w:val="24"/>
        </w:rPr>
        <w:t>的</w:t>
      </w:r>
      <w:r>
        <w:rPr>
          <w:rFonts w:hint="eastAsia"/>
          <w:b w:val="0"/>
          <w:bCs/>
          <w:color w:val="auto"/>
          <w:sz w:val="28"/>
          <w:szCs w:val="24"/>
          <w:u w:val="single"/>
        </w:rPr>
        <w:t>（项目名称）</w:t>
      </w:r>
      <w:r>
        <w:rPr>
          <w:rFonts w:hint="eastAsia"/>
          <w:b w:val="0"/>
          <w:bCs/>
          <w:color w:val="auto"/>
          <w:sz w:val="28"/>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firstLine="560" w:firstLineChars="200"/>
        <w:jc w:val="left"/>
        <w:textAlignment w:val="auto"/>
        <w:outlineLvl w:val="0"/>
        <w:rPr>
          <w:rFonts w:hint="eastAsia"/>
          <w:b w:val="0"/>
          <w:bCs/>
          <w:color w:val="auto"/>
          <w:sz w:val="28"/>
          <w:szCs w:val="24"/>
        </w:rPr>
      </w:pPr>
      <w:r>
        <w:rPr>
          <w:rFonts w:hint="eastAsia"/>
          <w:b w:val="0"/>
          <w:bCs/>
          <w:color w:val="auto"/>
          <w:sz w:val="28"/>
          <w:szCs w:val="24"/>
        </w:rPr>
        <w:t>1、</w:t>
      </w:r>
      <w:r>
        <w:rPr>
          <w:rFonts w:hint="eastAsia"/>
          <w:b w:val="0"/>
          <w:bCs/>
          <w:color w:val="auto"/>
          <w:sz w:val="28"/>
          <w:szCs w:val="24"/>
          <w:u w:val="single"/>
        </w:rPr>
        <w:t>（标的名称）</w:t>
      </w:r>
      <w:r>
        <w:rPr>
          <w:rFonts w:hint="eastAsia"/>
          <w:b w:val="0"/>
          <w:bCs/>
          <w:color w:val="auto"/>
          <w:sz w:val="28"/>
          <w:szCs w:val="24"/>
        </w:rPr>
        <w:t>，属于</w:t>
      </w:r>
      <w:r>
        <w:rPr>
          <w:rFonts w:hint="eastAsia"/>
          <w:b w:val="0"/>
          <w:bCs/>
          <w:color w:val="auto"/>
          <w:sz w:val="28"/>
          <w:szCs w:val="24"/>
          <w:u w:val="single"/>
        </w:rPr>
        <w:t>（采购文件中明确的所属行业）</w:t>
      </w:r>
      <w:r>
        <w:rPr>
          <w:rFonts w:hint="eastAsia"/>
          <w:b w:val="0"/>
          <w:bCs/>
          <w:color w:val="auto"/>
          <w:sz w:val="28"/>
          <w:szCs w:val="24"/>
        </w:rPr>
        <w:t>；承建（承接）企业为</w:t>
      </w:r>
      <w:r>
        <w:rPr>
          <w:rFonts w:hint="eastAsia"/>
          <w:b w:val="0"/>
          <w:bCs/>
          <w:color w:val="auto"/>
          <w:sz w:val="28"/>
          <w:szCs w:val="24"/>
          <w:u w:val="single"/>
        </w:rPr>
        <w:t>（企业名称）</w:t>
      </w:r>
      <w:r>
        <w:rPr>
          <w:rFonts w:hint="eastAsia"/>
          <w:b w:val="0"/>
          <w:bCs/>
          <w:color w:val="auto"/>
          <w:sz w:val="28"/>
          <w:szCs w:val="24"/>
        </w:rPr>
        <w:t>，从业人员</w:t>
      </w:r>
      <w:r>
        <w:rPr>
          <w:rFonts w:hint="eastAsia"/>
          <w:b w:val="0"/>
          <w:bCs/>
          <w:color w:val="auto"/>
          <w:sz w:val="28"/>
          <w:szCs w:val="24"/>
          <w:u w:val="single"/>
        </w:rPr>
        <w:t xml:space="preserve">   </w:t>
      </w:r>
      <w:r>
        <w:rPr>
          <w:rFonts w:hint="eastAsia"/>
          <w:b w:val="0"/>
          <w:bCs/>
          <w:color w:val="auto"/>
          <w:sz w:val="28"/>
          <w:szCs w:val="24"/>
        </w:rPr>
        <w:t>人，营业收入为</w:t>
      </w:r>
      <w:r>
        <w:rPr>
          <w:rFonts w:hint="eastAsia"/>
          <w:b w:val="0"/>
          <w:bCs/>
          <w:color w:val="auto"/>
          <w:sz w:val="28"/>
          <w:szCs w:val="24"/>
          <w:u w:val="single"/>
        </w:rPr>
        <w:t xml:space="preserve">   </w:t>
      </w:r>
      <w:r>
        <w:rPr>
          <w:rFonts w:hint="eastAsia"/>
          <w:b w:val="0"/>
          <w:bCs/>
          <w:color w:val="auto"/>
          <w:sz w:val="28"/>
          <w:szCs w:val="24"/>
        </w:rPr>
        <w:t>万元，资产总额为</w:t>
      </w:r>
      <w:r>
        <w:rPr>
          <w:rFonts w:hint="eastAsia"/>
          <w:b w:val="0"/>
          <w:bCs/>
          <w:color w:val="auto"/>
          <w:sz w:val="28"/>
          <w:szCs w:val="24"/>
          <w:u w:val="single"/>
        </w:rPr>
        <w:t xml:space="preserve">  </w:t>
      </w:r>
      <w:r>
        <w:rPr>
          <w:rFonts w:hint="eastAsia"/>
          <w:b w:val="0"/>
          <w:bCs/>
          <w:color w:val="auto"/>
          <w:sz w:val="28"/>
          <w:szCs w:val="24"/>
        </w:rPr>
        <w:t>万元，属于</w:t>
      </w:r>
      <w:r>
        <w:rPr>
          <w:rFonts w:hint="eastAsia"/>
          <w:b w:val="0"/>
          <w:bCs/>
          <w:color w:val="auto"/>
          <w:sz w:val="28"/>
          <w:szCs w:val="24"/>
          <w:u w:val="single"/>
        </w:rPr>
        <w:t>（中型企业、小型企业、微型企业）</w:t>
      </w:r>
      <w:r>
        <w:rPr>
          <w:rFonts w:hint="eastAsia"/>
          <w:b w:val="0"/>
          <w:bCs/>
          <w:color w:val="auto"/>
          <w:sz w:val="28"/>
          <w:szCs w:val="24"/>
        </w:rPr>
        <w:t>；</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firstLine="560" w:firstLineChars="200"/>
        <w:jc w:val="left"/>
        <w:textAlignment w:val="auto"/>
        <w:outlineLvl w:val="0"/>
        <w:rPr>
          <w:rFonts w:hint="eastAsia"/>
          <w:b w:val="0"/>
          <w:bCs/>
          <w:color w:val="auto"/>
          <w:sz w:val="28"/>
          <w:szCs w:val="24"/>
        </w:rPr>
      </w:pPr>
      <w:r>
        <w:rPr>
          <w:rFonts w:hint="eastAsia"/>
          <w:b w:val="0"/>
          <w:bCs/>
          <w:color w:val="auto"/>
          <w:sz w:val="28"/>
          <w:szCs w:val="24"/>
        </w:rPr>
        <w:t>2、</w:t>
      </w:r>
      <w:r>
        <w:rPr>
          <w:rFonts w:hint="eastAsia"/>
          <w:b w:val="0"/>
          <w:bCs/>
          <w:color w:val="auto"/>
          <w:sz w:val="28"/>
          <w:szCs w:val="24"/>
          <w:u w:val="single"/>
        </w:rPr>
        <w:t>（标的名称）</w:t>
      </w:r>
      <w:r>
        <w:rPr>
          <w:rFonts w:hint="eastAsia"/>
          <w:b w:val="0"/>
          <w:bCs/>
          <w:color w:val="auto"/>
          <w:sz w:val="28"/>
          <w:szCs w:val="24"/>
        </w:rPr>
        <w:t>，属于</w:t>
      </w:r>
      <w:r>
        <w:rPr>
          <w:rFonts w:hint="eastAsia"/>
          <w:b w:val="0"/>
          <w:bCs/>
          <w:color w:val="auto"/>
          <w:sz w:val="28"/>
          <w:szCs w:val="24"/>
          <w:u w:val="single"/>
        </w:rPr>
        <w:t>（采购文件中明确的所属行业）</w:t>
      </w:r>
      <w:r>
        <w:rPr>
          <w:rFonts w:hint="eastAsia"/>
          <w:b w:val="0"/>
          <w:bCs/>
          <w:color w:val="auto"/>
          <w:sz w:val="28"/>
          <w:szCs w:val="24"/>
        </w:rPr>
        <w:t>；承建（承接）企业为</w:t>
      </w:r>
      <w:r>
        <w:rPr>
          <w:rFonts w:hint="eastAsia"/>
          <w:b w:val="0"/>
          <w:bCs/>
          <w:color w:val="auto"/>
          <w:sz w:val="28"/>
          <w:szCs w:val="24"/>
          <w:u w:val="single"/>
        </w:rPr>
        <w:t>（企业名称）</w:t>
      </w:r>
      <w:r>
        <w:rPr>
          <w:rFonts w:hint="eastAsia"/>
          <w:b w:val="0"/>
          <w:bCs/>
          <w:color w:val="auto"/>
          <w:sz w:val="28"/>
          <w:szCs w:val="24"/>
        </w:rPr>
        <w:t>，从业人员</w:t>
      </w:r>
      <w:r>
        <w:rPr>
          <w:rFonts w:hint="eastAsia"/>
          <w:b w:val="0"/>
          <w:bCs/>
          <w:color w:val="auto"/>
          <w:sz w:val="28"/>
          <w:szCs w:val="24"/>
          <w:u w:val="single"/>
        </w:rPr>
        <w:t xml:space="preserve">  </w:t>
      </w:r>
      <w:r>
        <w:rPr>
          <w:rFonts w:hint="eastAsia"/>
          <w:b w:val="0"/>
          <w:bCs/>
          <w:color w:val="auto"/>
          <w:sz w:val="28"/>
          <w:szCs w:val="24"/>
        </w:rPr>
        <w:t>人，营业收入为</w:t>
      </w:r>
      <w:r>
        <w:rPr>
          <w:rFonts w:hint="eastAsia"/>
          <w:b w:val="0"/>
          <w:bCs/>
          <w:color w:val="auto"/>
          <w:sz w:val="28"/>
          <w:szCs w:val="24"/>
          <w:u w:val="single"/>
        </w:rPr>
        <w:t xml:space="preserve">   </w:t>
      </w:r>
      <w:r>
        <w:rPr>
          <w:rFonts w:hint="eastAsia"/>
          <w:b w:val="0"/>
          <w:bCs/>
          <w:color w:val="auto"/>
          <w:sz w:val="28"/>
          <w:szCs w:val="24"/>
        </w:rPr>
        <w:t>万元，资产总额为</w:t>
      </w:r>
      <w:r>
        <w:rPr>
          <w:rFonts w:hint="eastAsia"/>
          <w:b w:val="0"/>
          <w:bCs/>
          <w:color w:val="auto"/>
          <w:sz w:val="28"/>
          <w:szCs w:val="24"/>
          <w:u w:val="single"/>
        </w:rPr>
        <w:t xml:space="preserve">  </w:t>
      </w:r>
      <w:r>
        <w:rPr>
          <w:rFonts w:hint="eastAsia"/>
          <w:b w:val="0"/>
          <w:bCs/>
          <w:color w:val="auto"/>
          <w:sz w:val="28"/>
          <w:szCs w:val="24"/>
        </w:rPr>
        <w:t>万元，属于</w:t>
      </w:r>
      <w:r>
        <w:rPr>
          <w:rFonts w:hint="eastAsia"/>
          <w:b w:val="0"/>
          <w:bCs/>
          <w:color w:val="auto"/>
          <w:sz w:val="28"/>
          <w:szCs w:val="24"/>
          <w:u w:val="single"/>
        </w:rPr>
        <w:t>（中型企业、小型企业、微型企业）</w:t>
      </w:r>
      <w:r>
        <w:rPr>
          <w:rFonts w:hint="eastAsia"/>
          <w:b w:val="0"/>
          <w:bCs/>
          <w:color w:val="auto"/>
          <w:sz w:val="28"/>
          <w:szCs w:val="24"/>
        </w:rPr>
        <w:t>；</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firstLine="560" w:firstLineChars="200"/>
        <w:jc w:val="left"/>
        <w:textAlignment w:val="auto"/>
        <w:outlineLvl w:val="0"/>
        <w:rPr>
          <w:rFonts w:hint="eastAsia"/>
          <w:b w:val="0"/>
          <w:bCs/>
          <w:color w:val="auto"/>
          <w:sz w:val="28"/>
          <w:szCs w:val="24"/>
        </w:rPr>
      </w:pPr>
      <w:r>
        <w:rPr>
          <w:rFonts w:hint="eastAsia"/>
          <w:b w:val="0"/>
          <w:bCs/>
          <w:color w:val="auto"/>
          <w:sz w:val="28"/>
          <w:szCs w:val="24"/>
        </w:rPr>
        <w:t>……</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firstLine="560" w:firstLineChars="200"/>
        <w:jc w:val="left"/>
        <w:textAlignment w:val="auto"/>
        <w:outlineLvl w:val="0"/>
        <w:rPr>
          <w:rFonts w:hint="eastAsia"/>
          <w:b w:val="0"/>
          <w:bCs/>
          <w:color w:val="auto"/>
          <w:sz w:val="28"/>
          <w:szCs w:val="24"/>
        </w:rPr>
      </w:pPr>
      <w:r>
        <w:rPr>
          <w:rFonts w:hint="eastAsia"/>
          <w:b w:val="0"/>
          <w:bCs/>
          <w:color w:val="auto"/>
          <w:sz w:val="28"/>
          <w:szCs w:val="24"/>
        </w:rPr>
        <w:t>以上企业，不属于大企业的分支机构，不存在控股股东为大企业的情形，也不存在与大企业的负责人为同一人的情形。</w:t>
      </w:r>
    </w:p>
    <w:p>
      <w:pPr>
        <w:pStyle w:val="6"/>
        <w:keepNext w:val="0"/>
        <w:keepLines w:val="0"/>
        <w:pageBreakBefore w:val="0"/>
        <w:widowControl w:val="0"/>
        <w:kinsoku/>
        <w:wordWrap/>
        <w:overflowPunct/>
        <w:topLinePunct w:val="0"/>
        <w:autoSpaceDE w:val="0"/>
        <w:autoSpaceDN w:val="0"/>
        <w:bidi w:val="0"/>
        <w:adjustRightInd/>
        <w:snapToGrid/>
        <w:spacing w:before="0" w:line="600" w:lineRule="exact"/>
        <w:ind w:left="0" w:firstLine="560" w:firstLineChars="200"/>
        <w:jc w:val="left"/>
        <w:textAlignment w:val="auto"/>
        <w:outlineLvl w:val="0"/>
        <w:rPr>
          <w:rFonts w:hint="eastAsia"/>
          <w:b w:val="0"/>
          <w:bCs/>
          <w:color w:val="auto"/>
          <w:sz w:val="28"/>
          <w:szCs w:val="24"/>
        </w:rPr>
      </w:pPr>
      <w:r>
        <w:rPr>
          <w:rFonts w:hint="eastAsia"/>
          <w:b w:val="0"/>
          <w:bCs/>
          <w:color w:val="auto"/>
          <w:sz w:val="28"/>
          <w:szCs w:val="24"/>
        </w:rPr>
        <w:t>本企业对上述声明内容的真实性负责。如有虚假，将依法承担相应责任。</w:t>
      </w: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outlineLvl w:val="0"/>
        <w:rPr>
          <w:rFonts w:hint="eastAsia"/>
          <w:b w:val="0"/>
          <w:bCs/>
          <w:color w:val="auto"/>
          <w:sz w:val="28"/>
          <w:szCs w:val="24"/>
        </w:rPr>
      </w:pPr>
      <w:r>
        <w:rPr>
          <w:rFonts w:hint="eastAsia"/>
          <w:b w:val="0"/>
          <w:bCs/>
          <w:color w:val="auto"/>
          <w:sz w:val="28"/>
          <w:szCs w:val="24"/>
        </w:rPr>
        <w:t xml:space="preserve">                           </w:t>
      </w:r>
      <w:r>
        <w:rPr>
          <w:rFonts w:hint="eastAsia"/>
          <w:b w:val="0"/>
          <w:bCs/>
          <w:color w:val="auto"/>
          <w:sz w:val="28"/>
          <w:szCs w:val="24"/>
          <w:lang w:val="en-US" w:eastAsia="zh-CN"/>
        </w:rPr>
        <w:t xml:space="preserve"> </w:t>
      </w:r>
      <w:r>
        <w:rPr>
          <w:rFonts w:hint="eastAsia"/>
          <w:b w:val="0"/>
          <w:bCs/>
          <w:color w:val="auto"/>
          <w:sz w:val="28"/>
          <w:szCs w:val="24"/>
        </w:rPr>
        <w:t xml:space="preserve"> </w:t>
      </w: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outlineLvl w:val="0"/>
        <w:rPr>
          <w:rFonts w:hint="eastAsia"/>
          <w:b w:val="0"/>
          <w:bCs/>
          <w:color w:val="auto"/>
          <w:sz w:val="28"/>
          <w:szCs w:val="24"/>
        </w:rPr>
      </w:pP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center"/>
        <w:textAlignment w:val="auto"/>
        <w:outlineLvl w:val="0"/>
        <w:rPr>
          <w:rFonts w:hint="eastAsia"/>
          <w:b w:val="0"/>
          <w:bCs/>
          <w:color w:val="auto"/>
          <w:sz w:val="28"/>
          <w:szCs w:val="24"/>
        </w:rPr>
      </w:pPr>
      <w:r>
        <w:rPr>
          <w:rFonts w:hint="eastAsia"/>
          <w:b w:val="0"/>
          <w:bCs/>
          <w:color w:val="auto"/>
          <w:sz w:val="28"/>
          <w:szCs w:val="24"/>
        </w:rPr>
        <w:t>企业名称（盖章）</w:t>
      </w: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firstLine="560" w:firstLineChars="200"/>
        <w:jc w:val="left"/>
        <w:textAlignment w:val="auto"/>
        <w:outlineLvl w:val="0"/>
        <w:rPr>
          <w:b w:val="0"/>
          <w:bCs/>
          <w:color w:val="auto"/>
          <w:sz w:val="24"/>
          <w:szCs w:val="24"/>
        </w:rPr>
      </w:pPr>
      <w:r>
        <w:rPr>
          <w:rFonts w:hint="eastAsia"/>
          <w:b w:val="0"/>
          <w:bCs/>
          <w:color w:val="auto"/>
          <w:sz w:val="28"/>
          <w:szCs w:val="24"/>
        </w:rPr>
        <w:t xml:space="preserve">                   </w:t>
      </w:r>
      <w:r>
        <w:rPr>
          <w:rFonts w:hint="eastAsia"/>
          <w:b w:val="0"/>
          <w:bCs/>
          <w:color w:val="auto"/>
          <w:sz w:val="28"/>
          <w:szCs w:val="24"/>
          <w:lang w:val="en-US" w:eastAsia="zh-CN"/>
        </w:rPr>
        <w:t xml:space="preserve">          </w:t>
      </w:r>
      <w:r>
        <w:rPr>
          <w:rFonts w:hint="eastAsia"/>
          <w:b w:val="0"/>
          <w:bCs/>
          <w:color w:val="auto"/>
          <w:sz w:val="28"/>
          <w:szCs w:val="24"/>
        </w:rPr>
        <w:t>日期：</w:t>
      </w:r>
    </w:p>
    <w:p>
      <w:pPr>
        <w:pStyle w:val="6"/>
        <w:ind w:left="0" w:leftChars="0" w:firstLine="0" w:firstLineChars="0"/>
        <w:outlineLvl w:val="0"/>
        <w:rPr>
          <w:color w:val="auto"/>
        </w:rPr>
      </w:pPr>
    </w:p>
    <w:p>
      <w:pPr>
        <w:pStyle w:val="6"/>
        <w:ind w:left="0" w:leftChars="0" w:firstLine="0" w:firstLineChars="0"/>
        <w:outlineLvl w:val="0"/>
        <w:rPr>
          <w:color w:val="auto"/>
        </w:rPr>
      </w:pPr>
    </w:p>
    <w:p>
      <w:pPr>
        <w:pStyle w:val="6"/>
        <w:outlineLvl w:val="0"/>
        <w:rPr>
          <w:color w:val="auto"/>
        </w:rPr>
      </w:pPr>
      <w:r>
        <w:rPr>
          <w:color w:val="auto"/>
        </w:rPr>
        <w:t>附件二</w:t>
      </w:r>
      <w:bookmarkEnd w:id="62"/>
    </w:p>
    <w:p>
      <w:pPr>
        <w:jc w:val="center"/>
        <w:rPr>
          <w:b/>
          <w:bCs/>
          <w:color w:val="auto"/>
        </w:rPr>
      </w:pPr>
      <w:r>
        <w:rPr>
          <w:b/>
          <w:bCs/>
          <w:color w:val="auto"/>
        </w:rPr>
        <w:t>工业和信息化部、国家统计局、国家发展和改革委员会、财政部</w:t>
      </w:r>
    </w:p>
    <w:p>
      <w:pPr>
        <w:jc w:val="center"/>
        <w:rPr>
          <w:b/>
          <w:bCs/>
          <w:color w:val="auto"/>
        </w:rPr>
      </w:pPr>
      <w:r>
        <w:rPr>
          <w:b/>
          <w:bCs/>
          <w:color w:val="auto"/>
        </w:rPr>
        <w:t>《关于印发 中小企业 划型标准规定的通知》</w:t>
      </w:r>
    </w:p>
    <w:p>
      <w:pPr>
        <w:jc w:val="center"/>
        <w:rPr>
          <w:color w:val="auto"/>
        </w:rPr>
      </w:pPr>
      <w:r>
        <w:rPr>
          <w:color w:val="auto"/>
          <w:highlight w:val="none"/>
        </w:rPr>
        <w:t>工信部</w:t>
      </w:r>
      <w:r>
        <w:rPr>
          <w:color w:val="auto"/>
        </w:rPr>
        <w:t>联企业〔 2011 〕300 号</w:t>
      </w:r>
    </w:p>
    <w:p>
      <w:pPr>
        <w:pStyle w:val="10"/>
        <w:spacing w:before="1"/>
        <w:ind w:left="356" w:right="542"/>
        <w:jc w:val="center"/>
        <w:rPr>
          <w:color w:val="auto"/>
        </w:rPr>
      </w:pPr>
      <w:r>
        <w:rPr>
          <w:color w:val="auto"/>
        </w:rPr>
        <w:t>各省、自治区、直辖市人民政府，国务院各部委、各直属机构及有关单位：</w:t>
      </w:r>
    </w:p>
    <w:p>
      <w:pPr>
        <w:pStyle w:val="10"/>
        <w:spacing w:before="160" w:line="364" w:lineRule="auto"/>
        <w:ind w:right="485" w:firstLine="480"/>
        <w:jc w:val="both"/>
        <w:rPr>
          <w:color w:val="auto"/>
        </w:rPr>
      </w:pPr>
      <w:r>
        <w:rPr>
          <w:color w:val="auto"/>
        </w:rPr>
        <w:t>为贯彻落实《中华人民共和国中小企业促进法》和《国务院关于进一步促进中小企业发展的若干意见》（国发〔2009〕36 号），工业和信息化部、国家统计局、发展改革委、财政部研究制定了《中小企业划型标准规定》。经国务院同意，现印发给你们， 请遵照执行。</w:t>
      </w:r>
    </w:p>
    <w:p>
      <w:pPr>
        <w:pStyle w:val="10"/>
        <w:spacing w:before="3"/>
        <w:ind w:left="0" w:right="534"/>
        <w:jc w:val="right"/>
        <w:rPr>
          <w:color w:val="auto"/>
        </w:rPr>
      </w:pPr>
      <w:r>
        <w:rPr>
          <w:color w:val="auto"/>
        </w:rPr>
        <w:t>工业和信息化部 国家统计局 国家发展和改革委员会 财政部</w:t>
      </w:r>
    </w:p>
    <w:p>
      <w:pPr>
        <w:pStyle w:val="10"/>
        <w:spacing w:before="161"/>
        <w:ind w:left="0" w:right="535"/>
        <w:jc w:val="right"/>
        <w:rPr>
          <w:color w:val="auto"/>
        </w:rPr>
      </w:pPr>
      <w:r>
        <w:rPr>
          <w:color w:val="auto"/>
        </w:rPr>
        <w:t>二○一一年六月十八日</w:t>
      </w:r>
    </w:p>
    <w:p>
      <w:pPr>
        <w:pStyle w:val="10"/>
        <w:spacing w:before="160"/>
        <w:ind w:left="4113"/>
        <w:rPr>
          <w:color w:val="auto"/>
        </w:rPr>
      </w:pPr>
      <w:r>
        <w:rPr>
          <w:color w:val="auto"/>
        </w:rPr>
        <w:t>中小企业划型标准规定</w:t>
      </w:r>
    </w:p>
    <w:p>
      <w:pPr>
        <w:pStyle w:val="10"/>
        <w:spacing w:before="161" w:line="364" w:lineRule="auto"/>
        <w:ind w:right="533" w:firstLine="480"/>
        <w:rPr>
          <w:color w:val="auto"/>
        </w:rPr>
      </w:pPr>
      <w:r>
        <w:rPr>
          <w:color w:val="auto"/>
          <w:spacing w:val="-8"/>
        </w:rPr>
        <w:t>一、根据《中华人民共和国中小企业促进法》和《国务院关于进一步促进中小企业</w:t>
      </w:r>
      <w:r>
        <w:rPr>
          <w:color w:val="auto"/>
        </w:rPr>
        <w:t>发展的若干意见》</w:t>
      </w:r>
      <w:r>
        <w:rPr>
          <w:rFonts w:hint="eastAsia"/>
          <w:color w:val="auto"/>
          <w:lang w:eastAsia="zh-CN"/>
        </w:rPr>
        <w:t>（</w:t>
      </w:r>
      <w:r>
        <w:rPr>
          <w:color w:val="auto"/>
        </w:rPr>
        <w:t>国发〔2009〕36</w:t>
      </w:r>
      <w:r>
        <w:rPr>
          <w:color w:val="auto"/>
          <w:spacing w:val="-1"/>
        </w:rPr>
        <w:t xml:space="preserve"> 号</w:t>
      </w:r>
      <w:r>
        <w:rPr>
          <w:rFonts w:hint="eastAsia"/>
          <w:color w:val="auto"/>
          <w:spacing w:val="-1"/>
          <w:lang w:eastAsia="zh-CN"/>
        </w:rPr>
        <w:t>）</w:t>
      </w:r>
      <w:r>
        <w:rPr>
          <w:color w:val="auto"/>
          <w:spacing w:val="-1"/>
        </w:rPr>
        <w:t>，制定本规定。</w:t>
      </w:r>
    </w:p>
    <w:p>
      <w:pPr>
        <w:pStyle w:val="10"/>
        <w:spacing w:before="2" w:line="364" w:lineRule="auto"/>
        <w:ind w:right="533" w:firstLine="480"/>
        <w:rPr>
          <w:color w:val="auto"/>
        </w:rPr>
      </w:pPr>
      <w:r>
        <w:rPr>
          <w:color w:val="auto"/>
          <w:spacing w:val="-8"/>
        </w:rPr>
        <w:t>二、中小企业划分为中型、小型、微型三种类型，具体标准根据企业从业人员、营</w:t>
      </w:r>
      <w:r>
        <w:rPr>
          <w:color w:val="auto"/>
        </w:rPr>
        <w:t>业收入、资产总额等指标，结合行业特点制定。</w:t>
      </w:r>
    </w:p>
    <w:p>
      <w:pPr>
        <w:pStyle w:val="10"/>
        <w:spacing w:before="1" w:line="364" w:lineRule="auto"/>
        <w:ind w:right="485" w:firstLine="480"/>
        <w:jc w:val="both"/>
        <w:rPr>
          <w:color w:val="auto"/>
        </w:rPr>
      </w:pPr>
      <w:r>
        <w:rPr>
          <w:color w:val="auto"/>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 其他未列明行业（包括科学研究和技术服务业，水利、环境和公共设施管理业，居民服务、修理和其他服务业，社会工作，文化、体育和娱乐业等）。</w:t>
      </w:r>
    </w:p>
    <w:p>
      <w:pPr>
        <w:pStyle w:val="10"/>
        <w:spacing w:before="4"/>
        <w:ind w:firstLine="420" w:firstLineChars="200"/>
        <w:rPr>
          <w:color w:val="auto"/>
        </w:rPr>
      </w:pPr>
      <w:r>
        <w:rPr>
          <w:color w:val="auto"/>
        </w:rPr>
        <w:t>四、各</w:t>
      </w:r>
      <w:r>
        <w:rPr>
          <w:color w:val="auto"/>
          <w:highlight w:val="none"/>
        </w:rPr>
        <w:t>行业划</w:t>
      </w:r>
      <w:r>
        <w:rPr>
          <w:color w:val="auto"/>
        </w:rPr>
        <w:t>型标准为：详见下表</w:t>
      </w:r>
    </w:p>
    <w:p>
      <w:pPr>
        <w:pStyle w:val="10"/>
        <w:spacing w:before="160"/>
        <w:ind w:firstLine="420" w:firstLineChars="200"/>
        <w:rPr>
          <w:color w:val="auto"/>
        </w:rPr>
      </w:pPr>
      <w:r>
        <w:rPr>
          <w:color w:val="auto"/>
        </w:rPr>
        <w:t>五、企业类型的划分以统计部门的统计数据为依据。</w:t>
      </w:r>
    </w:p>
    <w:p>
      <w:pPr>
        <w:pStyle w:val="10"/>
        <w:spacing w:before="161" w:line="364" w:lineRule="auto"/>
        <w:ind w:right="535" w:firstLine="480"/>
        <w:rPr>
          <w:color w:val="auto"/>
        </w:rPr>
      </w:pPr>
      <w:r>
        <w:rPr>
          <w:color w:val="auto"/>
          <w:spacing w:val="-9"/>
        </w:rPr>
        <w:t>六、本规定适用于在中华人民共和国境内依法设立的各类所有制和各种组织形式的</w:t>
      </w:r>
      <w:r>
        <w:rPr>
          <w:color w:val="auto"/>
        </w:rPr>
        <w:t>企业。个体工商户和本规定以外的行业，参照本规定进行划型。</w:t>
      </w:r>
    </w:p>
    <w:p>
      <w:pPr>
        <w:pStyle w:val="10"/>
        <w:spacing w:before="1" w:line="364" w:lineRule="auto"/>
        <w:ind w:right="533" w:firstLine="480"/>
        <w:jc w:val="both"/>
        <w:rPr>
          <w:color w:val="auto"/>
        </w:rPr>
      </w:pPr>
      <w:r>
        <w:rPr>
          <w:color w:val="auto"/>
          <w:spacing w:val="-7"/>
        </w:rPr>
        <w:t>七、本规定的中型企业标准上限即为大型企业标准的下限，国家统计部门据此制定</w:t>
      </w:r>
      <w:r>
        <w:rPr>
          <w:color w:val="auto"/>
          <w:spacing w:val="-4"/>
        </w:rPr>
        <w:t>大中小微型企业的统计分类。国务院有关部门据此进行相关数据分析，不得制定与本规</w:t>
      </w:r>
      <w:r>
        <w:rPr>
          <w:color w:val="auto"/>
        </w:rPr>
        <w:t>定不一致的企业划型标准。</w:t>
      </w:r>
    </w:p>
    <w:p>
      <w:pPr>
        <w:pStyle w:val="10"/>
        <w:spacing w:before="99" w:line="364" w:lineRule="auto"/>
        <w:ind w:right="418" w:firstLine="480"/>
        <w:rPr>
          <w:color w:val="auto"/>
        </w:rPr>
      </w:pPr>
      <w:r>
        <w:rPr>
          <w:color w:val="auto"/>
          <w:spacing w:val="-15"/>
        </w:rPr>
        <w:t>八、本规定由工业和信息化部、国家统计局会同有关部门根据《国民经济行业分类》</w:t>
      </w:r>
      <w:r>
        <w:rPr>
          <w:color w:val="auto"/>
        </w:rPr>
        <w:t>修订情况和企业发展变化情况适时修订。</w:t>
      </w:r>
    </w:p>
    <w:p>
      <w:pPr>
        <w:pStyle w:val="10"/>
        <w:spacing w:before="1"/>
        <w:ind w:firstLine="420" w:firstLineChars="200"/>
        <w:rPr>
          <w:color w:val="auto"/>
        </w:rPr>
      </w:pPr>
      <w:r>
        <w:rPr>
          <w:color w:val="auto"/>
        </w:rPr>
        <w:t>九、本规定由工业和信息化部、国家统计局会同有关部门负责解释。</w:t>
      </w:r>
    </w:p>
    <w:p>
      <w:pPr>
        <w:pStyle w:val="10"/>
        <w:spacing w:before="161" w:line="364" w:lineRule="auto"/>
        <w:ind w:right="472" w:firstLine="480"/>
        <w:rPr>
          <w:color w:val="auto"/>
        </w:rPr>
      </w:pPr>
      <w:r>
        <w:rPr>
          <w:color w:val="auto"/>
        </w:rPr>
        <w:t>十、本规定自发布之日起执行，原国家经贸委、原国家计委、财政部和国家统计局2003 年颁布的《中小企业标准暂行规定》同时废止。</w:t>
      </w:r>
    </w:p>
    <w:p>
      <w:pPr>
        <w:spacing w:after="0" w:line="364" w:lineRule="auto"/>
        <w:rPr>
          <w:color w:val="auto"/>
        </w:rPr>
        <w:sectPr>
          <w:pgSz w:w="11910" w:h="16840"/>
          <w:pgMar w:top="1380" w:right="880" w:bottom="1100" w:left="880" w:header="888" w:footer="910" w:gutter="0"/>
          <w:pgNumType w:fmt="decimal"/>
          <w:cols w:space="720" w:num="1"/>
        </w:sectPr>
      </w:pPr>
    </w:p>
    <w:p>
      <w:pPr>
        <w:pStyle w:val="6"/>
        <w:outlineLvl w:val="0"/>
        <w:rPr>
          <w:color w:val="auto"/>
        </w:rPr>
      </w:pPr>
      <w:bookmarkStart w:id="63" w:name="_Toc3510"/>
      <w:r>
        <w:rPr>
          <w:color w:val="auto"/>
        </w:rPr>
        <w:t>附件三</w:t>
      </w:r>
      <w:bookmarkEnd w:id="63"/>
    </w:p>
    <w:p>
      <w:pPr>
        <w:jc w:val="center"/>
        <w:rPr>
          <w:b/>
          <w:bCs/>
          <w:color w:val="auto"/>
        </w:rPr>
      </w:pPr>
      <w:r>
        <w:rPr>
          <w:b/>
          <w:bCs/>
          <w:color w:val="auto"/>
        </w:rPr>
        <w:t>河南省人民政府</w:t>
      </w:r>
    </w:p>
    <w:p>
      <w:pPr>
        <w:jc w:val="center"/>
        <w:rPr>
          <w:b/>
          <w:bCs/>
          <w:color w:val="auto"/>
        </w:rPr>
      </w:pPr>
      <w:r>
        <w:rPr>
          <w:b/>
          <w:bCs/>
          <w:color w:val="auto"/>
        </w:rPr>
        <w:t>关于进一步促进小型微型企业健康发展的若干意见</w:t>
      </w:r>
    </w:p>
    <w:p>
      <w:pPr>
        <w:jc w:val="center"/>
        <w:rPr>
          <w:b/>
          <w:bCs/>
          <w:color w:val="auto"/>
        </w:rPr>
      </w:pPr>
      <w:r>
        <w:rPr>
          <w:b/>
          <w:bCs/>
          <w:color w:val="auto"/>
        </w:rPr>
        <w:t>豫政〔2012〕81 号</w:t>
      </w:r>
    </w:p>
    <w:p>
      <w:pPr>
        <w:jc w:val="both"/>
        <w:rPr>
          <w:b w:val="0"/>
          <w:bCs w:val="0"/>
          <w:color w:val="auto"/>
        </w:rPr>
      </w:pPr>
      <w:r>
        <w:rPr>
          <w:b w:val="0"/>
          <w:bCs w:val="0"/>
          <w:color w:val="auto"/>
        </w:rPr>
        <w:t>各省辖市、省直管试点县</w:t>
      </w:r>
      <w:r>
        <w:rPr>
          <w:rFonts w:hint="eastAsia"/>
          <w:b w:val="0"/>
          <w:bCs w:val="0"/>
          <w:color w:val="auto"/>
          <w:lang w:eastAsia="zh-CN"/>
        </w:rPr>
        <w:t>（</w:t>
      </w:r>
      <w:r>
        <w:rPr>
          <w:b w:val="0"/>
          <w:bCs w:val="0"/>
          <w:color w:val="auto"/>
        </w:rPr>
        <w:t>市</w:t>
      </w:r>
      <w:r>
        <w:rPr>
          <w:rFonts w:hint="eastAsia"/>
          <w:b w:val="0"/>
          <w:bCs w:val="0"/>
          <w:color w:val="auto"/>
          <w:lang w:eastAsia="zh-CN"/>
        </w:rPr>
        <w:t>）</w:t>
      </w:r>
      <w:r>
        <w:rPr>
          <w:b w:val="0"/>
          <w:bCs w:val="0"/>
          <w:color w:val="auto"/>
        </w:rPr>
        <w:t>人民政府,省人民政府各部门:</w:t>
      </w:r>
    </w:p>
    <w:p>
      <w:pPr>
        <w:ind w:firstLine="480" w:firstLineChars="200"/>
        <w:jc w:val="both"/>
        <w:rPr>
          <w:b w:val="0"/>
          <w:bCs w:val="0"/>
          <w:color w:val="auto"/>
        </w:rPr>
      </w:pPr>
      <w:r>
        <w:rPr>
          <w:b w:val="0"/>
          <w:bCs w:val="0"/>
          <w:color w:val="auto"/>
        </w:rPr>
        <w:t>为贯彻落实《国务院关于进一步支持小型微型企业健康发展的意见》</w:t>
      </w:r>
      <w:r>
        <w:rPr>
          <w:rFonts w:hint="eastAsia"/>
          <w:b w:val="0"/>
          <w:bCs w:val="0"/>
          <w:color w:val="auto"/>
          <w:lang w:eastAsia="zh-CN"/>
        </w:rPr>
        <w:t>（</w:t>
      </w:r>
      <w:r>
        <w:rPr>
          <w:b w:val="0"/>
          <w:bCs w:val="0"/>
          <w:color w:val="auto"/>
        </w:rPr>
        <w:t>国发〔2012〕14 号</w:t>
      </w:r>
      <w:r>
        <w:rPr>
          <w:rFonts w:hint="eastAsia"/>
          <w:b w:val="0"/>
          <w:bCs w:val="0"/>
          <w:color w:val="auto"/>
          <w:lang w:eastAsia="zh-CN"/>
        </w:rPr>
        <w:t>）</w:t>
      </w:r>
      <w:r>
        <w:rPr>
          <w:b w:val="0"/>
          <w:bCs w:val="0"/>
          <w:color w:val="auto"/>
        </w:rPr>
        <w:t>精神,破解小型微型企业发展难题,促进全省经济社会又好又快发展,结合我省实际,现就进一步促进小型微型企业健康发展提出如下意见,请认真贯彻落实。</w:t>
      </w:r>
    </w:p>
    <w:p>
      <w:pPr>
        <w:jc w:val="center"/>
        <w:rPr>
          <w:b/>
          <w:bCs/>
          <w:color w:val="auto"/>
        </w:rPr>
      </w:pPr>
      <w:r>
        <w:rPr>
          <w:b/>
          <w:bCs/>
          <w:color w:val="auto"/>
        </w:rPr>
        <w:t>河南省财政厅 河南省工业和信息化厅</w:t>
      </w:r>
    </w:p>
    <w:p>
      <w:pPr>
        <w:jc w:val="center"/>
        <w:rPr>
          <w:b/>
          <w:bCs/>
          <w:color w:val="auto"/>
        </w:rPr>
      </w:pPr>
      <w:r>
        <w:rPr>
          <w:rFonts w:ascii="宋体" w:hAnsi="宋体" w:eastAsia="仿宋" w:cs="宋体"/>
          <w:b/>
          <w:bCs/>
          <w:color w:val="auto"/>
          <w:sz w:val="24"/>
          <w:szCs w:val="22"/>
          <w:lang w:val="zh-CN" w:eastAsia="zh-CN" w:bidi="zh-CN"/>
        </w:rPr>
        <mc:AlternateContent>
          <mc:Choice Requires="wps">
            <w:drawing>
              <wp:anchor distT="0" distB="0" distL="114300" distR="114300" simplePos="0" relativeHeight="251661312" behindDoc="0" locked="0" layoutInCell="1" allowOverlap="1">
                <wp:simplePos x="0" y="0"/>
                <wp:positionH relativeFrom="page">
                  <wp:posOffset>631825</wp:posOffset>
                </wp:positionH>
                <wp:positionV relativeFrom="paragraph">
                  <wp:posOffset>645160</wp:posOffset>
                </wp:positionV>
                <wp:extent cx="6300470" cy="5434330"/>
                <wp:effectExtent l="0" t="0" r="0" b="0"/>
                <wp:wrapNone/>
                <wp:docPr id="7" name="文本框 50"/>
                <wp:cNvGraphicFramePr/>
                <a:graphic xmlns:a="http://schemas.openxmlformats.org/drawingml/2006/main">
                  <a:graphicData uri="http://schemas.microsoft.com/office/word/2010/wordprocessingShape">
                    <wps:wsp>
                      <wps:cNvSpPr/>
                      <wps:spPr>
                        <a:xfrm>
                          <a:off x="0" y="0"/>
                          <a:ext cx="6300470" cy="5434330"/>
                        </a:xfrm>
                        <a:prstGeom prst="rect">
                          <a:avLst/>
                        </a:prstGeom>
                        <a:noFill/>
                        <a:ln>
                          <a:noFill/>
                        </a:ln>
                      </wps:spPr>
                      <wps:txbx>
                        <w:txbxContent>
                          <w:p>
                            <w:pPr>
                              <w:pStyle w:val="10"/>
                              <w:ind w:left="0"/>
                            </w:pPr>
                          </w:p>
                        </w:txbxContent>
                      </wps:txbx>
                      <wps:bodyPr lIns="0" tIns="0" rIns="0" bIns="0" upright="1"/>
                    </wps:wsp>
                  </a:graphicData>
                </a:graphic>
              </wp:anchor>
            </w:drawing>
          </mc:Choice>
          <mc:Fallback>
            <w:pict>
              <v:rect id="文本框 50" o:spid="_x0000_s1026" o:spt="1" style="position:absolute;left:0pt;margin-left:49.75pt;margin-top:50.8pt;height:427.9pt;width:496.1pt;mso-position-horizontal-relative:page;z-index:251661312;mso-width-relative:page;mso-height-relative:page;" filled="f" stroked="f" coordsize="21600,21600" o:gfxdata="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RNJ7B2gAAAAsBAAAPAAAAAAAAAAEAIAAAACIAAABkcnMvZG93bnJldi54bWxQSwECFAAU&#10;AAAACACHTuJA9tkFU7YBAABqAwAADgAAAAAAAAABACAAAAApAQAAZHJzL2Uyb0RvYy54bWxQSwUG&#10;AAAAAAYABgBZAQAAUQUAAAAA&#10;">
                <v:fill on="f" focussize="0,0"/>
                <v:stroke on="f"/>
                <v:imagedata o:title=""/>
                <o:lock v:ext="edit" aspectratio="f"/>
                <v:textbox inset="0mm,0mm,0mm,0mm">
                  <w:txbxContent>
                    <w:p>
                      <w:pPr>
                        <w:pStyle w:val="10"/>
                        <w:ind w:left="0"/>
                      </w:pPr>
                    </w:p>
                  </w:txbxContent>
                </v:textbox>
              </v:rect>
            </w:pict>
          </mc:Fallback>
        </mc:AlternateContent>
      </w:r>
      <w:r>
        <w:rPr>
          <w:b/>
          <w:bCs/>
          <w:color w:val="auto"/>
        </w:rPr>
        <w:t xml:space="preserve">《关于政府采购促进小型微型企业发展的实施意见》（豫财购[2013]14 号） </w:t>
      </w:r>
    </w:p>
    <w:tbl>
      <w:tblPr>
        <w:tblStyle w:val="21"/>
        <w:tblpPr w:leftFromText="180" w:rightFromText="180" w:vertAnchor="text" w:horzAnchor="page" w:tblpX="981" w:tblpY="696"/>
        <w:tblOverlap w:val="never"/>
        <w:tblW w:w="48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7"/>
        <w:gridCol w:w="1457"/>
        <w:gridCol w:w="846"/>
        <w:gridCol w:w="846"/>
        <w:gridCol w:w="850"/>
        <w:gridCol w:w="846"/>
        <w:gridCol w:w="846"/>
        <w:gridCol w:w="750"/>
        <w:gridCol w:w="846"/>
        <w:gridCol w:w="848"/>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81" w:type="pct"/>
            <w:vMerge w:val="restart"/>
            <w:vAlign w:val="top"/>
          </w:tcPr>
          <w:p>
            <w:pPr>
              <w:pStyle w:val="48"/>
              <w:spacing w:before="79"/>
              <w:ind w:left="96" w:right="88"/>
              <w:jc w:val="center"/>
              <w:rPr>
                <w:b/>
                <w:color w:val="auto"/>
                <w:sz w:val="24"/>
              </w:rPr>
            </w:pPr>
            <w:r>
              <w:rPr>
                <w:b/>
                <w:color w:val="auto"/>
                <w:sz w:val="24"/>
              </w:rPr>
              <w:t>行业类</w:t>
            </w:r>
          </w:p>
          <w:p>
            <w:pPr>
              <w:pStyle w:val="48"/>
              <w:spacing w:before="160"/>
              <w:ind w:left="12"/>
              <w:jc w:val="center"/>
              <w:rPr>
                <w:b/>
                <w:color w:val="auto"/>
                <w:sz w:val="24"/>
              </w:rPr>
            </w:pPr>
            <w:r>
              <w:rPr>
                <w:b/>
                <w:color w:val="auto"/>
                <w:w w:val="99"/>
                <w:sz w:val="24"/>
              </w:rPr>
              <w:t>型</w:t>
            </w:r>
          </w:p>
        </w:tc>
        <w:tc>
          <w:tcPr>
            <w:tcW w:w="732" w:type="pct"/>
            <w:vMerge w:val="restart"/>
            <w:vAlign w:val="top"/>
          </w:tcPr>
          <w:p>
            <w:pPr>
              <w:pStyle w:val="48"/>
              <w:spacing w:before="79"/>
              <w:ind w:left="101" w:right="95"/>
              <w:jc w:val="center"/>
              <w:rPr>
                <w:b/>
                <w:color w:val="auto"/>
                <w:sz w:val="24"/>
              </w:rPr>
            </w:pPr>
            <w:r>
              <w:rPr>
                <w:b/>
                <w:color w:val="auto"/>
                <w:sz w:val="24"/>
              </w:rPr>
              <w:t>中小微型企</w:t>
            </w:r>
          </w:p>
          <w:p>
            <w:pPr>
              <w:pStyle w:val="48"/>
              <w:spacing w:before="160"/>
              <w:ind w:left="7"/>
              <w:jc w:val="center"/>
              <w:rPr>
                <w:b/>
                <w:color w:val="auto"/>
                <w:sz w:val="24"/>
              </w:rPr>
            </w:pPr>
            <w:r>
              <w:rPr>
                <w:b/>
                <w:color w:val="auto"/>
                <w:w w:val="99"/>
                <w:sz w:val="24"/>
              </w:rPr>
              <w:t>业</w:t>
            </w:r>
          </w:p>
        </w:tc>
        <w:tc>
          <w:tcPr>
            <w:tcW w:w="1277" w:type="pct"/>
            <w:gridSpan w:val="3"/>
            <w:vAlign w:val="top"/>
          </w:tcPr>
          <w:p>
            <w:pPr>
              <w:pStyle w:val="48"/>
              <w:spacing w:before="79"/>
              <w:ind w:left="782"/>
              <w:rPr>
                <w:b/>
                <w:color w:val="auto"/>
                <w:sz w:val="24"/>
              </w:rPr>
            </w:pPr>
            <w:r>
              <w:rPr>
                <w:b/>
                <w:color w:val="auto"/>
                <w:sz w:val="24"/>
              </w:rPr>
              <w:t>营业收入</w:t>
            </w:r>
          </w:p>
        </w:tc>
        <w:tc>
          <w:tcPr>
            <w:tcW w:w="1227" w:type="pct"/>
            <w:gridSpan w:val="3"/>
            <w:vAlign w:val="top"/>
          </w:tcPr>
          <w:p>
            <w:pPr>
              <w:pStyle w:val="48"/>
              <w:spacing w:before="79"/>
              <w:ind w:left="733"/>
              <w:rPr>
                <w:b/>
                <w:color w:val="auto"/>
                <w:sz w:val="24"/>
              </w:rPr>
            </w:pPr>
            <w:r>
              <w:rPr>
                <w:b/>
                <w:color w:val="auto"/>
                <w:sz w:val="24"/>
              </w:rPr>
              <w:t>从业人员</w:t>
            </w:r>
          </w:p>
        </w:tc>
        <w:tc>
          <w:tcPr>
            <w:tcW w:w="1280" w:type="pct"/>
            <w:gridSpan w:val="3"/>
            <w:vAlign w:val="top"/>
          </w:tcPr>
          <w:p>
            <w:pPr>
              <w:pStyle w:val="48"/>
              <w:spacing w:before="79"/>
              <w:ind w:left="783"/>
              <w:rPr>
                <w:b/>
                <w:color w:val="auto"/>
                <w:sz w:val="24"/>
              </w:rPr>
            </w:pPr>
            <w:r>
              <w:rPr>
                <w:b/>
                <w:color w:val="auto"/>
                <w:sz w:val="24"/>
              </w:rPr>
              <w:t>资产总额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481" w:type="pct"/>
            <w:vMerge w:val="continue"/>
            <w:tcBorders>
              <w:top w:val="nil"/>
            </w:tcBorders>
            <w:vAlign w:val="top"/>
          </w:tcPr>
          <w:p>
            <w:pPr>
              <w:rPr>
                <w:color w:val="auto"/>
                <w:sz w:val="2"/>
                <w:szCs w:val="2"/>
              </w:rPr>
            </w:pPr>
          </w:p>
        </w:tc>
        <w:tc>
          <w:tcPr>
            <w:tcW w:w="732" w:type="pct"/>
            <w:vMerge w:val="continue"/>
            <w:tcBorders>
              <w:top w:val="nil"/>
            </w:tcBorders>
            <w:vAlign w:val="top"/>
          </w:tcPr>
          <w:p>
            <w:pPr>
              <w:rPr>
                <w:color w:val="auto"/>
                <w:sz w:val="2"/>
                <w:szCs w:val="2"/>
              </w:rPr>
            </w:pPr>
          </w:p>
        </w:tc>
        <w:tc>
          <w:tcPr>
            <w:tcW w:w="425" w:type="pct"/>
            <w:vAlign w:val="top"/>
          </w:tcPr>
          <w:p>
            <w:pPr>
              <w:pStyle w:val="48"/>
              <w:spacing w:before="79"/>
              <w:ind w:left="10"/>
              <w:jc w:val="center"/>
              <w:rPr>
                <w:b/>
                <w:color w:val="auto"/>
                <w:sz w:val="24"/>
              </w:rPr>
            </w:pPr>
            <w:r>
              <w:rPr>
                <w:b/>
                <w:color w:val="auto"/>
                <w:w w:val="99"/>
                <w:sz w:val="24"/>
              </w:rPr>
              <w:t>中</w:t>
            </w:r>
          </w:p>
        </w:tc>
        <w:tc>
          <w:tcPr>
            <w:tcW w:w="425" w:type="pct"/>
            <w:vAlign w:val="top"/>
          </w:tcPr>
          <w:p>
            <w:pPr>
              <w:pStyle w:val="48"/>
              <w:spacing w:before="79"/>
              <w:ind w:left="11"/>
              <w:jc w:val="center"/>
              <w:rPr>
                <w:b/>
                <w:color w:val="auto"/>
                <w:sz w:val="24"/>
              </w:rPr>
            </w:pPr>
            <w:r>
              <w:rPr>
                <w:b/>
                <w:color w:val="auto"/>
                <w:w w:val="99"/>
                <w:sz w:val="24"/>
              </w:rPr>
              <w:t>小</w:t>
            </w:r>
          </w:p>
        </w:tc>
        <w:tc>
          <w:tcPr>
            <w:tcW w:w="427" w:type="pct"/>
            <w:vAlign w:val="top"/>
          </w:tcPr>
          <w:p>
            <w:pPr>
              <w:pStyle w:val="48"/>
              <w:spacing w:before="79"/>
              <w:ind w:left="14"/>
              <w:jc w:val="center"/>
              <w:rPr>
                <w:b/>
                <w:color w:val="auto"/>
                <w:sz w:val="24"/>
              </w:rPr>
            </w:pPr>
            <w:r>
              <w:rPr>
                <w:b/>
                <w:color w:val="auto"/>
                <w:w w:val="99"/>
                <w:sz w:val="24"/>
              </w:rPr>
              <w:t>微</w:t>
            </w:r>
          </w:p>
        </w:tc>
        <w:tc>
          <w:tcPr>
            <w:tcW w:w="425" w:type="pct"/>
            <w:vAlign w:val="top"/>
          </w:tcPr>
          <w:p>
            <w:pPr>
              <w:pStyle w:val="48"/>
              <w:spacing w:before="79"/>
              <w:ind w:left="13"/>
              <w:jc w:val="center"/>
              <w:rPr>
                <w:b/>
                <w:color w:val="auto"/>
                <w:sz w:val="24"/>
              </w:rPr>
            </w:pPr>
            <w:r>
              <w:rPr>
                <w:b/>
                <w:color w:val="auto"/>
                <w:w w:val="99"/>
                <w:sz w:val="24"/>
              </w:rPr>
              <w:t>中</w:t>
            </w:r>
          </w:p>
        </w:tc>
        <w:tc>
          <w:tcPr>
            <w:tcW w:w="425" w:type="pct"/>
            <w:vAlign w:val="top"/>
          </w:tcPr>
          <w:p>
            <w:pPr>
              <w:pStyle w:val="48"/>
              <w:spacing w:before="79"/>
              <w:ind w:left="13"/>
              <w:jc w:val="center"/>
              <w:rPr>
                <w:b/>
                <w:color w:val="auto"/>
                <w:sz w:val="24"/>
              </w:rPr>
            </w:pPr>
            <w:r>
              <w:rPr>
                <w:b/>
                <w:color w:val="auto"/>
                <w:w w:val="99"/>
                <w:sz w:val="24"/>
              </w:rPr>
              <w:t>小</w:t>
            </w:r>
          </w:p>
        </w:tc>
        <w:tc>
          <w:tcPr>
            <w:tcW w:w="377" w:type="pct"/>
            <w:vAlign w:val="top"/>
          </w:tcPr>
          <w:p>
            <w:pPr>
              <w:pStyle w:val="48"/>
              <w:spacing w:before="79"/>
              <w:ind w:left="250"/>
              <w:rPr>
                <w:b/>
                <w:color w:val="auto"/>
                <w:sz w:val="24"/>
              </w:rPr>
            </w:pPr>
            <w:r>
              <w:rPr>
                <w:b/>
                <w:color w:val="auto"/>
                <w:w w:val="99"/>
                <w:sz w:val="24"/>
              </w:rPr>
              <w:t>微</w:t>
            </w:r>
          </w:p>
        </w:tc>
        <w:tc>
          <w:tcPr>
            <w:tcW w:w="425" w:type="pct"/>
            <w:vAlign w:val="top"/>
          </w:tcPr>
          <w:p>
            <w:pPr>
              <w:pStyle w:val="48"/>
              <w:spacing w:before="79"/>
              <w:ind w:left="10"/>
              <w:jc w:val="center"/>
              <w:rPr>
                <w:b/>
                <w:color w:val="auto"/>
                <w:sz w:val="24"/>
              </w:rPr>
            </w:pPr>
            <w:r>
              <w:rPr>
                <w:b/>
                <w:color w:val="auto"/>
                <w:w w:val="99"/>
                <w:sz w:val="24"/>
              </w:rPr>
              <w:t>中</w:t>
            </w:r>
          </w:p>
        </w:tc>
        <w:tc>
          <w:tcPr>
            <w:tcW w:w="426" w:type="pct"/>
            <w:vAlign w:val="top"/>
          </w:tcPr>
          <w:p>
            <w:pPr>
              <w:pStyle w:val="48"/>
              <w:spacing w:before="79"/>
              <w:ind w:left="11"/>
              <w:jc w:val="center"/>
              <w:rPr>
                <w:b/>
                <w:color w:val="auto"/>
                <w:sz w:val="24"/>
              </w:rPr>
            </w:pPr>
            <w:r>
              <w:rPr>
                <w:b/>
                <w:color w:val="auto"/>
                <w:w w:val="99"/>
                <w:sz w:val="24"/>
              </w:rPr>
              <w:t>小</w:t>
            </w:r>
          </w:p>
        </w:tc>
        <w:tc>
          <w:tcPr>
            <w:tcW w:w="429" w:type="pct"/>
            <w:vAlign w:val="top"/>
          </w:tcPr>
          <w:p>
            <w:pPr>
              <w:pStyle w:val="48"/>
              <w:spacing w:before="79"/>
              <w:ind w:left="11"/>
              <w:jc w:val="center"/>
              <w:rPr>
                <w:b/>
                <w:color w:val="auto"/>
                <w:sz w:val="24"/>
              </w:rPr>
            </w:pPr>
            <w:r>
              <w:rPr>
                <w:b/>
                <w:color w:val="auto"/>
                <w:w w:val="99"/>
                <w:sz w:val="24"/>
              </w:rPr>
              <w:t>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1" w:type="pct"/>
            <w:vAlign w:val="top"/>
          </w:tcPr>
          <w:p>
            <w:pPr>
              <w:pStyle w:val="48"/>
              <w:spacing w:before="156" w:line="242" w:lineRule="auto"/>
              <w:ind w:left="107" w:right="-29"/>
              <w:jc w:val="center"/>
              <w:rPr>
                <w:color w:val="auto"/>
                <w:sz w:val="24"/>
              </w:rPr>
            </w:pPr>
            <w:r>
              <w:rPr>
                <w:color w:val="auto"/>
                <w:spacing w:val="-28"/>
                <w:sz w:val="24"/>
              </w:rPr>
              <w:t>农、林、</w:t>
            </w:r>
            <w:r>
              <w:rPr>
                <w:color w:val="auto"/>
                <w:sz w:val="24"/>
              </w:rPr>
              <w:t>牧、渔业</w:t>
            </w:r>
          </w:p>
        </w:tc>
        <w:tc>
          <w:tcPr>
            <w:tcW w:w="732" w:type="pct"/>
            <w:vAlign w:val="top"/>
          </w:tcPr>
          <w:p>
            <w:pPr>
              <w:pStyle w:val="48"/>
              <w:spacing w:line="242" w:lineRule="auto"/>
              <w:ind w:left="101" w:right="92"/>
              <w:jc w:val="center"/>
              <w:rPr>
                <w:color w:val="auto"/>
                <w:sz w:val="24"/>
              </w:rPr>
            </w:pPr>
            <w:r>
              <w:rPr>
                <w:color w:val="auto"/>
                <w:sz w:val="24"/>
              </w:rPr>
              <w:t>营业收入20000 万元</w:t>
            </w:r>
          </w:p>
          <w:p>
            <w:pPr>
              <w:pStyle w:val="48"/>
              <w:spacing w:before="3"/>
              <w:ind w:left="101" w:right="94"/>
              <w:jc w:val="center"/>
              <w:rPr>
                <w:color w:val="auto"/>
                <w:sz w:val="24"/>
              </w:rPr>
            </w:pPr>
            <w:r>
              <w:rPr>
                <w:color w:val="auto"/>
                <w:sz w:val="24"/>
              </w:rPr>
              <w:t>以下</w:t>
            </w:r>
          </w:p>
        </w:tc>
        <w:tc>
          <w:tcPr>
            <w:tcW w:w="425" w:type="pct"/>
            <w:vAlign w:val="top"/>
          </w:tcPr>
          <w:p>
            <w:pPr>
              <w:pStyle w:val="48"/>
              <w:ind w:left="107"/>
              <w:rPr>
                <w:color w:val="auto"/>
                <w:sz w:val="24"/>
              </w:rPr>
            </w:pPr>
            <w:r>
              <w:rPr>
                <w:color w:val="auto"/>
                <w:sz w:val="24"/>
              </w:rPr>
              <w:t>500</w:t>
            </w:r>
          </w:p>
          <w:p>
            <w:pPr>
              <w:pStyle w:val="48"/>
              <w:spacing w:before="4"/>
              <w:ind w:left="107"/>
              <w:rPr>
                <w:color w:val="auto"/>
                <w:sz w:val="24"/>
              </w:rPr>
            </w:pPr>
            <w:r>
              <w:rPr>
                <w:color w:val="auto"/>
                <w:sz w:val="24"/>
              </w:rPr>
              <w:t>万 元</w:t>
            </w:r>
          </w:p>
          <w:p>
            <w:pPr>
              <w:pStyle w:val="48"/>
              <w:spacing w:before="2" w:line="310" w:lineRule="atLeast"/>
              <w:ind w:left="107" w:right="96"/>
              <w:rPr>
                <w:color w:val="auto"/>
                <w:sz w:val="24"/>
              </w:rPr>
            </w:pPr>
            <w:r>
              <w:rPr>
                <w:color w:val="auto"/>
                <w:sz w:val="24"/>
              </w:rPr>
              <w:t>及 以上</w:t>
            </w:r>
          </w:p>
        </w:tc>
        <w:tc>
          <w:tcPr>
            <w:tcW w:w="425" w:type="pct"/>
            <w:vAlign w:val="top"/>
          </w:tcPr>
          <w:p>
            <w:pPr>
              <w:pStyle w:val="48"/>
              <w:spacing w:line="242" w:lineRule="auto"/>
              <w:ind w:left="182" w:right="109" w:hanging="60"/>
              <w:jc w:val="both"/>
              <w:rPr>
                <w:color w:val="auto"/>
                <w:sz w:val="24"/>
              </w:rPr>
            </w:pPr>
            <w:r>
              <w:rPr>
                <w:color w:val="auto"/>
                <w:sz w:val="24"/>
              </w:rPr>
              <w:t>50 万元及以上</w:t>
            </w:r>
          </w:p>
        </w:tc>
        <w:tc>
          <w:tcPr>
            <w:tcW w:w="427" w:type="pct"/>
            <w:vAlign w:val="top"/>
          </w:tcPr>
          <w:p>
            <w:pPr>
              <w:pStyle w:val="48"/>
              <w:spacing w:line="242" w:lineRule="auto"/>
              <w:ind w:left="183" w:right="106" w:hanging="60"/>
              <w:jc w:val="both"/>
              <w:rPr>
                <w:color w:val="auto"/>
                <w:sz w:val="24"/>
              </w:rPr>
            </w:pPr>
            <w:r>
              <w:rPr>
                <w:color w:val="auto"/>
                <w:sz w:val="24"/>
              </w:rPr>
              <w:t>50 万元以下</w:t>
            </w:r>
          </w:p>
        </w:tc>
        <w:tc>
          <w:tcPr>
            <w:tcW w:w="425" w:type="pct"/>
            <w:vAlign w:val="top"/>
          </w:tcPr>
          <w:p>
            <w:pPr>
              <w:pStyle w:val="48"/>
              <w:rPr>
                <w:rFonts w:ascii="Times New Roman"/>
                <w:color w:val="auto"/>
                <w:sz w:val="24"/>
              </w:rPr>
            </w:pPr>
          </w:p>
        </w:tc>
        <w:tc>
          <w:tcPr>
            <w:tcW w:w="425" w:type="pct"/>
            <w:vAlign w:val="top"/>
          </w:tcPr>
          <w:p>
            <w:pPr>
              <w:pStyle w:val="48"/>
              <w:rPr>
                <w:rFonts w:ascii="Times New Roman"/>
                <w:color w:val="auto"/>
                <w:sz w:val="24"/>
              </w:rPr>
            </w:pPr>
          </w:p>
        </w:tc>
        <w:tc>
          <w:tcPr>
            <w:tcW w:w="377" w:type="pct"/>
            <w:vAlign w:val="top"/>
          </w:tcPr>
          <w:p>
            <w:pPr>
              <w:pStyle w:val="48"/>
              <w:rPr>
                <w:rFonts w:ascii="Times New Roman"/>
                <w:color w:val="auto"/>
                <w:sz w:val="24"/>
              </w:rPr>
            </w:pPr>
          </w:p>
        </w:tc>
        <w:tc>
          <w:tcPr>
            <w:tcW w:w="425" w:type="pct"/>
            <w:vAlign w:val="top"/>
          </w:tcPr>
          <w:p>
            <w:pPr>
              <w:pStyle w:val="48"/>
              <w:rPr>
                <w:rFonts w:ascii="Times New Roman"/>
                <w:color w:val="auto"/>
                <w:sz w:val="24"/>
              </w:rPr>
            </w:pPr>
          </w:p>
        </w:tc>
        <w:tc>
          <w:tcPr>
            <w:tcW w:w="426" w:type="pct"/>
            <w:vAlign w:val="top"/>
          </w:tcPr>
          <w:p>
            <w:pPr>
              <w:pStyle w:val="48"/>
              <w:rPr>
                <w:rFonts w:ascii="Times New Roman"/>
                <w:color w:val="auto"/>
                <w:sz w:val="24"/>
              </w:rPr>
            </w:pPr>
          </w:p>
        </w:tc>
        <w:tc>
          <w:tcPr>
            <w:tcW w:w="429" w:type="pct"/>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481" w:type="pct"/>
            <w:vAlign w:val="top"/>
          </w:tcPr>
          <w:p>
            <w:pPr>
              <w:pStyle w:val="48"/>
              <w:rPr>
                <w:b/>
                <w:color w:val="auto"/>
                <w:sz w:val="24"/>
              </w:rPr>
            </w:pPr>
          </w:p>
          <w:p>
            <w:pPr>
              <w:pStyle w:val="48"/>
              <w:spacing w:before="160"/>
              <w:ind w:left="96" w:right="84"/>
              <w:jc w:val="center"/>
              <w:rPr>
                <w:color w:val="auto"/>
                <w:sz w:val="24"/>
              </w:rPr>
            </w:pPr>
            <w:r>
              <w:rPr>
                <w:color w:val="auto"/>
                <w:sz w:val="24"/>
              </w:rPr>
              <w:t>工业</w:t>
            </w:r>
          </w:p>
        </w:tc>
        <w:tc>
          <w:tcPr>
            <w:tcW w:w="732" w:type="pct"/>
            <w:vAlign w:val="top"/>
          </w:tcPr>
          <w:p>
            <w:pPr>
              <w:pStyle w:val="48"/>
              <w:spacing w:line="242" w:lineRule="auto"/>
              <w:ind w:left="124" w:right="115" w:firstLine="60"/>
              <w:jc w:val="both"/>
              <w:rPr>
                <w:color w:val="auto"/>
                <w:sz w:val="24"/>
              </w:rPr>
            </w:pPr>
            <w:r>
              <w:rPr>
                <w:color w:val="auto"/>
                <w:sz w:val="24"/>
              </w:rPr>
              <w:t>1000 人以</w:t>
            </w:r>
            <w:r>
              <w:rPr>
                <w:color w:val="auto"/>
                <w:spacing w:val="-4"/>
                <w:sz w:val="24"/>
              </w:rPr>
              <w:t>下或营业收</w:t>
            </w:r>
            <w:r>
              <w:rPr>
                <w:color w:val="auto"/>
                <w:sz w:val="24"/>
              </w:rPr>
              <w:t>入 40000</w:t>
            </w:r>
          </w:p>
          <w:p>
            <w:pPr>
              <w:pStyle w:val="48"/>
              <w:spacing w:before="4" w:line="292" w:lineRule="exact"/>
              <w:ind w:left="244"/>
              <w:rPr>
                <w:color w:val="auto"/>
                <w:sz w:val="24"/>
              </w:rPr>
            </w:pPr>
            <w:r>
              <w:rPr>
                <w:color w:val="auto"/>
                <w:sz w:val="24"/>
              </w:rPr>
              <w:t>万元以下</w:t>
            </w:r>
          </w:p>
        </w:tc>
        <w:tc>
          <w:tcPr>
            <w:tcW w:w="425" w:type="pct"/>
            <w:vAlign w:val="top"/>
          </w:tcPr>
          <w:p>
            <w:pPr>
              <w:pStyle w:val="48"/>
              <w:spacing w:line="307" w:lineRule="exact"/>
              <w:ind w:left="182"/>
              <w:rPr>
                <w:color w:val="auto"/>
                <w:sz w:val="24"/>
              </w:rPr>
            </w:pPr>
            <w:r>
              <w:rPr>
                <w:color w:val="auto"/>
                <w:sz w:val="24"/>
              </w:rPr>
              <w:t>2000</w:t>
            </w:r>
          </w:p>
          <w:p>
            <w:pPr>
              <w:pStyle w:val="48"/>
              <w:spacing w:before="2" w:line="310" w:lineRule="atLeast"/>
              <w:ind w:left="182" w:right="170"/>
              <w:jc w:val="both"/>
              <w:rPr>
                <w:color w:val="auto"/>
                <w:sz w:val="24"/>
              </w:rPr>
            </w:pPr>
            <w:r>
              <w:rPr>
                <w:color w:val="auto"/>
                <w:sz w:val="24"/>
              </w:rPr>
              <w:t>万元及以上</w:t>
            </w:r>
          </w:p>
        </w:tc>
        <w:tc>
          <w:tcPr>
            <w:tcW w:w="425" w:type="pct"/>
            <w:vAlign w:val="top"/>
          </w:tcPr>
          <w:p>
            <w:pPr>
              <w:pStyle w:val="48"/>
              <w:spacing w:line="307" w:lineRule="exact"/>
              <w:ind w:left="242"/>
              <w:rPr>
                <w:color w:val="auto"/>
                <w:sz w:val="24"/>
              </w:rPr>
            </w:pPr>
            <w:r>
              <w:rPr>
                <w:color w:val="auto"/>
                <w:sz w:val="24"/>
              </w:rPr>
              <w:t>300</w:t>
            </w:r>
          </w:p>
          <w:p>
            <w:pPr>
              <w:pStyle w:val="48"/>
              <w:spacing w:before="2" w:line="310" w:lineRule="atLeast"/>
              <w:ind w:left="182" w:right="169"/>
              <w:jc w:val="both"/>
              <w:rPr>
                <w:color w:val="auto"/>
                <w:sz w:val="24"/>
              </w:rPr>
            </w:pPr>
            <w:r>
              <w:rPr>
                <w:color w:val="auto"/>
                <w:sz w:val="24"/>
              </w:rPr>
              <w:t>万元及以上</w:t>
            </w:r>
          </w:p>
        </w:tc>
        <w:tc>
          <w:tcPr>
            <w:tcW w:w="427" w:type="pct"/>
            <w:vAlign w:val="top"/>
          </w:tcPr>
          <w:p>
            <w:pPr>
              <w:pStyle w:val="48"/>
              <w:spacing w:line="307" w:lineRule="exact"/>
              <w:ind w:left="243"/>
              <w:rPr>
                <w:color w:val="auto"/>
                <w:sz w:val="24"/>
              </w:rPr>
            </w:pPr>
            <w:r>
              <w:rPr>
                <w:color w:val="auto"/>
                <w:sz w:val="24"/>
              </w:rPr>
              <w:t>300</w:t>
            </w:r>
          </w:p>
          <w:p>
            <w:pPr>
              <w:pStyle w:val="48"/>
              <w:spacing w:before="2" w:line="310" w:lineRule="atLeast"/>
              <w:ind w:left="183" w:right="166"/>
              <w:jc w:val="both"/>
              <w:rPr>
                <w:color w:val="auto"/>
                <w:sz w:val="24"/>
              </w:rPr>
            </w:pPr>
            <w:r>
              <w:rPr>
                <w:color w:val="auto"/>
                <w:sz w:val="24"/>
              </w:rPr>
              <w:t>万元及以上</w:t>
            </w:r>
          </w:p>
        </w:tc>
        <w:tc>
          <w:tcPr>
            <w:tcW w:w="425" w:type="pct"/>
            <w:vAlign w:val="top"/>
          </w:tcPr>
          <w:p>
            <w:pPr>
              <w:pStyle w:val="48"/>
              <w:spacing w:line="307" w:lineRule="exact"/>
              <w:ind w:left="244"/>
              <w:rPr>
                <w:color w:val="auto"/>
                <w:sz w:val="24"/>
              </w:rPr>
            </w:pPr>
            <w:r>
              <w:rPr>
                <w:color w:val="auto"/>
                <w:sz w:val="24"/>
              </w:rPr>
              <w:t>300</w:t>
            </w:r>
          </w:p>
          <w:p>
            <w:pPr>
              <w:pStyle w:val="48"/>
              <w:spacing w:before="4" w:line="242" w:lineRule="auto"/>
              <w:ind w:left="184" w:right="168"/>
              <w:rPr>
                <w:color w:val="auto"/>
                <w:sz w:val="24"/>
              </w:rPr>
            </w:pPr>
            <w:r>
              <w:rPr>
                <w:color w:val="auto"/>
                <w:spacing w:val="-9"/>
                <w:sz w:val="24"/>
              </w:rPr>
              <w:t>人及以上</w:t>
            </w:r>
          </w:p>
        </w:tc>
        <w:tc>
          <w:tcPr>
            <w:tcW w:w="425" w:type="pct"/>
            <w:vAlign w:val="top"/>
          </w:tcPr>
          <w:p>
            <w:pPr>
              <w:pStyle w:val="48"/>
              <w:spacing w:line="242" w:lineRule="auto"/>
              <w:ind w:left="183" w:right="110" w:hanging="60"/>
              <w:jc w:val="both"/>
              <w:rPr>
                <w:color w:val="auto"/>
                <w:sz w:val="24"/>
              </w:rPr>
            </w:pPr>
            <w:r>
              <w:rPr>
                <w:color w:val="auto"/>
                <w:sz w:val="24"/>
              </w:rPr>
              <w:t>20 人及以上</w:t>
            </w:r>
          </w:p>
        </w:tc>
        <w:tc>
          <w:tcPr>
            <w:tcW w:w="377" w:type="pct"/>
            <w:vAlign w:val="top"/>
          </w:tcPr>
          <w:p>
            <w:pPr>
              <w:pStyle w:val="48"/>
              <w:spacing w:line="307" w:lineRule="exact"/>
              <w:ind w:left="130" w:right="120"/>
              <w:jc w:val="center"/>
              <w:rPr>
                <w:color w:val="auto"/>
                <w:sz w:val="24"/>
              </w:rPr>
            </w:pPr>
            <w:r>
              <w:rPr>
                <w:color w:val="auto"/>
                <w:sz w:val="24"/>
              </w:rPr>
              <w:t>20</w:t>
            </w:r>
          </w:p>
          <w:p>
            <w:pPr>
              <w:pStyle w:val="48"/>
              <w:spacing w:before="4" w:line="242" w:lineRule="auto"/>
              <w:ind w:left="130" w:right="120"/>
              <w:jc w:val="center"/>
              <w:rPr>
                <w:color w:val="auto"/>
                <w:sz w:val="24"/>
              </w:rPr>
            </w:pPr>
            <w:r>
              <w:rPr>
                <w:color w:val="auto"/>
                <w:spacing w:val="-9"/>
                <w:sz w:val="24"/>
              </w:rPr>
              <w:t>人以</w:t>
            </w:r>
            <w:r>
              <w:rPr>
                <w:color w:val="auto"/>
                <w:sz w:val="24"/>
              </w:rPr>
              <w:t>下</w:t>
            </w:r>
          </w:p>
        </w:tc>
        <w:tc>
          <w:tcPr>
            <w:tcW w:w="425" w:type="pct"/>
            <w:vAlign w:val="top"/>
          </w:tcPr>
          <w:p>
            <w:pPr>
              <w:pStyle w:val="48"/>
              <w:rPr>
                <w:rFonts w:ascii="Times New Roman"/>
                <w:color w:val="auto"/>
                <w:sz w:val="24"/>
              </w:rPr>
            </w:pPr>
          </w:p>
        </w:tc>
        <w:tc>
          <w:tcPr>
            <w:tcW w:w="426" w:type="pct"/>
            <w:vAlign w:val="top"/>
          </w:tcPr>
          <w:p>
            <w:pPr>
              <w:pStyle w:val="48"/>
              <w:rPr>
                <w:rFonts w:ascii="Times New Roman"/>
                <w:color w:val="auto"/>
                <w:sz w:val="24"/>
              </w:rPr>
            </w:pPr>
          </w:p>
        </w:tc>
        <w:tc>
          <w:tcPr>
            <w:tcW w:w="429" w:type="pct"/>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481" w:type="pct"/>
            <w:vAlign w:val="top"/>
          </w:tcPr>
          <w:p>
            <w:pPr>
              <w:pStyle w:val="48"/>
              <w:rPr>
                <w:b/>
                <w:color w:val="auto"/>
                <w:sz w:val="24"/>
              </w:rPr>
            </w:pPr>
          </w:p>
          <w:p>
            <w:pPr>
              <w:pStyle w:val="48"/>
              <w:spacing w:before="160"/>
              <w:ind w:left="96" w:right="85"/>
              <w:jc w:val="center"/>
              <w:rPr>
                <w:color w:val="auto"/>
                <w:sz w:val="24"/>
              </w:rPr>
            </w:pPr>
            <w:r>
              <w:rPr>
                <w:color w:val="auto"/>
                <w:sz w:val="24"/>
              </w:rPr>
              <w:t>建筑业</w:t>
            </w:r>
          </w:p>
        </w:tc>
        <w:tc>
          <w:tcPr>
            <w:tcW w:w="732" w:type="pct"/>
            <w:vAlign w:val="top"/>
          </w:tcPr>
          <w:p>
            <w:pPr>
              <w:pStyle w:val="48"/>
              <w:spacing w:line="307" w:lineRule="exact"/>
              <w:ind w:left="124"/>
              <w:rPr>
                <w:color w:val="auto"/>
                <w:sz w:val="24"/>
              </w:rPr>
            </w:pPr>
            <w:r>
              <w:rPr>
                <w:color w:val="auto"/>
                <w:sz w:val="24"/>
              </w:rPr>
              <w:t>收入 80000</w:t>
            </w:r>
          </w:p>
          <w:p>
            <w:pPr>
              <w:pStyle w:val="48"/>
              <w:spacing w:before="4" w:line="242" w:lineRule="auto"/>
              <w:ind w:left="244" w:right="115" w:hanging="120"/>
              <w:rPr>
                <w:color w:val="auto"/>
                <w:sz w:val="24"/>
              </w:rPr>
            </w:pPr>
            <w:r>
              <w:rPr>
                <w:color w:val="auto"/>
                <w:spacing w:val="-4"/>
                <w:sz w:val="24"/>
              </w:rPr>
              <w:t>万元以下或</w:t>
            </w:r>
            <w:r>
              <w:rPr>
                <w:color w:val="auto"/>
                <w:sz w:val="24"/>
              </w:rPr>
              <w:t>资产总额</w:t>
            </w:r>
          </w:p>
          <w:p>
            <w:pPr>
              <w:pStyle w:val="48"/>
              <w:spacing w:before="4" w:line="292" w:lineRule="exact"/>
              <w:ind w:left="124"/>
              <w:rPr>
                <w:color w:val="auto"/>
                <w:sz w:val="24"/>
              </w:rPr>
            </w:pPr>
            <w:r>
              <w:rPr>
                <w:color w:val="auto"/>
                <w:sz w:val="24"/>
              </w:rPr>
              <w:t>80000 万元</w:t>
            </w:r>
          </w:p>
        </w:tc>
        <w:tc>
          <w:tcPr>
            <w:tcW w:w="425" w:type="pct"/>
            <w:vAlign w:val="top"/>
          </w:tcPr>
          <w:p>
            <w:pPr>
              <w:pStyle w:val="48"/>
              <w:spacing w:line="307" w:lineRule="exact"/>
              <w:ind w:left="162" w:right="153"/>
              <w:jc w:val="center"/>
              <w:rPr>
                <w:color w:val="auto"/>
                <w:sz w:val="24"/>
              </w:rPr>
            </w:pPr>
            <w:r>
              <w:rPr>
                <w:color w:val="auto"/>
                <w:sz w:val="24"/>
              </w:rPr>
              <w:t>6000</w:t>
            </w:r>
          </w:p>
          <w:p>
            <w:pPr>
              <w:pStyle w:val="48"/>
              <w:spacing w:before="4" w:line="242" w:lineRule="auto"/>
              <w:ind w:left="182" w:right="170"/>
              <w:jc w:val="center"/>
              <w:rPr>
                <w:color w:val="auto"/>
                <w:sz w:val="24"/>
              </w:rPr>
            </w:pPr>
            <w:r>
              <w:rPr>
                <w:color w:val="auto"/>
                <w:spacing w:val="-9"/>
                <w:sz w:val="24"/>
              </w:rPr>
              <w:t>万元及以</w:t>
            </w:r>
          </w:p>
          <w:p>
            <w:pPr>
              <w:pStyle w:val="48"/>
              <w:spacing w:before="4" w:line="292" w:lineRule="exact"/>
              <w:ind w:left="10"/>
              <w:jc w:val="center"/>
              <w:rPr>
                <w:color w:val="auto"/>
                <w:sz w:val="24"/>
              </w:rPr>
            </w:pPr>
            <w:r>
              <w:rPr>
                <w:color w:val="auto"/>
                <w:sz w:val="24"/>
              </w:rPr>
              <w:t>上</w:t>
            </w:r>
          </w:p>
        </w:tc>
        <w:tc>
          <w:tcPr>
            <w:tcW w:w="425" w:type="pct"/>
            <w:vAlign w:val="top"/>
          </w:tcPr>
          <w:p>
            <w:pPr>
              <w:pStyle w:val="48"/>
              <w:spacing w:line="307" w:lineRule="exact"/>
              <w:ind w:left="180" w:right="169"/>
              <w:jc w:val="center"/>
              <w:rPr>
                <w:color w:val="auto"/>
                <w:sz w:val="24"/>
              </w:rPr>
            </w:pPr>
            <w:r>
              <w:rPr>
                <w:color w:val="auto"/>
                <w:sz w:val="24"/>
              </w:rPr>
              <w:t>300</w:t>
            </w:r>
          </w:p>
          <w:p>
            <w:pPr>
              <w:pStyle w:val="48"/>
              <w:spacing w:before="4" w:line="242" w:lineRule="auto"/>
              <w:ind w:left="182" w:right="169"/>
              <w:jc w:val="center"/>
              <w:rPr>
                <w:color w:val="auto"/>
                <w:sz w:val="24"/>
              </w:rPr>
            </w:pPr>
            <w:r>
              <w:rPr>
                <w:color w:val="auto"/>
                <w:spacing w:val="-9"/>
                <w:sz w:val="24"/>
              </w:rPr>
              <w:t>万元及以</w:t>
            </w:r>
          </w:p>
          <w:p>
            <w:pPr>
              <w:pStyle w:val="48"/>
              <w:spacing w:before="4" w:line="292" w:lineRule="exact"/>
              <w:ind w:left="11"/>
              <w:jc w:val="center"/>
              <w:rPr>
                <w:color w:val="auto"/>
                <w:sz w:val="24"/>
              </w:rPr>
            </w:pPr>
            <w:r>
              <w:rPr>
                <w:color w:val="auto"/>
                <w:sz w:val="24"/>
              </w:rPr>
              <w:t>上</w:t>
            </w:r>
          </w:p>
        </w:tc>
        <w:tc>
          <w:tcPr>
            <w:tcW w:w="427" w:type="pct"/>
            <w:vAlign w:val="top"/>
          </w:tcPr>
          <w:p>
            <w:pPr>
              <w:pStyle w:val="48"/>
              <w:spacing w:line="307" w:lineRule="exact"/>
              <w:ind w:left="180" w:right="166"/>
              <w:jc w:val="center"/>
              <w:rPr>
                <w:color w:val="auto"/>
                <w:sz w:val="24"/>
              </w:rPr>
            </w:pPr>
            <w:r>
              <w:rPr>
                <w:color w:val="auto"/>
                <w:sz w:val="24"/>
              </w:rPr>
              <w:t>300</w:t>
            </w:r>
          </w:p>
          <w:p>
            <w:pPr>
              <w:pStyle w:val="48"/>
              <w:spacing w:before="4" w:line="242" w:lineRule="auto"/>
              <w:ind w:left="183" w:right="166"/>
              <w:jc w:val="center"/>
              <w:rPr>
                <w:color w:val="auto"/>
                <w:sz w:val="24"/>
              </w:rPr>
            </w:pPr>
            <w:r>
              <w:rPr>
                <w:color w:val="auto"/>
                <w:spacing w:val="-9"/>
                <w:sz w:val="24"/>
              </w:rPr>
              <w:t>万元及以</w:t>
            </w:r>
          </w:p>
          <w:p>
            <w:pPr>
              <w:pStyle w:val="48"/>
              <w:spacing w:before="4" w:line="292" w:lineRule="exact"/>
              <w:ind w:left="14"/>
              <w:jc w:val="center"/>
              <w:rPr>
                <w:color w:val="auto"/>
                <w:sz w:val="24"/>
              </w:rPr>
            </w:pPr>
            <w:r>
              <w:rPr>
                <w:color w:val="auto"/>
                <w:sz w:val="24"/>
              </w:rPr>
              <w:t>下</w:t>
            </w:r>
          </w:p>
        </w:tc>
        <w:tc>
          <w:tcPr>
            <w:tcW w:w="425" w:type="pct"/>
            <w:vAlign w:val="top"/>
          </w:tcPr>
          <w:p>
            <w:pPr>
              <w:pStyle w:val="48"/>
              <w:rPr>
                <w:rFonts w:ascii="Times New Roman"/>
                <w:color w:val="auto"/>
                <w:sz w:val="24"/>
              </w:rPr>
            </w:pPr>
          </w:p>
        </w:tc>
        <w:tc>
          <w:tcPr>
            <w:tcW w:w="425" w:type="pct"/>
            <w:vAlign w:val="top"/>
          </w:tcPr>
          <w:p>
            <w:pPr>
              <w:pStyle w:val="48"/>
              <w:rPr>
                <w:rFonts w:ascii="Times New Roman"/>
                <w:color w:val="auto"/>
                <w:sz w:val="24"/>
              </w:rPr>
            </w:pPr>
          </w:p>
        </w:tc>
        <w:tc>
          <w:tcPr>
            <w:tcW w:w="377" w:type="pct"/>
            <w:vAlign w:val="top"/>
          </w:tcPr>
          <w:p>
            <w:pPr>
              <w:pStyle w:val="48"/>
              <w:rPr>
                <w:rFonts w:ascii="Times New Roman"/>
                <w:color w:val="auto"/>
                <w:sz w:val="24"/>
              </w:rPr>
            </w:pPr>
          </w:p>
        </w:tc>
        <w:tc>
          <w:tcPr>
            <w:tcW w:w="425" w:type="pct"/>
            <w:vAlign w:val="top"/>
          </w:tcPr>
          <w:p>
            <w:pPr>
              <w:pStyle w:val="48"/>
              <w:spacing w:line="307" w:lineRule="exact"/>
              <w:ind w:left="161" w:right="151"/>
              <w:jc w:val="center"/>
              <w:rPr>
                <w:color w:val="auto"/>
                <w:sz w:val="24"/>
              </w:rPr>
            </w:pPr>
            <w:r>
              <w:rPr>
                <w:color w:val="auto"/>
                <w:sz w:val="24"/>
              </w:rPr>
              <w:t>5000</w:t>
            </w:r>
          </w:p>
          <w:p>
            <w:pPr>
              <w:pStyle w:val="48"/>
              <w:spacing w:before="4" w:line="242" w:lineRule="auto"/>
              <w:ind w:left="181" w:right="169"/>
              <w:jc w:val="center"/>
              <w:rPr>
                <w:color w:val="auto"/>
                <w:sz w:val="24"/>
              </w:rPr>
            </w:pPr>
            <w:r>
              <w:rPr>
                <w:color w:val="auto"/>
                <w:spacing w:val="-9"/>
                <w:sz w:val="24"/>
              </w:rPr>
              <w:t>万元及以</w:t>
            </w:r>
          </w:p>
          <w:p>
            <w:pPr>
              <w:pStyle w:val="48"/>
              <w:spacing w:before="4" w:line="292" w:lineRule="exact"/>
              <w:ind w:left="10"/>
              <w:jc w:val="center"/>
              <w:rPr>
                <w:color w:val="auto"/>
                <w:sz w:val="24"/>
              </w:rPr>
            </w:pPr>
            <w:r>
              <w:rPr>
                <w:color w:val="auto"/>
                <w:sz w:val="24"/>
              </w:rPr>
              <w:t>上</w:t>
            </w:r>
          </w:p>
        </w:tc>
        <w:tc>
          <w:tcPr>
            <w:tcW w:w="426" w:type="pct"/>
            <w:vAlign w:val="top"/>
          </w:tcPr>
          <w:p>
            <w:pPr>
              <w:pStyle w:val="48"/>
              <w:spacing w:line="307" w:lineRule="exact"/>
              <w:ind w:left="162" w:right="151"/>
              <w:jc w:val="center"/>
              <w:rPr>
                <w:color w:val="auto"/>
                <w:sz w:val="24"/>
              </w:rPr>
            </w:pPr>
            <w:r>
              <w:rPr>
                <w:color w:val="auto"/>
                <w:sz w:val="24"/>
              </w:rPr>
              <w:t>300</w:t>
            </w:r>
          </w:p>
          <w:p>
            <w:pPr>
              <w:pStyle w:val="48"/>
              <w:spacing w:before="4" w:line="242" w:lineRule="auto"/>
              <w:ind w:left="183" w:right="169"/>
              <w:jc w:val="center"/>
              <w:rPr>
                <w:color w:val="auto"/>
                <w:sz w:val="24"/>
              </w:rPr>
            </w:pPr>
            <w:r>
              <w:rPr>
                <w:color w:val="auto"/>
                <w:spacing w:val="-9"/>
                <w:sz w:val="24"/>
              </w:rPr>
              <w:t>万元及以</w:t>
            </w:r>
          </w:p>
          <w:p>
            <w:pPr>
              <w:pStyle w:val="48"/>
              <w:spacing w:before="4" w:line="292" w:lineRule="exact"/>
              <w:ind w:left="11"/>
              <w:jc w:val="center"/>
              <w:rPr>
                <w:color w:val="auto"/>
                <w:sz w:val="24"/>
              </w:rPr>
            </w:pPr>
            <w:r>
              <w:rPr>
                <w:color w:val="auto"/>
                <w:sz w:val="24"/>
              </w:rPr>
              <w:t>上</w:t>
            </w:r>
          </w:p>
        </w:tc>
        <w:tc>
          <w:tcPr>
            <w:tcW w:w="429" w:type="pct"/>
            <w:vAlign w:val="top"/>
          </w:tcPr>
          <w:p>
            <w:pPr>
              <w:pStyle w:val="48"/>
              <w:spacing w:line="307" w:lineRule="exact"/>
              <w:ind w:left="162" w:right="151"/>
              <w:jc w:val="center"/>
              <w:rPr>
                <w:color w:val="auto"/>
                <w:sz w:val="24"/>
              </w:rPr>
            </w:pPr>
            <w:r>
              <w:rPr>
                <w:color w:val="auto"/>
                <w:sz w:val="24"/>
              </w:rPr>
              <w:t>300</w:t>
            </w:r>
          </w:p>
          <w:p>
            <w:pPr>
              <w:pStyle w:val="48"/>
              <w:spacing w:before="4" w:line="242" w:lineRule="auto"/>
              <w:ind w:left="183" w:right="169"/>
              <w:jc w:val="center"/>
              <w:rPr>
                <w:color w:val="auto"/>
                <w:sz w:val="24"/>
              </w:rPr>
            </w:pPr>
            <w:r>
              <w:rPr>
                <w:color w:val="auto"/>
                <w:spacing w:val="-9"/>
                <w:sz w:val="24"/>
              </w:rPr>
              <w:t>万元及以</w:t>
            </w:r>
          </w:p>
          <w:p>
            <w:pPr>
              <w:pStyle w:val="48"/>
              <w:spacing w:before="4" w:line="292" w:lineRule="exact"/>
              <w:ind w:left="11"/>
              <w:jc w:val="center"/>
              <w:rPr>
                <w:color w:val="auto"/>
                <w:sz w:val="24"/>
              </w:rPr>
            </w:pPr>
            <w:r>
              <w:rPr>
                <w:color w:val="auto"/>
                <w:sz w:val="24"/>
              </w:rPr>
              <w:t>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481" w:type="pct"/>
            <w:vAlign w:val="top"/>
          </w:tcPr>
          <w:p>
            <w:pPr>
              <w:pStyle w:val="48"/>
              <w:rPr>
                <w:b/>
                <w:color w:val="auto"/>
                <w:sz w:val="24"/>
              </w:rPr>
            </w:pPr>
          </w:p>
          <w:p>
            <w:pPr>
              <w:pStyle w:val="48"/>
              <w:spacing w:before="8"/>
              <w:rPr>
                <w:b/>
                <w:color w:val="auto"/>
                <w:sz w:val="24"/>
              </w:rPr>
            </w:pPr>
          </w:p>
          <w:p>
            <w:pPr>
              <w:pStyle w:val="48"/>
              <w:ind w:left="96" w:right="85"/>
              <w:jc w:val="center"/>
              <w:rPr>
                <w:color w:val="auto"/>
                <w:sz w:val="24"/>
              </w:rPr>
            </w:pPr>
            <w:r>
              <w:rPr>
                <w:color w:val="auto"/>
                <w:sz w:val="24"/>
              </w:rPr>
              <w:t>批发业</w:t>
            </w:r>
          </w:p>
        </w:tc>
        <w:tc>
          <w:tcPr>
            <w:tcW w:w="732" w:type="pct"/>
            <w:vAlign w:val="top"/>
          </w:tcPr>
          <w:p>
            <w:pPr>
              <w:pStyle w:val="48"/>
              <w:spacing w:line="242" w:lineRule="auto"/>
              <w:ind w:left="124" w:right="115"/>
              <w:jc w:val="center"/>
              <w:rPr>
                <w:color w:val="auto"/>
                <w:sz w:val="24"/>
              </w:rPr>
            </w:pPr>
            <w:r>
              <w:rPr>
                <w:color w:val="auto"/>
                <w:sz w:val="24"/>
              </w:rPr>
              <w:t xml:space="preserve">人员 200 </w:t>
            </w:r>
            <w:r>
              <w:rPr>
                <w:color w:val="auto"/>
                <w:spacing w:val="-4"/>
                <w:sz w:val="24"/>
              </w:rPr>
              <w:t>人以下或营</w:t>
            </w:r>
            <w:r>
              <w:rPr>
                <w:color w:val="auto"/>
                <w:sz w:val="24"/>
              </w:rPr>
              <w:t>业收入40000</w:t>
            </w:r>
            <w:r>
              <w:rPr>
                <w:color w:val="auto"/>
                <w:spacing w:val="-20"/>
                <w:sz w:val="24"/>
              </w:rPr>
              <w:t xml:space="preserve"> 万元</w:t>
            </w:r>
          </w:p>
          <w:p>
            <w:pPr>
              <w:pStyle w:val="48"/>
              <w:spacing w:before="5" w:line="292" w:lineRule="exact"/>
              <w:ind w:left="101" w:right="94"/>
              <w:jc w:val="center"/>
              <w:rPr>
                <w:color w:val="auto"/>
                <w:sz w:val="24"/>
              </w:rPr>
            </w:pPr>
            <w:r>
              <w:rPr>
                <w:color w:val="auto"/>
                <w:sz w:val="24"/>
              </w:rPr>
              <w:t>以下</w:t>
            </w:r>
          </w:p>
        </w:tc>
        <w:tc>
          <w:tcPr>
            <w:tcW w:w="425" w:type="pct"/>
            <w:vAlign w:val="top"/>
          </w:tcPr>
          <w:p>
            <w:pPr>
              <w:pStyle w:val="48"/>
              <w:spacing w:line="307" w:lineRule="exact"/>
              <w:ind w:left="182"/>
              <w:rPr>
                <w:color w:val="auto"/>
                <w:sz w:val="24"/>
              </w:rPr>
            </w:pPr>
            <w:r>
              <w:rPr>
                <w:color w:val="auto"/>
                <w:sz w:val="24"/>
              </w:rPr>
              <w:t>5000</w:t>
            </w:r>
          </w:p>
          <w:p>
            <w:pPr>
              <w:pStyle w:val="48"/>
              <w:spacing w:before="4" w:line="242" w:lineRule="auto"/>
              <w:ind w:left="182" w:right="170"/>
              <w:jc w:val="both"/>
              <w:rPr>
                <w:color w:val="auto"/>
                <w:sz w:val="24"/>
              </w:rPr>
            </w:pPr>
            <w:r>
              <w:rPr>
                <w:color w:val="auto"/>
                <w:sz w:val="24"/>
              </w:rPr>
              <w:t>万元及以上</w:t>
            </w:r>
          </w:p>
        </w:tc>
        <w:tc>
          <w:tcPr>
            <w:tcW w:w="425" w:type="pct"/>
            <w:vAlign w:val="top"/>
          </w:tcPr>
          <w:p>
            <w:pPr>
              <w:pStyle w:val="48"/>
              <w:spacing w:line="307" w:lineRule="exact"/>
              <w:ind w:left="182"/>
              <w:rPr>
                <w:color w:val="auto"/>
                <w:sz w:val="24"/>
              </w:rPr>
            </w:pPr>
            <w:r>
              <w:rPr>
                <w:color w:val="auto"/>
                <w:sz w:val="24"/>
              </w:rPr>
              <w:t>1000</w:t>
            </w:r>
          </w:p>
          <w:p>
            <w:pPr>
              <w:pStyle w:val="48"/>
              <w:spacing w:before="4" w:line="242" w:lineRule="auto"/>
              <w:ind w:left="182" w:right="169"/>
              <w:jc w:val="both"/>
              <w:rPr>
                <w:color w:val="auto"/>
                <w:sz w:val="24"/>
              </w:rPr>
            </w:pPr>
            <w:r>
              <w:rPr>
                <w:color w:val="auto"/>
                <w:sz w:val="24"/>
              </w:rPr>
              <w:t>万元及以上</w:t>
            </w:r>
          </w:p>
        </w:tc>
        <w:tc>
          <w:tcPr>
            <w:tcW w:w="427" w:type="pct"/>
            <w:vAlign w:val="top"/>
          </w:tcPr>
          <w:p>
            <w:pPr>
              <w:pStyle w:val="48"/>
              <w:spacing w:line="307" w:lineRule="exact"/>
              <w:ind w:left="183"/>
              <w:rPr>
                <w:color w:val="auto"/>
                <w:sz w:val="24"/>
              </w:rPr>
            </w:pPr>
            <w:r>
              <w:rPr>
                <w:color w:val="auto"/>
                <w:sz w:val="24"/>
              </w:rPr>
              <w:t>1000</w:t>
            </w:r>
          </w:p>
          <w:p>
            <w:pPr>
              <w:pStyle w:val="48"/>
              <w:spacing w:before="4" w:line="242" w:lineRule="auto"/>
              <w:ind w:left="183" w:right="166"/>
              <w:jc w:val="both"/>
              <w:rPr>
                <w:color w:val="auto"/>
                <w:sz w:val="24"/>
              </w:rPr>
            </w:pPr>
            <w:r>
              <w:rPr>
                <w:color w:val="auto"/>
                <w:sz w:val="24"/>
              </w:rPr>
              <w:t>万元及以下</w:t>
            </w:r>
          </w:p>
        </w:tc>
        <w:tc>
          <w:tcPr>
            <w:tcW w:w="425" w:type="pct"/>
            <w:vAlign w:val="top"/>
          </w:tcPr>
          <w:p>
            <w:pPr>
              <w:pStyle w:val="48"/>
              <w:spacing w:line="242" w:lineRule="auto"/>
              <w:ind w:left="184" w:right="108" w:hanging="60"/>
              <w:jc w:val="both"/>
              <w:rPr>
                <w:color w:val="auto"/>
                <w:sz w:val="24"/>
              </w:rPr>
            </w:pPr>
            <w:r>
              <w:rPr>
                <w:color w:val="auto"/>
                <w:sz w:val="24"/>
              </w:rPr>
              <w:t>20 人及以上</w:t>
            </w:r>
          </w:p>
        </w:tc>
        <w:tc>
          <w:tcPr>
            <w:tcW w:w="425" w:type="pct"/>
            <w:vAlign w:val="top"/>
          </w:tcPr>
          <w:p>
            <w:pPr>
              <w:pStyle w:val="48"/>
              <w:spacing w:line="242" w:lineRule="auto"/>
              <w:ind w:left="183" w:right="170" w:firstLine="28"/>
              <w:jc w:val="both"/>
              <w:rPr>
                <w:color w:val="auto"/>
                <w:sz w:val="24"/>
              </w:rPr>
            </w:pPr>
            <w:r>
              <w:rPr>
                <w:color w:val="auto"/>
                <w:sz w:val="24"/>
              </w:rPr>
              <w:t>5</w:t>
            </w:r>
            <w:r>
              <w:rPr>
                <w:color w:val="auto"/>
                <w:spacing w:val="-30"/>
                <w:sz w:val="24"/>
              </w:rPr>
              <w:t xml:space="preserve"> 人</w:t>
            </w:r>
            <w:r>
              <w:rPr>
                <w:color w:val="auto"/>
                <w:spacing w:val="-24"/>
                <w:sz w:val="24"/>
              </w:rPr>
              <w:t>及以</w:t>
            </w:r>
            <w:r>
              <w:rPr>
                <w:color w:val="auto"/>
                <w:sz w:val="24"/>
              </w:rPr>
              <w:t>上</w:t>
            </w:r>
          </w:p>
        </w:tc>
        <w:tc>
          <w:tcPr>
            <w:tcW w:w="377" w:type="pct"/>
            <w:vAlign w:val="top"/>
          </w:tcPr>
          <w:p>
            <w:pPr>
              <w:pStyle w:val="48"/>
              <w:spacing w:line="242" w:lineRule="auto"/>
              <w:ind w:left="130" w:right="120"/>
              <w:rPr>
                <w:color w:val="auto"/>
                <w:sz w:val="24"/>
              </w:rPr>
            </w:pPr>
            <w:r>
              <w:rPr>
                <w:color w:val="auto"/>
                <w:sz w:val="24"/>
              </w:rPr>
              <w:t>5 人以下</w:t>
            </w:r>
          </w:p>
        </w:tc>
        <w:tc>
          <w:tcPr>
            <w:tcW w:w="425" w:type="pct"/>
            <w:vAlign w:val="top"/>
          </w:tcPr>
          <w:p>
            <w:pPr>
              <w:pStyle w:val="48"/>
              <w:rPr>
                <w:rFonts w:ascii="Times New Roman"/>
                <w:color w:val="auto"/>
                <w:sz w:val="24"/>
              </w:rPr>
            </w:pPr>
          </w:p>
        </w:tc>
        <w:tc>
          <w:tcPr>
            <w:tcW w:w="426" w:type="pct"/>
            <w:vAlign w:val="top"/>
          </w:tcPr>
          <w:p>
            <w:pPr>
              <w:pStyle w:val="48"/>
              <w:rPr>
                <w:rFonts w:ascii="Times New Roman"/>
                <w:color w:val="auto"/>
                <w:sz w:val="24"/>
              </w:rPr>
            </w:pPr>
          </w:p>
        </w:tc>
        <w:tc>
          <w:tcPr>
            <w:tcW w:w="429" w:type="pct"/>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481" w:type="pct"/>
            <w:vAlign w:val="top"/>
          </w:tcPr>
          <w:p>
            <w:pPr>
              <w:pStyle w:val="48"/>
              <w:rPr>
                <w:b/>
                <w:color w:val="auto"/>
                <w:sz w:val="24"/>
              </w:rPr>
            </w:pPr>
          </w:p>
          <w:p>
            <w:pPr>
              <w:pStyle w:val="48"/>
              <w:spacing w:before="8"/>
              <w:rPr>
                <w:b/>
                <w:color w:val="auto"/>
                <w:sz w:val="24"/>
              </w:rPr>
            </w:pPr>
          </w:p>
          <w:p>
            <w:pPr>
              <w:pStyle w:val="48"/>
              <w:spacing w:before="1"/>
              <w:ind w:left="96" w:right="85"/>
              <w:jc w:val="center"/>
              <w:rPr>
                <w:color w:val="auto"/>
                <w:sz w:val="24"/>
              </w:rPr>
            </w:pPr>
            <w:r>
              <w:rPr>
                <w:color w:val="auto"/>
                <w:sz w:val="24"/>
              </w:rPr>
              <w:t>零售业</w:t>
            </w:r>
          </w:p>
        </w:tc>
        <w:tc>
          <w:tcPr>
            <w:tcW w:w="732" w:type="pct"/>
            <w:vAlign w:val="top"/>
          </w:tcPr>
          <w:p>
            <w:pPr>
              <w:pStyle w:val="48"/>
              <w:spacing w:line="242" w:lineRule="auto"/>
              <w:ind w:left="124" w:right="115"/>
              <w:jc w:val="center"/>
              <w:rPr>
                <w:color w:val="auto"/>
                <w:sz w:val="24"/>
              </w:rPr>
            </w:pPr>
            <w:r>
              <w:rPr>
                <w:color w:val="auto"/>
                <w:sz w:val="24"/>
              </w:rPr>
              <w:t xml:space="preserve">人员 300 </w:t>
            </w:r>
            <w:r>
              <w:rPr>
                <w:color w:val="auto"/>
                <w:spacing w:val="-4"/>
                <w:sz w:val="24"/>
              </w:rPr>
              <w:t>人以下或营</w:t>
            </w:r>
            <w:r>
              <w:rPr>
                <w:color w:val="auto"/>
                <w:sz w:val="24"/>
              </w:rPr>
              <w:t>业收入20000</w:t>
            </w:r>
            <w:r>
              <w:rPr>
                <w:color w:val="auto"/>
                <w:spacing w:val="-20"/>
                <w:sz w:val="24"/>
              </w:rPr>
              <w:t xml:space="preserve"> 万元</w:t>
            </w:r>
          </w:p>
          <w:p>
            <w:pPr>
              <w:pStyle w:val="48"/>
              <w:spacing w:before="6" w:line="292" w:lineRule="exact"/>
              <w:ind w:left="101" w:right="94"/>
              <w:jc w:val="center"/>
              <w:rPr>
                <w:color w:val="auto"/>
                <w:sz w:val="24"/>
              </w:rPr>
            </w:pPr>
            <w:r>
              <w:rPr>
                <w:color w:val="auto"/>
                <w:sz w:val="24"/>
              </w:rPr>
              <w:t>以下</w:t>
            </w:r>
          </w:p>
        </w:tc>
        <w:tc>
          <w:tcPr>
            <w:tcW w:w="425" w:type="pct"/>
            <w:vAlign w:val="top"/>
          </w:tcPr>
          <w:p>
            <w:pPr>
              <w:pStyle w:val="48"/>
              <w:ind w:left="242"/>
              <w:rPr>
                <w:color w:val="auto"/>
                <w:sz w:val="24"/>
              </w:rPr>
            </w:pPr>
            <w:r>
              <w:rPr>
                <w:color w:val="auto"/>
                <w:sz w:val="24"/>
              </w:rPr>
              <w:t>500</w:t>
            </w:r>
          </w:p>
          <w:p>
            <w:pPr>
              <w:pStyle w:val="48"/>
              <w:spacing w:before="4" w:line="242" w:lineRule="auto"/>
              <w:ind w:left="182" w:right="170"/>
              <w:jc w:val="both"/>
              <w:rPr>
                <w:color w:val="auto"/>
                <w:sz w:val="24"/>
              </w:rPr>
            </w:pPr>
            <w:r>
              <w:rPr>
                <w:color w:val="auto"/>
                <w:sz w:val="24"/>
              </w:rPr>
              <w:t>万元及以上</w:t>
            </w:r>
          </w:p>
        </w:tc>
        <w:tc>
          <w:tcPr>
            <w:tcW w:w="425" w:type="pct"/>
            <w:vAlign w:val="top"/>
          </w:tcPr>
          <w:p>
            <w:pPr>
              <w:pStyle w:val="48"/>
              <w:ind w:left="242"/>
              <w:rPr>
                <w:color w:val="auto"/>
                <w:sz w:val="24"/>
              </w:rPr>
            </w:pPr>
            <w:r>
              <w:rPr>
                <w:color w:val="auto"/>
                <w:sz w:val="24"/>
              </w:rPr>
              <w:t>100</w:t>
            </w:r>
          </w:p>
          <w:p>
            <w:pPr>
              <w:pStyle w:val="48"/>
              <w:spacing w:before="4" w:line="242" w:lineRule="auto"/>
              <w:ind w:left="182" w:right="169"/>
              <w:jc w:val="both"/>
              <w:rPr>
                <w:color w:val="auto"/>
                <w:sz w:val="24"/>
              </w:rPr>
            </w:pPr>
            <w:r>
              <w:rPr>
                <w:color w:val="auto"/>
                <w:sz w:val="24"/>
              </w:rPr>
              <w:t>万元及以上</w:t>
            </w:r>
          </w:p>
        </w:tc>
        <w:tc>
          <w:tcPr>
            <w:tcW w:w="427" w:type="pct"/>
            <w:vAlign w:val="top"/>
          </w:tcPr>
          <w:p>
            <w:pPr>
              <w:pStyle w:val="48"/>
              <w:ind w:left="243"/>
              <w:rPr>
                <w:color w:val="auto"/>
                <w:sz w:val="24"/>
              </w:rPr>
            </w:pPr>
            <w:r>
              <w:rPr>
                <w:color w:val="auto"/>
                <w:sz w:val="24"/>
              </w:rPr>
              <w:t>100</w:t>
            </w:r>
          </w:p>
          <w:p>
            <w:pPr>
              <w:pStyle w:val="48"/>
              <w:spacing w:before="4" w:line="242" w:lineRule="auto"/>
              <w:ind w:left="183" w:right="166"/>
              <w:rPr>
                <w:color w:val="auto"/>
                <w:sz w:val="24"/>
              </w:rPr>
            </w:pPr>
            <w:r>
              <w:rPr>
                <w:color w:val="auto"/>
                <w:spacing w:val="-9"/>
                <w:sz w:val="24"/>
              </w:rPr>
              <w:t>万元以下</w:t>
            </w:r>
          </w:p>
        </w:tc>
        <w:tc>
          <w:tcPr>
            <w:tcW w:w="425" w:type="pct"/>
            <w:vAlign w:val="top"/>
          </w:tcPr>
          <w:p>
            <w:pPr>
              <w:pStyle w:val="48"/>
              <w:spacing w:line="242" w:lineRule="auto"/>
              <w:ind w:left="184" w:right="108" w:hanging="60"/>
              <w:jc w:val="both"/>
              <w:rPr>
                <w:color w:val="auto"/>
                <w:sz w:val="24"/>
              </w:rPr>
            </w:pPr>
            <w:r>
              <w:rPr>
                <w:color w:val="auto"/>
                <w:sz w:val="24"/>
              </w:rPr>
              <w:t>50 人及以上</w:t>
            </w:r>
          </w:p>
        </w:tc>
        <w:tc>
          <w:tcPr>
            <w:tcW w:w="425" w:type="pct"/>
            <w:vAlign w:val="top"/>
          </w:tcPr>
          <w:p>
            <w:pPr>
              <w:pStyle w:val="48"/>
              <w:spacing w:line="242" w:lineRule="auto"/>
              <w:ind w:left="183" w:right="110" w:hanging="60"/>
              <w:jc w:val="both"/>
              <w:rPr>
                <w:color w:val="auto"/>
                <w:sz w:val="24"/>
              </w:rPr>
            </w:pPr>
            <w:r>
              <w:rPr>
                <w:color w:val="auto"/>
                <w:sz w:val="24"/>
              </w:rPr>
              <w:t>10 人及以上</w:t>
            </w:r>
          </w:p>
        </w:tc>
        <w:tc>
          <w:tcPr>
            <w:tcW w:w="377" w:type="pct"/>
            <w:vAlign w:val="top"/>
          </w:tcPr>
          <w:p>
            <w:pPr>
              <w:pStyle w:val="48"/>
              <w:ind w:left="130" w:right="120"/>
              <w:jc w:val="center"/>
              <w:rPr>
                <w:color w:val="auto"/>
                <w:sz w:val="24"/>
              </w:rPr>
            </w:pPr>
            <w:r>
              <w:rPr>
                <w:color w:val="auto"/>
                <w:sz w:val="24"/>
              </w:rPr>
              <w:t>10</w:t>
            </w:r>
          </w:p>
          <w:p>
            <w:pPr>
              <w:pStyle w:val="48"/>
              <w:spacing w:before="4" w:line="242" w:lineRule="auto"/>
              <w:ind w:left="130" w:right="120"/>
              <w:jc w:val="center"/>
              <w:rPr>
                <w:color w:val="auto"/>
                <w:sz w:val="24"/>
              </w:rPr>
            </w:pPr>
            <w:r>
              <w:rPr>
                <w:color w:val="auto"/>
                <w:spacing w:val="-9"/>
                <w:sz w:val="24"/>
              </w:rPr>
              <w:t>人以</w:t>
            </w:r>
            <w:r>
              <w:rPr>
                <w:color w:val="auto"/>
                <w:sz w:val="24"/>
              </w:rPr>
              <w:t>下</w:t>
            </w:r>
          </w:p>
        </w:tc>
        <w:tc>
          <w:tcPr>
            <w:tcW w:w="425" w:type="pct"/>
            <w:vAlign w:val="top"/>
          </w:tcPr>
          <w:p>
            <w:pPr>
              <w:pStyle w:val="48"/>
              <w:rPr>
                <w:rFonts w:ascii="Times New Roman"/>
                <w:color w:val="auto"/>
                <w:sz w:val="24"/>
              </w:rPr>
            </w:pPr>
          </w:p>
        </w:tc>
        <w:tc>
          <w:tcPr>
            <w:tcW w:w="426" w:type="pct"/>
            <w:vAlign w:val="top"/>
          </w:tcPr>
          <w:p>
            <w:pPr>
              <w:pStyle w:val="48"/>
              <w:rPr>
                <w:rFonts w:ascii="Times New Roman"/>
                <w:color w:val="auto"/>
                <w:sz w:val="24"/>
              </w:rPr>
            </w:pPr>
          </w:p>
        </w:tc>
        <w:tc>
          <w:tcPr>
            <w:tcW w:w="429" w:type="pct"/>
            <w:vAlign w:val="top"/>
          </w:tcPr>
          <w:p>
            <w:pPr>
              <w:pStyle w:val="48"/>
              <w:ind w:left="-240" w:leftChars="-100" w:right="118" w:rightChars="49" w:firstLine="240" w:firstLineChars="100"/>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81" w:type="pct"/>
            <w:vAlign w:val="top"/>
          </w:tcPr>
          <w:p>
            <w:pPr>
              <w:pStyle w:val="48"/>
              <w:spacing w:before="2"/>
              <w:ind w:left="96" w:right="85"/>
              <w:jc w:val="center"/>
              <w:rPr>
                <w:color w:val="auto"/>
                <w:sz w:val="24"/>
              </w:rPr>
            </w:pPr>
            <w:r>
              <w:rPr>
                <w:color w:val="auto"/>
                <w:sz w:val="24"/>
              </w:rPr>
              <w:t>交通运</w:t>
            </w:r>
          </w:p>
          <w:p>
            <w:pPr>
              <w:pStyle w:val="48"/>
              <w:spacing w:before="4" w:line="292" w:lineRule="exact"/>
              <w:ind w:left="96" w:right="84"/>
              <w:jc w:val="center"/>
              <w:rPr>
                <w:color w:val="auto"/>
                <w:sz w:val="24"/>
              </w:rPr>
            </w:pPr>
            <w:r>
              <w:rPr>
                <w:color w:val="auto"/>
                <w:sz w:val="24"/>
              </w:rPr>
              <w:t>输业</w:t>
            </w:r>
          </w:p>
        </w:tc>
        <w:tc>
          <w:tcPr>
            <w:tcW w:w="732" w:type="pct"/>
            <w:vAlign w:val="top"/>
          </w:tcPr>
          <w:p>
            <w:pPr>
              <w:pStyle w:val="48"/>
              <w:spacing w:before="2"/>
              <w:ind w:left="184"/>
              <w:rPr>
                <w:color w:val="auto"/>
                <w:sz w:val="24"/>
              </w:rPr>
            </w:pPr>
            <w:r>
              <w:rPr>
                <w:color w:val="auto"/>
                <w:sz w:val="24"/>
              </w:rPr>
              <w:t>人员 1000</w:t>
            </w:r>
          </w:p>
          <w:p>
            <w:pPr>
              <w:pStyle w:val="48"/>
              <w:spacing w:before="4" w:line="292" w:lineRule="exact"/>
              <w:ind w:left="124"/>
              <w:rPr>
                <w:color w:val="auto"/>
                <w:sz w:val="24"/>
              </w:rPr>
            </w:pPr>
            <w:r>
              <w:rPr>
                <w:color w:val="auto"/>
                <w:sz w:val="24"/>
              </w:rPr>
              <w:t>人以下或营</w:t>
            </w:r>
          </w:p>
        </w:tc>
        <w:tc>
          <w:tcPr>
            <w:tcW w:w="425" w:type="pct"/>
            <w:vAlign w:val="top"/>
          </w:tcPr>
          <w:p>
            <w:pPr>
              <w:pStyle w:val="48"/>
              <w:spacing w:before="2"/>
              <w:ind w:left="182"/>
              <w:rPr>
                <w:color w:val="auto"/>
                <w:sz w:val="24"/>
              </w:rPr>
            </w:pPr>
            <w:r>
              <w:rPr>
                <w:color w:val="auto"/>
                <w:sz w:val="24"/>
              </w:rPr>
              <w:t>3000</w:t>
            </w:r>
          </w:p>
          <w:p>
            <w:pPr>
              <w:pStyle w:val="48"/>
              <w:spacing w:before="4" w:line="292" w:lineRule="exact"/>
              <w:ind w:left="182"/>
              <w:rPr>
                <w:color w:val="auto"/>
                <w:sz w:val="24"/>
              </w:rPr>
            </w:pPr>
            <w:r>
              <w:rPr>
                <w:color w:val="auto"/>
                <w:sz w:val="24"/>
              </w:rPr>
              <w:t>万元</w:t>
            </w:r>
          </w:p>
        </w:tc>
        <w:tc>
          <w:tcPr>
            <w:tcW w:w="425" w:type="pct"/>
            <w:vAlign w:val="top"/>
          </w:tcPr>
          <w:p>
            <w:pPr>
              <w:pStyle w:val="48"/>
              <w:spacing w:before="2"/>
              <w:ind w:left="242"/>
              <w:rPr>
                <w:color w:val="auto"/>
                <w:sz w:val="24"/>
              </w:rPr>
            </w:pPr>
            <w:r>
              <w:rPr>
                <w:color w:val="auto"/>
                <w:sz w:val="24"/>
              </w:rPr>
              <w:t>200</w:t>
            </w:r>
          </w:p>
          <w:p>
            <w:pPr>
              <w:pStyle w:val="48"/>
              <w:spacing w:before="4" w:line="292" w:lineRule="exact"/>
              <w:ind w:left="182"/>
              <w:rPr>
                <w:color w:val="auto"/>
                <w:sz w:val="24"/>
              </w:rPr>
            </w:pPr>
            <w:r>
              <w:rPr>
                <w:color w:val="auto"/>
                <w:sz w:val="24"/>
              </w:rPr>
              <w:t>万元</w:t>
            </w:r>
          </w:p>
        </w:tc>
        <w:tc>
          <w:tcPr>
            <w:tcW w:w="427" w:type="pct"/>
            <w:vAlign w:val="top"/>
          </w:tcPr>
          <w:p>
            <w:pPr>
              <w:pStyle w:val="48"/>
              <w:spacing w:before="2"/>
              <w:ind w:left="243"/>
              <w:rPr>
                <w:color w:val="auto"/>
                <w:sz w:val="24"/>
              </w:rPr>
            </w:pPr>
            <w:r>
              <w:rPr>
                <w:color w:val="auto"/>
                <w:sz w:val="24"/>
              </w:rPr>
              <w:t>200</w:t>
            </w:r>
          </w:p>
          <w:p>
            <w:pPr>
              <w:pStyle w:val="48"/>
              <w:spacing w:before="4" w:line="292" w:lineRule="exact"/>
              <w:ind w:left="183"/>
              <w:rPr>
                <w:color w:val="auto"/>
                <w:sz w:val="24"/>
              </w:rPr>
            </w:pPr>
            <w:r>
              <w:rPr>
                <w:color w:val="auto"/>
                <w:sz w:val="24"/>
              </w:rPr>
              <w:t>万元</w:t>
            </w:r>
          </w:p>
        </w:tc>
        <w:tc>
          <w:tcPr>
            <w:tcW w:w="425" w:type="pct"/>
            <w:vAlign w:val="top"/>
          </w:tcPr>
          <w:p>
            <w:pPr>
              <w:pStyle w:val="48"/>
              <w:spacing w:before="2"/>
              <w:ind w:left="244"/>
              <w:rPr>
                <w:color w:val="auto"/>
                <w:sz w:val="24"/>
              </w:rPr>
            </w:pPr>
            <w:r>
              <w:rPr>
                <w:color w:val="auto"/>
                <w:sz w:val="24"/>
              </w:rPr>
              <w:t>300</w:t>
            </w:r>
          </w:p>
          <w:p>
            <w:pPr>
              <w:pStyle w:val="48"/>
              <w:spacing w:before="4" w:line="292" w:lineRule="exact"/>
              <w:ind w:left="184"/>
              <w:rPr>
                <w:color w:val="auto"/>
                <w:sz w:val="24"/>
              </w:rPr>
            </w:pPr>
            <w:r>
              <w:rPr>
                <w:color w:val="auto"/>
                <w:sz w:val="24"/>
              </w:rPr>
              <w:t>人及</w:t>
            </w:r>
          </w:p>
        </w:tc>
        <w:tc>
          <w:tcPr>
            <w:tcW w:w="425" w:type="pct"/>
            <w:vAlign w:val="top"/>
          </w:tcPr>
          <w:p>
            <w:pPr>
              <w:pStyle w:val="48"/>
              <w:spacing w:before="2"/>
              <w:ind w:left="152"/>
              <w:rPr>
                <w:color w:val="auto"/>
                <w:sz w:val="24"/>
              </w:rPr>
            </w:pPr>
            <w:r>
              <w:rPr>
                <w:color w:val="auto"/>
                <w:sz w:val="24"/>
              </w:rPr>
              <w:t>20</w:t>
            </w:r>
            <w:r>
              <w:rPr>
                <w:color w:val="auto"/>
                <w:spacing w:val="-30"/>
                <w:sz w:val="24"/>
              </w:rPr>
              <w:t xml:space="preserve"> 人</w:t>
            </w:r>
          </w:p>
          <w:p>
            <w:pPr>
              <w:pStyle w:val="48"/>
              <w:spacing w:before="4" w:line="292" w:lineRule="exact"/>
              <w:ind w:left="183"/>
              <w:rPr>
                <w:color w:val="auto"/>
                <w:sz w:val="24"/>
              </w:rPr>
            </w:pPr>
            <w:r>
              <w:rPr>
                <w:color w:val="auto"/>
                <w:sz w:val="24"/>
              </w:rPr>
              <w:t>及以</w:t>
            </w:r>
          </w:p>
        </w:tc>
        <w:tc>
          <w:tcPr>
            <w:tcW w:w="377" w:type="pct"/>
            <w:vAlign w:val="top"/>
          </w:tcPr>
          <w:p>
            <w:pPr>
              <w:pStyle w:val="48"/>
              <w:spacing w:before="2"/>
              <w:ind w:left="109"/>
              <w:rPr>
                <w:color w:val="auto"/>
                <w:sz w:val="24"/>
              </w:rPr>
            </w:pPr>
            <w:r>
              <w:rPr>
                <w:color w:val="auto"/>
                <w:sz w:val="24"/>
              </w:rPr>
              <w:t>20</w:t>
            </w:r>
            <w:r>
              <w:rPr>
                <w:color w:val="auto"/>
                <w:spacing w:val="-38"/>
                <w:sz w:val="24"/>
              </w:rPr>
              <w:t xml:space="preserve"> 人</w:t>
            </w:r>
          </w:p>
          <w:p>
            <w:pPr>
              <w:pStyle w:val="48"/>
              <w:spacing w:before="4" w:line="292" w:lineRule="exact"/>
              <w:ind w:left="130"/>
              <w:rPr>
                <w:color w:val="auto"/>
                <w:sz w:val="24"/>
              </w:rPr>
            </w:pPr>
            <w:r>
              <w:rPr>
                <w:color w:val="auto"/>
                <w:sz w:val="24"/>
              </w:rPr>
              <w:t>以下</w:t>
            </w:r>
          </w:p>
        </w:tc>
        <w:tc>
          <w:tcPr>
            <w:tcW w:w="425" w:type="pct"/>
            <w:vAlign w:val="top"/>
          </w:tcPr>
          <w:p>
            <w:pPr>
              <w:pStyle w:val="48"/>
              <w:rPr>
                <w:rFonts w:ascii="Times New Roman"/>
                <w:color w:val="auto"/>
                <w:sz w:val="24"/>
              </w:rPr>
            </w:pPr>
          </w:p>
        </w:tc>
        <w:tc>
          <w:tcPr>
            <w:tcW w:w="426" w:type="pct"/>
            <w:vAlign w:val="top"/>
          </w:tcPr>
          <w:p>
            <w:pPr>
              <w:pStyle w:val="48"/>
              <w:rPr>
                <w:rFonts w:ascii="Times New Roman"/>
                <w:color w:val="auto"/>
                <w:sz w:val="24"/>
              </w:rPr>
            </w:pPr>
          </w:p>
        </w:tc>
        <w:tc>
          <w:tcPr>
            <w:tcW w:w="429" w:type="pct"/>
            <w:vAlign w:val="top"/>
          </w:tcPr>
          <w:p>
            <w:pPr>
              <w:pStyle w:val="48"/>
              <w:rPr>
                <w:rFonts w:ascii="Times New Roman"/>
                <w:color w:val="auto"/>
                <w:sz w:val="24"/>
              </w:rPr>
            </w:pPr>
          </w:p>
        </w:tc>
      </w:tr>
    </w:tbl>
    <w:p>
      <w:pPr>
        <w:jc w:val="center"/>
        <w:rPr>
          <w:b/>
          <w:bCs/>
          <w:color w:val="auto"/>
        </w:rPr>
      </w:pPr>
      <w:r>
        <w:rPr>
          <w:b/>
          <w:bCs/>
          <w:color w:val="auto"/>
        </w:rPr>
        <w:t>中小微企业划分标准表</w:t>
      </w:r>
      <w:r>
        <w:rPr>
          <w:b/>
          <w:bCs/>
          <w:color w:val="auto"/>
          <w:highlight w:val="none"/>
        </w:rPr>
        <w:t>（工信</w:t>
      </w:r>
      <w:r>
        <w:rPr>
          <w:b/>
          <w:bCs/>
          <w:color w:val="auto"/>
        </w:rPr>
        <w:t>部联企业〔2011〕300 号）</w:t>
      </w:r>
    </w:p>
    <w:p>
      <w:pPr>
        <w:jc w:val="center"/>
        <w:rPr>
          <w:color w:val="auto"/>
        </w:rPr>
        <w:sectPr>
          <w:pgSz w:w="11910" w:h="16840"/>
          <w:pgMar w:top="1380" w:right="880" w:bottom="1100" w:left="880" w:header="888" w:footer="910" w:gutter="0"/>
          <w:pgNumType w:fmt="decimal"/>
          <w:cols w:space="720" w:num="1"/>
        </w:sectPr>
      </w:pPr>
    </w:p>
    <w:tbl>
      <w:tblPr>
        <w:tblStyle w:val="21"/>
        <w:tblW w:w="9906"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1452"/>
        <w:gridCol w:w="845"/>
        <w:gridCol w:w="844"/>
        <w:gridCol w:w="842"/>
        <w:gridCol w:w="845"/>
        <w:gridCol w:w="845"/>
        <w:gridCol w:w="742"/>
        <w:gridCol w:w="843"/>
        <w:gridCol w:w="845"/>
        <w:gridCol w:w="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58" w:type="dxa"/>
            <w:vAlign w:val="top"/>
          </w:tcPr>
          <w:p>
            <w:pPr>
              <w:pStyle w:val="48"/>
              <w:rPr>
                <w:rFonts w:ascii="Times New Roman"/>
                <w:color w:val="auto"/>
                <w:sz w:val="24"/>
              </w:rPr>
            </w:pPr>
          </w:p>
        </w:tc>
        <w:tc>
          <w:tcPr>
            <w:tcW w:w="1452" w:type="dxa"/>
            <w:vAlign w:val="top"/>
          </w:tcPr>
          <w:p>
            <w:pPr>
              <w:pStyle w:val="48"/>
              <w:spacing w:line="242" w:lineRule="auto"/>
              <w:ind w:left="101" w:right="92"/>
              <w:jc w:val="center"/>
              <w:rPr>
                <w:color w:val="auto"/>
                <w:sz w:val="24"/>
              </w:rPr>
            </w:pPr>
            <w:r>
              <w:rPr>
                <w:color w:val="auto"/>
                <w:sz w:val="24"/>
              </w:rPr>
              <w:t>业收入30000 万元</w:t>
            </w:r>
          </w:p>
          <w:p>
            <w:pPr>
              <w:pStyle w:val="48"/>
              <w:spacing w:before="3" w:line="292" w:lineRule="exact"/>
              <w:ind w:left="101" w:right="94"/>
              <w:jc w:val="center"/>
              <w:rPr>
                <w:color w:val="auto"/>
                <w:sz w:val="24"/>
              </w:rPr>
            </w:pPr>
            <w:r>
              <w:rPr>
                <w:color w:val="auto"/>
                <w:sz w:val="24"/>
              </w:rPr>
              <w:t>以下</w:t>
            </w:r>
          </w:p>
        </w:tc>
        <w:tc>
          <w:tcPr>
            <w:tcW w:w="845" w:type="dxa"/>
            <w:vAlign w:val="top"/>
          </w:tcPr>
          <w:p>
            <w:pPr>
              <w:pStyle w:val="48"/>
              <w:spacing w:line="242" w:lineRule="auto"/>
              <w:ind w:left="302" w:right="170" w:hanging="121"/>
              <w:rPr>
                <w:color w:val="auto"/>
                <w:sz w:val="24"/>
              </w:rPr>
            </w:pPr>
            <w:r>
              <w:rPr>
                <w:color w:val="auto"/>
                <w:sz w:val="24"/>
              </w:rPr>
              <w:t>及以上</w:t>
            </w:r>
          </w:p>
        </w:tc>
        <w:tc>
          <w:tcPr>
            <w:tcW w:w="844" w:type="dxa"/>
            <w:vAlign w:val="top"/>
          </w:tcPr>
          <w:p>
            <w:pPr>
              <w:pStyle w:val="48"/>
              <w:spacing w:line="242" w:lineRule="auto"/>
              <w:ind w:left="302" w:right="169" w:hanging="120"/>
              <w:rPr>
                <w:color w:val="auto"/>
                <w:sz w:val="24"/>
              </w:rPr>
            </w:pPr>
            <w:r>
              <w:rPr>
                <w:color w:val="auto"/>
                <w:sz w:val="24"/>
              </w:rPr>
              <w:t>及以上</w:t>
            </w:r>
          </w:p>
        </w:tc>
        <w:tc>
          <w:tcPr>
            <w:tcW w:w="842" w:type="dxa"/>
            <w:vAlign w:val="top"/>
          </w:tcPr>
          <w:p>
            <w:pPr>
              <w:pStyle w:val="48"/>
              <w:ind w:left="183"/>
              <w:rPr>
                <w:color w:val="auto"/>
                <w:sz w:val="24"/>
              </w:rPr>
            </w:pPr>
            <w:r>
              <w:rPr>
                <w:color w:val="auto"/>
                <w:sz w:val="24"/>
              </w:rPr>
              <w:t>以下</w:t>
            </w:r>
          </w:p>
        </w:tc>
        <w:tc>
          <w:tcPr>
            <w:tcW w:w="845" w:type="dxa"/>
            <w:vAlign w:val="top"/>
          </w:tcPr>
          <w:p>
            <w:pPr>
              <w:pStyle w:val="48"/>
              <w:ind w:left="184"/>
              <w:rPr>
                <w:color w:val="auto"/>
                <w:sz w:val="24"/>
              </w:rPr>
            </w:pPr>
            <w:r>
              <w:rPr>
                <w:color w:val="auto"/>
                <w:sz w:val="24"/>
              </w:rPr>
              <w:t>以上</w:t>
            </w:r>
          </w:p>
        </w:tc>
        <w:tc>
          <w:tcPr>
            <w:tcW w:w="845" w:type="dxa"/>
            <w:vAlign w:val="top"/>
          </w:tcPr>
          <w:p>
            <w:pPr>
              <w:pStyle w:val="48"/>
              <w:ind w:left="13"/>
              <w:jc w:val="center"/>
              <w:rPr>
                <w:color w:val="auto"/>
                <w:sz w:val="24"/>
              </w:rPr>
            </w:pPr>
            <w:r>
              <w:rPr>
                <w:color w:val="auto"/>
                <w:sz w:val="24"/>
              </w:rPr>
              <w:t>上</w:t>
            </w:r>
          </w:p>
        </w:tc>
        <w:tc>
          <w:tcPr>
            <w:tcW w:w="742" w:type="dxa"/>
            <w:vAlign w:val="top"/>
          </w:tcPr>
          <w:p>
            <w:pPr>
              <w:pStyle w:val="48"/>
              <w:rPr>
                <w:rFonts w:ascii="Times New Roman"/>
                <w:color w:val="auto"/>
                <w:sz w:val="24"/>
              </w:rPr>
            </w:pPr>
          </w:p>
        </w:tc>
        <w:tc>
          <w:tcPr>
            <w:tcW w:w="843" w:type="dxa"/>
            <w:vAlign w:val="top"/>
          </w:tcPr>
          <w:p>
            <w:pPr>
              <w:pStyle w:val="48"/>
              <w:rPr>
                <w:rFonts w:ascii="Times New Roman"/>
                <w:color w:val="auto"/>
                <w:sz w:val="24"/>
              </w:rPr>
            </w:pPr>
          </w:p>
        </w:tc>
        <w:tc>
          <w:tcPr>
            <w:tcW w:w="845" w:type="dxa"/>
            <w:vAlign w:val="top"/>
          </w:tcPr>
          <w:p>
            <w:pPr>
              <w:pStyle w:val="48"/>
              <w:rPr>
                <w:rFonts w:ascii="Times New Roman"/>
                <w:color w:val="auto"/>
                <w:sz w:val="24"/>
              </w:rPr>
            </w:pPr>
          </w:p>
        </w:tc>
        <w:tc>
          <w:tcPr>
            <w:tcW w:w="845"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vAlign w:val="top"/>
          </w:tcPr>
          <w:p>
            <w:pPr>
              <w:pStyle w:val="48"/>
              <w:rPr>
                <w:b/>
                <w:color w:val="auto"/>
                <w:sz w:val="24"/>
              </w:rPr>
            </w:pPr>
          </w:p>
          <w:p>
            <w:pPr>
              <w:pStyle w:val="48"/>
              <w:spacing w:before="8"/>
              <w:rPr>
                <w:b/>
                <w:color w:val="auto"/>
                <w:sz w:val="24"/>
              </w:rPr>
            </w:pPr>
          </w:p>
          <w:p>
            <w:pPr>
              <w:pStyle w:val="48"/>
              <w:ind w:left="96" w:right="85"/>
              <w:jc w:val="center"/>
              <w:rPr>
                <w:color w:val="auto"/>
                <w:sz w:val="24"/>
              </w:rPr>
            </w:pPr>
            <w:r>
              <w:rPr>
                <w:color w:val="auto"/>
                <w:sz w:val="24"/>
              </w:rPr>
              <w:t>仓储业</w:t>
            </w:r>
          </w:p>
        </w:tc>
        <w:tc>
          <w:tcPr>
            <w:tcW w:w="1452" w:type="dxa"/>
            <w:vAlign w:val="top"/>
          </w:tcPr>
          <w:p>
            <w:pPr>
              <w:pStyle w:val="48"/>
              <w:spacing w:line="242" w:lineRule="auto"/>
              <w:ind w:left="124" w:right="115"/>
              <w:jc w:val="center"/>
              <w:rPr>
                <w:color w:val="auto"/>
                <w:sz w:val="24"/>
              </w:rPr>
            </w:pPr>
            <w:r>
              <w:rPr>
                <w:color w:val="auto"/>
                <w:sz w:val="24"/>
              </w:rPr>
              <w:t xml:space="preserve">人员 200 </w:t>
            </w:r>
            <w:r>
              <w:rPr>
                <w:color w:val="auto"/>
                <w:spacing w:val="-4"/>
                <w:sz w:val="24"/>
              </w:rPr>
              <w:t>人以下或营</w:t>
            </w:r>
            <w:r>
              <w:rPr>
                <w:color w:val="auto"/>
                <w:sz w:val="24"/>
              </w:rPr>
              <w:t>业收入30000</w:t>
            </w:r>
            <w:r>
              <w:rPr>
                <w:color w:val="auto"/>
                <w:spacing w:val="-20"/>
                <w:sz w:val="24"/>
              </w:rPr>
              <w:t xml:space="preserve"> 万元</w:t>
            </w:r>
          </w:p>
          <w:p>
            <w:pPr>
              <w:pStyle w:val="48"/>
              <w:spacing w:before="5" w:line="292" w:lineRule="exact"/>
              <w:ind w:left="101" w:right="94"/>
              <w:jc w:val="center"/>
              <w:rPr>
                <w:color w:val="auto"/>
                <w:sz w:val="24"/>
              </w:rPr>
            </w:pPr>
            <w:r>
              <w:rPr>
                <w:color w:val="auto"/>
                <w:sz w:val="24"/>
              </w:rPr>
              <w:t>以下</w:t>
            </w:r>
          </w:p>
        </w:tc>
        <w:tc>
          <w:tcPr>
            <w:tcW w:w="845" w:type="dxa"/>
            <w:vAlign w:val="top"/>
          </w:tcPr>
          <w:p>
            <w:pPr>
              <w:pStyle w:val="48"/>
              <w:ind w:left="182"/>
              <w:rPr>
                <w:color w:val="auto"/>
                <w:sz w:val="24"/>
              </w:rPr>
            </w:pPr>
            <w:r>
              <w:rPr>
                <w:color w:val="auto"/>
                <w:sz w:val="24"/>
              </w:rPr>
              <w:t>1000</w:t>
            </w:r>
          </w:p>
          <w:p>
            <w:pPr>
              <w:pStyle w:val="48"/>
              <w:spacing w:before="4" w:line="242" w:lineRule="auto"/>
              <w:ind w:left="182" w:right="170"/>
              <w:jc w:val="both"/>
              <w:rPr>
                <w:color w:val="auto"/>
                <w:sz w:val="24"/>
              </w:rPr>
            </w:pPr>
            <w:r>
              <w:rPr>
                <w:color w:val="auto"/>
                <w:sz w:val="24"/>
              </w:rPr>
              <w:t>万元及以上</w:t>
            </w:r>
          </w:p>
        </w:tc>
        <w:tc>
          <w:tcPr>
            <w:tcW w:w="844" w:type="dxa"/>
            <w:vAlign w:val="top"/>
          </w:tcPr>
          <w:p>
            <w:pPr>
              <w:pStyle w:val="48"/>
              <w:ind w:left="242"/>
              <w:rPr>
                <w:color w:val="auto"/>
                <w:sz w:val="24"/>
              </w:rPr>
            </w:pPr>
            <w:r>
              <w:rPr>
                <w:color w:val="auto"/>
                <w:sz w:val="24"/>
              </w:rPr>
              <w:t>100</w:t>
            </w:r>
          </w:p>
          <w:p>
            <w:pPr>
              <w:pStyle w:val="48"/>
              <w:spacing w:before="4" w:line="242" w:lineRule="auto"/>
              <w:ind w:left="182" w:right="169"/>
              <w:jc w:val="both"/>
              <w:rPr>
                <w:color w:val="auto"/>
                <w:sz w:val="24"/>
              </w:rPr>
            </w:pPr>
            <w:r>
              <w:rPr>
                <w:color w:val="auto"/>
                <w:sz w:val="24"/>
              </w:rPr>
              <w:t>万元及以上</w:t>
            </w:r>
          </w:p>
        </w:tc>
        <w:tc>
          <w:tcPr>
            <w:tcW w:w="842" w:type="dxa"/>
            <w:vAlign w:val="top"/>
          </w:tcPr>
          <w:p>
            <w:pPr>
              <w:pStyle w:val="48"/>
              <w:ind w:left="243"/>
              <w:rPr>
                <w:color w:val="auto"/>
                <w:sz w:val="24"/>
              </w:rPr>
            </w:pPr>
            <w:r>
              <w:rPr>
                <w:color w:val="auto"/>
                <w:sz w:val="24"/>
              </w:rPr>
              <w:t>100</w:t>
            </w:r>
          </w:p>
          <w:p>
            <w:pPr>
              <w:pStyle w:val="48"/>
              <w:spacing w:before="4" w:line="242" w:lineRule="auto"/>
              <w:ind w:left="183" w:right="166"/>
              <w:rPr>
                <w:color w:val="auto"/>
                <w:sz w:val="24"/>
              </w:rPr>
            </w:pPr>
            <w:r>
              <w:rPr>
                <w:color w:val="auto"/>
                <w:spacing w:val="-9"/>
                <w:sz w:val="24"/>
              </w:rPr>
              <w:t>万元以下</w:t>
            </w:r>
          </w:p>
        </w:tc>
        <w:tc>
          <w:tcPr>
            <w:tcW w:w="845" w:type="dxa"/>
            <w:vAlign w:val="top"/>
          </w:tcPr>
          <w:p>
            <w:pPr>
              <w:pStyle w:val="48"/>
              <w:ind w:left="244"/>
              <w:rPr>
                <w:color w:val="auto"/>
                <w:sz w:val="24"/>
              </w:rPr>
            </w:pPr>
            <w:r>
              <w:rPr>
                <w:color w:val="auto"/>
                <w:sz w:val="24"/>
              </w:rPr>
              <w:t>100</w:t>
            </w:r>
          </w:p>
          <w:p>
            <w:pPr>
              <w:pStyle w:val="48"/>
              <w:spacing w:before="4" w:line="242" w:lineRule="auto"/>
              <w:ind w:left="184" w:right="168"/>
              <w:rPr>
                <w:color w:val="auto"/>
                <w:sz w:val="24"/>
              </w:rPr>
            </w:pPr>
            <w:r>
              <w:rPr>
                <w:color w:val="auto"/>
                <w:spacing w:val="-9"/>
                <w:sz w:val="24"/>
              </w:rPr>
              <w:t>人及以上</w:t>
            </w:r>
          </w:p>
        </w:tc>
        <w:tc>
          <w:tcPr>
            <w:tcW w:w="845" w:type="dxa"/>
            <w:vAlign w:val="top"/>
          </w:tcPr>
          <w:p>
            <w:pPr>
              <w:pStyle w:val="48"/>
              <w:spacing w:line="242" w:lineRule="auto"/>
              <w:ind w:left="183" w:right="140" w:hanging="32"/>
              <w:jc w:val="both"/>
              <w:rPr>
                <w:color w:val="auto"/>
                <w:sz w:val="24"/>
              </w:rPr>
            </w:pPr>
            <w:r>
              <w:rPr>
                <w:color w:val="auto"/>
                <w:sz w:val="24"/>
              </w:rPr>
              <w:t>20</w:t>
            </w:r>
            <w:r>
              <w:rPr>
                <w:color w:val="auto"/>
                <w:spacing w:val="-38"/>
                <w:sz w:val="24"/>
              </w:rPr>
              <w:t xml:space="preserve"> 人</w:t>
            </w:r>
            <w:r>
              <w:rPr>
                <w:color w:val="auto"/>
                <w:sz w:val="24"/>
              </w:rPr>
              <w:t>及以上</w:t>
            </w:r>
          </w:p>
        </w:tc>
        <w:tc>
          <w:tcPr>
            <w:tcW w:w="742" w:type="dxa"/>
            <w:vAlign w:val="top"/>
          </w:tcPr>
          <w:p>
            <w:pPr>
              <w:pStyle w:val="48"/>
              <w:spacing w:line="242" w:lineRule="auto"/>
              <w:ind w:left="130" w:right="20" w:hanging="22"/>
              <w:rPr>
                <w:color w:val="auto"/>
                <w:sz w:val="24"/>
              </w:rPr>
            </w:pPr>
            <w:r>
              <w:rPr>
                <w:color w:val="auto"/>
                <w:sz w:val="24"/>
              </w:rPr>
              <w:t>20 人以下</w:t>
            </w:r>
          </w:p>
        </w:tc>
        <w:tc>
          <w:tcPr>
            <w:tcW w:w="843" w:type="dxa"/>
            <w:vAlign w:val="top"/>
          </w:tcPr>
          <w:p>
            <w:pPr>
              <w:pStyle w:val="48"/>
              <w:rPr>
                <w:rFonts w:ascii="Times New Roman"/>
                <w:color w:val="auto"/>
                <w:sz w:val="24"/>
              </w:rPr>
            </w:pPr>
          </w:p>
        </w:tc>
        <w:tc>
          <w:tcPr>
            <w:tcW w:w="845" w:type="dxa"/>
            <w:vAlign w:val="top"/>
          </w:tcPr>
          <w:p>
            <w:pPr>
              <w:pStyle w:val="48"/>
              <w:rPr>
                <w:rFonts w:ascii="Times New Roman"/>
                <w:color w:val="auto"/>
                <w:sz w:val="24"/>
              </w:rPr>
            </w:pPr>
          </w:p>
        </w:tc>
        <w:tc>
          <w:tcPr>
            <w:tcW w:w="845"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958" w:type="dxa"/>
            <w:vAlign w:val="top"/>
          </w:tcPr>
          <w:p>
            <w:pPr>
              <w:pStyle w:val="48"/>
              <w:rPr>
                <w:b/>
                <w:color w:val="auto"/>
                <w:sz w:val="24"/>
              </w:rPr>
            </w:pPr>
          </w:p>
          <w:p>
            <w:pPr>
              <w:pStyle w:val="48"/>
              <w:spacing w:before="9"/>
              <w:rPr>
                <w:b/>
                <w:color w:val="auto"/>
                <w:sz w:val="24"/>
              </w:rPr>
            </w:pPr>
          </w:p>
          <w:p>
            <w:pPr>
              <w:pStyle w:val="48"/>
              <w:ind w:left="96" w:right="85"/>
              <w:jc w:val="center"/>
              <w:rPr>
                <w:color w:val="auto"/>
                <w:sz w:val="24"/>
              </w:rPr>
            </w:pPr>
            <w:r>
              <w:rPr>
                <w:color w:val="auto"/>
                <w:sz w:val="24"/>
              </w:rPr>
              <w:t>邮政业</w:t>
            </w:r>
          </w:p>
        </w:tc>
        <w:tc>
          <w:tcPr>
            <w:tcW w:w="1452" w:type="dxa"/>
            <w:vAlign w:val="top"/>
          </w:tcPr>
          <w:p>
            <w:pPr>
              <w:pStyle w:val="48"/>
              <w:spacing w:line="244" w:lineRule="auto"/>
              <w:ind w:left="124" w:right="115"/>
              <w:jc w:val="center"/>
              <w:rPr>
                <w:color w:val="auto"/>
                <w:sz w:val="24"/>
              </w:rPr>
            </w:pPr>
            <w:r>
              <w:rPr>
                <w:color w:val="auto"/>
                <w:sz w:val="24"/>
              </w:rPr>
              <w:t>人员 1000 人以下或营业收入30000 万元</w:t>
            </w:r>
          </w:p>
          <w:p>
            <w:pPr>
              <w:pStyle w:val="48"/>
              <w:spacing w:line="286" w:lineRule="exact"/>
              <w:ind w:left="101" w:right="94"/>
              <w:jc w:val="center"/>
              <w:rPr>
                <w:color w:val="auto"/>
                <w:sz w:val="24"/>
              </w:rPr>
            </w:pPr>
            <w:r>
              <w:rPr>
                <w:color w:val="auto"/>
                <w:sz w:val="24"/>
              </w:rPr>
              <w:t>以下</w:t>
            </w:r>
          </w:p>
        </w:tc>
        <w:tc>
          <w:tcPr>
            <w:tcW w:w="845" w:type="dxa"/>
            <w:vAlign w:val="top"/>
          </w:tcPr>
          <w:p>
            <w:pPr>
              <w:pStyle w:val="48"/>
              <w:ind w:left="182"/>
              <w:rPr>
                <w:color w:val="auto"/>
                <w:sz w:val="24"/>
              </w:rPr>
            </w:pPr>
            <w:r>
              <w:rPr>
                <w:color w:val="auto"/>
                <w:sz w:val="24"/>
              </w:rPr>
              <w:t>2000</w:t>
            </w:r>
          </w:p>
          <w:p>
            <w:pPr>
              <w:pStyle w:val="48"/>
              <w:spacing w:before="4" w:line="244" w:lineRule="auto"/>
              <w:ind w:left="182" w:right="170"/>
              <w:jc w:val="both"/>
              <w:rPr>
                <w:color w:val="auto"/>
                <w:sz w:val="24"/>
              </w:rPr>
            </w:pPr>
            <w:r>
              <w:rPr>
                <w:color w:val="auto"/>
                <w:sz w:val="24"/>
              </w:rPr>
              <w:t>万元及以上</w:t>
            </w:r>
          </w:p>
        </w:tc>
        <w:tc>
          <w:tcPr>
            <w:tcW w:w="844" w:type="dxa"/>
            <w:vAlign w:val="top"/>
          </w:tcPr>
          <w:p>
            <w:pPr>
              <w:pStyle w:val="48"/>
              <w:ind w:left="242"/>
              <w:rPr>
                <w:color w:val="auto"/>
                <w:sz w:val="24"/>
              </w:rPr>
            </w:pPr>
            <w:r>
              <w:rPr>
                <w:color w:val="auto"/>
                <w:sz w:val="24"/>
              </w:rPr>
              <w:t>100</w:t>
            </w:r>
          </w:p>
          <w:p>
            <w:pPr>
              <w:pStyle w:val="48"/>
              <w:spacing w:before="4" w:line="244" w:lineRule="auto"/>
              <w:ind w:left="182" w:right="169"/>
              <w:jc w:val="both"/>
              <w:rPr>
                <w:color w:val="auto"/>
                <w:sz w:val="24"/>
              </w:rPr>
            </w:pPr>
            <w:r>
              <w:rPr>
                <w:color w:val="auto"/>
                <w:sz w:val="24"/>
              </w:rPr>
              <w:t>万元及以上</w:t>
            </w:r>
          </w:p>
        </w:tc>
        <w:tc>
          <w:tcPr>
            <w:tcW w:w="842" w:type="dxa"/>
            <w:vAlign w:val="top"/>
          </w:tcPr>
          <w:p>
            <w:pPr>
              <w:pStyle w:val="48"/>
              <w:ind w:left="243"/>
              <w:rPr>
                <w:color w:val="auto"/>
                <w:sz w:val="24"/>
              </w:rPr>
            </w:pPr>
            <w:r>
              <w:rPr>
                <w:color w:val="auto"/>
                <w:sz w:val="24"/>
              </w:rPr>
              <w:t>100</w:t>
            </w:r>
          </w:p>
          <w:p>
            <w:pPr>
              <w:pStyle w:val="48"/>
              <w:spacing w:before="4" w:line="244" w:lineRule="auto"/>
              <w:ind w:left="183" w:right="166"/>
              <w:rPr>
                <w:color w:val="auto"/>
                <w:sz w:val="24"/>
              </w:rPr>
            </w:pPr>
            <w:r>
              <w:rPr>
                <w:color w:val="auto"/>
                <w:spacing w:val="-9"/>
                <w:sz w:val="24"/>
              </w:rPr>
              <w:t>万元以下</w:t>
            </w:r>
          </w:p>
        </w:tc>
        <w:tc>
          <w:tcPr>
            <w:tcW w:w="845" w:type="dxa"/>
            <w:vAlign w:val="top"/>
          </w:tcPr>
          <w:p>
            <w:pPr>
              <w:pStyle w:val="48"/>
              <w:ind w:left="244"/>
              <w:rPr>
                <w:color w:val="auto"/>
                <w:sz w:val="24"/>
              </w:rPr>
            </w:pPr>
            <w:r>
              <w:rPr>
                <w:color w:val="auto"/>
                <w:sz w:val="24"/>
              </w:rPr>
              <w:t>300</w:t>
            </w:r>
          </w:p>
          <w:p>
            <w:pPr>
              <w:pStyle w:val="48"/>
              <w:spacing w:before="4" w:line="244" w:lineRule="auto"/>
              <w:ind w:left="184" w:right="168"/>
              <w:rPr>
                <w:color w:val="auto"/>
                <w:sz w:val="24"/>
              </w:rPr>
            </w:pPr>
            <w:r>
              <w:rPr>
                <w:color w:val="auto"/>
                <w:spacing w:val="-9"/>
                <w:sz w:val="24"/>
              </w:rPr>
              <w:t>人及以上</w:t>
            </w:r>
          </w:p>
        </w:tc>
        <w:tc>
          <w:tcPr>
            <w:tcW w:w="845" w:type="dxa"/>
            <w:vAlign w:val="top"/>
          </w:tcPr>
          <w:p>
            <w:pPr>
              <w:pStyle w:val="48"/>
              <w:spacing w:line="244" w:lineRule="auto"/>
              <w:ind w:left="183" w:right="140" w:hanging="32"/>
              <w:jc w:val="both"/>
              <w:rPr>
                <w:color w:val="auto"/>
                <w:sz w:val="24"/>
              </w:rPr>
            </w:pPr>
            <w:r>
              <w:rPr>
                <w:color w:val="auto"/>
                <w:sz w:val="24"/>
              </w:rPr>
              <w:t>20</w:t>
            </w:r>
            <w:r>
              <w:rPr>
                <w:color w:val="auto"/>
                <w:spacing w:val="-38"/>
                <w:sz w:val="24"/>
              </w:rPr>
              <w:t xml:space="preserve"> 人</w:t>
            </w:r>
            <w:r>
              <w:rPr>
                <w:color w:val="auto"/>
                <w:sz w:val="24"/>
              </w:rPr>
              <w:t>及以上</w:t>
            </w:r>
          </w:p>
        </w:tc>
        <w:tc>
          <w:tcPr>
            <w:tcW w:w="742" w:type="dxa"/>
            <w:vAlign w:val="top"/>
          </w:tcPr>
          <w:p>
            <w:pPr>
              <w:pStyle w:val="48"/>
              <w:spacing w:line="242" w:lineRule="auto"/>
              <w:ind w:left="130" w:right="20" w:hanging="22"/>
              <w:rPr>
                <w:color w:val="auto"/>
                <w:sz w:val="24"/>
              </w:rPr>
            </w:pPr>
            <w:r>
              <w:rPr>
                <w:color w:val="auto"/>
                <w:sz w:val="24"/>
              </w:rPr>
              <w:t>20 人以下</w:t>
            </w:r>
          </w:p>
        </w:tc>
        <w:tc>
          <w:tcPr>
            <w:tcW w:w="843" w:type="dxa"/>
            <w:vAlign w:val="top"/>
          </w:tcPr>
          <w:p>
            <w:pPr>
              <w:pStyle w:val="48"/>
              <w:rPr>
                <w:rFonts w:ascii="Times New Roman"/>
                <w:color w:val="auto"/>
                <w:sz w:val="24"/>
              </w:rPr>
            </w:pPr>
          </w:p>
        </w:tc>
        <w:tc>
          <w:tcPr>
            <w:tcW w:w="845" w:type="dxa"/>
            <w:vAlign w:val="top"/>
          </w:tcPr>
          <w:p>
            <w:pPr>
              <w:pStyle w:val="48"/>
              <w:rPr>
                <w:rFonts w:ascii="Times New Roman"/>
                <w:color w:val="auto"/>
                <w:sz w:val="24"/>
              </w:rPr>
            </w:pPr>
          </w:p>
        </w:tc>
        <w:tc>
          <w:tcPr>
            <w:tcW w:w="845"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958" w:type="dxa"/>
            <w:vAlign w:val="top"/>
          </w:tcPr>
          <w:p>
            <w:pPr>
              <w:pStyle w:val="48"/>
              <w:rPr>
                <w:b/>
                <w:color w:val="auto"/>
                <w:sz w:val="24"/>
              </w:rPr>
            </w:pPr>
          </w:p>
          <w:p>
            <w:pPr>
              <w:pStyle w:val="48"/>
              <w:spacing w:before="160"/>
              <w:ind w:left="96" w:right="85"/>
              <w:jc w:val="center"/>
              <w:rPr>
                <w:color w:val="auto"/>
                <w:sz w:val="24"/>
              </w:rPr>
            </w:pPr>
            <w:r>
              <w:rPr>
                <w:color w:val="auto"/>
                <w:sz w:val="24"/>
              </w:rPr>
              <w:t>住宿业</w:t>
            </w:r>
          </w:p>
        </w:tc>
        <w:tc>
          <w:tcPr>
            <w:tcW w:w="1452" w:type="dxa"/>
            <w:vAlign w:val="top"/>
          </w:tcPr>
          <w:p>
            <w:pPr>
              <w:pStyle w:val="48"/>
              <w:spacing w:line="242" w:lineRule="auto"/>
              <w:ind w:left="124" w:right="115"/>
              <w:jc w:val="both"/>
              <w:rPr>
                <w:color w:val="auto"/>
                <w:sz w:val="24"/>
              </w:rPr>
            </w:pPr>
            <w:r>
              <w:rPr>
                <w:color w:val="auto"/>
                <w:spacing w:val="-20"/>
                <w:sz w:val="24"/>
              </w:rPr>
              <w:t xml:space="preserve">人员 </w:t>
            </w:r>
            <w:r>
              <w:rPr>
                <w:color w:val="auto"/>
                <w:sz w:val="24"/>
              </w:rPr>
              <w:t>300</w:t>
            </w:r>
            <w:r>
              <w:rPr>
                <w:color w:val="auto"/>
                <w:spacing w:val="-39"/>
                <w:sz w:val="24"/>
              </w:rPr>
              <w:t xml:space="preserve"> 人</w:t>
            </w:r>
            <w:r>
              <w:rPr>
                <w:color w:val="auto"/>
                <w:spacing w:val="-4"/>
                <w:sz w:val="24"/>
              </w:rPr>
              <w:t>以下或营业</w:t>
            </w:r>
            <w:r>
              <w:rPr>
                <w:color w:val="auto"/>
                <w:spacing w:val="-20"/>
                <w:sz w:val="24"/>
              </w:rPr>
              <w:t xml:space="preserve">收入 </w:t>
            </w:r>
            <w:r>
              <w:rPr>
                <w:color w:val="auto"/>
                <w:sz w:val="24"/>
              </w:rPr>
              <w:t>10000</w:t>
            </w:r>
          </w:p>
          <w:p>
            <w:pPr>
              <w:pStyle w:val="48"/>
              <w:spacing w:before="4" w:line="292" w:lineRule="exact"/>
              <w:ind w:left="244"/>
              <w:rPr>
                <w:color w:val="auto"/>
                <w:sz w:val="24"/>
              </w:rPr>
            </w:pPr>
            <w:r>
              <w:rPr>
                <w:color w:val="auto"/>
                <w:sz w:val="24"/>
              </w:rPr>
              <w:t>万元以下</w:t>
            </w:r>
          </w:p>
        </w:tc>
        <w:tc>
          <w:tcPr>
            <w:tcW w:w="845" w:type="dxa"/>
            <w:vAlign w:val="top"/>
          </w:tcPr>
          <w:p>
            <w:pPr>
              <w:pStyle w:val="48"/>
              <w:ind w:left="182"/>
              <w:rPr>
                <w:color w:val="auto"/>
                <w:sz w:val="24"/>
              </w:rPr>
            </w:pPr>
            <w:r>
              <w:rPr>
                <w:color w:val="auto"/>
                <w:sz w:val="24"/>
              </w:rPr>
              <w:t>2000</w:t>
            </w:r>
          </w:p>
          <w:p>
            <w:pPr>
              <w:pStyle w:val="48"/>
              <w:spacing w:before="1" w:line="310" w:lineRule="atLeast"/>
              <w:ind w:left="182" w:right="170"/>
              <w:jc w:val="both"/>
              <w:rPr>
                <w:color w:val="auto"/>
                <w:sz w:val="24"/>
              </w:rPr>
            </w:pPr>
            <w:r>
              <w:rPr>
                <w:color w:val="auto"/>
                <w:sz w:val="24"/>
              </w:rPr>
              <w:t>万元及以上</w:t>
            </w:r>
          </w:p>
        </w:tc>
        <w:tc>
          <w:tcPr>
            <w:tcW w:w="844" w:type="dxa"/>
            <w:vAlign w:val="top"/>
          </w:tcPr>
          <w:p>
            <w:pPr>
              <w:pStyle w:val="48"/>
              <w:ind w:left="242"/>
              <w:rPr>
                <w:color w:val="auto"/>
                <w:sz w:val="24"/>
              </w:rPr>
            </w:pPr>
            <w:r>
              <w:rPr>
                <w:color w:val="auto"/>
                <w:sz w:val="24"/>
              </w:rPr>
              <w:t>100</w:t>
            </w:r>
          </w:p>
          <w:p>
            <w:pPr>
              <w:pStyle w:val="48"/>
              <w:spacing w:before="1" w:line="310" w:lineRule="atLeast"/>
              <w:ind w:left="182" w:right="169"/>
              <w:jc w:val="both"/>
              <w:rPr>
                <w:color w:val="auto"/>
                <w:sz w:val="24"/>
              </w:rPr>
            </w:pPr>
            <w:r>
              <w:rPr>
                <w:color w:val="auto"/>
                <w:sz w:val="24"/>
              </w:rPr>
              <w:t>万元及以上</w:t>
            </w:r>
          </w:p>
        </w:tc>
        <w:tc>
          <w:tcPr>
            <w:tcW w:w="842" w:type="dxa"/>
            <w:vAlign w:val="top"/>
          </w:tcPr>
          <w:p>
            <w:pPr>
              <w:pStyle w:val="48"/>
              <w:ind w:left="243"/>
              <w:rPr>
                <w:color w:val="auto"/>
                <w:sz w:val="24"/>
              </w:rPr>
            </w:pPr>
            <w:r>
              <w:rPr>
                <w:color w:val="auto"/>
                <w:sz w:val="24"/>
              </w:rPr>
              <w:t>100</w:t>
            </w:r>
          </w:p>
          <w:p>
            <w:pPr>
              <w:pStyle w:val="48"/>
              <w:spacing w:before="4" w:line="242" w:lineRule="auto"/>
              <w:ind w:left="183" w:right="166"/>
              <w:rPr>
                <w:color w:val="auto"/>
                <w:sz w:val="24"/>
              </w:rPr>
            </w:pPr>
            <w:r>
              <w:rPr>
                <w:color w:val="auto"/>
                <w:spacing w:val="-9"/>
                <w:sz w:val="24"/>
              </w:rPr>
              <w:t>万元以下</w:t>
            </w:r>
          </w:p>
        </w:tc>
        <w:tc>
          <w:tcPr>
            <w:tcW w:w="845" w:type="dxa"/>
            <w:vAlign w:val="top"/>
          </w:tcPr>
          <w:p>
            <w:pPr>
              <w:pStyle w:val="48"/>
              <w:ind w:left="244"/>
              <w:rPr>
                <w:color w:val="auto"/>
                <w:sz w:val="24"/>
              </w:rPr>
            </w:pPr>
            <w:r>
              <w:rPr>
                <w:color w:val="auto"/>
                <w:sz w:val="24"/>
              </w:rPr>
              <w:t>100</w:t>
            </w:r>
          </w:p>
          <w:p>
            <w:pPr>
              <w:pStyle w:val="48"/>
              <w:spacing w:before="4" w:line="242" w:lineRule="auto"/>
              <w:ind w:left="184" w:right="168"/>
              <w:rPr>
                <w:color w:val="auto"/>
                <w:sz w:val="24"/>
              </w:rPr>
            </w:pPr>
            <w:r>
              <w:rPr>
                <w:color w:val="auto"/>
                <w:spacing w:val="-9"/>
                <w:sz w:val="24"/>
              </w:rPr>
              <w:t>人及以上</w:t>
            </w:r>
          </w:p>
        </w:tc>
        <w:tc>
          <w:tcPr>
            <w:tcW w:w="845" w:type="dxa"/>
            <w:vAlign w:val="top"/>
          </w:tcPr>
          <w:p>
            <w:pPr>
              <w:pStyle w:val="48"/>
              <w:spacing w:line="242" w:lineRule="auto"/>
              <w:ind w:left="183" w:right="140" w:hanging="32"/>
              <w:jc w:val="both"/>
              <w:rPr>
                <w:color w:val="auto"/>
                <w:sz w:val="24"/>
              </w:rPr>
            </w:pPr>
            <w:r>
              <w:rPr>
                <w:color w:val="auto"/>
                <w:sz w:val="24"/>
              </w:rPr>
              <w:t>10</w:t>
            </w:r>
            <w:r>
              <w:rPr>
                <w:color w:val="auto"/>
                <w:spacing w:val="-38"/>
                <w:sz w:val="24"/>
              </w:rPr>
              <w:t xml:space="preserve"> 人</w:t>
            </w:r>
            <w:r>
              <w:rPr>
                <w:color w:val="auto"/>
                <w:sz w:val="24"/>
              </w:rPr>
              <w:t>及以上</w:t>
            </w:r>
          </w:p>
        </w:tc>
        <w:tc>
          <w:tcPr>
            <w:tcW w:w="742" w:type="dxa"/>
            <w:vAlign w:val="top"/>
          </w:tcPr>
          <w:p>
            <w:pPr>
              <w:pStyle w:val="48"/>
              <w:spacing w:line="242" w:lineRule="auto"/>
              <w:ind w:left="130" w:right="20" w:hanging="22"/>
              <w:rPr>
                <w:color w:val="auto"/>
                <w:sz w:val="24"/>
              </w:rPr>
            </w:pPr>
            <w:r>
              <w:rPr>
                <w:color w:val="auto"/>
                <w:sz w:val="24"/>
              </w:rPr>
              <w:t>10 人以下</w:t>
            </w:r>
          </w:p>
        </w:tc>
        <w:tc>
          <w:tcPr>
            <w:tcW w:w="843" w:type="dxa"/>
            <w:vAlign w:val="top"/>
          </w:tcPr>
          <w:p>
            <w:pPr>
              <w:pStyle w:val="48"/>
              <w:rPr>
                <w:rFonts w:ascii="Times New Roman"/>
                <w:color w:val="auto"/>
                <w:sz w:val="24"/>
              </w:rPr>
            </w:pPr>
          </w:p>
        </w:tc>
        <w:tc>
          <w:tcPr>
            <w:tcW w:w="845" w:type="dxa"/>
            <w:vAlign w:val="top"/>
          </w:tcPr>
          <w:p>
            <w:pPr>
              <w:pStyle w:val="48"/>
              <w:rPr>
                <w:rFonts w:ascii="Times New Roman"/>
                <w:color w:val="auto"/>
                <w:sz w:val="24"/>
              </w:rPr>
            </w:pPr>
          </w:p>
        </w:tc>
        <w:tc>
          <w:tcPr>
            <w:tcW w:w="845"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958" w:type="dxa"/>
            <w:vAlign w:val="top"/>
          </w:tcPr>
          <w:p>
            <w:pPr>
              <w:pStyle w:val="48"/>
              <w:rPr>
                <w:b/>
                <w:color w:val="auto"/>
                <w:sz w:val="24"/>
              </w:rPr>
            </w:pPr>
          </w:p>
          <w:p>
            <w:pPr>
              <w:pStyle w:val="48"/>
              <w:spacing w:before="162"/>
              <w:ind w:left="96" w:right="85"/>
              <w:jc w:val="center"/>
              <w:rPr>
                <w:color w:val="auto"/>
                <w:sz w:val="24"/>
              </w:rPr>
            </w:pPr>
            <w:r>
              <w:rPr>
                <w:color w:val="auto"/>
                <w:sz w:val="24"/>
              </w:rPr>
              <w:t>餐饮业</w:t>
            </w:r>
          </w:p>
        </w:tc>
        <w:tc>
          <w:tcPr>
            <w:tcW w:w="1452" w:type="dxa"/>
            <w:vAlign w:val="top"/>
          </w:tcPr>
          <w:p>
            <w:pPr>
              <w:pStyle w:val="48"/>
              <w:spacing w:before="2" w:line="242" w:lineRule="auto"/>
              <w:ind w:left="124" w:right="115"/>
              <w:jc w:val="both"/>
              <w:rPr>
                <w:color w:val="auto"/>
                <w:sz w:val="24"/>
              </w:rPr>
            </w:pPr>
            <w:r>
              <w:rPr>
                <w:color w:val="auto"/>
                <w:spacing w:val="-20"/>
                <w:sz w:val="24"/>
              </w:rPr>
              <w:t xml:space="preserve">人员 </w:t>
            </w:r>
            <w:r>
              <w:rPr>
                <w:color w:val="auto"/>
                <w:sz w:val="24"/>
              </w:rPr>
              <w:t>300</w:t>
            </w:r>
            <w:r>
              <w:rPr>
                <w:color w:val="auto"/>
                <w:spacing w:val="-39"/>
                <w:sz w:val="24"/>
              </w:rPr>
              <w:t xml:space="preserve"> 人</w:t>
            </w:r>
            <w:r>
              <w:rPr>
                <w:color w:val="auto"/>
                <w:spacing w:val="-4"/>
                <w:sz w:val="24"/>
              </w:rPr>
              <w:t>以下或营业</w:t>
            </w:r>
            <w:r>
              <w:rPr>
                <w:color w:val="auto"/>
                <w:spacing w:val="-20"/>
                <w:sz w:val="24"/>
              </w:rPr>
              <w:t xml:space="preserve">收入 </w:t>
            </w:r>
            <w:r>
              <w:rPr>
                <w:color w:val="auto"/>
                <w:sz w:val="24"/>
              </w:rPr>
              <w:t>10000</w:t>
            </w:r>
          </w:p>
          <w:p>
            <w:pPr>
              <w:pStyle w:val="48"/>
              <w:spacing w:before="5" w:line="292" w:lineRule="exact"/>
              <w:ind w:left="244"/>
              <w:rPr>
                <w:color w:val="auto"/>
                <w:sz w:val="24"/>
              </w:rPr>
            </w:pPr>
            <w:r>
              <w:rPr>
                <w:color w:val="auto"/>
                <w:sz w:val="24"/>
              </w:rPr>
              <w:t>万元以下</w:t>
            </w:r>
          </w:p>
        </w:tc>
        <w:tc>
          <w:tcPr>
            <w:tcW w:w="845" w:type="dxa"/>
            <w:vAlign w:val="top"/>
          </w:tcPr>
          <w:p>
            <w:pPr>
              <w:pStyle w:val="48"/>
              <w:spacing w:before="2"/>
              <w:ind w:left="162" w:right="153"/>
              <w:jc w:val="center"/>
              <w:rPr>
                <w:color w:val="auto"/>
                <w:sz w:val="24"/>
              </w:rPr>
            </w:pPr>
            <w:r>
              <w:rPr>
                <w:color w:val="auto"/>
                <w:sz w:val="24"/>
              </w:rPr>
              <w:t>2000</w:t>
            </w:r>
          </w:p>
          <w:p>
            <w:pPr>
              <w:pStyle w:val="48"/>
              <w:spacing w:before="4" w:line="242" w:lineRule="auto"/>
              <w:ind w:left="182" w:right="170"/>
              <w:jc w:val="center"/>
              <w:rPr>
                <w:color w:val="auto"/>
                <w:sz w:val="24"/>
              </w:rPr>
            </w:pPr>
            <w:r>
              <w:rPr>
                <w:color w:val="auto"/>
                <w:spacing w:val="-9"/>
                <w:sz w:val="24"/>
              </w:rPr>
              <w:t>万元及以</w:t>
            </w:r>
          </w:p>
          <w:p>
            <w:pPr>
              <w:pStyle w:val="48"/>
              <w:spacing w:before="4" w:line="292" w:lineRule="exact"/>
              <w:ind w:left="10"/>
              <w:jc w:val="center"/>
              <w:rPr>
                <w:color w:val="auto"/>
                <w:sz w:val="24"/>
              </w:rPr>
            </w:pPr>
            <w:r>
              <w:rPr>
                <w:color w:val="auto"/>
                <w:sz w:val="24"/>
              </w:rPr>
              <w:t>上</w:t>
            </w:r>
          </w:p>
        </w:tc>
        <w:tc>
          <w:tcPr>
            <w:tcW w:w="844" w:type="dxa"/>
            <w:vAlign w:val="top"/>
          </w:tcPr>
          <w:p>
            <w:pPr>
              <w:pStyle w:val="48"/>
              <w:spacing w:before="2"/>
              <w:ind w:left="180" w:right="169"/>
              <w:jc w:val="center"/>
              <w:rPr>
                <w:color w:val="auto"/>
                <w:sz w:val="24"/>
              </w:rPr>
            </w:pPr>
            <w:r>
              <w:rPr>
                <w:color w:val="auto"/>
                <w:sz w:val="24"/>
              </w:rPr>
              <w:t>100</w:t>
            </w:r>
          </w:p>
          <w:p>
            <w:pPr>
              <w:pStyle w:val="48"/>
              <w:spacing w:before="4" w:line="242" w:lineRule="auto"/>
              <w:ind w:left="182" w:right="169"/>
              <w:jc w:val="center"/>
              <w:rPr>
                <w:color w:val="auto"/>
                <w:sz w:val="24"/>
              </w:rPr>
            </w:pPr>
            <w:r>
              <w:rPr>
                <w:color w:val="auto"/>
                <w:spacing w:val="-9"/>
                <w:sz w:val="24"/>
              </w:rPr>
              <w:t>万元及以</w:t>
            </w:r>
          </w:p>
          <w:p>
            <w:pPr>
              <w:pStyle w:val="48"/>
              <w:spacing w:before="4" w:line="292" w:lineRule="exact"/>
              <w:ind w:left="11"/>
              <w:jc w:val="center"/>
              <w:rPr>
                <w:color w:val="auto"/>
                <w:sz w:val="24"/>
              </w:rPr>
            </w:pPr>
            <w:r>
              <w:rPr>
                <w:color w:val="auto"/>
                <w:sz w:val="24"/>
              </w:rPr>
              <w:t>上</w:t>
            </w:r>
          </w:p>
        </w:tc>
        <w:tc>
          <w:tcPr>
            <w:tcW w:w="842" w:type="dxa"/>
            <w:vAlign w:val="top"/>
          </w:tcPr>
          <w:p>
            <w:pPr>
              <w:pStyle w:val="48"/>
              <w:spacing w:before="2"/>
              <w:ind w:left="243"/>
              <w:rPr>
                <w:color w:val="auto"/>
                <w:sz w:val="24"/>
              </w:rPr>
            </w:pPr>
            <w:r>
              <w:rPr>
                <w:color w:val="auto"/>
                <w:sz w:val="24"/>
              </w:rPr>
              <w:t>100</w:t>
            </w:r>
          </w:p>
          <w:p>
            <w:pPr>
              <w:pStyle w:val="48"/>
              <w:spacing w:before="4" w:line="242" w:lineRule="auto"/>
              <w:ind w:left="183" w:right="166"/>
              <w:rPr>
                <w:color w:val="auto"/>
                <w:sz w:val="24"/>
              </w:rPr>
            </w:pPr>
            <w:r>
              <w:rPr>
                <w:color w:val="auto"/>
                <w:spacing w:val="-9"/>
                <w:sz w:val="24"/>
              </w:rPr>
              <w:t>万元以下</w:t>
            </w:r>
          </w:p>
        </w:tc>
        <w:tc>
          <w:tcPr>
            <w:tcW w:w="845" w:type="dxa"/>
            <w:vAlign w:val="top"/>
          </w:tcPr>
          <w:p>
            <w:pPr>
              <w:pStyle w:val="48"/>
              <w:spacing w:before="2"/>
              <w:ind w:left="244"/>
              <w:rPr>
                <w:color w:val="auto"/>
                <w:sz w:val="24"/>
              </w:rPr>
            </w:pPr>
            <w:r>
              <w:rPr>
                <w:color w:val="auto"/>
                <w:sz w:val="24"/>
              </w:rPr>
              <w:t>100</w:t>
            </w:r>
          </w:p>
          <w:p>
            <w:pPr>
              <w:pStyle w:val="48"/>
              <w:spacing w:before="4" w:line="242" w:lineRule="auto"/>
              <w:ind w:left="184" w:right="168"/>
              <w:rPr>
                <w:color w:val="auto"/>
                <w:sz w:val="24"/>
              </w:rPr>
            </w:pPr>
            <w:r>
              <w:rPr>
                <w:color w:val="auto"/>
                <w:spacing w:val="-9"/>
                <w:sz w:val="24"/>
              </w:rPr>
              <w:t>人及以上</w:t>
            </w:r>
          </w:p>
        </w:tc>
        <w:tc>
          <w:tcPr>
            <w:tcW w:w="845" w:type="dxa"/>
            <w:vAlign w:val="top"/>
          </w:tcPr>
          <w:p>
            <w:pPr>
              <w:pStyle w:val="48"/>
              <w:rPr>
                <w:rFonts w:ascii="Times New Roman"/>
                <w:color w:val="auto"/>
                <w:sz w:val="24"/>
              </w:rPr>
            </w:pPr>
          </w:p>
        </w:tc>
        <w:tc>
          <w:tcPr>
            <w:tcW w:w="742" w:type="dxa"/>
            <w:vAlign w:val="top"/>
          </w:tcPr>
          <w:p>
            <w:pPr>
              <w:pStyle w:val="48"/>
              <w:rPr>
                <w:rFonts w:ascii="Times New Roman"/>
                <w:color w:val="auto"/>
                <w:sz w:val="24"/>
              </w:rPr>
            </w:pPr>
          </w:p>
        </w:tc>
        <w:tc>
          <w:tcPr>
            <w:tcW w:w="843" w:type="dxa"/>
            <w:vAlign w:val="top"/>
          </w:tcPr>
          <w:p>
            <w:pPr>
              <w:pStyle w:val="48"/>
              <w:rPr>
                <w:rFonts w:ascii="Times New Roman"/>
                <w:color w:val="auto"/>
                <w:sz w:val="24"/>
              </w:rPr>
            </w:pPr>
          </w:p>
        </w:tc>
        <w:tc>
          <w:tcPr>
            <w:tcW w:w="845" w:type="dxa"/>
            <w:vAlign w:val="top"/>
          </w:tcPr>
          <w:p>
            <w:pPr>
              <w:pStyle w:val="48"/>
              <w:rPr>
                <w:rFonts w:ascii="Times New Roman"/>
                <w:color w:val="auto"/>
                <w:sz w:val="24"/>
              </w:rPr>
            </w:pPr>
          </w:p>
        </w:tc>
        <w:tc>
          <w:tcPr>
            <w:tcW w:w="845"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vAlign w:val="top"/>
          </w:tcPr>
          <w:p>
            <w:pPr>
              <w:pStyle w:val="48"/>
              <w:rPr>
                <w:b/>
                <w:color w:val="auto"/>
                <w:sz w:val="24"/>
              </w:rPr>
            </w:pPr>
          </w:p>
          <w:p>
            <w:pPr>
              <w:pStyle w:val="48"/>
              <w:spacing w:before="160" w:line="242" w:lineRule="auto"/>
              <w:ind w:left="240" w:right="106" w:hanging="121"/>
              <w:rPr>
                <w:color w:val="auto"/>
                <w:sz w:val="24"/>
              </w:rPr>
            </w:pPr>
            <w:r>
              <w:rPr>
                <w:color w:val="auto"/>
                <w:sz w:val="24"/>
              </w:rPr>
              <w:t>信息传输业</w:t>
            </w:r>
          </w:p>
        </w:tc>
        <w:tc>
          <w:tcPr>
            <w:tcW w:w="1452" w:type="dxa"/>
            <w:vAlign w:val="top"/>
          </w:tcPr>
          <w:p>
            <w:pPr>
              <w:pStyle w:val="48"/>
              <w:spacing w:line="242" w:lineRule="auto"/>
              <w:ind w:left="107" w:right="96"/>
              <w:jc w:val="center"/>
              <w:rPr>
                <w:color w:val="auto"/>
                <w:sz w:val="24"/>
              </w:rPr>
            </w:pPr>
            <w:r>
              <w:rPr>
                <w:color w:val="auto"/>
                <w:spacing w:val="-20"/>
                <w:sz w:val="24"/>
              </w:rPr>
              <w:t xml:space="preserve">人员 </w:t>
            </w:r>
            <w:r>
              <w:rPr>
                <w:color w:val="auto"/>
                <w:sz w:val="24"/>
              </w:rPr>
              <w:t>2000 人以下或营业收入100000</w:t>
            </w:r>
            <w:r>
              <w:rPr>
                <w:color w:val="auto"/>
                <w:spacing w:val="-34"/>
                <w:sz w:val="24"/>
              </w:rPr>
              <w:t xml:space="preserve"> 万元</w:t>
            </w:r>
          </w:p>
          <w:p>
            <w:pPr>
              <w:pStyle w:val="48"/>
              <w:spacing w:before="5" w:line="292" w:lineRule="exact"/>
              <w:ind w:left="101" w:right="94"/>
              <w:jc w:val="center"/>
              <w:rPr>
                <w:color w:val="auto"/>
                <w:sz w:val="24"/>
              </w:rPr>
            </w:pPr>
            <w:r>
              <w:rPr>
                <w:color w:val="auto"/>
                <w:sz w:val="24"/>
              </w:rPr>
              <w:t>以下</w:t>
            </w:r>
          </w:p>
        </w:tc>
        <w:tc>
          <w:tcPr>
            <w:tcW w:w="845" w:type="dxa"/>
            <w:vAlign w:val="top"/>
          </w:tcPr>
          <w:p>
            <w:pPr>
              <w:pStyle w:val="48"/>
              <w:ind w:left="182"/>
              <w:rPr>
                <w:color w:val="auto"/>
                <w:sz w:val="24"/>
              </w:rPr>
            </w:pPr>
            <w:r>
              <w:rPr>
                <w:color w:val="auto"/>
                <w:sz w:val="24"/>
              </w:rPr>
              <w:t>1000</w:t>
            </w:r>
          </w:p>
          <w:p>
            <w:pPr>
              <w:pStyle w:val="48"/>
              <w:spacing w:before="4" w:line="242" w:lineRule="auto"/>
              <w:ind w:left="182" w:right="170"/>
              <w:jc w:val="both"/>
              <w:rPr>
                <w:color w:val="auto"/>
                <w:sz w:val="24"/>
              </w:rPr>
            </w:pPr>
            <w:r>
              <w:rPr>
                <w:color w:val="auto"/>
                <w:sz w:val="24"/>
              </w:rPr>
              <w:t>万元及以上</w:t>
            </w:r>
          </w:p>
        </w:tc>
        <w:tc>
          <w:tcPr>
            <w:tcW w:w="844" w:type="dxa"/>
            <w:vAlign w:val="top"/>
          </w:tcPr>
          <w:p>
            <w:pPr>
              <w:pStyle w:val="48"/>
              <w:ind w:left="242"/>
              <w:rPr>
                <w:color w:val="auto"/>
                <w:sz w:val="24"/>
              </w:rPr>
            </w:pPr>
            <w:r>
              <w:rPr>
                <w:color w:val="auto"/>
                <w:sz w:val="24"/>
              </w:rPr>
              <w:t>100</w:t>
            </w:r>
          </w:p>
          <w:p>
            <w:pPr>
              <w:pStyle w:val="48"/>
              <w:spacing w:before="4" w:line="242" w:lineRule="auto"/>
              <w:ind w:left="182" w:right="169"/>
              <w:jc w:val="both"/>
              <w:rPr>
                <w:color w:val="auto"/>
                <w:sz w:val="24"/>
              </w:rPr>
            </w:pPr>
            <w:r>
              <w:rPr>
                <w:color w:val="auto"/>
                <w:sz w:val="24"/>
              </w:rPr>
              <w:t>万元及以上</w:t>
            </w:r>
          </w:p>
        </w:tc>
        <w:tc>
          <w:tcPr>
            <w:tcW w:w="842" w:type="dxa"/>
            <w:vAlign w:val="top"/>
          </w:tcPr>
          <w:p>
            <w:pPr>
              <w:pStyle w:val="48"/>
              <w:ind w:left="243"/>
              <w:rPr>
                <w:color w:val="auto"/>
                <w:sz w:val="24"/>
              </w:rPr>
            </w:pPr>
            <w:r>
              <w:rPr>
                <w:color w:val="auto"/>
                <w:sz w:val="24"/>
              </w:rPr>
              <w:t>100</w:t>
            </w:r>
          </w:p>
          <w:p>
            <w:pPr>
              <w:pStyle w:val="48"/>
              <w:spacing w:before="4" w:line="242" w:lineRule="auto"/>
              <w:ind w:left="183" w:right="166"/>
              <w:rPr>
                <w:color w:val="auto"/>
                <w:sz w:val="24"/>
              </w:rPr>
            </w:pPr>
            <w:r>
              <w:rPr>
                <w:color w:val="auto"/>
                <w:spacing w:val="-9"/>
                <w:sz w:val="24"/>
              </w:rPr>
              <w:t>万元以下</w:t>
            </w:r>
          </w:p>
        </w:tc>
        <w:tc>
          <w:tcPr>
            <w:tcW w:w="845" w:type="dxa"/>
            <w:vAlign w:val="top"/>
          </w:tcPr>
          <w:p>
            <w:pPr>
              <w:pStyle w:val="48"/>
              <w:ind w:left="244"/>
              <w:rPr>
                <w:color w:val="auto"/>
                <w:sz w:val="24"/>
              </w:rPr>
            </w:pPr>
            <w:r>
              <w:rPr>
                <w:color w:val="auto"/>
                <w:sz w:val="24"/>
              </w:rPr>
              <w:t>100</w:t>
            </w:r>
          </w:p>
          <w:p>
            <w:pPr>
              <w:pStyle w:val="48"/>
              <w:spacing w:before="4" w:line="242" w:lineRule="auto"/>
              <w:ind w:left="184" w:right="168"/>
              <w:rPr>
                <w:color w:val="auto"/>
                <w:sz w:val="24"/>
              </w:rPr>
            </w:pPr>
            <w:r>
              <w:rPr>
                <w:color w:val="auto"/>
                <w:spacing w:val="-9"/>
                <w:sz w:val="24"/>
              </w:rPr>
              <w:t>人及以上</w:t>
            </w:r>
          </w:p>
        </w:tc>
        <w:tc>
          <w:tcPr>
            <w:tcW w:w="845" w:type="dxa"/>
            <w:vAlign w:val="top"/>
          </w:tcPr>
          <w:p>
            <w:pPr>
              <w:pStyle w:val="48"/>
              <w:spacing w:line="242" w:lineRule="auto"/>
              <w:ind w:left="183" w:right="140" w:hanging="32"/>
              <w:jc w:val="both"/>
              <w:rPr>
                <w:color w:val="auto"/>
                <w:sz w:val="24"/>
              </w:rPr>
            </w:pPr>
            <w:r>
              <w:rPr>
                <w:color w:val="auto"/>
                <w:sz w:val="24"/>
              </w:rPr>
              <w:t>10</w:t>
            </w:r>
            <w:r>
              <w:rPr>
                <w:color w:val="auto"/>
                <w:spacing w:val="-38"/>
                <w:sz w:val="24"/>
              </w:rPr>
              <w:t xml:space="preserve"> 人</w:t>
            </w:r>
            <w:r>
              <w:rPr>
                <w:color w:val="auto"/>
                <w:sz w:val="24"/>
              </w:rPr>
              <w:t>及以上</w:t>
            </w:r>
          </w:p>
        </w:tc>
        <w:tc>
          <w:tcPr>
            <w:tcW w:w="742" w:type="dxa"/>
            <w:vAlign w:val="top"/>
          </w:tcPr>
          <w:p>
            <w:pPr>
              <w:pStyle w:val="48"/>
              <w:spacing w:line="242" w:lineRule="auto"/>
              <w:ind w:left="130" w:right="20" w:hanging="22"/>
              <w:rPr>
                <w:color w:val="auto"/>
                <w:sz w:val="24"/>
              </w:rPr>
            </w:pPr>
            <w:r>
              <w:rPr>
                <w:color w:val="auto"/>
                <w:sz w:val="24"/>
              </w:rPr>
              <w:t>10 人以下</w:t>
            </w:r>
          </w:p>
        </w:tc>
        <w:tc>
          <w:tcPr>
            <w:tcW w:w="843" w:type="dxa"/>
            <w:vAlign w:val="top"/>
          </w:tcPr>
          <w:p>
            <w:pPr>
              <w:pStyle w:val="48"/>
              <w:rPr>
                <w:rFonts w:ascii="Times New Roman"/>
                <w:color w:val="auto"/>
                <w:sz w:val="24"/>
              </w:rPr>
            </w:pPr>
          </w:p>
        </w:tc>
        <w:tc>
          <w:tcPr>
            <w:tcW w:w="845" w:type="dxa"/>
            <w:vAlign w:val="top"/>
          </w:tcPr>
          <w:p>
            <w:pPr>
              <w:pStyle w:val="48"/>
              <w:rPr>
                <w:rFonts w:ascii="Times New Roman"/>
                <w:color w:val="auto"/>
                <w:sz w:val="24"/>
              </w:rPr>
            </w:pPr>
          </w:p>
        </w:tc>
        <w:tc>
          <w:tcPr>
            <w:tcW w:w="845" w:type="dxa"/>
            <w:vAlign w:val="top"/>
          </w:tcPr>
          <w:p>
            <w:pPr>
              <w:pStyle w:val="48"/>
              <w:rPr>
                <w:rFonts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958" w:type="dxa"/>
            <w:vAlign w:val="top"/>
          </w:tcPr>
          <w:p>
            <w:pPr>
              <w:pStyle w:val="48"/>
              <w:spacing w:before="4"/>
              <w:rPr>
                <w:b/>
                <w:color w:val="auto"/>
                <w:sz w:val="24"/>
              </w:rPr>
            </w:pPr>
          </w:p>
          <w:p>
            <w:pPr>
              <w:pStyle w:val="48"/>
              <w:spacing w:line="242" w:lineRule="auto"/>
              <w:ind w:left="119" w:right="106"/>
              <w:jc w:val="center"/>
              <w:rPr>
                <w:color w:val="auto"/>
                <w:sz w:val="24"/>
              </w:rPr>
            </w:pPr>
            <w:r>
              <w:rPr>
                <w:color w:val="auto"/>
                <w:sz w:val="24"/>
              </w:rPr>
              <w:t>房地产开发经营</w:t>
            </w:r>
          </w:p>
        </w:tc>
        <w:tc>
          <w:tcPr>
            <w:tcW w:w="1452" w:type="dxa"/>
            <w:vAlign w:val="top"/>
          </w:tcPr>
          <w:p>
            <w:pPr>
              <w:pStyle w:val="48"/>
              <w:spacing w:line="307" w:lineRule="exact"/>
              <w:ind w:left="101" w:right="92"/>
              <w:jc w:val="center"/>
              <w:rPr>
                <w:color w:val="auto"/>
                <w:sz w:val="24"/>
              </w:rPr>
            </w:pPr>
            <w:r>
              <w:rPr>
                <w:color w:val="auto"/>
                <w:sz w:val="24"/>
              </w:rPr>
              <w:t>收入200000</w:t>
            </w:r>
          </w:p>
          <w:p>
            <w:pPr>
              <w:pStyle w:val="48"/>
              <w:spacing w:before="4" w:line="242" w:lineRule="auto"/>
              <w:ind w:left="124" w:right="115"/>
              <w:jc w:val="center"/>
              <w:rPr>
                <w:color w:val="auto"/>
                <w:sz w:val="24"/>
              </w:rPr>
            </w:pPr>
            <w:r>
              <w:rPr>
                <w:color w:val="auto"/>
                <w:sz w:val="24"/>
              </w:rPr>
              <w:t>万元以下或资产总额10000 万元</w:t>
            </w:r>
          </w:p>
          <w:p>
            <w:pPr>
              <w:pStyle w:val="48"/>
              <w:spacing w:before="4" w:line="292" w:lineRule="exact"/>
              <w:ind w:left="101" w:right="94"/>
              <w:jc w:val="center"/>
              <w:rPr>
                <w:color w:val="auto"/>
                <w:sz w:val="24"/>
              </w:rPr>
            </w:pPr>
            <w:r>
              <w:rPr>
                <w:color w:val="auto"/>
                <w:sz w:val="24"/>
              </w:rPr>
              <w:t>以下</w:t>
            </w:r>
          </w:p>
        </w:tc>
        <w:tc>
          <w:tcPr>
            <w:tcW w:w="845" w:type="dxa"/>
            <w:vAlign w:val="top"/>
          </w:tcPr>
          <w:p>
            <w:pPr>
              <w:pStyle w:val="48"/>
              <w:spacing w:line="307" w:lineRule="exact"/>
              <w:ind w:left="182"/>
              <w:rPr>
                <w:color w:val="auto"/>
                <w:sz w:val="24"/>
              </w:rPr>
            </w:pPr>
            <w:r>
              <w:rPr>
                <w:color w:val="auto"/>
                <w:sz w:val="24"/>
              </w:rPr>
              <w:t>1000</w:t>
            </w:r>
          </w:p>
          <w:p>
            <w:pPr>
              <w:pStyle w:val="48"/>
              <w:spacing w:before="4" w:line="242" w:lineRule="auto"/>
              <w:ind w:left="182" w:right="170"/>
              <w:jc w:val="both"/>
              <w:rPr>
                <w:color w:val="auto"/>
                <w:sz w:val="24"/>
              </w:rPr>
            </w:pPr>
            <w:r>
              <w:rPr>
                <w:color w:val="auto"/>
                <w:sz w:val="24"/>
              </w:rPr>
              <w:t>万元及以上</w:t>
            </w:r>
          </w:p>
        </w:tc>
        <w:tc>
          <w:tcPr>
            <w:tcW w:w="844" w:type="dxa"/>
            <w:vAlign w:val="top"/>
          </w:tcPr>
          <w:p>
            <w:pPr>
              <w:pStyle w:val="48"/>
              <w:spacing w:line="307" w:lineRule="exact"/>
              <w:ind w:left="242"/>
              <w:rPr>
                <w:color w:val="auto"/>
                <w:sz w:val="24"/>
              </w:rPr>
            </w:pPr>
            <w:r>
              <w:rPr>
                <w:color w:val="auto"/>
                <w:sz w:val="24"/>
              </w:rPr>
              <w:t>100</w:t>
            </w:r>
          </w:p>
          <w:p>
            <w:pPr>
              <w:pStyle w:val="48"/>
              <w:spacing w:before="4" w:line="242" w:lineRule="auto"/>
              <w:ind w:left="182" w:right="169"/>
              <w:jc w:val="both"/>
              <w:rPr>
                <w:color w:val="auto"/>
                <w:sz w:val="24"/>
              </w:rPr>
            </w:pPr>
            <w:r>
              <w:rPr>
                <w:color w:val="auto"/>
                <w:sz w:val="24"/>
              </w:rPr>
              <w:t>万元及以上</w:t>
            </w:r>
          </w:p>
        </w:tc>
        <w:tc>
          <w:tcPr>
            <w:tcW w:w="842" w:type="dxa"/>
            <w:vAlign w:val="top"/>
          </w:tcPr>
          <w:p>
            <w:pPr>
              <w:pStyle w:val="48"/>
              <w:spacing w:line="307" w:lineRule="exact"/>
              <w:ind w:left="243"/>
              <w:rPr>
                <w:color w:val="auto"/>
                <w:sz w:val="24"/>
              </w:rPr>
            </w:pPr>
            <w:r>
              <w:rPr>
                <w:color w:val="auto"/>
                <w:sz w:val="24"/>
              </w:rPr>
              <w:t>100</w:t>
            </w:r>
          </w:p>
          <w:p>
            <w:pPr>
              <w:pStyle w:val="48"/>
              <w:spacing w:before="4" w:line="242" w:lineRule="auto"/>
              <w:ind w:left="183" w:right="166"/>
              <w:rPr>
                <w:color w:val="auto"/>
                <w:sz w:val="24"/>
              </w:rPr>
            </w:pPr>
            <w:r>
              <w:rPr>
                <w:color w:val="auto"/>
                <w:spacing w:val="-9"/>
                <w:sz w:val="24"/>
              </w:rPr>
              <w:t>万元以下</w:t>
            </w:r>
          </w:p>
        </w:tc>
        <w:tc>
          <w:tcPr>
            <w:tcW w:w="845" w:type="dxa"/>
            <w:vAlign w:val="top"/>
          </w:tcPr>
          <w:p>
            <w:pPr>
              <w:pStyle w:val="48"/>
              <w:rPr>
                <w:rFonts w:ascii="Times New Roman"/>
                <w:color w:val="auto"/>
                <w:sz w:val="24"/>
              </w:rPr>
            </w:pPr>
          </w:p>
        </w:tc>
        <w:tc>
          <w:tcPr>
            <w:tcW w:w="845" w:type="dxa"/>
            <w:vAlign w:val="top"/>
          </w:tcPr>
          <w:p>
            <w:pPr>
              <w:pStyle w:val="48"/>
              <w:rPr>
                <w:rFonts w:ascii="Times New Roman"/>
                <w:color w:val="auto"/>
                <w:sz w:val="24"/>
              </w:rPr>
            </w:pPr>
          </w:p>
        </w:tc>
        <w:tc>
          <w:tcPr>
            <w:tcW w:w="742" w:type="dxa"/>
            <w:vAlign w:val="top"/>
          </w:tcPr>
          <w:p>
            <w:pPr>
              <w:pStyle w:val="48"/>
              <w:rPr>
                <w:rFonts w:ascii="Times New Roman"/>
                <w:color w:val="auto"/>
                <w:sz w:val="24"/>
              </w:rPr>
            </w:pPr>
          </w:p>
        </w:tc>
        <w:tc>
          <w:tcPr>
            <w:tcW w:w="843" w:type="dxa"/>
            <w:vAlign w:val="top"/>
          </w:tcPr>
          <w:p>
            <w:pPr>
              <w:pStyle w:val="48"/>
              <w:spacing w:line="307" w:lineRule="exact"/>
              <w:ind w:left="181"/>
              <w:rPr>
                <w:color w:val="auto"/>
                <w:sz w:val="24"/>
              </w:rPr>
            </w:pPr>
            <w:r>
              <w:rPr>
                <w:color w:val="auto"/>
                <w:sz w:val="24"/>
              </w:rPr>
              <w:t>5000</w:t>
            </w:r>
          </w:p>
          <w:p>
            <w:pPr>
              <w:pStyle w:val="48"/>
              <w:spacing w:before="4" w:line="242" w:lineRule="auto"/>
              <w:ind w:left="181" w:right="169"/>
              <w:jc w:val="both"/>
              <w:rPr>
                <w:color w:val="auto"/>
                <w:sz w:val="24"/>
              </w:rPr>
            </w:pPr>
            <w:r>
              <w:rPr>
                <w:color w:val="auto"/>
                <w:sz w:val="24"/>
              </w:rPr>
              <w:t>万元及以上</w:t>
            </w:r>
          </w:p>
        </w:tc>
        <w:tc>
          <w:tcPr>
            <w:tcW w:w="845" w:type="dxa"/>
            <w:vAlign w:val="top"/>
          </w:tcPr>
          <w:p>
            <w:pPr>
              <w:pStyle w:val="48"/>
              <w:spacing w:line="307" w:lineRule="exact"/>
              <w:ind w:left="183"/>
              <w:rPr>
                <w:color w:val="auto"/>
                <w:sz w:val="24"/>
              </w:rPr>
            </w:pPr>
            <w:r>
              <w:rPr>
                <w:color w:val="auto"/>
                <w:sz w:val="24"/>
              </w:rPr>
              <w:t>2000</w:t>
            </w:r>
          </w:p>
          <w:p>
            <w:pPr>
              <w:pStyle w:val="48"/>
              <w:spacing w:before="4" w:line="242" w:lineRule="auto"/>
              <w:ind w:left="183" w:right="169"/>
              <w:jc w:val="both"/>
              <w:rPr>
                <w:color w:val="auto"/>
                <w:sz w:val="24"/>
              </w:rPr>
            </w:pPr>
            <w:r>
              <w:rPr>
                <w:color w:val="auto"/>
                <w:sz w:val="24"/>
              </w:rPr>
              <w:t>万元及以上</w:t>
            </w:r>
          </w:p>
        </w:tc>
        <w:tc>
          <w:tcPr>
            <w:tcW w:w="845" w:type="dxa"/>
            <w:vAlign w:val="top"/>
          </w:tcPr>
          <w:p>
            <w:pPr>
              <w:pStyle w:val="48"/>
              <w:spacing w:line="307" w:lineRule="exact"/>
              <w:ind w:left="183"/>
              <w:rPr>
                <w:color w:val="auto"/>
                <w:sz w:val="24"/>
              </w:rPr>
            </w:pPr>
            <w:r>
              <w:rPr>
                <w:color w:val="auto"/>
                <w:sz w:val="24"/>
              </w:rPr>
              <w:t>2000</w:t>
            </w:r>
          </w:p>
          <w:p>
            <w:pPr>
              <w:pStyle w:val="48"/>
              <w:spacing w:before="4" w:line="242" w:lineRule="auto"/>
              <w:ind w:left="183" w:right="169"/>
              <w:jc w:val="both"/>
              <w:rPr>
                <w:color w:val="auto"/>
                <w:sz w:val="24"/>
              </w:rPr>
            </w:pPr>
            <w:r>
              <w:rPr>
                <w:color w:val="auto"/>
                <w:sz w:val="24"/>
              </w:rPr>
              <w:t>万元及以下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vAlign w:val="top"/>
          </w:tcPr>
          <w:p>
            <w:pPr>
              <w:pStyle w:val="48"/>
              <w:rPr>
                <w:b/>
                <w:color w:val="auto"/>
                <w:sz w:val="24"/>
              </w:rPr>
            </w:pPr>
          </w:p>
          <w:p>
            <w:pPr>
              <w:pStyle w:val="48"/>
              <w:spacing w:before="160" w:line="242" w:lineRule="auto"/>
              <w:ind w:left="360" w:right="106" w:hanging="241"/>
              <w:rPr>
                <w:color w:val="auto"/>
                <w:sz w:val="24"/>
              </w:rPr>
            </w:pPr>
            <w:r>
              <w:rPr>
                <w:color w:val="auto"/>
                <w:sz w:val="24"/>
              </w:rPr>
              <w:t>物业管理</w:t>
            </w:r>
          </w:p>
        </w:tc>
        <w:tc>
          <w:tcPr>
            <w:tcW w:w="1452" w:type="dxa"/>
            <w:vAlign w:val="top"/>
          </w:tcPr>
          <w:p>
            <w:pPr>
              <w:pStyle w:val="48"/>
              <w:spacing w:line="242" w:lineRule="auto"/>
              <w:ind w:left="107" w:right="96" w:hanging="3"/>
              <w:jc w:val="center"/>
              <w:rPr>
                <w:color w:val="auto"/>
                <w:sz w:val="24"/>
              </w:rPr>
            </w:pPr>
            <w:r>
              <w:rPr>
                <w:color w:val="auto"/>
                <w:sz w:val="24"/>
              </w:rPr>
              <w:t>从业人员1000</w:t>
            </w:r>
            <w:r>
              <w:rPr>
                <w:color w:val="auto"/>
                <w:spacing w:val="-26"/>
                <w:sz w:val="24"/>
              </w:rPr>
              <w:t xml:space="preserve"> 人以下</w:t>
            </w:r>
            <w:r>
              <w:rPr>
                <w:color w:val="auto"/>
                <w:sz w:val="24"/>
              </w:rPr>
              <w:t>或营业收入5000</w:t>
            </w:r>
            <w:r>
              <w:rPr>
                <w:color w:val="auto"/>
                <w:spacing w:val="-26"/>
                <w:sz w:val="24"/>
              </w:rPr>
              <w:t xml:space="preserve"> 万元以</w:t>
            </w:r>
          </w:p>
          <w:p>
            <w:pPr>
              <w:pStyle w:val="48"/>
              <w:spacing w:before="5" w:line="292" w:lineRule="exact"/>
              <w:ind w:left="7"/>
              <w:jc w:val="center"/>
              <w:rPr>
                <w:color w:val="auto"/>
                <w:sz w:val="24"/>
              </w:rPr>
            </w:pPr>
            <w:r>
              <w:rPr>
                <w:color w:val="auto"/>
                <w:sz w:val="24"/>
              </w:rPr>
              <w:t>下</w:t>
            </w:r>
          </w:p>
        </w:tc>
        <w:tc>
          <w:tcPr>
            <w:tcW w:w="845" w:type="dxa"/>
            <w:vAlign w:val="top"/>
          </w:tcPr>
          <w:p>
            <w:pPr>
              <w:pStyle w:val="48"/>
              <w:spacing w:line="307" w:lineRule="exact"/>
              <w:ind w:left="182"/>
              <w:rPr>
                <w:color w:val="auto"/>
                <w:sz w:val="24"/>
              </w:rPr>
            </w:pPr>
            <w:r>
              <w:rPr>
                <w:color w:val="auto"/>
                <w:sz w:val="24"/>
              </w:rPr>
              <w:t>1000</w:t>
            </w:r>
          </w:p>
          <w:p>
            <w:pPr>
              <w:pStyle w:val="48"/>
              <w:spacing w:before="4" w:line="242" w:lineRule="auto"/>
              <w:ind w:left="182" w:right="170"/>
              <w:jc w:val="both"/>
              <w:rPr>
                <w:color w:val="auto"/>
                <w:sz w:val="24"/>
              </w:rPr>
            </w:pPr>
            <w:r>
              <w:rPr>
                <w:color w:val="auto"/>
                <w:sz w:val="24"/>
              </w:rPr>
              <w:t>万元及以上</w:t>
            </w:r>
          </w:p>
        </w:tc>
        <w:tc>
          <w:tcPr>
            <w:tcW w:w="844" w:type="dxa"/>
            <w:vAlign w:val="top"/>
          </w:tcPr>
          <w:p>
            <w:pPr>
              <w:pStyle w:val="48"/>
              <w:spacing w:line="307" w:lineRule="exact"/>
              <w:ind w:left="242"/>
              <w:rPr>
                <w:color w:val="auto"/>
                <w:sz w:val="24"/>
              </w:rPr>
            </w:pPr>
            <w:r>
              <w:rPr>
                <w:color w:val="auto"/>
                <w:sz w:val="24"/>
              </w:rPr>
              <w:t>500</w:t>
            </w:r>
          </w:p>
          <w:p>
            <w:pPr>
              <w:pStyle w:val="48"/>
              <w:spacing w:before="4" w:line="242" w:lineRule="auto"/>
              <w:ind w:left="182" w:right="169"/>
              <w:jc w:val="both"/>
              <w:rPr>
                <w:color w:val="auto"/>
                <w:sz w:val="24"/>
              </w:rPr>
            </w:pPr>
            <w:r>
              <w:rPr>
                <w:color w:val="auto"/>
                <w:sz w:val="24"/>
              </w:rPr>
              <w:t>万元及以上</w:t>
            </w:r>
          </w:p>
        </w:tc>
        <w:tc>
          <w:tcPr>
            <w:tcW w:w="842" w:type="dxa"/>
            <w:vAlign w:val="top"/>
          </w:tcPr>
          <w:p>
            <w:pPr>
              <w:pStyle w:val="48"/>
              <w:spacing w:line="307" w:lineRule="exact"/>
              <w:ind w:left="243"/>
              <w:rPr>
                <w:color w:val="auto"/>
                <w:sz w:val="24"/>
              </w:rPr>
            </w:pPr>
            <w:r>
              <w:rPr>
                <w:color w:val="auto"/>
                <w:sz w:val="24"/>
              </w:rPr>
              <w:t>500</w:t>
            </w:r>
          </w:p>
          <w:p>
            <w:pPr>
              <w:pStyle w:val="48"/>
              <w:spacing w:before="4" w:line="242" w:lineRule="auto"/>
              <w:ind w:left="183" w:right="166"/>
              <w:rPr>
                <w:color w:val="auto"/>
                <w:sz w:val="24"/>
              </w:rPr>
            </w:pPr>
            <w:r>
              <w:rPr>
                <w:color w:val="auto"/>
                <w:spacing w:val="-9"/>
                <w:sz w:val="24"/>
              </w:rPr>
              <w:t>万元以下</w:t>
            </w:r>
          </w:p>
        </w:tc>
        <w:tc>
          <w:tcPr>
            <w:tcW w:w="845" w:type="dxa"/>
            <w:vAlign w:val="top"/>
          </w:tcPr>
          <w:p>
            <w:pPr>
              <w:pStyle w:val="48"/>
              <w:spacing w:line="307" w:lineRule="exact"/>
              <w:ind w:left="244"/>
              <w:rPr>
                <w:color w:val="auto"/>
                <w:sz w:val="24"/>
              </w:rPr>
            </w:pPr>
            <w:r>
              <w:rPr>
                <w:color w:val="auto"/>
                <w:sz w:val="24"/>
              </w:rPr>
              <w:t>300</w:t>
            </w:r>
          </w:p>
          <w:p>
            <w:pPr>
              <w:pStyle w:val="48"/>
              <w:spacing w:before="4" w:line="242" w:lineRule="auto"/>
              <w:ind w:left="184" w:right="168"/>
              <w:rPr>
                <w:color w:val="auto"/>
                <w:sz w:val="24"/>
              </w:rPr>
            </w:pPr>
            <w:r>
              <w:rPr>
                <w:color w:val="auto"/>
                <w:spacing w:val="-9"/>
                <w:sz w:val="24"/>
              </w:rPr>
              <w:t>人及以上</w:t>
            </w:r>
          </w:p>
        </w:tc>
        <w:tc>
          <w:tcPr>
            <w:tcW w:w="845" w:type="dxa"/>
            <w:vAlign w:val="top"/>
          </w:tcPr>
          <w:p>
            <w:pPr>
              <w:pStyle w:val="48"/>
              <w:spacing w:line="307" w:lineRule="exact"/>
              <w:ind w:left="243"/>
              <w:rPr>
                <w:color w:val="auto"/>
                <w:sz w:val="24"/>
              </w:rPr>
            </w:pPr>
            <w:r>
              <w:rPr>
                <w:color w:val="auto"/>
                <w:sz w:val="24"/>
              </w:rPr>
              <w:t>100</w:t>
            </w:r>
          </w:p>
          <w:p>
            <w:pPr>
              <w:pStyle w:val="48"/>
              <w:spacing w:before="4" w:line="242" w:lineRule="auto"/>
              <w:ind w:left="183" w:right="170"/>
              <w:rPr>
                <w:color w:val="auto"/>
                <w:sz w:val="24"/>
              </w:rPr>
            </w:pPr>
            <w:r>
              <w:rPr>
                <w:color w:val="auto"/>
                <w:spacing w:val="-9"/>
                <w:sz w:val="24"/>
              </w:rPr>
              <w:t>人及以上</w:t>
            </w:r>
          </w:p>
        </w:tc>
        <w:tc>
          <w:tcPr>
            <w:tcW w:w="742" w:type="dxa"/>
            <w:vAlign w:val="top"/>
          </w:tcPr>
          <w:p>
            <w:pPr>
              <w:pStyle w:val="48"/>
              <w:spacing w:line="307" w:lineRule="exact"/>
              <w:ind w:left="190"/>
              <w:rPr>
                <w:color w:val="auto"/>
                <w:sz w:val="24"/>
              </w:rPr>
            </w:pPr>
            <w:r>
              <w:rPr>
                <w:color w:val="auto"/>
                <w:sz w:val="24"/>
              </w:rPr>
              <w:t>100</w:t>
            </w:r>
          </w:p>
          <w:p>
            <w:pPr>
              <w:pStyle w:val="48"/>
              <w:spacing w:before="4" w:line="242" w:lineRule="auto"/>
              <w:ind w:left="250" w:right="120" w:hanging="120"/>
              <w:rPr>
                <w:color w:val="auto"/>
                <w:sz w:val="24"/>
              </w:rPr>
            </w:pPr>
            <w:r>
              <w:rPr>
                <w:color w:val="auto"/>
                <w:spacing w:val="-9"/>
                <w:sz w:val="24"/>
              </w:rPr>
              <w:t>人以</w:t>
            </w:r>
            <w:r>
              <w:rPr>
                <w:color w:val="auto"/>
                <w:sz w:val="24"/>
              </w:rPr>
              <w:t>下</w:t>
            </w:r>
          </w:p>
        </w:tc>
        <w:tc>
          <w:tcPr>
            <w:tcW w:w="843" w:type="dxa"/>
            <w:vAlign w:val="top"/>
          </w:tcPr>
          <w:p>
            <w:pPr>
              <w:pStyle w:val="48"/>
              <w:spacing w:line="307" w:lineRule="exact"/>
              <w:ind w:left="181"/>
              <w:rPr>
                <w:color w:val="auto"/>
                <w:sz w:val="24"/>
              </w:rPr>
            </w:pPr>
            <w:r>
              <w:rPr>
                <w:color w:val="auto"/>
                <w:sz w:val="24"/>
              </w:rPr>
              <w:t>1000</w:t>
            </w:r>
          </w:p>
          <w:p>
            <w:pPr>
              <w:pStyle w:val="48"/>
              <w:spacing w:before="4" w:line="242" w:lineRule="auto"/>
              <w:ind w:left="181" w:right="169"/>
              <w:jc w:val="both"/>
              <w:rPr>
                <w:color w:val="auto"/>
                <w:sz w:val="24"/>
              </w:rPr>
            </w:pPr>
            <w:r>
              <w:rPr>
                <w:color w:val="auto"/>
                <w:sz w:val="24"/>
              </w:rPr>
              <w:t>万元及以上</w:t>
            </w:r>
          </w:p>
        </w:tc>
        <w:tc>
          <w:tcPr>
            <w:tcW w:w="845" w:type="dxa"/>
            <w:vAlign w:val="top"/>
          </w:tcPr>
          <w:p>
            <w:pPr>
              <w:pStyle w:val="48"/>
              <w:spacing w:line="307" w:lineRule="exact"/>
              <w:ind w:left="243"/>
              <w:rPr>
                <w:color w:val="auto"/>
                <w:sz w:val="24"/>
              </w:rPr>
            </w:pPr>
            <w:r>
              <w:rPr>
                <w:color w:val="auto"/>
                <w:sz w:val="24"/>
              </w:rPr>
              <w:t>500</w:t>
            </w:r>
          </w:p>
          <w:p>
            <w:pPr>
              <w:pStyle w:val="48"/>
              <w:spacing w:before="4" w:line="242" w:lineRule="auto"/>
              <w:ind w:left="183" w:right="169"/>
              <w:jc w:val="both"/>
              <w:rPr>
                <w:color w:val="auto"/>
                <w:sz w:val="24"/>
              </w:rPr>
            </w:pPr>
            <w:r>
              <w:rPr>
                <w:color w:val="auto"/>
                <w:sz w:val="24"/>
              </w:rPr>
              <w:t>万元及以上</w:t>
            </w:r>
          </w:p>
        </w:tc>
        <w:tc>
          <w:tcPr>
            <w:tcW w:w="845" w:type="dxa"/>
            <w:vAlign w:val="top"/>
          </w:tcPr>
          <w:p>
            <w:pPr>
              <w:pStyle w:val="48"/>
              <w:spacing w:line="307" w:lineRule="exact"/>
              <w:ind w:left="243"/>
              <w:rPr>
                <w:color w:val="auto"/>
                <w:sz w:val="24"/>
              </w:rPr>
            </w:pPr>
            <w:r>
              <w:rPr>
                <w:color w:val="auto"/>
                <w:sz w:val="24"/>
              </w:rPr>
              <w:t>500</w:t>
            </w:r>
          </w:p>
          <w:p>
            <w:pPr>
              <w:pStyle w:val="48"/>
              <w:spacing w:before="4" w:line="242" w:lineRule="auto"/>
              <w:ind w:left="183" w:right="169"/>
              <w:jc w:val="both"/>
              <w:rPr>
                <w:color w:val="auto"/>
                <w:sz w:val="24"/>
              </w:rPr>
            </w:pPr>
            <w:r>
              <w:rPr>
                <w:color w:val="auto"/>
                <w:sz w:val="24"/>
              </w:rPr>
              <w:t>万元及以下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958" w:type="dxa"/>
            <w:vAlign w:val="top"/>
          </w:tcPr>
          <w:p>
            <w:pPr>
              <w:pStyle w:val="48"/>
              <w:spacing w:before="156" w:line="242" w:lineRule="auto"/>
              <w:ind w:left="119" w:right="106"/>
              <w:jc w:val="both"/>
              <w:rPr>
                <w:color w:val="auto"/>
                <w:sz w:val="24"/>
              </w:rPr>
            </w:pPr>
            <w:r>
              <w:rPr>
                <w:color w:val="auto"/>
                <w:sz w:val="24"/>
              </w:rPr>
              <w:t>租赁和商业服务业</w:t>
            </w:r>
          </w:p>
        </w:tc>
        <w:tc>
          <w:tcPr>
            <w:tcW w:w="1452" w:type="dxa"/>
            <w:vAlign w:val="top"/>
          </w:tcPr>
          <w:p>
            <w:pPr>
              <w:pStyle w:val="48"/>
              <w:spacing w:line="242" w:lineRule="auto"/>
              <w:ind w:left="107" w:right="96" w:firstLine="16"/>
              <w:jc w:val="both"/>
              <w:rPr>
                <w:color w:val="auto"/>
                <w:sz w:val="24"/>
              </w:rPr>
            </w:pPr>
            <w:r>
              <w:rPr>
                <w:color w:val="auto"/>
                <w:spacing w:val="-20"/>
                <w:sz w:val="24"/>
              </w:rPr>
              <w:t xml:space="preserve">人员 </w:t>
            </w:r>
            <w:r>
              <w:rPr>
                <w:color w:val="auto"/>
                <w:sz w:val="24"/>
              </w:rPr>
              <w:t>300</w:t>
            </w:r>
            <w:r>
              <w:rPr>
                <w:color w:val="auto"/>
                <w:spacing w:val="-30"/>
                <w:sz w:val="24"/>
              </w:rPr>
              <w:t xml:space="preserve"> 人以下或营业</w:t>
            </w:r>
            <w:r>
              <w:rPr>
                <w:color w:val="auto"/>
                <w:spacing w:val="3"/>
                <w:sz w:val="24"/>
              </w:rPr>
              <w:t>收入</w:t>
            </w:r>
            <w:r>
              <w:rPr>
                <w:color w:val="auto"/>
                <w:spacing w:val="-3"/>
                <w:sz w:val="24"/>
              </w:rPr>
              <w:t>120000</w:t>
            </w:r>
          </w:p>
          <w:p>
            <w:pPr>
              <w:pStyle w:val="48"/>
              <w:spacing w:before="4" w:line="292" w:lineRule="exact"/>
              <w:ind w:left="244"/>
              <w:rPr>
                <w:color w:val="auto"/>
                <w:sz w:val="24"/>
              </w:rPr>
            </w:pPr>
            <w:r>
              <w:rPr>
                <w:color w:val="auto"/>
                <w:sz w:val="24"/>
              </w:rPr>
              <w:t>万元以下</w:t>
            </w:r>
          </w:p>
        </w:tc>
        <w:tc>
          <w:tcPr>
            <w:tcW w:w="845" w:type="dxa"/>
            <w:vAlign w:val="top"/>
          </w:tcPr>
          <w:p>
            <w:pPr>
              <w:pStyle w:val="48"/>
              <w:rPr>
                <w:rFonts w:ascii="Times New Roman"/>
                <w:color w:val="auto"/>
                <w:sz w:val="24"/>
              </w:rPr>
            </w:pPr>
          </w:p>
        </w:tc>
        <w:tc>
          <w:tcPr>
            <w:tcW w:w="844" w:type="dxa"/>
            <w:vAlign w:val="top"/>
          </w:tcPr>
          <w:p>
            <w:pPr>
              <w:pStyle w:val="48"/>
              <w:rPr>
                <w:rFonts w:ascii="Times New Roman"/>
                <w:color w:val="auto"/>
                <w:sz w:val="24"/>
              </w:rPr>
            </w:pPr>
          </w:p>
        </w:tc>
        <w:tc>
          <w:tcPr>
            <w:tcW w:w="842" w:type="dxa"/>
            <w:vAlign w:val="top"/>
          </w:tcPr>
          <w:p>
            <w:pPr>
              <w:pStyle w:val="48"/>
              <w:rPr>
                <w:rFonts w:ascii="Times New Roman"/>
                <w:color w:val="auto"/>
                <w:sz w:val="24"/>
              </w:rPr>
            </w:pPr>
          </w:p>
        </w:tc>
        <w:tc>
          <w:tcPr>
            <w:tcW w:w="845" w:type="dxa"/>
            <w:vAlign w:val="top"/>
          </w:tcPr>
          <w:p>
            <w:pPr>
              <w:pStyle w:val="48"/>
              <w:ind w:left="244"/>
              <w:rPr>
                <w:color w:val="auto"/>
                <w:sz w:val="24"/>
              </w:rPr>
            </w:pPr>
            <w:r>
              <w:rPr>
                <w:color w:val="auto"/>
                <w:sz w:val="24"/>
              </w:rPr>
              <w:t>100</w:t>
            </w:r>
          </w:p>
          <w:p>
            <w:pPr>
              <w:pStyle w:val="48"/>
              <w:spacing w:before="4" w:line="242" w:lineRule="auto"/>
              <w:ind w:left="184" w:right="168"/>
              <w:rPr>
                <w:color w:val="auto"/>
                <w:sz w:val="24"/>
              </w:rPr>
            </w:pPr>
            <w:r>
              <w:rPr>
                <w:color w:val="auto"/>
                <w:spacing w:val="-9"/>
                <w:sz w:val="24"/>
              </w:rPr>
              <w:t>人及以上</w:t>
            </w:r>
          </w:p>
        </w:tc>
        <w:tc>
          <w:tcPr>
            <w:tcW w:w="845" w:type="dxa"/>
            <w:vAlign w:val="top"/>
          </w:tcPr>
          <w:p>
            <w:pPr>
              <w:pStyle w:val="48"/>
              <w:spacing w:line="242" w:lineRule="auto"/>
              <w:ind w:left="183" w:right="140" w:hanging="32"/>
              <w:jc w:val="both"/>
              <w:rPr>
                <w:color w:val="auto"/>
                <w:sz w:val="24"/>
              </w:rPr>
            </w:pPr>
            <w:r>
              <w:rPr>
                <w:color w:val="auto"/>
                <w:sz w:val="24"/>
              </w:rPr>
              <w:t>10</w:t>
            </w:r>
            <w:r>
              <w:rPr>
                <w:color w:val="auto"/>
                <w:spacing w:val="-38"/>
                <w:sz w:val="24"/>
              </w:rPr>
              <w:t xml:space="preserve"> 人</w:t>
            </w:r>
            <w:r>
              <w:rPr>
                <w:color w:val="auto"/>
                <w:sz w:val="24"/>
              </w:rPr>
              <w:t>及以上</w:t>
            </w:r>
          </w:p>
        </w:tc>
        <w:tc>
          <w:tcPr>
            <w:tcW w:w="742" w:type="dxa"/>
            <w:vAlign w:val="top"/>
          </w:tcPr>
          <w:p>
            <w:pPr>
              <w:pStyle w:val="48"/>
              <w:spacing w:line="242" w:lineRule="auto"/>
              <w:ind w:left="130" w:right="20" w:hanging="22"/>
              <w:rPr>
                <w:color w:val="auto"/>
                <w:sz w:val="24"/>
              </w:rPr>
            </w:pPr>
            <w:r>
              <w:rPr>
                <w:color w:val="auto"/>
                <w:sz w:val="24"/>
              </w:rPr>
              <w:t>10 人以下</w:t>
            </w:r>
          </w:p>
        </w:tc>
        <w:tc>
          <w:tcPr>
            <w:tcW w:w="843" w:type="dxa"/>
            <w:vAlign w:val="top"/>
          </w:tcPr>
          <w:p>
            <w:pPr>
              <w:pStyle w:val="48"/>
              <w:ind w:left="181"/>
              <w:rPr>
                <w:color w:val="auto"/>
                <w:sz w:val="24"/>
              </w:rPr>
            </w:pPr>
            <w:r>
              <w:rPr>
                <w:color w:val="auto"/>
                <w:sz w:val="24"/>
              </w:rPr>
              <w:t>8000</w:t>
            </w:r>
          </w:p>
          <w:p>
            <w:pPr>
              <w:pStyle w:val="48"/>
              <w:spacing w:before="2" w:line="310" w:lineRule="atLeast"/>
              <w:ind w:left="181" w:right="169"/>
              <w:jc w:val="both"/>
              <w:rPr>
                <w:color w:val="auto"/>
                <w:sz w:val="24"/>
              </w:rPr>
            </w:pPr>
            <w:r>
              <w:rPr>
                <w:color w:val="auto"/>
                <w:sz w:val="24"/>
              </w:rPr>
              <w:t>万元及以上</w:t>
            </w:r>
          </w:p>
        </w:tc>
        <w:tc>
          <w:tcPr>
            <w:tcW w:w="845" w:type="dxa"/>
            <w:vAlign w:val="top"/>
          </w:tcPr>
          <w:p>
            <w:pPr>
              <w:pStyle w:val="48"/>
              <w:ind w:left="243"/>
              <w:rPr>
                <w:color w:val="auto"/>
                <w:sz w:val="24"/>
              </w:rPr>
            </w:pPr>
            <w:r>
              <w:rPr>
                <w:color w:val="auto"/>
                <w:sz w:val="24"/>
              </w:rPr>
              <w:t>100</w:t>
            </w:r>
          </w:p>
          <w:p>
            <w:pPr>
              <w:pStyle w:val="48"/>
              <w:spacing w:before="2" w:line="310" w:lineRule="atLeast"/>
              <w:ind w:left="183" w:right="169"/>
              <w:jc w:val="both"/>
              <w:rPr>
                <w:color w:val="auto"/>
                <w:sz w:val="24"/>
              </w:rPr>
            </w:pPr>
            <w:r>
              <w:rPr>
                <w:color w:val="auto"/>
                <w:sz w:val="24"/>
              </w:rPr>
              <w:t>万元及以上</w:t>
            </w:r>
          </w:p>
        </w:tc>
        <w:tc>
          <w:tcPr>
            <w:tcW w:w="845" w:type="dxa"/>
            <w:vAlign w:val="top"/>
          </w:tcPr>
          <w:p>
            <w:pPr>
              <w:pStyle w:val="48"/>
              <w:ind w:left="243"/>
              <w:rPr>
                <w:color w:val="auto"/>
                <w:sz w:val="24"/>
              </w:rPr>
            </w:pPr>
            <w:r>
              <w:rPr>
                <w:color w:val="auto"/>
                <w:sz w:val="24"/>
              </w:rPr>
              <w:t>100</w:t>
            </w:r>
          </w:p>
          <w:p>
            <w:pPr>
              <w:pStyle w:val="48"/>
              <w:spacing w:before="2" w:line="310" w:lineRule="atLeast"/>
              <w:ind w:left="183" w:right="169"/>
              <w:jc w:val="both"/>
              <w:rPr>
                <w:color w:val="auto"/>
                <w:sz w:val="24"/>
              </w:rPr>
            </w:pPr>
            <w:r>
              <w:rPr>
                <w:color w:val="auto"/>
                <w:sz w:val="24"/>
              </w:rPr>
              <w:t>万元及以下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958" w:type="dxa"/>
            <w:vAlign w:val="top"/>
          </w:tcPr>
          <w:p>
            <w:pPr>
              <w:pStyle w:val="48"/>
              <w:spacing w:before="156" w:line="242" w:lineRule="auto"/>
              <w:ind w:left="119" w:right="106"/>
              <w:jc w:val="center"/>
              <w:rPr>
                <w:color w:val="auto"/>
                <w:sz w:val="24"/>
              </w:rPr>
            </w:pPr>
            <w:r>
              <w:rPr>
                <w:color w:val="auto"/>
                <w:sz w:val="24"/>
              </w:rPr>
              <w:t>其他未列明行业</w:t>
            </w:r>
          </w:p>
        </w:tc>
        <w:tc>
          <w:tcPr>
            <w:tcW w:w="1452" w:type="dxa"/>
            <w:vAlign w:val="top"/>
          </w:tcPr>
          <w:p>
            <w:pPr>
              <w:pStyle w:val="48"/>
              <w:ind w:left="244"/>
              <w:rPr>
                <w:color w:val="auto"/>
                <w:sz w:val="24"/>
              </w:rPr>
            </w:pPr>
            <w:r>
              <w:rPr>
                <w:color w:val="auto"/>
                <w:sz w:val="24"/>
              </w:rPr>
              <w:t>从业人员</w:t>
            </w:r>
          </w:p>
          <w:p>
            <w:pPr>
              <w:pStyle w:val="48"/>
              <w:spacing w:before="4"/>
              <w:ind w:left="124"/>
              <w:rPr>
                <w:color w:val="auto"/>
                <w:sz w:val="24"/>
              </w:rPr>
            </w:pPr>
            <w:r>
              <w:rPr>
                <w:color w:val="auto"/>
                <w:sz w:val="24"/>
              </w:rPr>
              <w:t>300 人以下</w:t>
            </w:r>
          </w:p>
        </w:tc>
        <w:tc>
          <w:tcPr>
            <w:tcW w:w="845" w:type="dxa"/>
            <w:vAlign w:val="top"/>
          </w:tcPr>
          <w:p>
            <w:pPr>
              <w:pStyle w:val="48"/>
              <w:rPr>
                <w:rFonts w:ascii="Times New Roman"/>
                <w:color w:val="auto"/>
                <w:sz w:val="24"/>
              </w:rPr>
            </w:pPr>
          </w:p>
        </w:tc>
        <w:tc>
          <w:tcPr>
            <w:tcW w:w="844" w:type="dxa"/>
            <w:vAlign w:val="top"/>
          </w:tcPr>
          <w:p>
            <w:pPr>
              <w:pStyle w:val="48"/>
              <w:rPr>
                <w:rFonts w:ascii="Times New Roman"/>
                <w:color w:val="auto"/>
                <w:sz w:val="24"/>
              </w:rPr>
            </w:pPr>
          </w:p>
        </w:tc>
        <w:tc>
          <w:tcPr>
            <w:tcW w:w="842" w:type="dxa"/>
            <w:vAlign w:val="top"/>
          </w:tcPr>
          <w:p>
            <w:pPr>
              <w:pStyle w:val="48"/>
              <w:rPr>
                <w:rFonts w:ascii="Times New Roman"/>
                <w:color w:val="auto"/>
                <w:sz w:val="24"/>
              </w:rPr>
            </w:pPr>
          </w:p>
        </w:tc>
        <w:tc>
          <w:tcPr>
            <w:tcW w:w="845" w:type="dxa"/>
            <w:vAlign w:val="top"/>
          </w:tcPr>
          <w:p>
            <w:pPr>
              <w:pStyle w:val="48"/>
              <w:ind w:left="244"/>
              <w:rPr>
                <w:color w:val="auto"/>
                <w:sz w:val="24"/>
              </w:rPr>
            </w:pPr>
            <w:r>
              <w:rPr>
                <w:color w:val="auto"/>
                <w:sz w:val="24"/>
              </w:rPr>
              <w:t>100</w:t>
            </w:r>
          </w:p>
          <w:p>
            <w:pPr>
              <w:pStyle w:val="48"/>
              <w:spacing w:before="4" w:line="242" w:lineRule="auto"/>
              <w:ind w:left="184" w:right="168"/>
              <w:rPr>
                <w:color w:val="auto"/>
                <w:sz w:val="24"/>
              </w:rPr>
            </w:pPr>
            <w:r>
              <w:rPr>
                <w:color w:val="auto"/>
                <w:spacing w:val="-9"/>
                <w:sz w:val="24"/>
              </w:rPr>
              <w:t>人及以上</w:t>
            </w:r>
          </w:p>
        </w:tc>
        <w:tc>
          <w:tcPr>
            <w:tcW w:w="845" w:type="dxa"/>
            <w:vAlign w:val="top"/>
          </w:tcPr>
          <w:p>
            <w:pPr>
              <w:pStyle w:val="48"/>
              <w:spacing w:line="244" w:lineRule="auto"/>
              <w:ind w:left="183" w:right="140" w:hanging="32"/>
              <w:jc w:val="both"/>
              <w:rPr>
                <w:color w:val="auto"/>
                <w:sz w:val="24"/>
              </w:rPr>
            </w:pPr>
            <w:r>
              <w:rPr>
                <w:color w:val="auto"/>
                <w:sz w:val="24"/>
              </w:rPr>
              <w:t>10</w:t>
            </w:r>
            <w:r>
              <w:rPr>
                <w:color w:val="auto"/>
                <w:spacing w:val="-38"/>
                <w:sz w:val="24"/>
              </w:rPr>
              <w:t xml:space="preserve"> 人</w:t>
            </w:r>
            <w:r>
              <w:rPr>
                <w:color w:val="auto"/>
                <w:sz w:val="24"/>
              </w:rPr>
              <w:t>及以上</w:t>
            </w:r>
          </w:p>
        </w:tc>
        <w:tc>
          <w:tcPr>
            <w:tcW w:w="742" w:type="dxa"/>
            <w:vAlign w:val="top"/>
          </w:tcPr>
          <w:p>
            <w:pPr>
              <w:pStyle w:val="48"/>
              <w:spacing w:line="244" w:lineRule="auto"/>
              <w:ind w:left="130" w:right="20" w:hanging="22"/>
              <w:rPr>
                <w:color w:val="auto"/>
                <w:sz w:val="24"/>
              </w:rPr>
            </w:pPr>
            <w:r>
              <w:rPr>
                <w:color w:val="auto"/>
                <w:sz w:val="24"/>
              </w:rPr>
              <w:t>10 人以下</w:t>
            </w:r>
          </w:p>
        </w:tc>
        <w:tc>
          <w:tcPr>
            <w:tcW w:w="843" w:type="dxa"/>
            <w:vAlign w:val="top"/>
          </w:tcPr>
          <w:p>
            <w:pPr>
              <w:pStyle w:val="48"/>
              <w:rPr>
                <w:rFonts w:ascii="Times New Roman"/>
                <w:color w:val="auto"/>
                <w:sz w:val="24"/>
              </w:rPr>
            </w:pPr>
          </w:p>
        </w:tc>
        <w:tc>
          <w:tcPr>
            <w:tcW w:w="845" w:type="dxa"/>
            <w:vAlign w:val="top"/>
          </w:tcPr>
          <w:p>
            <w:pPr>
              <w:pStyle w:val="48"/>
              <w:rPr>
                <w:rFonts w:ascii="Times New Roman"/>
                <w:color w:val="auto"/>
                <w:sz w:val="24"/>
              </w:rPr>
            </w:pPr>
          </w:p>
        </w:tc>
        <w:tc>
          <w:tcPr>
            <w:tcW w:w="845" w:type="dxa"/>
            <w:vAlign w:val="top"/>
          </w:tcPr>
          <w:p>
            <w:pPr>
              <w:pStyle w:val="48"/>
              <w:rPr>
                <w:rFonts w:ascii="Times New Roman"/>
                <w:color w:val="auto"/>
                <w:sz w:val="24"/>
              </w:rPr>
            </w:pPr>
          </w:p>
        </w:tc>
      </w:tr>
    </w:tbl>
    <w:p>
      <w:pPr>
        <w:spacing w:after="0"/>
        <w:rPr>
          <w:color w:val="auto"/>
        </w:rPr>
        <w:sectPr>
          <w:pgSz w:w="11910" w:h="16840"/>
          <w:pgMar w:top="1380" w:right="880" w:bottom="1100" w:left="880" w:header="888" w:footer="910" w:gutter="0"/>
          <w:pgNumType w:fmt="decimal"/>
          <w:cols w:space="720" w:num="1"/>
        </w:sectPr>
      </w:pPr>
    </w:p>
    <w:p>
      <w:pPr>
        <w:pStyle w:val="6"/>
        <w:outlineLvl w:val="0"/>
        <w:rPr>
          <w:color w:val="auto"/>
        </w:rPr>
      </w:pPr>
      <w:bookmarkStart w:id="64" w:name="_Toc15700"/>
      <w:r>
        <w:rPr>
          <w:color w:val="auto"/>
        </w:rPr>
        <w:t>附件四</w:t>
      </w:r>
      <w:bookmarkEnd w:id="64"/>
    </w:p>
    <w:p>
      <w:pPr>
        <w:jc w:val="center"/>
        <w:rPr>
          <w:b/>
          <w:bCs/>
          <w:color w:val="auto"/>
        </w:rPr>
      </w:pPr>
      <w:r>
        <w:rPr>
          <w:b/>
          <w:bCs/>
          <w:color w:val="auto"/>
        </w:rPr>
        <w:t>关于促进残疾人就业政府采购政策的通知</w:t>
      </w:r>
    </w:p>
    <w:p>
      <w:pPr>
        <w:jc w:val="center"/>
        <w:rPr>
          <w:b/>
          <w:bCs/>
          <w:color w:val="auto"/>
        </w:rPr>
      </w:pPr>
      <w:r>
        <w:rPr>
          <w:b/>
          <w:bCs/>
          <w:color w:val="auto"/>
        </w:rPr>
        <w:t>财库〔2017〕141 号</w:t>
      </w:r>
    </w:p>
    <w:p>
      <w:pPr>
        <w:pStyle w:val="10"/>
        <w:spacing w:before="1" w:line="364" w:lineRule="auto"/>
        <w:ind w:right="484" w:firstLine="480"/>
        <w:jc w:val="both"/>
        <w:rPr>
          <w:color w:val="auto"/>
        </w:rPr>
      </w:pPr>
      <w:r>
        <w:rPr>
          <w:color w:val="auto"/>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pStyle w:val="10"/>
        <w:spacing w:before="3" w:line="364" w:lineRule="auto"/>
        <w:ind w:right="533" w:firstLine="480"/>
        <w:jc w:val="both"/>
        <w:rPr>
          <w:color w:val="auto"/>
        </w:rPr>
      </w:pPr>
      <w:r>
        <w:rPr>
          <w:color w:val="auto"/>
          <w:spacing w:val="-4"/>
        </w:rPr>
        <w:t>为了发挥政府采购促进残疾人就业的作用，进一步保障残疾人权益，依照《政府采</w:t>
      </w:r>
      <w:r>
        <w:rPr>
          <w:color w:val="auto"/>
          <w:spacing w:val="-9"/>
        </w:rPr>
        <w:t>购法》、《残疾人保障法》等法律法规及相关规定，现就促进残疾人就业政府采购政策</w:t>
      </w:r>
      <w:r>
        <w:rPr>
          <w:color w:val="auto"/>
        </w:rPr>
        <w:t>通知如下：</w:t>
      </w:r>
    </w:p>
    <w:p>
      <w:pPr>
        <w:pStyle w:val="10"/>
        <w:spacing w:before="2"/>
        <w:ind w:firstLine="630" w:firstLineChars="300"/>
        <w:rPr>
          <w:color w:val="auto"/>
        </w:rPr>
      </w:pPr>
      <w:r>
        <w:rPr>
          <w:color w:val="auto"/>
        </w:rPr>
        <w:t>一、享受政府采购支持政策的残疾人福利性单位应当同时满足以下条件：</w:t>
      </w:r>
    </w:p>
    <w:p>
      <w:pPr>
        <w:pStyle w:val="10"/>
        <w:spacing w:before="161" w:line="364" w:lineRule="auto"/>
        <w:ind w:right="473" w:firstLine="480"/>
        <w:rPr>
          <w:color w:val="auto"/>
        </w:rPr>
      </w:pPr>
      <w:r>
        <w:rPr>
          <w:color w:val="auto"/>
        </w:rPr>
        <w:t>（一）安置的残疾人占本单位在职职工人数的比例不低于 25%（含 25%），并且安置的残疾人人数不少于 10 人（含 10 人）；</w:t>
      </w:r>
    </w:p>
    <w:p>
      <w:pPr>
        <w:pStyle w:val="10"/>
        <w:spacing w:before="1"/>
        <w:ind w:firstLine="420" w:firstLineChars="200"/>
        <w:rPr>
          <w:color w:val="auto"/>
        </w:rPr>
      </w:pPr>
      <w:r>
        <w:rPr>
          <w:color w:val="auto"/>
        </w:rPr>
        <w:t>（二</w:t>
      </w:r>
      <w:r>
        <w:rPr>
          <w:color w:val="auto"/>
          <w:spacing w:val="-58"/>
        </w:rPr>
        <w:t>）</w:t>
      </w:r>
      <w:r>
        <w:rPr>
          <w:color w:val="auto"/>
          <w:spacing w:val="-4"/>
        </w:rPr>
        <w:t>依法与安置的每位残疾人签订了一年以上</w:t>
      </w:r>
      <w:r>
        <w:rPr>
          <w:color w:val="auto"/>
        </w:rPr>
        <w:t>（含一年</w:t>
      </w:r>
      <w:r>
        <w:rPr>
          <w:color w:val="auto"/>
          <w:spacing w:val="-58"/>
        </w:rPr>
        <w:t>）</w:t>
      </w:r>
      <w:r>
        <w:rPr>
          <w:color w:val="auto"/>
        </w:rPr>
        <w:t>的劳动合同或服务协议；</w:t>
      </w:r>
    </w:p>
    <w:p>
      <w:pPr>
        <w:pStyle w:val="10"/>
        <w:spacing w:before="161" w:line="364" w:lineRule="auto"/>
        <w:ind w:right="473" w:firstLine="480"/>
        <w:rPr>
          <w:color w:val="auto"/>
        </w:rPr>
      </w:pPr>
      <w:r>
        <w:rPr>
          <w:color w:val="auto"/>
        </w:rPr>
        <w:t>（三）</w:t>
      </w:r>
      <w:r>
        <w:rPr>
          <w:color w:val="auto"/>
        </w:rPr>
        <w:fldChar w:fldCharType="begin"/>
      </w:r>
      <w:r>
        <w:rPr>
          <w:color w:val="auto"/>
        </w:rPr>
        <w:instrText xml:space="preserve"> HYPERLINK "https://www.boztax.com/article/index/topic?topic=%E4%BF%9D%E9%99%A9" \h </w:instrText>
      </w:r>
      <w:r>
        <w:rPr>
          <w:color w:val="auto"/>
        </w:rPr>
        <w:fldChar w:fldCharType="separate"/>
      </w:r>
      <w:r>
        <w:rPr>
          <w:color w:val="auto"/>
        </w:rPr>
        <w:t>为安置的每位残疾人按月足额缴纳了基本养老保险</w:t>
      </w:r>
      <w:r>
        <w:rPr>
          <w:color w:val="auto"/>
        </w:rPr>
        <w:fldChar w:fldCharType="end"/>
      </w:r>
      <w:r>
        <w:rPr>
          <w:color w:val="auto"/>
        </w:rPr>
        <w:t>、基本医疗保险、失业保险、工伤保险和生育保险等</w:t>
      </w:r>
      <w:r>
        <w:rPr>
          <w:color w:val="auto"/>
        </w:rPr>
        <w:fldChar w:fldCharType="begin"/>
      </w:r>
      <w:r>
        <w:rPr>
          <w:color w:val="auto"/>
        </w:rPr>
        <w:instrText xml:space="preserve"> HYPERLINK "https://www.boztax.com/article/index/topic?topic=%E7%A4%BE%E4%BC%9A%E4%BF%9D%E9%99%A9%E8%B4%B9" \h </w:instrText>
      </w:r>
      <w:r>
        <w:rPr>
          <w:color w:val="auto"/>
        </w:rPr>
        <w:fldChar w:fldCharType="separate"/>
      </w:r>
      <w:r>
        <w:rPr>
          <w:color w:val="auto"/>
        </w:rPr>
        <w:t>社会保险费</w:t>
      </w:r>
      <w:r>
        <w:rPr>
          <w:color w:val="auto"/>
        </w:rPr>
        <w:fldChar w:fldCharType="end"/>
      </w:r>
      <w:r>
        <w:rPr>
          <w:color w:val="auto"/>
        </w:rPr>
        <w:t>；</w:t>
      </w:r>
    </w:p>
    <w:p>
      <w:pPr>
        <w:pStyle w:val="10"/>
        <w:spacing w:before="1" w:line="364" w:lineRule="auto"/>
        <w:ind w:right="472" w:firstLine="480"/>
        <w:rPr>
          <w:color w:val="auto"/>
        </w:rPr>
      </w:pPr>
      <w:r>
        <w:rPr>
          <w:color w:val="auto"/>
        </w:rPr>
        <w:t>（四）通过银行等金融机构向安置的每位残疾人，按月支付了不低于单位所在区县适用的经省级人民政府批准的月最低工资标准的工资；</w:t>
      </w:r>
    </w:p>
    <w:p>
      <w:pPr>
        <w:pStyle w:val="10"/>
        <w:spacing w:before="1" w:line="364" w:lineRule="auto"/>
        <w:ind w:right="413" w:firstLine="480"/>
        <w:rPr>
          <w:color w:val="auto"/>
        </w:rPr>
      </w:pPr>
      <w:r>
        <w:rPr>
          <w:color w:val="auto"/>
        </w:rPr>
        <w:t>（五</w:t>
      </w:r>
      <w:r>
        <w:rPr>
          <w:color w:val="auto"/>
          <w:spacing w:val="-10"/>
        </w:rPr>
        <w:t>）</w:t>
      </w:r>
      <w:r>
        <w:rPr>
          <w:color w:val="auto"/>
          <w:spacing w:val="-2"/>
        </w:rPr>
        <w:t>提供本单位制造的货物、承担的工程或者服务</w:t>
      </w:r>
      <w:r>
        <w:rPr>
          <w:color w:val="auto"/>
        </w:rPr>
        <w:t>（以下简称产品</w:t>
      </w:r>
      <w:r>
        <w:rPr>
          <w:color w:val="auto"/>
          <w:spacing w:val="-10"/>
        </w:rPr>
        <w:t>），</w:t>
      </w:r>
      <w:r>
        <w:rPr>
          <w:color w:val="auto"/>
        </w:rPr>
        <w:t>或者提供</w:t>
      </w:r>
      <w:r>
        <w:rPr>
          <w:color w:val="auto"/>
          <w:spacing w:val="-6"/>
        </w:rPr>
        <w:t>其他残疾人福利性单位制造的货物</w:t>
      </w:r>
      <w:r>
        <w:rPr>
          <w:color w:val="auto"/>
        </w:rPr>
        <w:t>（不包括使用非残疾人福利性单位注册商标的货物</w:t>
      </w:r>
      <w:r>
        <w:rPr>
          <w:color w:val="auto"/>
          <w:spacing w:val="-84"/>
        </w:rPr>
        <w:t>）</w:t>
      </w:r>
      <w:r>
        <w:rPr>
          <w:color w:val="auto"/>
          <w:spacing w:val="-17"/>
        </w:rPr>
        <w:t>。</w:t>
      </w:r>
    </w:p>
    <w:p>
      <w:pPr>
        <w:pStyle w:val="10"/>
        <w:spacing w:before="2" w:line="364" w:lineRule="auto"/>
        <w:ind w:right="533" w:firstLine="480"/>
        <w:jc w:val="both"/>
        <w:rPr>
          <w:color w:val="auto"/>
        </w:rPr>
      </w:pPr>
      <w:r>
        <w:rPr>
          <w:color w:val="auto"/>
          <w:spacing w:val="-5"/>
        </w:rPr>
        <w:t>前款所称残疾人是指法定劳动年龄内，持有《中华人民共和国残疾人证》或者《中</w:t>
      </w:r>
      <w:r>
        <w:rPr>
          <w:color w:val="auto"/>
        </w:rPr>
        <w:t>华人民共和国残疾军人证（1</w:t>
      </w:r>
      <w:r>
        <w:rPr>
          <w:color w:val="auto"/>
          <w:spacing w:val="-39"/>
        </w:rPr>
        <w:t xml:space="preserve"> 至 </w:t>
      </w:r>
      <w:r>
        <w:rPr>
          <w:color w:val="auto"/>
        </w:rPr>
        <w:t>8</w:t>
      </w:r>
      <w:r>
        <w:rPr>
          <w:color w:val="auto"/>
          <w:spacing w:val="-29"/>
        </w:rPr>
        <w:t xml:space="preserve"> 级</w:t>
      </w:r>
      <w:r>
        <w:rPr>
          <w:color w:val="auto"/>
        </w:rPr>
        <w:t>）</w:t>
      </w:r>
      <w:r>
        <w:rPr>
          <w:color w:val="auto"/>
          <w:spacing w:val="-1"/>
        </w:rPr>
        <w:t>》的自然人，包括具有劳动条件和劳动意愿的精</w:t>
      </w:r>
      <w:r>
        <w:rPr>
          <w:color w:val="auto"/>
          <w:spacing w:val="-9"/>
        </w:rPr>
        <w:t>神残疾人。在职职工人数是指与残疾人福利性单位建立劳动关系并依法签订劳动合同或</w:t>
      </w:r>
      <w:r>
        <w:rPr>
          <w:color w:val="auto"/>
        </w:rPr>
        <w:t>者服务协议的雇员人数。</w:t>
      </w:r>
    </w:p>
    <w:p>
      <w:pPr>
        <w:pStyle w:val="10"/>
        <w:spacing w:before="2"/>
        <w:ind w:firstLine="420" w:firstLineChars="200"/>
        <w:rPr>
          <w:color w:val="auto"/>
        </w:rPr>
      </w:pPr>
      <w:r>
        <w:rPr>
          <w:color w:val="auto"/>
        </w:rPr>
        <w:t>二、符合条件的残疾人福利性单位在参加政府采购活动时，应当提供本通知规定的</w:t>
      </w:r>
    </w:p>
    <w:p>
      <w:pPr>
        <w:pStyle w:val="10"/>
        <w:spacing w:before="161" w:line="364" w:lineRule="auto"/>
        <w:ind w:right="473"/>
        <w:rPr>
          <w:color w:val="auto"/>
        </w:rPr>
      </w:pPr>
      <w:r>
        <w:rPr>
          <w:color w:val="auto"/>
        </w:rPr>
        <w:t>《残疾人福利性单位声明函》（见附件），并对声明的真实性负责。任何单位或者个人在政府采购活动中均不得要求残疾人福利性单位提供其他证明声明函内容的材料。</w:t>
      </w:r>
    </w:p>
    <w:p>
      <w:pPr>
        <w:pStyle w:val="10"/>
        <w:spacing w:before="2" w:line="364" w:lineRule="auto"/>
        <w:ind w:right="533" w:firstLine="480"/>
        <w:rPr>
          <w:color w:val="auto"/>
        </w:rPr>
      </w:pPr>
      <w:r>
        <w:rPr>
          <w:color w:val="auto"/>
          <w:spacing w:val="-7"/>
        </w:rPr>
        <w:t>中标、成交供应商为残疾人福利性单位的，采购人或者其委托的采购代理机构应当</w:t>
      </w:r>
      <w:r>
        <w:rPr>
          <w:color w:val="auto"/>
        </w:rPr>
        <w:t>随中标、成交结果同时公告其《残疾人福利性单位声明函》，接受社会监督。</w:t>
      </w:r>
    </w:p>
    <w:p>
      <w:pPr>
        <w:pStyle w:val="10"/>
        <w:spacing w:before="99" w:line="364" w:lineRule="auto"/>
        <w:ind w:right="533" w:firstLine="480"/>
        <w:rPr>
          <w:color w:val="auto"/>
        </w:rPr>
      </w:pPr>
      <w:r>
        <w:rPr>
          <w:color w:val="auto"/>
          <w:spacing w:val="-7"/>
        </w:rPr>
        <w:t>供应商提供的《残疾人福利性单位声明函》与事实不符的，依照《政府采购法》第</w:t>
      </w:r>
      <w:r>
        <w:rPr>
          <w:color w:val="auto"/>
        </w:rPr>
        <w:t>七十七条第一款的规定追究法律责任。</w:t>
      </w:r>
    </w:p>
    <w:p>
      <w:pPr>
        <w:pStyle w:val="10"/>
        <w:spacing w:before="1" w:line="364" w:lineRule="auto"/>
        <w:ind w:right="485" w:firstLine="480"/>
        <w:jc w:val="both"/>
        <w:rPr>
          <w:color w:val="auto"/>
        </w:rPr>
      </w:pPr>
      <w:r>
        <w:rPr>
          <w:color w:val="auto"/>
          <w:spacing w:val="-1"/>
        </w:rPr>
        <w:t>三、在政府采购活动中，残疾人福利性单位视同小型、微型企业，享受预留份额、</w:t>
      </w:r>
      <w:r>
        <w:rPr>
          <w:color w:val="auto"/>
          <w:spacing w:val="3"/>
        </w:rPr>
        <w:t>评审中价格扣除等促进中小企业发展的政府采购政策。向残疾人福利性单位采购的金</w:t>
      </w:r>
      <w:r>
        <w:rPr>
          <w:color w:val="auto"/>
          <w:spacing w:val="-6"/>
        </w:rPr>
        <w:t>额，计入面向中小企业采购的统计数据。残疾人福利性单位属于小型、微型企业的，不重复享受政策。</w:t>
      </w:r>
    </w:p>
    <w:p>
      <w:pPr>
        <w:pStyle w:val="10"/>
        <w:spacing w:before="3" w:line="364" w:lineRule="auto"/>
        <w:ind w:right="533" w:firstLine="480"/>
        <w:rPr>
          <w:color w:val="auto"/>
        </w:rPr>
      </w:pPr>
      <w:r>
        <w:rPr>
          <w:color w:val="auto"/>
          <w:spacing w:val="-7"/>
        </w:rPr>
        <w:t>四、采购人采购公开招标数额标准以上的货物或者服务，因落实促进残疾人就业政</w:t>
      </w:r>
      <w:r>
        <w:rPr>
          <w:color w:val="auto"/>
        </w:rPr>
        <w:t>策的需要，依法履行有关报批程序后，可采用公开招标以外的采购方式。</w:t>
      </w:r>
    </w:p>
    <w:p>
      <w:pPr>
        <w:pStyle w:val="10"/>
        <w:spacing w:before="1" w:line="364" w:lineRule="auto"/>
        <w:ind w:right="533" w:firstLine="480"/>
        <w:jc w:val="both"/>
        <w:rPr>
          <w:color w:val="auto"/>
        </w:rPr>
      </w:pPr>
      <w:r>
        <w:rPr>
          <w:color w:val="auto"/>
          <w:spacing w:val="-7"/>
        </w:rPr>
        <w:t>五、对于满足要求的残疾人福利性单位产品，集中采购机构可直接纳入协议供货或</w:t>
      </w:r>
      <w:r>
        <w:rPr>
          <w:color w:val="auto"/>
          <w:spacing w:val="-6"/>
        </w:rPr>
        <w:t>者定点采购范围。各地区建设的政府采购电子卖场、电子商城、网上超市等应当设立残</w:t>
      </w:r>
      <w:r>
        <w:rPr>
          <w:color w:val="auto"/>
        </w:rPr>
        <w:t>疾人福利性单位产品专栏。鼓励采购人优先选择残疾人福利性单位的产品。</w:t>
      </w:r>
    </w:p>
    <w:p>
      <w:pPr>
        <w:pStyle w:val="10"/>
        <w:spacing w:before="2" w:line="364" w:lineRule="auto"/>
        <w:ind w:right="533" w:firstLine="480"/>
        <w:jc w:val="both"/>
        <w:rPr>
          <w:color w:val="auto"/>
        </w:rPr>
      </w:pPr>
      <w:r>
        <w:rPr>
          <w:color w:val="auto"/>
          <w:spacing w:val="-7"/>
        </w:rPr>
        <w:t>六、省级财政部门可以结合本地区残疾人生产、经营的实际情况，细化政府采购支持措施。对符合国家有关部门规定条件的残疾人辅助性就业机构，可通过上述措施予以</w:t>
      </w:r>
      <w:r>
        <w:rPr>
          <w:color w:val="auto"/>
        </w:rPr>
        <w:t>支持。各地制定的有关文件应当报财政部备案。</w:t>
      </w:r>
    </w:p>
    <w:p>
      <w:pPr>
        <w:pStyle w:val="10"/>
        <w:spacing w:before="2"/>
        <w:ind w:left="1018"/>
        <w:jc w:val="both"/>
        <w:rPr>
          <w:color w:val="auto"/>
        </w:rPr>
      </w:pPr>
      <w:r>
        <w:rPr>
          <w:color w:val="auto"/>
        </w:rPr>
        <w:t>七、本通知自 2017 年 10 月 1 日起执行。</w:t>
      </w:r>
    </w:p>
    <w:p>
      <w:pPr>
        <w:pStyle w:val="10"/>
        <w:spacing w:before="161" w:line="364" w:lineRule="auto"/>
        <w:ind w:left="8890" w:right="534"/>
        <w:jc w:val="right"/>
        <w:rPr>
          <w:color w:val="auto"/>
        </w:rPr>
      </w:pPr>
      <w:r>
        <w:rPr>
          <w:color w:val="auto"/>
          <w:spacing w:val="-7"/>
        </w:rPr>
        <w:t>财政部民政部</w:t>
      </w:r>
    </w:p>
    <w:p>
      <w:pPr>
        <w:pStyle w:val="10"/>
        <w:spacing w:before="1" w:line="364" w:lineRule="auto"/>
        <w:ind w:left="7750" w:right="534" w:hanging="60"/>
        <w:jc w:val="right"/>
        <w:rPr>
          <w:color w:val="auto"/>
        </w:rPr>
      </w:pPr>
      <w:r>
        <w:rPr>
          <w:color w:val="auto"/>
          <w:spacing w:val="-3"/>
        </w:rPr>
        <w:t>中国残疾人联合会</w:t>
      </w:r>
      <w:r>
        <w:rPr>
          <w:color w:val="auto"/>
        </w:rPr>
        <w:t xml:space="preserve"> 2017</w:t>
      </w:r>
      <w:r>
        <w:rPr>
          <w:color w:val="auto"/>
          <w:spacing w:val="-40"/>
        </w:rPr>
        <w:t xml:space="preserve"> 年 </w:t>
      </w:r>
      <w:r>
        <w:rPr>
          <w:color w:val="auto"/>
        </w:rPr>
        <w:t>8</w:t>
      </w:r>
      <w:r>
        <w:rPr>
          <w:color w:val="auto"/>
          <w:spacing w:val="-40"/>
        </w:rPr>
        <w:t xml:space="preserve"> 月 </w:t>
      </w:r>
      <w:r>
        <w:rPr>
          <w:color w:val="auto"/>
        </w:rPr>
        <w:t>22</w:t>
      </w:r>
      <w:r>
        <w:rPr>
          <w:color w:val="auto"/>
          <w:spacing w:val="-39"/>
        </w:rPr>
        <w:t xml:space="preserve"> 日</w:t>
      </w:r>
    </w:p>
    <w:p>
      <w:pPr>
        <w:spacing w:after="0" w:line="364" w:lineRule="auto"/>
        <w:jc w:val="right"/>
        <w:rPr>
          <w:color w:val="auto"/>
        </w:rPr>
        <w:sectPr>
          <w:pgSz w:w="11910" w:h="16840"/>
          <w:pgMar w:top="1380" w:right="880" w:bottom="1100" w:left="880" w:header="888" w:footer="910" w:gutter="0"/>
          <w:pgNumType w:fmt="decimal"/>
          <w:cols w:space="720" w:num="1"/>
        </w:sectPr>
      </w:pPr>
    </w:p>
    <w:p>
      <w:pPr>
        <w:pStyle w:val="10"/>
        <w:spacing w:before="11"/>
        <w:ind w:left="0"/>
        <w:rPr>
          <w:color w:val="auto"/>
          <w:sz w:val="8"/>
        </w:rPr>
      </w:pPr>
    </w:p>
    <w:p>
      <w:pPr>
        <w:spacing w:before="54"/>
        <w:ind w:left="538" w:right="538" w:firstLine="0"/>
        <w:jc w:val="center"/>
        <w:rPr>
          <w:b/>
          <w:color w:val="auto"/>
          <w:sz w:val="32"/>
        </w:rPr>
      </w:pPr>
      <w:r>
        <w:rPr>
          <w:b/>
          <w:color w:val="auto"/>
          <w:sz w:val="32"/>
        </w:rPr>
        <w:t>残疾人福利性单位声明函（样表）</w:t>
      </w:r>
    </w:p>
    <w:p>
      <w:pPr>
        <w:pStyle w:val="10"/>
        <w:ind w:left="0"/>
        <w:rPr>
          <w:b/>
          <w:color w:val="auto"/>
          <w:sz w:val="32"/>
        </w:rPr>
      </w:pPr>
    </w:p>
    <w:p>
      <w:pPr>
        <w:pStyle w:val="10"/>
        <w:spacing w:before="5"/>
        <w:ind w:left="0"/>
        <w:rPr>
          <w:b/>
          <w:color w:val="auto"/>
          <w:sz w:val="29"/>
        </w:rPr>
      </w:pP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本单位郑重声明，根据《财政部 民政部 中国残疾人联合会关于促进残疾人就业政府采购政策的通知》（财库〔2017〕 141 号） 的规定，本单位为符合条件的残疾人福利性单位，且本单位参加_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（采购单位名称）_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单位的_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（采购项目名称）_</w:t>
      </w:r>
      <w:r>
        <w:rPr>
          <w:rFonts w:hint="eastAsia" w:ascii="仿宋" w:hAnsi="仿宋" w:cs="仿宋"/>
          <w:color w:val="auto"/>
          <w:sz w:val="28"/>
          <w:szCs w:val="28"/>
          <w:u w:val="single"/>
          <w:lang w:val="en-US" w:eastAsia="zh-CN"/>
        </w:rPr>
        <w:t xml:space="preserve">     </w:t>
      </w:r>
      <w:r>
        <w:rPr>
          <w:rFonts w:hint="eastAsia" w:ascii="仿宋" w:hAnsi="仿宋" w:eastAsia="仿宋" w:cs="仿宋"/>
          <w:color w:val="auto"/>
          <w:sz w:val="28"/>
          <w:szCs w:val="28"/>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本单位对上述声明的真实性负责。如有虚假，将依法承担相应责任。</w:t>
      </w: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p>
    <w:p>
      <w:pPr>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单位名称（盖章）： </w:t>
      </w:r>
    </w:p>
    <w:p>
      <w:pPr>
        <w:rPr>
          <w:color w:val="auto"/>
        </w:rPr>
      </w:pPr>
      <w:r>
        <w:rPr>
          <w:rFonts w:hint="eastAsia" w:ascii="仿宋" w:hAnsi="仿宋" w:eastAsia="仿宋" w:cs="仿宋"/>
          <w:color w:val="auto"/>
          <w:sz w:val="28"/>
          <w:szCs w:val="28"/>
        </w:rPr>
        <w:t>日</w:t>
      </w:r>
      <w:r>
        <w:rPr>
          <w:rFonts w:hint="eastAsia" w:ascii="仿宋" w:hAnsi="仿宋" w:eastAsia="仿宋" w:cs="仿宋"/>
          <w:color w:val="auto"/>
          <w:sz w:val="28"/>
          <w:szCs w:val="28"/>
        </w:rPr>
        <w:tab/>
      </w:r>
      <w:r>
        <w:rPr>
          <w:rFonts w:hint="eastAsia" w:ascii="仿宋" w:hAnsi="仿宋" w:eastAsia="仿宋" w:cs="仿宋"/>
          <w:color w:val="auto"/>
          <w:sz w:val="28"/>
          <w:szCs w:val="28"/>
        </w:rPr>
        <w:t>期：</w:t>
      </w:r>
    </w:p>
    <w:p>
      <w:pPr>
        <w:spacing w:after="0" w:line="367" w:lineRule="auto"/>
        <w:rPr>
          <w:color w:val="auto"/>
        </w:rPr>
        <w:sectPr>
          <w:pgSz w:w="11910" w:h="16840"/>
          <w:pgMar w:top="1380" w:right="880" w:bottom="1100" w:left="880" w:header="888" w:footer="910" w:gutter="0"/>
          <w:pgNumType w:fmt="decimal"/>
          <w:cols w:space="720" w:num="1"/>
        </w:sectPr>
      </w:pPr>
    </w:p>
    <w:p>
      <w:pPr>
        <w:pStyle w:val="6"/>
        <w:outlineLvl w:val="0"/>
        <w:rPr>
          <w:color w:val="auto"/>
        </w:rPr>
      </w:pPr>
      <w:bookmarkStart w:id="65" w:name="_Toc11579"/>
      <w:r>
        <w:rPr>
          <w:color w:val="auto"/>
        </w:rPr>
        <w:t>附件五</w:t>
      </w:r>
      <w:bookmarkEnd w:id="65"/>
    </w:p>
    <w:p>
      <w:pPr>
        <w:jc w:val="center"/>
        <w:rPr>
          <w:b/>
          <w:bCs/>
          <w:color w:val="auto"/>
        </w:rPr>
      </w:pPr>
      <w:r>
        <w:rPr>
          <w:b/>
          <w:bCs/>
          <w:color w:val="auto"/>
        </w:rPr>
        <w:t>财政部 司法部</w:t>
      </w:r>
    </w:p>
    <w:p>
      <w:pPr>
        <w:jc w:val="center"/>
        <w:rPr>
          <w:b/>
          <w:bCs/>
          <w:color w:val="auto"/>
        </w:rPr>
      </w:pPr>
      <w:r>
        <w:rPr>
          <w:b/>
          <w:bCs/>
          <w:color w:val="auto"/>
        </w:rPr>
        <w:t>关于政府采购支持监狱企业发展有关问题的通知</w:t>
      </w:r>
    </w:p>
    <w:p>
      <w:pPr>
        <w:jc w:val="center"/>
        <w:rPr>
          <w:b/>
          <w:bCs/>
          <w:color w:val="auto"/>
        </w:rPr>
      </w:pPr>
      <w:r>
        <w:rPr>
          <w:b/>
          <w:bCs/>
          <w:color w:val="auto"/>
        </w:rPr>
        <w:t>财库〔2014〕68 号</w:t>
      </w:r>
    </w:p>
    <w:p>
      <w:pPr>
        <w:pStyle w:val="10"/>
        <w:spacing w:before="84" w:line="364" w:lineRule="auto"/>
        <w:ind w:right="416" w:firstLine="480"/>
        <w:rPr>
          <w:color w:val="auto"/>
        </w:rPr>
      </w:pPr>
      <w:r>
        <w:rPr>
          <w:color w:val="auto"/>
          <w:spacing w:val="-5"/>
        </w:rPr>
        <w:t>党中央有关部门，国务院各部委、各直属机构，全国人大常委会办公厅，全国政协</w:t>
      </w:r>
      <w:r>
        <w:rPr>
          <w:color w:val="auto"/>
          <w:spacing w:val="-9"/>
        </w:rPr>
        <w:t>办公厅，高法院，高检院，有关人民团体，中央国家机关政府采购中心，中共中央直属</w:t>
      </w:r>
      <w:r>
        <w:rPr>
          <w:color w:val="auto"/>
          <w:spacing w:val="-29"/>
        </w:rPr>
        <w:t>机关采购中心，全国人大机关采购中心，各省、自治区、直辖市、计划单列市财政厅</w:t>
      </w:r>
      <w:r>
        <w:rPr>
          <w:color w:val="auto"/>
        </w:rPr>
        <w:t>（局</w:t>
      </w:r>
      <w:r>
        <w:rPr>
          <w:color w:val="auto"/>
          <w:spacing w:val="-94"/>
        </w:rPr>
        <w:t>）</w:t>
      </w:r>
      <w:r>
        <w:rPr>
          <w:color w:val="auto"/>
          <w:spacing w:val="-14"/>
        </w:rPr>
        <w:t>、</w:t>
      </w:r>
      <w:r>
        <w:rPr>
          <w:color w:val="auto"/>
        </w:rPr>
        <w:t>司法厅（局），新疆生产建设兵团财务局、司法局、监狱管理局：</w:t>
      </w:r>
    </w:p>
    <w:p>
      <w:pPr>
        <w:pStyle w:val="10"/>
        <w:spacing w:before="3" w:line="364" w:lineRule="auto"/>
        <w:ind w:right="534" w:firstLine="480"/>
        <w:jc w:val="both"/>
        <w:rPr>
          <w:color w:val="auto"/>
        </w:rPr>
      </w:pPr>
      <w:r>
        <w:rPr>
          <w:color w:val="auto"/>
          <w:spacing w:val="-2"/>
        </w:rPr>
        <w:t>政府采购支持监狱和戒毒企业</w:t>
      </w:r>
      <w:r>
        <w:rPr>
          <w:color w:val="auto"/>
        </w:rPr>
        <w:t>（以下简称监狱企业</w:t>
      </w:r>
      <w:r>
        <w:rPr>
          <w:color w:val="auto"/>
          <w:spacing w:val="-17"/>
        </w:rPr>
        <w:t>）</w:t>
      </w:r>
      <w:r>
        <w:rPr>
          <w:color w:val="auto"/>
          <w:spacing w:val="-3"/>
        </w:rPr>
        <w:t>发展对稳定监狱企业生产，提</w:t>
      </w:r>
      <w:r>
        <w:rPr>
          <w:color w:val="auto"/>
          <w:spacing w:val="-5"/>
        </w:rPr>
        <w:t>高</w:t>
      </w:r>
      <w:r>
        <w:rPr>
          <w:rFonts w:hint="eastAsia"/>
          <w:color w:val="auto"/>
          <w:spacing w:val="-5"/>
          <w:lang w:eastAsia="zh-CN"/>
        </w:rPr>
        <w:t>单位自筹</w:t>
      </w:r>
      <w:r>
        <w:rPr>
          <w:color w:val="auto"/>
          <w:spacing w:val="-5"/>
        </w:rPr>
        <w:t>使用效益，为罪犯和戒毒人员提供长期可靠的劳动岗位，提高罪犯和戒毒人</w:t>
      </w:r>
      <w:r>
        <w:rPr>
          <w:color w:val="auto"/>
          <w:spacing w:val="-6"/>
        </w:rPr>
        <w:t>员的教育改造质量，减少重新违法犯罪，确保监狱、戒毒场所安全稳定，促进社会和谐</w:t>
      </w:r>
      <w:r>
        <w:rPr>
          <w:color w:val="auto"/>
          <w:spacing w:val="-4"/>
        </w:rPr>
        <w:t>稳定具有十分重要的意义。为进一步贯彻落实国务院《关于解决监狱企业困难的实施方</w:t>
      </w:r>
      <w:r>
        <w:rPr>
          <w:color w:val="auto"/>
        </w:rPr>
        <w:t>案的通知》（国发[2003]7</w:t>
      </w:r>
      <w:r>
        <w:rPr>
          <w:color w:val="auto"/>
          <w:spacing w:val="-26"/>
        </w:rPr>
        <w:t xml:space="preserve"> 号</w:t>
      </w:r>
      <w:r>
        <w:rPr>
          <w:color w:val="auto"/>
        </w:rPr>
        <w:t>）</w:t>
      </w:r>
      <w:r>
        <w:rPr>
          <w:color w:val="auto"/>
          <w:spacing w:val="-1"/>
        </w:rPr>
        <w:t>文件精神，发挥政府采购支持监狱企业发展的作用，现</w:t>
      </w:r>
      <w:r>
        <w:rPr>
          <w:color w:val="auto"/>
        </w:rPr>
        <w:t>就有关事项通知如下：</w:t>
      </w:r>
    </w:p>
    <w:p>
      <w:pPr>
        <w:pStyle w:val="10"/>
        <w:spacing w:before="4" w:line="364" w:lineRule="auto"/>
        <w:ind w:right="413" w:firstLine="480"/>
        <w:rPr>
          <w:color w:val="auto"/>
        </w:rPr>
      </w:pPr>
      <w:r>
        <w:rPr>
          <w:color w:val="auto"/>
          <w:spacing w:val="-6"/>
        </w:rPr>
        <w:t>一、监狱企业是指由司法部认定的为罪犯、戒毒人员提供生产项目和劳动对象，且</w:t>
      </w:r>
      <w:r>
        <w:rPr>
          <w:color w:val="auto"/>
          <w:spacing w:val="-10"/>
        </w:rPr>
        <w:t xml:space="preserve">全部产权属于司法部监狱管理局、戒毒管理局、直属煤矿管理局，各省、自治区、直辖市监狱管理局、戒毒管理局，各地（设区的市）监狱、强制隔离戒毒所、戒毒康复所， </w:t>
      </w:r>
      <w:r>
        <w:rPr>
          <w:color w:val="auto"/>
          <w:spacing w:val="-18"/>
        </w:rPr>
        <w:t xml:space="preserve">以及新疆生产建设兵团监狱管理局、戒毒管理局的企业。监狱企业参加政府采购活动时， </w:t>
      </w:r>
      <w:r>
        <w:rPr>
          <w:color w:val="auto"/>
          <w:spacing w:val="-3"/>
        </w:rPr>
        <w:t>应当提供由省级以上监狱管理局、戒毒管理局</w:t>
      </w:r>
      <w:r>
        <w:rPr>
          <w:color w:val="auto"/>
        </w:rPr>
        <w:t>（含新疆生产建设兵团</w:t>
      </w:r>
      <w:r>
        <w:rPr>
          <w:color w:val="auto"/>
          <w:spacing w:val="-17"/>
        </w:rPr>
        <w:t>）</w:t>
      </w:r>
      <w:r>
        <w:rPr>
          <w:color w:val="auto"/>
        </w:rPr>
        <w:t>出具的属于监狱企业的证明文件。</w:t>
      </w:r>
    </w:p>
    <w:p>
      <w:pPr>
        <w:pStyle w:val="10"/>
        <w:spacing w:before="3" w:line="364" w:lineRule="auto"/>
        <w:ind w:right="533" w:firstLine="480"/>
        <w:jc w:val="both"/>
        <w:rPr>
          <w:color w:val="auto"/>
        </w:rPr>
      </w:pPr>
      <w:r>
        <w:rPr>
          <w:color w:val="auto"/>
          <w:spacing w:val="-8"/>
        </w:rPr>
        <w:t>二、在政府采购活动中，监狱企业视同小型、微型企业，享受预留份额、评审中价</w:t>
      </w:r>
      <w:r>
        <w:rPr>
          <w:color w:val="auto"/>
          <w:spacing w:val="-3"/>
        </w:rPr>
        <w:t>格扣除等政府采购促进中小企业发展的政府采购政策。向监狱企业采购的金额，计入面</w:t>
      </w:r>
      <w:r>
        <w:rPr>
          <w:color w:val="auto"/>
        </w:rPr>
        <w:t>向中小企业采购的统计数据。</w:t>
      </w:r>
    </w:p>
    <w:p>
      <w:pPr>
        <w:pStyle w:val="10"/>
        <w:spacing w:before="3" w:line="364" w:lineRule="auto"/>
        <w:ind w:right="413" w:firstLine="480"/>
        <w:rPr>
          <w:color w:val="auto"/>
        </w:rPr>
      </w:pPr>
      <w:r>
        <w:rPr>
          <w:color w:val="auto"/>
          <w:spacing w:val="-7"/>
        </w:rPr>
        <w:t>三、各地区、各部门要积极通过预留采购份额支持监狱企业。有制服采购项目的部门，应加强对政府采购预算和计划编制工作的统筹，预留本部门制服采购项目预算总额</w:t>
      </w:r>
      <w:r>
        <w:rPr>
          <w:color w:val="auto"/>
          <w:spacing w:val="-34"/>
        </w:rPr>
        <w:t xml:space="preserve">的 </w:t>
      </w:r>
      <w:r>
        <w:rPr>
          <w:color w:val="auto"/>
        </w:rPr>
        <w:t>30</w:t>
      </w:r>
      <w:r>
        <w:rPr>
          <w:color w:val="auto"/>
          <w:spacing w:val="-10"/>
        </w:rPr>
        <w:t>%以上，专门面向监狱企业采购。省级以上政府部门组织的公务员考试、招生考试、</w:t>
      </w:r>
      <w:r>
        <w:rPr>
          <w:color w:val="auto"/>
          <w:spacing w:val="3"/>
        </w:rPr>
        <w:t>等级考试、资格考试的试卷印刷项目原则上应当在符合有关资质的监狱企业范围内采</w:t>
      </w:r>
      <w:r>
        <w:rPr>
          <w:color w:val="auto"/>
          <w:spacing w:val="-16"/>
        </w:rPr>
        <w:t xml:space="preserve">购。各地在免费教科书政府采购工作中，应当根据符合教科书印制资质的监狱企业情况， </w:t>
      </w:r>
      <w:r>
        <w:rPr>
          <w:color w:val="auto"/>
        </w:rPr>
        <w:t>提出由监狱企业印刷的比例要求。</w:t>
      </w:r>
    </w:p>
    <w:p>
      <w:pPr>
        <w:pStyle w:val="10"/>
        <w:spacing w:before="4"/>
        <w:ind w:firstLine="420" w:firstLineChars="200"/>
        <w:rPr>
          <w:color w:val="auto"/>
        </w:rPr>
      </w:pPr>
      <w:r>
        <w:rPr>
          <w:color w:val="auto"/>
        </w:rPr>
        <w:t>四、各地区可以结合本地区实际，对监狱企业生产的办公用品、家具用具、车辆维</w:t>
      </w:r>
      <w:r>
        <w:rPr>
          <w:color w:val="auto"/>
          <w:spacing w:val="-5"/>
        </w:rPr>
        <w:t>修和提供的保养服务、消防设备等，提出预留份额等政府采购支持措施，加大对监狱企</w:t>
      </w:r>
      <w:r>
        <w:rPr>
          <w:color w:val="auto"/>
        </w:rPr>
        <w:t>业产品的采购力度。</w:t>
      </w:r>
    </w:p>
    <w:p>
      <w:pPr>
        <w:pStyle w:val="10"/>
        <w:spacing w:before="1" w:line="364" w:lineRule="auto"/>
        <w:ind w:right="413" w:firstLine="480"/>
        <w:rPr>
          <w:color w:val="auto"/>
        </w:rPr>
      </w:pPr>
      <w:r>
        <w:rPr>
          <w:color w:val="auto"/>
          <w:spacing w:val="-7"/>
        </w:rPr>
        <w:t>五、各地区、各部门要高度重视，加强组织管理和监督，做好政府采购支持监狱企</w:t>
      </w:r>
      <w:r>
        <w:rPr>
          <w:color w:val="auto"/>
          <w:spacing w:val="-17"/>
        </w:rPr>
        <w:t>业发展的相关工作。有关部门要加强监管，确保面向监狱企业采购的工作依法依规进行。</w:t>
      </w:r>
      <w:r>
        <w:rPr>
          <w:color w:val="auto"/>
          <w:spacing w:val="-3"/>
        </w:rPr>
        <w:t>各监狱企业要不断提高监狱企业产品的质量和服务水平，为做好监狱企业产品政府采购工作提供有力保障。</w:t>
      </w:r>
    </w:p>
    <w:p>
      <w:pPr>
        <w:pStyle w:val="10"/>
        <w:spacing w:before="11"/>
        <w:ind w:left="0"/>
        <w:rPr>
          <w:color w:val="auto"/>
          <w:sz w:val="25"/>
        </w:rPr>
      </w:pPr>
    </w:p>
    <w:p>
      <w:pPr>
        <w:pStyle w:val="10"/>
        <w:spacing w:before="1" w:line="436" w:lineRule="auto"/>
        <w:ind w:left="7209" w:right="534"/>
        <w:jc w:val="right"/>
        <w:rPr>
          <w:color w:val="auto"/>
        </w:rPr>
      </w:pPr>
      <w:r>
        <w:rPr>
          <w:color w:val="auto"/>
        </w:rPr>
        <w:t>中华人民共和国财政部中华人民共和国司法部 2014 年 6 月 10 日</w:t>
      </w:r>
    </w:p>
    <w:p>
      <w:pPr>
        <w:spacing w:after="0" w:line="436" w:lineRule="auto"/>
        <w:jc w:val="right"/>
        <w:rPr>
          <w:color w:val="auto"/>
        </w:rPr>
        <w:sectPr>
          <w:pgSz w:w="11910" w:h="16840"/>
          <w:pgMar w:top="1380" w:right="880" w:bottom="1100" w:left="880" w:header="888" w:footer="910" w:gutter="0"/>
          <w:pgNumType w:fmt="decimal"/>
          <w:cols w:space="720" w:num="1"/>
        </w:sectPr>
      </w:pPr>
    </w:p>
    <w:p>
      <w:pPr>
        <w:pStyle w:val="6"/>
        <w:outlineLvl w:val="0"/>
        <w:rPr>
          <w:color w:val="auto"/>
        </w:rPr>
      </w:pPr>
      <w:bookmarkStart w:id="66" w:name="_Toc9526"/>
      <w:r>
        <w:rPr>
          <w:color w:val="auto"/>
        </w:rPr>
        <w:t>附件六</w:t>
      </w:r>
      <w:bookmarkEnd w:id="66"/>
    </w:p>
    <w:p>
      <w:pPr>
        <w:pStyle w:val="10"/>
        <w:spacing w:before="8"/>
        <w:ind w:left="0"/>
        <w:rPr>
          <w:color w:val="auto"/>
          <w:sz w:val="9"/>
        </w:rPr>
      </w:pPr>
    </w:p>
    <w:p>
      <w:pPr>
        <w:jc w:val="center"/>
        <w:rPr>
          <w:rFonts w:hint="eastAsia"/>
          <w:b/>
          <w:bCs/>
          <w:color w:val="auto"/>
        </w:rPr>
      </w:pPr>
      <w:r>
        <w:rPr>
          <w:rFonts w:hint="eastAsia"/>
          <w:b/>
          <w:bCs/>
          <w:color w:val="auto"/>
        </w:rPr>
        <w:t>河南省住房和城乡建设厅关于进一步推动全省建筑市场统一开放的通知</w:t>
      </w:r>
    </w:p>
    <w:p>
      <w:pPr>
        <w:jc w:val="center"/>
        <w:rPr>
          <w:rFonts w:hint="eastAsia"/>
          <w:b/>
          <w:bCs/>
          <w:color w:val="auto"/>
        </w:rPr>
      </w:pPr>
      <w:r>
        <w:rPr>
          <w:rFonts w:hint="eastAsia"/>
          <w:b/>
          <w:bCs/>
          <w:color w:val="auto"/>
        </w:rPr>
        <w:t>豫建〔2016〕38 号</w:t>
      </w:r>
    </w:p>
    <w:p>
      <w:pPr>
        <w:pStyle w:val="10"/>
        <w:ind w:left="0"/>
        <w:rPr>
          <w:color w:val="auto"/>
        </w:rPr>
      </w:pPr>
    </w:p>
    <w:p>
      <w:pPr>
        <w:pStyle w:val="10"/>
        <w:spacing w:before="1"/>
        <w:ind w:left="0"/>
        <w:rPr>
          <w:color w:val="auto"/>
          <w:sz w:val="19"/>
        </w:rPr>
      </w:pPr>
    </w:p>
    <w:p>
      <w:pPr>
        <w:pStyle w:val="10"/>
        <w:spacing w:line="364" w:lineRule="auto"/>
        <w:ind w:right="472"/>
        <w:rPr>
          <w:color w:val="auto"/>
        </w:rPr>
      </w:pPr>
      <w:r>
        <w:rPr>
          <w:color w:val="auto"/>
        </w:rPr>
        <w:t>各省辖市、省直管县（市）住房和城乡建设局（委），郑州航空港经济综合实验区市政建设环保局，林州市住房城乡建设主管部门：</w:t>
      </w:r>
    </w:p>
    <w:p>
      <w:pPr>
        <w:pStyle w:val="10"/>
        <w:spacing w:before="2" w:line="364" w:lineRule="auto"/>
        <w:ind w:right="414" w:firstLine="480"/>
        <w:rPr>
          <w:color w:val="auto"/>
        </w:rPr>
      </w:pPr>
      <w:r>
        <w:rPr>
          <w:color w:val="auto"/>
          <w:spacing w:val="-4"/>
        </w:rPr>
        <w:t>为深入贯彻落实十八届三中、四中、五中全会精神，切实破除地区壁垒，推动建设</w:t>
      </w:r>
      <w:r>
        <w:rPr>
          <w:color w:val="auto"/>
          <w:spacing w:val="-8"/>
        </w:rPr>
        <w:t>统一开放、竞争有序的建筑市场，促进建筑业持续健康发展，依据《中华人民共和国建筑法》、《企业信息公示暂行条例》、《关于促进市场公平竞争维护市场正常秩序的若</w:t>
      </w:r>
      <w:r>
        <w:rPr>
          <w:color w:val="auto"/>
          <w:spacing w:val="-16"/>
        </w:rPr>
        <w:t>干意见》</w:t>
      </w:r>
      <w:r>
        <w:rPr>
          <w:color w:val="auto"/>
        </w:rPr>
        <w:t>（</w:t>
      </w:r>
      <w:r>
        <w:rPr>
          <w:color w:val="auto"/>
          <w:spacing w:val="-7"/>
        </w:rPr>
        <w:t>国发〔</w:t>
      </w:r>
      <w:r>
        <w:rPr>
          <w:color w:val="auto"/>
        </w:rPr>
        <w:t>2014</w:t>
      </w:r>
      <w:r>
        <w:rPr>
          <w:color w:val="auto"/>
          <w:spacing w:val="-20"/>
        </w:rPr>
        <w:t>〕</w:t>
      </w:r>
      <w:r>
        <w:rPr>
          <w:color w:val="auto"/>
        </w:rPr>
        <w:t>20</w:t>
      </w:r>
      <w:r>
        <w:rPr>
          <w:color w:val="auto"/>
          <w:spacing w:val="-30"/>
        </w:rPr>
        <w:t xml:space="preserve"> 号</w:t>
      </w:r>
      <w:r>
        <w:rPr>
          <w:color w:val="auto"/>
          <w:spacing w:val="-20"/>
        </w:rPr>
        <w:t>）</w:t>
      </w:r>
      <w:r>
        <w:rPr>
          <w:color w:val="auto"/>
          <w:spacing w:val="-3"/>
        </w:rPr>
        <w:t>和</w:t>
      </w:r>
      <w:r>
        <w:rPr>
          <w:rFonts w:hint="eastAsia"/>
          <w:color w:val="auto"/>
          <w:spacing w:val="-3"/>
          <w:highlight w:val="none"/>
          <w:lang w:eastAsia="zh-CN"/>
        </w:rPr>
        <w:t>住房和城乡建设部</w:t>
      </w:r>
      <w:r>
        <w:rPr>
          <w:color w:val="auto"/>
          <w:spacing w:val="-3"/>
        </w:rPr>
        <w:t>《关于推动建筑市场统一开放的若干</w:t>
      </w:r>
      <w:r>
        <w:rPr>
          <w:color w:val="auto"/>
          <w:spacing w:val="-10"/>
        </w:rPr>
        <w:t>规定》</w:t>
      </w:r>
      <w:r>
        <w:rPr>
          <w:color w:val="auto"/>
        </w:rPr>
        <w:t>（</w:t>
      </w:r>
      <w:r>
        <w:rPr>
          <w:color w:val="auto"/>
          <w:spacing w:val="-4"/>
        </w:rPr>
        <w:t>建市〔</w:t>
      </w:r>
      <w:r>
        <w:rPr>
          <w:color w:val="auto"/>
        </w:rPr>
        <w:t>2015</w:t>
      </w:r>
      <w:r>
        <w:rPr>
          <w:color w:val="auto"/>
          <w:spacing w:val="-12"/>
        </w:rPr>
        <w:t>〕</w:t>
      </w:r>
      <w:r>
        <w:rPr>
          <w:color w:val="auto"/>
        </w:rPr>
        <w:t>140</w:t>
      </w:r>
      <w:r>
        <w:rPr>
          <w:color w:val="auto"/>
          <w:spacing w:val="-31"/>
        </w:rPr>
        <w:t xml:space="preserve"> 号</w:t>
      </w:r>
      <w:r>
        <w:rPr>
          <w:color w:val="auto"/>
          <w:spacing w:val="-12"/>
        </w:rPr>
        <w:t>），</w:t>
      </w:r>
      <w:r>
        <w:rPr>
          <w:color w:val="auto"/>
          <w:spacing w:val="-3"/>
        </w:rPr>
        <w:t>结合我省实际，现就建筑企业</w:t>
      </w:r>
      <w:r>
        <w:rPr>
          <w:color w:val="auto"/>
        </w:rPr>
        <w:t>（</w:t>
      </w:r>
      <w:r>
        <w:rPr>
          <w:color w:val="auto"/>
          <w:spacing w:val="-4"/>
        </w:rPr>
        <w:t>包括工程勘察、设计、</w:t>
      </w:r>
      <w:r>
        <w:rPr>
          <w:color w:val="auto"/>
          <w:spacing w:val="-5"/>
        </w:rPr>
        <w:t>施工、监理、招标代理</w:t>
      </w:r>
      <w:r>
        <w:rPr>
          <w:color w:val="auto"/>
          <w:spacing w:val="-12"/>
        </w:rPr>
        <w:t>）</w:t>
      </w:r>
      <w:r>
        <w:rPr>
          <w:color w:val="auto"/>
          <w:spacing w:val="-1"/>
        </w:rPr>
        <w:t>在我省跨区域承揽业务监督管理工作有关事项通知如下，请认真贯彻落实。</w:t>
      </w:r>
    </w:p>
    <w:p>
      <w:pPr>
        <w:pStyle w:val="10"/>
        <w:spacing w:before="4" w:line="364" w:lineRule="auto"/>
        <w:ind w:right="532" w:firstLine="719"/>
        <w:jc w:val="both"/>
        <w:rPr>
          <w:color w:val="auto"/>
        </w:rPr>
      </w:pPr>
      <w:r>
        <w:rPr>
          <w:color w:val="auto"/>
          <w:spacing w:val="-8"/>
        </w:rPr>
        <w:t>一、各级住房城乡建设主管部门要按照“简政放权、服务企业、规范管理”的原则，简化前置管理事项，强化事中事后监管，给予外地建筑企业与本地建筑企业同等待遇，营造有利于实力强、信誉好的建筑企业开展跨区域承揽业务的宽松环境，推动建筑</w:t>
      </w:r>
      <w:r>
        <w:rPr>
          <w:color w:val="auto"/>
        </w:rPr>
        <w:t>市场统一开放。</w:t>
      </w:r>
    </w:p>
    <w:p>
      <w:pPr>
        <w:pStyle w:val="10"/>
        <w:spacing w:before="3" w:line="364" w:lineRule="auto"/>
        <w:ind w:right="415" w:firstLine="719"/>
        <w:jc w:val="both"/>
        <w:rPr>
          <w:color w:val="auto"/>
        </w:rPr>
      </w:pPr>
      <w:r>
        <w:rPr>
          <w:color w:val="auto"/>
          <w:spacing w:val="-6"/>
          <w:u w:val="single"/>
        </w:rPr>
        <w:t>二、取消省内建筑企业跨区域登记、备案等制度，企业凭加</w:t>
      </w:r>
      <w:r>
        <w:rPr>
          <w:rFonts w:hint="eastAsia"/>
          <w:color w:val="auto"/>
          <w:spacing w:val="-6"/>
          <w:u w:val="single"/>
          <w:lang w:eastAsia="zh-CN"/>
        </w:rPr>
        <w:t>电子签章</w:t>
      </w:r>
      <w:r>
        <w:rPr>
          <w:color w:val="auto"/>
          <w:spacing w:val="-6"/>
          <w:u w:val="single"/>
        </w:rPr>
        <w:t>的工商营</w:t>
      </w:r>
      <w:r>
        <w:rPr>
          <w:color w:val="auto"/>
          <w:spacing w:val="-8"/>
          <w:u w:val="single"/>
        </w:rPr>
        <w:t>业执照、资质证书、安全生产许可证</w:t>
      </w:r>
      <w:r>
        <w:rPr>
          <w:color w:val="auto"/>
          <w:u w:val="single"/>
        </w:rPr>
        <w:t>（施工企业</w:t>
      </w:r>
      <w:r>
        <w:rPr>
          <w:color w:val="auto"/>
          <w:spacing w:val="-12"/>
          <w:u w:val="single"/>
        </w:rPr>
        <w:t>）</w:t>
      </w:r>
      <w:r>
        <w:rPr>
          <w:color w:val="auto"/>
          <w:u w:val="single"/>
        </w:rPr>
        <w:t>等证照复印件以及工程项目所需专业</w:t>
      </w:r>
      <w:r>
        <w:rPr>
          <w:color w:val="auto"/>
          <w:spacing w:val="-180"/>
          <w:u w:val="single"/>
        </w:rPr>
        <w:t>技术</w:t>
      </w:r>
      <w:r>
        <w:rPr>
          <w:rFonts w:hint="eastAsia"/>
          <w:color w:val="auto"/>
          <w:spacing w:val="-7"/>
          <w:u w:val="single"/>
          <w:lang w:val="en-US" w:eastAsia="zh-CN"/>
        </w:rPr>
        <w:t>人</w:t>
      </w:r>
      <w:r>
        <w:rPr>
          <w:color w:val="auto"/>
          <w:spacing w:val="-7"/>
          <w:u w:val="single"/>
        </w:rPr>
        <w:t>员资格证书，即可在全省范围内参与投标或承揽工程，各级住房城乡建设主管部门、</w:t>
      </w:r>
      <w:r>
        <w:rPr>
          <w:rFonts w:hint="eastAsia"/>
          <w:color w:val="auto"/>
          <w:spacing w:val="-15"/>
          <w:u w:val="single"/>
          <w:lang w:eastAsia="zh-CN"/>
        </w:rPr>
        <w:t>采购人</w:t>
      </w:r>
      <w:r>
        <w:rPr>
          <w:color w:val="auto"/>
          <w:u w:val="single"/>
        </w:rPr>
        <w:t>（招标代理机构</w:t>
      </w:r>
      <w:r>
        <w:rPr>
          <w:color w:val="auto"/>
          <w:spacing w:val="-44"/>
          <w:u w:val="single"/>
        </w:rPr>
        <w:t>）</w:t>
      </w:r>
      <w:r>
        <w:rPr>
          <w:color w:val="auto"/>
          <w:spacing w:val="-7"/>
          <w:u w:val="single"/>
        </w:rPr>
        <w:t>可通过“河南省建筑市场监管信息系统暨一体化工作平台”</w:t>
      </w:r>
      <w:r>
        <w:rPr>
          <w:color w:val="auto"/>
          <w:u w:val="single"/>
        </w:rPr>
        <w:t>（</w:t>
      </w:r>
      <w:r>
        <w:rPr>
          <w:color w:val="auto"/>
          <w:spacing w:val="-3"/>
          <w:u w:val="single"/>
        </w:rPr>
        <w:t>以下简称“一体化平台</w:t>
      </w:r>
      <w:r>
        <w:rPr>
          <w:color w:val="auto"/>
          <w:spacing w:val="-10"/>
          <w:u w:val="single"/>
        </w:rPr>
        <w:t>”）</w:t>
      </w:r>
      <w:r>
        <w:rPr>
          <w:color w:val="auto"/>
          <w:spacing w:val="-4"/>
          <w:u w:val="single"/>
        </w:rPr>
        <w:t>查阅相关信息，不得另外附加条件，不得要求企业提供工</w:t>
      </w:r>
      <w:r>
        <w:rPr>
          <w:color w:val="auto"/>
          <w:spacing w:val="-220"/>
          <w:u w:val="single"/>
        </w:rPr>
        <w:t>商</w:t>
      </w:r>
      <w:r>
        <w:rPr>
          <w:color w:val="auto"/>
          <w:spacing w:val="-4"/>
          <w:u w:val="single"/>
        </w:rPr>
        <w:t>营业执照、资质证书、安全生产许可证</w:t>
      </w:r>
      <w:r>
        <w:rPr>
          <w:color w:val="auto"/>
          <w:u w:val="single"/>
        </w:rPr>
        <w:t>（施工企业</w:t>
      </w:r>
      <w:r>
        <w:rPr>
          <w:color w:val="auto"/>
          <w:spacing w:val="-10"/>
          <w:u w:val="single"/>
        </w:rPr>
        <w:t>）</w:t>
      </w:r>
      <w:r>
        <w:rPr>
          <w:color w:val="auto"/>
          <w:spacing w:val="-2"/>
          <w:u w:val="single"/>
        </w:rPr>
        <w:t>等证照原件，不得要求企业法定代表人到场。</w:t>
      </w:r>
    </w:p>
    <w:p>
      <w:pPr>
        <w:pStyle w:val="10"/>
        <w:spacing w:before="2" w:line="364" w:lineRule="auto"/>
        <w:ind w:right="413" w:firstLine="719"/>
        <w:rPr>
          <w:color w:val="auto"/>
        </w:rPr>
      </w:pPr>
      <w:r>
        <w:rPr>
          <w:color w:val="auto"/>
          <w:spacing w:val="-6"/>
        </w:rPr>
        <w:t>三、实行外省进豫建筑企业统一登记制度。外省建筑企业进豫承揽业务的，需通</w:t>
      </w:r>
      <w:r>
        <w:rPr>
          <w:color w:val="auto"/>
          <w:spacing w:val="-14"/>
        </w:rPr>
        <w:t>过“一体化平台”报送企业基本信息和</w:t>
      </w:r>
      <w:r>
        <w:rPr>
          <w:color w:val="auto"/>
          <w:spacing w:val="-14"/>
          <w:highlight w:val="none"/>
        </w:rPr>
        <w:t>在豫</w:t>
      </w:r>
      <w:r>
        <w:rPr>
          <w:color w:val="auto"/>
          <w:spacing w:val="-14"/>
        </w:rPr>
        <w:t>人员信息。内容应包括：企业营业执照副本、</w:t>
      </w:r>
      <w:r>
        <w:rPr>
          <w:color w:val="auto"/>
        </w:rPr>
        <w:t>企业资质证书副本、安全生产许可证副本（施工企业）、企业法定代表人授权委托书、</w:t>
      </w:r>
      <w:r>
        <w:rPr>
          <w:color w:val="auto"/>
          <w:spacing w:val="-4"/>
        </w:rPr>
        <w:t>企业诚信守法承诺书、</w:t>
      </w:r>
      <w:r>
        <w:rPr>
          <w:color w:val="auto"/>
          <w:spacing w:val="-4"/>
          <w:highlight w:val="none"/>
        </w:rPr>
        <w:t>在豫</w:t>
      </w:r>
      <w:r>
        <w:rPr>
          <w:color w:val="auto"/>
          <w:spacing w:val="-4"/>
        </w:rPr>
        <w:t>承揽业务负责人任命书等扫描件，以及</w:t>
      </w:r>
      <w:r>
        <w:rPr>
          <w:color w:val="auto"/>
          <w:spacing w:val="-4"/>
          <w:highlight w:val="none"/>
        </w:rPr>
        <w:t>在豫</w:t>
      </w:r>
      <w:r>
        <w:rPr>
          <w:color w:val="auto"/>
          <w:spacing w:val="-4"/>
        </w:rPr>
        <w:t>承揽业务负责人</w:t>
      </w:r>
      <w:r>
        <w:rPr>
          <w:color w:val="auto"/>
          <w:spacing w:val="-8"/>
        </w:rPr>
        <w:t>身份信息、联系方式。建筑企业对所报送信息的真实性负责。企业基本信息和人员发生</w:t>
      </w:r>
      <w:r>
        <w:rPr>
          <w:color w:val="auto"/>
        </w:rPr>
        <w:t>变更的，应当及时告知省级住房城乡建设主管部门。</w:t>
      </w:r>
    </w:p>
    <w:p>
      <w:pPr>
        <w:pStyle w:val="10"/>
        <w:spacing w:before="1" w:line="364" w:lineRule="auto"/>
        <w:ind w:right="533" w:firstLine="719"/>
        <w:rPr>
          <w:color w:val="auto"/>
        </w:rPr>
      </w:pPr>
      <w:r>
        <w:rPr>
          <w:color w:val="auto"/>
          <w:spacing w:val="-8"/>
        </w:rPr>
        <w:t>四、严禁出现或变相实行</w:t>
      </w:r>
      <w:r>
        <w:rPr>
          <w:rFonts w:hint="eastAsia"/>
          <w:color w:val="auto"/>
          <w:spacing w:val="-8"/>
          <w:highlight w:val="none"/>
          <w:lang w:eastAsia="zh-CN"/>
        </w:rPr>
        <w:t>住房和城乡建设部</w:t>
      </w:r>
      <w:r>
        <w:rPr>
          <w:color w:val="auto"/>
          <w:spacing w:val="-8"/>
        </w:rPr>
        <w:t>《关于推动建筑市场统一开放的若干规</w:t>
      </w:r>
      <w:r>
        <w:rPr>
          <w:color w:val="auto"/>
        </w:rPr>
        <w:t>定》第八条列出的九种行为：</w:t>
      </w:r>
    </w:p>
    <w:p>
      <w:pPr>
        <w:pStyle w:val="10"/>
        <w:spacing w:before="1"/>
        <w:ind w:left="1018"/>
        <w:rPr>
          <w:color w:val="auto"/>
        </w:rPr>
      </w:pPr>
      <w:r>
        <w:rPr>
          <w:color w:val="auto"/>
        </w:rPr>
        <w:t>（一）擅自设置任何审批、备案事项或者告知条件；</w:t>
      </w:r>
    </w:p>
    <w:p>
      <w:pPr>
        <w:pStyle w:val="10"/>
        <w:spacing w:before="161"/>
        <w:ind w:left="1018"/>
        <w:rPr>
          <w:color w:val="auto"/>
        </w:rPr>
      </w:pPr>
      <w:r>
        <w:rPr>
          <w:color w:val="auto"/>
        </w:rPr>
        <w:t>（二）收取没有法律法规依据的任何费用等；</w:t>
      </w:r>
    </w:p>
    <w:p>
      <w:pPr>
        <w:pStyle w:val="10"/>
        <w:spacing w:before="160"/>
        <w:ind w:left="1018"/>
        <w:rPr>
          <w:color w:val="auto"/>
        </w:rPr>
      </w:pPr>
      <w:r>
        <w:rPr>
          <w:color w:val="auto"/>
        </w:rPr>
        <w:t>（三）要求外地企业在本地区注册设立独立子公司或分公司；</w:t>
      </w:r>
    </w:p>
    <w:p>
      <w:pPr>
        <w:pStyle w:val="10"/>
        <w:spacing w:before="161"/>
        <w:ind w:left="1018"/>
        <w:rPr>
          <w:color w:val="auto"/>
        </w:rPr>
      </w:pPr>
      <w:r>
        <w:rPr>
          <w:color w:val="auto"/>
        </w:rPr>
        <w:t>（四）强制扣押外地企业和人员的相关证照资料；</w:t>
      </w:r>
    </w:p>
    <w:p>
      <w:pPr>
        <w:pStyle w:val="10"/>
        <w:spacing w:before="161" w:line="364" w:lineRule="auto"/>
        <w:ind w:right="535" w:firstLine="1050" w:firstLineChars="500"/>
        <w:rPr>
          <w:color w:val="auto"/>
        </w:rPr>
      </w:pPr>
      <w:r>
        <w:rPr>
          <w:color w:val="auto"/>
        </w:rPr>
        <w:t>（五</w:t>
      </w:r>
      <w:r>
        <w:rPr>
          <w:color w:val="auto"/>
          <w:spacing w:val="-51"/>
        </w:rPr>
        <w:t>）</w:t>
      </w:r>
      <w:r>
        <w:rPr>
          <w:color w:val="auto"/>
          <w:spacing w:val="-1"/>
        </w:rPr>
        <w:t>要求外地企业注册所在地住房城乡建设主管部门或其上级主管部门出具相关</w:t>
      </w:r>
      <w:r>
        <w:rPr>
          <w:color w:val="auto"/>
        </w:rPr>
        <w:t>证明；</w:t>
      </w:r>
    </w:p>
    <w:p>
      <w:pPr>
        <w:pStyle w:val="10"/>
        <w:spacing w:before="1"/>
        <w:ind w:left="1018"/>
        <w:rPr>
          <w:color w:val="auto"/>
        </w:rPr>
      </w:pPr>
      <w:r>
        <w:rPr>
          <w:color w:val="auto"/>
        </w:rPr>
        <w:t>（六）将资质资格等级作为外地企业进入本地区承揽业务的条件；</w:t>
      </w:r>
    </w:p>
    <w:p>
      <w:pPr>
        <w:pStyle w:val="10"/>
        <w:spacing w:before="161"/>
        <w:ind w:left="1018"/>
        <w:rPr>
          <w:color w:val="auto"/>
        </w:rPr>
      </w:pPr>
      <w:r>
        <w:rPr>
          <w:color w:val="auto"/>
        </w:rPr>
        <w:t>（七）以本地区承揽工程业绩、本地区获奖情况作为企业进入本地市场条件；</w:t>
      </w:r>
    </w:p>
    <w:p>
      <w:pPr>
        <w:pStyle w:val="10"/>
        <w:spacing w:before="160"/>
        <w:ind w:left="1018"/>
        <w:rPr>
          <w:color w:val="auto"/>
        </w:rPr>
      </w:pPr>
      <w:r>
        <w:rPr>
          <w:color w:val="auto"/>
        </w:rPr>
        <w:t>（八）要求企业法定代表人到场办理入省（市）手续；</w:t>
      </w:r>
    </w:p>
    <w:p>
      <w:pPr>
        <w:pStyle w:val="10"/>
        <w:spacing w:before="161"/>
        <w:ind w:left="1018"/>
        <w:rPr>
          <w:color w:val="auto"/>
        </w:rPr>
      </w:pPr>
      <w:r>
        <w:rPr>
          <w:color w:val="auto"/>
        </w:rPr>
        <w:t>（九）其他妨碍企业自主经营、公平竞争的行为。</w:t>
      </w:r>
    </w:p>
    <w:p>
      <w:pPr>
        <w:pStyle w:val="10"/>
        <w:spacing w:before="161" w:line="364" w:lineRule="auto"/>
        <w:ind w:right="413" w:firstLine="719"/>
        <w:rPr>
          <w:color w:val="auto"/>
        </w:rPr>
      </w:pPr>
      <w:r>
        <w:rPr>
          <w:color w:val="auto"/>
          <w:spacing w:val="-15"/>
        </w:rPr>
        <w:t>五、跨区域承揽业务的建筑企业中标后</w:t>
      </w:r>
      <w:r>
        <w:rPr>
          <w:color w:val="auto"/>
        </w:rPr>
        <w:t>（包括通过直接发包方式确定的承包企业</w:t>
      </w:r>
      <w:r>
        <w:rPr>
          <w:color w:val="auto"/>
          <w:spacing w:val="-16"/>
        </w:rPr>
        <w:t xml:space="preserve">） </w:t>
      </w:r>
      <w:r>
        <w:rPr>
          <w:color w:val="auto"/>
          <w:spacing w:val="-6"/>
        </w:rPr>
        <w:t>应通过“一体化平台”进行合同备案，并报送项目班子主要人员信息。各级住房城乡建</w:t>
      </w:r>
      <w:r>
        <w:rPr>
          <w:color w:val="auto"/>
          <w:spacing w:val="-10"/>
        </w:rPr>
        <w:t>设主管部门要依据“一体化平台”公布的中标信息，加强履约管理。在建筑市场监督检</w:t>
      </w:r>
      <w:r>
        <w:rPr>
          <w:color w:val="auto"/>
          <w:spacing w:val="-8"/>
        </w:rPr>
        <w:t>查时，重点核查项目班子人员与中标信息不一致、项目负责人不履职、建筑企业在多个项目更换项目负责人等行为，依法查处转包、挂靠、违法分包等违法违规行为。</w:t>
      </w:r>
    </w:p>
    <w:p>
      <w:pPr>
        <w:pStyle w:val="10"/>
        <w:spacing w:before="3" w:line="364" w:lineRule="auto"/>
        <w:ind w:right="485" w:firstLine="719"/>
        <w:jc w:val="both"/>
        <w:rPr>
          <w:color w:val="auto"/>
        </w:rPr>
      </w:pPr>
      <w:r>
        <w:rPr>
          <w:color w:val="auto"/>
          <w:spacing w:val="-1"/>
        </w:rPr>
        <w:t xml:space="preserve">六、在我省承揽业务的建筑企业要严格遵守法律法规，自觉规范建筑市场行为， </w:t>
      </w:r>
      <w:r>
        <w:rPr>
          <w:color w:val="auto"/>
          <w:spacing w:val="-3"/>
        </w:rPr>
        <w:t>接受工程所在地住房城乡建设主管部门监管。对发生严重违法违规行为或报送企业基本</w:t>
      </w:r>
      <w:r>
        <w:rPr>
          <w:color w:val="auto"/>
          <w:spacing w:val="-7"/>
        </w:rPr>
        <w:t>信息时弄虚作假的建筑企业，工程所在地住房城乡建设主管部门要依法依规对其不良行</w:t>
      </w:r>
      <w:r>
        <w:rPr>
          <w:color w:val="auto"/>
          <w:spacing w:val="-10"/>
        </w:rPr>
        <w:t>为做出处理并及时上报省厅，我厅将上报</w:t>
      </w:r>
      <w:r>
        <w:rPr>
          <w:rFonts w:hint="eastAsia"/>
          <w:color w:val="auto"/>
          <w:spacing w:val="-10"/>
          <w:highlight w:val="none"/>
          <w:lang w:eastAsia="zh-CN"/>
        </w:rPr>
        <w:t>住房和城乡建设部</w:t>
      </w:r>
      <w:r>
        <w:rPr>
          <w:color w:val="auto"/>
          <w:spacing w:val="-10"/>
        </w:rPr>
        <w:t>，通过全国建筑市场监管与诚信信息发布平台和我省“一体化平台”向社会公布。</w:t>
      </w:r>
    </w:p>
    <w:p>
      <w:pPr>
        <w:pStyle w:val="10"/>
        <w:spacing w:before="3" w:line="364" w:lineRule="auto"/>
        <w:ind w:right="532" w:firstLine="719"/>
        <w:jc w:val="both"/>
        <w:rPr>
          <w:color w:val="auto"/>
        </w:rPr>
      </w:pPr>
      <w:r>
        <w:rPr>
          <w:color w:val="auto"/>
          <w:spacing w:val="-7"/>
        </w:rPr>
        <w:t>七、各级住房城乡建设主管部门要高度重视推动建筑市场统一开放工作，加强组</w:t>
      </w:r>
      <w:r>
        <w:rPr>
          <w:color w:val="auto"/>
          <w:spacing w:val="-5"/>
        </w:rPr>
        <w:t>织领导和监督检查，切实落实工作责任。对之前在市场准入、招标投标等方面制定的文</w:t>
      </w:r>
      <w:r>
        <w:rPr>
          <w:color w:val="auto"/>
        </w:rPr>
        <w:t>件、制度与建市〔2015〕140</w:t>
      </w:r>
      <w:r>
        <w:rPr>
          <w:color w:val="auto"/>
          <w:spacing w:val="-9"/>
        </w:rPr>
        <w:t xml:space="preserve"> 号文件和本通知精神不符的，或者涉嫌有设立不合理条件</w:t>
      </w:r>
      <w:r>
        <w:rPr>
          <w:color w:val="auto"/>
          <w:spacing w:val="-8"/>
        </w:rPr>
        <w:t xml:space="preserve">排斥或限制外地企业承揽业务的文件规定，要按照“谁制定，谁清理”的原则，于 </w:t>
      </w:r>
      <w:r>
        <w:rPr>
          <w:color w:val="auto"/>
          <w:spacing w:val="-4"/>
        </w:rPr>
        <w:t>2016</w:t>
      </w:r>
      <w:r>
        <w:rPr>
          <w:color w:val="auto"/>
          <w:spacing w:val="-22"/>
        </w:rPr>
        <w:t xml:space="preserve">年 </w:t>
      </w:r>
      <w:r>
        <w:rPr>
          <w:color w:val="auto"/>
        </w:rPr>
        <w:t>4</w:t>
      </w:r>
      <w:r>
        <w:rPr>
          <w:color w:val="auto"/>
          <w:spacing w:val="-30"/>
        </w:rPr>
        <w:t xml:space="preserve"> 月 </w:t>
      </w:r>
      <w:r>
        <w:rPr>
          <w:color w:val="auto"/>
        </w:rPr>
        <w:t>20</w:t>
      </w:r>
      <w:r>
        <w:rPr>
          <w:color w:val="auto"/>
          <w:spacing w:val="-7"/>
        </w:rPr>
        <w:t xml:space="preserve"> 日前进行全面清理。省厅将对各地跨区域承揽业务监管工作实施监督检查，</w:t>
      </w:r>
      <w:r>
        <w:rPr>
          <w:color w:val="auto"/>
        </w:rPr>
        <w:t>对设立不合理条件限制或排斥外地企业承揽业务的责令限期整改，对情节严重或企业反映强烈、举报投诉较多、拒不整改的地区进行约谈、通报和曝光。</w:t>
      </w:r>
    </w:p>
    <w:p>
      <w:pPr>
        <w:pStyle w:val="10"/>
        <w:spacing w:before="1" w:line="364" w:lineRule="auto"/>
        <w:ind w:right="532" w:firstLine="719"/>
        <w:jc w:val="both"/>
        <w:rPr>
          <w:color w:val="auto"/>
          <w:spacing w:val="32"/>
        </w:rPr>
      </w:pPr>
      <w:r>
        <w:rPr>
          <w:color w:val="auto"/>
          <w:spacing w:val="-7"/>
        </w:rPr>
        <w:t>八、省厅建立建筑企业跨区域承揽业务活动监管协调联动机制，请各地明确本地</w:t>
      </w:r>
      <w:r>
        <w:rPr>
          <w:color w:val="auto"/>
          <w:spacing w:val="-3"/>
        </w:rPr>
        <w:t>负责建筑业企业跨区域承揽业务活动管理的部门和人员，并将部门名称和人员姓名、职</w:t>
      </w:r>
      <w:r>
        <w:rPr>
          <w:color w:val="auto"/>
          <w:spacing w:val="32"/>
        </w:rPr>
        <w:t xml:space="preserve">务、 联系电话等信息及时上报厅建筑管理处。 </w:t>
      </w:r>
    </w:p>
    <w:p>
      <w:pPr>
        <w:pStyle w:val="10"/>
        <w:spacing w:before="1" w:line="364" w:lineRule="auto"/>
        <w:ind w:right="532" w:firstLine="719"/>
        <w:jc w:val="both"/>
        <w:rPr>
          <w:color w:val="auto"/>
        </w:rPr>
      </w:pPr>
      <w:r>
        <w:rPr>
          <w:color w:val="auto"/>
          <w:spacing w:val="32"/>
        </w:rPr>
        <w:t xml:space="preserve">省厅举报投诉受理邮箱： </w:t>
      </w:r>
      <w:r>
        <w:rPr>
          <w:color w:val="auto"/>
        </w:rPr>
        <w:fldChar w:fldCharType="begin"/>
      </w:r>
      <w:r>
        <w:rPr>
          <w:color w:val="auto"/>
        </w:rPr>
        <w:instrText xml:space="preserve"> HYPERLINK "mailto:hnjzscgl@163.com" \h </w:instrText>
      </w:r>
      <w:r>
        <w:rPr>
          <w:color w:val="auto"/>
        </w:rPr>
        <w:fldChar w:fldCharType="separate"/>
      </w:r>
      <w:r>
        <w:rPr>
          <w:color w:val="auto"/>
          <w:spacing w:val="32"/>
        </w:rPr>
        <w:t>hnjzscgl@163.com</w:t>
      </w:r>
      <w:r>
        <w:rPr>
          <w:color w:val="auto"/>
          <w:spacing w:val="32"/>
        </w:rPr>
        <w:fldChar w:fldCharType="end"/>
      </w:r>
      <w:r>
        <w:rPr>
          <w:color w:val="auto"/>
          <w:spacing w:val="32"/>
        </w:rPr>
        <w:t>，电话：0371—68080835。</w:t>
      </w:r>
    </w:p>
    <w:p>
      <w:pPr>
        <w:spacing w:line="360" w:lineRule="auto"/>
        <w:ind w:firstLine="784" w:firstLineChars="400"/>
        <w:rPr>
          <w:rFonts w:ascii="宋体" w:hAnsi="宋体" w:eastAsia="宋体" w:cs="宋体"/>
          <w:color w:val="auto"/>
          <w:spacing w:val="-7"/>
          <w:sz w:val="21"/>
          <w:szCs w:val="21"/>
          <w:lang w:val="zh-CN" w:eastAsia="zh-CN" w:bidi="zh-CN"/>
        </w:rPr>
      </w:pPr>
      <w:r>
        <w:rPr>
          <w:rFonts w:ascii="宋体" w:hAnsi="宋体" w:eastAsia="宋体" w:cs="宋体"/>
          <w:color w:val="auto"/>
          <w:spacing w:val="-7"/>
          <w:sz w:val="21"/>
          <w:szCs w:val="21"/>
          <w:lang w:val="zh-CN" w:eastAsia="zh-CN" w:bidi="zh-CN"/>
        </w:rPr>
        <w:t>九、本通知自发布之日起施行。原有关文件与本通知不一致的，按本通知执行。</w:t>
      </w:r>
    </w:p>
    <w:p>
      <w:pPr>
        <w:rPr>
          <w:rFonts w:hint="eastAsia" w:ascii="Arial" w:hAnsi="Arial"/>
          <w:color w:val="auto"/>
          <w:lang w:val="en-US" w:eastAsia="zh-CN"/>
        </w:rPr>
      </w:pPr>
      <w:r>
        <w:rPr>
          <w:rFonts w:hint="eastAsia" w:ascii="Arial" w:hAnsi="Arial"/>
          <w:color w:val="auto"/>
          <w:lang w:val="en-US" w:eastAsia="zh-CN"/>
        </w:rPr>
        <w:br w:type="page"/>
      </w:r>
    </w:p>
    <w:p>
      <w:pPr>
        <w:pStyle w:val="3"/>
        <w:numPr>
          <w:ilvl w:val="0"/>
          <w:numId w:val="0"/>
        </w:numPr>
        <w:jc w:val="both"/>
        <w:rPr>
          <w:rFonts w:hint="eastAsia" w:ascii="Arial" w:hAnsi="Arial" w:eastAsia="黑体"/>
          <w:b w:val="0"/>
          <w:bCs w:val="0"/>
          <w:color w:val="auto"/>
          <w:sz w:val="20"/>
          <w:szCs w:val="20"/>
          <w:lang w:eastAsia="zh-CN"/>
        </w:rPr>
      </w:pPr>
      <w:r>
        <w:rPr>
          <w:rFonts w:hint="eastAsia" w:ascii="Arial" w:hAnsi="Arial"/>
          <w:color w:val="auto"/>
          <w:lang w:val="en-US" w:eastAsia="zh-CN"/>
        </w:rPr>
        <w:t>附件：</w:t>
      </w:r>
      <w:r>
        <w:rPr>
          <w:rFonts w:hint="eastAsia" w:ascii="Arial" w:hAnsi="Arial"/>
          <w:color w:val="auto"/>
        </w:rPr>
        <w:t>联合体协议书</w:t>
      </w:r>
      <w:r>
        <w:rPr>
          <w:rFonts w:hint="eastAsia" w:ascii="Arial" w:hAnsi="Arial"/>
          <w:b w:val="0"/>
          <w:bCs w:val="0"/>
          <w:color w:val="auto"/>
          <w:sz w:val="20"/>
          <w:szCs w:val="20"/>
          <w:lang w:eastAsia="zh-CN"/>
        </w:rPr>
        <w:t>（</w:t>
      </w:r>
      <w:r>
        <w:rPr>
          <w:rFonts w:hint="eastAsia" w:ascii="Arial" w:hAnsi="Arial"/>
          <w:b w:val="0"/>
          <w:bCs w:val="0"/>
          <w:color w:val="auto"/>
          <w:sz w:val="20"/>
          <w:szCs w:val="20"/>
          <w:lang w:val="en-US" w:eastAsia="zh-CN"/>
        </w:rPr>
        <w:t>仅采购人接受联合体标段适用</w:t>
      </w:r>
      <w:r>
        <w:rPr>
          <w:rFonts w:hint="eastAsia" w:ascii="Arial" w:hAnsi="Arial"/>
          <w:b w:val="0"/>
          <w:bCs w:val="0"/>
          <w:color w:val="auto"/>
          <w:sz w:val="20"/>
          <w:szCs w:val="20"/>
          <w:lang w:eastAsia="zh-CN"/>
        </w:rPr>
        <w:t>）</w:t>
      </w:r>
    </w:p>
    <w:p>
      <w:pPr>
        <w:jc w:val="center"/>
        <w:rPr>
          <w:rFonts w:hint="eastAsia" w:ascii="宋体" w:hAnsi="宋体" w:eastAsia="宋体"/>
          <w:b/>
          <w:bCs/>
          <w:color w:val="auto"/>
          <w:sz w:val="32"/>
          <w:szCs w:val="32"/>
          <w:lang w:val="en-US" w:eastAsia="zh-CN"/>
        </w:rPr>
      </w:pPr>
      <w:r>
        <w:rPr>
          <w:rFonts w:hint="eastAsia" w:ascii="宋体" w:hAnsi="宋体"/>
          <w:b/>
          <w:bCs/>
          <w:color w:val="auto"/>
          <w:sz w:val="32"/>
          <w:szCs w:val="32"/>
          <w:lang w:val="en-US" w:eastAsia="zh-CN"/>
        </w:rPr>
        <w:t>联合体协议书</w:t>
      </w:r>
    </w:p>
    <w:p>
      <w:pPr>
        <w:rPr>
          <w:rFonts w:ascii="宋体" w:hAnsi="宋体"/>
          <w:color w:val="auto"/>
        </w:rPr>
      </w:pPr>
      <w:r>
        <w:rPr>
          <w:rFonts w:ascii="宋体" w:hAnsi="宋体"/>
          <w:color w:val="auto"/>
        </w:rPr>
        <w:t xml:space="preserve">      </w:t>
      </w:r>
      <w:r>
        <w:rPr>
          <w:rFonts w:ascii="宋体" w:hAnsi="宋体"/>
          <w:color w:val="auto"/>
          <w:u w:val="single"/>
        </w:rPr>
        <w:t xml:space="preserve">          （所有成员单位名称）</w:t>
      </w:r>
      <w:r>
        <w:rPr>
          <w:rFonts w:ascii="宋体" w:hAnsi="宋体"/>
          <w:color w:val="auto"/>
        </w:rPr>
        <w:t>自愿组成</w:t>
      </w:r>
      <w:r>
        <w:rPr>
          <w:rFonts w:ascii="宋体" w:hAnsi="宋体"/>
          <w:color w:val="auto"/>
          <w:u w:val="single"/>
        </w:rPr>
        <w:t xml:space="preserve">        （联合体名称）</w:t>
      </w:r>
      <w:r>
        <w:rPr>
          <w:rFonts w:ascii="宋体" w:hAnsi="宋体"/>
          <w:color w:val="auto"/>
        </w:rPr>
        <w:t>联合体，共同</w:t>
      </w:r>
      <w:r>
        <w:rPr>
          <w:rFonts w:hint="eastAsia" w:ascii="宋体" w:hAnsi="宋体"/>
          <w:color w:val="auto"/>
        </w:rPr>
        <w:t>参加</w:t>
      </w:r>
      <w:r>
        <w:rPr>
          <w:rFonts w:ascii="宋体" w:hAnsi="宋体"/>
          <w:color w:val="auto"/>
        </w:rPr>
        <w:t xml:space="preserve"> </w:t>
      </w:r>
      <w:r>
        <w:rPr>
          <w:rFonts w:ascii="宋体" w:hAnsi="宋体"/>
          <w:color w:val="auto"/>
          <w:u w:val="single"/>
        </w:rPr>
        <w:t xml:space="preserve">      （项目名称）</w:t>
      </w:r>
      <w:r>
        <w:rPr>
          <w:rFonts w:hint="eastAsia" w:ascii="宋体" w:hAnsi="宋体"/>
          <w:color w:val="auto"/>
          <w:lang w:eastAsia="zh-CN"/>
        </w:rPr>
        <w:t>采购</w:t>
      </w:r>
      <w:r>
        <w:rPr>
          <w:rFonts w:ascii="宋体" w:hAnsi="宋体"/>
          <w:color w:val="auto"/>
        </w:rPr>
        <w:t>项目投标。现就联合体投标事宜订立如下协议。</w:t>
      </w:r>
    </w:p>
    <w:p>
      <w:pPr>
        <w:rPr>
          <w:rFonts w:ascii="宋体" w:hAnsi="宋体"/>
          <w:color w:val="auto"/>
        </w:rPr>
      </w:pPr>
      <w:r>
        <w:rPr>
          <w:rFonts w:ascii="宋体" w:hAnsi="宋体"/>
          <w:color w:val="auto"/>
        </w:rPr>
        <w:t xml:space="preserve"> </w:t>
      </w:r>
    </w:p>
    <w:p>
      <w:pPr>
        <w:rPr>
          <w:rFonts w:ascii="宋体" w:hAnsi="宋体"/>
          <w:color w:val="auto"/>
        </w:rPr>
      </w:pPr>
      <w:r>
        <w:rPr>
          <w:rFonts w:ascii="宋体" w:hAnsi="宋体"/>
          <w:color w:val="auto"/>
        </w:rPr>
        <w:t xml:space="preserve">1. </w:t>
      </w:r>
      <w:r>
        <w:rPr>
          <w:rFonts w:ascii="宋体" w:hAnsi="宋体"/>
          <w:color w:val="auto"/>
          <w:u w:val="single"/>
        </w:rPr>
        <w:t xml:space="preserve">                  （某成员单位名称）</w:t>
      </w:r>
      <w:r>
        <w:rPr>
          <w:rFonts w:ascii="宋体" w:hAnsi="宋体"/>
          <w:color w:val="auto"/>
        </w:rPr>
        <w:t>为</w:t>
      </w:r>
      <w:r>
        <w:rPr>
          <w:rFonts w:ascii="宋体" w:hAnsi="宋体"/>
          <w:color w:val="auto"/>
          <w:u w:val="single"/>
        </w:rPr>
        <w:t xml:space="preserve">        （联合体名称）</w:t>
      </w:r>
      <w:r>
        <w:rPr>
          <w:rFonts w:ascii="宋体" w:hAnsi="宋体"/>
          <w:color w:val="auto"/>
        </w:rPr>
        <w:t xml:space="preserve">牵头人。 </w:t>
      </w:r>
    </w:p>
    <w:p>
      <w:pPr>
        <w:rPr>
          <w:rFonts w:ascii="宋体" w:hAnsi="宋体"/>
          <w:color w:val="auto"/>
        </w:rPr>
      </w:pPr>
      <w:r>
        <w:rPr>
          <w:rFonts w:ascii="宋体" w:hAnsi="宋体"/>
          <w:color w:val="auto"/>
        </w:rPr>
        <w:t>2. 联合体各成员授权牵头人代表联合体参加投标活动，签署文件，提交和接收相关的资料、</w:t>
      </w:r>
      <w:r>
        <w:rPr>
          <w:rFonts w:hint="eastAsia" w:ascii="宋体" w:hAnsi="宋体"/>
          <w:color w:val="auto"/>
        </w:rPr>
        <w:t>信息及指示，进行合同谈判活动，负责合同实施阶段的组织和协调工作，以及处理与本</w:t>
      </w:r>
      <w:r>
        <w:rPr>
          <w:rFonts w:hint="eastAsia" w:ascii="宋体" w:hAnsi="宋体"/>
          <w:color w:val="auto"/>
          <w:lang w:eastAsia="zh-CN"/>
        </w:rPr>
        <w:t>采购</w:t>
      </w:r>
      <w:r>
        <w:rPr>
          <w:rFonts w:hint="eastAsia" w:ascii="宋体" w:hAnsi="宋体"/>
          <w:color w:val="auto"/>
        </w:rPr>
        <w:t>项目有关的一切事宜。</w:t>
      </w:r>
      <w:r>
        <w:rPr>
          <w:rFonts w:ascii="宋体" w:hAnsi="宋体"/>
          <w:color w:val="auto"/>
        </w:rPr>
        <w:t xml:space="preserve"> </w:t>
      </w:r>
    </w:p>
    <w:p>
      <w:pPr>
        <w:rPr>
          <w:rFonts w:ascii="宋体" w:hAnsi="宋体"/>
          <w:color w:val="auto"/>
        </w:rPr>
      </w:pPr>
      <w:r>
        <w:rPr>
          <w:rFonts w:ascii="宋体" w:hAnsi="宋体"/>
          <w:color w:val="auto"/>
        </w:rPr>
        <w:t>3. 联合体牵头人在本项目中签署的一切文件和处理的一切事宜，联合体各成员均予以承认。</w:t>
      </w:r>
    </w:p>
    <w:p>
      <w:pPr>
        <w:rPr>
          <w:rFonts w:ascii="宋体" w:hAnsi="宋体"/>
          <w:color w:val="auto"/>
        </w:rPr>
      </w:pPr>
      <w:r>
        <w:rPr>
          <w:rFonts w:hint="eastAsia" w:ascii="宋体" w:hAnsi="宋体"/>
          <w:color w:val="auto"/>
        </w:rPr>
        <w:t>联合体各成员将严格按照</w:t>
      </w:r>
      <w:r>
        <w:rPr>
          <w:rFonts w:hint="eastAsia" w:ascii="宋体" w:hAnsi="宋体"/>
          <w:color w:val="auto"/>
          <w:lang w:eastAsia="zh-CN"/>
        </w:rPr>
        <w:t>竞争性磋商文件</w:t>
      </w:r>
      <w:r>
        <w:rPr>
          <w:rFonts w:hint="eastAsia" w:ascii="宋体" w:hAnsi="宋体"/>
          <w:color w:val="auto"/>
        </w:rPr>
        <w:t>、</w:t>
      </w:r>
      <w:r>
        <w:rPr>
          <w:rFonts w:hint="eastAsia" w:ascii="宋体" w:hAnsi="宋体"/>
          <w:color w:val="auto"/>
          <w:lang w:eastAsia="zh-CN"/>
        </w:rPr>
        <w:t>响应文件</w:t>
      </w:r>
      <w:r>
        <w:rPr>
          <w:rFonts w:hint="eastAsia" w:ascii="宋体" w:hAnsi="宋体"/>
          <w:color w:val="auto"/>
        </w:rPr>
        <w:t>和合同的要求全面履行义务，并向</w:t>
      </w:r>
      <w:r>
        <w:rPr>
          <w:rFonts w:hint="eastAsia" w:ascii="宋体" w:hAnsi="宋体"/>
          <w:color w:val="auto"/>
          <w:lang w:eastAsia="zh-CN"/>
        </w:rPr>
        <w:t>采购人</w:t>
      </w:r>
      <w:r>
        <w:rPr>
          <w:rFonts w:hint="eastAsia" w:ascii="宋体" w:hAnsi="宋体"/>
          <w:color w:val="auto"/>
        </w:rPr>
        <w:t>承担连带责任。</w:t>
      </w:r>
      <w:r>
        <w:rPr>
          <w:rFonts w:ascii="宋体" w:hAnsi="宋体"/>
          <w:color w:val="auto"/>
        </w:rPr>
        <w:t xml:space="preserve"> </w:t>
      </w:r>
    </w:p>
    <w:p>
      <w:pPr>
        <w:rPr>
          <w:rFonts w:ascii="宋体" w:hAnsi="宋体"/>
          <w:color w:val="auto"/>
        </w:rPr>
      </w:pPr>
      <w:r>
        <w:rPr>
          <w:rFonts w:ascii="宋体" w:hAnsi="宋体"/>
          <w:color w:val="auto"/>
        </w:rPr>
        <w:t xml:space="preserve">4. 联合体各成员单位内部的职责分工如下： </w:t>
      </w:r>
      <w:r>
        <w:rPr>
          <w:rFonts w:ascii="宋体" w:hAnsi="宋体"/>
          <w:color w:val="auto"/>
          <w:u w:val="single"/>
        </w:rPr>
        <w:t xml:space="preserve">                                       </w:t>
      </w:r>
      <w:r>
        <w:rPr>
          <w:rFonts w:ascii="宋体" w:hAnsi="宋体"/>
          <w:color w:val="auto"/>
        </w:rPr>
        <w:t>。</w:t>
      </w:r>
    </w:p>
    <w:p>
      <w:pPr>
        <w:rPr>
          <w:rFonts w:ascii="宋体" w:hAnsi="宋体"/>
          <w:color w:val="auto"/>
        </w:rPr>
      </w:pPr>
      <w:r>
        <w:rPr>
          <w:rFonts w:ascii="宋体" w:hAnsi="宋体"/>
          <w:color w:val="auto"/>
        </w:rPr>
        <w:t xml:space="preserve"> </w:t>
      </w:r>
    </w:p>
    <w:p>
      <w:pPr>
        <w:rPr>
          <w:rFonts w:ascii="宋体" w:hAnsi="宋体"/>
          <w:color w:val="auto"/>
        </w:rPr>
      </w:pPr>
      <w:r>
        <w:rPr>
          <w:rFonts w:ascii="宋体" w:hAnsi="宋体"/>
          <w:color w:val="auto"/>
        </w:rPr>
        <w:t>5. 本协议书自所有成员单位法定代表人或其委托代理人签字或盖单位章之日起生效，合同</w:t>
      </w:r>
      <w:r>
        <w:rPr>
          <w:rFonts w:hint="eastAsia" w:ascii="宋体" w:hAnsi="宋体"/>
          <w:color w:val="auto"/>
        </w:rPr>
        <w:t>履行完毕后自动失效。</w:t>
      </w:r>
      <w:r>
        <w:rPr>
          <w:rFonts w:ascii="宋体" w:hAnsi="宋体"/>
          <w:color w:val="auto"/>
        </w:rPr>
        <w:t xml:space="preserve"> </w:t>
      </w:r>
    </w:p>
    <w:p>
      <w:pPr>
        <w:rPr>
          <w:rFonts w:ascii="宋体" w:hAnsi="宋体"/>
          <w:color w:val="auto"/>
        </w:rPr>
      </w:pPr>
      <w:r>
        <w:rPr>
          <w:rFonts w:ascii="宋体" w:hAnsi="宋体"/>
          <w:color w:val="auto"/>
        </w:rPr>
        <w:t>6. 本协议书一式</w:t>
      </w:r>
      <w:r>
        <w:rPr>
          <w:rFonts w:ascii="宋体" w:hAnsi="宋体"/>
          <w:color w:val="auto"/>
          <w:u w:val="single"/>
        </w:rPr>
        <w:t xml:space="preserve"> </w:t>
      </w:r>
      <w:r>
        <w:rPr>
          <w:rFonts w:hint="eastAsia" w:ascii="宋体" w:hAnsi="宋体"/>
          <w:color w:val="auto"/>
          <w:u w:val="single"/>
          <w:lang w:val="en-US" w:eastAsia="zh-CN"/>
        </w:rPr>
        <w:t xml:space="preserve">  </w:t>
      </w:r>
      <w:r>
        <w:rPr>
          <w:rFonts w:ascii="宋体" w:hAnsi="宋体"/>
          <w:color w:val="auto"/>
          <w:u w:val="single"/>
        </w:rPr>
        <w:t xml:space="preserve"> </w:t>
      </w:r>
      <w:r>
        <w:rPr>
          <w:rFonts w:ascii="宋体" w:hAnsi="宋体"/>
          <w:color w:val="auto"/>
        </w:rPr>
        <w:t>份，联合体成员和</w:t>
      </w:r>
      <w:r>
        <w:rPr>
          <w:rFonts w:hint="eastAsia" w:ascii="宋体" w:hAnsi="宋体"/>
          <w:color w:val="auto"/>
          <w:lang w:eastAsia="zh-CN"/>
        </w:rPr>
        <w:t>采购人</w:t>
      </w:r>
      <w:r>
        <w:rPr>
          <w:rFonts w:ascii="宋体" w:hAnsi="宋体"/>
          <w:color w:val="auto"/>
        </w:rPr>
        <w:t xml:space="preserve">各执一份。 </w:t>
      </w:r>
    </w:p>
    <w:p>
      <w:pPr>
        <w:rPr>
          <w:rFonts w:ascii="宋体" w:hAnsi="宋体"/>
          <w:color w:val="auto"/>
        </w:rPr>
      </w:pPr>
      <w:r>
        <w:rPr>
          <w:rFonts w:ascii="宋体" w:hAnsi="宋体"/>
          <w:color w:val="auto"/>
        </w:rPr>
        <w:t xml:space="preserve"> </w:t>
      </w:r>
    </w:p>
    <w:p>
      <w:pPr>
        <w:rPr>
          <w:rFonts w:ascii="宋体" w:hAnsi="宋体"/>
          <w:color w:val="auto"/>
        </w:rPr>
      </w:pPr>
      <w:r>
        <w:rPr>
          <w:rFonts w:hint="eastAsia" w:ascii="宋体" w:hAnsi="宋体"/>
          <w:color w:val="auto"/>
        </w:rPr>
        <w:t>注：本协议书由法定代表人签字的，应附法定代表人身份证明；由委托代理人签字的，应附授权委托书。</w:t>
      </w:r>
      <w:r>
        <w:rPr>
          <w:rFonts w:ascii="宋体" w:hAnsi="宋体"/>
          <w:color w:val="auto"/>
        </w:rPr>
        <w:t xml:space="preserve"> </w:t>
      </w:r>
    </w:p>
    <w:p>
      <w:pPr>
        <w:rPr>
          <w:rFonts w:ascii="宋体" w:hAnsi="宋体"/>
          <w:color w:val="auto"/>
        </w:rPr>
      </w:pPr>
      <w:r>
        <w:rPr>
          <w:rFonts w:ascii="宋体" w:hAnsi="宋体"/>
          <w:color w:val="auto"/>
        </w:rPr>
        <w:t xml:space="preserve"> </w:t>
      </w:r>
    </w:p>
    <w:p>
      <w:pPr>
        <w:rPr>
          <w:rFonts w:ascii="宋体" w:hAnsi="宋体"/>
          <w:color w:val="auto"/>
        </w:rPr>
      </w:pPr>
      <w:r>
        <w:rPr>
          <w:rFonts w:hint="eastAsia" w:ascii="宋体" w:hAnsi="宋体"/>
          <w:color w:val="auto"/>
        </w:rPr>
        <w:t>联合体牵头人名称：</w:t>
      </w:r>
      <w:r>
        <w:rPr>
          <w:rFonts w:ascii="宋体" w:hAnsi="宋体"/>
          <w:color w:val="auto"/>
        </w:rPr>
        <w:t xml:space="preserve">                  （盖单位章） </w:t>
      </w:r>
    </w:p>
    <w:p>
      <w:pPr>
        <w:rPr>
          <w:rFonts w:ascii="宋体" w:hAnsi="宋体"/>
          <w:color w:val="auto"/>
        </w:rPr>
      </w:pPr>
      <w:r>
        <w:rPr>
          <w:rFonts w:hint="eastAsia" w:ascii="宋体" w:hAnsi="宋体"/>
          <w:color w:val="auto"/>
        </w:rPr>
        <w:t>法定代表人或其委托代理人：</w:t>
      </w:r>
      <w:r>
        <w:rPr>
          <w:rFonts w:ascii="宋体" w:hAnsi="宋体"/>
          <w:color w:val="auto"/>
        </w:rPr>
        <w:t xml:space="preserve">          （签字） </w:t>
      </w:r>
    </w:p>
    <w:p>
      <w:pPr>
        <w:rPr>
          <w:rFonts w:ascii="宋体" w:hAnsi="宋体"/>
          <w:color w:val="auto"/>
        </w:rPr>
      </w:pPr>
      <w:r>
        <w:rPr>
          <w:rFonts w:ascii="宋体" w:hAnsi="宋体"/>
          <w:color w:val="auto"/>
        </w:rPr>
        <w:t xml:space="preserve"> </w:t>
      </w:r>
    </w:p>
    <w:p>
      <w:pPr>
        <w:rPr>
          <w:rFonts w:ascii="宋体" w:hAnsi="宋体"/>
          <w:color w:val="auto"/>
        </w:rPr>
      </w:pPr>
      <w:r>
        <w:rPr>
          <w:rFonts w:hint="eastAsia" w:ascii="宋体" w:hAnsi="宋体"/>
          <w:color w:val="auto"/>
        </w:rPr>
        <w:t>联合体成员名称：</w:t>
      </w:r>
      <w:r>
        <w:rPr>
          <w:rFonts w:ascii="宋体" w:hAnsi="宋体"/>
          <w:color w:val="auto"/>
        </w:rPr>
        <w:t xml:space="preserve">                           （盖单位章） </w:t>
      </w:r>
    </w:p>
    <w:p>
      <w:pPr>
        <w:rPr>
          <w:rFonts w:ascii="宋体" w:hAnsi="宋体"/>
          <w:color w:val="auto"/>
        </w:rPr>
      </w:pPr>
      <w:r>
        <w:rPr>
          <w:rFonts w:hint="eastAsia" w:ascii="宋体" w:hAnsi="宋体"/>
          <w:color w:val="auto"/>
        </w:rPr>
        <w:t>法定代表人或其委托代理人：</w:t>
      </w:r>
      <w:r>
        <w:rPr>
          <w:rFonts w:ascii="宋体" w:hAnsi="宋体"/>
          <w:color w:val="auto"/>
        </w:rPr>
        <w:t xml:space="preserve">         （签字） </w:t>
      </w:r>
    </w:p>
    <w:p>
      <w:pPr>
        <w:rPr>
          <w:rFonts w:ascii="宋体" w:hAnsi="宋体"/>
          <w:color w:val="auto"/>
        </w:rPr>
      </w:pPr>
      <w:r>
        <w:rPr>
          <w:rFonts w:ascii="宋体" w:hAnsi="宋体"/>
          <w:color w:val="auto"/>
        </w:rPr>
        <w:t xml:space="preserve"> </w:t>
      </w:r>
    </w:p>
    <w:p>
      <w:pPr>
        <w:rPr>
          <w:rFonts w:ascii="宋体" w:hAnsi="宋体"/>
          <w:color w:val="auto"/>
        </w:rPr>
      </w:pPr>
      <w:r>
        <w:rPr>
          <w:rFonts w:hint="eastAsia" w:ascii="宋体" w:hAnsi="宋体"/>
          <w:color w:val="auto"/>
        </w:rPr>
        <w:t>联合体成员名称：</w:t>
      </w:r>
      <w:r>
        <w:rPr>
          <w:rFonts w:ascii="宋体" w:hAnsi="宋体"/>
          <w:color w:val="auto"/>
        </w:rPr>
        <w:t xml:space="preserve">                           （盖单位章） </w:t>
      </w:r>
    </w:p>
    <w:p>
      <w:pPr>
        <w:rPr>
          <w:rFonts w:ascii="宋体" w:hAnsi="宋体"/>
          <w:color w:val="auto"/>
        </w:rPr>
      </w:pPr>
      <w:r>
        <w:rPr>
          <w:rFonts w:hint="eastAsia" w:ascii="宋体" w:hAnsi="宋体"/>
          <w:color w:val="auto"/>
        </w:rPr>
        <w:t>法定代表人或其委托代理人：</w:t>
      </w:r>
      <w:r>
        <w:rPr>
          <w:rFonts w:ascii="宋体" w:hAnsi="宋体"/>
          <w:color w:val="auto"/>
        </w:rPr>
        <w:t xml:space="preserve">         （签字） </w:t>
      </w:r>
    </w:p>
    <w:p>
      <w:pPr>
        <w:rPr>
          <w:rFonts w:ascii="宋体" w:hAnsi="宋体"/>
          <w:color w:val="auto"/>
        </w:rPr>
      </w:pPr>
      <w:r>
        <w:rPr>
          <w:rFonts w:hint="eastAsia" w:ascii="宋体" w:hAnsi="宋体"/>
          <w:color w:val="auto"/>
        </w:rPr>
        <w:t>……</w:t>
      </w:r>
      <w:r>
        <w:rPr>
          <w:rFonts w:ascii="宋体" w:hAnsi="宋体"/>
          <w:color w:val="auto"/>
        </w:rPr>
        <w:t xml:space="preserve">  </w:t>
      </w:r>
    </w:p>
    <w:p>
      <w:pPr>
        <w:rPr>
          <w:rFonts w:ascii="宋体" w:hAnsi="宋体"/>
          <w:color w:val="auto"/>
        </w:rPr>
      </w:pPr>
      <w:r>
        <w:rPr>
          <w:rFonts w:ascii="宋体" w:hAnsi="宋体"/>
          <w:color w:val="auto"/>
        </w:rPr>
        <w:t xml:space="preserve">      </w:t>
      </w:r>
    </w:p>
    <w:p>
      <w:pPr>
        <w:jc w:val="right"/>
        <w:rPr>
          <w:color w:val="auto"/>
        </w:rPr>
      </w:pPr>
      <w:r>
        <w:rPr>
          <w:rFonts w:ascii="宋体" w:hAnsi="宋体"/>
          <w:color w:val="auto"/>
        </w:rPr>
        <w:t xml:space="preserve"> 年       月       日</w:t>
      </w:r>
    </w:p>
    <w:p>
      <w:pPr>
        <w:rPr>
          <w:rFonts w:hint="eastAsia"/>
          <w:color w:val="auto"/>
          <w:lang w:val="zh-CN" w:eastAsia="zh-CN"/>
        </w:rPr>
      </w:pPr>
      <w:r>
        <w:rPr>
          <w:rFonts w:hint="eastAsia"/>
          <w:color w:val="auto"/>
          <w:lang w:val="zh-CN" w:eastAsia="zh-CN"/>
        </w:rPr>
        <w:br w:type="page"/>
      </w:r>
    </w:p>
    <w:p>
      <w:pPr>
        <w:widowControl/>
        <w:spacing w:after="3" w:afterLines="1" w:line="700" w:lineRule="exact"/>
        <w:jc w:val="center"/>
        <w:outlineLvl w:val="0"/>
        <w:rPr>
          <w:rFonts w:hint="eastAsia" w:ascii="宋体" w:hAnsi="宋体" w:cs="宋体"/>
          <w:b/>
          <w:bCs/>
          <w:color w:val="auto"/>
          <w:kern w:val="36"/>
          <w:sz w:val="42"/>
          <w:szCs w:val="42"/>
        </w:rPr>
      </w:pPr>
      <w:bookmarkStart w:id="67" w:name="_Toc23142"/>
      <w:r>
        <w:rPr>
          <w:rFonts w:hint="eastAsia" w:ascii="宋体" w:hAnsi="宋体" w:cs="宋体"/>
          <w:b/>
          <w:bCs/>
          <w:color w:val="auto"/>
          <w:kern w:val="36"/>
          <w:sz w:val="42"/>
          <w:szCs w:val="42"/>
        </w:rPr>
        <w:t>唐河县政府采购合同融资告知函</w:t>
      </w:r>
      <w:bookmarkEnd w:id="67"/>
    </w:p>
    <w:p>
      <w:pPr>
        <w:widowControl/>
        <w:spacing w:after="3" w:afterLines="1" w:line="700" w:lineRule="exact"/>
        <w:jc w:val="left"/>
        <w:rPr>
          <w:rFonts w:hint="eastAsia" w:ascii="宋体" w:hAnsi="宋体" w:cs="宋体"/>
          <w:color w:val="auto"/>
          <w:kern w:val="0"/>
          <w:sz w:val="32"/>
          <w:szCs w:val="32"/>
        </w:rPr>
      </w:pPr>
      <w:r>
        <w:rPr>
          <w:rFonts w:hint="eastAsia" w:ascii="宋体" w:hAnsi="宋体" w:cs="宋体"/>
          <w:color w:val="auto"/>
          <w:kern w:val="0"/>
          <w:sz w:val="32"/>
          <w:szCs w:val="32"/>
        </w:rPr>
        <w:t>各供应商：</w:t>
      </w:r>
    </w:p>
    <w:p>
      <w:pPr>
        <w:widowControl/>
        <w:spacing w:after="3" w:afterLines="1" w:line="700" w:lineRule="exact"/>
        <w:ind w:firstLine="640" w:firstLineChars="200"/>
        <w:jc w:val="left"/>
        <w:rPr>
          <w:rFonts w:hint="eastAsia" w:ascii="宋体" w:hAnsi="宋体" w:cs="宋体"/>
          <w:color w:val="auto"/>
          <w:kern w:val="0"/>
          <w:sz w:val="32"/>
          <w:szCs w:val="32"/>
        </w:rPr>
      </w:pPr>
      <w:r>
        <w:rPr>
          <w:rFonts w:hint="eastAsia" w:ascii="宋体" w:hAnsi="宋体" w:cs="宋体"/>
          <w:color w:val="auto"/>
          <w:kern w:val="0"/>
          <w:sz w:val="32"/>
          <w:szCs w:val="32"/>
        </w:rPr>
        <w:t>欢迎贵公司参与唐河县政府采购活动！ </w:t>
      </w:r>
    </w:p>
    <w:p>
      <w:pPr>
        <w:widowControl/>
        <w:spacing w:after="3" w:afterLines="1" w:line="700" w:lineRule="exact"/>
        <w:ind w:firstLine="640" w:firstLineChars="200"/>
        <w:jc w:val="left"/>
        <w:rPr>
          <w:rFonts w:hint="eastAsia" w:ascii="宋体" w:hAnsi="宋体" w:cs="宋体"/>
          <w:color w:val="auto"/>
          <w:kern w:val="0"/>
          <w:sz w:val="32"/>
          <w:szCs w:val="32"/>
        </w:rPr>
      </w:pPr>
      <w:r>
        <w:rPr>
          <w:rFonts w:hint="eastAsia" w:ascii="宋体" w:hAnsi="宋体" w:cs="宋体"/>
          <w:color w:val="auto"/>
          <w:kern w:val="0"/>
          <w:sz w:val="32"/>
          <w:szCs w:val="32"/>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spacing w:after="3" w:afterLines="1" w:line="700" w:lineRule="exact"/>
        <w:ind w:firstLine="640" w:firstLineChars="200"/>
        <w:jc w:val="left"/>
        <w:rPr>
          <w:rFonts w:hint="eastAsia" w:ascii="宋体" w:hAnsi="宋体" w:cs="宋体"/>
          <w:color w:val="auto"/>
          <w:kern w:val="0"/>
          <w:sz w:val="32"/>
          <w:szCs w:val="32"/>
          <w:lang w:val="zh-CN" w:eastAsia="zh-CN"/>
        </w:rPr>
      </w:pPr>
      <w:r>
        <w:rPr>
          <w:rFonts w:hint="eastAsia" w:ascii="宋体" w:hAnsi="宋体" w:cs="宋体"/>
          <w:color w:val="auto"/>
          <w:kern w:val="0"/>
          <w:sz w:val="32"/>
          <w:szCs w:val="32"/>
          <w:lang w:val="zh-CN" w:eastAsia="zh-CN"/>
        </w:rPr>
        <w:t>贷款渠道和提供贷款的金融机构，可在河南省政府采购网“河南省政府采购合同融资平台”查询联系。</w:t>
      </w:r>
    </w:p>
    <w:p>
      <w:pPr>
        <w:pStyle w:val="36"/>
        <w:rPr>
          <w:rFonts w:hint="eastAsia" w:ascii="宋体" w:hAnsi="宋体" w:cs="宋体"/>
          <w:color w:val="auto"/>
          <w:kern w:val="0"/>
          <w:sz w:val="32"/>
          <w:szCs w:val="32"/>
          <w:lang w:val="zh-CN" w:eastAsia="zh-CN"/>
        </w:rPr>
      </w:pPr>
    </w:p>
    <w:p>
      <w:pPr>
        <w:rPr>
          <w:rFonts w:hint="eastAsia" w:ascii="宋体" w:hAnsi="宋体" w:cs="宋体"/>
          <w:color w:val="auto"/>
          <w:kern w:val="0"/>
          <w:sz w:val="32"/>
          <w:szCs w:val="32"/>
          <w:lang w:val="zh-CN" w:eastAsia="zh-CN"/>
        </w:rPr>
      </w:pPr>
    </w:p>
    <w:p>
      <w:pPr>
        <w:pStyle w:val="36"/>
        <w:rPr>
          <w:rFonts w:hint="eastAsia" w:ascii="宋体" w:hAnsi="宋体" w:cs="宋体"/>
          <w:color w:val="auto"/>
          <w:kern w:val="0"/>
          <w:sz w:val="32"/>
          <w:szCs w:val="32"/>
          <w:lang w:val="zh-CN" w:eastAsia="zh-CN"/>
        </w:rPr>
      </w:pPr>
    </w:p>
    <w:p>
      <w:pPr>
        <w:rPr>
          <w:rFonts w:hint="eastAsia" w:ascii="宋体" w:hAnsi="宋体" w:cs="宋体"/>
          <w:color w:val="auto"/>
          <w:kern w:val="0"/>
          <w:sz w:val="32"/>
          <w:szCs w:val="32"/>
          <w:lang w:val="zh-CN" w:eastAsia="zh-CN"/>
        </w:rPr>
      </w:pPr>
    </w:p>
    <w:p>
      <w:pPr>
        <w:pStyle w:val="36"/>
        <w:rPr>
          <w:rFonts w:hint="eastAsia" w:ascii="宋体" w:hAnsi="宋体" w:cs="宋体"/>
          <w:color w:val="auto"/>
          <w:kern w:val="0"/>
          <w:sz w:val="32"/>
          <w:szCs w:val="32"/>
          <w:lang w:val="zh-CN" w:eastAsia="zh-CN"/>
        </w:rPr>
      </w:pPr>
    </w:p>
    <w:p>
      <w:pPr>
        <w:rPr>
          <w:rFonts w:hint="eastAsia" w:ascii="宋体" w:hAnsi="宋体" w:cs="宋体"/>
          <w:color w:val="auto"/>
          <w:kern w:val="0"/>
          <w:sz w:val="32"/>
          <w:szCs w:val="32"/>
          <w:lang w:val="zh-CN" w:eastAsia="zh-CN"/>
        </w:rPr>
      </w:pPr>
    </w:p>
    <w:p>
      <w:pPr>
        <w:jc w:val="both"/>
        <w:rPr>
          <w:rFonts w:hint="eastAsia"/>
          <w:lang w:val="zh-CN" w:eastAsia="zh-CN"/>
        </w:rPr>
      </w:pPr>
    </w:p>
    <w:p>
      <w:pPr>
        <w:jc w:val="both"/>
        <w:rPr>
          <w:rFonts w:hint="eastAsia"/>
          <w:lang w:val="zh-CN" w:eastAsia="zh-CN"/>
        </w:rPr>
      </w:pPr>
    </w:p>
    <w:p>
      <w:pPr>
        <w:jc w:val="both"/>
        <w:rPr>
          <w:rFonts w:hint="eastAsia"/>
          <w:lang w:val="zh-CN" w:eastAsia="zh-CN"/>
        </w:rPr>
      </w:pPr>
    </w:p>
    <w:p>
      <w:pPr>
        <w:jc w:val="both"/>
        <w:rPr>
          <w:rFonts w:hint="eastAsia"/>
          <w:lang w:val="zh-CN" w:eastAsia="zh-CN"/>
        </w:rPr>
      </w:pPr>
    </w:p>
    <w:p>
      <w:pPr>
        <w:jc w:val="both"/>
        <w:rPr>
          <w:rFonts w:hint="eastAsia"/>
          <w:lang w:val="zh-CN" w:eastAsia="zh-CN"/>
        </w:rPr>
      </w:pPr>
    </w:p>
    <w:p>
      <w:pPr>
        <w:jc w:val="both"/>
        <w:rPr>
          <w:rFonts w:hint="eastAsia"/>
          <w:lang w:val="zh-CN" w:eastAsia="zh-CN"/>
        </w:rPr>
      </w:pPr>
    </w:p>
    <w:p>
      <w:pPr>
        <w:jc w:val="both"/>
        <w:rPr>
          <w:rFonts w:hint="eastAsia"/>
          <w:lang w:val="zh-CN" w:eastAsia="zh-CN"/>
        </w:rPr>
      </w:pPr>
    </w:p>
    <w:p>
      <w:pPr>
        <w:jc w:val="both"/>
        <w:rPr>
          <w:rFonts w:hint="eastAsia"/>
          <w:lang w:val="zh-CN" w:eastAsia="zh-CN"/>
        </w:rPr>
      </w:pPr>
    </w:p>
    <w:p>
      <w:pPr>
        <w:jc w:val="both"/>
        <w:rPr>
          <w:rFonts w:hint="eastAsia"/>
          <w:lang w:val="zh-CN" w:eastAsia="zh-CN"/>
        </w:rPr>
      </w:pPr>
    </w:p>
    <w:p>
      <w:pPr>
        <w:jc w:val="both"/>
        <w:rPr>
          <w:rFonts w:hint="eastAsia"/>
          <w:lang w:val="zh-CN" w:eastAsia="zh-CN"/>
        </w:rPr>
      </w:pPr>
    </w:p>
    <w:p>
      <w:pPr>
        <w:jc w:val="both"/>
        <w:rPr>
          <w:rFonts w:hint="eastAsia"/>
          <w:lang w:val="zh-CN" w:eastAsia="zh-CN"/>
        </w:rPr>
      </w:pPr>
    </w:p>
    <w:p>
      <w:pPr>
        <w:jc w:val="both"/>
        <w:rPr>
          <w:rFonts w:hint="eastAsia"/>
          <w:lang w:val="zh-CN" w:eastAsia="zh-CN"/>
        </w:rPr>
      </w:pPr>
    </w:p>
    <w:p>
      <w:pPr>
        <w:widowControl w:val="0"/>
        <w:autoSpaceDE w:val="0"/>
        <w:autoSpaceDN w:val="0"/>
        <w:bidi w:val="0"/>
        <w:spacing w:before="0" w:after="0" w:line="240" w:lineRule="auto"/>
        <w:ind w:left="537" w:right="0" w:hanging="318"/>
        <w:jc w:val="center"/>
        <w:outlineLvl w:val="2"/>
        <w:rPr>
          <w:rFonts w:hint="eastAsia" w:ascii="宋体" w:hAnsi="宋体" w:eastAsia="宋体" w:cs="宋体"/>
          <w:b/>
          <w:bCs/>
          <w:sz w:val="32"/>
          <w:szCs w:val="32"/>
          <w:lang w:val="en-US" w:eastAsia="zh-CN" w:bidi="zh-CN"/>
        </w:rPr>
      </w:pPr>
      <w:r>
        <w:rPr>
          <w:rFonts w:hint="eastAsia" w:ascii="宋体" w:hAnsi="宋体" w:eastAsia="宋体" w:cs="宋体"/>
          <w:b/>
          <w:bCs/>
          <w:sz w:val="32"/>
          <w:szCs w:val="32"/>
          <w:lang w:val="en-US" w:eastAsia="zh-CN" w:bidi="zh-CN"/>
        </w:rPr>
        <w:t>告知函</w:t>
      </w:r>
    </w:p>
    <w:tbl>
      <w:tblPr>
        <w:tblStyle w:val="22"/>
        <w:tblpPr w:leftFromText="180" w:rightFromText="180" w:vertAnchor="text" w:horzAnchor="page" w:tblpX="1255" w:tblpY="6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766"/>
        <w:gridCol w:w="6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61"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事项</w:t>
            </w:r>
          </w:p>
        </w:tc>
        <w:tc>
          <w:tcPr>
            <w:tcW w:w="2766"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时限</w:t>
            </w:r>
          </w:p>
        </w:tc>
        <w:tc>
          <w:tcPr>
            <w:tcW w:w="0" w:type="auto"/>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861" w:type="dxa"/>
          </w:tcPr>
          <w:p>
            <w:pPr>
              <w:jc w:val="center"/>
              <w:rPr>
                <w:rFonts w:hint="eastAsia" w:ascii="仿宋" w:hAnsi="仿宋" w:eastAsia="仿宋" w:cs="仿宋"/>
                <w:sz w:val="24"/>
                <w:szCs w:val="24"/>
                <w:vertAlign w:val="baseline"/>
                <w:lang w:val="en-US" w:eastAsia="zh-CN"/>
              </w:rPr>
            </w:pPr>
          </w:p>
          <w:p>
            <w:pPr>
              <w:jc w:val="center"/>
              <w:rPr>
                <w:rFonts w:hint="eastAsia" w:ascii="仿宋" w:hAnsi="仿宋" w:eastAsia="仿宋" w:cs="仿宋"/>
                <w:sz w:val="24"/>
                <w:szCs w:val="24"/>
                <w:vertAlign w:val="baseline"/>
                <w:lang w:val="en-US" w:eastAsia="zh-CN"/>
              </w:rPr>
            </w:pPr>
          </w:p>
          <w:p>
            <w:pPr>
              <w:jc w:val="center"/>
              <w:rPr>
                <w:rFonts w:hint="eastAsia" w:ascii="仿宋" w:hAnsi="仿宋" w:eastAsia="仿宋" w:cs="仿宋"/>
                <w:sz w:val="24"/>
                <w:szCs w:val="24"/>
                <w:vertAlign w:val="baseline"/>
                <w:lang w:val="en-US" w:eastAsia="zh-CN"/>
              </w:rPr>
            </w:pPr>
          </w:p>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合同签订</w:t>
            </w:r>
          </w:p>
        </w:tc>
        <w:tc>
          <w:tcPr>
            <w:tcW w:w="2766" w:type="dxa"/>
          </w:tcPr>
          <w:p>
            <w:pPr>
              <w:ind w:firstLine="480" w:firstLineChars="200"/>
              <w:rPr>
                <w:rFonts w:hint="eastAsia" w:ascii="仿宋" w:hAnsi="仿宋" w:eastAsia="仿宋" w:cs="仿宋"/>
                <w:sz w:val="24"/>
                <w:szCs w:val="24"/>
                <w:vertAlign w:val="baseline"/>
                <w:lang w:val="en-US" w:eastAsia="zh-CN"/>
              </w:rPr>
            </w:pPr>
          </w:p>
          <w:p>
            <w:pPr>
              <w:ind w:firstLine="480" w:firstLineChars="2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中标(成交)通知书发出之日起1个工作日内采购人与供应商签订政府采购合同。</w:t>
            </w:r>
          </w:p>
        </w:tc>
        <w:tc>
          <w:tcPr>
            <w:tcW w:w="0" w:type="auto"/>
          </w:tcPr>
          <w:p>
            <w:pPr>
              <w:ind w:firstLine="480" w:firstLineChars="200"/>
              <w:rPr>
                <w:rFonts w:hint="eastAsia" w:ascii="仿宋" w:hAnsi="仿宋" w:eastAsia="仿宋" w:cs="仿宋"/>
                <w:sz w:val="24"/>
                <w:szCs w:val="22"/>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pP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861" w:type="dxa"/>
          </w:tcPr>
          <w:p>
            <w:pPr>
              <w:jc w:val="center"/>
              <w:rPr>
                <w:rFonts w:hint="eastAsia" w:ascii="仿宋" w:hAnsi="仿宋" w:eastAsia="仿宋" w:cs="仿宋"/>
                <w:sz w:val="24"/>
                <w:szCs w:val="24"/>
                <w:vertAlign w:val="baseline"/>
                <w:lang w:val="en-US" w:eastAsia="zh-CN"/>
              </w:rPr>
            </w:pPr>
          </w:p>
          <w:p>
            <w:pPr>
              <w:jc w:val="center"/>
              <w:rPr>
                <w:rFonts w:hint="eastAsia" w:ascii="仿宋" w:hAnsi="仿宋" w:eastAsia="仿宋" w:cs="仿宋"/>
                <w:sz w:val="24"/>
                <w:szCs w:val="24"/>
                <w:vertAlign w:val="baseline"/>
                <w:lang w:val="en-US" w:eastAsia="zh-CN"/>
              </w:rPr>
            </w:pPr>
          </w:p>
          <w:p>
            <w:pPr>
              <w:jc w:val="center"/>
              <w:rPr>
                <w:rFonts w:hint="eastAsia" w:ascii="仿宋" w:hAnsi="仿宋" w:eastAsia="仿宋" w:cs="仿宋"/>
                <w:sz w:val="24"/>
                <w:szCs w:val="24"/>
                <w:vertAlign w:val="baseline"/>
                <w:lang w:val="en-US" w:eastAsia="zh-CN"/>
              </w:rPr>
            </w:pPr>
          </w:p>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合同备案</w:t>
            </w:r>
          </w:p>
        </w:tc>
        <w:tc>
          <w:tcPr>
            <w:tcW w:w="2766" w:type="dxa"/>
          </w:tcPr>
          <w:p>
            <w:pPr>
              <w:ind w:firstLine="480" w:firstLineChars="200"/>
              <w:rPr>
                <w:rFonts w:hint="eastAsia" w:ascii="仿宋" w:hAnsi="仿宋" w:eastAsia="仿宋" w:cs="仿宋"/>
                <w:sz w:val="24"/>
                <w:szCs w:val="24"/>
                <w:vertAlign w:val="baseline"/>
                <w:lang w:val="en-US" w:eastAsia="zh-CN"/>
              </w:rPr>
            </w:pPr>
          </w:p>
          <w:p>
            <w:pPr>
              <w:ind w:firstLine="480" w:firstLineChars="200"/>
              <w:rPr>
                <w:rFonts w:hint="eastAsia" w:ascii="仿宋" w:hAnsi="仿宋" w:eastAsia="仿宋" w:cs="仿宋"/>
                <w:sz w:val="24"/>
                <w:szCs w:val="24"/>
                <w:vertAlign w:val="baseline"/>
                <w:lang w:val="en-US" w:eastAsia="zh-CN"/>
              </w:rPr>
            </w:pPr>
          </w:p>
          <w:p>
            <w:pPr>
              <w:ind w:firstLine="480" w:firstLineChars="200"/>
              <w:rPr>
                <w:rFonts w:hint="eastAsia" w:ascii="仿宋" w:hAnsi="仿宋" w:eastAsia="仿宋" w:cs="仿宋"/>
                <w:sz w:val="24"/>
                <w:szCs w:val="24"/>
                <w:vertAlign w:val="baseline"/>
                <w:lang w:val="en-US" w:eastAsia="zh-CN"/>
              </w:rPr>
            </w:pPr>
          </w:p>
          <w:p>
            <w:pPr>
              <w:ind w:firstLine="480" w:firstLineChars="2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政府采购合同签订之日起1个工作日内，合同备案并公示。</w:t>
            </w:r>
          </w:p>
        </w:tc>
        <w:tc>
          <w:tcPr>
            <w:tcW w:w="0" w:type="auto"/>
          </w:tcPr>
          <w:p>
            <w:pPr>
              <w:rPr>
                <w:rFonts w:hint="eastAsia" w:ascii="仿宋" w:hAnsi="仿宋" w:eastAsia="仿宋" w:cs="仿宋"/>
                <w:sz w:val="24"/>
                <w:szCs w:val="24"/>
                <w:vertAlign w:val="baseline"/>
                <w:lang w:val="en-US" w:eastAsia="zh-CN"/>
              </w:rPr>
            </w:pPr>
          </w:p>
          <w:p>
            <w:pPr>
              <w:ind w:firstLine="480" w:firstLineChars="2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861" w:type="dxa"/>
          </w:tcPr>
          <w:p>
            <w:pPr>
              <w:jc w:val="center"/>
              <w:rPr>
                <w:rFonts w:hint="eastAsia" w:ascii="仿宋" w:hAnsi="仿宋" w:eastAsia="仿宋" w:cs="仿宋"/>
                <w:sz w:val="24"/>
                <w:szCs w:val="24"/>
                <w:vertAlign w:val="baseline"/>
                <w:lang w:val="en-US" w:eastAsia="zh-CN"/>
              </w:rPr>
            </w:pPr>
          </w:p>
          <w:p>
            <w:pPr>
              <w:jc w:val="center"/>
              <w:rPr>
                <w:rFonts w:hint="eastAsia" w:ascii="仿宋" w:hAnsi="仿宋" w:eastAsia="仿宋" w:cs="仿宋"/>
                <w:sz w:val="24"/>
                <w:szCs w:val="24"/>
                <w:vertAlign w:val="baseline"/>
                <w:lang w:val="en-US" w:eastAsia="zh-CN"/>
              </w:rPr>
            </w:pPr>
          </w:p>
          <w:p>
            <w:pPr>
              <w:jc w:val="center"/>
              <w:rPr>
                <w:rFonts w:hint="eastAsia" w:ascii="仿宋" w:hAnsi="仿宋" w:eastAsia="仿宋" w:cs="仿宋"/>
                <w:sz w:val="24"/>
                <w:szCs w:val="24"/>
                <w:vertAlign w:val="baseline"/>
                <w:lang w:val="en-US" w:eastAsia="zh-CN"/>
              </w:rPr>
            </w:pPr>
          </w:p>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履约验收</w:t>
            </w:r>
          </w:p>
        </w:tc>
        <w:tc>
          <w:tcPr>
            <w:tcW w:w="2766" w:type="dxa"/>
          </w:tcPr>
          <w:p>
            <w:pPr>
              <w:ind w:firstLine="480" w:firstLineChars="200"/>
              <w:rPr>
                <w:rFonts w:hint="eastAsia" w:ascii="仿宋" w:hAnsi="仿宋" w:eastAsia="仿宋" w:cs="仿宋"/>
                <w:sz w:val="24"/>
                <w:szCs w:val="24"/>
                <w:vertAlign w:val="baseline"/>
                <w:lang w:val="en-US" w:eastAsia="zh-CN"/>
              </w:rPr>
            </w:pPr>
          </w:p>
          <w:p>
            <w:pPr>
              <w:ind w:firstLine="480" w:firstLineChars="2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采购人应该在供应商提出验收申请之日起3个工作日内完成验收，验收完成之日起2个工作日内，合同履约验收公示。</w:t>
            </w:r>
          </w:p>
        </w:tc>
        <w:tc>
          <w:tcPr>
            <w:tcW w:w="0" w:type="auto"/>
          </w:tcPr>
          <w:p>
            <w:pPr>
              <w:ind w:firstLine="480" w:firstLineChars="200"/>
              <w:rPr>
                <w:rFonts w:hint="eastAsia" w:ascii="仿宋" w:hAnsi="仿宋" w:eastAsia="仿宋" w:cs="仿宋"/>
                <w:sz w:val="24"/>
                <w:szCs w:val="24"/>
                <w:vertAlign w:val="baseline"/>
                <w:lang w:val="en-US" w:eastAsia="zh-CN"/>
              </w:rPr>
            </w:pPr>
          </w:p>
          <w:p>
            <w:pPr>
              <w:ind w:firstLine="480" w:firstLineChars="2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政府采购项目供应商履约完成后，应及时向采购人提出验收申请。验收合格的项目，采购人应在验收完成之日起2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861" w:type="dxa"/>
          </w:tcPr>
          <w:p>
            <w:pPr>
              <w:jc w:val="center"/>
              <w:rPr>
                <w:rFonts w:hint="eastAsia" w:ascii="仿宋" w:hAnsi="仿宋" w:eastAsia="仿宋" w:cs="仿宋"/>
                <w:sz w:val="24"/>
                <w:szCs w:val="24"/>
                <w:vertAlign w:val="baseline"/>
                <w:lang w:val="en-US" w:eastAsia="zh-CN"/>
              </w:rPr>
            </w:pPr>
          </w:p>
          <w:p>
            <w:pPr>
              <w:jc w:val="center"/>
              <w:rPr>
                <w:rFonts w:hint="eastAsia" w:ascii="仿宋" w:hAnsi="仿宋" w:eastAsia="仿宋" w:cs="仿宋"/>
                <w:sz w:val="24"/>
                <w:szCs w:val="24"/>
                <w:vertAlign w:val="baseline"/>
                <w:lang w:val="en-US" w:eastAsia="zh-CN"/>
              </w:rPr>
            </w:pPr>
          </w:p>
          <w:p>
            <w:pPr>
              <w:jc w:val="center"/>
              <w:rPr>
                <w:rFonts w:hint="eastAsia" w:ascii="仿宋" w:hAnsi="仿宋" w:eastAsia="仿宋" w:cs="仿宋"/>
                <w:sz w:val="24"/>
                <w:szCs w:val="24"/>
                <w:vertAlign w:val="baseline"/>
                <w:lang w:val="en-US" w:eastAsia="zh-CN"/>
              </w:rPr>
            </w:pPr>
          </w:p>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资金支持</w:t>
            </w:r>
          </w:p>
        </w:tc>
        <w:tc>
          <w:tcPr>
            <w:tcW w:w="2766" w:type="dxa"/>
          </w:tcPr>
          <w:p>
            <w:pPr>
              <w:ind w:firstLine="480" w:firstLineChars="200"/>
              <w:rPr>
                <w:rFonts w:hint="eastAsia" w:ascii="仿宋" w:hAnsi="仿宋" w:eastAsia="仿宋" w:cs="仿宋"/>
                <w:sz w:val="24"/>
                <w:szCs w:val="24"/>
                <w:vertAlign w:val="baseline"/>
                <w:lang w:val="en-US" w:eastAsia="zh-CN"/>
              </w:rPr>
            </w:pPr>
          </w:p>
          <w:p>
            <w:pPr>
              <w:ind w:firstLine="480" w:firstLineChars="2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验收合格具备付款条件的项目， 采购人应在3个工作日内将资金支付到采购合同约定的供应商账户。</w:t>
            </w:r>
          </w:p>
        </w:tc>
        <w:tc>
          <w:tcPr>
            <w:tcW w:w="0" w:type="auto"/>
          </w:tcPr>
          <w:p>
            <w:pPr>
              <w:ind w:firstLine="480" w:firstLineChars="200"/>
              <w:rPr>
                <w:rFonts w:hint="eastAsia" w:ascii="仿宋" w:hAnsi="仿宋" w:eastAsia="仿宋" w:cs="仿宋"/>
                <w:sz w:val="24"/>
                <w:szCs w:val="24"/>
                <w:vertAlign w:val="baseline"/>
                <w:lang w:val="en-US" w:eastAsia="zh-CN"/>
              </w:rPr>
            </w:pPr>
          </w:p>
          <w:p>
            <w:pPr>
              <w:ind w:firstLine="480" w:firstLineChars="200"/>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pPr>
        <w:jc w:val="left"/>
        <w:rPr>
          <w:rFonts w:hint="eastAsia" w:ascii="宋体" w:hAnsi="宋体" w:cs="宋体"/>
          <w:sz w:val="24"/>
          <w:szCs w:val="24"/>
          <w:lang w:val="en-US" w:eastAsia="zh-CN"/>
        </w:rPr>
      </w:pPr>
    </w:p>
    <w:p>
      <w:pPr>
        <w:jc w:val="left"/>
        <w:rPr>
          <w:rFonts w:hint="eastAsia" w:ascii="宋体" w:hAnsi="宋体" w:cs="宋体"/>
          <w:sz w:val="24"/>
          <w:szCs w:val="24"/>
          <w:lang w:val="en-US" w:eastAsia="zh-CN"/>
        </w:rPr>
      </w:pPr>
    </w:p>
    <w:p>
      <w:pPr>
        <w:jc w:val="both"/>
        <w:rPr>
          <w:rFonts w:hint="eastAsia"/>
          <w:lang w:val="zh-CN" w:eastAsia="zh-CN"/>
        </w:rPr>
      </w:pPr>
    </w:p>
    <w:sectPr>
      <w:pgSz w:w="11910" w:h="16840"/>
      <w:pgMar w:top="1417" w:right="1080" w:bottom="1440" w:left="1080" w:header="882" w:footer="8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FuturaA Bk BT">
    <w:altName w:val="Courier New"/>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rFonts w:ascii="宋体" w:hAnsi="宋体" w:eastAsia="宋体" w:cs="宋体"/>
        <w:sz w:val="21"/>
        <w:szCs w:val="21"/>
        <w:lang w:val="zh-CN" w:eastAsia="zh-CN" w:bidi="zh-CN"/>
      </w:rPr>
      <mc:AlternateContent>
        <mc:Choice Requires="wps">
          <w:drawing>
            <wp:anchor distT="0" distB="0" distL="114300" distR="114300" simplePos="0" relativeHeight="251660288" behindDoc="1" locked="0" layoutInCell="1" allowOverlap="1">
              <wp:simplePos x="0" y="0"/>
              <wp:positionH relativeFrom="page">
                <wp:posOffset>667385</wp:posOffset>
              </wp:positionH>
              <wp:positionV relativeFrom="page">
                <wp:posOffset>9996805</wp:posOffset>
              </wp:positionV>
              <wp:extent cx="6226810" cy="635"/>
              <wp:effectExtent l="0" t="0" r="0" b="0"/>
              <wp:wrapNone/>
              <wp:docPr id="9" name="直线 2"/>
              <wp:cNvGraphicFramePr/>
              <a:graphic xmlns:a="http://schemas.openxmlformats.org/drawingml/2006/main">
                <a:graphicData uri="http://schemas.microsoft.com/office/word/2010/wordprocessingShape">
                  <wps:wsp>
                    <wps:cNvCnPr/>
                    <wps:spPr>
                      <a:xfrm>
                        <a:off x="0" y="0"/>
                        <a:ext cx="6226810" cy="635"/>
                      </a:xfrm>
                      <a:prstGeom prst="line">
                        <a:avLst/>
                      </a:prstGeom>
                      <a:ln w="6096" cap="flat" cmpd="sng">
                        <a:solidFill>
                          <a:srgbClr val="000000">
                            <a:alpha val="100000"/>
                          </a:srgbClr>
                        </a:solidFill>
                        <a:prstDash val="solid"/>
                        <a:headEnd type="none" w="med" len="med"/>
                        <a:tailEnd type="none" w="med" len="med"/>
                      </a:ln>
                    </wps:spPr>
                    <wps:bodyPr upright="1"/>
                  </wps:wsp>
                </a:graphicData>
              </a:graphic>
            </wp:anchor>
          </w:drawing>
        </mc:Choice>
        <mc:Fallback>
          <w:pict>
            <v:line id="直线 2" o:spid="_x0000_s1026" o:spt="20" style="position:absolute;left:0pt;margin-left:52.55pt;margin-top:787.15pt;height:0.05pt;width:490.3pt;mso-position-horizontal-relative:page;mso-position-vertical-relative:page;z-index:-251656192;mso-width-relative:page;mso-height-relative:page;" filled="f" stroked="t" coordsize="21600,21600" o:gfxdata="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zf5m9sAAAAOAQAADwAAAAAAAAABACAAAAAiAAAAZHJzL2Rvd25yZXYueG1s&#10;UEsBAhQAFAAAAAgAh07iQO2c9UX1AQAA/wMAAA4AAAAAAAAAAQAgAAAAKgEAAGRycy9lMm9Eb2Mu&#10;eG1sUEsFBgAAAAAGAAYAWQEAAJEFAAAAAA==&#10;">
              <v:fill on="f" focussize="0,0"/>
              <v:stroke weight="0.48pt" color="#000000"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ascii="宋体" w:hAnsi="宋体" w:eastAsia="宋体" w:cs="宋体"/>
        <w:sz w:val="21"/>
        <w:szCs w:val="21"/>
        <w:lang w:val="zh-CN" w:eastAsia="zh-CN" w:bidi="zh-CN"/>
      </w:rPr>
      <mc:AlternateContent>
        <mc:Choice Requires="wps">
          <w:drawing>
            <wp:anchor distT="0" distB="0" distL="114300" distR="114300" simplePos="0" relativeHeight="251663360" behindDoc="1" locked="0" layoutInCell="1" allowOverlap="1">
              <wp:simplePos x="0" y="0"/>
              <wp:positionH relativeFrom="page">
                <wp:posOffset>667385</wp:posOffset>
              </wp:positionH>
              <wp:positionV relativeFrom="page">
                <wp:posOffset>9996805</wp:posOffset>
              </wp:positionV>
              <wp:extent cx="6226810" cy="635"/>
              <wp:effectExtent l="0" t="0" r="0" b="0"/>
              <wp:wrapNone/>
              <wp:docPr id="1" name="直线 2"/>
              <wp:cNvGraphicFramePr/>
              <a:graphic xmlns:a="http://schemas.openxmlformats.org/drawingml/2006/main">
                <a:graphicData uri="http://schemas.microsoft.com/office/word/2010/wordprocessingShape">
                  <wps:wsp>
                    <wps:cNvCnPr/>
                    <wps:spPr>
                      <a:xfrm>
                        <a:off x="0" y="0"/>
                        <a:ext cx="6226810" cy="635"/>
                      </a:xfrm>
                      <a:prstGeom prst="line">
                        <a:avLst/>
                      </a:prstGeom>
                      <a:ln w="6096" cap="flat" cmpd="sng">
                        <a:solidFill>
                          <a:srgbClr val="000000">
                            <a:alpha val="100000"/>
                          </a:srgbClr>
                        </a:solidFill>
                        <a:prstDash val="solid"/>
                        <a:headEnd type="none" w="med" len="med"/>
                        <a:tailEnd type="none" w="med" len="med"/>
                      </a:ln>
                    </wps:spPr>
                    <wps:bodyPr upright="1"/>
                  </wps:wsp>
                </a:graphicData>
              </a:graphic>
            </wp:anchor>
          </w:drawing>
        </mc:Choice>
        <mc:Fallback>
          <w:pict>
            <v:line id="直线 2" o:spid="_x0000_s1026" o:spt="20" style="position:absolute;left:0pt;margin-left:52.55pt;margin-top:787.15pt;height:0.05pt;width:490.3pt;mso-position-horizontal-relative:page;mso-position-vertical-relative:page;z-index:-251653120;mso-width-relative:page;mso-height-relative:page;" filled="f" stroked="t" coordsize="21600,21600" o:gfxdata="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N/mb2wAAAA4BAAAPAAAAAAAAAAEAIAAAACIAAABkcnMvZG93bnJldi54bWxQ&#10;SwECFAAUAAAACACHTuJAWSpYlvQBAAD/AwAADgAAAAAAAAABACAAAAAqAQAAZHJzL2Uyb0RvYy54&#10;bWxQSwUGAAAAAAYABgBZAQAAkAUAAAAA&#10;">
              <v:fill on="f" focussize="0,0"/>
              <v:stroke weight="0.48pt" color="#000000"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rFonts w:ascii="宋体" w:hAnsi="宋体" w:eastAsia="宋体" w:cs="宋体"/>
        <w:sz w:val="21"/>
        <w:szCs w:val="21"/>
        <w:lang w:val="zh-CN" w:eastAsia="zh-CN" w:bidi="zh-CN"/>
      </w:rPr>
      <mc:AlternateContent>
        <mc:Choice Requires="wps">
          <w:drawing>
            <wp:anchor distT="0" distB="0" distL="114300" distR="114300" simplePos="0" relativeHeight="251662336" behindDoc="1" locked="0" layoutInCell="1" allowOverlap="1">
              <wp:simplePos x="0" y="0"/>
              <wp:positionH relativeFrom="page">
                <wp:posOffset>673100</wp:posOffset>
              </wp:positionH>
              <wp:positionV relativeFrom="page">
                <wp:posOffset>546735</wp:posOffset>
              </wp:positionV>
              <wp:extent cx="5994400" cy="311150"/>
              <wp:effectExtent l="0" t="0" r="0" b="0"/>
              <wp:wrapNone/>
              <wp:docPr id="11" name="文本框 11"/>
              <wp:cNvGraphicFramePr/>
              <a:graphic xmlns:a="http://schemas.openxmlformats.org/drawingml/2006/main">
                <a:graphicData uri="http://schemas.microsoft.com/office/word/2010/wordprocessingShape">
                  <wps:wsp>
                    <wps:cNvSpPr/>
                    <wps:spPr>
                      <a:xfrm>
                        <a:off x="0" y="0"/>
                        <a:ext cx="5994400" cy="311150"/>
                      </a:xfrm>
                      <a:prstGeom prst="rect">
                        <a:avLst/>
                      </a:prstGeom>
                      <a:noFill/>
                      <a:ln>
                        <a:noFill/>
                      </a:ln>
                    </wps:spPr>
                    <wps:txbx>
                      <w:txbxContent>
                        <w:p>
                          <w:pPr>
                            <w:spacing w:before="0" w:line="261" w:lineRule="exact"/>
                            <w:ind w:left="20" w:right="0" w:firstLine="0"/>
                            <w:jc w:val="left"/>
                            <w:rPr>
                              <w:b/>
                              <w:sz w:val="18"/>
                            </w:rPr>
                          </w:pPr>
                          <w:r>
                            <w:rPr>
                              <w:rFonts w:hint="eastAsia" w:cs="宋体"/>
                              <w:b/>
                              <w:bCs/>
                              <w:sz w:val="18"/>
                              <w:szCs w:val="18"/>
                              <w:lang w:val="en-US" w:eastAsia="zh-CN"/>
                            </w:rPr>
                            <w:t>唐河县城区市政桥梁检测项目（二次）</w:t>
                          </w:r>
                          <w:r>
                            <w:rPr>
                              <w:rFonts w:hint="eastAsia"/>
                              <w:b/>
                              <w:sz w:val="18"/>
                              <w:lang w:val="en-US" w:eastAsia="zh-CN"/>
                            </w:rPr>
                            <w:t xml:space="preserve">                                 </w:t>
                          </w:r>
                          <w:r>
                            <w:rPr>
                              <w:b/>
                              <w:sz w:val="18"/>
                            </w:rPr>
                            <w:t>竞争性磋商文件</w:t>
                          </w:r>
                        </w:p>
                      </w:txbxContent>
                    </wps:txbx>
                    <wps:bodyPr lIns="0" tIns="0" rIns="0" bIns="0" upright="1"/>
                  </wps:wsp>
                </a:graphicData>
              </a:graphic>
            </wp:anchor>
          </w:drawing>
        </mc:Choice>
        <mc:Fallback>
          <w:pict>
            <v:rect id="文本框 11" o:spid="_x0000_s1026" o:spt="1" style="position:absolute;left:0pt;margin-left:53pt;margin-top:43.05pt;height:24.5pt;width:472pt;mso-position-horizontal-relative:page;mso-position-vertical-relative:page;z-index:-251654144;mso-width-relative:page;mso-height-relative:page;" filled="f" stroked="f" coordsize="21600,21600" o:gfxdata="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iaqCHaAAAACwEAAA8AAAAAAAAAAQAgAAAAIgAAAGRycy9kb3ducmV2LnhtbFBLAQIUABQA&#10;AAAIAIdO4kD8KAzGtQEAAGoDAAAOAAAAAAAAAAEAIAAAACkBAABkcnMvZTJvRG9jLnhtbFBLBQYA&#10;AAAABgAGAFkBAABQBQAAAAA=&#10;">
              <v:fill on="f" focussize="0,0"/>
              <v:stroke on="f"/>
              <v:imagedata o:title=""/>
              <o:lock v:ext="edit" aspectratio="f"/>
              <v:textbox inset="0mm,0mm,0mm,0mm">
                <w:txbxContent>
                  <w:p>
                    <w:pPr>
                      <w:spacing w:before="0" w:line="261" w:lineRule="exact"/>
                      <w:ind w:left="20" w:right="0" w:firstLine="0"/>
                      <w:jc w:val="left"/>
                      <w:rPr>
                        <w:b/>
                        <w:sz w:val="18"/>
                      </w:rPr>
                    </w:pPr>
                    <w:r>
                      <w:rPr>
                        <w:rFonts w:hint="eastAsia" w:cs="宋体"/>
                        <w:b/>
                        <w:bCs/>
                        <w:sz w:val="18"/>
                        <w:szCs w:val="18"/>
                        <w:lang w:val="en-US" w:eastAsia="zh-CN"/>
                      </w:rPr>
                      <w:t>唐河县城区市政桥梁检测项目（二次）</w:t>
                    </w:r>
                    <w:r>
                      <w:rPr>
                        <w:rFonts w:hint="eastAsia"/>
                        <w:b/>
                        <w:sz w:val="18"/>
                        <w:lang w:val="en-US" w:eastAsia="zh-CN"/>
                      </w:rPr>
                      <w:t xml:space="preserve">                                 </w:t>
                    </w:r>
                    <w:r>
                      <w:rPr>
                        <w:b/>
                        <w:sz w:val="18"/>
                      </w:rPr>
                      <w:t>竞争性磋商文件</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line="14" w:lineRule="auto"/>
      <w:jc w:val="both"/>
      <w:rPr>
        <w:rFonts w:ascii="宋体" w:hAnsi="宋体" w:eastAsia="宋体" w:cs="宋体"/>
        <w:sz w:val="20"/>
        <w:szCs w:val="21"/>
        <w:lang w:val="zh-CN" w:eastAsia="zh-CN" w:bidi="zh-CN"/>
      </w:rPr>
    </w:pPr>
    <w:r>
      <w:rPr>
        <w:rFonts w:ascii="宋体" w:hAnsi="宋体" w:eastAsia="宋体" w:cs="宋体"/>
        <w:sz w:val="21"/>
        <w:szCs w:val="21"/>
        <w:lang w:val="zh-CN" w:eastAsia="zh-CN" w:bidi="zh-CN"/>
      </w:rPr>
      <mc:AlternateContent>
        <mc:Choice Requires="wps">
          <w:drawing>
            <wp:anchor distT="0" distB="0" distL="0" distR="0" simplePos="0" relativeHeight="251664384" behindDoc="1" locked="0" layoutInCell="1" allowOverlap="1">
              <wp:simplePos x="0" y="0"/>
              <wp:positionH relativeFrom="page">
                <wp:posOffset>673100</wp:posOffset>
              </wp:positionH>
              <wp:positionV relativeFrom="page">
                <wp:posOffset>546735</wp:posOffset>
              </wp:positionV>
              <wp:extent cx="5994400" cy="311150"/>
              <wp:effectExtent l="0" t="0" r="0" b="0"/>
              <wp:wrapNone/>
              <wp:docPr id="4103" name="文本框 11"/>
              <wp:cNvGraphicFramePr/>
              <a:graphic xmlns:a="http://schemas.openxmlformats.org/drawingml/2006/main">
                <a:graphicData uri="http://schemas.microsoft.com/office/word/2010/wordprocessingShape">
                  <wps:wsp>
                    <wps:cNvSpPr/>
                    <wps:spPr>
                      <a:xfrm>
                        <a:off x="0" y="0"/>
                        <a:ext cx="5994400" cy="311150"/>
                      </a:xfrm>
                      <a:prstGeom prst="rect">
                        <a:avLst/>
                      </a:prstGeom>
                      <a:ln>
                        <a:noFill/>
                      </a:ln>
                    </wps:spPr>
                    <wps:txbx>
                      <w:txbxContent>
                        <w:p>
                          <w:pPr>
                            <w:spacing w:before="0" w:after="0" w:line="261" w:lineRule="exact"/>
                            <w:ind w:left="20" w:right="0"/>
                            <w:jc w:val="left"/>
                            <w:rPr>
                              <w:b/>
                              <w:sz w:val="21"/>
                            </w:rPr>
                          </w:pPr>
                          <w:r>
                            <w:rPr>
                              <w:b/>
                              <w:w w:val="99"/>
                              <w:sz w:val="21"/>
                            </w:rPr>
                            <w:t xml:space="preserve"> </w:t>
                          </w:r>
                        </w:p>
                        <w:p>
                          <w:pPr>
                            <w:spacing w:before="3" w:after="0" w:line="225" w:lineRule="exact"/>
                            <w:ind w:left="20" w:right="0"/>
                            <w:jc w:val="left"/>
                            <w:rPr>
                              <w:b/>
                              <w:sz w:val="18"/>
                            </w:rPr>
                          </w:pPr>
                          <w:r>
                            <w:rPr>
                              <w:rFonts w:hint="eastAsia"/>
                              <w:b/>
                              <w:bCs/>
                              <w:color w:val="auto"/>
                              <w:sz w:val="21"/>
                              <w:szCs w:val="21"/>
                              <w:lang w:val="en-US" w:eastAsia="zh-CN"/>
                            </w:rPr>
                            <w:t>唐河县城区市政桥梁检测项目</w:t>
                          </w:r>
                          <w:r>
                            <w:rPr>
                              <w:rFonts w:hint="eastAsia" w:ascii="宋体" w:hAnsi="宋体" w:cs="宋体"/>
                              <w:b/>
                              <w:sz w:val="18"/>
                              <w:lang w:val="en-US"/>
                            </w:rPr>
                            <w:t xml:space="preserve"> </w:t>
                          </w:r>
                          <w:r>
                            <w:rPr>
                              <w:rFonts w:hint="eastAsia" w:ascii="宋体"/>
                              <w:b/>
                              <w:sz w:val="18"/>
                              <w:lang w:val="en-US"/>
                            </w:rPr>
                            <w:t xml:space="preserve">    </w:t>
                          </w:r>
                          <w:r>
                            <w:rPr>
                              <w:rFonts w:hint="eastAsia" w:ascii="宋体" w:eastAsia="仿宋"/>
                              <w:b/>
                              <w:sz w:val="18"/>
                              <w:lang w:val="en-US" w:eastAsia="zh-CN"/>
                            </w:rPr>
                            <w:t xml:space="preserve">                         </w:t>
                          </w:r>
                          <w:r>
                            <w:rPr>
                              <w:rFonts w:hint="eastAsia"/>
                              <w:b/>
                              <w:sz w:val="18"/>
                              <w:lang w:val="en-US" w:eastAsia="zh-CN"/>
                            </w:rPr>
                            <w:t xml:space="preserve">                   </w:t>
                          </w:r>
                          <w:r>
                            <w:rPr>
                              <w:b/>
                              <w:sz w:val="18"/>
                            </w:rPr>
                            <w:t>竞争性磋商文件</w:t>
                          </w:r>
                        </w:p>
                      </w:txbxContent>
                    </wps:txbx>
                    <wps:bodyPr lIns="0" tIns="0" rIns="0" bIns="0" upright="1"/>
                  </wps:wsp>
                </a:graphicData>
              </a:graphic>
            </wp:anchor>
          </w:drawing>
        </mc:Choice>
        <mc:Fallback>
          <w:pict>
            <v:rect id="文本框 11" o:spid="_x0000_s1026" o:spt="1" style="position:absolute;left:0pt;margin-left:53pt;margin-top:43.05pt;height:24.5pt;width:472pt;mso-position-horizontal-relative:page;mso-position-vertical-relative:page;z-index:-251652096;mso-width-relative:page;mso-height-relative:page;" filled="f" stroked="f" coordsize="21600,21600" o:gfxdata="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JqoIdoAAAALAQAADwAAAAAAAAABACAAAAAiAAAAZHJzL2Rvd25yZXYueG1sUEsBAhQAFAAA&#10;AAgAh07iQLZrbVG0AQAAYQMAAA4AAAAAAAAAAQAgAAAAKQEAAGRycy9lMm9Eb2MueG1sUEsFBgAA&#10;AAAGAAYAWQEAAE8FAAAAAA==&#10;">
              <v:fill on="f" focussize="0,0"/>
              <v:stroke on="f"/>
              <v:imagedata o:title=""/>
              <o:lock v:ext="edit" aspectratio="f"/>
              <v:textbox inset="0mm,0mm,0mm,0mm">
                <w:txbxContent>
                  <w:p>
                    <w:pPr>
                      <w:spacing w:before="0" w:after="0" w:line="261" w:lineRule="exact"/>
                      <w:ind w:left="20" w:right="0"/>
                      <w:jc w:val="left"/>
                      <w:rPr>
                        <w:b/>
                        <w:sz w:val="21"/>
                      </w:rPr>
                    </w:pPr>
                    <w:r>
                      <w:rPr>
                        <w:b/>
                        <w:w w:val="99"/>
                        <w:sz w:val="21"/>
                      </w:rPr>
                      <w:t xml:space="preserve"> </w:t>
                    </w:r>
                  </w:p>
                  <w:p>
                    <w:pPr>
                      <w:spacing w:before="3" w:after="0" w:line="225" w:lineRule="exact"/>
                      <w:ind w:left="20" w:right="0"/>
                      <w:jc w:val="left"/>
                      <w:rPr>
                        <w:b/>
                        <w:sz w:val="18"/>
                      </w:rPr>
                    </w:pPr>
                    <w:r>
                      <w:rPr>
                        <w:rFonts w:hint="eastAsia"/>
                        <w:b/>
                        <w:bCs/>
                        <w:color w:val="auto"/>
                        <w:sz w:val="21"/>
                        <w:szCs w:val="21"/>
                        <w:lang w:val="en-US" w:eastAsia="zh-CN"/>
                      </w:rPr>
                      <w:t>唐河县城区市政桥梁检测项目</w:t>
                    </w:r>
                    <w:r>
                      <w:rPr>
                        <w:rFonts w:hint="eastAsia" w:ascii="宋体" w:hAnsi="宋体" w:cs="宋体"/>
                        <w:b/>
                        <w:sz w:val="18"/>
                        <w:lang w:val="en-US"/>
                      </w:rPr>
                      <w:t xml:space="preserve"> </w:t>
                    </w:r>
                    <w:r>
                      <w:rPr>
                        <w:rFonts w:hint="eastAsia" w:ascii="宋体"/>
                        <w:b/>
                        <w:sz w:val="18"/>
                        <w:lang w:val="en-US"/>
                      </w:rPr>
                      <w:t xml:space="preserve">    </w:t>
                    </w:r>
                    <w:r>
                      <w:rPr>
                        <w:rFonts w:hint="eastAsia" w:ascii="宋体" w:eastAsia="仿宋"/>
                        <w:b/>
                        <w:sz w:val="18"/>
                        <w:lang w:val="en-US" w:eastAsia="zh-CN"/>
                      </w:rPr>
                      <w:t xml:space="preserve">                         </w:t>
                    </w:r>
                    <w:r>
                      <w:rPr>
                        <w:rFonts w:hint="eastAsia"/>
                        <w:b/>
                        <w:sz w:val="18"/>
                        <w:lang w:val="en-US" w:eastAsia="zh-CN"/>
                      </w:rPr>
                      <w:t xml:space="preserve">                   </w:t>
                    </w:r>
                    <w:r>
                      <w:rPr>
                        <w:b/>
                        <w:sz w:val="18"/>
                      </w:rPr>
                      <w:t>竞争性磋商文件</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71849"/>
    <w:multiLevelType w:val="singleLevel"/>
    <w:tmpl w:val="F0371849"/>
    <w:lvl w:ilvl="0" w:tentative="0">
      <w:start w:val="2"/>
      <w:numFmt w:val="chineseCounting"/>
      <w:suff w:val="nothing"/>
      <w:lvlText w:val="（%1）"/>
      <w:lvlJc w:val="left"/>
      <w:rPr>
        <w:rFonts w:hint="eastAsia"/>
      </w:rPr>
    </w:lvl>
  </w:abstractNum>
  <w:abstractNum w:abstractNumId="1">
    <w:nsid w:val="00000000"/>
    <w:multiLevelType w:val="singleLevel"/>
    <w:tmpl w:val="00000000"/>
    <w:lvl w:ilvl="0" w:tentative="0">
      <w:start w:val="10"/>
      <w:numFmt w:val="chineseCounting"/>
      <w:suff w:val="space"/>
      <w:lvlText w:val="第%1条"/>
      <w:lvlJc w:val="left"/>
      <w:rPr>
        <w:rFonts w:hint="eastAsia"/>
      </w:rPr>
    </w:lvl>
  </w:abstractNum>
  <w:abstractNum w:abstractNumId="2">
    <w:nsid w:val="0000000E"/>
    <w:multiLevelType w:val="multilevel"/>
    <w:tmpl w:val="0000000E"/>
    <w:lvl w:ilvl="0" w:tentative="0">
      <w:start w:val="1"/>
      <w:numFmt w:val="decimal"/>
      <w:lvlText w:val="%1."/>
      <w:lvlJc w:val="left"/>
      <w:pPr>
        <w:ind w:left="1470" w:hanging="360"/>
      </w:pPr>
      <w:rPr>
        <w:rFonts w:hint="default" w:ascii="仿宋" w:hAnsi="仿宋" w:eastAsia="仿宋" w:cs="仿宋"/>
        <w:w w:val="100"/>
        <w:sz w:val="24"/>
        <w:szCs w:val="24"/>
        <w:lang w:val="zh-CN" w:eastAsia="zh-CN" w:bidi="zh-CN"/>
      </w:rPr>
    </w:lvl>
    <w:lvl w:ilvl="1" w:tentative="0">
      <w:start w:val="1"/>
      <w:numFmt w:val="decimal"/>
      <w:lvlText w:val="%1.%2"/>
      <w:lvlJc w:val="left"/>
      <w:pPr>
        <w:ind w:left="1590" w:hanging="480"/>
      </w:pPr>
      <w:rPr>
        <w:rFonts w:hint="default" w:ascii="仿宋" w:hAnsi="仿宋" w:eastAsia="仿宋" w:cs="仿宋"/>
        <w:w w:val="100"/>
        <w:sz w:val="24"/>
        <w:szCs w:val="24"/>
        <w:lang w:val="zh-CN" w:eastAsia="zh-CN" w:bidi="zh-CN"/>
      </w:rPr>
    </w:lvl>
    <w:lvl w:ilvl="2" w:tentative="0">
      <w:start w:val="1"/>
      <w:numFmt w:val="decimal"/>
      <w:lvlText w:val="%1.%2.%3"/>
      <w:lvlJc w:val="left"/>
      <w:pPr>
        <w:ind w:left="1830" w:hanging="720"/>
      </w:pPr>
      <w:rPr>
        <w:rFonts w:hint="default" w:ascii="仿宋" w:hAnsi="仿宋" w:eastAsia="仿宋" w:cs="仿宋"/>
        <w:w w:val="100"/>
        <w:sz w:val="24"/>
        <w:szCs w:val="24"/>
        <w:lang w:val="zh-CN" w:eastAsia="zh-CN" w:bidi="zh-CN"/>
      </w:rPr>
    </w:lvl>
    <w:lvl w:ilvl="3" w:tentative="0">
      <w:start w:val="0"/>
      <w:numFmt w:val="bullet"/>
      <w:lvlText w:val="•"/>
      <w:lvlJc w:val="left"/>
      <w:pPr>
        <w:ind w:left="1840" w:hanging="720"/>
      </w:pPr>
      <w:rPr>
        <w:rFonts w:hint="default"/>
        <w:lang w:val="zh-CN" w:eastAsia="zh-CN" w:bidi="zh-CN"/>
      </w:rPr>
    </w:lvl>
    <w:lvl w:ilvl="4" w:tentative="0">
      <w:start w:val="0"/>
      <w:numFmt w:val="bullet"/>
      <w:lvlText w:val="•"/>
      <w:lvlJc w:val="left"/>
      <w:pPr>
        <w:ind w:left="3026" w:hanging="720"/>
      </w:pPr>
      <w:rPr>
        <w:rFonts w:hint="default"/>
        <w:lang w:val="zh-CN" w:eastAsia="zh-CN" w:bidi="zh-CN"/>
      </w:rPr>
    </w:lvl>
    <w:lvl w:ilvl="5" w:tentative="0">
      <w:start w:val="0"/>
      <w:numFmt w:val="bullet"/>
      <w:lvlText w:val="•"/>
      <w:lvlJc w:val="left"/>
      <w:pPr>
        <w:ind w:left="4213" w:hanging="720"/>
      </w:pPr>
      <w:rPr>
        <w:rFonts w:hint="default"/>
        <w:lang w:val="zh-CN" w:eastAsia="zh-CN" w:bidi="zh-CN"/>
      </w:rPr>
    </w:lvl>
    <w:lvl w:ilvl="6" w:tentative="0">
      <w:start w:val="0"/>
      <w:numFmt w:val="bullet"/>
      <w:lvlText w:val="•"/>
      <w:lvlJc w:val="left"/>
      <w:pPr>
        <w:ind w:left="5399" w:hanging="720"/>
      </w:pPr>
      <w:rPr>
        <w:rFonts w:hint="default"/>
        <w:lang w:val="zh-CN" w:eastAsia="zh-CN" w:bidi="zh-CN"/>
      </w:rPr>
    </w:lvl>
    <w:lvl w:ilvl="7" w:tentative="0">
      <w:start w:val="0"/>
      <w:numFmt w:val="bullet"/>
      <w:lvlText w:val="•"/>
      <w:lvlJc w:val="left"/>
      <w:pPr>
        <w:ind w:left="6586" w:hanging="720"/>
      </w:pPr>
      <w:rPr>
        <w:rFonts w:hint="default"/>
        <w:lang w:val="zh-CN" w:eastAsia="zh-CN" w:bidi="zh-CN"/>
      </w:rPr>
    </w:lvl>
    <w:lvl w:ilvl="8" w:tentative="0">
      <w:start w:val="0"/>
      <w:numFmt w:val="bullet"/>
      <w:lvlText w:val="•"/>
      <w:lvlJc w:val="left"/>
      <w:pPr>
        <w:ind w:left="7773" w:hanging="720"/>
      </w:pPr>
      <w:rPr>
        <w:rFonts w:hint="default"/>
        <w:lang w:val="zh-CN" w:eastAsia="zh-CN" w:bidi="zh-CN"/>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00000012"/>
    <w:multiLevelType w:val="singleLevel"/>
    <w:tmpl w:val="00000012"/>
    <w:lvl w:ilvl="0" w:tentative="0">
      <w:start w:val="1"/>
      <w:numFmt w:val="decimal"/>
      <w:suff w:val="nothing"/>
      <w:lvlText w:val="（%1）"/>
      <w:lvlJc w:val="left"/>
    </w:lvl>
  </w:abstractNum>
  <w:abstractNum w:abstractNumId="5">
    <w:nsid w:val="00000015"/>
    <w:multiLevelType w:val="singleLevel"/>
    <w:tmpl w:val="00000015"/>
    <w:lvl w:ilvl="0" w:tentative="0">
      <w:start w:val="1"/>
      <w:numFmt w:val="decimal"/>
      <w:suff w:val="nothing"/>
      <w:lvlText w:val="（%1）"/>
      <w:lvlJc w:val="left"/>
    </w:lvl>
  </w:abstractNum>
  <w:abstractNum w:abstractNumId="6">
    <w:nsid w:val="00000016"/>
    <w:multiLevelType w:val="singleLevel"/>
    <w:tmpl w:val="00000016"/>
    <w:lvl w:ilvl="0" w:tentative="0">
      <w:start w:val="1"/>
      <w:numFmt w:val="decimal"/>
      <w:suff w:val="nothing"/>
      <w:lvlText w:val="%1、"/>
      <w:lvlJc w:val="left"/>
    </w:lvl>
  </w:abstractNum>
  <w:abstractNum w:abstractNumId="7">
    <w:nsid w:val="00000019"/>
    <w:multiLevelType w:val="singleLevel"/>
    <w:tmpl w:val="00000019"/>
    <w:lvl w:ilvl="0" w:tentative="0">
      <w:start w:val="1"/>
      <w:numFmt w:val="decimal"/>
      <w:suff w:val="nothing"/>
      <w:lvlText w:val="（%1）"/>
      <w:lvlJc w:val="left"/>
    </w:lvl>
  </w:abstractNum>
  <w:num w:numId="1">
    <w:abstractNumId w:val="6"/>
  </w:num>
  <w:num w:numId="2">
    <w:abstractNumId w:val="3"/>
  </w:num>
  <w:num w:numId="3">
    <w:abstractNumId w:val="4"/>
  </w:num>
  <w:num w:numId="4">
    <w:abstractNumId w:val="5"/>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NDliMzM2ZTc5NjY2ODhkZTM1Y2FmZmE3MTdjMjQifQ=="/>
    <w:docVar w:name="KSO_WPS_MARK_KEY" w:val="7810f8ac-ba8c-45a6-8310-4d2aec2e5f65"/>
  </w:docVars>
  <w:rsids>
    <w:rsidRoot w:val="00000000"/>
    <w:rsid w:val="00710E82"/>
    <w:rsid w:val="008E0C60"/>
    <w:rsid w:val="00FE1942"/>
    <w:rsid w:val="0149039A"/>
    <w:rsid w:val="019D1CBE"/>
    <w:rsid w:val="01C773D1"/>
    <w:rsid w:val="01CA4D42"/>
    <w:rsid w:val="01CB5222"/>
    <w:rsid w:val="01DF713D"/>
    <w:rsid w:val="01E47C09"/>
    <w:rsid w:val="01EC20E2"/>
    <w:rsid w:val="02105DD0"/>
    <w:rsid w:val="021F7E80"/>
    <w:rsid w:val="02906F11"/>
    <w:rsid w:val="02917E56"/>
    <w:rsid w:val="02B05AF3"/>
    <w:rsid w:val="03074478"/>
    <w:rsid w:val="030A361A"/>
    <w:rsid w:val="031856ED"/>
    <w:rsid w:val="037E320E"/>
    <w:rsid w:val="03B804CE"/>
    <w:rsid w:val="03C71EFB"/>
    <w:rsid w:val="03CC5D27"/>
    <w:rsid w:val="03EE3EEF"/>
    <w:rsid w:val="04212517"/>
    <w:rsid w:val="04255107"/>
    <w:rsid w:val="043B4C5B"/>
    <w:rsid w:val="04553F6E"/>
    <w:rsid w:val="04CE66EF"/>
    <w:rsid w:val="05516106"/>
    <w:rsid w:val="055D468D"/>
    <w:rsid w:val="057661EC"/>
    <w:rsid w:val="05CD5D86"/>
    <w:rsid w:val="05FF6A84"/>
    <w:rsid w:val="062108F7"/>
    <w:rsid w:val="066F1DC0"/>
    <w:rsid w:val="06AE3E0A"/>
    <w:rsid w:val="06BF7045"/>
    <w:rsid w:val="07011FB6"/>
    <w:rsid w:val="071018DF"/>
    <w:rsid w:val="071D20E5"/>
    <w:rsid w:val="078023DD"/>
    <w:rsid w:val="07897C63"/>
    <w:rsid w:val="08004DFC"/>
    <w:rsid w:val="08260F42"/>
    <w:rsid w:val="08793FA4"/>
    <w:rsid w:val="08B04F3D"/>
    <w:rsid w:val="08CB2FA7"/>
    <w:rsid w:val="090B10A0"/>
    <w:rsid w:val="090D65BE"/>
    <w:rsid w:val="090F532B"/>
    <w:rsid w:val="099E571B"/>
    <w:rsid w:val="09C000DC"/>
    <w:rsid w:val="0A240688"/>
    <w:rsid w:val="0A6E7AE5"/>
    <w:rsid w:val="0A9D666F"/>
    <w:rsid w:val="0AA51B26"/>
    <w:rsid w:val="0ACC30D9"/>
    <w:rsid w:val="0AE95411"/>
    <w:rsid w:val="0B393908"/>
    <w:rsid w:val="0B527956"/>
    <w:rsid w:val="0B725406"/>
    <w:rsid w:val="0BAB4364"/>
    <w:rsid w:val="0BE6062F"/>
    <w:rsid w:val="0C14470F"/>
    <w:rsid w:val="0C292CDB"/>
    <w:rsid w:val="0C2F32F7"/>
    <w:rsid w:val="0C430B50"/>
    <w:rsid w:val="0CBF0B1F"/>
    <w:rsid w:val="0CC729CC"/>
    <w:rsid w:val="0CC872A8"/>
    <w:rsid w:val="0D52231F"/>
    <w:rsid w:val="0D6B0B10"/>
    <w:rsid w:val="0D94532F"/>
    <w:rsid w:val="0DC00324"/>
    <w:rsid w:val="0DF91E0E"/>
    <w:rsid w:val="0DFC5153"/>
    <w:rsid w:val="0E1A3B33"/>
    <w:rsid w:val="0E1F54EC"/>
    <w:rsid w:val="0E356BBF"/>
    <w:rsid w:val="0E4312DC"/>
    <w:rsid w:val="0E5E1C72"/>
    <w:rsid w:val="0ED04200"/>
    <w:rsid w:val="0F1430AF"/>
    <w:rsid w:val="0F2F562C"/>
    <w:rsid w:val="0F7B4AA5"/>
    <w:rsid w:val="0FB56209"/>
    <w:rsid w:val="0FD82B09"/>
    <w:rsid w:val="0FDF5034"/>
    <w:rsid w:val="0FF66EF1"/>
    <w:rsid w:val="10096FFD"/>
    <w:rsid w:val="101A606C"/>
    <w:rsid w:val="107B5D70"/>
    <w:rsid w:val="108E565D"/>
    <w:rsid w:val="10947BCD"/>
    <w:rsid w:val="10EB32B5"/>
    <w:rsid w:val="10F675C6"/>
    <w:rsid w:val="11281B40"/>
    <w:rsid w:val="116457F1"/>
    <w:rsid w:val="117874CF"/>
    <w:rsid w:val="117D03A2"/>
    <w:rsid w:val="117E6780"/>
    <w:rsid w:val="118F4078"/>
    <w:rsid w:val="11A46535"/>
    <w:rsid w:val="11C42733"/>
    <w:rsid w:val="11CA448F"/>
    <w:rsid w:val="11E948E9"/>
    <w:rsid w:val="11F50B3F"/>
    <w:rsid w:val="12395E8B"/>
    <w:rsid w:val="124A7246"/>
    <w:rsid w:val="12774E25"/>
    <w:rsid w:val="128868DB"/>
    <w:rsid w:val="12AF24DE"/>
    <w:rsid w:val="12E004CC"/>
    <w:rsid w:val="12EB5610"/>
    <w:rsid w:val="130059ED"/>
    <w:rsid w:val="13385187"/>
    <w:rsid w:val="136F66CF"/>
    <w:rsid w:val="13DD188A"/>
    <w:rsid w:val="13E26EA1"/>
    <w:rsid w:val="13F77EC4"/>
    <w:rsid w:val="14382F65"/>
    <w:rsid w:val="14517654"/>
    <w:rsid w:val="146401FE"/>
    <w:rsid w:val="14B66628"/>
    <w:rsid w:val="14BA7E1E"/>
    <w:rsid w:val="14E03F5A"/>
    <w:rsid w:val="15155054"/>
    <w:rsid w:val="15191E2C"/>
    <w:rsid w:val="151B6B0E"/>
    <w:rsid w:val="152E4A94"/>
    <w:rsid w:val="154871D8"/>
    <w:rsid w:val="155B5812"/>
    <w:rsid w:val="1594241D"/>
    <w:rsid w:val="15A765F4"/>
    <w:rsid w:val="15AA1C40"/>
    <w:rsid w:val="15D649A0"/>
    <w:rsid w:val="15EE4223"/>
    <w:rsid w:val="16467E24"/>
    <w:rsid w:val="165027E8"/>
    <w:rsid w:val="165E3157"/>
    <w:rsid w:val="16A16DF9"/>
    <w:rsid w:val="16A9375F"/>
    <w:rsid w:val="16E6394C"/>
    <w:rsid w:val="17343EB7"/>
    <w:rsid w:val="17377504"/>
    <w:rsid w:val="17467FB8"/>
    <w:rsid w:val="17A315A4"/>
    <w:rsid w:val="17B62B1E"/>
    <w:rsid w:val="17E01949"/>
    <w:rsid w:val="17E928DD"/>
    <w:rsid w:val="17F86AC5"/>
    <w:rsid w:val="181810E3"/>
    <w:rsid w:val="183C18FA"/>
    <w:rsid w:val="183F48C2"/>
    <w:rsid w:val="18497A67"/>
    <w:rsid w:val="18585984"/>
    <w:rsid w:val="188D1AD1"/>
    <w:rsid w:val="18DD16A5"/>
    <w:rsid w:val="190D35BA"/>
    <w:rsid w:val="192F3F45"/>
    <w:rsid w:val="197C4F53"/>
    <w:rsid w:val="19B446D1"/>
    <w:rsid w:val="19CE6735"/>
    <w:rsid w:val="19D76D7C"/>
    <w:rsid w:val="19FE07AD"/>
    <w:rsid w:val="1A271AB1"/>
    <w:rsid w:val="1AC31CB7"/>
    <w:rsid w:val="1ADD03C2"/>
    <w:rsid w:val="1AE77CB7"/>
    <w:rsid w:val="1AF20C44"/>
    <w:rsid w:val="1B073222"/>
    <w:rsid w:val="1B140288"/>
    <w:rsid w:val="1B2D30F7"/>
    <w:rsid w:val="1B7A009C"/>
    <w:rsid w:val="1B7C7C0C"/>
    <w:rsid w:val="1B8E56A2"/>
    <w:rsid w:val="1BA333BA"/>
    <w:rsid w:val="1BB92278"/>
    <w:rsid w:val="1BBD6B0A"/>
    <w:rsid w:val="1C054074"/>
    <w:rsid w:val="1C2362A8"/>
    <w:rsid w:val="1C454471"/>
    <w:rsid w:val="1C5E596F"/>
    <w:rsid w:val="1C626DD1"/>
    <w:rsid w:val="1C654B13"/>
    <w:rsid w:val="1C931EA4"/>
    <w:rsid w:val="1CD53A47"/>
    <w:rsid w:val="1CD6467C"/>
    <w:rsid w:val="1D417C5F"/>
    <w:rsid w:val="1D5A219E"/>
    <w:rsid w:val="1D9C616E"/>
    <w:rsid w:val="1DCF0496"/>
    <w:rsid w:val="1E503D12"/>
    <w:rsid w:val="1E8C2412"/>
    <w:rsid w:val="1EA77665"/>
    <w:rsid w:val="1EB95AAC"/>
    <w:rsid w:val="1EEB57A3"/>
    <w:rsid w:val="1F242A63"/>
    <w:rsid w:val="1F4E7AE0"/>
    <w:rsid w:val="1F5E41C7"/>
    <w:rsid w:val="1F6C4B85"/>
    <w:rsid w:val="204C04C4"/>
    <w:rsid w:val="20691C80"/>
    <w:rsid w:val="20D455FD"/>
    <w:rsid w:val="21016F40"/>
    <w:rsid w:val="211F5E02"/>
    <w:rsid w:val="21742E3A"/>
    <w:rsid w:val="217D46AD"/>
    <w:rsid w:val="21B87493"/>
    <w:rsid w:val="21C2502F"/>
    <w:rsid w:val="21DC1B47"/>
    <w:rsid w:val="22095ED5"/>
    <w:rsid w:val="221768AF"/>
    <w:rsid w:val="22656D3C"/>
    <w:rsid w:val="2268710B"/>
    <w:rsid w:val="22C00CF5"/>
    <w:rsid w:val="22C97BAA"/>
    <w:rsid w:val="230B4487"/>
    <w:rsid w:val="23200D3D"/>
    <w:rsid w:val="23244062"/>
    <w:rsid w:val="23322807"/>
    <w:rsid w:val="23AA26DF"/>
    <w:rsid w:val="23D92C08"/>
    <w:rsid w:val="243948BB"/>
    <w:rsid w:val="244866A5"/>
    <w:rsid w:val="244D0366"/>
    <w:rsid w:val="24A00DDE"/>
    <w:rsid w:val="24C31057"/>
    <w:rsid w:val="24F5557D"/>
    <w:rsid w:val="251F61A7"/>
    <w:rsid w:val="2524556B"/>
    <w:rsid w:val="253454E6"/>
    <w:rsid w:val="2537004D"/>
    <w:rsid w:val="254E25E8"/>
    <w:rsid w:val="26011A9E"/>
    <w:rsid w:val="26091D60"/>
    <w:rsid w:val="26AB75C6"/>
    <w:rsid w:val="26D22ABE"/>
    <w:rsid w:val="26E56F7C"/>
    <w:rsid w:val="26FB67A0"/>
    <w:rsid w:val="27211BDC"/>
    <w:rsid w:val="27942908"/>
    <w:rsid w:val="27B15A99"/>
    <w:rsid w:val="27B34984"/>
    <w:rsid w:val="27EA7D61"/>
    <w:rsid w:val="27F21951"/>
    <w:rsid w:val="27FC27CF"/>
    <w:rsid w:val="27FD20A3"/>
    <w:rsid w:val="280E42B1"/>
    <w:rsid w:val="28133675"/>
    <w:rsid w:val="287C121A"/>
    <w:rsid w:val="2887771E"/>
    <w:rsid w:val="28915180"/>
    <w:rsid w:val="28936755"/>
    <w:rsid w:val="28AB6DE9"/>
    <w:rsid w:val="28AC5FA3"/>
    <w:rsid w:val="28BA0971"/>
    <w:rsid w:val="292B46A4"/>
    <w:rsid w:val="29567CBD"/>
    <w:rsid w:val="29863660"/>
    <w:rsid w:val="29AC3E9C"/>
    <w:rsid w:val="2A1C1510"/>
    <w:rsid w:val="2A1F0878"/>
    <w:rsid w:val="2A2F70CB"/>
    <w:rsid w:val="2A44220C"/>
    <w:rsid w:val="2A4D10C0"/>
    <w:rsid w:val="2A513C53"/>
    <w:rsid w:val="2A944F41"/>
    <w:rsid w:val="2A9F03FE"/>
    <w:rsid w:val="2AE31A25"/>
    <w:rsid w:val="2AE5579D"/>
    <w:rsid w:val="2B395781"/>
    <w:rsid w:val="2B406E77"/>
    <w:rsid w:val="2B6162ED"/>
    <w:rsid w:val="2B973590"/>
    <w:rsid w:val="2B980A61"/>
    <w:rsid w:val="2C372A27"/>
    <w:rsid w:val="2C460866"/>
    <w:rsid w:val="2C9F3729"/>
    <w:rsid w:val="2CA62D0A"/>
    <w:rsid w:val="2CAF69EA"/>
    <w:rsid w:val="2CDE6947"/>
    <w:rsid w:val="2D11683F"/>
    <w:rsid w:val="2D1F486A"/>
    <w:rsid w:val="2D214A86"/>
    <w:rsid w:val="2D55028C"/>
    <w:rsid w:val="2E093550"/>
    <w:rsid w:val="2E1910A5"/>
    <w:rsid w:val="2E260E45"/>
    <w:rsid w:val="2E334A71"/>
    <w:rsid w:val="2E3A7BAD"/>
    <w:rsid w:val="2E4E5407"/>
    <w:rsid w:val="2EA66FF1"/>
    <w:rsid w:val="2EE10029"/>
    <w:rsid w:val="2EE61BB9"/>
    <w:rsid w:val="2F002EDD"/>
    <w:rsid w:val="2F191EB9"/>
    <w:rsid w:val="2F4E4940"/>
    <w:rsid w:val="2F94153F"/>
    <w:rsid w:val="2FB76FDC"/>
    <w:rsid w:val="2FCA0BBC"/>
    <w:rsid w:val="2FCA6D0F"/>
    <w:rsid w:val="2FD656B4"/>
    <w:rsid w:val="30274D50"/>
    <w:rsid w:val="306C7DC6"/>
    <w:rsid w:val="3072522F"/>
    <w:rsid w:val="307A6987"/>
    <w:rsid w:val="3082583C"/>
    <w:rsid w:val="30A92DC8"/>
    <w:rsid w:val="30B73737"/>
    <w:rsid w:val="30E16A06"/>
    <w:rsid w:val="312D14E5"/>
    <w:rsid w:val="31501CF3"/>
    <w:rsid w:val="31850012"/>
    <w:rsid w:val="31945827"/>
    <w:rsid w:val="319C46DB"/>
    <w:rsid w:val="31A07466"/>
    <w:rsid w:val="31DE6AA2"/>
    <w:rsid w:val="31EF784A"/>
    <w:rsid w:val="31F84007"/>
    <w:rsid w:val="32286157"/>
    <w:rsid w:val="32625925"/>
    <w:rsid w:val="32915FF8"/>
    <w:rsid w:val="32A40EA1"/>
    <w:rsid w:val="32ED6CBC"/>
    <w:rsid w:val="33025085"/>
    <w:rsid w:val="330469DC"/>
    <w:rsid w:val="332E6A40"/>
    <w:rsid w:val="3355548A"/>
    <w:rsid w:val="336E4E5A"/>
    <w:rsid w:val="337150BC"/>
    <w:rsid w:val="33797BAA"/>
    <w:rsid w:val="340D18C0"/>
    <w:rsid w:val="34144B2B"/>
    <w:rsid w:val="34CA5554"/>
    <w:rsid w:val="34EC63F1"/>
    <w:rsid w:val="34F53267"/>
    <w:rsid w:val="35332511"/>
    <w:rsid w:val="353510CF"/>
    <w:rsid w:val="35796692"/>
    <w:rsid w:val="358562DD"/>
    <w:rsid w:val="35C214D6"/>
    <w:rsid w:val="3633334C"/>
    <w:rsid w:val="3667175C"/>
    <w:rsid w:val="369260AD"/>
    <w:rsid w:val="36D43BE7"/>
    <w:rsid w:val="36EB413B"/>
    <w:rsid w:val="36EF01B4"/>
    <w:rsid w:val="36F65259"/>
    <w:rsid w:val="36FF3742"/>
    <w:rsid w:val="37074CED"/>
    <w:rsid w:val="371436B9"/>
    <w:rsid w:val="3718735B"/>
    <w:rsid w:val="37271D49"/>
    <w:rsid w:val="372907BF"/>
    <w:rsid w:val="37357164"/>
    <w:rsid w:val="37405600"/>
    <w:rsid w:val="379A346B"/>
    <w:rsid w:val="37A21963"/>
    <w:rsid w:val="37A367C3"/>
    <w:rsid w:val="37A97B52"/>
    <w:rsid w:val="3865611B"/>
    <w:rsid w:val="38A3781B"/>
    <w:rsid w:val="39072D82"/>
    <w:rsid w:val="390D4C7D"/>
    <w:rsid w:val="39241B86"/>
    <w:rsid w:val="39CB4D94"/>
    <w:rsid w:val="39CD3978"/>
    <w:rsid w:val="39CE38A0"/>
    <w:rsid w:val="3A2D05C6"/>
    <w:rsid w:val="3A461688"/>
    <w:rsid w:val="3A4A4173"/>
    <w:rsid w:val="3A643816"/>
    <w:rsid w:val="3A647D60"/>
    <w:rsid w:val="3A72247D"/>
    <w:rsid w:val="3A742699"/>
    <w:rsid w:val="3AA60379"/>
    <w:rsid w:val="3AB6680E"/>
    <w:rsid w:val="3AC30802"/>
    <w:rsid w:val="3AC409F7"/>
    <w:rsid w:val="3AE07D2F"/>
    <w:rsid w:val="3BCB3B36"/>
    <w:rsid w:val="3BD170E3"/>
    <w:rsid w:val="3C101F4E"/>
    <w:rsid w:val="3C1E1E64"/>
    <w:rsid w:val="3C2B6D87"/>
    <w:rsid w:val="3C3068F8"/>
    <w:rsid w:val="3C320116"/>
    <w:rsid w:val="3C485B8B"/>
    <w:rsid w:val="3C803E06"/>
    <w:rsid w:val="3C94492D"/>
    <w:rsid w:val="3CA35DC3"/>
    <w:rsid w:val="3CE84C78"/>
    <w:rsid w:val="3D634797"/>
    <w:rsid w:val="3D897C60"/>
    <w:rsid w:val="3DBA03C3"/>
    <w:rsid w:val="3DDF7E2A"/>
    <w:rsid w:val="3E573E64"/>
    <w:rsid w:val="3E636CAD"/>
    <w:rsid w:val="3E7871A0"/>
    <w:rsid w:val="3EAB0654"/>
    <w:rsid w:val="3ECB0F13"/>
    <w:rsid w:val="3EED7D06"/>
    <w:rsid w:val="3F4C7060"/>
    <w:rsid w:val="3F7B15A7"/>
    <w:rsid w:val="3F7F390B"/>
    <w:rsid w:val="40053A0C"/>
    <w:rsid w:val="402406BD"/>
    <w:rsid w:val="40460634"/>
    <w:rsid w:val="408B18AC"/>
    <w:rsid w:val="409E3FCC"/>
    <w:rsid w:val="40AA0BC3"/>
    <w:rsid w:val="40F0234E"/>
    <w:rsid w:val="40F328E0"/>
    <w:rsid w:val="40FC6F44"/>
    <w:rsid w:val="41072246"/>
    <w:rsid w:val="415519C2"/>
    <w:rsid w:val="41797FF3"/>
    <w:rsid w:val="417D2D3B"/>
    <w:rsid w:val="41A75102"/>
    <w:rsid w:val="41FB6FC0"/>
    <w:rsid w:val="42354D1C"/>
    <w:rsid w:val="426B68F2"/>
    <w:rsid w:val="42925500"/>
    <w:rsid w:val="42B75819"/>
    <w:rsid w:val="430805BF"/>
    <w:rsid w:val="430F11B1"/>
    <w:rsid w:val="43482915"/>
    <w:rsid w:val="435D4053"/>
    <w:rsid w:val="43762FDE"/>
    <w:rsid w:val="439E066B"/>
    <w:rsid w:val="43DD305D"/>
    <w:rsid w:val="43E53CC0"/>
    <w:rsid w:val="43F01F91"/>
    <w:rsid w:val="44476729"/>
    <w:rsid w:val="44782D86"/>
    <w:rsid w:val="44803468"/>
    <w:rsid w:val="44913C79"/>
    <w:rsid w:val="44986F84"/>
    <w:rsid w:val="44C24DAC"/>
    <w:rsid w:val="44FF0DB1"/>
    <w:rsid w:val="45094B04"/>
    <w:rsid w:val="4532272F"/>
    <w:rsid w:val="453D34C1"/>
    <w:rsid w:val="454C6909"/>
    <w:rsid w:val="4576004C"/>
    <w:rsid w:val="45835E86"/>
    <w:rsid w:val="4585575A"/>
    <w:rsid w:val="45A858ED"/>
    <w:rsid w:val="45AF27D7"/>
    <w:rsid w:val="45BB4BD4"/>
    <w:rsid w:val="45E22BAD"/>
    <w:rsid w:val="463A0490"/>
    <w:rsid w:val="467F2785"/>
    <w:rsid w:val="46A2233C"/>
    <w:rsid w:val="46FC1A4C"/>
    <w:rsid w:val="46FE3A16"/>
    <w:rsid w:val="471843AC"/>
    <w:rsid w:val="47757CD5"/>
    <w:rsid w:val="47794E4B"/>
    <w:rsid w:val="47AA76FA"/>
    <w:rsid w:val="47CA149D"/>
    <w:rsid w:val="47DD14BE"/>
    <w:rsid w:val="47E07DFA"/>
    <w:rsid w:val="47E425E8"/>
    <w:rsid w:val="47ED3A8B"/>
    <w:rsid w:val="482F5E51"/>
    <w:rsid w:val="48B56357"/>
    <w:rsid w:val="48B71CDF"/>
    <w:rsid w:val="48B75074"/>
    <w:rsid w:val="48CA1565"/>
    <w:rsid w:val="48FA1FBB"/>
    <w:rsid w:val="4900334A"/>
    <w:rsid w:val="495711BC"/>
    <w:rsid w:val="4968786D"/>
    <w:rsid w:val="49E862B8"/>
    <w:rsid w:val="49FC7FB5"/>
    <w:rsid w:val="4AC72371"/>
    <w:rsid w:val="4ACF1226"/>
    <w:rsid w:val="4AE20F59"/>
    <w:rsid w:val="4B0709C0"/>
    <w:rsid w:val="4B2B2900"/>
    <w:rsid w:val="4B2B35CB"/>
    <w:rsid w:val="4B857608"/>
    <w:rsid w:val="4BB723E6"/>
    <w:rsid w:val="4BB9400E"/>
    <w:rsid w:val="4C211991"/>
    <w:rsid w:val="4C215AB1"/>
    <w:rsid w:val="4C63431C"/>
    <w:rsid w:val="4C6D6F48"/>
    <w:rsid w:val="4C6F3A23"/>
    <w:rsid w:val="4C8F6EBF"/>
    <w:rsid w:val="4C951AAA"/>
    <w:rsid w:val="4C9777EB"/>
    <w:rsid w:val="4C9E35A6"/>
    <w:rsid w:val="4CC95ABF"/>
    <w:rsid w:val="4CD27B31"/>
    <w:rsid w:val="4CE6440D"/>
    <w:rsid w:val="4CF874F8"/>
    <w:rsid w:val="4D090380"/>
    <w:rsid w:val="4D4952BF"/>
    <w:rsid w:val="4D901140"/>
    <w:rsid w:val="4E013DEC"/>
    <w:rsid w:val="4E477E4B"/>
    <w:rsid w:val="4E7F7D86"/>
    <w:rsid w:val="4EBE09A2"/>
    <w:rsid w:val="4ED212E5"/>
    <w:rsid w:val="4EDE6966"/>
    <w:rsid w:val="4EE148F5"/>
    <w:rsid w:val="4EEC05F8"/>
    <w:rsid w:val="4F06759F"/>
    <w:rsid w:val="4F530677"/>
    <w:rsid w:val="4F7B372A"/>
    <w:rsid w:val="4F9C3DC2"/>
    <w:rsid w:val="505857BC"/>
    <w:rsid w:val="507E7976"/>
    <w:rsid w:val="50D779E5"/>
    <w:rsid w:val="511B51C5"/>
    <w:rsid w:val="513636F5"/>
    <w:rsid w:val="514F4E6E"/>
    <w:rsid w:val="51B01DB1"/>
    <w:rsid w:val="51B12DBD"/>
    <w:rsid w:val="51FE0D6E"/>
    <w:rsid w:val="52020133"/>
    <w:rsid w:val="52224331"/>
    <w:rsid w:val="52244F2D"/>
    <w:rsid w:val="52527FCE"/>
    <w:rsid w:val="528A1B8D"/>
    <w:rsid w:val="52952D55"/>
    <w:rsid w:val="529D0F96"/>
    <w:rsid w:val="52E361B6"/>
    <w:rsid w:val="52F26C48"/>
    <w:rsid w:val="534053B7"/>
    <w:rsid w:val="53683689"/>
    <w:rsid w:val="537806AC"/>
    <w:rsid w:val="53C90F08"/>
    <w:rsid w:val="53E54848"/>
    <w:rsid w:val="53F07A04"/>
    <w:rsid w:val="540B32CF"/>
    <w:rsid w:val="54311393"/>
    <w:rsid w:val="543A1E06"/>
    <w:rsid w:val="54587433"/>
    <w:rsid w:val="54681529"/>
    <w:rsid w:val="54A51975"/>
    <w:rsid w:val="54AB2576"/>
    <w:rsid w:val="54BD0350"/>
    <w:rsid w:val="54E26510"/>
    <w:rsid w:val="550146D2"/>
    <w:rsid w:val="553E1482"/>
    <w:rsid w:val="55805F3E"/>
    <w:rsid w:val="5588094F"/>
    <w:rsid w:val="559918C3"/>
    <w:rsid w:val="55AC0AE1"/>
    <w:rsid w:val="55DB6699"/>
    <w:rsid w:val="55DF0EB7"/>
    <w:rsid w:val="55EC16BA"/>
    <w:rsid w:val="56254FAC"/>
    <w:rsid w:val="56573C61"/>
    <w:rsid w:val="56CE3A56"/>
    <w:rsid w:val="56D7393C"/>
    <w:rsid w:val="570A0781"/>
    <w:rsid w:val="571046EE"/>
    <w:rsid w:val="5774562F"/>
    <w:rsid w:val="577B076B"/>
    <w:rsid w:val="58096242"/>
    <w:rsid w:val="582F3AC0"/>
    <w:rsid w:val="58600A56"/>
    <w:rsid w:val="589C308F"/>
    <w:rsid w:val="58B02697"/>
    <w:rsid w:val="58CA7BFC"/>
    <w:rsid w:val="58E2788E"/>
    <w:rsid w:val="58EA2085"/>
    <w:rsid w:val="58FA7DB6"/>
    <w:rsid w:val="593E7CA2"/>
    <w:rsid w:val="5943175D"/>
    <w:rsid w:val="594912F5"/>
    <w:rsid w:val="59736B5E"/>
    <w:rsid w:val="59934492"/>
    <w:rsid w:val="59A76630"/>
    <w:rsid w:val="59D913C3"/>
    <w:rsid w:val="59E545C2"/>
    <w:rsid w:val="5A186217"/>
    <w:rsid w:val="5A1D5B0A"/>
    <w:rsid w:val="5A557852"/>
    <w:rsid w:val="5AA00F2F"/>
    <w:rsid w:val="5AC70B15"/>
    <w:rsid w:val="5AD92379"/>
    <w:rsid w:val="5AF45B16"/>
    <w:rsid w:val="5B8809E0"/>
    <w:rsid w:val="5BA51D69"/>
    <w:rsid w:val="5BD40D92"/>
    <w:rsid w:val="5BD62414"/>
    <w:rsid w:val="5BD94AC9"/>
    <w:rsid w:val="5C1E58B2"/>
    <w:rsid w:val="5C741C2D"/>
    <w:rsid w:val="5C8A0E89"/>
    <w:rsid w:val="5C8B630A"/>
    <w:rsid w:val="5C9A3060"/>
    <w:rsid w:val="5CBF2CDE"/>
    <w:rsid w:val="5CC63C7D"/>
    <w:rsid w:val="5CD54DC2"/>
    <w:rsid w:val="5CED1D24"/>
    <w:rsid w:val="5CFF599B"/>
    <w:rsid w:val="5D1A0EFE"/>
    <w:rsid w:val="5D310D71"/>
    <w:rsid w:val="5D4C6E3D"/>
    <w:rsid w:val="5D551EE5"/>
    <w:rsid w:val="5D7C24D2"/>
    <w:rsid w:val="5DF93E7C"/>
    <w:rsid w:val="5E176D14"/>
    <w:rsid w:val="5E385608"/>
    <w:rsid w:val="5E7D46AF"/>
    <w:rsid w:val="5F066402"/>
    <w:rsid w:val="5F1D47FE"/>
    <w:rsid w:val="5F1E5230"/>
    <w:rsid w:val="5F3A7BFC"/>
    <w:rsid w:val="5F630463"/>
    <w:rsid w:val="5F8921AB"/>
    <w:rsid w:val="5FAB005C"/>
    <w:rsid w:val="5FAF18FA"/>
    <w:rsid w:val="5FB24F46"/>
    <w:rsid w:val="5FC86518"/>
    <w:rsid w:val="5FFC2665"/>
    <w:rsid w:val="602E24CA"/>
    <w:rsid w:val="602E5E98"/>
    <w:rsid w:val="604B7E61"/>
    <w:rsid w:val="607C1D25"/>
    <w:rsid w:val="609805E0"/>
    <w:rsid w:val="609D79A4"/>
    <w:rsid w:val="60B131B2"/>
    <w:rsid w:val="60C82547"/>
    <w:rsid w:val="610E43FE"/>
    <w:rsid w:val="612E4AA0"/>
    <w:rsid w:val="61A44D62"/>
    <w:rsid w:val="62251C02"/>
    <w:rsid w:val="626C14F9"/>
    <w:rsid w:val="62F31AFE"/>
    <w:rsid w:val="630C0E11"/>
    <w:rsid w:val="631A20E1"/>
    <w:rsid w:val="63604CB9"/>
    <w:rsid w:val="636A1976"/>
    <w:rsid w:val="63D86709"/>
    <w:rsid w:val="63D87AEE"/>
    <w:rsid w:val="64355C74"/>
    <w:rsid w:val="64356146"/>
    <w:rsid w:val="6474167A"/>
    <w:rsid w:val="64A5151D"/>
    <w:rsid w:val="64CB73E7"/>
    <w:rsid w:val="64ED3136"/>
    <w:rsid w:val="650D67AB"/>
    <w:rsid w:val="655B398A"/>
    <w:rsid w:val="658749FF"/>
    <w:rsid w:val="65B3111C"/>
    <w:rsid w:val="65BC6B1F"/>
    <w:rsid w:val="65C07C91"/>
    <w:rsid w:val="65C90A5C"/>
    <w:rsid w:val="65D73958"/>
    <w:rsid w:val="6605398E"/>
    <w:rsid w:val="668D1955"/>
    <w:rsid w:val="66B94E0C"/>
    <w:rsid w:val="66DB1D00"/>
    <w:rsid w:val="66E91188"/>
    <w:rsid w:val="677D5E3A"/>
    <w:rsid w:val="67B627BC"/>
    <w:rsid w:val="67EF064F"/>
    <w:rsid w:val="682B7F8C"/>
    <w:rsid w:val="682D0A5C"/>
    <w:rsid w:val="685F7C35"/>
    <w:rsid w:val="68BF709D"/>
    <w:rsid w:val="68D0643D"/>
    <w:rsid w:val="68D7170C"/>
    <w:rsid w:val="68D80676"/>
    <w:rsid w:val="68DE0B5A"/>
    <w:rsid w:val="69033469"/>
    <w:rsid w:val="69077737"/>
    <w:rsid w:val="69087F0D"/>
    <w:rsid w:val="69151CCE"/>
    <w:rsid w:val="6917406C"/>
    <w:rsid w:val="692218F0"/>
    <w:rsid w:val="692F585A"/>
    <w:rsid w:val="694E2184"/>
    <w:rsid w:val="695B21AB"/>
    <w:rsid w:val="696A41E7"/>
    <w:rsid w:val="6970482D"/>
    <w:rsid w:val="699102C2"/>
    <w:rsid w:val="69967687"/>
    <w:rsid w:val="69E06B54"/>
    <w:rsid w:val="6A003194"/>
    <w:rsid w:val="6A1F5155"/>
    <w:rsid w:val="6A2133F4"/>
    <w:rsid w:val="6A266D8A"/>
    <w:rsid w:val="6A8B4D12"/>
    <w:rsid w:val="6A9C2A7B"/>
    <w:rsid w:val="6AC36259"/>
    <w:rsid w:val="6AD35AF7"/>
    <w:rsid w:val="6AE937F1"/>
    <w:rsid w:val="6B4A24D7"/>
    <w:rsid w:val="6B583911"/>
    <w:rsid w:val="6B757229"/>
    <w:rsid w:val="6B8F0831"/>
    <w:rsid w:val="6BCA5F04"/>
    <w:rsid w:val="6BF306DC"/>
    <w:rsid w:val="6BFB5EC7"/>
    <w:rsid w:val="6C044D7B"/>
    <w:rsid w:val="6C4F33A4"/>
    <w:rsid w:val="6C81017A"/>
    <w:rsid w:val="6CEB00DF"/>
    <w:rsid w:val="6CFA617E"/>
    <w:rsid w:val="6D066B1B"/>
    <w:rsid w:val="6D613A27"/>
    <w:rsid w:val="6D717BC2"/>
    <w:rsid w:val="6D77332B"/>
    <w:rsid w:val="6D800432"/>
    <w:rsid w:val="6DF5300B"/>
    <w:rsid w:val="6E166FE8"/>
    <w:rsid w:val="6E2E7E40"/>
    <w:rsid w:val="6E5D50E6"/>
    <w:rsid w:val="6E5F273D"/>
    <w:rsid w:val="6E802F39"/>
    <w:rsid w:val="6E980156"/>
    <w:rsid w:val="6E9C545B"/>
    <w:rsid w:val="6F0D2199"/>
    <w:rsid w:val="6F1352D6"/>
    <w:rsid w:val="6F1C4459"/>
    <w:rsid w:val="6F2179F2"/>
    <w:rsid w:val="6F23376B"/>
    <w:rsid w:val="6FF17D55"/>
    <w:rsid w:val="70277D42"/>
    <w:rsid w:val="70413805"/>
    <w:rsid w:val="70585696"/>
    <w:rsid w:val="707D6EAA"/>
    <w:rsid w:val="707F70C6"/>
    <w:rsid w:val="70AB3A18"/>
    <w:rsid w:val="71526589"/>
    <w:rsid w:val="71AF4EEA"/>
    <w:rsid w:val="71D46F9E"/>
    <w:rsid w:val="71D6119C"/>
    <w:rsid w:val="72225F5B"/>
    <w:rsid w:val="722F1B2A"/>
    <w:rsid w:val="724A54B2"/>
    <w:rsid w:val="724D00A1"/>
    <w:rsid w:val="726227FC"/>
    <w:rsid w:val="726E5E8A"/>
    <w:rsid w:val="72B85A1F"/>
    <w:rsid w:val="73247AB1"/>
    <w:rsid w:val="73612AB3"/>
    <w:rsid w:val="736C572D"/>
    <w:rsid w:val="73BB169B"/>
    <w:rsid w:val="73C03C7E"/>
    <w:rsid w:val="73CF2113"/>
    <w:rsid w:val="73D74B24"/>
    <w:rsid w:val="7419338E"/>
    <w:rsid w:val="74365CEE"/>
    <w:rsid w:val="7447614D"/>
    <w:rsid w:val="746C6120"/>
    <w:rsid w:val="749B262E"/>
    <w:rsid w:val="74D17234"/>
    <w:rsid w:val="74D63F50"/>
    <w:rsid w:val="74EE481B"/>
    <w:rsid w:val="74FB2A94"/>
    <w:rsid w:val="750162FC"/>
    <w:rsid w:val="75232716"/>
    <w:rsid w:val="754F41F8"/>
    <w:rsid w:val="755F74C6"/>
    <w:rsid w:val="757271FA"/>
    <w:rsid w:val="762F50EB"/>
    <w:rsid w:val="763B3A90"/>
    <w:rsid w:val="764F7806"/>
    <w:rsid w:val="769764FC"/>
    <w:rsid w:val="76E43A02"/>
    <w:rsid w:val="77166A61"/>
    <w:rsid w:val="7720185F"/>
    <w:rsid w:val="77204A34"/>
    <w:rsid w:val="773B6796"/>
    <w:rsid w:val="77572DB1"/>
    <w:rsid w:val="778C41E0"/>
    <w:rsid w:val="779C0467"/>
    <w:rsid w:val="77A02069"/>
    <w:rsid w:val="77B5517C"/>
    <w:rsid w:val="78210451"/>
    <w:rsid w:val="782F3180"/>
    <w:rsid w:val="78597E0E"/>
    <w:rsid w:val="785E1CB7"/>
    <w:rsid w:val="786C17B3"/>
    <w:rsid w:val="7872306D"/>
    <w:rsid w:val="788A621A"/>
    <w:rsid w:val="78B4504A"/>
    <w:rsid w:val="78E72F47"/>
    <w:rsid w:val="790466A9"/>
    <w:rsid w:val="791F1447"/>
    <w:rsid w:val="792151BF"/>
    <w:rsid w:val="794E1F94"/>
    <w:rsid w:val="798647BC"/>
    <w:rsid w:val="79AF69BA"/>
    <w:rsid w:val="79B07F8E"/>
    <w:rsid w:val="79E57AF6"/>
    <w:rsid w:val="7A2111EE"/>
    <w:rsid w:val="7A392094"/>
    <w:rsid w:val="7A434CC1"/>
    <w:rsid w:val="7A4D1FE3"/>
    <w:rsid w:val="7A5C5D83"/>
    <w:rsid w:val="7AC676A0"/>
    <w:rsid w:val="7ACC3889"/>
    <w:rsid w:val="7B1D4882"/>
    <w:rsid w:val="7B9E4654"/>
    <w:rsid w:val="7BCB51C2"/>
    <w:rsid w:val="7BEC5F56"/>
    <w:rsid w:val="7BFC781D"/>
    <w:rsid w:val="7C047AE7"/>
    <w:rsid w:val="7C536024"/>
    <w:rsid w:val="7C620B8F"/>
    <w:rsid w:val="7C727ADF"/>
    <w:rsid w:val="7C7A6862"/>
    <w:rsid w:val="7CA0464C"/>
    <w:rsid w:val="7CAA7279"/>
    <w:rsid w:val="7CFE6908"/>
    <w:rsid w:val="7D0821F2"/>
    <w:rsid w:val="7D16490F"/>
    <w:rsid w:val="7D172435"/>
    <w:rsid w:val="7D627B54"/>
    <w:rsid w:val="7D8F021D"/>
    <w:rsid w:val="7EA700ED"/>
    <w:rsid w:val="7F0B7D77"/>
    <w:rsid w:val="7F8A05C9"/>
    <w:rsid w:val="7FFD3B64"/>
    <w:rsid w:val="7FFF16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before="0" w:after="0" w:line="240" w:lineRule="auto"/>
      <w:ind w:left="0" w:right="0"/>
      <w:jc w:val="both"/>
    </w:pPr>
    <w:rPr>
      <w:rFonts w:ascii="宋体" w:hAnsi="宋体" w:eastAsia="仿宋" w:cs="宋体"/>
      <w:sz w:val="24"/>
      <w:szCs w:val="22"/>
      <w:lang w:val="zh-CN" w:eastAsia="zh-CN" w:bidi="zh-CN"/>
    </w:rPr>
  </w:style>
  <w:style w:type="paragraph" w:styleId="2">
    <w:name w:val="heading 1"/>
    <w:basedOn w:val="1"/>
    <w:next w:val="1"/>
    <w:link w:val="52"/>
    <w:autoRedefine/>
    <w:qFormat/>
    <w:uiPriority w:val="0"/>
    <w:pPr>
      <w:spacing w:before="17"/>
      <w:ind w:right="854"/>
      <w:jc w:val="center"/>
      <w:outlineLvl w:val="1"/>
    </w:pPr>
    <w:rPr>
      <w:rFonts w:eastAsia="仿宋"/>
      <w:kern w:val="44"/>
      <w:sz w:val="28"/>
    </w:rPr>
  </w:style>
  <w:style w:type="paragraph" w:styleId="3">
    <w:name w:val="heading 2"/>
    <w:basedOn w:val="1"/>
    <w:next w:val="1"/>
    <w:link w:val="42"/>
    <w:autoRedefine/>
    <w:qFormat/>
    <w:uiPriority w:val="0"/>
    <w:pPr>
      <w:ind w:left="537" w:hanging="318"/>
      <w:outlineLvl w:val="2"/>
    </w:pPr>
    <w:rPr>
      <w:rFonts w:ascii="宋体" w:hAnsi="宋体" w:eastAsia="宋体" w:cs="宋体"/>
      <w:b/>
      <w:bCs/>
      <w:sz w:val="21"/>
      <w:szCs w:val="21"/>
      <w:lang w:val="zh-CN" w:eastAsia="zh-CN" w:bidi="zh-CN"/>
    </w:rPr>
  </w:style>
  <w:style w:type="paragraph" w:styleId="4">
    <w:name w:val="heading 3"/>
    <w:basedOn w:val="1"/>
    <w:next w:val="1"/>
    <w:autoRedefine/>
    <w:qFormat/>
    <w:uiPriority w:val="0"/>
    <w:pPr>
      <w:ind w:left="538" w:right="428" w:firstLine="623"/>
      <w:outlineLvl w:val="3"/>
    </w:pPr>
    <w:rPr>
      <w:rFonts w:ascii="仿宋" w:hAnsi="仿宋" w:eastAsia="仿宋" w:cs="仿宋"/>
      <w:sz w:val="30"/>
      <w:szCs w:val="30"/>
      <w:lang w:val="zh-CN" w:eastAsia="zh-CN" w:bidi="zh-CN"/>
    </w:rPr>
  </w:style>
  <w:style w:type="paragraph" w:styleId="5">
    <w:name w:val="heading 4"/>
    <w:basedOn w:val="1"/>
    <w:next w:val="1"/>
    <w:autoRedefine/>
    <w:qFormat/>
    <w:uiPriority w:val="0"/>
    <w:pPr>
      <w:spacing w:before="153"/>
      <w:ind w:left="538" w:right="542"/>
      <w:jc w:val="center"/>
      <w:outlineLvl w:val="4"/>
    </w:pPr>
    <w:rPr>
      <w:rFonts w:ascii="仿宋" w:hAnsi="仿宋" w:eastAsia="仿宋" w:cs="仿宋"/>
      <w:b/>
      <w:bCs/>
      <w:sz w:val="28"/>
      <w:szCs w:val="28"/>
      <w:lang w:val="zh-CN" w:eastAsia="zh-CN" w:bidi="zh-CN"/>
    </w:rPr>
  </w:style>
  <w:style w:type="paragraph" w:styleId="6">
    <w:name w:val="heading 5"/>
    <w:basedOn w:val="1"/>
    <w:next w:val="1"/>
    <w:autoRedefine/>
    <w:qFormat/>
    <w:uiPriority w:val="0"/>
    <w:pPr>
      <w:spacing w:before="153"/>
      <w:ind w:left="1098"/>
      <w:outlineLvl w:val="5"/>
    </w:pPr>
    <w:rPr>
      <w:rFonts w:ascii="仿宋" w:hAnsi="仿宋" w:eastAsia="仿宋" w:cs="仿宋"/>
      <w:sz w:val="28"/>
      <w:szCs w:val="28"/>
      <w:lang w:val="zh-CN" w:eastAsia="zh-CN" w:bidi="zh-CN"/>
    </w:rPr>
  </w:style>
  <w:style w:type="paragraph" w:styleId="7">
    <w:name w:val="heading 6"/>
    <w:basedOn w:val="1"/>
    <w:next w:val="1"/>
    <w:autoRedefine/>
    <w:qFormat/>
    <w:uiPriority w:val="0"/>
    <w:pPr>
      <w:spacing w:before="2"/>
      <w:ind w:left="1383"/>
      <w:jc w:val="center"/>
      <w:outlineLvl w:val="6"/>
    </w:pPr>
    <w:rPr>
      <w:rFonts w:ascii="仿宋" w:hAnsi="仿宋" w:eastAsia="仿宋" w:cs="仿宋"/>
      <w:b/>
      <w:bCs/>
      <w:sz w:val="24"/>
      <w:szCs w:val="24"/>
      <w:lang w:val="zh-CN" w:eastAsia="zh-CN" w:bidi="zh-CN"/>
    </w:rPr>
  </w:style>
  <w:style w:type="character" w:default="1" w:styleId="23">
    <w:name w:val="Default Paragraph Font"/>
    <w:autoRedefine/>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8">
    <w:name w:val="Normal Indent"/>
    <w:basedOn w:val="1"/>
    <w:autoRedefine/>
    <w:qFormat/>
    <w:uiPriority w:val="0"/>
    <w:pPr>
      <w:keepNext w:val="0"/>
      <w:keepLines w:val="0"/>
      <w:widowControl w:val="0"/>
      <w:suppressLineNumbers w:val="0"/>
      <w:spacing w:before="0" w:beforeLines="0" w:beforeAutospacing="0" w:after="0" w:afterLines="0" w:afterAutospacing="0"/>
      <w:ind w:left="0" w:right="0" w:firstLine="420"/>
      <w:jc w:val="both"/>
    </w:pPr>
    <w:rPr>
      <w:rFonts w:hint="eastAsia" w:ascii="宋体" w:hAnsi="宋体" w:eastAsia="宋体" w:cs="Times New Roman"/>
      <w:kern w:val="2"/>
      <w:sz w:val="21"/>
      <w:szCs w:val="20"/>
      <w:lang w:val="en-US" w:eastAsia="zh-CN" w:bidi="ar"/>
    </w:rPr>
  </w:style>
  <w:style w:type="paragraph" w:styleId="9">
    <w:name w:val="annotation text"/>
    <w:basedOn w:val="1"/>
    <w:qFormat/>
    <w:uiPriority w:val="0"/>
    <w:pPr>
      <w:jc w:val="left"/>
    </w:pPr>
  </w:style>
  <w:style w:type="paragraph" w:styleId="10">
    <w:name w:val="Body Text"/>
    <w:basedOn w:val="1"/>
    <w:next w:val="1"/>
    <w:autoRedefine/>
    <w:qFormat/>
    <w:uiPriority w:val="0"/>
    <w:rPr>
      <w:rFonts w:ascii="宋体" w:hAnsi="宋体" w:eastAsia="宋体" w:cs="宋体"/>
      <w:sz w:val="21"/>
      <w:szCs w:val="21"/>
      <w:lang w:val="zh-CN" w:eastAsia="zh-CN" w:bidi="zh-CN"/>
    </w:rPr>
  </w:style>
  <w:style w:type="paragraph" w:styleId="11">
    <w:name w:val="Body Text Indent"/>
    <w:basedOn w:val="1"/>
    <w:autoRedefine/>
    <w:unhideWhenUsed/>
    <w:qFormat/>
    <w:uiPriority w:val="99"/>
    <w:pPr>
      <w:spacing w:before="100" w:beforeAutospacing="1"/>
      <w:ind w:left="420" w:leftChars="200"/>
    </w:pPr>
    <w:rPr>
      <w:rFonts w:ascii="Calibri" w:hAnsi="Calibri"/>
      <w:kern w:val="0"/>
      <w:sz w:val="20"/>
      <w:szCs w:val="21"/>
    </w:rPr>
  </w:style>
  <w:style w:type="paragraph" w:styleId="12">
    <w:name w:val="toc 3"/>
    <w:basedOn w:val="1"/>
    <w:next w:val="1"/>
    <w:autoRedefine/>
    <w:qFormat/>
    <w:uiPriority w:val="0"/>
    <w:pPr>
      <w:ind w:left="840" w:leftChars="400"/>
    </w:p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envelope return"/>
    <w:basedOn w:val="1"/>
    <w:autoRedefine/>
    <w:qFormat/>
    <w:uiPriority w:val="0"/>
    <w:pPr>
      <w:snapToGrid w:val="0"/>
    </w:pPr>
    <w:rPr>
      <w:rFonts w:ascii="Arial" w:hAnsi="Arial"/>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qFormat/>
    <w:uiPriority w:val="0"/>
    <w:pPr>
      <w:spacing w:before="205"/>
      <w:ind w:right="1076"/>
      <w:jc w:val="right"/>
    </w:pPr>
    <w:rPr>
      <w:rFonts w:ascii="宋体" w:hAnsi="宋体" w:eastAsia="宋体" w:cs="宋体"/>
      <w:b/>
      <w:bCs/>
      <w:sz w:val="20"/>
      <w:szCs w:val="20"/>
      <w:lang w:val="zh-CN" w:eastAsia="zh-CN" w:bidi="zh-CN"/>
    </w:rPr>
  </w:style>
  <w:style w:type="paragraph" w:styleId="17">
    <w:name w:val="toc 2"/>
    <w:basedOn w:val="1"/>
    <w:next w:val="1"/>
    <w:autoRedefine/>
    <w:qFormat/>
    <w:uiPriority w:val="0"/>
    <w:pPr>
      <w:spacing w:before="205"/>
      <w:ind w:right="1076"/>
      <w:jc w:val="right"/>
    </w:pPr>
    <w:rPr>
      <w:rFonts w:ascii="宋体" w:hAnsi="宋体" w:eastAsia="宋体" w:cs="宋体"/>
      <w:sz w:val="20"/>
      <w:szCs w:val="20"/>
      <w:lang w:val="zh-CN" w:eastAsia="zh-CN" w:bidi="zh-CN"/>
    </w:rPr>
  </w:style>
  <w:style w:type="paragraph" w:styleId="1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9">
    <w:name w:val="Body Text First Indent"/>
    <w:basedOn w:val="10"/>
    <w:next w:val="20"/>
    <w:autoRedefine/>
    <w:qFormat/>
    <w:uiPriority w:val="0"/>
    <w:pPr>
      <w:ind w:firstLine="420" w:firstLineChars="100"/>
    </w:pPr>
  </w:style>
  <w:style w:type="paragraph" w:styleId="20">
    <w:name w:val="Body Text First Indent 2"/>
    <w:basedOn w:val="11"/>
    <w:next w:val="1"/>
    <w:autoRedefine/>
    <w:qFormat/>
    <w:uiPriority w:val="0"/>
    <w:pPr>
      <w:ind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style>
  <w:style w:type="character" w:styleId="27">
    <w:name w:val="HTML Definition"/>
    <w:basedOn w:val="23"/>
    <w:autoRedefine/>
    <w:qFormat/>
    <w:uiPriority w:val="0"/>
  </w:style>
  <w:style w:type="character" w:styleId="28">
    <w:name w:val="HTML Typewriter"/>
    <w:basedOn w:val="23"/>
    <w:autoRedefine/>
    <w:qFormat/>
    <w:uiPriority w:val="0"/>
    <w:rPr>
      <w:rFonts w:hint="default"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basedOn w:val="23"/>
    <w:autoRedefine/>
    <w:qFormat/>
    <w:uiPriority w:val="0"/>
    <w:rPr>
      <w:color w:val="0000FF"/>
      <w:u w:val="none"/>
    </w:rPr>
  </w:style>
  <w:style w:type="character" w:styleId="32">
    <w:name w:val="HTML Code"/>
    <w:basedOn w:val="23"/>
    <w:autoRedefine/>
    <w:qFormat/>
    <w:uiPriority w:val="0"/>
    <w:rPr>
      <w:rFonts w:ascii="monospace" w:hAnsi="monospace" w:eastAsia="monospace" w:cs="monospace"/>
      <w:sz w:val="20"/>
    </w:rPr>
  </w:style>
  <w:style w:type="character" w:styleId="33">
    <w:name w:val="HTML Cite"/>
    <w:basedOn w:val="23"/>
    <w:autoRedefine/>
    <w:qFormat/>
    <w:uiPriority w:val="0"/>
  </w:style>
  <w:style w:type="character" w:styleId="34">
    <w:name w:val="HTML Keyboard"/>
    <w:basedOn w:val="23"/>
    <w:autoRedefine/>
    <w:qFormat/>
    <w:uiPriority w:val="0"/>
    <w:rPr>
      <w:rFonts w:hint="default" w:ascii="monospace" w:hAnsi="monospace" w:eastAsia="monospace" w:cs="monospace"/>
      <w:sz w:val="20"/>
    </w:rPr>
  </w:style>
  <w:style w:type="character" w:styleId="35">
    <w:name w:val="HTML Sample"/>
    <w:basedOn w:val="23"/>
    <w:autoRedefine/>
    <w:qFormat/>
    <w:uiPriority w:val="0"/>
    <w:rPr>
      <w:rFonts w:hint="default" w:ascii="monospace" w:hAnsi="monospace" w:eastAsia="monospace" w:cs="monospace"/>
    </w:rPr>
  </w:style>
  <w:style w:type="paragraph" w:customStyle="1" w:styleId="36">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BodyText"/>
    <w:basedOn w:val="1"/>
    <w:autoRedefine/>
    <w:qFormat/>
    <w:uiPriority w:val="0"/>
    <w:pPr>
      <w:widowControl/>
      <w:spacing w:after="120" w:line="259" w:lineRule="auto"/>
      <w:jc w:val="left"/>
    </w:pPr>
    <w:rPr>
      <w:rFonts w:ascii="FuturaA Bk BT" w:hAnsi="FuturaA Bk BT" w:eastAsia="仿宋_GB2312"/>
      <w:kern w:val="0"/>
      <w:sz w:val="20"/>
      <w:szCs w:val="20"/>
    </w:rPr>
  </w:style>
  <w:style w:type="paragraph" w:customStyle="1" w:styleId="38">
    <w:name w:val="style4"/>
    <w:basedOn w:val="1"/>
    <w:next w:val="39"/>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39">
    <w:name w:val="2"/>
    <w:next w:val="1"/>
    <w:autoRedefine/>
    <w:qFormat/>
    <w:uiPriority w:val="0"/>
    <w:pPr>
      <w:widowControl w:val="0"/>
      <w:jc w:val="both"/>
    </w:pPr>
    <w:rPr>
      <w:rFonts w:ascii="Times New Roman" w:hAnsi="Times New Roman" w:eastAsia="宋体" w:cs="Times New Roman"/>
      <w:sz w:val="21"/>
      <w:lang w:val="en-US" w:eastAsia="zh-CN" w:bidi="ar-SA"/>
    </w:rPr>
  </w:style>
  <w:style w:type="character" w:customStyle="1" w:styleId="40">
    <w:name w:val="标题 1 Char"/>
    <w:link w:val="2"/>
    <w:autoRedefine/>
    <w:semiHidden/>
    <w:qFormat/>
    <w:uiPriority w:val="0"/>
    <w:rPr>
      <w:rFonts w:ascii="黑体" w:hAnsi="黑体" w:eastAsia="黑体" w:cs="黑体"/>
      <w:sz w:val="40"/>
      <w:szCs w:val="40"/>
      <w:lang w:val="zh-CN" w:eastAsia="zh-CN" w:bidi="zh-CN"/>
    </w:rPr>
  </w:style>
  <w:style w:type="paragraph" w:customStyle="1" w:styleId="41">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
    <w:name w:val="标题 2 Char"/>
    <w:link w:val="3"/>
    <w:autoRedefine/>
    <w:semiHidden/>
    <w:qFormat/>
    <w:uiPriority w:val="0"/>
    <w:rPr>
      <w:rFonts w:ascii="宋体" w:hAnsi="宋体" w:eastAsia="宋体" w:cs="宋体"/>
      <w:b/>
      <w:bCs/>
      <w:sz w:val="21"/>
      <w:szCs w:val="21"/>
      <w:lang w:val="zh-CN" w:eastAsia="zh-CN" w:bidi="zh-CN"/>
    </w:rPr>
  </w:style>
  <w:style w:type="paragraph" w:customStyle="1" w:styleId="43">
    <w:name w:val="Body Text Indent"/>
    <w:basedOn w:val="1"/>
    <w:autoRedefine/>
    <w:qFormat/>
    <w:uiPriority w:val="0"/>
    <w:pPr>
      <w:ind w:left="2481" w:hanging="2481" w:hangingChars="700"/>
    </w:pPr>
    <w:rPr>
      <w:rFonts w:ascii="宋体" w:hAnsi="宋体" w:eastAsia="宋体" w:cs="Times New Roman"/>
      <w:b/>
      <w:bCs/>
      <w:sz w:val="36"/>
    </w:rPr>
  </w:style>
  <w:style w:type="paragraph" w:customStyle="1" w:styleId="4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5">
    <w:name w:val="Body Text First Indent"/>
    <w:basedOn w:val="10"/>
    <w:next w:val="46"/>
    <w:autoRedefine/>
    <w:qFormat/>
    <w:uiPriority w:val="0"/>
    <w:pPr>
      <w:ind w:firstLine="420" w:firstLineChars="100"/>
    </w:pPr>
  </w:style>
  <w:style w:type="paragraph" w:customStyle="1" w:styleId="46">
    <w:name w:val="Body Text First Indent 2"/>
    <w:basedOn w:val="43"/>
    <w:autoRedefine/>
    <w:qFormat/>
    <w:uiPriority w:val="0"/>
    <w:pPr>
      <w:spacing w:after="0" w:line="500" w:lineRule="exact"/>
      <w:ind w:left="0" w:leftChars="0" w:firstLine="420" w:firstLineChars="200"/>
    </w:pPr>
    <w:rPr>
      <w:rFonts w:ascii="Times New Roman" w:hAnsi="Times New Roman" w:eastAsia="宋体" w:cs="Times New Roman"/>
      <w:sz w:val="24"/>
      <w:szCs w:val="20"/>
    </w:rPr>
  </w:style>
  <w:style w:type="paragraph" w:customStyle="1" w:styleId="47">
    <w:name w:val="List Paragraph"/>
    <w:basedOn w:val="1"/>
    <w:autoRedefine/>
    <w:qFormat/>
    <w:uiPriority w:val="0"/>
    <w:pPr>
      <w:ind w:left="220" w:hanging="530"/>
    </w:pPr>
    <w:rPr>
      <w:rFonts w:ascii="宋体" w:hAnsi="宋体" w:eastAsia="宋体" w:cs="宋体"/>
      <w:lang w:val="zh-CN" w:eastAsia="zh-CN" w:bidi="zh-CN"/>
    </w:rPr>
  </w:style>
  <w:style w:type="paragraph" w:customStyle="1" w:styleId="48">
    <w:name w:val="Table Paragraph"/>
    <w:basedOn w:val="1"/>
    <w:autoRedefine/>
    <w:qFormat/>
    <w:uiPriority w:val="0"/>
    <w:rPr>
      <w:rFonts w:ascii="宋体" w:hAnsi="宋体" w:eastAsia="宋体" w:cs="宋体"/>
      <w:lang w:val="zh-CN" w:eastAsia="zh-CN" w:bidi="zh-CN"/>
    </w:rPr>
  </w:style>
  <w:style w:type="paragraph" w:customStyle="1" w:styleId="49">
    <w:name w:val="WPSOffice手动目录 2"/>
    <w:autoRedefine/>
    <w:qFormat/>
    <w:uiPriority w:val="0"/>
    <w:pPr>
      <w:ind w:leftChars="200"/>
    </w:pPr>
    <w:rPr>
      <w:rFonts w:ascii="Times New Roman" w:hAnsi="Times New Roman" w:eastAsia="宋体" w:cs="Times New Roman"/>
      <w:sz w:val="20"/>
      <w:szCs w:val="20"/>
      <w:lang w:val="en-US" w:eastAsia="zh-CN" w:bidi="ar-SA"/>
    </w:rPr>
  </w:style>
  <w:style w:type="paragraph" w:customStyle="1" w:styleId="50">
    <w:name w:val="WPSOffice手动目录 1"/>
    <w:autoRedefine/>
    <w:qFormat/>
    <w:uiPriority w:val="0"/>
    <w:pPr>
      <w:ind w:leftChars="0"/>
    </w:pPr>
    <w:rPr>
      <w:rFonts w:ascii="Times New Roman" w:hAnsi="Times New Roman" w:eastAsia="宋体" w:cs="Times New Roman"/>
      <w:sz w:val="20"/>
      <w:szCs w:val="20"/>
      <w:lang w:val="en-US" w:eastAsia="zh-CN" w:bidi="ar-SA"/>
    </w:rPr>
  </w:style>
  <w:style w:type="paragraph" w:customStyle="1" w:styleId="51">
    <w:name w:val="WPSOffice手动目录 3"/>
    <w:autoRedefine/>
    <w:qFormat/>
    <w:uiPriority w:val="0"/>
    <w:pPr>
      <w:ind w:leftChars="400"/>
    </w:pPr>
    <w:rPr>
      <w:rFonts w:ascii="Times New Roman" w:hAnsi="Times New Roman" w:eastAsia="宋体" w:cs="Times New Roman"/>
      <w:sz w:val="20"/>
      <w:szCs w:val="20"/>
      <w:lang w:val="en-US" w:eastAsia="zh-CN" w:bidi="ar-SA"/>
    </w:rPr>
  </w:style>
  <w:style w:type="character" w:customStyle="1" w:styleId="52">
    <w:name w:val="标题 1 Char Char"/>
    <w:link w:val="2"/>
    <w:autoRedefine/>
    <w:semiHidden/>
    <w:qFormat/>
    <w:uiPriority w:val="0"/>
    <w:rPr>
      <w:rFonts w:eastAsia="仿宋"/>
      <w:kern w:val="44"/>
      <w:sz w:val="28"/>
    </w:rPr>
  </w:style>
  <w:style w:type="paragraph" w:customStyle="1" w:styleId="53">
    <w:name w:val="Body text|3"/>
    <w:basedOn w:val="1"/>
    <w:autoRedefine/>
    <w:qFormat/>
    <w:uiPriority w:val="0"/>
    <w:pPr>
      <w:widowControl w:val="0"/>
      <w:shd w:val="clear" w:color="auto" w:fill="auto"/>
      <w:spacing w:after="400"/>
      <w:jc w:val="center"/>
    </w:pPr>
    <w:rPr>
      <w:rFonts w:ascii="宋体" w:hAnsi="宋体" w:eastAsia="宋体" w:cs="宋体"/>
      <w:sz w:val="36"/>
      <w:szCs w:val="36"/>
      <w:u w:val="none"/>
      <w:shd w:val="clear" w:color="auto" w:fill="auto"/>
      <w:lang w:val="zh-TW" w:eastAsia="zh-TW" w:bidi="zh-TW"/>
    </w:rPr>
  </w:style>
  <w:style w:type="paragraph" w:customStyle="1" w:styleId="54">
    <w:name w:val="Heading #1|1"/>
    <w:basedOn w:val="1"/>
    <w:autoRedefine/>
    <w:qFormat/>
    <w:uiPriority w:val="0"/>
    <w:pPr>
      <w:widowControl w:val="0"/>
      <w:shd w:val="clear" w:color="auto" w:fill="auto"/>
      <w:spacing w:after="500"/>
      <w:jc w:val="center"/>
      <w:outlineLvl w:val="0"/>
    </w:pPr>
    <w:rPr>
      <w:rFonts w:ascii="宋体" w:hAnsi="宋体" w:eastAsia="宋体" w:cs="宋体"/>
      <w:sz w:val="68"/>
      <w:szCs w:val="68"/>
      <w:u w:val="none"/>
      <w:shd w:val="clear" w:color="auto" w:fill="auto"/>
      <w:lang w:val="zh-TW" w:eastAsia="zh-TW" w:bidi="zh-TW"/>
    </w:rPr>
  </w:style>
  <w:style w:type="paragraph" w:customStyle="1" w:styleId="55">
    <w:name w:val="Body text|1"/>
    <w:basedOn w:val="1"/>
    <w:autoRedefine/>
    <w:qFormat/>
    <w:uiPriority w:val="0"/>
    <w:pPr>
      <w:widowControl w:val="0"/>
      <w:shd w:val="clear" w:color="auto" w:fill="auto"/>
      <w:spacing w:after="280" w:line="408" w:lineRule="auto"/>
      <w:ind w:firstLine="310"/>
    </w:pPr>
    <w:rPr>
      <w:rFonts w:ascii="宋体" w:hAnsi="宋体" w:eastAsia="宋体" w:cs="宋体"/>
      <w:sz w:val="22"/>
      <w:szCs w:val="22"/>
      <w:u w:val="none"/>
      <w:shd w:val="clear" w:color="auto" w:fill="auto"/>
      <w:lang w:val="zh-TW" w:eastAsia="zh-TW" w:bidi="zh-TW"/>
    </w:rPr>
  </w:style>
  <w:style w:type="paragraph" w:customStyle="1" w:styleId="56">
    <w:name w:val="Header or footer|1"/>
    <w:basedOn w:val="1"/>
    <w:autoRedefine/>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paragraph" w:customStyle="1" w:styleId="57">
    <w:name w:val="Other|1"/>
    <w:basedOn w:val="1"/>
    <w:autoRedefine/>
    <w:qFormat/>
    <w:uiPriority w:val="0"/>
    <w:pPr>
      <w:widowControl w:val="0"/>
      <w:shd w:val="clear" w:color="auto" w:fill="auto"/>
      <w:spacing w:after="280" w:line="408" w:lineRule="auto"/>
      <w:ind w:firstLine="310"/>
    </w:pPr>
    <w:rPr>
      <w:rFonts w:ascii="宋体" w:hAnsi="宋体" w:eastAsia="宋体" w:cs="宋体"/>
      <w:sz w:val="22"/>
      <w:szCs w:val="22"/>
      <w:u w:val="none"/>
      <w:shd w:val="clear" w:color="auto" w:fill="auto"/>
      <w:lang w:val="zh-TW" w:eastAsia="zh-TW" w:bidi="zh-TW"/>
    </w:rPr>
  </w:style>
  <w:style w:type="paragraph" w:customStyle="1" w:styleId="58">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59">
    <w:name w:val="toolbarlabel2"/>
    <w:basedOn w:val="2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31694</Words>
  <Characters>33412</Characters>
  <Lines>1</Lines>
  <Paragraphs>1</Paragraphs>
  <TotalTime>126</TotalTime>
  <ScaleCrop>false</ScaleCrop>
  <LinksUpToDate>false</LinksUpToDate>
  <CharactersWithSpaces>34745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2021-01-30T15:46:00Z</dcterms:created>
  <dc:creator>User</dc:creator>
  <cp:lastModifiedBy>NTKO</cp:lastModifiedBy>
  <cp:lastPrinted>2024-04-15T07:04:00Z</cp:lastPrinted>
  <dcterms:modified xsi:type="dcterms:W3CDTF">2024-05-30T02:37:30Z</dcterms:modified>
  <dc:title>隔热保暖</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Microsoft® Word 2013</vt:lpwstr>
  </property>
  <property fmtid="{D5CDD505-2E9C-101B-9397-08002B2CF9AE}" pid="4" name="LastSaved">
    <vt:filetime>2021-01-30T00:00:00Z</vt:filetime>
  </property>
  <property fmtid="{D5CDD505-2E9C-101B-9397-08002B2CF9AE}" pid="5" name="KSOProductBuildVer">
    <vt:lpwstr>2052-12.1.0.16929</vt:lpwstr>
  </property>
  <property fmtid="{D5CDD505-2E9C-101B-9397-08002B2CF9AE}" pid="6" name="ICV">
    <vt:lpwstr>DB38F3D44CCB427C9D30F03B81DFF7D3_13</vt:lpwstr>
  </property>
</Properties>
</file>