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360" w:lineRule="auto"/>
        <w:jc w:val="center"/>
        <w:rPr>
          <w:rFonts w:hint="eastAsia" w:asciiTheme="minorEastAsia" w:hAnsiTheme="minorEastAsia" w:eastAsiaTheme="minorEastAsia" w:cstheme="minorEastAsia"/>
          <w:spacing w:val="-3"/>
          <w:sz w:val="52"/>
          <w:szCs w:val="52"/>
          <w:lang w:val="zh-CN"/>
        </w:rPr>
      </w:pPr>
      <w:r>
        <w:rPr>
          <w:rFonts w:hint="eastAsia" w:asciiTheme="minorEastAsia" w:hAnsiTheme="minorEastAsia" w:eastAsiaTheme="minorEastAsia" w:cstheme="minorEastAsia"/>
          <w:spacing w:val="-3"/>
          <w:sz w:val="52"/>
          <w:szCs w:val="52"/>
          <w:lang w:val="zh-CN"/>
        </w:rPr>
        <w:t>淅川县旅游发展服务中心南阳市淅川县旅游资源普查项目</w:t>
      </w:r>
    </w:p>
    <w:p>
      <w:pPr>
        <w:kinsoku/>
        <w:wordWrap w:val="0"/>
        <w:spacing w:line="360" w:lineRule="auto"/>
        <w:jc w:val="center"/>
        <w:rPr>
          <w:rFonts w:hint="eastAsia" w:asciiTheme="minorEastAsia" w:hAnsiTheme="minorEastAsia" w:eastAsiaTheme="minorEastAsia" w:cstheme="minorEastAsia"/>
          <w:spacing w:val="-3"/>
          <w:sz w:val="52"/>
          <w:szCs w:val="52"/>
        </w:rPr>
      </w:pPr>
    </w:p>
    <w:p>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pPr>
        <w:kinsoku/>
        <w:wordWrap w:val="0"/>
        <w:spacing w:line="316" w:lineRule="auto"/>
        <w:jc w:val="both"/>
        <w:rPr>
          <w:rFonts w:asciiTheme="minorEastAsia" w:hAnsiTheme="minorEastAsia" w:eastAsiaTheme="minorEastAsia" w:cstheme="minorEastAsia"/>
        </w:rPr>
      </w:pPr>
    </w:p>
    <w:p>
      <w:pPr>
        <w:kinsoku/>
        <w:wordWrap w:val="0"/>
        <w:spacing w:line="316" w:lineRule="auto"/>
        <w:jc w:val="both"/>
        <w:rPr>
          <w:rFonts w:asciiTheme="minorEastAsia" w:hAnsiTheme="minorEastAsia" w:eastAsiaTheme="minorEastAsia" w:cstheme="minorEastAsia"/>
        </w:rPr>
      </w:pPr>
    </w:p>
    <w:p>
      <w:pPr>
        <w:kinsoku/>
        <w:wordWrap w:val="0"/>
        <w:spacing w:line="317"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b/>
          <w:bCs/>
          <w:spacing w:val="-17"/>
          <w:sz w:val="36"/>
          <w:szCs w:val="36"/>
        </w:rPr>
      </w:pPr>
    </w:p>
    <w:p>
      <w:pPr>
        <w:kinsoku/>
        <w:wordWrap w:val="0"/>
        <w:spacing w:line="360" w:lineRule="auto"/>
        <w:jc w:val="both"/>
        <w:rPr>
          <w:rFonts w:asciiTheme="minorEastAsia" w:hAnsiTheme="minorEastAsia" w:eastAsiaTheme="minorEastAsia" w:cstheme="minorEastAsia"/>
          <w:b/>
          <w:bCs/>
          <w:spacing w:val="-17"/>
          <w:sz w:val="36"/>
          <w:szCs w:val="36"/>
        </w:rPr>
      </w:pPr>
    </w:p>
    <w:p>
      <w:pPr>
        <w:pStyle w:val="2"/>
        <w:rPr>
          <w:rFonts w:asciiTheme="minorEastAsia" w:hAnsiTheme="minorEastAsia" w:eastAsiaTheme="minorEastAsia" w:cstheme="minorEastAsia"/>
          <w:b/>
          <w:bCs/>
          <w:spacing w:val="-17"/>
          <w:sz w:val="36"/>
          <w:szCs w:val="36"/>
        </w:rPr>
      </w:pPr>
    </w:p>
    <w:p>
      <w:pPr>
        <w:pStyle w:val="17"/>
        <w:rPr>
          <w:rFonts w:asciiTheme="minorEastAsia" w:hAnsiTheme="minorEastAsia" w:eastAsiaTheme="minorEastAsia" w:cstheme="minorEastAsia"/>
          <w:b/>
          <w:bCs/>
          <w:spacing w:val="-17"/>
          <w:sz w:val="36"/>
          <w:szCs w:val="36"/>
        </w:rPr>
      </w:pPr>
    </w:p>
    <w:p>
      <w:pPr>
        <w:rPr>
          <w:rFonts w:asciiTheme="minorEastAsia" w:hAnsiTheme="minorEastAsia" w:eastAsiaTheme="minorEastAsia" w:cstheme="minorEastAsia"/>
          <w:b/>
          <w:bCs/>
          <w:spacing w:val="-17"/>
          <w:sz w:val="36"/>
          <w:szCs w:val="36"/>
        </w:rPr>
      </w:pPr>
    </w:p>
    <w:p>
      <w:pPr>
        <w:pStyle w:val="2"/>
        <w:rPr>
          <w:rFonts w:asciiTheme="minorEastAsia" w:hAnsiTheme="minorEastAsia" w:eastAsiaTheme="minorEastAsia" w:cstheme="minorEastAsia"/>
          <w:b/>
          <w:bCs/>
          <w:spacing w:val="-17"/>
          <w:sz w:val="36"/>
          <w:szCs w:val="36"/>
        </w:rPr>
      </w:pPr>
    </w:p>
    <w:p>
      <w:pPr>
        <w:pStyle w:val="17"/>
        <w:rPr>
          <w:rFonts w:asciiTheme="minorEastAsia" w:hAnsiTheme="minorEastAsia" w:eastAsiaTheme="minorEastAsia" w:cstheme="minorEastAsia"/>
          <w:b/>
          <w:bCs/>
          <w:spacing w:val="-17"/>
          <w:sz w:val="36"/>
          <w:szCs w:val="36"/>
        </w:rPr>
      </w:pPr>
    </w:p>
    <w:p>
      <w:pPr>
        <w:rPr>
          <w:rFonts w:asciiTheme="minorEastAsia" w:hAnsiTheme="minorEastAsia" w:eastAsiaTheme="minorEastAsia" w:cstheme="minorEastAsia"/>
          <w:b/>
          <w:bCs/>
          <w:spacing w:val="-17"/>
          <w:sz w:val="36"/>
          <w:szCs w:val="36"/>
        </w:rPr>
      </w:pPr>
    </w:p>
    <w:p>
      <w:pPr>
        <w:pStyle w:val="2"/>
      </w:pPr>
    </w:p>
    <w:p>
      <w:pPr>
        <w:kinsoku/>
        <w:wordWrap w:val="0"/>
        <w:spacing w:line="360" w:lineRule="auto"/>
        <w:ind w:left="1724" w:hanging="1724" w:hangingChars="600"/>
        <w:jc w:val="both"/>
        <w:rPr>
          <w:rFonts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zh-CN"/>
        </w:rPr>
        <w:t>淅川县旅游发展服务中心南阳市淅川县旅游资源普查项目</w:t>
      </w:r>
    </w:p>
    <w:p>
      <w:pPr>
        <w:kinsoku/>
        <w:wordWrap w:val="0"/>
        <w:spacing w:line="360" w:lineRule="auto"/>
        <w:jc w:val="both"/>
        <w:rPr>
          <w:rFonts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zh-CN" w:eastAsia="zh-CN"/>
        </w:rPr>
        <w:t>淅财招标采购-2024-79</w:t>
      </w:r>
    </w:p>
    <w:p>
      <w:pPr>
        <w:kinsoku/>
        <w:wordWrap w:val="0"/>
        <w:spacing w:line="360" w:lineRule="auto"/>
        <w:jc w:val="both"/>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zh-CN" w:eastAsia="zh-CN"/>
        </w:rPr>
        <w:t>淅财招标采购-2024-79</w:t>
      </w:r>
      <w:r>
        <w:rPr>
          <w:rFonts w:hint="eastAsia" w:asciiTheme="minorEastAsia" w:hAnsiTheme="minorEastAsia" w:eastAsiaTheme="minorEastAsia" w:cstheme="minorEastAsia"/>
          <w:b/>
          <w:bCs/>
          <w:spacing w:val="-17"/>
          <w:sz w:val="32"/>
          <w:szCs w:val="32"/>
          <w:u w:val="single"/>
          <w:lang w:val="en-US" w:eastAsia="zh-CN"/>
        </w:rPr>
        <w:t>-1</w:t>
      </w: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zh-CN"/>
        </w:rPr>
        <w:t>淅川县旅游发展服务中心</w:t>
      </w:r>
    </w:p>
    <w:p>
      <w:pPr>
        <w:kinsoku/>
        <w:wordWrap w:val="0"/>
        <w:spacing w:line="360" w:lineRule="auto"/>
        <w:jc w:val="both"/>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江苏诺实工程管理咨询有限公司</w:t>
      </w:r>
    </w:p>
    <w:p>
      <w:pPr>
        <w:kinsoku/>
        <w:wordWrap w:val="0"/>
        <w:spacing w:line="360" w:lineRule="auto"/>
        <w:ind w:firstLine="1149" w:firstLineChars="400"/>
        <w:jc w:val="both"/>
        <w:rPr>
          <w:rFonts w:asciiTheme="minorEastAsia" w:hAnsiTheme="minorEastAsia" w:eastAsiaTheme="minorEastAsia" w:cstheme="minorEastAsia"/>
          <w:b/>
          <w:bCs/>
          <w:spacing w:val="-17"/>
          <w:sz w:val="32"/>
          <w:szCs w:val="32"/>
        </w:rPr>
      </w:pPr>
    </w:p>
    <w:p>
      <w:pPr>
        <w:kinsoku/>
        <w:wordWrap w:val="0"/>
        <w:spacing w:line="360" w:lineRule="auto"/>
        <w:jc w:val="both"/>
        <w:rPr>
          <w:rFonts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pPr>
            <w:pStyle w:val="3"/>
            <w:kinsoku/>
            <w:wordWrap w:val="0"/>
            <w:spacing w:before="353" w:line="222" w:lineRule="auto"/>
            <w:ind w:left="3716"/>
            <w:jc w:val="both"/>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rPr>
            <w:t>目录</w:t>
          </w:r>
        </w:p>
        <w:p>
          <w:pPr>
            <w:pStyle w:val="3"/>
            <w:kinsoku/>
            <w:wordWrap w:val="0"/>
            <w:jc w:val="both"/>
            <w:rPr>
              <w:shd w:val="clear" w:color="FFFFFF" w:fill="D9D9D9"/>
            </w:rPr>
          </w:pPr>
        </w:p>
        <w:p>
          <w:pPr>
            <w:pStyle w:val="3"/>
            <w:kinsoku/>
            <w:wordWrap w:val="0"/>
            <w:spacing w:line="360" w:lineRule="auto"/>
            <w:jc w:val="both"/>
            <w:rPr>
              <w:sz w:val="28"/>
              <w:szCs w:val="28"/>
              <w:lang w:eastAsia="zh-CN"/>
            </w:rPr>
          </w:pPr>
          <w:r>
            <w:rPr>
              <w:rFonts w:hint="eastAsia"/>
              <w:sz w:val="28"/>
              <w:szCs w:val="28"/>
            </w:rPr>
            <w:t>第一章</w:t>
          </w:r>
          <w:r>
            <w:rPr>
              <w:rFonts w:hint="eastAsia"/>
              <w:sz w:val="28"/>
              <w:szCs w:val="28"/>
              <w:lang w:eastAsia="zh-CN"/>
            </w:rPr>
            <w:t>公开招标公告</w:t>
          </w:r>
        </w:p>
        <w:p>
          <w:pPr>
            <w:pStyle w:val="3"/>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二</w:t>
          </w:r>
          <w:r>
            <w:rPr>
              <w:rFonts w:hint="eastAsia"/>
              <w:sz w:val="28"/>
              <w:szCs w:val="28"/>
            </w:rPr>
            <w:t>章采购需求</w:t>
          </w:r>
        </w:p>
        <w:p>
          <w:pPr>
            <w:pStyle w:val="3"/>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三</w:t>
          </w:r>
          <w:r>
            <w:rPr>
              <w:rFonts w:hint="eastAsia"/>
              <w:sz w:val="28"/>
              <w:szCs w:val="28"/>
            </w:rPr>
            <w:t>章投标人须知</w:t>
          </w:r>
        </w:p>
        <w:p>
          <w:pPr>
            <w:pStyle w:val="3"/>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四</w:t>
          </w:r>
          <w:r>
            <w:rPr>
              <w:rFonts w:hint="eastAsia"/>
              <w:sz w:val="28"/>
              <w:szCs w:val="28"/>
            </w:rPr>
            <w:t>章</w:t>
          </w:r>
          <w:r>
            <w:rPr>
              <w:rFonts w:hint="eastAsia"/>
              <w:sz w:val="28"/>
              <w:szCs w:val="28"/>
              <w:lang w:eastAsia="zh-CN"/>
            </w:rPr>
            <w:t xml:space="preserve"> 开、</w:t>
          </w:r>
          <w:r>
            <w:rPr>
              <w:rFonts w:hint="eastAsia"/>
              <w:sz w:val="28"/>
              <w:szCs w:val="28"/>
            </w:rPr>
            <w:t>评标程序、评标方法和评标标准</w:t>
          </w:r>
        </w:p>
        <w:p>
          <w:pPr>
            <w:pStyle w:val="3"/>
            <w:kinsoku/>
            <w:wordWrap w:val="0"/>
            <w:spacing w:line="360" w:lineRule="auto"/>
            <w:jc w:val="both"/>
            <w:rPr>
              <w:sz w:val="28"/>
              <w:szCs w:val="28"/>
              <w:lang w:eastAsia="zh-CN"/>
            </w:rPr>
          </w:pPr>
          <w:r>
            <w:rPr>
              <w:rFonts w:hint="eastAsia"/>
              <w:sz w:val="28"/>
              <w:szCs w:val="28"/>
            </w:rPr>
            <w:t>第</w:t>
          </w:r>
          <w:r>
            <w:rPr>
              <w:rFonts w:hint="eastAsia"/>
              <w:sz w:val="28"/>
              <w:szCs w:val="28"/>
              <w:lang w:eastAsia="zh-CN"/>
            </w:rPr>
            <w:t>五</w:t>
          </w:r>
          <w:r>
            <w:rPr>
              <w:rFonts w:hint="eastAsia"/>
              <w:sz w:val="28"/>
              <w:szCs w:val="28"/>
            </w:rPr>
            <w:t>章</w:t>
          </w:r>
          <w:r>
            <w:rPr>
              <w:rFonts w:hint="eastAsia"/>
              <w:sz w:val="28"/>
              <w:szCs w:val="28"/>
              <w:lang w:eastAsia="zh-CN"/>
            </w:rPr>
            <w:t>政府采购合同（草案）</w:t>
          </w:r>
        </w:p>
        <w:p>
          <w:pPr>
            <w:pStyle w:val="3"/>
            <w:kinsoku/>
            <w:wordWrap w:val="0"/>
            <w:spacing w:line="360" w:lineRule="auto"/>
            <w:jc w:val="both"/>
            <w:rPr>
              <w:sz w:val="28"/>
              <w:szCs w:val="28"/>
            </w:rPr>
          </w:pPr>
          <w:r>
            <w:rPr>
              <w:rFonts w:hint="eastAsia"/>
              <w:sz w:val="28"/>
              <w:szCs w:val="28"/>
            </w:rPr>
            <w:t>第</w:t>
          </w:r>
          <w:r>
            <w:rPr>
              <w:rFonts w:hint="eastAsia"/>
              <w:sz w:val="28"/>
              <w:szCs w:val="28"/>
              <w:lang w:eastAsia="zh-CN"/>
            </w:rPr>
            <w:t>六</w:t>
          </w:r>
          <w:r>
            <w:rPr>
              <w:rFonts w:hint="eastAsia"/>
              <w:sz w:val="28"/>
              <w:szCs w:val="28"/>
            </w:rPr>
            <w:t>章投标文件格式</w:t>
          </w:r>
        </w:p>
      </w:sdtContent>
    </w:sdt>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kinsoku/>
        <w:wordWrap w:val="0"/>
        <w:spacing w:line="219" w:lineRule="auto"/>
        <w:jc w:val="both"/>
        <w:rPr>
          <w:rFonts w:asciiTheme="minorEastAsia" w:hAnsiTheme="minorEastAsia" w:eastAsiaTheme="minorEastAsia" w:cstheme="minorEastAsia"/>
          <w:sz w:val="24"/>
          <w:szCs w:val="24"/>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ind w:left="3129"/>
        <w:jc w:val="both"/>
        <w:rPr>
          <w:rFonts w:asciiTheme="minorEastAsia" w:hAnsiTheme="minorEastAsia" w:eastAsiaTheme="minorEastAsia" w:cstheme="minorEastAsia"/>
          <w:spacing w:val="-1"/>
          <w:sz w:val="36"/>
          <w:szCs w:val="36"/>
        </w:rPr>
      </w:pPr>
    </w:p>
    <w:p>
      <w:pPr>
        <w:pStyle w:val="3"/>
        <w:kinsoku/>
        <w:wordWrap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rPr>
        <w:t>第一章</w:t>
      </w:r>
      <w:r>
        <w:rPr>
          <w:rFonts w:hint="eastAsia" w:asciiTheme="minorEastAsia" w:hAnsiTheme="minorEastAsia" w:eastAsiaTheme="minorEastAsia" w:cstheme="minorEastAsia"/>
          <w:spacing w:val="-1"/>
          <w:sz w:val="36"/>
          <w:szCs w:val="36"/>
          <w:lang w:eastAsia="zh-CN"/>
        </w:rPr>
        <w:t>公开招标公告</w:t>
      </w:r>
    </w:p>
    <w:p>
      <w:pPr>
        <w:kinsoku/>
        <w:autoSpaceDE/>
        <w:autoSpaceDN/>
        <w:spacing w:after="0" w:line="360" w:lineRule="auto"/>
        <w:jc w:val="center"/>
        <w:textAlignment w:val="auto"/>
        <w:rPr>
          <w:rFonts w:ascii="宋体" w:hAnsi="宋体" w:eastAsia="宋体" w:cs="宋体"/>
          <w:b/>
          <w:bCs/>
          <w:snapToGrid/>
          <w:color w:val="000000"/>
          <w:sz w:val="30"/>
          <w:szCs w:val="30"/>
          <w:lang w:eastAsia="zh-CN"/>
        </w:rPr>
      </w:pPr>
      <w:r>
        <w:rPr>
          <w:rFonts w:hint="eastAsia" w:ascii="宋体" w:hAnsi="宋体" w:eastAsia="宋体" w:cs="宋体"/>
          <w:b/>
          <w:bCs/>
          <w:snapToGrid/>
          <w:color w:val="000000"/>
          <w:sz w:val="30"/>
          <w:szCs w:val="30"/>
          <w:lang w:val="en-US" w:eastAsia="zh-CN"/>
        </w:rPr>
        <w:t>淅川县旅游发展服务中心南阳市淅川县旅游资源普查项目</w:t>
      </w:r>
      <w:r>
        <w:rPr>
          <w:rFonts w:hint="eastAsia" w:ascii="宋体" w:hAnsi="宋体" w:eastAsia="宋体" w:cs="宋体"/>
          <w:b/>
          <w:bCs/>
          <w:snapToGrid/>
          <w:color w:val="000000"/>
          <w:sz w:val="30"/>
          <w:szCs w:val="30"/>
          <w:lang w:eastAsia="zh-CN"/>
        </w:rPr>
        <w:t>招标公告</w:t>
      </w:r>
    </w:p>
    <w:p>
      <w:pPr>
        <w:kinsoku/>
        <w:autoSpaceDE/>
        <w:autoSpaceDN/>
        <w:adjustRightInd/>
        <w:snapToGrid/>
        <w:spacing w:after="0" w:line="360" w:lineRule="exact"/>
        <w:textAlignment w:val="auto"/>
        <w:rPr>
          <w:rFonts w:ascii="宋体" w:hAnsi="宋体" w:eastAsia="宋体" w:cs="宋体"/>
          <w:b/>
          <w:bCs/>
          <w:snapToGrid/>
          <w:color w:val="333333"/>
          <w:sz w:val="22"/>
          <w:szCs w:val="21"/>
          <w:shd w:val="clear" w:color="auto" w:fill="FFFFFF"/>
          <w:lang w:eastAsia="zh-CN"/>
        </w:rPr>
      </w:pPr>
      <w:r>
        <w:rPr>
          <w:rFonts w:hint="eastAsia" w:ascii="宋体" w:hAnsi="宋体" w:eastAsia="宋体" w:cs="宋体"/>
          <w:b/>
          <w:bCs/>
          <w:snapToGrid/>
          <w:color w:val="333333"/>
          <w:sz w:val="22"/>
          <w:szCs w:val="21"/>
          <w:shd w:val="clear" w:color="auto" w:fill="FFFFFF"/>
          <w:lang w:eastAsia="zh-CN"/>
        </w:rPr>
        <w:t>项目概况</w:t>
      </w:r>
    </w:p>
    <w:p>
      <w:pPr>
        <w:kinsoku/>
        <w:autoSpaceDE/>
        <w:autoSpaceDN/>
        <w:adjustRightInd/>
        <w:snapToGrid/>
        <w:spacing w:after="0" w:line="360" w:lineRule="exact"/>
        <w:ind w:firstLine="220" w:firstLineChars="100"/>
        <w:textAlignment w:val="auto"/>
        <w:rPr>
          <w:rFonts w:ascii="宋体" w:hAnsi="宋体" w:eastAsia="宋体" w:cs="宋体"/>
          <w:snapToGrid/>
          <w:color w:val="auto"/>
          <w:sz w:val="22"/>
          <w:szCs w:val="21"/>
          <w:lang w:eastAsia="zh-CN"/>
        </w:rPr>
      </w:pPr>
      <w:r>
        <w:rPr>
          <w:rFonts w:hint="eastAsia" w:ascii="宋体" w:hAnsi="宋体" w:eastAsia="宋体" w:cs="宋体"/>
          <w:snapToGrid/>
          <w:sz w:val="22"/>
          <w:szCs w:val="21"/>
          <w:lang w:eastAsia="zh-CN"/>
        </w:rPr>
        <w:t>淅川县旅游发展服务中心南阳市淅川县旅游资源普查项目的潜在投标人应在南阳市公共资源交易中心电子交易系统淅川区（http://ggzyjy.nanyang.gov.cn/XCXWeb/）获取招标文件，并于</w:t>
      </w:r>
      <w:r>
        <w:rPr>
          <w:rFonts w:hint="eastAsia" w:ascii="宋体" w:hAnsi="宋体" w:eastAsia="宋体" w:cs="宋体"/>
          <w:snapToGrid/>
          <w:color w:val="auto"/>
          <w:sz w:val="22"/>
          <w:szCs w:val="21"/>
          <w:lang w:eastAsia="zh-CN"/>
        </w:rPr>
        <w:t>202</w:t>
      </w:r>
      <w:r>
        <w:rPr>
          <w:rFonts w:hint="eastAsia" w:ascii="宋体" w:hAnsi="宋体" w:eastAsia="宋体" w:cs="宋体"/>
          <w:snapToGrid/>
          <w:color w:val="auto"/>
          <w:sz w:val="22"/>
          <w:szCs w:val="21"/>
          <w:lang w:val="en-US" w:eastAsia="zh-CN"/>
        </w:rPr>
        <w:t>4</w:t>
      </w:r>
      <w:r>
        <w:rPr>
          <w:rFonts w:hint="eastAsia" w:ascii="宋体" w:hAnsi="宋体" w:eastAsia="宋体" w:cs="宋体"/>
          <w:snapToGrid/>
          <w:color w:val="auto"/>
          <w:sz w:val="22"/>
          <w:szCs w:val="21"/>
          <w:lang w:eastAsia="zh-CN"/>
        </w:rPr>
        <w:t>年</w:t>
      </w:r>
      <w:r>
        <w:rPr>
          <w:rFonts w:hint="eastAsia" w:ascii="宋体" w:hAnsi="宋体" w:eastAsia="宋体" w:cs="宋体"/>
          <w:snapToGrid/>
          <w:color w:val="auto"/>
          <w:sz w:val="22"/>
          <w:szCs w:val="21"/>
          <w:lang w:val="en-US" w:eastAsia="zh-CN"/>
        </w:rPr>
        <w:t>6</w:t>
      </w:r>
      <w:r>
        <w:rPr>
          <w:rFonts w:hint="eastAsia" w:ascii="宋体" w:hAnsi="宋体" w:eastAsia="宋体" w:cs="宋体"/>
          <w:snapToGrid/>
          <w:color w:val="auto"/>
          <w:sz w:val="22"/>
          <w:szCs w:val="21"/>
          <w:lang w:eastAsia="zh-CN"/>
        </w:rPr>
        <w:t>月</w:t>
      </w:r>
      <w:r>
        <w:rPr>
          <w:rFonts w:hint="eastAsia" w:ascii="宋体" w:hAnsi="宋体" w:eastAsia="宋体" w:cs="宋体"/>
          <w:snapToGrid/>
          <w:color w:val="auto"/>
          <w:sz w:val="22"/>
          <w:szCs w:val="21"/>
          <w:lang w:val="en-US" w:eastAsia="zh-CN"/>
        </w:rPr>
        <w:t>25</w:t>
      </w:r>
      <w:r>
        <w:rPr>
          <w:rFonts w:hint="eastAsia" w:ascii="宋体" w:hAnsi="宋体" w:eastAsia="宋体" w:cs="宋体"/>
          <w:snapToGrid/>
          <w:color w:val="auto"/>
          <w:sz w:val="22"/>
          <w:szCs w:val="21"/>
          <w:lang w:eastAsia="zh-CN"/>
        </w:rPr>
        <w:t>日</w:t>
      </w:r>
      <w:r>
        <w:rPr>
          <w:rFonts w:hint="eastAsia" w:ascii="宋体" w:hAnsi="宋体" w:eastAsia="宋体" w:cs="宋体"/>
          <w:snapToGrid/>
          <w:color w:val="auto"/>
          <w:sz w:val="22"/>
          <w:szCs w:val="21"/>
          <w:lang w:val="en-US" w:eastAsia="zh-CN"/>
        </w:rPr>
        <w:t>9</w:t>
      </w:r>
      <w:r>
        <w:rPr>
          <w:rFonts w:hint="eastAsia" w:ascii="宋体" w:hAnsi="宋体" w:eastAsia="宋体" w:cs="宋体"/>
          <w:snapToGrid/>
          <w:color w:val="auto"/>
          <w:sz w:val="22"/>
          <w:szCs w:val="21"/>
          <w:lang w:eastAsia="zh-CN"/>
        </w:rPr>
        <w:t>时</w:t>
      </w:r>
      <w:r>
        <w:rPr>
          <w:rFonts w:hint="eastAsia" w:ascii="宋体" w:hAnsi="宋体" w:eastAsia="宋体" w:cs="宋体"/>
          <w:snapToGrid/>
          <w:color w:val="auto"/>
          <w:sz w:val="22"/>
          <w:szCs w:val="21"/>
          <w:lang w:val="en-US" w:eastAsia="zh-CN"/>
        </w:rPr>
        <w:t>00</w:t>
      </w:r>
      <w:r>
        <w:rPr>
          <w:rFonts w:hint="eastAsia" w:ascii="宋体" w:hAnsi="宋体" w:eastAsia="宋体" w:cs="宋体"/>
          <w:snapToGrid/>
          <w:color w:val="auto"/>
          <w:sz w:val="22"/>
          <w:szCs w:val="21"/>
          <w:lang w:eastAsia="zh-CN"/>
        </w:rPr>
        <w:t>分（北京时间）前递交投标文件。</w:t>
      </w:r>
    </w:p>
    <w:p>
      <w:pPr>
        <w:kinsoku/>
        <w:autoSpaceDE/>
        <w:autoSpaceDN/>
        <w:adjustRightInd/>
        <w:snapToGrid/>
        <w:spacing w:after="0" w:line="360" w:lineRule="exact"/>
        <w:textAlignment w:val="auto"/>
        <w:rPr>
          <w:rFonts w:ascii="宋体" w:hAnsi="宋体" w:eastAsia="宋体" w:cs="宋体"/>
          <w:b/>
          <w:bCs/>
          <w:snapToGrid/>
          <w:color w:val="333333"/>
          <w:sz w:val="22"/>
          <w:szCs w:val="21"/>
          <w:shd w:val="clear" w:color="auto" w:fill="FFFFFF"/>
          <w:lang w:eastAsia="zh-CN"/>
        </w:rPr>
      </w:pPr>
      <w:r>
        <w:rPr>
          <w:rFonts w:hint="eastAsia" w:ascii="宋体" w:hAnsi="宋体" w:eastAsia="宋体" w:cs="宋体"/>
          <w:b/>
          <w:bCs/>
          <w:snapToGrid/>
          <w:color w:val="333333"/>
          <w:sz w:val="22"/>
          <w:szCs w:val="21"/>
          <w:shd w:val="clear" w:color="auto" w:fill="FFFFFF"/>
          <w:lang w:eastAsia="zh-CN"/>
        </w:rPr>
        <w:t>一、项目基本情况</w:t>
      </w:r>
    </w:p>
    <w:p>
      <w:pPr>
        <w:kinsoku/>
        <w:autoSpaceDE/>
        <w:autoSpaceDN/>
        <w:adjustRightInd/>
        <w:snapToGrid/>
        <w:spacing w:after="0" w:line="360" w:lineRule="exact"/>
        <w:ind w:firstLine="220" w:firstLineChars="100"/>
        <w:textAlignment w:val="auto"/>
        <w:rPr>
          <w:rFonts w:hint="eastAsia" w:ascii="宋体" w:hAnsi="宋体" w:eastAsia="宋体" w:cs="宋体"/>
          <w:snapToGrid/>
          <w:sz w:val="22"/>
          <w:szCs w:val="21"/>
          <w:lang w:eastAsia="zh-CN"/>
        </w:rPr>
      </w:pPr>
      <w:r>
        <w:rPr>
          <w:rFonts w:hint="eastAsia" w:ascii="宋体" w:hAnsi="宋体" w:eastAsia="宋体" w:cs="宋体"/>
          <w:snapToGrid/>
          <w:sz w:val="22"/>
          <w:szCs w:val="21"/>
          <w:lang w:eastAsia="zh-CN"/>
        </w:rPr>
        <w:t>1、项目编号：</w:t>
      </w:r>
      <w:r>
        <w:rPr>
          <w:rFonts w:hint="eastAsia" w:ascii="宋体" w:hAnsi="宋体" w:eastAsia="宋体" w:cs="宋体"/>
          <w:snapToGrid/>
          <w:sz w:val="22"/>
          <w:szCs w:val="21"/>
          <w:lang w:val="en-US" w:eastAsia="zh-CN"/>
        </w:rPr>
        <w:t xml:space="preserve">淅财招标采购-2024-79 </w:t>
      </w:r>
    </w:p>
    <w:p>
      <w:pPr>
        <w:kinsoku/>
        <w:autoSpaceDE/>
        <w:autoSpaceDN/>
        <w:adjustRightInd/>
        <w:snapToGrid/>
        <w:spacing w:after="0" w:line="360" w:lineRule="exact"/>
        <w:ind w:firstLine="220" w:firstLineChars="100"/>
        <w:textAlignment w:val="auto"/>
        <w:rPr>
          <w:rFonts w:hint="eastAsia" w:ascii="宋体" w:hAnsi="宋体" w:eastAsia="宋体" w:cs="宋体"/>
          <w:snapToGrid/>
          <w:sz w:val="22"/>
          <w:szCs w:val="21"/>
          <w:lang w:eastAsia="zh-CN"/>
        </w:rPr>
      </w:pPr>
      <w:r>
        <w:rPr>
          <w:rFonts w:hint="eastAsia" w:ascii="宋体" w:hAnsi="宋体" w:eastAsia="宋体" w:cs="宋体"/>
          <w:snapToGrid/>
          <w:sz w:val="22"/>
          <w:szCs w:val="21"/>
          <w:lang w:eastAsia="zh-CN"/>
        </w:rPr>
        <w:t>2、项目名称：淅川县旅游发展服务中心南阳市淅川县旅游资源普查项目</w:t>
      </w:r>
    </w:p>
    <w:p>
      <w:pPr>
        <w:kinsoku/>
        <w:autoSpaceDE/>
        <w:autoSpaceDN/>
        <w:adjustRightInd/>
        <w:snapToGrid/>
        <w:spacing w:after="0" w:line="360" w:lineRule="exact"/>
        <w:ind w:firstLine="220" w:firstLineChars="100"/>
        <w:textAlignment w:val="auto"/>
        <w:rPr>
          <w:rFonts w:ascii="宋体" w:hAnsi="宋体" w:eastAsia="宋体" w:cs="宋体"/>
          <w:snapToGrid/>
          <w:color w:val="333333"/>
          <w:sz w:val="22"/>
          <w:szCs w:val="21"/>
          <w:shd w:val="clear" w:color="auto" w:fill="FFFFFF"/>
          <w:lang w:eastAsia="zh-CN"/>
        </w:rPr>
      </w:pPr>
      <w:r>
        <w:rPr>
          <w:rFonts w:hint="eastAsia" w:ascii="宋体" w:hAnsi="宋体" w:eastAsia="宋体" w:cs="宋体"/>
          <w:snapToGrid/>
          <w:sz w:val="22"/>
          <w:szCs w:val="21"/>
          <w:lang w:eastAsia="zh-CN"/>
        </w:rPr>
        <w:t>3、采购方式：公开招标</w:t>
      </w:r>
    </w:p>
    <w:p>
      <w:pPr>
        <w:kinsoku/>
        <w:autoSpaceDE/>
        <w:autoSpaceDN/>
        <w:adjustRightInd/>
        <w:snapToGrid/>
        <w:spacing w:after="0" w:line="360" w:lineRule="exact"/>
        <w:ind w:firstLine="220" w:firstLineChars="100"/>
        <w:textAlignment w:val="auto"/>
        <w:rPr>
          <w:rFonts w:hint="eastAsia" w:ascii="宋体" w:hAnsi="宋体" w:eastAsia="宋体" w:cs="宋体"/>
          <w:snapToGrid/>
          <w:sz w:val="22"/>
          <w:szCs w:val="21"/>
          <w:lang w:eastAsia="zh-CN"/>
        </w:rPr>
      </w:pPr>
      <w:r>
        <w:rPr>
          <w:rFonts w:hint="eastAsia" w:ascii="宋体" w:hAnsi="宋体" w:eastAsia="宋体" w:cs="宋体"/>
          <w:snapToGrid/>
          <w:sz w:val="22"/>
          <w:szCs w:val="21"/>
          <w:lang w:eastAsia="zh-CN"/>
        </w:rPr>
        <w:t>4、预算金额：</w:t>
      </w:r>
      <w:r>
        <w:rPr>
          <w:rFonts w:hint="eastAsia" w:ascii="宋体" w:hAnsi="宋体" w:eastAsia="宋体" w:cs="宋体"/>
          <w:snapToGrid/>
          <w:sz w:val="22"/>
          <w:szCs w:val="21"/>
          <w:lang w:val="en-US" w:eastAsia="zh-CN"/>
        </w:rPr>
        <w:t>1280000</w:t>
      </w:r>
      <w:r>
        <w:rPr>
          <w:rFonts w:hint="eastAsia" w:ascii="宋体" w:hAnsi="宋体" w:eastAsia="宋体" w:cs="宋体"/>
          <w:snapToGrid/>
          <w:sz w:val="22"/>
          <w:szCs w:val="21"/>
          <w:lang w:eastAsia="zh-CN"/>
        </w:rPr>
        <w:t>元</w:t>
      </w:r>
    </w:p>
    <w:p>
      <w:pPr>
        <w:kinsoku/>
        <w:autoSpaceDE/>
        <w:autoSpaceDN/>
        <w:adjustRightInd/>
        <w:snapToGrid/>
        <w:spacing w:after="0" w:line="360" w:lineRule="exact"/>
        <w:ind w:firstLine="440" w:firstLineChars="200"/>
        <w:textAlignment w:val="auto"/>
        <w:rPr>
          <w:rFonts w:hint="eastAsia" w:ascii="宋体" w:hAnsi="宋体" w:eastAsia="宋体" w:cs="宋体"/>
          <w:snapToGrid/>
          <w:sz w:val="22"/>
          <w:szCs w:val="21"/>
          <w:lang w:eastAsia="zh-CN"/>
        </w:rPr>
      </w:pPr>
      <w:r>
        <w:rPr>
          <w:rFonts w:hint="eastAsia" w:ascii="宋体" w:hAnsi="宋体" w:eastAsia="宋体" w:cs="宋体"/>
          <w:snapToGrid/>
          <w:sz w:val="22"/>
          <w:szCs w:val="21"/>
          <w:lang w:eastAsia="zh-CN"/>
        </w:rPr>
        <w:t>最高限价：</w:t>
      </w:r>
      <w:r>
        <w:rPr>
          <w:rFonts w:hint="eastAsia" w:ascii="宋体" w:hAnsi="宋体" w:eastAsia="宋体" w:cs="宋体"/>
          <w:snapToGrid/>
          <w:sz w:val="22"/>
          <w:szCs w:val="21"/>
          <w:lang w:val="en-US" w:eastAsia="zh-CN"/>
        </w:rPr>
        <w:t>1280000</w:t>
      </w:r>
      <w:r>
        <w:rPr>
          <w:rFonts w:hint="eastAsia" w:ascii="宋体" w:hAnsi="宋体" w:eastAsia="宋体" w:cs="宋体"/>
          <w:snapToGrid/>
          <w:sz w:val="22"/>
          <w:szCs w:val="21"/>
          <w:lang w:eastAsia="zh-CN"/>
        </w:rPr>
        <w:t>元</w:t>
      </w:r>
    </w:p>
    <w:tbl>
      <w:tblPr>
        <w:tblStyle w:val="18"/>
        <w:tblW w:w="555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20"/>
        <w:gridCol w:w="1061"/>
        <w:gridCol w:w="2832"/>
        <w:gridCol w:w="1187"/>
        <w:gridCol w:w="1251"/>
        <w:gridCol w:w="1251"/>
        <w:gridCol w:w="12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8" w:hRule="atLeast"/>
          <w:jc w:val="center"/>
        </w:trPr>
        <w:tc>
          <w:tcPr>
            <w:tcW w:w="226" w:type="pct"/>
            <w:vAlign w:val="center"/>
          </w:tcPr>
          <w:p>
            <w:pPr>
              <w:kinsoku/>
              <w:autoSpaceDE/>
              <w:autoSpaceDN/>
              <w:adjustRightInd/>
              <w:snapToGrid/>
              <w:spacing w:after="0" w:line="360" w:lineRule="exact"/>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序号</w:t>
            </w:r>
          </w:p>
        </w:tc>
        <w:tc>
          <w:tcPr>
            <w:tcW w:w="573"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包号</w:t>
            </w:r>
          </w:p>
        </w:tc>
        <w:tc>
          <w:tcPr>
            <w:tcW w:w="1529"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包名称</w:t>
            </w:r>
          </w:p>
        </w:tc>
        <w:tc>
          <w:tcPr>
            <w:tcW w:w="641" w:type="pct"/>
            <w:vAlign w:val="center"/>
          </w:tcPr>
          <w:p>
            <w:pPr>
              <w:kinsoku/>
              <w:autoSpaceDE/>
              <w:autoSpaceDN/>
              <w:adjustRightInd/>
              <w:snapToGrid/>
              <w:spacing w:after="0" w:line="360" w:lineRule="exact"/>
              <w:jc w:val="both"/>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包预算（元）</w:t>
            </w:r>
          </w:p>
        </w:tc>
        <w:tc>
          <w:tcPr>
            <w:tcW w:w="676" w:type="pct"/>
            <w:vAlign w:val="center"/>
          </w:tcPr>
          <w:p>
            <w:pPr>
              <w:kinsoku/>
              <w:autoSpaceDE/>
              <w:autoSpaceDN/>
              <w:adjustRightInd/>
              <w:snapToGrid/>
              <w:spacing w:after="0" w:line="360" w:lineRule="exact"/>
              <w:jc w:val="both"/>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包最高限价（元）</w:t>
            </w:r>
          </w:p>
        </w:tc>
        <w:tc>
          <w:tcPr>
            <w:tcW w:w="676" w:type="pct"/>
            <w:vAlign w:val="center"/>
          </w:tcPr>
          <w:p>
            <w:pPr>
              <w:kinsoku/>
              <w:autoSpaceDE/>
              <w:autoSpaceDN/>
              <w:adjustRightInd/>
              <w:snapToGrid/>
              <w:spacing w:after="0" w:line="360" w:lineRule="exact"/>
              <w:jc w:val="both"/>
              <w:textAlignment w:val="auto"/>
              <w:rPr>
                <w:rFonts w:hint="default" w:ascii="宋体" w:hAnsi="宋体" w:eastAsia="宋体" w:cs="宋体"/>
                <w:snapToGrid/>
                <w:sz w:val="22"/>
                <w:szCs w:val="21"/>
                <w:lang w:val="en-US" w:eastAsia="zh-CN"/>
              </w:rPr>
            </w:pPr>
            <w:r>
              <w:rPr>
                <w:rFonts w:hint="default" w:ascii="宋体" w:hAnsi="宋体" w:eastAsia="宋体" w:cs="宋体"/>
                <w:color w:val="000000"/>
                <w:sz w:val="22"/>
                <w:szCs w:val="22"/>
                <w:lang w:val="en-US" w:eastAsia="zh-CN" w:bidi="ar-SA"/>
              </w:rPr>
              <w:t>是否专门面向中小企业</w:t>
            </w:r>
          </w:p>
        </w:tc>
        <w:tc>
          <w:tcPr>
            <w:tcW w:w="676"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中小企业预留金额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3" w:hRule="atLeast"/>
          <w:jc w:val="center"/>
        </w:trPr>
        <w:tc>
          <w:tcPr>
            <w:tcW w:w="226"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1</w:t>
            </w:r>
          </w:p>
        </w:tc>
        <w:tc>
          <w:tcPr>
            <w:tcW w:w="573" w:type="pct"/>
            <w:vAlign w:val="center"/>
          </w:tcPr>
          <w:p>
            <w:pPr>
              <w:kinsoku/>
              <w:autoSpaceDE/>
              <w:autoSpaceDN/>
              <w:adjustRightInd/>
              <w:snapToGrid/>
              <w:spacing w:after="0" w:line="360" w:lineRule="exact"/>
              <w:jc w:val="center"/>
              <w:textAlignment w:val="auto"/>
              <w:rPr>
                <w:rFonts w:hint="default"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淅财招标采购-2024-79-1</w:t>
            </w:r>
          </w:p>
        </w:tc>
        <w:tc>
          <w:tcPr>
            <w:tcW w:w="1529" w:type="pct"/>
            <w:vAlign w:val="center"/>
          </w:tcPr>
          <w:p>
            <w:pPr>
              <w:kinsoku/>
              <w:autoSpaceDE/>
              <w:autoSpaceDN/>
              <w:adjustRightInd/>
              <w:snapToGrid/>
              <w:spacing w:after="0" w:line="360" w:lineRule="exact"/>
              <w:jc w:val="center"/>
              <w:textAlignment w:val="auto"/>
              <w:rPr>
                <w:rFonts w:hint="default"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淅川县旅游发展服务中心南阳市淅川县旅游资源普查项目第1标段</w:t>
            </w:r>
          </w:p>
        </w:tc>
        <w:tc>
          <w:tcPr>
            <w:tcW w:w="641" w:type="pct"/>
            <w:vAlign w:val="center"/>
          </w:tcPr>
          <w:p>
            <w:pPr>
              <w:kinsoku/>
              <w:autoSpaceDE/>
              <w:autoSpaceDN/>
              <w:adjustRightInd/>
              <w:snapToGrid/>
              <w:spacing w:after="0" w:line="360" w:lineRule="exact"/>
              <w:ind w:firstLine="220" w:firstLineChars="100"/>
              <w:jc w:val="center"/>
              <w:textAlignment w:val="auto"/>
              <w:rPr>
                <w:rFonts w:hint="default"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1280000</w:t>
            </w:r>
          </w:p>
        </w:tc>
        <w:tc>
          <w:tcPr>
            <w:tcW w:w="676"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1280000</w:t>
            </w:r>
          </w:p>
        </w:tc>
        <w:tc>
          <w:tcPr>
            <w:tcW w:w="676" w:type="pct"/>
            <w:vAlign w:val="center"/>
          </w:tcPr>
          <w:p>
            <w:pPr>
              <w:kinsoku/>
              <w:autoSpaceDE/>
              <w:autoSpaceDN/>
              <w:adjustRightInd/>
              <w:snapToGrid/>
              <w:spacing w:after="0" w:line="360" w:lineRule="exact"/>
              <w:ind w:firstLine="220" w:firstLineChars="100"/>
              <w:jc w:val="center"/>
              <w:textAlignment w:val="auto"/>
              <w:rPr>
                <w:rFonts w:hint="default"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是</w:t>
            </w:r>
          </w:p>
        </w:tc>
        <w:tc>
          <w:tcPr>
            <w:tcW w:w="676" w:type="pct"/>
            <w:vAlign w:val="center"/>
          </w:tcPr>
          <w:p>
            <w:pPr>
              <w:kinsoku/>
              <w:autoSpaceDE/>
              <w:autoSpaceDN/>
              <w:adjustRightInd/>
              <w:snapToGrid/>
              <w:spacing w:after="0" w:line="360" w:lineRule="exact"/>
              <w:ind w:firstLine="220" w:firstLineChars="100"/>
              <w:jc w:val="center"/>
              <w:textAlignment w:val="auto"/>
              <w:rPr>
                <w:rFonts w:hint="eastAsia" w:ascii="宋体" w:hAnsi="宋体" w:eastAsia="宋体" w:cs="宋体"/>
                <w:snapToGrid/>
                <w:sz w:val="22"/>
                <w:szCs w:val="21"/>
                <w:lang w:val="en-US" w:eastAsia="zh-CN"/>
              </w:rPr>
            </w:pPr>
            <w:r>
              <w:rPr>
                <w:rFonts w:hint="eastAsia" w:ascii="宋体" w:hAnsi="宋体" w:eastAsia="宋体" w:cs="宋体"/>
                <w:snapToGrid/>
                <w:sz w:val="22"/>
                <w:szCs w:val="21"/>
                <w:lang w:val="en-US" w:eastAsia="zh-CN"/>
              </w:rPr>
              <w:t>1280000</w:t>
            </w:r>
          </w:p>
        </w:tc>
      </w:tr>
    </w:tbl>
    <w:p>
      <w:pPr>
        <w:tabs>
          <w:tab w:val="left" w:pos="1191"/>
        </w:tabs>
        <w:adjustRightInd/>
        <w:snapToGrid/>
        <w:spacing w:after="0" w:line="360" w:lineRule="exact"/>
        <w:ind w:left="0" w:leftChars="0" w:firstLine="220" w:firstLineChars="100"/>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5、采购需求（包括但不限于标的的名称、数量、简要技术需求或服务要求等）：</w:t>
      </w:r>
    </w:p>
    <w:p>
      <w:pPr>
        <w:pStyle w:val="17"/>
        <w:ind w:left="210" w:leftChars="100" w:firstLine="220" w:firstLineChars="100"/>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5.1、招标内容：旅游资源普查（其它详见招标文件采购需求）。</w:t>
      </w:r>
    </w:p>
    <w:p>
      <w:pPr>
        <w:pStyle w:val="17"/>
        <w:ind w:left="210" w:leftChars="100" w:firstLine="220" w:firstLineChars="100"/>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val="en-US" w:eastAsia="zh-CN" w:bidi="ar-SA"/>
        </w:rPr>
        <w:t>5.2、服务期限：自合同签订之日起至2024年河南省旅游资源普查结束</w:t>
      </w:r>
    </w:p>
    <w:p>
      <w:pPr>
        <w:pStyle w:val="17"/>
        <w:ind w:left="210" w:leftChars="100" w:firstLine="220" w:firstLineChars="100"/>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5.3、服务质量：合 格；</w:t>
      </w:r>
    </w:p>
    <w:p>
      <w:pPr>
        <w:pStyle w:val="17"/>
        <w:ind w:left="210" w:leftChars="100" w:firstLine="220" w:firstLineChars="100"/>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5.4、资金来源：财政资金</w:t>
      </w:r>
    </w:p>
    <w:p>
      <w:pPr>
        <w:pStyle w:val="17"/>
        <w:ind w:left="0" w:leftChars="0" w:firstLine="220" w:firstLineChars="100"/>
        <w:rPr>
          <w:rFonts w:hint="default"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6、合同履行期限：同服务期限</w:t>
      </w:r>
    </w:p>
    <w:p>
      <w:pPr>
        <w:widowControl w:val="0"/>
        <w:adjustRightInd/>
        <w:snapToGrid/>
        <w:spacing w:after="120"/>
        <w:jc w:val="both"/>
        <w:rPr>
          <w:rFonts w:hint="eastAsia" w:ascii="宋体" w:hAnsi="宋体" w:eastAsia="宋体" w:cs="宋体"/>
          <w:color w:val="000000"/>
          <w:sz w:val="22"/>
          <w:szCs w:val="22"/>
          <w:lang w:val="en-US" w:eastAsia="zh-CN" w:bidi="ar-SA"/>
        </w:rPr>
      </w:pPr>
      <w:r>
        <w:rPr>
          <w:rFonts w:hint="eastAsia" w:ascii="宋体" w:hAnsi="宋体" w:eastAsia="宋体" w:cs="宋体"/>
          <w:color w:val="000000"/>
          <w:sz w:val="22"/>
          <w:szCs w:val="22"/>
          <w:lang w:val="en-US" w:eastAsia="zh-CN" w:bidi="ar-SA"/>
        </w:rPr>
        <w:t xml:space="preserve">  7、本项目是否接受联合体投标：否</w:t>
      </w:r>
    </w:p>
    <w:p>
      <w:pPr>
        <w:widowControl w:val="0"/>
        <w:adjustRightInd/>
        <w:snapToGrid/>
        <w:spacing w:after="120"/>
        <w:ind w:firstLine="220" w:firstLineChars="100"/>
        <w:jc w:val="both"/>
        <w:rPr>
          <w:rFonts w:hint="default" w:ascii="宋体" w:hAnsi="宋体" w:eastAsia="宋体" w:cs="宋体"/>
          <w:color w:val="000000"/>
          <w:sz w:val="22"/>
          <w:szCs w:val="22"/>
          <w:lang w:val="en-US" w:eastAsia="zh-CN" w:bidi="ar-SA"/>
        </w:rPr>
      </w:pPr>
      <w:r>
        <w:rPr>
          <w:rFonts w:hint="default" w:ascii="宋体" w:hAnsi="宋体" w:eastAsia="宋体" w:cs="宋体"/>
          <w:color w:val="000000"/>
          <w:sz w:val="22"/>
          <w:szCs w:val="22"/>
          <w:lang w:val="en-US" w:eastAsia="zh-CN" w:bidi="ar-SA"/>
        </w:rPr>
        <w:t>8、是否接受进口产品：否</w:t>
      </w:r>
    </w:p>
    <w:p>
      <w:pPr>
        <w:widowControl w:val="0"/>
        <w:adjustRightInd/>
        <w:snapToGrid/>
        <w:spacing w:after="120"/>
        <w:ind w:firstLine="220" w:firstLineChars="100"/>
        <w:jc w:val="both"/>
        <w:rPr>
          <w:rFonts w:hint="default" w:ascii="宋体" w:hAnsi="宋体" w:eastAsia="宋体" w:cs="宋体"/>
          <w:color w:val="000000"/>
          <w:sz w:val="22"/>
          <w:szCs w:val="22"/>
          <w:lang w:val="en-US" w:eastAsia="zh-CN" w:bidi="ar-SA"/>
        </w:rPr>
      </w:pPr>
      <w:r>
        <w:rPr>
          <w:rFonts w:hint="default" w:ascii="宋体" w:hAnsi="宋体" w:eastAsia="宋体" w:cs="宋体"/>
          <w:color w:val="000000"/>
          <w:sz w:val="22"/>
          <w:szCs w:val="22"/>
          <w:lang w:val="en-US" w:eastAsia="zh-CN" w:bidi="ar-SA"/>
        </w:rPr>
        <w:t>9、是否专门面向中小企业：</w:t>
      </w:r>
      <w:r>
        <w:rPr>
          <w:rFonts w:hint="eastAsia" w:ascii="宋体" w:hAnsi="宋体" w:eastAsia="宋体" w:cs="宋体"/>
          <w:color w:val="000000"/>
          <w:sz w:val="22"/>
          <w:szCs w:val="22"/>
          <w:lang w:val="en-US" w:eastAsia="zh-CN" w:bidi="ar-SA"/>
        </w:rPr>
        <w:t>是</w:t>
      </w:r>
    </w:p>
    <w:p>
      <w:pPr>
        <w:tabs>
          <w:tab w:val="left" w:pos="1191"/>
        </w:tabs>
        <w:adjustRightInd/>
        <w:snapToGrid/>
        <w:spacing w:after="0" w:line="360" w:lineRule="exact"/>
        <w:ind w:firstLine="0" w:firstLineChars="0"/>
        <w:rPr>
          <w:rFonts w:ascii="宋体" w:hAnsi="宋体" w:eastAsia="宋体" w:cs="宋体"/>
          <w:sz w:val="22"/>
          <w:szCs w:val="21"/>
          <w:lang w:val="en-US" w:eastAsia="zh-CN" w:bidi="ar-SA"/>
        </w:rPr>
      </w:pPr>
      <w:r>
        <w:rPr>
          <w:rFonts w:hint="eastAsia" w:ascii="宋体" w:hAnsi="宋体" w:eastAsia="宋体" w:cs="宋体"/>
          <w:b/>
          <w:bCs/>
          <w:sz w:val="22"/>
          <w:szCs w:val="21"/>
          <w:lang w:val="en-US" w:eastAsia="zh-CN" w:bidi="ar-SA"/>
        </w:rPr>
        <w:t>二、申请人资格要求：</w:t>
      </w:r>
      <w:r>
        <w:rPr>
          <w:rFonts w:hint="eastAsia" w:ascii="宋体" w:hAnsi="宋体" w:eastAsia="宋体" w:cs="宋体"/>
          <w:sz w:val="22"/>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right="0"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1、符合《政府采购法》第二十二条之规定；</w:t>
      </w:r>
    </w:p>
    <w:p>
      <w:pPr>
        <w:widowControl w:val="0"/>
        <w:adjustRightInd/>
        <w:snapToGrid/>
        <w:spacing w:after="120"/>
        <w:ind w:left="0" w:leftChars="0" w:firstLine="220" w:firstLineChars="100"/>
        <w:jc w:val="both"/>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 xml:space="preserve">2、落实政府采购政策满足的资格要求： </w:t>
      </w:r>
    </w:p>
    <w:p>
      <w:pPr>
        <w:widowControl w:val="0"/>
        <w:adjustRightInd/>
        <w:snapToGrid/>
        <w:spacing w:after="120"/>
        <w:ind w:left="0" w:leftChars="0" w:firstLine="0" w:firstLineChars="0"/>
        <w:jc w:val="both"/>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 xml:space="preserve">本项目执行促进中小型企业发展政策（残疾人福利性企业、监狱企业视同小微企业） </w:t>
      </w:r>
    </w:p>
    <w:p>
      <w:pPr>
        <w:kinsoku/>
        <w:autoSpaceDE/>
        <w:autoSpaceDN/>
        <w:spacing w:after="200"/>
        <w:ind w:firstLine="220" w:firstLineChars="100"/>
        <w:textAlignment w:val="auto"/>
        <w:rPr>
          <w:rFonts w:hint="eastAsia" w:ascii="Times New Roman" w:hAnsi="Times New Roman" w:eastAsia="宋体" w:cs="Times New Roman"/>
          <w:snapToGrid/>
          <w:sz w:val="22"/>
          <w:szCs w:val="20"/>
          <w:lang w:val="en-US" w:eastAsia="zh-CN" w:bidi="ar-SA"/>
        </w:rPr>
      </w:pPr>
      <w:r>
        <w:rPr>
          <w:rFonts w:hint="eastAsia" w:ascii="Times New Roman" w:hAnsi="Times New Roman" w:eastAsia="宋体" w:cs="Times New Roman"/>
          <w:snapToGrid/>
          <w:sz w:val="22"/>
          <w:szCs w:val="20"/>
          <w:lang w:val="en-US" w:eastAsia="zh-CN" w:bidi="ar-SA"/>
        </w:rPr>
        <w:t>3、本项目的特定资格要求</w:t>
      </w:r>
    </w:p>
    <w:p>
      <w:pPr>
        <w:keepNext w:val="0"/>
        <w:keepLines w:val="0"/>
        <w:pageBreakBefore w:val="0"/>
        <w:widowControl w:val="0"/>
        <w:kinsoku/>
        <w:wordWrap/>
        <w:overflowPunct/>
        <w:topLinePunct w:val="0"/>
        <w:autoSpaceDE/>
        <w:autoSpaceDN/>
        <w:bidi w:val="0"/>
        <w:adjustRightInd/>
        <w:snapToGrid/>
        <w:spacing w:after="0" w:line="340" w:lineRule="exact"/>
        <w:ind w:right="0"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3.1、投标人须符合《中华人民共和国政府采购法》第二十二条的规定，应具有有效的营业执照、税务登记证、组织机构代码证，或有效的三证合一的营业执照，具有履行合同所必需的设备和专业技术能力。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after="0" w:line="340" w:lineRule="exact"/>
        <w:ind w:right="0" w:firstLine="220" w:firstLineChars="100"/>
        <w:jc w:val="both"/>
        <w:textAlignment w:val="auto"/>
        <w:rPr>
          <w:rFonts w:hint="default" w:ascii="宋体" w:hAnsi="宋体" w:eastAsia="宋体" w:cs="宋体"/>
          <w:sz w:val="22"/>
          <w:szCs w:val="20"/>
          <w:lang w:val="en-US" w:eastAsia="zh-CN" w:bidi="ar-SA"/>
        </w:rPr>
      </w:pPr>
      <w:r>
        <w:rPr>
          <w:rFonts w:hint="eastAsia" w:ascii="宋体" w:hAnsi="宋体" w:eastAsia="宋体" w:cs="宋体"/>
          <w:sz w:val="22"/>
          <w:szCs w:val="20"/>
          <w:lang w:val="en-US" w:eastAsia="zh-CN" w:bidi="ar-SA"/>
        </w:rPr>
        <w:t>3.2、供应商须具备旅游资源普查要求的资格和条件。</w:t>
      </w:r>
    </w:p>
    <w:p>
      <w:pPr>
        <w:keepNext w:val="0"/>
        <w:keepLines w:val="0"/>
        <w:pageBreakBefore w:val="0"/>
        <w:widowControl w:val="0"/>
        <w:kinsoku/>
        <w:wordWrap/>
        <w:overflowPunct/>
        <w:topLinePunct w:val="0"/>
        <w:autoSpaceDE/>
        <w:autoSpaceDN/>
        <w:bidi w:val="0"/>
        <w:adjustRightInd/>
        <w:snapToGrid/>
        <w:spacing w:after="0" w:line="340" w:lineRule="exact"/>
        <w:ind w:right="0"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3.3、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val="0"/>
        <w:kinsoku/>
        <w:wordWrap/>
        <w:overflowPunct/>
        <w:topLinePunct w:val="0"/>
        <w:autoSpaceDE/>
        <w:autoSpaceDN/>
        <w:bidi w:val="0"/>
        <w:adjustRightInd/>
        <w:snapToGrid/>
        <w:spacing w:after="0" w:line="340" w:lineRule="exact"/>
        <w:ind w:right="0"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3.4、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pPr>
        <w:keepNext w:val="0"/>
        <w:keepLines w:val="0"/>
        <w:pageBreakBefore w:val="0"/>
        <w:widowControl w:val="0"/>
        <w:kinsoku/>
        <w:wordWrap/>
        <w:overflowPunct/>
        <w:topLinePunct w:val="0"/>
        <w:autoSpaceDE/>
        <w:autoSpaceDN/>
        <w:bidi w:val="0"/>
        <w:adjustRightInd/>
        <w:snapToGrid/>
        <w:spacing w:after="0" w:line="340" w:lineRule="exact"/>
        <w:ind w:right="0"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3.5、本项目不接受联合体投标，不得分包转包。</w:t>
      </w:r>
    </w:p>
    <w:p>
      <w:pPr>
        <w:keepNext w:val="0"/>
        <w:keepLines w:val="0"/>
        <w:pageBreakBefore w:val="0"/>
        <w:widowControl w:val="0"/>
        <w:kinsoku/>
        <w:wordWrap/>
        <w:overflowPunct/>
        <w:topLinePunct w:val="0"/>
        <w:autoSpaceDE/>
        <w:autoSpaceDN/>
        <w:bidi w:val="0"/>
        <w:adjustRightInd/>
        <w:snapToGrid/>
        <w:spacing w:after="0" w:line="340" w:lineRule="exact"/>
        <w:ind w:firstLine="0" w:firstLineChars="0"/>
        <w:jc w:val="both"/>
        <w:textAlignment w:val="auto"/>
        <w:rPr>
          <w:rFonts w:ascii="宋体" w:hAnsi="宋体" w:eastAsia="宋体" w:cs="宋体"/>
          <w:b/>
          <w:bCs/>
          <w:sz w:val="22"/>
          <w:szCs w:val="20"/>
          <w:lang w:val="en-US" w:eastAsia="zh-CN" w:bidi="ar-SA"/>
        </w:rPr>
      </w:pPr>
      <w:r>
        <w:rPr>
          <w:rFonts w:hint="eastAsia" w:ascii="宋体" w:hAnsi="宋体" w:eastAsia="宋体" w:cs="宋体"/>
          <w:b/>
          <w:bCs/>
          <w:sz w:val="22"/>
          <w:szCs w:val="20"/>
          <w:lang w:val="en-US" w:eastAsia="zh-CN" w:bidi="ar-SA"/>
        </w:rPr>
        <w:t xml:space="preserve">三、获取采购文件 </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both"/>
        <w:textAlignment w:val="auto"/>
        <w:rPr>
          <w:rFonts w:hint="eastAsia" w:ascii="宋体" w:hAnsi="宋体" w:eastAsia="宋体" w:cs="宋体"/>
          <w:sz w:val="22"/>
          <w:szCs w:val="20"/>
          <w:lang w:val="en-US" w:eastAsia="zh-CN" w:bidi="ar-SA"/>
        </w:rPr>
      </w:pPr>
      <w:r>
        <w:rPr>
          <w:rFonts w:hint="eastAsia" w:ascii="宋体" w:hAnsi="宋体" w:eastAsia="宋体" w:cs="宋体"/>
          <w:sz w:val="22"/>
          <w:szCs w:val="20"/>
          <w:lang w:val="en-US" w:eastAsia="zh-CN" w:bidi="ar-SA"/>
        </w:rPr>
        <w:t>1.</w:t>
      </w:r>
      <w:r>
        <w:rPr>
          <w:rFonts w:hint="eastAsia" w:ascii="宋体" w:hAnsi="宋体" w:eastAsia="宋体" w:cs="宋体"/>
          <w:color w:val="auto"/>
          <w:sz w:val="22"/>
          <w:szCs w:val="20"/>
          <w:lang w:val="en-US" w:eastAsia="zh-CN" w:bidi="ar-SA"/>
        </w:rPr>
        <w:t>时间：2024年6月1日至 2024年6月24日，</w:t>
      </w:r>
      <w:r>
        <w:rPr>
          <w:rFonts w:hint="eastAsia" w:ascii="宋体" w:hAnsi="宋体" w:eastAsia="宋体" w:cs="宋体"/>
          <w:sz w:val="22"/>
          <w:szCs w:val="20"/>
          <w:lang w:val="en-US" w:eastAsia="zh-CN" w:bidi="ar-SA"/>
        </w:rPr>
        <w:t>每天上午09:00至12:00，下午12:00至18:00。</w:t>
      </w:r>
    </w:p>
    <w:p>
      <w:pPr>
        <w:keepNext w:val="0"/>
        <w:keepLines w:val="0"/>
        <w:pageBreakBefore w:val="0"/>
        <w:widowControl/>
        <w:kinsoku/>
        <w:wordWrap/>
        <w:overflowPunct/>
        <w:topLinePunct w:val="0"/>
        <w:autoSpaceDE/>
        <w:autoSpaceDN/>
        <w:bidi w:val="0"/>
        <w:adjustRightInd/>
        <w:snapToGrid/>
        <w:spacing w:after="0" w:line="340" w:lineRule="exact"/>
        <w:ind w:firstLine="220" w:firstLineChars="100"/>
        <w:jc w:val="left"/>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 xml:space="preserve">2.地点：南阳市公共资源交易平台电子交易系统淅川（http://ggzyjy.nanyang.gov.cn/XCXWeb/）参与采购项目。 </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3.方式：</w:t>
      </w:r>
    </w:p>
    <w:p>
      <w:pPr>
        <w:keepNext w:val="0"/>
        <w:keepLines w:val="0"/>
        <w:pageBreakBefore w:val="0"/>
        <w:widowControl w:val="0"/>
        <w:kinsoku/>
        <w:wordWrap/>
        <w:overflowPunct/>
        <w:topLinePunct w:val="0"/>
        <w:autoSpaceDE/>
        <w:autoSpaceDN/>
        <w:bidi w:val="0"/>
        <w:adjustRightInd/>
        <w:snapToGrid/>
        <w:spacing w:after="0" w:line="340" w:lineRule="exact"/>
        <w:ind w:firstLine="440" w:firstLineChars="2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3.1、办理CA数字证书</w:t>
      </w:r>
    </w:p>
    <w:p>
      <w:pPr>
        <w:keepNext w:val="0"/>
        <w:keepLines w:val="0"/>
        <w:pageBreakBefore w:val="0"/>
        <w:widowControl w:val="0"/>
        <w:kinsoku/>
        <w:wordWrap/>
        <w:overflowPunct/>
        <w:topLinePunct w:val="0"/>
        <w:autoSpaceDE/>
        <w:autoSpaceDN/>
        <w:bidi w:val="0"/>
        <w:adjustRightInd/>
        <w:snapToGrid/>
        <w:spacing w:after="0" w:line="340" w:lineRule="exact"/>
        <w:ind w:firstLine="440" w:firstLineChars="2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投标企业完成企业诚信库注册后，必须办理CA数字证书方可在网上办理招投标相关业务。CA数字证书办理请参见南阳市公共资源交易平台网站下载专区《CA办理所需资料》。</w:t>
      </w:r>
    </w:p>
    <w:p>
      <w:pPr>
        <w:keepNext w:val="0"/>
        <w:keepLines w:val="0"/>
        <w:pageBreakBefore w:val="0"/>
        <w:widowControl w:val="0"/>
        <w:kinsoku/>
        <w:wordWrap/>
        <w:overflowPunct/>
        <w:topLinePunct w:val="0"/>
        <w:autoSpaceDE/>
        <w:autoSpaceDN/>
        <w:bidi w:val="0"/>
        <w:adjustRightInd/>
        <w:snapToGrid/>
        <w:spacing w:after="0" w:line="340" w:lineRule="exact"/>
        <w:ind w:firstLine="440" w:firstLineChars="2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3.2、投标保证金交纳</w:t>
      </w:r>
    </w:p>
    <w:p>
      <w:pPr>
        <w:keepNext w:val="0"/>
        <w:keepLines w:val="0"/>
        <w:pageBreakBefore w:val="0"/>
        <w:widowControl w:val="0"/>
        <w:kinsoku/>
        <w:wordWrap/>
        <w:overflowPunct/>
        <w:topLinePunct w:val="0"/>
        <w:autoSpaceDE/>
        <w:autoSpaceDN/>
        <w:bidi w:val="0"/>
        <w:adjustRightInd/>
        <w:snapToGrid/>
        <w:spacing w:after="0" w:line="340" w:lineRule="exact"/>
        <w:ind w:firstLine="440" w:firstLineChars="2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本项目不收取投标保证金</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eastAsia="zh-CN"/>
        </w:rPr>
        <w:t>4.售价：</w:t>
      </w:r>
      <w:r>
        <w:rPr>
          <w:rFonts w:hint="eastAsia" w:ascii="宋体" w:hAnsi="宋体" w:eastAsia="宋体" w:cs="宋体"/>
          <w:snapToGrid/>
          <w:color w:val="000000"/>
          <w:sz w:val="22"/>
          <w:szCs w:val="22"/>
          <w:lang w:val="en-US" w:eastAsia="zh-CN"/>
        </w:rPr>
        <w:t>0元</w:t>
      </w:r>
      <w:r>
        <w:rPr>
          <w:rFonts w:hint="eastAsia" w:ascii="宋体" w:hAnsi="宋体" w:eastAsia="宋体" w:cs="宋体"/>
          <w:snapToGrid/>
          <w:color w:val="000000"/>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0" w:line="340" w:lineRule="exact"/>
        <w:ind w:firstLine="0" w:firstLineChars="0"/>
        <w:jc w:val="both"/>
        <w:textAlignment w:val="auto"/>
        <w:rPr>
          <w:rFonts w:ascii="宋体" w:hAnsi="宋体" w:eastAsia="宋体" w:cs="宋体"/>
          <w:sz w:val="22"/>
          <w:szCs w:val="20"/>
          <w:lang w:val="en-US" w:eastAsia="zh-CN" w:bidi="ar-SA"/>
        </w:rPr>
      </w:pPr>
      <w:r>
        <w:rPr>
          <w:rFonts w:hint="eastAsia" w:ascii="宋体" w:hAnsi="宋体" w:eastAsia="宋体" w:cs="宋体"/>
          <w:b/>
          <w:bCs/>
          <w:sz w:val="22"/>
          <w:szCs w:val="20"/>
          <w:lang w:val="en-US" w:eastAsia="zh-CN" w:bidi="ar-SA"/>
        </w:rPr>
        <w:t>四、投标截止时间及地点</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both"/>
        <w:textAlignment w:val="auto"/>
        <w:rPr>
          <w:rFonts w:ascii="宋体" w:hAnsi="宋体" w:eastAsia="宋体" w:cs="宋体"/>
          <w:color w:val="FF0000"/>
          <w:sz w:val="22"/>
          <w:szCs w:val="20"/>
          <w:lang w:val="en-US" w:eastAsia="zh-CN" w:bidi="ar-SA"/>
        </w:rPr>
      </w:pPr>
      <w:r>
        <w:rPr>
          <w:rFonts w:hint="eastAsia" w:ascii="宋体" w:hAnsi="宋体" w:eastAsia="宋体" w:cs="宋体"/>
          <w:sz w:val="22"/>
          <w:szCs w:val="20"/>
          <w:lang w:val="en-US" w:eastAsia="zh-CN" w:bidi="ar-SA"/>
        </w:rPr>
        <w:t>1.</w:t>
      </w:r>
      <w:r>
        <w:rPr>
          <w:rFonts w:hint="eastAsia" w:ascii="宋体" w:hAnsi="宋体" w:eastAsia="宋体" w:cs="宋体"/>
          <w:color w:val="auto"/>
          <w:sz w:val="22"/>
          <w:szCs w:val="20"/>
          <w:lang w:val="en-US" w:eastAsia="zh-CN" w:bidi="ar-SA"/>
        </w:rPr>
        <w:t xml:space="preserve">时间：2024年6月25日9时00分（北京时间） </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2.地点：该项目在电子交易系统内自行上传投标文件，无需寄送和递交非加密投标文件U盘等。</w:t>
      </w:r>
    </w:p>
    <w:p>
      <w:pPr>
        <w:keepNext w:val="0"/>
        <w:keepLines w:val="0"/>
        <w:pageBreakBefore w:val="0"/>
        <w:widowControl w:val="0"/>
        <w:kinsoku/>
        <w:wordWrap/>
        <w:overflowPunct/>
        <w:topLinePunct w:val="0"/>
        <w:autoSpaceDE/>
        <w:autoSpaceDN/>
        <w:bidi w:val="0"/>
        <w:adjustRightInd/>
        <w:snapToGrid/>
        <w:spacing w:after="0" w:line="340" w:lineRule="exact"/>
        <w:ind w:firstLine="0" w:firstLineChars="0"/>
        <w:jc w:val="both"/>
        <w:textAlignment w:val="auto"/>
        <w:rPr>
          <w:rFonts w:ascii="宋体" w:hAnsi="宋体" w:eastAsia="宋体" w:cs="宋体"/>
          <w:sz w:val="22"/>
          <w:szCs w:val="20"/>
          <w:lang w:val="en-US" w:eastAsia="zh-CN" w:bidi="ar-SA"/>
        </w:rPr>
      </w:pPr>
      <w:r>
        <w:rPr>
          <w:rFonts w:hint="eastAsia" w:ascii="宋体" w:hAnsi="宋体" w:eastAsia="宋体" w:cs="宋体"/>
          <w:b/>
          <w:bCs/>
          <w:sz w:val="22"/>
          <w:szCs w:val="20"/>
          <w:lang w:val="en-US" w:eastAsia="zh-CN" w:bidi="ar-SA"/>
        </w:rPr>
        <w:t>五、投标文件开启</w:t>
      </w:r>
      <w:r>
        <w:rPr>
          <w:rFonts w:hint="eastAsia" w:ascii="宋体" w:hAnsi="宋体" w:eastAsia="宋体" w:cs="宋体"/>
          <w:sz w:val="22"/>
          <w:szCs w:val="2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both"/>
        <w:textAlignment w:val="auto"/>
        <w:rPr>
          <w:rFonts w:ascii="宋体" w:hAnsi="宋体" w:eastAsia="宋体" w:cs="宋体"/>
          <w:color w:val="auto"/>
          <w:sz w:val="22"/>
          <w:szCs w:val="20"/>
          <w:lang w:val="en-US" w:eastAsia="zh-CN" w:bidi="ar-SA"/>
        </w:rPr>
      </w:pPr>
      <w:r>
        <w:rPr>
          <w:rFonts w:hint="eastAsia" w:ascii="宋体" w:hAnsi="宋体" w:eastAsia="宋体" w:cs="宋体"/>
          <w:color w:val="auto"/>
          <w:sz w:val="22"/>
          <w:szCs w:val="20"/>
          <w:lang w:val="en-US" w:eastAsia="zh-CN" w:bidi="ar-SA"/>
        </w:rPr>
        <w:t xml:space="preserve">1.时间：2024年6月25日9时00分（北京时间） </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jc w:val="left"/>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 xml:space="preserve">2.地点：该项目使用远程不见面开标，供应商无需到现场参与开标。各供应商根据手册要求，提前做好相关准备工作，开标时登录不见面开标大厅参与开标。 附件：操作手册地址(下载专区中自行下载)、不见面开标大厅地址https://ggzyjy.nanyang.gov.cn/BidOpening/bidopeninghallaction/hall/login </w:t>
      </w:r>
    </w:p>
    <w:p>
      <w:pPr>
        <w:keepNext w:val="0"/>
        <w:keepLines w:val="0"/>
        <w:pageBreakBefore w:val="0"/>
        <w:widowControl w:val="0"/>
        <w:kinsoku/>
        <w:wordWrap/>
        <w:overflowPunct/>
        <w:topLinePunct w:val="0"/>
        <w:autoSpaceDE/>
        <w:autoSpaceDN/>
        <w:bidi w:val="0"/>
        <w:adjustRightInd/>
        <w:snapToGrid/>
        <w:spacing w:after="0" w:line="340" w:lineRule="exact"/>
        <w:ind w:firstLine="0" w:firstLineChars="0"/>
        <w:jc w:val="both"/>
        <w:textAlignment w:val="auto"/>
        <w:rPr>
          <w:rFonts w:ascii="宋体" w:hAnsi="宋体" w:eastAsia="宋体" w:cs="宋体"/>
          <w:sz w:val="22"/>
          <w:szCs w:val="20"/>
          <w:lang w:val="en-US" w:eastAsia="zh-CN" w:bidi="ar-SA"/>
        </w:rPr>
      </w:pPr>
      <w:r>
        <w:rPr>
          <w:rFonts w:hint="eastAsia" w:ascii="宋体" w:hAnsi="宋体" w:eastAsia="宋体" w:cs="宋体"/>
          <w:b/>
          <w:bCs/>
          <w:sz w:val="22"/>
          <w:szCs w:val="20"/>
          <w:lang w:val="en-US" w:eastAsia="zh-CN" w:bidi="ar-SA"/>
        </w:rPr>
        <w:t>六、发布公告的媒介及招标公告期限</w:t>
      </w:r>
      <w:r>
        <w:rPr>
          <w:rFonts w:hint="eastAsia" w:ascii="宋体" w:hAnsi="宋体" w:eastAsia="宋体" w:cs="宋体"/>
          <w:sz w:val="22"/>
          <w:szCs w:val="20"/>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0" w:line="340" w:lineRule="exact"/>
        <w:ind w:firstLine="440" w:firstLineChars="200"/>
        <w:jc w:val="both"/>
        <w:textAlignment w:val="auto"/>
        <w:rPr>
          <w:rFonts w:ascii="宋体" w:hAnsi="宋体" w:eastAsia="宋体" w:cs="宋体"/>
          <w:sz w:val="22"/>
          <w:szCs w:val="20"/>
          <w:lang w:val="en-US" w:eastAsia="zh-CN" w:bidi="ar-SA"/>
        </w:rPr>
      </w:pPr>
      <w:r>
        <w:rPr>
          <w:rFonts w:hint="eastAsia" w:ascii="宋体" w:hAnsi="宋体" w:eastAsia="宋体" w:cs="宋体"/>
          <w:sz w:val="22"/>
          <w:szCs w:val="20"/>
          <w:lang w:val="en-US" w:eastAsia="zh-CN" w:bidi="ar-SA"/>
        </w:rPr>
        <w:t>本次招标公告同时在《中国招标投标公共服务平台》、《河南省电子招标投标公共服务平台》、《河南省政府采购网》、《全国公共资源交易平台（河南省·淅川县）》上发布，招标公告期限为5个工作日。</w:t>
      </w:r>
    </w:p>
    <w:p>
      <w:pPr>
        <w:keepNext w:val="0"/>
        <w:keepLines w:val="0"/>
        <w:pageBreakBefore w:val="0"/>
        <w:widowControl w:val="0"/>
        <w:kinsoku/>
        <w:wordWrap/>
        <w:overflowPunct/>
        <w:topLinePunct w:val="0"/>
        <w:autoSpaceDE/>
        <w:autoSpaceDN/>
        <w:bidi w:val="0"/>
        <w:adjustRightInd/>
        <w:snapToGrid/>
        <w:spacing w:after="0" w:line="340" w:lineRule="exact"/>
        <w:ind w:firstLine="0" w:firstLineChars="0"/>
        <w:jc w:val="both"/>
        <w:textAlignment w:val="auto"/>
        <w:rPr>
          <w:rFonts w:ascii="宋体" w:hAnsi="宋体" w:eastAsia="宋体" w:cs="宋体"/>
          <w:sz w:val="22"/>
          <w:szCs w:val="20"/>
          <w:lang w:val="en-US" w:eastAsia="zh-CN" w:bidi="ar-SA"/>
        </w:rPr>
      </w:pPr>
      <w:r>
        <w:rPr>
          <w:rFonts w:hint="eastAsia" w:ascii="宋体" w:hAnsi="宋体" w:eastAsia="宋体" w:cs="宋体"/>
          <w:b/>
          <w:bCs/>
          <w:sz w:val="22"/>
          <w:szCs w:val="20"/>
          <w:lang w:val="en-US" w:eastAsia="zh-CN" w:bidi="ar-SA"/>
        </w:rPr>
        <w:t>七、其他补充事宜</w:t>
      </w:r>
      <w:r>
        <w:rPr>
          <w:rFonts w:hint="eastAsia" w:ascii="宋体" w:hAnsi="宋体" w:eastAsia="宋体" w:cs="宋体"/>
          <w:sz w:val="22"/>
          <w:szCs w:val="20"/>
          <w:lang w:val="en-US" w:eastAsia="zh-CN" w:bidi="ar-SA"/>
        </w:rPr>
        <w:t xml:space="preserve"> </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eastAsia="zh-CN"/>
        </w:rPr>
        <w:t>1、企业诚信库注册</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eastAsia="zh-CN"/>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eastAsia="zh-CN"/>
        </w:rPr>
        <w:t>2、办理CA数字证书</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hint="eastAsia"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eastAsia="zh-CN"/>
        </w:rPr>
        <w:t>供应商完成企业诚信库注册后，必须办理CA数字证书方可在网上办理招投标相关业务。CA数字证书办理请参见南阳市公共资源交易中心网站下载专区《CA办理所需资料》。</w:t>
      </w:r>
    </w:p>
    <w:p>
      <w:pPr>
        <w:keepNext w:val="0"/>
        <w:keepLines w:val="0"/>
        <w:pageBreakBefore w:val="0"/>
        <w:kinsoku/>
        <w:wordWrap/>
        <w:overflowPunct/>
        <w:topLinePunct w:val="0"/>
        <w:autoSpaceDE/>
        <w:autoSpaceDN/>
        <w:bidi w:val="0"/>
        <w:adjustRightInd/>
        <w:snapToGrid/>
        <w:spacing w:after="0" w:line="340" w:lineRule="exact"/>
        <w:ind w:firstLine="220" w:firstLineChars="100"/>
        <w:textAlignment w:val="auto"/>
        <w:rPr>
          <w:rFonts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val="en-US" w:eastAsia="zh-CN"/>
        </w:rPr>
        <w:t>3</w:t>
      </w:r>
      <w:r>
        <w:rPr>
          <w:rFonts w:hint="eastAsia" w:ascii="宋体" w:hAnsi="宋体" w:eastAsia="宋体" w:cs="宋体"/>
          <w:snapToGrid/>
          <w:color w:val="000000"/>
          <w:sz w:val="22"/>
          <w:szCs w:val="22"/>
          <w:lang w:eastAsia="zh-CN"/>
        </w:rPr>
        <w:t>、因投标人无需现场参与开标，所有准备工作需要自行到位。开标过程中如遇到紧急事项，可在不见面开标大厅中进行提出异议或文字交流，严重问题可拨打技术支持电话400-998-0000。</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val="en-US" w:eastAsia="zh-CN"/>
        </w:rPr>
        <w:t>4</w:t>
      </w:r>
      <w:r>
        <w:rPr>
          <w:rFonts w:hint="eastAsia" w:ascii="宋体" w:hAnsi="宋体" w:eastAsia="宋体" w:cs="宋体"/>
          <w:snapToGrid/>
          <w:color w:val="000000"/>
          <w:sz w:val="22"/>
          <w:szCs w:val="22"/>
          <w:lang w:eastAsia="zh-CN"/>
        </w:rPr>
        <w:t>、不见面开标过程中，各投标人应在解密指令发出后30分钟内完成投标文件的解密。如遇特殊情况，解密时间可延迟30分钟。</w:t>
      </w:r>
    </w:p>
    <w:p>
      <w:pPr>
        <w:keepNext w:val="0"/>
        <w:keepLines w:val="0"/>
        <w:pageBreakBefore w:val="0"/>
        <w:widowControl w:val="0"/>
        <w:kinsoku/>
        <w:wordWrap/>
        <w:overflowPunct/>
        <w:topLinePunct w:val="0"/>
        <w:autoSpaceDE/>
        <w:autoSpaceDN/>
        <w:bidi w:val="0"/>
        <w:adjustRightInd/>
        <w:snapToGrid/>
        <w:spacing w:after="0" w:line="340" w:lineRule="exact"/>
        <w:ind w:firstLine="220" w:firstLineChars="100"/>
        <w:textAlignment w:val="auto"/>
        <w:rPr>
          <w:rFonts w:hint="eastAsia" w:ascii="宋体" w:hAnsi="宋体" w:eastAsia="宋体" w:cs="宋体"/>
          <w:snapToGrid/>
          <w:color w:val="000000"/>
          <w:sz w:val="22"/>
          <w:szCs w:val="22"/>
          <w:lang w:eastAsia="zh-CN"/>
        </w:rPr>
      </w:pPr>
      <w:r>
        <w:rPr>
          <w:rFonts w:hint="eastAsia" w:ascii="宋体" w:hAnsi="宋体" w:eastAsia="宋体" w:cs="宋体"/>
          <w:snapToGrid/>
          <w:color w:val="000000"/>
          <w:sz w:val="22"/>
          <w:szCs w:val="22"/>
          <w:lang w:val="en-US" w:eastAsia="zh-CN"/>
        </w:rPr>
        <w:t>5</w:t>
      </w:r>
      <w:r>
        <w:rPr>
          <w:rFonts w:hint="eastAsia" w:ascii="宋体" w:hAnsi="宋体" w:eastAsia="宋体" w:cs="宋体"/>
          <w:snapToGrid/>
          <w:color w:val="000000"/>
          <w:sz w:val="22"/>
          <w:szCs w:val="22"/>
          <w:lang w:eastAsia="zh-CN"/>
        </w:rPr>
        <w:t>、本项目为电子评标项目，投标人须提供电子投标文件，电子投标文件需要使用投标文件制作工具制作，制作工具及操作手册可在南阳市公共资源交易中心网站“下载专区”中下载。</w:t>
      </w:r>
    </w:p>
    <w:p>
      <w:pPr>
        <w:widowControl w:val="0"/>
        <w:adjustRightInd/>
        <w:snapToGrid/>
        <w:spacing w:after="120"/>
        <w:ind w:firstLine="220" w:firstLineChars="100"/>
        <w:jc w:val="both"/>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6、请各潜在供应商在获取文件后及时关注网站更新信息，若因其他原因未能及时看到网上更新信息而造成的损失，采购人及采购代理机构将不负任何责任。</w:t>
      </w:r>
    </w:p>
    <w:p>
      <w:pPr>
        <w:widowControl w:val="0"/>
        <w:adjustRightInd/>
        <w:snapToGrid/>
        <w:spacing w:after="120"/>
        <w:ind w:firstLine="220" w:firstLineChars="100"/>
        <w:jc w:val="both"/>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电子交易系统技术支持电话：400-998-0000</w:t>
      </w:r>
    </w:p>
    <w:p>
      <w:pPr>
        <w:widowControl w:val="0"/>
        <w:adjustRightInd/>
        <w:snapToGrid/>
        <w:spacing w:after="120"/>
        <w:ind w:firstLine="220" w:firstLineChars="100"/>
        <w:jc w:val="both"/>
        <w:rPr>
          <w:rFonts w:hint="eastAsia" w:ascii="Times New Roman" w:hAnsi="Times New Roman" w:eastAsia="宋体" w:cs="Times New Roman"/>
          <w:sz w:val="22"/>
          <w:szCs w:val="20"/>
          <w:lang w:val="en-US" w:eastAsia="zh-CN" w:bidi="ar-SA"/>
        </w:rPr>
      </w:pPr>
      <w:r>
        <w:rPr>
          <w:rFonts w:hint="eastAsia" w:ascii="Times New Roman" w:hAnsi="Times New Roman" w:eastAsia="宋体" w:cs="Times New Roman"/>
          <w:sz w:val="22"/>
          <w:szCs w:val="20"/>
          <w:lang w:val="en-US" w:eastAsia="zh-CN" w:bidi="ar-SA"/>
        </w:rPr>
        <w:t>CA数字证书技术支持电话：详见淅川县公共资源交易中心网站首页CA办理和咨询</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7、监督部门：淅川县财政局</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监督部门代码：11411326006042033B</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地址：淅川县金河镇</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联 系 人：陈先生</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联系电话：0377-60668835</w:t>
      </w:r>
    </w:p>
    <w:p>
      <w:pPr>
        <w:keepNext w:val="0"/>
        <w:keepLines w:val="0"/>
        <w:pageBreakBefore w:val="0"/>
        <w:kinsoku/>
        <w:wordWrap/>
        <w:overflowPunct/>
        <w:topLinePunct w:val="0"/>
        <w:autoSpaceDE/>
        <w:autoSpaceDN/>
        <w:bidi w:val="0"/>
        <w:adjustRightInd/>
        <w:snapToGrid/>
        <w:spacing w:after="0" w:line="340" w:lineRule="exact"/>
        <w:textAlignment w:val="auto"/>
        <w:rPr>
          <w:rFonts w:ascii="宋体" w:hAnsi="宋体" w:eastAsia="宋体" w:cs="宋体"/>
          <w:snapToGrid/>
          <w:color w:val="000000"/>
          <w:sz w:val="22"/>
          <w:szCs w:val="22"/>
          <w:lang w:eastAsia="zh-CN"/>
        </w:rPr>
      </w:pPr>
      <w:r>
        <w:rPr>
          <w:rFonts w:hint="eastAsia" w:ascii="宋体" w:hAnsi="宋体" w:eastAsia="宋体" w:cs="宋体"/>
          <w:b/>
          <w:bCs/>
          <w:snapToGrid/>
          <w:sz w:val="22"/>
          <w:szCs w:val="21"/>
          <w:lang w:eastAsia="zh-CN"/>
        </w:rPr>
        <w:t>八、凡对本次招标提出询问，请按照以下方式联系</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1.名称：淅川县旅游发展服务中心</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地址：淅川县北区富强路</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联系人：王女士</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联系方式：15688110103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2.采购代理机构信息 (如有)</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名称：江苏诺实工程管理咨询有限公司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地址：江苏省南通市崇川区永兴街道永扬路9号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联系人：张女士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联系方式：13228868727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3.项目联系方式</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 xml:space="preserve">项目联系人：张女士 </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color w:val="000000"/>
          <w:sz w:val="22"/>
          <w:szCs w:val="22"/>
          <w:lang w:val="en-US" w:eastAsia="zh-CN"/>
        </w:rPr>
      </w:pPr>
      <w:r>
        <w:rPr>
          <w:rFonts w:hint="eastAsia" w:ascii="宋体" w:hAnsi="宋体" w:eastAsia="宋体" w:cs="宋体"/>
          <w:snapToGrid/>
          <w:color w:val="000000"/>
          <w:sz w:val="22"/>
          <w:szCs w:val="22"/>
          <w:lang w:val="en-US" w:eastAsia="zh-CN"/>
        </w:rPr>
        <w:t>联系方式： 13228868727</w:t>
      </w:r>
    </w:p>
    <w:p>
      <w:pPr>
        <w:keepNext w:val="0"/>
        <w:keepLines w:val="0"/>
        <w:pageBreakBefore w:val="0"/>
        <w:kinsoku/>
        <w:wordWrap/>
        <w:overflowPunct/>
        <w:topLinePunct w:val="0"/>
        <w:autoSpaceDE/>
        <w:autoSpaceDN/>
        <w:bidi w:val="0"/>
        <w:adjustRightInd/>
        <w:snapToGrid/>
        <w:spacing w:after="0" w:line="340" w:lineRule="exact"/>
        <w:ind w:leftChars="100"/>
        <w:textAlignment w:val="auto"/>
        <w:rPr>
          <w:rFonts w:hint="eastAsia" w:ascii="宋体" w:hAnsi="宋体" w:eastAsia="宋体" w:cs="宋体"/>
          <w:snapToGrid/>
          <w:sz w:val="21"/>
          <w:szCs w:val="21"/>
          <w:highlight w:val="yellow"/>
          <w:lang w:eastAsia="zh-CN"/>
        </w:rPr>
      </w:pPr>
      <w:r>
        <w:rPr>
          <w:rFonts w:hint="eastAsia" w:ascii="宋体" w:hAnsi="宋体" w:eastAsia="宋体" w:cs="宋体"/>
          <w:snapToGrid/>
          <w:color w:val="000000"/>
          <w:sz w:val="22"/>
          <w:szCs w:val="22"/>
          <w:lang w:val="en-US" w:eastAsia="zh-CN"/>
        </w:rPr>
        <w:t xml:space="preserve">  </w:t>
      </w:r>
      <w:r>
        <w:rPr>
          <w:rFonts w:hint="eastAsia" w:ascii="宋体" w:hAnsi="宋体" w:eastAsia="宋体" w:cs="宋体"/>
          <w:snapToGrid/>
          <w:sz w:val="21"/>
          <w:szCs w:val="21"/>
          <w:highlight w:val="yellow"/>
          <w:lang w:eastAsia="zh-CN"/>
        </w:rPr>
        <w:br w:type="page"/>
      </w:r>
    </w:p>
    <w:p>
      <w:pPr>
        <w:pStyle w:val="3"/>
        <w:kinsoku/>
        <w:wordWrap w:val="0"/>
        <w:spacing w:line="360" w:lineRule="auto"/>
        <w:jc w:val="center"/>
        <w:rPr>
          <w:rFonts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rPr>
        <w:t>第二章采购需求</w:t>
      </w:r>
    </w:p>
    <w:p>
      <w:pPr>
        <w:pStyle w:val="3"/>
        <w:kinsoku/>
        <w:wordWrap w:val="0"/>
        <w:spacing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说明：</w:t>
      </w:r>
    </w:p>
    <w:p>
      <w:pPr>
        <w:pStyle w:val="3"/>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1.采购项目的采购需求应按照《南阳市财政局关于规范政府采购需求管理的通知》（宛财购〔2021〕10号）的要求确定，符合《政府采购需求管理办法》的规定。</w:t>
      </w:r>
    </w:p>
    <w:p>
      <w:pPr>
        <w:pStyle w:val="3"/>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2</w:t>
      </w:r>
      <w:r>
        <w:rPr>
          <w:rFonts w:hint="eastAsia" w:asciiTheme="minorEastAsia" w:hAnsiTheme="minorEastAsia" w:eastAsiaTheme="minorEastAsia" w:cstheme="minorEastAsia"/>
          <w:spacing w:val="-1"/>
          <w:sz w:val="24"/>
          <w:szCs w:val="24"/>
        </w:rPr>
        <w:t>.当采购项目涉及数据中心相关设备、运维服务时，采购需求应当符合《绿色数据中心政府采购需求标准（试行）》（财库〔2023〕7号）的有关要求。</w:t>
      </w:r>
    </w:p>
    <w:p>
      <w:pPr>
        <w:pStyle w:val="3"/>
        <w:kinsoku/>
        <w:wordWrap w:val="0"/>
        <w:spacing w:line="360" w:lineRule="auto"/>
        <w:ind w:firstLine="476" w:firstLineChars="200"/>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1"/>
          <w:sz w:val="24"/>
          <w:szCs w:val="24"/>
          <w:lang w:eastAsia="zh-CN"/>
        </w:rPr>
        <w:t>3</w:t>
      </w:r>
      <w:r>
        <w:rPr>
          <w:rFonts w:hint="eastAsia" w:asciiTheme="minorEastAsia" w:hAnsiTheme="minorEastAsia" w:eastAsiaTheme="minorEastAsia" w:cstheme="minorEastAsia"/>
          <w:spacing w:val="-1"/>
          <w:sz w:val="24"/>
          <w:szCs w:val="24"/>
        </w:rPr>
        <w:t>.当采购项目涉及政务信息系统时，采购需求应当符合《政务信息系统政府采购管理暂行办法》（财库〔2017〕210号）的相关要求。</w:t>
      </w:r>
    </w:p>
    <w:p>
      <w:pPr>
        <w:pStyle w:val="3"/>
        <w:kinsoku/>
        <w:wordWrap w:val="0"/>
        <w:spacing w:line="360" w:lineRule="auto"/>
        <w:jc w:val="both"/>
        <w:rPr>
          <w:rFonts w:hint="eastAsia"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rPr>
        <w:t>一、</w:t>
      </w:r>
      <w:r>
        <w:rPr>
          <w:rFonts w:hint="eastAsia" w:asciiTheme="minorEastAsia" w:hAnsiTheme="minorEastAsia" w:eastAsiaTheme="minorEastAsia" w:cstheme="minorEastAsia"/>
          <w:spacing w:val="-1"/>
          <w:sz w:val="24"/>
          <w:szCs w:val="24"/>
          <w:highlight w:val="none"/>
          <w:lang w:val="en-US" w:eastAsia="zh-CN"/>
        </w:rPr>
        <w:t>服务</w:t>
      </w:r>
      <w:r>
        <w:rPr>
          <w:rFonts w:hint="eastAsia" w:asciiTheme="minorEastAsia" w:hAnsiTheme="minorEastAsia" w:eastAsiaTheme="minorEastAsia" w:cstheme="minorEastAsia"/>
          <w:spacing w:val="-1"/>
          <w:sz w:val="24"/>
          <w:szCs w:val="24"/>
          <w:highlight w:val="none"/>
          <w:lang w:eastAsia="zh-CN"/>
        </w:rPr>
        <w:t>内容及要求</w:t>
      </w:r>
    </w:p>
    <w:p>
      <w:pPr>
        <w:pStyle w:val="3"/>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资料收集分析，编制上报《旅游资源预目录》，摸透淅川县旅游资源家底，主要对地文景观、水域景观、生物景观、天象与气候景观、建筑与设施、历史遗迹、旅游购品、人文活动八大类旅游资源开展全面普查。</w:t>
      </w:r>
    </w:p>
    <w:p>
      <w:pPr>
        <w:pStyle w:val="3"/>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（2）开展野外调查、核查及补充调查工作，挖掘旅游资源景点，提升县域内旅游资源点的价值属性。</w:t>
      </w:r>
    </w:p>
    <w:p>
      <w:pPr>
        <w:pStyle w:val="3"/>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（3）开展旅游资源评价工作，科学评定旅游资源单体、综合体等级，合理划分濮阳县旅游资源分区。</w:t>
      </w:r>
    </w:p>
    <w:p>
      <w:pPr>
        <w:pStyle w:val="3"/>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（4）将采集的资源信息编制录入资源信息库平台。</w:t>
      </w:r>
    </w:p>
    <w:p>
      <w:pPr>
        <w:pStyle w:val="3"/>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（5）编制淅川县旅游资源调查评价报告等系列成果。</w:t>
      </w:r>
    </w:p>
    <w:p>
      <w:pPr>
        <w:pStyle w:val="3"/>
        <w:kinsoku/>
        <w:wordWrap w:val="0"/>
        <w:spacing w:line="360" w:lineRule="auto"/>
        <w:jc w:val="both"/>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w:t>
      </w:r>
      <w:r>
        <w:rPr>
          <w:rFonts w:hint="eastAsia" w:asciiTheme="minorEastAsia" w:hAnsiTheme="minorEastAsia" w:eastAsiaTheme="minorEastAsia" w:cstheme="minorEastAsia"/>
          <w:spacing w:val="1"/>
          <w:sz w:val="24"/>
          <w:szCs w:val="24"/>
          <w:lang w:eastAsia="zh-CN"/>
        </w:rPr>
        <w:t>项目</w:t>
      </w:r>
      <w:r>
        <w:rPr>
          <w:rFonts w:hint="eastAsia" w:asciiTheme="minorEastAsia" w:hAnsiTheme="minorEastAsia" w:eastAsiaTheme="minorEastAsia" w:cstheme="minorEastAsia"/>
          <w:spacing w:val="1"/>
          <w:sz w:val="24"/>
          <w:szCs w:val="24"/>
        </w:rPr>
        <w:t>商务要求</w:t>
      </w:r>
    </w:p>
    <w:p>
      <w:pPr>
        <w:pStyle w:val="3"/>
        <w:kinsoku/>
        <w:wordWrap w:val="0"/>
        <w:spacing w:line="360" w:lineRule="auto"/>
        <w:ind w:firstLine="476" w:firstLineChars="200"/>
        <w:jc w:val="both"/>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：自合同签订之日起至2024年河南省旅游资源普查结束。</w:t>
      </w:r>
    </w:p>
    <w:p>
      <w:pPr>
        <w:pStyle w:val="3"/>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2.付款方式（应符合南阳市财政局关于印发《关于压缩各环节时间进一步优化政府采购营商环境的通知》（宛财购〔2022〕5号）的要求）</w:t>
      </w:r>
    </w:p>
    <w:p>
      <w:pPr>
        <w:pStyle w:val="3"/>
        <w:kinsoku/>
        <w:wordWrap w:val="0"/>
        <w:spacing w:line="360" w:lineRule="auto"/>
        <w:ind w:firstLine="472"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3.包装和运输（如适用，须满足《关于印发〈商品包装政府采购需求标准（试行）〉、〈快递包装政府采购需求标准（试行）〉的通知》（财办库﹝2020﹞123号）</w:t>
      </w:r>
    </w:p>
    <w:p>
      <w:pPr>
        <w:pStyle w:val="3"/>
        <w:kinsoku/>
        <w:wordWrap w:val="0"/>
        <w:spacing w:line="360" w:lineRule="auto"/>
        <w:ind w:firstLine="448" w:firstLineChars="2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8"/>
          <w:sz w:val="24"/>
          <w:szCs w:val="24"/>
        </w:rPr>
        <w:t>4.售后服务</w:t>
      </w:r>
      <w:r>
        <w:rPr>
          <w:rFonts w:hint="eastAsia" w:asciiTheme="minorEastAsia" w:hAnsiTheme="minorEastAsia" w:eastAsiaTheme="minorEastAsia" w:cstheme="minorEastAsia"/>
          <w:spacing w:val="-8"/>
          <w:sz w:val="24"/>
          <w:szCs w:val="24"/>
          <w:lang w:eastAsia="zh-CN"/>
        </w:rPr>
        <w:t>要求</w:t>
      </w:r>
      <w:r>
        <w:rPr>
          <w:rFonts w:hint="eastAsia" w:asciiTheme="minorEastAsia" w:hAnsiTheme="minorEastAsia" w:eastAsiaTheme="minorEastAsia" w:cstheme="minorEastAsia"/>
          <w:spacing w:val="-8"/>
          <w:sz w:val="24"/>
          <w:szCs w:val="24"/>
        </w:rPr>
        <w:t>（质保期</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无</w:t>
      </w:r>
    </w:p>
    <w:p>
      <w:pPr>
        <w:pStyle w:val="3"/>
        <w:kinsoku/>
        <w:wordWrap w:val="0"/>
        <w:spacing w:line="360" w:lineRule="auto"/>
        <w:ind w:firstLine="472" w:firstLineChars="200"/>
        <w:jc w:val="both"/>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eastAsia="zh-CN"/>
        </w:rPr>
        <w:t>关于强制节能产品的要求：</w:t>
      </w:r>
      <w:r>
        <w:rPr>
          <w:rFonts w:hint="eastAsia" w:asciiTheme="minorEastAsia" w:hAnsiTheme="minorEastAsia" w:eastAsiaTheme="minorEastAsia" w:cstheme="minorEastAsia"/>
          <w:spacing w:val="-5"/>
          <w:sz w:val="24"/>
          <w:szCs w:val="24"/>
          <w:lang w:val="en-US" w:eastAsia="zh-CN"/>
        </w:rPr>
        <w:t>无</w:t>
      </w:r>
      <w:r>
        <w:rPr>
          <w:rFonts w:hint="eastAsia" w:asciiTheme="minorEastAsia" w:hAnsiTheme="minorEastAsia" w:eastAsiaTheme="minorEastAsia" w:cstheme="minorEastAsia"/>
          <w:spacing w:val="-5"/>
          <w:sz w:val="24"/>
          <w:szCs w:val="24"/>
          <w:lang w:eastAsia="zh-CN"/>
        </w:rPr>
        <w:t>。</w:t>
      </w:r>
    </w:p>
    <w:p>
      <w:pPr>
        <w:pStyle w:val="3"/>
        <w:kinsoku/>
        <w:wordWrap w:val="0"/>
        <w:spacing w:line="360" w:lineRule="auto"/>
        <w:ind w:firstLine="46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2"/>
          <w:sz w:val="24"/>
          <w:szCs w:val="24"/>
        </w:rPr>
        <w:t>保险（如适用）</w:t>
      </w:r>
    </w:p>
    <w:p>
      <w:pPr>
        <w:pStyle w:val="3"/>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eastAsia="zh-CN"/>
        </w:rPr>
        <w:t>及方式</w:t>
      </w:r>
    </w:p>
    <w:p>
      <w:pPr>
        <w:pStyle w:val="33"/>
        <w:ind w:firstLine="480" w:firstLineChars="200"/>
        <w:rPr>
          <w:rFonts w:hint="eastAsia"/>
          <w:lang w:eastAsia="zh-CN"/>
        </w:rPr>
      </w:pPr>
      <w:r>
        <w:rPr>
          <w:rFonts w:hint="eastAsia"/>
          <w:lang w:val="en-US" w:eastAsia="zh-CN"/>
        </w:rPr>
        <w:t>7</w:t>
      </w:r>
      <w:r>
        <w:rPr>
          <w:rFonts w:hint="eastAsia"/>
          <w:lang w:eastAsia="zh-CN"/>
        </w:rPr>
        <w:t xml:space="preserve">.1 验收标准：中标人在验收活动中必须遵守采购人的有关规定。依照国家有关规定以及招标文件、投标文件、中标承诺和合同约定的标准等要求进行验收,经采购人完全确认后，完成验收。 </w:t>
      </w:r>
    </w:p>
    <w:p>
      <w:pPr>
        <w:pStyle w:val="33"/>
        <w:ind w:firstLine="480" w:firstLineChars="200"/>
        <w:rPr>
          <w:lang w:eastAsia="zh-CN"/>
        </w:rPr>
      </w:pPr>
      <w:r>
        <w:rPr>
          <w:rFonts w:hint="eastAsia"/>
          <w:lang w:val="en-US" w:eastAsia="zh-CN"/>
        </w:rPr>
        <w:t>7</w:t>
      </w:r>
      <w:r>
        <w:rPr>
          <w:rFonts w:hint="eastAsia"/>
          <w:lang w:eastAsia="zh-CN"/>
        </w:rPr>
        <w:t>.2验收方式：现场验收</w:t>
      </w:r>
    </w:p>
    <w:p>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样品，样品提供要求、方式、摆放时间及地点；</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样品。</w:t>
      </w:r>
    </w:p>
    <w:p>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eastAsia="zh-CN"/>
        </w:rPr>
        <w:t>有</w:t>
      </w:r>
      <w:r>
        <w:rPr>
          <w:rFonts w:hint="eastAsia" w:asciiTheme="minorEastAsia" w:hAnsiTheme="minorEastAsia" w:eastAsiaTheme="minorEastAsia" w:cstheme="minorEastAsia"/>
          <w:sz w:val="24"/>
          <w:szCs w:val="24"/>
          <w:lang w:eastAsia="zh-CN"/>
        </w:rPr>
        <w:t>演示，演示要求、内容、方式及地点。鼓励使用不见面演示；</w:t>
      </w:r>
      <w:r>
        <w:rPr>
          <w:rFonts w:hint="eastAsia" w:asciiTheme="minorEastAsia" w:hAnsiTheme="minorEastAsia" w:eastAsiaTheme="minorEastAsia" w:cstheme="minorEastAsia"/>
          <w:spacing w:val="30"/>
          <w:sz w:val="24"/>
          <w:szCs w:val="24"/>
          <w:lang w:eastAsia="zh-CN"/>
        </w:rPr>
        <w:t>☑无</w:t>
      </w:r>
      <w:r>
        <w:rPr>
          <w:rFonts w:hint="eastAsia" w:asciiTheme="minorEastAsia" w:hAnsiTheme="minorEastAsia" w:eastAsiaTheme="minorEastAsia" w:cstheme="minorEastAsia"/>
          <w:sz w:val="24"/>
          <w:szCs w:val="24"/>
          <w:lang w:eastAsia="zh-CN"/>
        </w:rPr>
        <w:t>演示。</w:t>
      </w:r>
    </w:p>
    <w:p>
      <w:pPr>
        <w:kinsoku/>
        <w:wordWrap w:val="0"/>
        <w:spacing w:line="360" w:lineRule="auto"/>
        <w:ind w:firstLine="480" w:firstLineChars="200"/>
        <w:jc w:val="both"/>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eastAsia="zh-CN"/>
        </w:rPr>
        <w:t>10.</w:t>
      </w:r>
      <w:r>
        <w:rPr>
          <w:rFonts w:hint="eastAsia" w:asciiTheme="minorEastAsia" w:hAnsiTheme="minorEastAsia" w:eastAsiaTheme="minorEastAsia" w:cstheme="minorEastAsia"/>
          <w:spacing w:val="-1"/>
          <w:sz w:val="24"/>
          <w:szCs w:val="24"/>
        </w:rPr>
        <w:t>其他要求（如有）</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无</w:t>
      </w:r>
    </w:p>
    <w:p>
      <w:pPr>
        <w:pStyle w:val="3"/>
        <w:kinsoku/>
        <w:wordWrap w:val="0"/>
        <w:spacing w:before="352" w:line="690" w:lineRule="exact"/>
        <w:jc w:val="both"/>
        <w:rPr>
          <w:rFonts w:asciiTheme="minorEastAsia" w:hAnsiTheme="minorEastAsia" w:eastAsiaTheme="minorEastAsia" w:cstheme="minorEastAsia"/>
          <w:spacing w:val="-1"/>
          <w:position w:val="24"/>
          <w:sz w:val="36"/>
          <w:szCs w:val="36"/>
          <w:lang w:eastAsia="zh-CN"/>
        </w:rPr>
      </w:pPr>
    </w:p>
    <w:p>
      <w:pPr>
        <w:pStyle w:val="3"/>
        <w:kinsoku/>
        <w:wordWrap w:val="0"/>
        <w:spacing w:before="352" w:line="690" w:lineRule="exact"/>
        <w:jc w:val="both"/>
        <w:rPr>
          <w:rFonts w:asciiTheme="minorEastAsia" w:hAnsiTheme="minorEastAsia" w:eastAsiaTheme="minorEastAsia" w:cstheme="minorEastAsia"/>
          <w:spacing w:val="-1"/>
          <w:position w:val="24"/>
          <w:sz w:val="36"/>
          <w:szCs w:val="36"/>
          <w:lang w:eastAsia="zh-CN"/>
        </w:rPr>
      </w:pPr>
    </w:p>
    <w:p>
      <w:pPr>
        <w:rPr>
          <w:rFonts w:hint="eastAsia" w:asciiTheme="minorEastAsia" w:hAnsiTheme="minorEastAsia" w:eastAsiaTheme="minorEastAsia" w:cstheme="minorEastAsia"/>
          <w:spacing w:val="-1"/>
          <w:position w:val="24"/>
          <w:sz w:val="36"/>
          <w:szCs w:val="36"/>
          <w:lang w:eastAsia="zh-CN"/>
        </w:rPr>
      </w:pPr>
      <w:r>
        <w:rPr>
          <w:rFonts w:hint="eastAsia" w:asciiTheme="minorEastAsia" w:hAnsiTheme="minorEastAsia" w:eastAsiaTheme="minorEastAsia" w:cstheme="minorEastAsia"/>
          <w:spacing w:val="-1"/>
          <w:position w:val="24"/>
          <w:sz w:val="36"/>
          <w:szCs w:val="36"/>
          <w:lang w:eastAsia="zh-CN"/>
        </w:rPr>
        <w:br w:type="page"/>
      </w:r>
    </w:p>
    <w:p>
      <w:pPr>
        <w:pStyle w:val="3"/>
        <w:kinsoku/>
        <w:wordWrap w:val="0"/>
        <w:spacing w:before="352" w:line="690" w:lineRule="exact"/>
        <w:jc w:val="center"/>
        <w:rPr>
          <w:rFonts w:asciiTheme="minorEastAsia" w:hAnsiTheme="minorEastAsia" w:eastAsiaTheme="minorEastAsia" w:cstheme="minorEastAsia"/>
          <w:spacing w:val="-1"/>
          <w:sz w:val="28"/>
          <w:szCs w:val="28"/>
        </w:rPr>
      </w:pPr>
      <w:r>
        <w:rPr>
          <w:rFonts w:hint="eastAsia" w:asciiTheme="minorEastAsia" w:hAnsiTheme="minorEastAsia" w:eastAsiaTheme="minorEastAsia" w:cstheme="minorEastAsia"/>
          <w:spacing w:val="-1"/>
          <w:position w:val="24"/>
          <w:sz w:val="36"/>
          <w:szCs w:val="36"/>
          <w:lang w:eastAsia="zh-CN"/>
        </w:rPr>
        <w:t xml:space="preserve">第三章 </w:t>
      </w:r>
      <w:r>
        <w:rPr>
          <w:rFonts w:hint="eastAsia" w:asciiTheme="minorEastAsia" w:hAnsiTheme="minorEastAsia" w:eastAsiaTheme="minorEastAsia" w:cstheme="minorEastAsia"/>
          <w:spacing w:val="-1"/>
          <w:position w:val="24"/>
          <w:sz w:val="36"/>
          <w:szCs w:val="36"/>
        </w:rPr>
        <w:t>投标人须知</w:t>
      </w:r>
    </w:p>
    <w:p>
      <w:pPr>
        <w:pStyle w:val="3"/>
        <w:kinsoku/>
        <w:wordWrap w:val="0"/>
        <w:spacing w:line="360"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pPr>
              <w:kinsoku/>
              <w:wordWrap w:val="0"/>
              <w:spacing w:line="240" w:lineRule="atLeast"/>
              <w:ind w:left="1080" w:leftChars="257" w:hanging="5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221" w:lineRule="auto"/>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35"/>
              <w:kinsoku/>
              <w:wordWrap w:val="0"/>
              <w:spacing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35"/>
              <w:kinsoku/>
              <w:wordWrap w:val="0"/>
              <w:spacing w:before="25" w:line="207" w:lineRule="auto"/>
              <w:ind w:left="126"/>
              <w:jc w:val="both"/>
              <w:rPr>
                <w:rFonts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tcPr>
          <w:p>
            <w:pPr>
              <w:kinsoku/>
              <w:wordWrap w:val="0"/>
              <w:spacing w:before="37" w:line="238"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35"/>
              <w:kinsoku/>
              <w:wordWrap w:val="0"/>
              <w:spacing w:line="223"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35"/>
              <w:kinsoku/>
              <w:wordWrap w:val="0"/>
              <w:spacing w:before="21" w:line="207"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5"/>
              <w:kinsoku/>
              <w:wordWrap w:val="0"/>
              <w:jc w:val="both"/>
              <w:rPr>
                <w:rFonts w:asciiTheme="minorEastAsia" w:hAnsiTheme="minorEastAsia" w:eastAsiaTheme="minorEastAsia" w:cstheme="minorEastAsia"/>
              </w:rPr>
            </w:pPr>
          </w:p>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tcPr>
          <w:p>
            <w:pPr>
              <w:pStyle w:val="35"/>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35"/>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□组织，考察时间：年月日点分</w:t>
            </w:r>
          </w:p>
          <w:p>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tcPr>
          <w:p>
            <w:pPr>
              <w:pStyle w:val="35"/>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35"/>
              <w:kinsoku/>
              <w:wordWrap w:val="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□召开，召开时间：年月日点分</w:t>
            </w:r>
          </w:p>
          <w:p>
            <w:pPr>
              <w:kinsoku/>
              <w:wordWrap w:val="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35"/>
              <w:numPr>
                <w:ilvl w:val="0"/>
                <w:numId w:val="1"/>
              </w:numPr>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p>
          <w:p>
            <w:pPr>
              <w:pStyle w:val="35"/>
              <w:kinsoku/>
              <w:wordWrap w:val="0"/>
              <w:jc w:val="both"/>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pPr>
              <w:kinsoku/>
              <w:wordWrap w:val="0"/>
              <w:autoSpaceDE/>
              <w:autoSpaceDN/>
              <w:adjustRightInd/>
              <w:snapToGrid/>
              <w:jc w:val="both"/>
              <w:textAlignment w:val="auto"/>
              <w:rPr>
                <w:rFonts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lang w:val="en-US" w:eastAsia="zh-CN"/>
              </w:rPr>
              <w:t>15</w:t>
            </w:r>
            <w:r>
              <w:rPr>
                <w:rFonts w:hint="eastAsia" w:asciiTheme="minorEastAsia" w:hAnsiTheme="minorEastAsia" w:eastAsiaTheme="minorEastAsia" w:cstheme="minorEastAsia"/>
                <w:spacing w:val="29"/>
                <w:sz w:val="24"/>
                <w:szCs w:val="24"/>
                <w:lang w:eastAsia="zh-CN"/>
              </w:rPr>
              <w:t>%。</w:t>
            </w:r>
          </w:p>
          <w:p>
            <w:pPr>
              <w:kinsoku/>
              <w:wordWrap w:val="0"/>
              <w:autoSpaceDE/>
              <w:autoSpaceDN/>
              <w:adjustRightInd/>
              <w:snapToGrid/>
              <w:jc w:val="both"/>
              <w:textAlignment w:val="auto"/>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5"/>
              <w:kinsoku/>
              <w:wordWrap w:val="0"/>
              <w:spacing w:line="269" w:lineRule="auto"/>
              <w:jc w:val="both"/>
              <w:rPr>
                <w:rFonts w:asciiTheme="minorEastAsia" w:hAnsiTheme="minorEastAsia" w:eastAsiaTheme="minorEastAsia" w:cstheme="minorEastAsia"/>
              </w:rPr>
            </w:pPr>
          </w:p>
          <w:p>
            <w:pPr>
              <w:kinsoku/>
              <w:wordWrap w:val="0"/>
              <w:spacing w:before="78" w:line="219"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tcPr>
          <w:p>
            <w:pPr>
              <w:kinsoku/>
              <w:wordWrap w:val="0"/>
              <w:spacing w:before="40"/>
              <w:ind w:left="117"/>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pPr>
              <w:pStyle w:val="35"/>
              <w:kinsoku/>
              <w:wordWrap w:val="0"/>
              <w:spacing w:before="1" w:line="220" w:lineRule="auto"/>
              <w:ind w:left="12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35"/>
              <w:kinsoku/>
              <w:wordWrap w:val="0"/>
              <w:spacing w:before="23" w:line="189"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pacing w:val="-13"/>
                <w:sz w:val="24"/>
                <w:szCs w:val="24"/>
                <w:lang w:val="en-US" w:eastAsia="zh-CN"/>
              </w:rPr>
              <w:t>/</w:t>
            </w:r>
            <w:r>
              <w:rPr>
                <w:rFonts w:hint="eastAsia" w:asciiTheme="minorEastAsia" w:hAnsiTheme="minorEastAsia" w:eastAsiaTheme="minorEastAsia" w:cstheme="minorEastAsia"/>
                <w:spacing w:val="-11"/>
                <w:position w:val="5"/>
                <w:sz w:val="24"/>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2"/>
              <w:ind w:left="0" w:leftChars="0" w:firstLine="0" w:firstLineChars="0"/>
              <w:rPr>
                <w:rFonts w:hint="default"/>
                <w:lang w:val="en-US" w:eastAsia="zh-CN"/>
              </w:rPr>
            </w:pPr>
            <w:r>
              <w:rPr>
                <w:rFonts w:hint="eastAsia" w:asciiTheme="minorEastAsia" w:hAnsiTheme="minorEastAsia" w:eastAsiaTheme="minorEastAsia" w:cstheme="minorEastAsia"/>
                <w:snapToGrid w:val="0"/>
                <w:color w:val="000000"/>
                <w:sz w:val="24"/>
                <w:szCs w:val="24"/>
                <w:lang w:val="en-US" w:eastAsia="zh-CN" w:bidi="ar-SA"/>
              </w:rPr>
              <w:t>128.00</w:t>
            </w:r>
            <w:r>
              <w:rPr>
                <w:rFonts w:hint="default" w:asciiTheme="minorEastAsia" w:hAnsiTheme="minorEastAsia" w:eastAsiaTheme="minorEastAsia" w:cstheme="minorEastAsia"/>
                <w:snapToGrid w:val="0"/>
                <w:color w:val="000000"/>
                <w:sz w:val="24"/>
                <w:szCs w:val="24"/>
                <w:lang w:val="en-US" w:eastAsia="zh-CN" w:bidi="ar-SA"/>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25</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9</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lang w:val="en-US" w:eastAsia="zh-CN"/>
              </w:rPr>
              <w:t>00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lang w:val="en-US" w:eastAsia="zh-CN"/>
              </w:rPr>
              <w:t>2024</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lang w:val="en-US" w:eastAsia="zh-CN"/>
              </w:rPr>
              <w:t>25</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lang w:val="en-US" w:eastAsia="zh-CN"/>
              </w:rPr>
              <w:t>9</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lang w:val="en-US" w:eastAsia="zh-CN"/>
              </w:rPr>
              <w:t>00</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240" w:lineRule="atLeast"/>
              <w:jc w:val="both"/>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z w:val="24"/>
                <w:szCs w:val="24"/>
                <w:lang w:eastAsia="zh-CN"/>
              </w:rPr>
              <w:t>采购人是否委托评标委员会直接确定中标人：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☑否；</w:t>
            </w:r>
          </w:p>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推荐3名中标候选人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kinsoku/>
              <w:wordWrap w:val="0"/>
              <w:spacing w:line="240" w:lineRule="atLeast"/>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pPr>
              <w:pStyle w:val="35"/>
              <w:kinsoku/>
              <w:wordWrap w:val="0"/>
              <w:spacing w:before="1" w:line="220" w:lineRule="auto"/>
              <w:ind w:left="12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eastAsia="zh-CN"/>
              </w:rPr>
              <w:t>集中采购机构不收费</w:t>
            </w:r>
          </w:p>
          <w:p>
            <w:pPr>
              <w:pStyle w:val="35"/>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pPr>
              <w:pStyle w:val="35"/>
              <w:kinsoku/>
              <w:wordWrap w:val="0"/>
              <w:spacing w:before="1" w:line="220" w:lineRule="auto"/>
              <w:ind w:left="126"/>
              <w:jc w:val="both"/>
              <w:rPr>
                <w:rFonts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w:t>
            </w:r>
            <w:r>
              <w:rPr>
                <w:rFonts w:hint="eastAsia" w:asciiTheme="minorEastAsia" w:hAnsiTheme="minorEastAsia" w:eastAsiaTheme="minorEastAsia" w:cstheme="minorEastAsia"/>
                <w:spacing w:val="-13"/>
                <w:sz w:val="24"/>
                <w:szCs w:val="24"/>
                <w:lang w:val="zh-CN" w:eastAsia="zh-CN"/>
              </w:rPr>
              <w:t>参照《河南省招标代理服务收费指导意见》豫招协[2023]002号文规定由中标方支付</w:t>
            </w:r>
          </w:p>
        </w:tc>
      </w:tr>
    </w:tbl>
    <w:p>
      <w:pPr>
        <w:pStyle w:val="3"/>
        <w:kinsoku/>
        <w:wordWrap w:val="0"/>
        <w:spacing w:before="91" w:line="221" w:lineRule="auto"/>
        <w:jc w:val="both"/>
        <w:rPr>
          <w:rFonts w:asciiTheme="minorEastAsia" w:hAnsiTheme="minorEastAsia" w:eastAsiaTheme="minorEastAsia" w:cstheme="minorEastAsia"/>
          <w:spacing w:val="-2"/>
          <w:sz w:val="28"/>
          <w:szCs w:val="28"/>
        </w:rPr>
      </w:pPr>
    </w:p>
    <w:p>
      <w:pPr>
        <w:pStyle w:val="3"/>
        <w:kinsoku/>
        <w:wordWrap w:val="0"/>
        <w:spacing w:before="91" w:line="221" w:lineRule="auto"/>
        <w:jc w:val="both"/>
        <w:rPr>
          <w:rFonts w:asciiTheme="minorEastAsia" w:hAnsiTheme="minorEastAsia" w:eastAsiaTheme="minorEastAsia" w:cstheme="minorEastAsia"/>
          <w:spacing w:val="-2"/>
          <w:sz w:val="28"/>
          <w:szCs w:val="28"/>
        </w:rPr>
      </w:pPr>
    </w:p>
    <w:p>
      <w:pPr>
        <w:pStyle w:val="3"/>
        <w:kinsoku/>
        <w:wordWrap w:val="0"/>
        <w:spacing w:before="91" w:line="221"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投标人须知</w:t>
      </w:r>
    </w:p>
    <w:p>
      <w:pPr>
        <w:pStyle w:val="3"/>
        <w:kinsoku/>
        <w:wordWrap w:val="0"/>
        <w:spacing w:before="268"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rPr>
        <w:t>一</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说明</w:t>
      </w:r>
    </w:p>
    <w:p>
      <w:pPr>
        <w:pStyle w:val="3"/>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采购人、采购代理机构、投标人、联合体</w:t>
      </w:r>
    </w:p>
    <w:p>
      <w:pPr>
        <w:pStyle w:val="3"/>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pPr>
        <w:pStyle w:val="3"/>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1.2投标人（也称供应商、申请人）：指向采购人</w:t>
      </w:r>
      <w:r>
        <w:rPr>
          <w:rFonts w:hint="eastAsia" w:asciiTheme="minorEastAsia" w:hAnsiTheme="minorEastAsia" w:eastAsiaTheme="minorEastAsia" w:cstheme="minorEastAsia"/>
          <w:spacing w:val="2"/>
          <w:sz w:val="24"/>
          <w:szCs w:val="24"/>
          <w:lang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3"/>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3"/>
        <w:kinsoku/>
        <w:wordWrap w:val="0"/>
        <w:spacing w:line="360" w:lineRule="auto"/>
        <w:ind w:firstLine="478"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pPr>
        <w:pStyle w:val="3"/>
        <w:kinsoku/>
        <w:wordWrap w:val="0"/>
        <w:spacing w:line="360" w:lineRule="auto"/>
        <w:ind w:firstLine="50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lang w:val="en-US" w:eastAsia="zh-CN"/>
        </w:rPr>
        <w:t>约1280000元</w:t>
      </w:r>
      <w:r>
        <w:rPr>
          <w:rFonts w:hint="eastAsia" w:asciiTheme="minorEastAsia" w:hAnsiTheme="minorEastAsia" w:eastAsiaTheme="minorEastAsia" w:cstheme="minorEastAsia"/>
          <w:spacing w:val="-9"/>
          <w:sz w:val="24"/>
          <w:szCs w:val="24"/>
        </w:rPr>
        <w:t>。</w:t>
      </w:r>
    </w:p>
    <w:p>
      <w:pPr>
        <w:pStyle w:val="3"/>
        <w:kinsoku/>
        <w:wordWrap w:val="0"/>
        <w:spacing w:line="360" w:lineRule="auto"/>
        <w:ind w:firstLine="508" w:firstLineChars="200"/>
        <w:jc w:val="both"/>
        <w:rPr>
          <w:rFonts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pPr>
        <w:pStyle w:val="3"/>
        <w:kinsoku/>
        <w:wordWrap w:val="0"/>
        <w:spacing w:line="360" w:lineRule="auto"/>
        <w:ind w:firstLine="468"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pPr>
        <w:pStyle w:val="3"/>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pPr>
        <w:pStyle w:val="3"/>
        <w:kinsoku/>
        <w:wordWrap w:val="0"/>
        <w:spacing w:line="360" w:lineRule="auto"/>
        <w:ind w:firstLine="48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现场考察、开标前答疑会</w:t>
      </w:r>
    </w:p>
    <w:p>
      <w:pPr>
        <w:pStyle w:val="3"/>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pPr>
        <w:pStyle w:val="3"/>
        <w:kinsoku/>
        <w:wordWrap w:val="0"/>
        <w:spacing w:line="360" w:lineRule="auto"/>
        <w:ind w:firstLine="488" w:firstLineChars="2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3.2由于未参加现场考察或开标前答疑会而导致对项目实际情况不了解，影响投标文件编制、投标报价准确性、综合因素响应不全面等问题的，由投标人自行承担不利评审后果。</w:t>
      </w:r>
    </w:p>
    <w:p>
      <w:pPr>
        <w:pStyle w:val="3"/>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3"/>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.1采购本国货物、工程和服务</w:t>
      </w:r>
    </w:p>
    <w:p>
      <w:pPr>
        <w:pStyle w:val="3"/>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.1.1政府采购应当采购本国货物、工程和服务。但有《中华人民共和国政府采购法》第十条规定情形的除外。</w:t>
      </w:r>
    </w:p>
    <w:p>
      <w:pPr>
        <w:pStyle w:val="3"/>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eastAsia="zh-CN"/>
        </w:rPr>
        <w:t>二</w:t>
      </w:r>
      <w:r>
        <w:rPr>
          <w:rFonts w:hint="eastAsia" w:asciiTheme="minorEastAsia" w:hAnsiTheme="minorEastAsia" w:eastAsiaTheme="minorEastAsia" w:cstheme="minorEastAsia"/>
          <w:spacing w:val="-19"/>
          <w:sz w:val="24"/>
          <w:szCs w:val="24"/>
        </w:rPr>
        <w:t>章《采购需求》。</w:t>
      </w:r>
    </w:p>
    <w:p>
      <w:pPr>
        <w:pStyle w:val="3"/>
        <w:kinsoku/>
        <w:wordWrap w:val="0"/>
        <w:spacing w:line="360" w:lineRule="auto"/>
        <w:ind w:firstLine="50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eastAsia="zh-CN"/>
        </w:rPr>
        <w:t>以及南阳市财政局的具体规定</w:t>
      </w:r>
      <w:r>
        <w:rPr>
          <w:rFonts w:hint="eastAsia" w:asciiTheme="minorEastAsia" w:hAnsiTheme="minorEastAsia" w:eastAsiaTheme="minorEastAsia" w:cstheme="minorEastAsia"/>
          <w:spacing w:val="5"/>
          <w:sz w:val="24"/>
          <w:szCs w:val="24"/>
        </w:rPr>
        <w:t>。</w:t>
      </w:r>
    </w:p>
    <w:p>
      <w:pPr>
        <w:pStyle w:val="3"/>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3"/>
        <w:kinsoku/>
        <w:wordWrap w:val="0"/>
        <w:spacing w:line="360" w:lineRule="auto"/>
        <w:ind w:firstLine="47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.2.1中小企业定义：</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eastAsia="zh-CN"/>
        </w:rPr>
        <w:t>执行</w:t>
      </w:r>
      <w:r>
        <w:rPr>
          <w:rFonts w:hint="eastAsia" w:asciiTheme="minorEastAsia" w:hAnsiTheme="minorEastAsia" w:eastAsiaTheme="minorEastAsia" w:cstheme="minorEastAsia"/>
          <w:spacing w:val="-4"/>
          <w:sz w:val="24"/>
          <w:szCs w:val="24"/>
        </w:rPr>
        <w:t>。</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3"/>
        <w:kinsoku/>
        <w:wordWrap w:val="0"/>
        <w:spacing w:line="360" w:lineRule="auto"/>
        <w:ind w:firstLine="464" w:firstLineChars="200"/>
        <w:jc w:val="both"/>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pPr>
        <w:pStyle w:val="3"/>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4</w:t>
      </w:r>
      <w:r>
        <w:rPr>
          <w:rFonts w:hint="eastAsia" w:asciiTheme="minorEastAsia" w:hAnsiTheme="minorEastAsia" w:eastAsiaTheme="minorEastAsia" w:cstheme="minorEastAsia"/>
          <w:spacing w:val="-4"/>
          <w:sz w:val="24"/>
          <w:szCs w:val="24"/>
        </w:rPr>
        <w:t>.2.2在政府采购活动中，监狱企业视同小型、微型企业，享受预留份额、评审中价格扣除等政府采购促进中小企业发展的政府采购政策。监狱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3"/>
        <w:kinsoku/>
        <w:wordWrap w:val="0"/>
        <w:spacing w:line="360" w:lineRule="auto"/>
        <w:ind w:firstLine="44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3"/>
        <w:spacing w:line="360" w:lineRule="auto"/>
        <w:ind w:firstLine="620" w:firstLineChars="200"/>
        <w:rPr>
          <w:rFonts w:asciiTheme="minorEastAsia" w:hAnsiTheme="minorEastAsia" w:eastAsiaTheme="minorEastAsia" w:cstheme="minorEastAsia"/>
          <w:spacing w:val="-8"/>
          <w:sz w:val="24"/>
          <w:szCs w:val="24"/>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.2.4本项目是否专门面向中小企业预留采购份额见第一章《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.2.5采购标的对应的中小企业划分标准所属行业见《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.2.6小微企业价格评审优惠的政策调整：见第四章《</w:t>
      </w:r>
      <w:r>
        <w:rPr>
          <w:rFonts w:hint="eastAsia" w:asciiTheme="minorEastAsia" w:hAnsiTheme="minorEastAsia" w:eastAsiaTheme="minorEastAsia" w:cstheme="minorEastAsia"/>
          <w:spacing w:val="-8"/>
          <w:sz w:val="24"/>
          <w:szCs w:val="24"/>
          <w:lang w:eastAsia="zh-CN"/>
        </w:rPr>
        <w:t>开、</w:t>
      </w:r>
      <w:r>
        <w:rPr>
          <w:rFonts w:hint="eastAsia" w:asciiTheme="minorEastAsia" w:hAnsiTheme="minorEastAsia" w:eastAsiaTheme="minorEastAsia" w:cstheme="minorEastAsia"/>
          <w:spacing w:val="-8"/>
          <w:sz w:val="24"/>
          <w:szCs w:val="24"/>
        </w:rPr>
        <w:t>评标程序、评标方法和评标标准》。</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.3政府采购节能产品、环境标志产品</w:t>
      </w:r>
    </w:p>
    <w:p>
      <w:pPr>
        <w:pStyle w:val="5"/>
        <w:shd w:val="clear" w:color="auto" w:fill="FFFFFF"/>
        <w:kinsoku/>
        <w:wordWrap w:val="0"/>
        <w:spacing w:beforeAutospacing="0" w:afterAutospacing="0" w:line="360" w:lineRule="auto"/>
        <w:ind w:firstLine="448" w:firstLineChars="200"/>
        <w:jc w:val="both"/>
        <w:rPr>
          <w:rFonts w:hint="default" w:asciiTheme="minorEastAsia" w:hAnsiTheme="minorEastAsia" w:eastAsiaTheme="minorEastAsia" w:cstheme="minorEastAsia"/>
          <w:b w:val="0"/>
          <w:spacing w:val="-8"/>
          <w:sz w:val="24"/>
          <w:szCs w:val="24"/>
          <w:lang w:eastAsia="en-US"/>
        </w:rPr>
      </w:pPr>
      <w:r>
        <w:rPr>
          <w:rFonts w:asciiTheme="minorEastAsia" w:hAnsiTheme="minorEastAsia" w:eastAsiaTheme="minorEastAsia" w:cstheme="minorEastAsia"/>
          <w:b w:val="0"/>
          <w:spacing w:val="-8"/>
          <w:sz w:val="24"/>
          <w:szCs w:val="24"/>
        </w:rPr>
        <w:t>4</w:t>
      </w:r>
      <w:r>
        <w:rPr>
          <w:rFonts w:asciiTheme="minorEastAsia" w:hAnsiTheme="minorEastAsia" w:eastAsiaTheme="minorEastAsia" w:cstheme="minorEastAsia"/>
          <w:b w:val="0"/>
          <w:spacing w:val="-8"/>
          <w:sz w:val="24"/>
          <w:szCs w:val="24"/>
          <w:lang w:eastAsia="en-US"/>
        </w:rPr>
        <w:t>.3.1政府采购节能产品、环境标志产品实施品目清单管理。财政部、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hint="default" w:asciiTheme="minorEastAsia" w:hAnsiTheme="minorEastAsia" w:eastAsiaTheme="minorEastAsia" w:cstheme="minorEastAsia"/>
          <w:b w:val="0"/>
          <w:spacing w:val="-8"/>
          <w:sz w:val="24"/>
          <w:szCs w:val="24"/>
          <w:lang w:eastAsia="en-US"/>
        </w:rPr>
        <w:t>中华人民共和国国家发展和改革委员会</w:t>
      </w:r>
      <w:r>
        <w:rPr>
          <w:rFonts w:hint="default" w:asciiTheme="minorEastAsia" w:hAnsiTheme="minorEastAsia" w:eastAsiaTheme="minorEastAsia" w:cstheme="minorEastAsia"/>
          <w:b w:val="0"/>
          <w:spacing w:val="-8"/>
          <w:sz w:val="24"/>
          <w:szCs w:val="24"/>
          <w:lang w:eastAsia="en-US"/>
        </w:rPr>
        <w:fldChar w:fldCharType="end"/>
      </w:r>
      <w:r>
        <w:rPr>
          <w:rFonts w:asciiTheme="minorEastAsia" w:hAnsiTheme="minorEastAsia" w:eastAsiaTheme="minorEastAsia" w:cstheme="minorEastAsia"/>
          <w:b w:val="0"/>
          <w:spacing w:val="-8"/>
          <w:sz w:val="24"/>
          <w:szCs w:val="24"/>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.3.4非政府强制采购的节能产品或环境标志产品，依据品目清单和认证证书实施政府优先采购。优先采购的具体规定见第四章《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eastAsia="zh-CN"/>
        </w:rPr>
        <w:t>开、</w:t>
      </w:r>
      <w:r>
        <w:rPr>
          <w:rFonts w:hint="eastAsia" w:asciiTheme="minorEastAsia" w:hAnsiTheme="minorEastAsia" w:eastAsiaTheme="minorEastAsia" w:cstheme="minorEastAsia"/>
          <w:spacing w:val="-8"/>
          <w:sz w:val="24"/>
          <w:szCs w:val="24"/>
        </w:rPr>
        <w:t>评标程序、评标方法和评标标准》（如涉及）。</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.4正版软件</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.4.1依据《财政部</w:t>
      </w:r>
      <w:r>
        <w:rPr>
          <w:rFonts w:hint="eastAsia" w:asciiTheme="minorEastAsia" w:hAnsiTheme="minorEastAsia" w:eastAsiaTheme="minorEastAsia" w:cstheme="minorEastAsia"/>
          <w:spacing w:val="-8"/>
          <w:sz w:val="24"/>
          <w:szCs w:val="24"/>
          <w:lang w:eastAsia="zh-CN"/>
        </w:rPr>
        <w:t>、</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instrText xml:space="preserve"> HYPERLINK "https://www.baidu.com/link?url=pV2gqlWQVIfLHb2GO1RMJVp24ETQ1a_TiqQ-2CHpcULsECvXubLhLHJTcTJbIedy&amp;wd=&amp;eqid=88c7d5f9006c2d6b0000000265780e74" \t "https://www.baidu.com/_blank" </w:instrText>
      </w:r>
      <w:r>
        <w:fldChar w:fldCharType="separate"/>
      </w:r>
      <w:r>
        <w:rPr>
          <w:rFonts w:asciiTheme="minorEastAsia" w:hAnsiTheme="minorEastAsia" w:eastAsiaTheme="minorEastAsia" w:cstheme="minorEastAsia"/>
          <w:spacing w:val="-8"/>
          <w:sz w:val="24"/>
          <w:szCs w:val="24"/>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3"/>
        <w:kinsoku/>
        <w:wordWrap w:val="0"/>
        <w:spacing w:line="360" w:lineRule="auto"/>
        <w:ind w:firstLine="46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.4.2各级政府部门在购置计算机办公设备时，必须采购预装正版操作系统</w:t>
      </w:r>
    </w:p>
    <w:p>
      <w:pPr>
        <w:pStyle w:val="3"/>
        <w:kinsoku/>
        <w:wordWrap w:val="0"/>
        <w:spacing w:line="360" w:lineRule="auto"/>
        <w:ind w:firstLine="44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pPr>
        <w:pStyle w:val="3"/>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4</w:t>
      </w:r>
      <w:r>
        <w:rPr>
          <w:rFonts w:hint="eastAsia" w:asciiTheme="minorEastAsia" w:hAnsiTheme="minorEastAsia" w:eastAsiaTheme="minorEastAsia" w:cstheme="minorEastAsia"/>
          <w:sz w:val="24"/>
          <w:szCs w:val="24"/>
        </w:rPr>
        <w:t>.5网络安全专用产品</w:t>
      </w:r>
    </w:p>
    <w:p>
      <w:pPr>
        <w:pStyle w:val="3"/>
        <w:kinsoku/>
        <w:wordWrap w:val="0"/>
        <w:spacing w:line="360" w:lineRule="auto"/>
        <w:ind w:firstLine="476"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3"/>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 xml:space="preserve">6 </w:t>
      </w:r>
      <w:r>
        <w:rPr>
          <w:rFonts w:hint="eastAsia" w:asciiTheme="minorEastAsia" w:hAnsiTheme="minorEastAsia" w:eastAsiaTheme="minorEastAsia" w:cstheme="minorEastAsia"/>
          <w:spacing w:val="2"/>
          <w:sz w:val="24"/>
          <w:szCs w:val="24"/>
        </w:rPr>
        <w:t>采购需求标准</w:t>
      </w:r>
    </w:p>
    <w:p>
      <w:pPr>
        <w:pStyle w:val="3"/>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6</w:t>
      </w:r>
      <w:r>
        <w:rPr>
          <w:rFonts w:hint="eastAsia" w:asciiTheme="minorEastAsia" w:hAnsiTheme="minorEastAsia" w:eastAsiaTheme="minorEastAsia" w:cstheme="minorEastAsia"/>
          <w:spacing w:val="2"/>
          <w:sz w:val="24"/>
          <w:szCs w:val="24"/>
        </w:rPr>
        <w:t>.1商品包装、快递包装政府采购需求标准（试行）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eastAsia="zh-CN"/>
        </w:rPr>
        <w:t>二</w:t>
      </w:r>
      <w:r>
        <w:rPr>
          <w:rFonts w:hint="eastAsia" w:asciiTheme="minorEastAsia" w:hAnsiTheme="minorEastAsia" w:eastAsiaTheme="minorEastAsia" w:cstheme="minorEastAsia"/>
          <w:spacing w:val="-6"/>
          <w:sz w:val="24"/>
          <w:szCs w:val="24"/>
        </w:rPr>
        <w:t>章《采购需求》。</w:t>
      </w:r>
    </w:p>
    <w:p>
      <w:pPr>
        <w:pStyle w:val="3"/>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3"/>
        <w:kinsoku/>
        <w:wordWrap w:val="0"/>
        <w:spacing w:line="360" w:lineRule="auto"/>
        <w:ind w:firstLine="432" w:firstLineChars="200"/>
        <w:jc w:val="both"/>
        <w:rPr>
          <w:rFonts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eastAsia="zh-CN"/>
        </w:rPr>
        <w:t>二</w:t>
      </w:r>
      <w:r>
        <w:rPr>
          <w:rFonts w:hint="eastAsia" w:asciiTheme="minorEastAsia" w:hAnsiTheme="minorEastAsia" w:eastAsiaTheme="minorEastAsia" w:cstheme="minorEastAsia"/>
          <w:spacing w:val="-12"/>
          <w:sz w:val="24"/>
          <w:szCs w:val="24"/>
        </w:rPr>
        <w:t>章《采购需求》。</w:t>
      </w:r>
    </w:p>
    <w:p>
      <w:pPr>
        <w:pStyle w:val="3"/>
        <w:kinsoku/>
        <w:wordWrap w:val="0"/>
        <w:spacing w:line="360" w:lineRule="auto"/>
        <w:ind w:firstLine="47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eastAsia="zh-CN"/>
        </w:rPr>
        <w:t>5.投标</w:t>
      </w:r>
      <w:r>
        <w:rPr>
          <w:rFonts w:hint="eastAsia" w:asciiTheme="minorEastAsia" w:hAnsiTheme="minorEastAsia" w:eastAsiaTheme="minorEastAsia" w:cstheme="minorEastAsia"/>
          <w:b/>
          <w:bCs/>
          <w:spacing w:val="-2"/>
          <w:sz w:val="24"/>
          <w:szCs w:val="24"/>
        </w:rPr>
        <w:t>费用</w:t>
      </w:r>
    </w:p>
    <w:p>
      <w:pPr>
        <w:pStyle w:val="3"/>
        <w:kinsoku/>
        <w:wordWrap w:val="0"/>
        <w:spacing w:line="360" w:lineRule="auto"/>
        <w:ind w:firstLine="46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lang w:eastAsia="zh-CN"/>
        </w:rPr>
      </w:pPr>
      <w:r>
        <w:rPr>
          <w:rFonts w:hint="eastAsia" w:asciiTheme="minorEastAsia" w:hAnsiTheme="minorEastAsia" w:eastAsiaTheme="minorEastAsia" w:cstheme="minorEastAsia"/>
          <w:b/>
          <w:bCs/>
          <w:color w:val="auto"/>
          <w:spacing w:val="-4"/>
          <w:sz w:val="24"/>
          <w:szCs w:val="24"/>
          <w:lang w:eastAsia="zh-CN"/>
        </w:rPr>
        <w:t>6.采购范围及适用法律</w:t>
      </w:r>
    </w:p>
    <w:p>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spacing w:line="360" w:lineRule="auto"/>
        <w:ind w:firstLine="567"/>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4"/>
          <w:sz w:val="24"/>
          <w:szCs w:val="24"/>
          <w:lang w:eastAsia="zh-CN"/>
        </w:rPr>
        <w:t>6.2 “监督管理部门”是指</w:t>
      </w:r>
      <w:r>
        <w:rPr>
          <w:rFonts w:hint="eastAsia" w:asciiTheme="minorEastAsia" w:hAnsiTheme="minorEastAsia" w:eastAsiaTheme="minorEastAsia" w:cstheme="minorEastAsia"/>
          <w:spacing w:val="-4"/>
          <w:sz w:val="24"/>
          <w:szCs w:val="24"/>
          <w:lang w:val="en-US" w:eastAsia="zh-CN"/>
        </w:rPr>
        <w:t>淅川县财政局</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hint="default"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4"/>
          <w:sz w:val="24"/>
          <w:szCs w:val="24"/>
          <w:lang w:eastAsia="zh-CN"/>
        </w:rPr>
        <w:t>6.3 “货物”指投标人按招标文件规定，须向采购人提供的与本次招标相关的</w:t>
      </w:r>
      <w:r>
        <w:rPr>
          <w:rFonts w:hint="eastAsia" w:asciiTheme="minorEastAsia" w:hAnsiTheme="minorEastAsia" w:eastAsiaTheme="minorEastAsia" w:cstheme="minorEastAsia"/>
          <w:spacing w:val="-2"/>
          <w:sz w:val="24"/>
          <w:szCs w:val="24"/>
          <w:u w:val="none"/>
          <w:lang w:val="en-US" w:eastAsia="zh-CN"/>
        </w:rPr>
        <w:t>货物</w:t>
      </w:r>
    </w:p>
    <w:p>
      <w:pPr>
        <w:kinsoku/>
        <w:wordWrap w:val="0"/>
        <w:spacing w:line="360" w:lineRule="auto"/>
        <w:ind w:firstLine="567"/>
        <w:jc w:val="both"/>
        <w:rPr>
          <w:rFonts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6.4 “服务”指招标文件规定投标人应承担的服务。</w:t>
      </w:r>
    </w:p>
    <w:p>
      <w:pPr>
        <w:pStyle w:val="32"/>
        <w:wordWrap w:val="0"/>
        <w:jc w:val="both"/>
        <w:rPr>
          <w:rFonts w:asciiTheme="minorEastAsia" w:hAnsiTheme="minorEastAsia" w:eastAsiaTheme="minorEastAsia" w:cstheme="minorEastAsia"/>
          <w:spacing w:val="-5"/>
          <w:sz w:val="28"/>
          <w:szCs w:val="28"/>
        </w:rPr>
      </w:pPr>
    </w:p>
    <w:p>
      <w:pPr>
        <w:pStyle w:val="3"/>
        <w:kinsoku/>
        <w:wordWrap w:val="0"/>
        <w:spacing w:before="92" w:line="360" w:lineRule="auto"/>
        <w:rPr>
          <w:rFonts w:asciiTheme="minorEastAsia" w:hAnsiTheme="minorEastAsia" w:eastAsiaTheme="minorEastAsia" w:cstheme="minorEastAsia"/>
          <w:spacing w:val="-5"/>
          <w:sz w:val="28"/>
          <w:szCs w:val="28"/>
        </w:rPr>
      </w:pPr>
    </w:p>
    <w:p>
      <w:pPr>
        <w:pStyle w:val="3"/>
        <w:kinsoku/>
        <w:wordWrap w:val="0"/>
        <w:spacing w:before="92" w:line="360" w:lineRule="auto"/>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5"/>
          <w:sz w:val="28"/>
          <w:szCs w:val="28"/>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rPr>
        <w:t>招标文件</w:t>
      </w:r>
    </w:p>
    <w:p>
      <w:pPr>
        <w:pStyle w:val="3"/>
        <w:kinsoku/>
        <w:wordWrap w:val="0"/>
        <w:spacing w:line="360" w:lineRule="auto"/>
        <w:ind w:firstLine="474" w:firstLineChars="200"/>
        <w:jc w:val="both"/>
        <w:rPr>
          <w:rFonts w:asciiTheme="minorEastAsia" w:hAnsiTheme="minorEastAsia" w:eastAsiaTheme="minorEastAsia" w:cstheme="minorEastAsia"/>
          <w:b/>
          <w:bCs/>
          <w:spacing w:val="-2"/>
          <w:sz w:val="24"/>
          <w:szCs w:val="24"/>
          <w:lang w:eastAsia="zh-CN"/>
        </w:rPr>
      </w:pPr>
      <w:r>
        <w:rPr>
          <w:rFonts w:hint="eastAsia" w:asciiTheme="minorEastAsia" w:hAnsiTheme="minorEastAsia" w:eastAsiaTheme="minorEastAsia" w:cstheme="minorEastAsia"/>
          <w:b/>
          <w:bCs/>
          <w:spacing w:val="-2"/>
          <w:sz w:val="24"/>
          <w:szCs w:val="24"/>
          <w:lang w:eastAsia="zh-CN"/>
        </w:rPr>
        <w:t>7.招标文件构成</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7.1 招标文件包括以下部分：</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第一章 公开招标公告</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第二章 采购需求</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第三章 投标人须知</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第四章 开、评标程序、评标方法和评标标准</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第五章 政府采购合同（草案）</w:t>
      </w:r>
    </w:p>
    <w:p>
      <w:pPr>
        <w:kinsoku/>
        <w:wordWrap w:val="0"/>
        <w:spacing w:line="360" w:lineRule="auto"/>
        <w:ind w:firstLine="472" w:firstLineChars="2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第六章 投标文件格式</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7.2 投标人应认真阅读招标文件的全部内容。投标人应按照招标文件要求提交投标文件并保证所提供的全部资料的真实性，并对招标文件做出实质性响应，否则投标无效。</w:t>
      </w:r>
    </w:p>
    <w:p>
      <w:pPr>
        <w:pStyle w:val="3"/>
        <w:kinsoku/>
        <w:wordWrap w:val="0"/>
        <w:spacing w:line="360" w:lineRule="auto"/>
        <w:ind w:firstLine="450"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b/>
          <w:bCs/>
          <w:spacing w:val="-8"/>
          <w:sz w:val="24"/>
          <w:szCs w:val="24"/>
          <w:lang w:eastAsia="zh-CN"/>
        </w:rPr>
        <w:t>8.对招标文件的澄清或修改</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8.1 采购人或采购代理机构对已发出的招标文件进行必要澄清或者修改的，将在原公告发布媒体上发布更正公告，不得改变采购标的和资格条件。</w:t>
      </w:r>
    </w:p>
    <w:p>
      <w:pPr>
        <w:pStyle w:val="3"/>
        <w:kinsoku/>
        <w:wordWrap w:val="0"/>
        <w:spacing w:line="360" w:lineRule="auto"/>
        <w:ind w:firstLine="448" w:firstLineChars="200"/>
        <w:jc w:val="both"/>
        <w:rPr>
          <w:rFonts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3"/>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pacing w:val="-8"/>
          <w:sz w:val="24"/>
          <w:szCs w:val="24"/>
          <w:lang w:val="en-US" w:eastAsia="zh-CN"/>
        </w:rPr>
        <w:t>淅川县</w:t>
      </w:r>
      <w:r>
        <w:rPr>
          <w:rFonts w:hint="eastAsia" w:asciiTheme="minorEastAsia" w:hAnsiTheme="minorEastAsia" w:eastAsiaTheme="minorEastAsia" w:cstheme="minorEastAsia"/>
          <w:b/>
          <w:bCs/>
          <w:spacing w:val="-8"/>
          <w:sz w:val="24"/>
          <w:szCs w:val="24"/>
          <w:lang w:eastAsia="zh-CN"/>
        </w:rPr>
        <w:t>公共资源交易中心网”发布，请潜在投标供应商随时查询有关公告信息。若因潜在投标供应商没有及时查看到公告信息而造成的投标失误，责任自负。</w:t>
      </w:r>
    </w:p>
    <w:p>
      <w:pPr>
        <w:pStyle w:val="3"/>
        <w:kinsoku/>
        <w:wordWrap w:val="0"/>
        <w:spacing w:line="360" w:lineRule="auto"/>
        <w:ind w:firstLine="450" w:firstLineChars="200"/>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8.4 投标人应关注是否有发布最新的澄清更正公告和更正的最新招标文件（电子答疑文件），如有则需下载最新的招标文件，并在此基础上制作最新的投标文件并上传。</w:t>
      </w:r>
    </w:p>
    <w:p>
      <w:pPr>
        <w:pStyle w:val="3"/>
        <w:kinsoku/>
        <w:wordWrap w:val="0"/>
        <w:spacing w:line="360" w:lineRule="auto"/>
        <w:jc w:val="both"/>
        <w:rPr>
          <w:rFonts w:asciiTheme="minorEastAsia" w:hAnsiTheme="minorEastAsia" w:eastAsiaTheme="minorEastAsia" w:cstheme="minorEastAsia"/>
          <w:spacing w:val="-1"/>
          <w:sz w:val="28"/>
          <w:szCs w:val="28"/>
        </w:rPr>
      </w:pP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rPr>
        <w:t>投标文件的编制</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投标范围、投标文件中计量单位的使用及投标语言</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投标文件构成</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如有漏项或评标委员会认为其投标文件有明显缺陷的，造成的后果由投标人自己承担。</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供格式的内容，可由投标人自行编写。</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eastAsia="zh-CN"/>
        </w:rPr>
        <w:t>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否则，被视为无效投标文件，将被平台系统拒绝。</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eastAsia="zh-CN"/>
        </w:rPr>
        <w:t>开</w:t>
      </w:r>
      <w:r>
        <w:rPr>
          <w:rFonts w:hint="eastAsia" w:asciiTheme="minorEastAsia" w:hAnsiTheme="minorEastAsia" w:eastAsiaTheme="minorEastAsia" w:cstheme="minorEastAsia"/>
          <w:sz w:val="24"/>
          <w:szCs w:val="24"/>
        </w:rPr>
        <w:t>评标程序、评标方法和评标标准》中涉及的证明文件。</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供证明文件。</w:t>
      </w:r>
    </w:p>
    <w:p>
      <w:pPr>
        <w:kinsoku/>
        <w:wordWrap w:val="0"/>
        <w:spacing w:line="360" w:lineRule="auto"/>
        <w:ind w:firstLine="480" w:firstLineChars="200"/>
        <w:jc w:val="both"/>
        <w:rPr>
          <w:rFonts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6 投标人编制投标文件时，涉及营业执照、资质、业绩、财务、社保、纳税及各类证书、报告等内容，必须是原件的扫描件。</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10.7 投标人认为应附的其他材料。</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投标报价</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11.1所有投标均以</w:t>
      </w:r>
      <w:r>
        <w:rPr>
          <w:rFonts w:hint="eastAsia" w:asciiTheme="minorEastAsia" w:hAnsiTheme="minorEastAsia" w:eastAsiaTheme="minorEastAsia" w:cstheme="minorEastAsia"/>
          <w:sz w:val="24"/>
          <w:szCs w:val="24"/>
          <w:lang w:val="en-US" w:eastAsia="zh-CN"/>
        </w:rPr>
        <w:t>利率</w:t>
      </w:r>
      <w:r>
        <w:rPr>
          <w:rFonts w:hint="eastAsia" w:asciiTheme="minorEastAsia" w:hAnsiTheme="minorEastAsia" w:eastAsiaTheme="minorEastAsia" w:cstheme="minorEastAsia"/>
          <w:sz w:val="24"/>
          <w:szCs w:val="24"/>
        </w:rPr>
        <w:t>报价。</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eastAsia="zh-CN"/>
        </w:rPr>
        <w:t>招标文件</w:t>
      </w:r>
      <w:r>
        <w:rPr>
          <w:rFonts w:hint="eastAsia" w:asciiTheme="minorEastAsia" w:hAnsiTheme="minorEastAsia" w:eastAsiaTheme="minorEastAsia" w:cstheme="minorEastAsia"/>
          <w:sz w:val="24"/>
          <w:szCs w:val="24"/>
        </w:rPr>
        <w:t>中有特殊规定的，从其规定。</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（2）服务项目</w:t>
      </w:r>
      <w:r>
        <w:rPr>
          <w:rFonts w:hint="eastAsia" w:asciiTheme="minorEastAsia" w:hAnsiTheme="minorEastAsia" w:eastAsiaTheme="minorEastAsia" w:cstheme="minorEastAsia"/>
          <w:sz w:val="24"/>
          <w:szCs w:val="24"/>
        </w:rPr>
        <w:t>按照招标文件要求完成本项目的全部相关费用。</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11.3采购人不得向供应商索要或者接受其给予的赠品、回扣或者与采购无关的其他商品、服务。</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11.4投标人不能</w:t>
      </w:r>
      <w:r>
        <w:rPr>
          <w:rFonts w:hint="eastAsia" w:asciiTheme="minorEastAsia" w:hAnsiTheme="minorEastAsia" w:eastAsiaTheme="minorEastAsia" w:cstheme="minorEastAsia"/>
          <w:sz w:val="24"/>
          <w:szCs w:val="24"/>
          <w:lang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11.5 本次招标设有预算，投标人报价超过预算的，评标委员会将不予评议。</w:t>
      </w:r>
    </w:p>
    <w:p>
      <w:pPr>
        <w:kinsoku/>
        <w:wordWrap w:val="0"/>
        <w:spacing w:line="360" w:lineRule="auto"/>
        <w:ind w:firstLine="482"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eastAsia="zh-CN"/>
        </w:rPr>
        <w:t>2.</w:t>
      </w:r>
      <w:r>
        <w:rPr>
          <w:rFonts w:hint="eastAsia" w:asciiTheme="minorEastAsia" w:hAnsiTheme="minorEastAsia" w:eastAsiaTheme="minorEastAsia" w:cstheme="minorEastAsia"/>
          <w:b/>
          <w:bCs/>
          <w:sz w:val="24"/>
          <w:szCs w:val="24"/>
        </w:rPr>
        <w:t>投标有效期</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.1投标文件应在本招标文件《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spacing w:line="360" w:lineRule="auto"/>
        <w:ind w:firstLine="482"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13.</w:t>
      </w:r>
      <w:r>
        <w:rPr>
          <w:rFonts w:hint="eastAsia" w:asciiTheme="minorEastAsia" w:hAnsiTheme="minorEastAsia" w:eastAsiaTheme="minorEastAsia" w:cstheme="minorEastAsia"/>
          <w:b/>
          <w:bCs/>
          <w:sz w:val="24"/>
          <w:szCs w:val="24"/>
        </w:rPr>
        <w:t>投标文件的签署、盖章</w:t>
      </w:r>
    </w:p>
    <w:p>
      <w:pPr>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电子投标文件必须在规定签章处电子签章或手写签字后扫描上传进投标文件。</w:t>
      </w:r>
    </w:p>
    <w:p>
      <w:pPr>
        <w:kinsoku/>
        <w:wordWrap w:val="0"/>
        <w:spacing w:line="360" w:lineRule="auto"/>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.2招标文件要求盖章的内容，一般通过</w:t>
      </w:r>
      <w:r>
        <w:rPr>
          <w:rFonts w:hint="eastAsia" w:asciiTheme="minorEastAsia" w:hAnsiTheme="minorEastAsia" w:eastAsiaTheme="minorEastAsia" w:cstheme="minorEastAsia"/>
          <w:sz w:val="24"/>
          <w:szCs w:val="24"/>
          <w:lang w:eastAsia="zh-CN"/>
        </w:rPr>
        <w:t>CA或电子营业执照</w:t>
      </w:r>
      <w:r>
        <w:rPr>
          <w:rFonts w:hint="eastAsia" w:asciiTheme="minorEastAsia" w:hAnsiTheme="minorEastAsia" w:eastAsiaTheme="minorEastAsia" w:cstheme="minorEastAsia"/>
          <w:sz w:val="24"/>
          <w:szCs w:val="24"/>
        </w:rPr>
        <w:t>加盖电子签章。</w:t>
      </w:r>
    </w:p>
    <w:p>
      <w:pPr>
        <w:kinsoku/>
        <w:wordWrap w:val="0"/>
        <w:spacing w:line="360" w:lineRule="auto"/>
        <w:ind w:firstLine="420" w:firstLineChars="200"/>
        <w:jc w:val="both"/>
        <w:rPr>
          <w:rFonts w:asciiTheme="minorEastAsia" w:hAnsiTheme="minorEastAsia" w:eastAsiaTheme="minorEastAsia" w:cstheme="minorEastAsia"/>
        </w:rPr>
      </w:pPr>
    </w:p>
    <w:p>
      <w:pPr>
        <w:pStyle w:val="3"/>
        <w:kinsoku/>
        <w:wordWrap w:val="0"/>
        <w:spacing w:line="360" w:lineRule="auto"/>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投标文件的</w:t>
      </w:r>
      <w:r>
        <w:rPr>
          <w:rFonts w:hint="eastAsia" w:asciiTheme="minorEastAsia" w:hAnsiTheme="minorEastAsia" w:eastAsiaTheme="minorEastAsia" w:cstheme="minorEastAsia"/>
          <w:sz w:val="28"/>
          <w:szCs w:val="28"/>
          <w:lang w:eastAsia="zh-CN"/>
        </w:rPr>
        <w:t>提</w:t>
      </w:r>
      <w:r>
        <w:rPr>
          <w:rFonts w:hint="eastAsia" w:asciiTheme="minorEastAsia" w:hAnsiTheme="minorEastAsia" w:eastAsiaTheme="minorEastAsia" w:cstheme="minorEastAsia"/>
          <w:sz w:val="28"/>
          <w:szCs w:val="28"/>
        </w:rPr>
        <w:t>交</w:t>
      </w:r>
    </w:p>
    <w:p>
      <w:pPr>
        <w:kinsoku/>
        <w:wordWrap w:val="0"/>
        <w:spacing w:line="360" w:lineRule="auto"/>
        <w:ind w:firstLine="486"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eastAsia="zh-CN"/>
        </w:rPr>
        <w:t>提</w:t>
      </w:r>
      <w:r>
        <w:rPr>
          <w:rFonts w:hint="eastAsia" w:asciiTheme="minorEastAsia" w:hAnsiTheme="minorEastAsia" w:eastAsiaTheme="minorEastAsia" w:cstheme="minorEastAsia"/>
          <w:b/>
          <w:bCs/>
          <w:spacing w:val="1"/>
          <w:sz w:val="24"/>
          <w:szCs w:val="24"/>
        </w:rPr>
        <w:t>交</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eastAsia="zh-CN"/>
        </w:rPr>
        <w:t xml:space="preserve"> 电子投标文件的提交是指使用</w:t>
      </w:r>
      <w:r>
        <w:rPr>
          <w:rFonts w:hint="eastAsia" w:asciiTheme="minorEastAsia" w:hAnsiTheme="minorEastAsia" w:eastAsiaTheme="minorEastAsia" w:cstheme="minorEastAsia"/>
          <w:spacing w:val="3"/>
          <w:sz w:val="24"/>
          <w:szCs w:val="24"/>
          <w:lang w:val="en-US" w:eastAsia="zh-CN"/>
        </w:rPr>
        <w:t>淅川县</w:t>
      </w:r>
      <w:r>
        <w:rPr>
          <w:rFonts w:hint="eastAsia" w:asciiTheme="minorEastAsia" w:hAnsiTheme="minorEastAsia" w:eastAsiaTheme="minorEastAsia" w:cstheme="minorEastAsia"/>
          <w:spacing w:val="3"/>
          <w:sz w:val="24"/>
          <w:szCs w:val="24"/>
          <w:lang w:eastAsia="zh-CN"/>
        </w:rPr>
        <w:t>公共资源交易中心网上交易系统在投标截止时间前完成制作软件生成的加密电子投标文件的上传。未在投标截止时间前完成上传的，视为逾期提交。逾期提交的投标文件，招标人不予受理。</w:t>
      </w:r>
    </w:p>
    <w:p>
      <w:pPr>
        <w:pStyle w:val="3"/>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采购人及采购代理机构拒绝接受通过电子交易平台以外任何形式提交的投标文件。</w:t>
      </w:r>
    </w:p>
    <w:p>
      <w:pPr>
        <w:pStyle w:val="3"/>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15.投标截止时间</w:t>
      </w:r>
    </w:p>
    <w:p>
      <w:pPr>
        <w:pStyle w:val="3"/>
        <w:kinsoku/>
        <w:wordWrap w:val="0"/>
        <w:spacing w:line="360" w:lineRule="auto"/>
        <w:ind w:firstLine="492"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pPr>
        <w:pStyle w:val="3"/>
        <w:kinsoku/>
        <w:wordWrap w:val="0"/>
        <w:spacing w:line="360" w:lineRule="auto"/>
        <w:ind w:firstLine="478" w:firstLineChars="200"/>
        <w:jc w:val="both"/>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eastAsia="zh-CN"/>
        </w:rPr>
        <w:t>6.</w:t>
      </w:r>
      <w:r>
        <w:rPr>
          <w:rFonts w:hint="eastAsia" w:asciiTheme="minorEastAsia" w:hAnsiTheme="minorEastAsia" w:eastAsiaTheme="minorEastAsia" w:cstheme="minorEastAsia"/>
          <w:b/>
          <w:bCs/>
          <w:spacing w:val="-1"/>
          <w:sz w:val="24"/>
          <w:szCs w:val="24"/>
        </w:rPr>
        <w:t>投标文件的修改与撤回</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pPr>
        <w:pStyle w:val="3"/>
        <w:kinsoku/>
        <w:wordWrap w:val="0"/>
        <w:spacing w:before="353" w:line="219" w:lineRule="auto"/>
        <w:jc w:val="both"/>
        <w:rPr>
          <w:rFonts w:asciiTheme="minorEastAsia" w:hAnsiTheme="minorEastAsia" w:eastAsiaTheme="minorEastAsia" w:cstheme="minorEastAsia"/>
          <w:sz w:val="36"/>
          <w:szCs w:val="36"/>
        </w:rPr>
      </w:pPr>
    </w:p>
    <w:p>
      <w:pPr>
        <w:pStyle w:val="3"/>
        <w:kinsoku/>
        <w:wordWrap w:val="0"/>
        <w:spacing w:line="219" w:lineRule="auto"/>
        <w:jc w:val="center"/>
        <w:rPr>
          <w:rFonts w:asciiTheme="minorEastAsia" w:hAnsiTheme="minorEastAsia" w:eastAsiaTheme="minorEastAsia" w:cstheme="minorEastAsia"/>
          <w:sz w:val="36"/>
          <w:szCs w:val="36"/>
        </w:rPr>
      </w:pPr>
    </w:p>
    <w:p>
      <w:pPr>
        <w:pStyle w:val="3"/>
        <w:kinsoku/>
        <w:wordWrap w:val="0"/>
        <w:spacing w:line="219" w:lineRule="auto"/>
        <w:jc w:val="center"/>
        <w:rPr>
          <w:rFonts w:asciiTheme="minorEastAsia" w:hAnsiTheme="minorEastAsia" w:eastAsiaTheme="minorEastAsia" w:cstheme="minorEastAsia"/>
          <w:sz w:val="36"/>
          <w:szCs w:val="36"/>
        </w:rPr>
      </w:pPr>
    </w:p>
    <w:p>
      <w:pPr>
        <w:pStyle w:val="3"/>
        <w:kinsoku/>
        <w:wordWrap w:val="0"/>
        <w:spacing w:line="219" w:lineRule="auto"/>
        <w:jc w:val="center"/>
        <w:rPr>
          <w:rFonts w:asciiTheme="minorEastAsia" w:hAnsiTheme="minorEastAsia" w:eastAsiaTheme="minorEastAsia" w:cstheme="minorEastAsia"/>
          <w:sz w:val="36"/>
          <w:szCs w:val="36"/>
        </w:rPr>
      </w:pPr>
    </w:p>
    <w:p>
      <w:pP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br w:type="page"/>
      </w:r>
    </w:p>
    <w:p>
      <w:pPr>
        <w:pStyle w:val="3"/>
        <w:kinsoku/>
        <w:wordWrap w:val="0"/>
        <w:spacing w:line="219"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w:t>
      </w:r>
      <w:r>
        <w:rPr>
          <w:rFonts w:hint="eastAsia" w:asciiTheme="minorEastAsia" w:hAnsiTheme="minorEastAsia" w:eastAsiaTheme="minorEastAsia" w:cstheme="minorEastAsia"/>
          <w:sz w:val="36"/>
          <w:szCs w:val="36"/>
          <w:lang w:eastAsia="zh-CN"/>
        </w:rPr>
        <w:t>四</w:t>
      </w:r>
      <w:r>
        <w:rPr>
          <w:rFonts w:hint="eastAsia" w:asciiTheme="minorEastAsia" w:hAnsiTheme="minorEastAsia" w:eastAsiaTheme="minorEastAsia" w:cstheme="minorEastAsia"/>
          <w:sz w:val="36"/>
          <w:szCs w:val="36"/>
        </w:rPr>
        <w:t>章</w:t>
      </w:r>
      <w:r>
        <w:rPr>
          <w:rFonts w:hint="eastAsia" w:asciiTheme="minorEastAsia" w:hAnsiTheme="minorEastAsia" w:eastAsiaTheme="minorEastAsia" w:cstheme="minorEastAsia"/>
          <w:sz w:val="36"/>
          <w:szCs w:val="36"/>
          <w:lang w:eastAsia="zh-CN"/>
        </w:rPr>
        <w:t xml:space="preserve"> 开、</w:t>
      </w:r>
      <w:r>
        <w:rPr>
          <w:rFonts w:hint="eastAsia" w:asciiTheme="minorEastAsia" w:hAnsiTheme="minorEastAsia" w:eastAsiaTheme="minorEastAsia" w:cstheme="minorEastAsia"/>
          <w:sz w:val="36"/>
          <w:szCs w:val="36"/>
        </w:rPr>
        <w:t>评标程序、评标方法和评标标准</w:t>
      </w:r>
    </w:p>
    <w:p>
      <w:pPr>
        <w:pStyle w:val="3"/>
        <w:kinsoku/>
        <w:wordWrap w:val="0"/>
        <w:spacing w:before="255" w:line="221" w:lineRule="auto"/>
        <w:ind w:left="3942"/>
        <w:jc w:val="both"/>
        <w:outlineLvl w:val="2"/>
        <w:rPr>
          <w:rFonts w:asciiTheme="minorEastAsia" w:hAnsiTheme="minorEastAsia" w:eastAsiaTheme="minorEastAsia" w:cstheme="minorEastAsia"/>
          <w:spacing w:val="-3"/>
          <w:sz w:val="24"/>
          <w:szCs w:val="24"/>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一、开标</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1.采购人或采购代理机构按招标公告中规定的时间开标，本项目使用不见面开标，投标人无需到开标现场。</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2.开标：</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2.1 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2.3 宣布开标结束。</w:t>
      </w:r>
    </w:p>
    <w:p>
      <w:pPr>
        <w:pStyle w:val="3"/>
        <w:kinsoku/>
        <w:wordWrap w:val="0"/>
        <w:spacing w:line="360" w:lineRule="auto"/>
        <w:jc w:val="both"/>
        <w:outlineLvl w:val="2"/>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二、资格审查</w:t>
      </w:r>
    </w:p>
    <w:p>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1.开标结束后，采购人或采购代理机构将根据资格审查要求中的规定，对投标人进行资格审查，并形成资格审查结果。</w:t>
      </w:r>
    </w:p>
    <w:p>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2.投标人《资格证明文件》有任何一项不符合《资格审查要求》的，资格审查不合格，其投标无效。</w:t>
      </w:r>
    </w:p>
    <w:p>
      <w:pPr>
        <w:pStyle w:val="3"/>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3.资格审查合格的投标人不足3家的，不进行评标。</w:t>
      </w:r>
    </w:p>
    <w:p>
      <w:pP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br w:type="page"/>
      </w:r>
    </w:p>
    <w:p>
      <w:pPr>
        <w:pStyle w:val="3"/>
        <w:kinsoku/>
        <w:wordWrap w:val="0"/>
        <w:spacing w:before="79" w:line="220" w:lineRule="auto"/>
        <w:jc w:val="center"/>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资格审查要求</w:t>
      </w:r>
    </w:p>
    <w:p>
      <w:pPr>
        <w:kinsoku/>
        <w:wordWrap w:val="0"/>
        <w:spacing w:line="146" w:lineRule="exact"/>
        <w:jc w:val="both"/>
        <w:rPr>
          <w:rFonts w:asciiTheme="minorEastAsia" w:hAnsiTheme="minorEastAsia" w:eastAsiaTheme="minorEastAsia" w:cstheme="minorEastAsia"/>
        </w:rPr>
      </w:pPr>
    </w:p>
    <w:tbl>
      <w:tblPr>
        <w:tblStyle w:val="3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061" w:type="dxa"/>
          </w:tcPr>
          <w:p>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3600" w:type="dxa"/>
          </w:tcPr>
          <w:p>
            <w:pPr>
              <w:kinsoku/>
              <w:wordWrap w:val="0"/>
              <w:spacing w:before="119" w:line="22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c>
          <w:tcPr>
            <w:tcW w:w="2967" w:type="dxa"/>
          </w:tcPr>
          <w:p>
            <w:pPr>
              <w:kinsoku/>
              <w:wordWrap w:val="0"/>
              <w:spacing w:before="119" w:line="22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1" w:hRule="atLeast"/>
        </w:trPr>
        <w:tc>
          <w:tcPr>
            <w:tcW w:w="729" w:type="dxa"/>
            <w:vAlign w:val="center"/>
          </w:tcPr>
          <w:p>
            <w:pPr>
              <w:pStyle w:val="35"/>
              <w:kinsoku/>
              <w:wordWrap w:val="0"/>
              <w:spacing w:line="454" w:lineRule="auto"/>
              <w:jc w:val="both"/>
              <w:rPr>
                <w:rFonts w:asciiTheme="minorEastAsia" w:hAnsiTheme="minorEastAsia" w:eastAsiaTheme="minorEastAsia" w:cstheme="minorEastAsia"/>
              </w:rPr>
            </w:pPr>
          </w:p>
          <w:p>
            <w:pPr>
              <w:pStyle w:val="35"/>
              <w:kinsoku/>
              <w:wordWrap w:val="0"/>
              <w:spacing w:before="69" w:line="199" w:lineRule="auto"/>
              <w:ind w:left="37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eastAsia="zh-CN"/>
              </w:rPr>
              <w:t>投标人具备的</w:t>
            </w:r>
            <w:r>
              <w:rPr>
                <w:rFonts w:hint="eastAsia" w:asciiTheme="minorEastAsia" w:hAnsiTheme="minorEastAsia" w:eastAsiaTheme="minorEastAsia" w:cstheme="minorEastAsia"/>
                <w:spacing w:val="-2"/>
                <w:sz w:val="24"/>
                <w:szCs w:val="24"/>
              </w:rPr>
              <w:t>资格要求</w:t>
            </w:r>
          </w:p>
        </w:tc>
        <w:tc>
          <w:tcPr>
            <w:tcW w:w="3600" w:type="dxa"/>
          </w:tcPr>
          <w:p>
            <w:pPr>
              <w:numPr>
                <w:ilvl w:val="0"/>
                <w:numId w:val="2"/>
              </w:numPr>
              <w:kinsoku/>
              <w:wordWrap w:val="0"/>
              <w:spacing w:before="32" w:line="232" w:lineRule="auto"/>
              <w:ind w:left="112" w:right="105"/>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注册于中华人民共和国境内，具有独立承担民事责任能力；</w:t>
            </w:r>
          </w:p>
          <w:p>
            <w:pPr>
              <w:kinsoku/>
              <w:wordWrap w:val="0"/>
              <w:spacing w:before="32" w:line="232" w:lineRule="auto"/>
              <w:ind w:right="105" w:firstLine="236" w:firstLineChars="10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2.</w:t>
            </w:r>
            <w:r>
              <w:rPr>
                <w:rFonts w:hint="eastAsia" w:asciiTheme="minorEastAsia" w:hAnsiTheme="minorEastAsia" w:eastAsiaTheme="minorEastAsia" w:cstheme="minorEastAsia"/>
                <w:spacing w:val="-2"/>
                <w:sz w:val="24"/>
                <w:szCs w:val="24"/>
                <w:lang w:eastAsia="zh-CN"/>
              </w:rPr>
              <w:t>具有良好的商业信誉和健全的财务会计制度；</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lang w:eastAsia="zh-CN"/>
              </w:rPr>
              <w:t>.具有履行合同所必需的设备和专业技术能力；</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lang w:eastAsia="zh-CN"/>
              </w:rPr>
              <w:t>.有依法缴纳税收和社会保障资金的良好记录；</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4"/>
                <w:sz w:val="24"/>
                <w:szCs w:val="24"/>
                <w:lang w:eastAsia="zh-CN"/>
              </w:rPr>
              <w:t>参加政府采购活动前三年内，在经营活动中没有重大违法记录；</w:t>
            </w:r>
          </w:p>
          <w:p>
            <w:pPr>
              <w:kinsoku/>
              <w:wordWrap w:val="0"/>
              <w:spacing w:before="32" w:line="232" w:lineRule="auto"/>
              <w:ind w:left="112"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lang w:eastAsia="zh-CN"/>
              </w:rPr>
              <w:t>.根据《关于在政府采购活动中查询及使用信用记录有关问题的通知》(财库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lang w:eastAsia="zh-CN"/>
              </w:rPr>
              <w:t>.遵守国家有关法律、法规、规章。</w:t>
            </w:r>
          </w:p>
        </w:tc>
        <w:tc>
          <w:tcPr>
            <w:tcW w:w="2967" w:type="dxa"/>
          </w:tcPr>
          <w:p>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投标人为企业（包括合伙企业、个体工商户）的，应提供有效的营业执照；</w:t>
            </w:r>
          </w:p>
          <w:p>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投标人为事业单位的，应提供有效的事业单位法人证书；</w:t>
            </w:r>
          </w:p>
          <w:p>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投标人是非企业机构的，应提供有效的执业许可证、登记证书等证明文件；</w:t>
            </w:r>
          </w:p>
          <w:p>
            <w:pPr>
              <w:kinsoku/>
              <w:wordWrap w:val="0"/>
              <w:spacing w:before="32" w:line="232" w:lineRule="auto"/>
              <w:ind w:right="105"/>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投标人是自然人的，应提供有效的自然人身份证明。</w:t>
            </w:r>
          </w:p>
          <w:p>
            <w:pPr>
              <w:kinsoku/>
              <w:wordWrap w:val="0"/>
              <w:spacing w:before="32" w:line="232" w:lineRule="auto"/>
              <w:ind w:right="105"/>
              <w:jc w:val="both"/>
              <w:rPr>
                <w:rFonts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tcPr>
          <w:p>
            <w:pPr>
              <w:pStyle w:val="35"/>
              <w:kinsoku/>
              <w:wordWrap w:val="0"/>
              <w:spacing w:before="137" w:line="201" w:lineRule="auto"/>
              <w:ind w:left="243"/>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p>
        </w:tc>
        <w:tc>
          <w:tcPr>
            <w:tcW w:w="1061" w:type="dxa"/>
          </w:tcPr>
          <w:p>
            <w:pPr>
              <w:kinsoku/>
              <w:wordWrap w:val="0"/>
              <w:spacing w:before="116" w:line="221" w:lineRule="auto"/>
              <w:ind w:lef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tcPr>
          <w:p>
            <w:pPr>
              <w:kinsoku/>
              <w:wordWrap w:val="0"/>
              <w:spacing w:before="116" w:line="219" w:lineRule="auto"/>
              <w:ind w:left="11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tcPr>
          <w:p>
            <w:pPr>
              <w:pStyle w:val="35"/>
              <w:kinsoku/>
              <w:wordWrap w:val="0"/>
              <w:jc w:val="both"/>
              <w:rPr>
                <w:rFonts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729" w:type="dxa"/>
          </w:tcPr>
          <w:p>
            <w:pPr>
              <w:pStyle w:val="35"/>
              <w:kinsoku/>
              <w:wordWrap w:val="0"/>
              <w:spacing w:line="258" w:lineRule="auto"/>
              <w:jc w:val="both"/>
              <w:rPr>
                <w:rFonts w:asciiTheme="minorEastAsia" w:hAnsiTheme="minorEastAsia" w:eastAsiaTheme="minorEastAsia" w:cstheme="minorEastAsia"/>
              </w:rPr>
            </w:pPr>
          </w:p>
          <w:p>
            <w:pPr>
              <w:pStyle w:val="35"/>
              <w:kinsoku/>
              <w:wordWrap w:val="0"/>
              <w:spacing w:line="258" w:lineRule="auto"/>
              <w:jc w:val="both"/>
              <w:rPr>
                <w:rFonts w:asciiTheme="minorEastAsia" w:hAnsiTheme="minorEastAsia" w:eastAsiaTheme="minorEastAsia" w:cstheme="minorEastAsia"/>
              </w:rPr>
            </w:pPr>
          </w:p>
          <w:p>
            <w:pPr>
              <w:pStyle w:val="35"/>
              <w:kinsoku/>
              <w:wordWrap w:val="0"/>
              <w:spacing w:line="258" w:lineRule="auto"/>
              <w:jc w:val="both"/>
              <w:rPr>
                <w:rFonts w:asciiTheme="minorEastAsia" w:hAnsiTheme="minorEastAsia" w:eastAsiaTheme="minorEastAsia" w:cstheme="minorEastAsia"/>
              </w:rPr>
            </w:pPr>
          </w:p>
          <w:p>
            <w:pPr>
              <w:pStyle w:val="35"/>
              <w:kinsoku/>
              <w:wordWrap w:val="0"/>
              <w:spacing w:line="258" w:lineRule="auto"/>
              <w:jc w:val="both"/>
              <w:rPr>
                <w:rFonts w:asciiTheme="minorEastAsia" w:hAnsiTheme="minorEastAsia" w:eastAsiaTheme="minorEastAsia" w:cstheme="minorEastAsia"/>
              </w:rPr>
            </w:pPr>
          </w:p>
          <w:p>
            <w:pPr>
              <w:pStyle w:val="35"/>
              <w:kinsoku/>
              <w:wordWrap w:val="0"/>
              <w:spacing w:line="258" w:lineRule="auto"/>
              <w:jc w:val="both"/>
              <w:rPr>
                <w:rFonts w:asciiTheme="minorEastAsia" w:hAnsiTheme="minorEastAsia" w:eastAsiaTheme="minorEastAsia" w:cstheme="minorEastAsia"/>
              </w:rPr>
            </w:pPr>
          </w:p>
          <w:p>
            <w:pPr>
              <w:pStyle w:val="35"/>
              <w:kinsoku/>
              <w:wordWrap w:val="0"/>
              <w:spacing w:line="259" w:lineRule="auto"/>
              <w:jc w:val="both"/>
              <w:rPr>
                <w:rFonts w:asciiTheme="minorEastAsia" w:hAnsiTheme="minorEastAsia" w:eastAsiaTheme="minorEastAsia" w:cstheme="minorEastAsia"/>
              </w:rPr>
            </w:pPr>
          </w:p>
          <w:p>
            <w:pPr>
              <w:pStyle w:val="35"/>
              <w:kinsoku/>
              <w:wordWrap w:val="0"/>
              <w:spacing w:line="259" w:lineRule="auto"/>
              <w:jc w:val="both"/>
              <w:rPr>
                <w:rFonts w:asciiTheme="minorEastAsia" w:hAnsiTheme="minorEastAsia" w:eastAsiaTheme="minorEastAsia" w:cstheme="minorEastAsia"/>
              </w:rPr>
            </w:pPr>
          </w:p>
          <w:p>
            <w:pPr>
              <w:pStyle w:val="35"/>
              <w:kinsoku/>
              <w:wordWrap w:val="0"/>
              <w:spacing w:line="259" w:lineRule="auto"/>
              <w:jc w:val="both"/>
              <w:rPr>
                <w:rFonts w:asciiTheme="minorEastAsia" w:hAnsiTheme="minorEastAsia" w:eastAsiaTheme="minorEastAsia" w:cstheme="minorEastAsia"/>
              </w:rPr>
            </w:pPr>
          </w:p>
          <w:p>
            <w:pPr>
              <w:pStyle w:val="35"/>
              <w:kinsoku/>
              <w:wordWrap w:val="0"/>
              <w:spacing w:line="259" w:lineRule="auto"/>
              <w:jc w:val="both"/>
              <w:rPr>
                <w:rFonts w:asciiTheme="minorEastAsia" w:hAnsiTheme="minorEastAsia" w:eastAsiaTheme="minorEastAsia" w:cstheme="minorEastAsia"/>
              </w:rPr>
            </w:pPr>
          </w:p>
          <w:p>
            <w:pPr>
              <w:pStyle w:val="35"/>
              <w:kinsoku/>
              <w:wordWrap w:val="0"/>
              <w:spacing w:before="49" w:line="199"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tcPr>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kinsoku/>
              <w:wordWrap w:val="0"/>
              <w:spacing w:before="78" w:line="229" w:lineRule="auto"/>
              <w:ind w:left="112" w:right="105" w:firstLine="2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tcPr>
          <w:p>
            <w:pPr>
              <w:kinsoku/>
              <w:wordWrap w:val="0"/>
              <w:spacing w:before="36" w:line="215" w:lineRule="auto"/>
              <w:ind w:left="115" w:right="102" w:firstLine="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eastAsia="zh-CN"/>
              </w:rPr>
              <w:t>提</w:t>
            </w:r>
            <w:r>
              <w:rPr>
                <w:rFonts w:hint="eastAsia" w:asciiTheme="minorEastAsia" w:hAnsiTheme="minorEastAsia" w:eastAsiaTheme="minorEastAsia" w:cstheme="minorEastAsia"/>
                <w:spacing w:val="-5"/>
                <w:sz w:val="24"/>
                <w:szCs w:val="24"/>
              </w:rPr>
              <w:t>供。</w:t>
            </w:r>
          </w:p>
          <w:p>
            <w:pPr>
              <w:pStyle w:val="35"/>
              <w:kinsoku/>
              <w:wordWrap w:val="0"/>
              <w:spacing w:before="4" w:line="220" w:lineRule="auto"/>
              <w:ind w:left="116" w:right="102" w:firstLine="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pPr>
              <w:pStyle w:val="35"/>
              <w:kinsoku/>
              <w:wordWrap w:val="0"/>
              <w:spacing w:before="20" w:line="236" w:lineRule="auto"/>
              <w:ind w:left="113" w:right="102" w:firstLine="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tcPr>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3"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pStyle w:val="35"/>
              <w:kinsoku/>
              <w:wordWrap w:val="0"/>
              <w:spacing w:line="254" w:lineRule="auto"/>
              <w:jc w:val="both"/>
              <w:rPr>
                <w:rFonts w:asciiTheme="minorEastAsia" w:hAnsiTheme="minorEastAsia" w:eastAsiaTheme="minorEastAsia" w:cstheme="minorEastAsia"/>
              </w:rPr>
            </w:pPr>
          </w:p>
          <w:p>
            <w:pPr>
              <w:kinsoku/>
              <w:wordWrap w:val="0"/>
              <w:spacing w:before="78" w:line="229" w:lineRule="auto"/>
              <w:ind w:left="118" w:right="116" w:hanging="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9" w:type="dxa"/>
          </w:tcPr>
          <w:p>
            <w:pPr>
              <w:pStyle w:val="35"/>
              <w:kinsoku/>
              <w:wordWrap w:val="0"/>
              <w:spacing w:before="213" w:line="201" w:lineRule="auto"/>
              <w:ind w:left="36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tcPr>
          <w:p>
            <w:pPr>
              <w:kinsoku/>
              <w:wordWrap w:val="0"/>
              <w:spacing w:before="35" w:line="224" w:lineRule="auto"/>
              <w:ind w:left="113" w:right="1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600" w:type="dxa"/>
          </w:tcPr>
          <w:p>
            <w:pPr>
              <w:kinsoku/>
              <w:wordWrap w:val="0"/>
              <w:spacing w:before="192" w:line="219"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tcPr>
          <w:p>
            <w:pPr>
              <w:pStyle w:val="35"/>
              <w:kinsoku/>
              <w:wordWrap w:val="0"/>
              <w:jc w:val="both"/>
              <w:rPr>
                <w:rFonts w:asciiTheme="minorEastAsia" w:hAnsiTheme="minorEastAsia" w:eastAsiaTheme="minorEastAsia" w:cstheme="minorEastAsia"/>
              </w:rPr>
            </w:pPr>
          </w:p>
        </w:tc>
      </w:tr>
    </w:tbl>
    <w:p>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z w:val="24"/>
          <w:szCs w:val="24"/>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三、评标委员会</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3.评标委员会应当严格遵守评审纪律，现场签订评审委员会评审承诺书，并按照客观、公正、审慎的原则，根据采购文件规定的评审程序、评审方法和评审标准进行独立评审。</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4.评标委员会应当在评审报告上签字，对自己评审意见承担法律责任。</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7.评标委员会或者其成员存在下列情形导致评标结果无效的，采购人、采购代理机构可以重新组建评标委员会进行评标，并书面报告本级财政部门，但采购合同已经履行的除外：</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（1）评标委员会组成不符合本办法规定的;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（2）政府采购货物和服务招标投标管理办法（87号令）第六十二条第一至五项情形的;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（3）评标委员会及其成员独立评标受到非法干预的;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（4）有政府采购法实施条例第七十五条规定的违法行为的。</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有违法违规行为的原评标委员会成员不得参加重新组建的评标委员会。</w:t>
      </w:r>
    </w:p>
    <w:p>
      <w:pPr>
        <w:kinsoku/>
        <w:wordWrap w:val="0"/>
        <w:spacing w:line="360" w:lineRule="auto"/>
        <w:ind w:firstLine="492"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8.评审活动结束，按照《河南省政府采购评审专家劳务报酬支付标准》的通知(豫财购〔2017〕9号)的规定，发放劳务报酬。</w:t>
      </w:r>
    </w:p>
    <w:p>
      <w:pPr>
        <w:kinsoku/>
        <w:wordWrap w:val="0"/>
        <w:spacing w:line="360" w:lineRule="auto"/>
        <w:ind w:firstLine="494" w:firstLineChars="200"/>
        <w:jc w:val="both"/>
        <w:rPr>
          <w:rFonts w:asciiTheme="minorEastAsia" w:hAnsiTheme="minorEastAsia" w:eastAsiaTheme="minorEastAsia" w:cstheme="minorEastAsia"/>
          <w:b/>
          <w:bCs/>
          <w:spacing w:val="3"/>
          <w:sz w:val="24"/>
          <w:szCs w:val="24"/>
          <w:lang w:eastAsia="zh-CN"/>
        </w:rPr>
      </w:pPr>
    </w:p>
    <w:p>
      <w:pPr>
        <w:kinsoku/>
        <w:wordWrap w:val="0"/>
        <w:spacing w:line="360" w:lineRule="auto"/>
        <w:jc w:val="both"/>
        <w:rPr>
          <w:rFonts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四、投标文件的审查</w:t>
      </w:r>
    </w:p>
    <w:p>
      <w:pPr>
        <w:pStyle w:val="3"/>
        <w:kinsoku/>
        <w:wordWrap w:val="0"/>
        <w:spacing w:line="360" w:lineRule="auto"/>
        <w:ind w:firstLine="480"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投标文件的符合性审查</w:t>
      </w:r>
    </w:p>
    <w:p>
      <w:pPr>
        <w:pStyle w:val="3"/>
        <w:kinsoku/>
        <w:wordWrap w:val="0"/>
        <w:spacing w:line="360" w:lineRule="auto"/>
        <w:ind w:firstLine="488"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1.1评标委员会对资格审查合格的投标人的投标文件进行符合性审查，以确定其</w:t>
      </w: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br w:type="page"/>
      </w:r>
    </w:p>
    <w:p>
      <w:pPr>
        <w:pStyle w:val="3"/>
        <w:kinsoku/>
        <w:wordWrap w:val="0"/>
        <w:spacing w:before="178" w:line="220" w:lineRule="auto"/>
        <w:ind w:left="364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符合性审查要求</w:t>
      </w:r>
    </w:p>
    <w:p>
      <w:pPr>
        <w:kinsoku/>
        <w:wordWrap w:val="0"/>
        <w:spacing w:line="145" w:lineRule="exact"/>
        <w:jc w:val="both"/>
        <w:rPr>
          <w:rFonts w:asciiTheme="minorEastAsia" w:hAnsiTheme="minorEastAsia" w:eastAsiaTheme="minorEastAsia" w:cstheme="minorEastAsia"/>
        </w:rPr>
      </w:pPr>
    </w:p>
    <w:tbl>
      <w:tblPr>
        <w:tblStyle w:val="3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tcPr>
          <w:p>
            <w:pPr>
              <w:kinsoku/>
              <w:wordWrap w:val="0"/>
              <w:spacing w:before="41" w:line="207" w:lineRule="auto"/>
              <w:ind w:left="14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序号</w:t>
            </w:r>
          </w:p>
        </w:tc>
        <w:tc>
          <w:tcPr>
            <w:tcW w:w="1812" w:type="dxa"/>
          </w:tcPr>
          <w:p>
            <w:pPr>
              <w:kinsoku/>
              <w:wordWrap w:val="0"/>
              <w:spacing w:before="41" w:line="207" w:lineRule="auto"/>
              <w:ind w:left="43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审查因素</w:t>
            </w:r>
          </w:p>
        </w:tc>
        <w:tc>
          <w:tcPr>
            <w:tcW w:w="5791" w:type="dxa"/>
          </w:tcPr>
          <w:p>
            <w:pPr>
              <w:kinsoku/>
              <w:wordWrap w:val="0"/>
              <w:spacing w:before="41" w:line="207" w:lineRule="auto"/>
              <w:ind w:left="289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5"/>
              <w:kinsoku/>
              <w:wordWrap w:val="0"/>
              <w:spacing w:before="245" w:line="199" w:lineRule="auto"/>
              <w:ind w:left="32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tcPr>
          <w:p>
            <w:pPr>
              <w:kinsoku/>
              <w:wordWrap w:val="0"/>
              <w:spacing w:before="222" w:line="219" w:lineRule="auto"/>
              <w:ind w:left="11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tcPr>
          <w:p>
            <w:pPr>
              <w:kinsoku/>
              <w:wordWrap w:val="0"/>
              <w:spacing w:before="222" w:line="184" w:lineRule="auto"/>
              <w:ind w:left="1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pPr>
              <w:pStyle w:val="35"/>
              <w:kinsoku/>
              <w:wordWrap w:val="0"/>
              <w:spacing w:before="244" w:line="201" w:lineRule="auto"/>
              <w:ind w:left="3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pPr>
              <w:kinsoku/>
              <w:wordWrap w:val="0"/>
              <w:spacing w:before="223" w:line="220"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pPr>
              <w:kinsoku/>
              <w:wordWrap w:val="0"/>
              <w:spacing w:before="222" w:line="184" w:lineRule="auto"/>
              <w:ind w:left="116"/>
              <w:jc w:val="both"/>
              <w:rPr>
                <w:rFonts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pPr>
              <w:kinsoku/>
              <w:wordWrap w:val="0"/>
              <w:spacing w:before="222" w:line="184" w:lineRule="auto"/>
              <w:ind w:left="1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5"/>
              <w:kinsoku/>
              <w:wordWrap w:val="0"/>
              <w:spacing w:before="245" w:line="201"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tcPr>
          <w:p>
            <w:pPr>
              <w:kinsoku/>
              <w:wordWrap w:val="0"/>
              <w:spacing w:before="221" w:line="219"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tcPr>
          <w:p>
            <w:pPr>
              <w:pStyle w:val="35"/>
              <w:kinsoku/>
              <w:wordWrap w:val="0"/>
              <w:spacing w:before="69" w:line="228" w:lineRule="auto"/>
              <w:ind w:left="117" w:right="29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5"/>
              <w:kinsoku/>
              <w:wordWrap w:val="0"/>
              <w:spacing w:before="247" w:line="199" w:lineRule="auto"/>
              <w:ind w:left="3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tcPr>
          <w:p>
            <w:pPr>
              <w:kinsoku/>
              <w:wordWrap w:val="0"/>
              <w:spacing w:before="223"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tcPr>
          <w:p>
            <w:pPr>
              <w:kinsoku/>
              <w:wordWrap w:val="0"/>
              <w:spacing w:before="68" w:line="230" w:lineRule="auto"/>
              <w:ind w:left="133" w:right="136" w:hanging="1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5"/>
              <w:kinsoku/>
              <w:wordWrap w:val="0"/>
              <w:spacing w:before="248" w:line="199" w:lineRule="auto"/>
              <w:ind w:left="316"/>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tcPr>
          <w:p>
            <w:pPr>
              <w:kinsoku/>
              <w:wordWrap w:val="0"/>
              <w:spacing w:before="222" w:line="221" w:lineRule="auto"/>
              <w:ind w:left="1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tcPr>
          <w:p>
            <w:pPr>
              <w:kinsoku/>
              <w:wordWrap w:val="0"/>
              <w:spacing w:before="70" w:line="229" w:lineRule="auto"/>
              <w:ind w:left="117"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5"/>
              <w:kinsoku/>
              <w:wordWrap w:val="0"/>
              <w:spacing w:before="244" w:line="202" w:lineRule="auto"/>
              <w:ind w:left="31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tcPr>
          <w:p>
            <w:pPr>
              <w:kinsoku/>
              <w:wordWrap w:val="0"/>
              <w:spacing w:before="224" w:line="220" w:lineRule="auto"/>
              <w:ind w:left="1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tcPr>
          <w:p>
            <w:pPr>
              <w:kinsoku/>
              <w:wordWrap w:val="0"/>
              <w:spacing w:before="69" w:line="196" w:lineRule="auto"/>
              <w:ind w:left="122" w:right="129" w:hanging="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tcPr>
          <w:p>
            <w:pPr>
              <w:pStyle w:val="35"/>
              <w:kinsoku/>
              <w:wordWrap w:val="0"/>
              <w:spacing w:before="247"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7</w:t>
            </w:r>
          </w:p>
        </w:tc>
        <w:tc>
          <w:tcPr>
            <w:tcW w:w="1812" w:type="dxa"/>
          </w:tcPr>
          <w:p>
            <w:pPr>
              <w:kinsoku/>
              <w:wordWrap w:val="0"/>
              <w:spacing w:before="72" w:line="230" w:lineRule="auto"/>
              <w:ind w:left="112" w:right="123" w:hanging="2"/>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tcPr>
          <w:p>
            <w:pPr>
              <w:kinsoku/>
              <w:wordWrap w:val="0"/>
              <w:spacing w:before="72" w:line="229" w:lineRule="auto"/>
              <w:ind w:left="114" w:right="136" w:firstLine="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tcPr>
          <w:p>
            <w:pPr>
              <w:pStyle w:val="35"/>
              <w:kinsoku/>
              <w:wordWrap w:val="0"/>
              <w:spacing w:line="304" w:lineRule="auto"/>
              <w:jc w:val="center"/>
              <w:rPr>
                <w:rFonts w:asciiTheme="minorEastAsia" w:hAnsiTheme="minorEastAsia" w:eastAsiaTheme="minorEastAsia" w:cstheme="minorEastAsia"/>
              </w:rPr>
            </w:pPr>
          </w:p>
          <w:p>
            <w:pPr>
              <w:pStyle w:val="35"/>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8</w:t>
            </w:r>
          </w:p>
        </w:tc>
        <w:tc>
          <w:tcPr>
            <w:tcW w:w="1812" w:type="dxa"/>
          </w:tcPr>
          <w:p>
            <w:pPr>
              <w:pStyle w:val="35"/>
              <w:kinsoku/>
              <w:wordWrap w:val="0"/>
              <w:spacing w:line="271" w:lineRule="auto"/>
              <w:jc w:val="both"/>
              <w:rPr>
                <w:rFonts w:asciiTheme="minorEastAsia" w:hAnsiTheme="minorEastAsia" w:eastAsiaTheme="minorEastAsia" w:cstheme="minorEastAsia"/>
              </w:rPr>
            </w:pPr>
          </w:p>
          <w:p>
            <w:pPr>
              <w:kinsoku/>
              <w:wordWrap w:val="0"/>
              <w:spacing w:before="78" w:line="219" w:lineRule="auto"/>
              <w:ind w:left="11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tcPr>
          <w:p>
            <w:pPr>
              <w:kinsoku/>
              <w:wordWrap w:val="0"/>
              <w:spacing w:before="41" w:line="228" w:lineRule="auto"/>
              <w:ind w:left="113" w:right="136"/>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tcPr>
          <w:p>
            <w:pPr>
              <w:pStyle w:val="35"/>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9</w:t>
            </w:r>
          </w:p>
        </w:tc>
        <w:tc>
          <w:tcPr>
            <w:tcW w:w="1812" w:type="dxa"/>
          </w:tcPr>
          <w:p>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□交货时间</w:t>
            </w:r>
          </w:p>
          <w:p>
            <w:pPr>
              <w:kinsoku/>
              <w:wordWrap w:val="0"/>
              <w:spacing w:before="69" w:line="196" w:lineRule="auto"/>
              <w:ind w:left="122" w:right="129" w:hanging="7"/>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☑服务期限</w:t>
            </w:r>
          </w:p>
        </w:tc>
        <w:tc>
          <w:tcPr>
            <w:tcW w:w="5791" w:type="dxa"/>
            <w:vAlign w:val="center"/>
          </w:tcPr>
          <w:p>
            <w:pPr>
              <w:kinsoku/>
              <w:wordWrap w:val="0"/>
              <w:spacing w:before="69" w:line="196" w:lineRule="auto"/>
              <w:ind w:left="122" w:right="129" w:hanging="7"/>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pPr>
              <w:pStyle w:val="35"/>
              <w:kinsoku/>
              <w:wordWrap w:val="0"/>
              <w:spacing w:before="69" w:line="199" w:lineRule="auto"/>
              <w:jc w:val="center"/>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10</w:t>
            </w:r>
          </w:p>
        </w:tc>
        <w:tc>
          <w:tcPr>
            <w:tcW w:w="1812" w:type="dxa"/>
            <w:vAlign w:val="center"/>
          </w:tcPr>
          <w:p>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质保期</w:t>
            </w:r>
          </w:p>
          <w:p>
            <w:pPr>
              <w:kinsoku/>
              <w:wordWrap w:val="0"/>
              <w:spacing w:before="78" w:line="219" w:lineRule="auto"/>
              <w:ind w:left="110"/>
              <w:jc w:val="both"/>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eastAsia="zh-CN"/>
              </w:rPr>
              <w:t>☑服务质量</w:t>
            </w:r>
          </w:p>
        </w:tc>
        <w:tc>
          <w:tcPr>
            <w:tcW w:w="5791" w:type="dxa"/>
            <w:vAlign w:val="center"/>
          </w:tcPr>
          <w:p>
            <w:pPr>
              <w:kinsoku/>
              <w:wordWrap w:val="0"/>
              <w:spacing w:before="41" w:line="228" w:lineRule="auto"/>
              <w:ind w:left="113" w:right="136"/>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tcPr>
          <w:p>
            <w:pPr>
              <w:pStyle w:val="35"/>
              <w:kinsoku/>
              <w:wordWrap w:val="0"/>
              <w:spacing w:line="301" w:lineRule="auto"/>
              <w:jc w:val="center"/>
              <w:rPr>
                <w:rFonts w:asciiTheme="minorEastAsia" w:hAnsiTheme="minorEastAsia" w:eastAsiaTheme="minorEastAsia" w:cstheme="minorEastAsia"/>
              </w:rPr>
            </w:pPr>
          </w:p>
          <w:p>
            <w:pPr>
              <w:pStyle w:val="35"/>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11</w:t>
            </w:r>
          </w:p>
        </w:tc>
        <w:tc>
          <w:tcPr>
            <w:tcW w:w="1812" w:type="dxa"/>
          </w:tcPr>
          <w:p>
            <w:pPr>
              <w:pStyle w:val="35"/>
              <w:kinsoku/>
              <w:wordWrap w:val="0"/>
              <w:spacing w:line="269" w:lineRule="auto"/>
              <w:jc w:val="both"/>
              <w:rPr>
                <w:rFonts w:asciiTheme="minorEastAsia" w:hAnsiTheme="minorEastAsia" w:eastAsiaTheme="minorEastAsia" w:cstheme="minorEastAsia"/>
              </w:rPr>
            </w:pPr>
          </w:p>
          <w:p>
            <w:pPr>
              <w:kinsoku/>
              <w:wordWrap w:val="0"/>
              <w:spacing w:before="78" w:line="220" w:lineRule="auto"/>
              <w:ind w:left="12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tcPr>
          <w:p>
            <w:pPr>
              <w:kinsoku/>
              <w:wordWrap w:val="0"/>
              <w:spacing w:before="38" w:line="228" w:lineRule="auto"/>
              <w:ind w:left="113" w:right="136" w:firstLine="4"/>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35"/>
              <w:kinsoku/>
              <w:wordWrap w:val="0"/>
              <w:spacing w:line="307" w:lineRule="auto"/>
              <w:jc w:val="center"/>
              <w:rPr>
                <w:rFonts w:asciiTheme="minorEastAsia" w:hAnsiTheme="minorEastAsia" w:eastAsiaTheme="minorEastAsia" w:cstheme="minorEastAsia"/>
              </w:rPr>
            </w:pPr>
          </w:p>
          <w:p>
            <w:pPr>
              <w:pStyle w:val="35"/>
              <w:kinsoku/>
              <w:wordWrap w:val="0"/>
              <w:spacing w:line="307" w:lineRule="auto"/>
              <w:jc w:val="center"/>
              <w:rPr>
                <w:rFonts w:asciiTheme="minorEastAsia" w:hAnsiTheme="minorEastAsia" w:eastAsiaTheme="minorEastAsia" w:cstheme="minorEastAsia"/>
              </w:rPr>
            </w:pPr>
          </w:p>
          <w:p>
            <w:pPr>
              <w:pStyle w:val="35"/>
              <w:kinsoku/>
              <w:wordWrap w:val="0"/>
              <w:spacing w:line="307" w:lineRule="auto"/>
              <w:jc w:val="center"/>
              <w:rPr>
                <w:rFonts w:asciiTheme="minorEastAsia" w:hAnsiTheme="minorEastAsia" w:eastAsiaTheme="minorEastAsia" w:cstheme="minorEastAsia"/>
              </w:rPr>
            </w:pPr>
          </w:p>
          <w:p>
            <w:pPr>
              <w:pStyle w:val="35"/>
              <w:kinsoku/>
              <w:wordWrap w:val="0"/>
              <w:spacing w:before="69"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12</w:t>
            </w:r>
          </w:p>
        </w:tc>
        <w:tc>
          <w:tcPr>
            <w:tcW w:w="1812" w:type="dxa"/>
          </w:tcPr>
          <w:p>
            <w:pPr>
              <w:pStyle w:val="35"/>
              <w:kinsoku/>
              <w:wordWrap w:val="0"/>
              <w:spacing w:line="296" w:lineRule="auto"/>
              <w:jc w:val="both"/>
              <w:rPr>
                <w:rFonts w:asciiTheme="minorEastAsia" w:hAnsiTheme="minorEastAsia" w:eastAsiaTheme="minorEastAsia" w:cstheme="minorEastAsia"/>
              </w:rPr>
            </w:pPr>
          </w:p>
          <w:p>
            <w:pPr>
              <w:pStyle w:val="35"/>
              <w:kinsoku/>
              <w:wordWrap w:val="0"/>
              <w:spacing w:line="296" w:lineRule="auto"/>
              <w:jc w:val="both"/>
              <w:rPr>
                <w:rFonts w:asciiTheme="minorEastAsia" w:hAnsiTheme="minorEastAsia" w:eastAsiaTheme="minorEastAsia" w:cstheme="minorEastAsia"/>
              </w:rPr>
            </w:pPr>
          </w:p>
          <w:p>
            <w:pPr>
              <w:pStyle w:val="35"/>
              <w:kinsoku/>
              <w:wordWrap w:val="0"/>
              <w:spacing w:line="297" w:lineRule="auto"/>
              <w:jc w:val="both"/>
              <w:rPr>
                <w:rFonts w:asciiTheme="minorEastAsia" w:hAnsiTheme="minorEastAsia" w:eastAsiaTheme="minorEastAsia" w:cstheme="minorEastAsia"/>
              </w:rPr>
            </w:pPr>
          </w:p>
          <w:p>
            <w:pPr>
              <w:kinsoku/>
              <w:wordWrap w:val="0"/>
              <w:spacing w:before="78" w:line="221" w:lineRule="auto"/>
              <w:ind w:left="13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tcPr>
          <w:p>
            <w:pPr>
              <w:kinsoku/>
              <w:wordWrap w:val="0"/>
              <w:spacing w:before="42" w:line="234" w:lineRule="auto"/>
              <w:ind w:left="113" w:right="2" w:firstLine="5"/>
              <w:jc w:val="both"/>
              <w:rPr>
                <w:rFonts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pacing w:val="-1"/>
                <w:sz w:val="24"/>
                <w:szCs w:val="24"/>
                <w:lang w:eastAsia="zh-CN"/>
              </w:rPr>
              <w:t>不存在</w:t>
            </w:r>
            <w:r>
              <w:rPr>
                <w:rFonts w:hint="eastAsia" w:asciiTheme="minorEastAsia" w:hAnsiTheme="minorEastAsia" w:eastAsiaTheme="minorEastAsia" w:cstheme="minorEastAsia"/>
                <w:spacing w:val="-1"/>
                <w:sz w:val="24"/>
                <w:szCs w:val="24"/>
              </w:rPr>
              <w:t>南阳市财政局关于防范供应商串通投标促进政府采购公平竞争的通知（宛财购〔2022〕3号）投标人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pPr>
              <w:kinsoku/>
              <w:wordWrap w:val="0"/>
              <w:spacing w:line="234" w:lineRule="auto"/>
              <w:ind w:firstLine="5"/>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一</w:t>
            </w:r>
            <w:r>
              <w:rPr>
                <w:rFonts w:hint="eastAsia" w:asciiTheme="minorEastAsia" w:hAnsiTheme="minorEastAsia" w:eastAsiaTheme="minorEastAsia" w:cstheme="minorEastAsia"/>
                <w:spacing w:val="-1"/>
                <w:sz w:val="24"/>
                <w:szCs w:val="24"/>
              </w:rPr>
              <w:t>）不同供应商的电子投标（响应）文件上传的计算机网卡MAC地址、CPU序列号和硬盘序列号等硬件信息相同</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二</w:t>
            </w:r>
            <w:r>
              <w:rPr>
                <w:rFonts w:hint="eastAsia" w:asciiTheme="minorEastAsia" w:hAnsiTheme="minorEastAsia" w:eastAsiaTheme="minorEastAsia" w:cstheme="minorEastAsia"/>
                <w:spacing w:val="-1"/>
                <w:sz w:val="24"/>
                <w:szCs w:val="24"/>
              </w:rPr>
              <w:t>）不同供应商的投标（响应）文件由同一电子设备编制、打印、加密或上传；（</w:t>
            </w:r>
            <w:r>
              <w:rPr>
                <w:rFonts w:hint="eastAsia" w:asciiTheme="minorEastAsia" w:hAnsiTheme="minorEastAsia" w:eastAsiaTheme="minorEastAsia" w:cstheme="minorEastAsia"/>
                <w:spacing w:val="-1"/>
                <w:sz w:val="24"/>
                <w:szCs w:val="24"/>
                <w:lang w:eastAsia="zh-CN"/>
              </w:rPr>
              <w:t>三</w:t>
            </w:r>
            <w:r>
              <w:rPr>
                <w:rFonts w:hint="eastAsia" w:asciiTheme="minorEastAsia" w:hAnsiTheme="minorEastAsia" w:eastAsiaTheme="minorEastAsia" w:cstheme="minorEastAsia"/>
                <w:spacing w:val="-1"/>
                <w:sz w:val="24"/>
                <w:szCs w:val="24"/>
              </w:rPr>
              <w:t>）不同供应商的投标（响应）文件由同一电子设备打印、复印；（</w:t>
            </w:r>
            <w:r>
              <w:rPr>
                <w:rFonts w:hint="eastAsia" w:asciiTheme="minorEastAsia" w:hAnsiTheme="minorEastAsia" w:eastAsiaTheme="minorEastAsia" w:cstheme="minorEastAsia"/>
                <w:spacing w:val="-1"/>
                <w:sz w:val="24"/>
                <w:szCs w:val="24"/>
                <w:lang w:eastAsia="zh-CN"/>
              </w:rPr>
              <w:t>四</w:t>
            </w:r>
            <w:r>
              <w:rPr>
                <w:rFonts w:hint="eastAsia" w:asciiTheme="minorEastAsia" w:hAnsiTheme="minorEastAsia" w:eastAsiaTheme="minorEastAsia" w:cstheme="minorEastAsia"/>
                <w:spacing w:val="-1"/>
                <w:sz w:val="24"/>
                <w:szCs w:val="24"/>
              </w:rPr>
              <w:t>）不同供应商的投标（响应）文件由同一人送达或分发，或</w:t>
            </w:r>
            <w:r>
              <w:rPr>
                <w:rFonts w:hint="eastAsia" w:asciiTheme="minorEastAsia" w:hAnsiTheme="minorEastAsia" w:eastAsiaTheme="minorEastAsia" w:cstheme="minorEastAsia"/>
                <w:spacing w:val="-1"/>
                <w:sz w:val="24"/>
                <w:szCs w:val="24"/>
                <w:lang w:eastAsia="zh-CN"/>
              </w:rPr>
              <w:t>者</w:t>
            </w:r>
            <w:r>
              <w:rPr>
                <w:rFonts w:hint="eastAsia" w:asciiTheme="minorEastAsia" w:hAnsiTheme="minorEastAsia" w:eastAsiaTheme="minorEastAsia" w:cstheme="minorEastAsia"/>
                <w:spacing w:val="-1"/>
                <w:sz w:val="24"/>
                <w:szCs w:val="24"/>
              </w:rPr>
              <w:t>不同供应商的</w:t>
            </w:r>
            <w:r>
              <w:rPr>
                <w:rFonts w:hint="eastAsia" w:asciiTheme="minorEastAsia" w:hAnsiTheme="minorEastAsia" w:eastAsiaTheme="minorEastAsia" w:cstheme="minorEastAsia"/>
                <w:spacing w:val="-1"/>
                <w:sz w:val="24"/>
                <w:szCs w:val="24"/>
                <w:lang w:eastAsia="zh-CN"/>
              </w:rPr>
              <w:t>联系人</w:t>
            </w:r>
            <w:r>
              <w:rPr>
                <w:rFonts w:hint="eastAsia" w:asciiTheme="minorEastAsia" w:hAnsiTheme="minorEastAsia" w:eastAsiaTheme="minorEastAsia" w:cstheme="minorEastAsia"/>
                <w:spacing w:val="-1"/>
                <w:sz w:val="24"/>
                <w:szCs w:val="24"/>
              </w:rPr>
              <w:t>为同一人或不同联系人</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联系电话一致</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五</w:t>
            </w:r>
            <w:r>
              <w:rPr>
                <w:rFonts w:hint="eastAsia" w:asciiTheme="minorEastAsia" w:hAnsiTheme="minorEastAsia" w:eastAsiaTheme="minorEastAsia" w:cstheme="minorEastAsia"/>
                <w:spacing w:val="-1"/>
                <w:sz w:val="24"/>
                <w:szCs w:val="24"/>
              </w:rPr>
              <w:t>）不同供应商的投标（响应）文件内容</w:t>
            </w:r>
            <w:r>
              <w:rPr>
                <w:rFonts w:hint="eastAsia" w:asciiTheme="minorEastAsia" w:hAnsiTheme="minorEastAsia" w:eastAsiaTheme="minorEastAsia" w:cstheme="minorEastAsia"/>
                <w:spacing w:val="-1"/>
                <w:sz w:val="24"/>
                <w:szCs w:val="24"/>
                <w:lang w:eastAsia="zh-CN"/>
              </w:rPr>
              <w:t>存在</w:t>
            </w:r>
            <w:r>
              <w:rPr>
                <w:rFonts w:hint="eastAsia" w:asciiTheme="minorEastAsia" w:hAnsiTheme="minorEastAsia" w:eastAsiaTheme="minorEastAsia" w:cstheme="minorEastAsia"/>
                <w:spacing w:val="-1"/>
                <w:sz w:val="24"/>
                <w:szCs w:val="24"/>
              </w:rPr>
              <w:t>两处以上</w:t>
            </w:r>
            <w:r>
              <w:rPr>
                <w:rFonts w:hint="eastAsia" w:asciiTheme="minorEastAsia" w:hAnsiTheme="minorEastAsia" w:eastAsiaTheme="minorEastAsia" w:cstheme="minorEastAsia"/>
                <w:spacing w:val="-1"/>
                <w:sz w:val="24"/>
                <w:szCs w:val="24"/>
                <w:lang w:eastAsia="zh-CN"/>
              </w:rPr>
              <w:t>细节错误</w:t>
            </w:r>
            <w:r>
              <w:rPr>
                <w:rFonts w:hint="eastAsia" w:asciiTheme="minorEastAsia" w:hAnsiTheme="minorEastAsia" w:eastAsiaTheme="minorEastAsia" w:cstheme="minorEastAsia"/>
                <w:spacing w:val="-1"/>
                <w:sz w:val="24"/>
                <w:szCs w:val="24"/>
              </w:rPr>
              <w:t>一致；（</w:t>
            </w:r>
            <w:r>
              <w:rPr>
                <w:rFonts w:hint="eastAsia" w:asciiTheme="minorEastAsia" w:hAnsiTheme="minorEastAsia" w:eastAsiaTheme="minorEastAsia" w:cstheme="minorEastAsia"/>
                <w:spacing w:val="-1"/>
                <w:sz w:val="24"/>
                <w:szCs w:val="24"/>
                <w:lang w:eastAsia="zh-CN"/>
              </w:rPr>
              <w:t>六</w:t>
            </w:r>
            <w:r>
              <w:rPr>
                <w:rFonts w:hint="eastAsia" w:asciiTheme="minorEastAsia" w:hAnsiTheme="minorEastAsia" w:eastAsiaTheme="minorEastAsia" w:cstheme="minorEastAsia"/>
                <w:spacing w:val="-1"/>
                <w:sz w:val="24"/>
                <w:szCs w:val="24"/>
              </w:rPr>
              <w:t>）不同供应商的法定代表人、委托代理人、项目经理、项目负责人</w:t>
            </w:r>
            <w:r>
              <w:rPr>
                <w:rFonts w:hint="eastAsia" w:asciiTheme="minorEastAsia" w:hAnsiTheme="minorEastAsia" w:eastAsiaTheme="minorEastAsia" w:cstheme="minorEastAsia"/>
                <w:spacing w:val="-1"/>
                <w:sz w:val="24"/>
                <w:szCs w:val="24"/>
                <w:lang w:eastAsia="zh-CN"/>
              </w:rPr>
              <w:t>等由</w:t>
            </w:r>
            <w:r>
              <w:rPr>
                <w:rFonts w:hint="eastAsia" w:asciiTheme="minorEastAsia" w:hAnsiTheme="minorEastAsia" w:eastAsiaTheme="minorEastAsia" w:cstheme="minorEastAsia"/>
                <w:spacing w:val="-1"/>
                <w:sz w:val="24"/>
                <w:szCs w:val="24"/>
              </w:rPr>
              <w:t>同一单位缴纳社会保险或</w:t>
            </w:r>
            <w:r>
              <w:rPr>
                <w:rFonts w:hint="eastAsia" w:asciiTheme="minorEastAsia" w:hAnsiTheme="minorEastAsia" w:eastAsiaTheme="minorEastAsia" w:cstheme="minorEastAsia"/>
                <w:spacing w:val="-1"/>
                <w:sz w:val="24"/>
                <w:szCs w:val="24"/>
                <w:lang w:eastAsia="zh-CN"/>
              </w:rPr>
              <w:t>者</w:t>
            </w:r>
            <w:r>
              <w:rPr>
                <w:rFonts w:hint="eastAsia" w:asciiTheme="minorEastAsia" w:hAnsiTheme="minorEastAsia" w:eastAsiaTheme="minorEastAsia" w:cstheme="minorEastAsia"/>
                <w:spacing w:val="-1"/>
                <w:sz w:val="24"/>
                <w:szCs w:val="24"/>
              </w:rPr>
              <w:t>领取报酬</w:t>
            </w:r>
            <w:r>
              <w:rPr>
                <w:rFonts w:hint="eastAsia" w:asciiTheme="minorEastAsia" w:hAnsiTheme="minorEastAsia" w:eastAsiaTheme="minorEastAsia" w:cstheme="minorEastAsia"/>
                <w:spacing w:val="-1"/>
                <w:sz w:val="24"/>
                <w:szCs w:val="24"/>
                <w:lang w:eastAsia="zh-CN"/>
              </w:rPr>
              <w:t>的</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七</w:t>
            </w:r>
            <w:r>
              <w:rPr>
                <w:rFonts w:hint="eastAsia" w:asciiTheme="minorEastAsia" w:hAnsiTheme="minorEastAsia" w:eastAsiaTheme="minorEastAsia" w:cstheme="minorEastAsia"/>
                <w:spacing w:val="-1"/>
                <w:sz w:val="24"/>
                <w:szCs w:val="24"/>
              </w:rPr>
              <w:t>）不同供应商投标</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文件中的法定代表人或负责人签名出自同一人</w:t>
            </w:r>
            <w:r>
              <w:rPr>
                <w:rFonts w:hint="eastAsia" w:asciiTheme="minorEastAsia" w:hAnsiTheme="minorEastAsia" w:eastAsiaTheme="minorEastAsia" w:cstheme="minorEastAsia"/>
                <w:spacing w:val="-1"/>
                <w:sz w:val="24"/>
                <w:szCs w:val="24"/>
                <w:lang w:eastAsia="zh-CN"/>
              </w:rPr>
              <w:t>之手</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八</w:t>
            </w:r>
            <w:r>
              <w:rPr>
                <w:rFonts w:hint="eastAsia" w:asciiTheme="minorEastAsia" w:hAnsiTheme="minorEastAsia" w:eastAsiaTheme="minorEastAsia" w:cstheme="minorEastAsia"/>
                <w:spacing w:val="-1"/>
                <w:sz w:val="24"/>
                <w:szCs w:val="24"/>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tcPr>
          <w:p>
            <w:pPr>
              <w:pStyle w:val="35"/>
              <w:kinsoku/>
              <w:wordWrap w:val="0"/>
              <w:spacing w:before="69" w:line="199" w:lineRule="auto"/>
              <w:jc w:val="center"/>
              <w:rPr>
                <w:rFonts w:asciiTheme="minorEastAsia" w:hAnsiTheme="minorEastAsia" w:eastAsiaTheme="minorEastAsia" w:cstheme="minorEastAsia"/>
                <w:spacing w:val="5"/>
                <w:sz w:val="24"/>
                <w:szCs w:val="24"/>
                <w:lang w:eastAsia="zh-CN"/>
              </w:rPr>
            </w:pPr>
          </w:p>
        </w:tc>
        <w:tc>
          <w:tcPr>
            <w:tcW w:w="1812" w:type="dxa"/>
          </w:tcPr>
          <w:p>
            <w:pPr>
              <w:kinsoku/>
              <w:wordWrap w:val="0"/>
              <w:spacing w:before="78" w:line="221" w:lineRule="auto"/>
              <w:ind w:left="134"/>
              <w:jc w:val="both"/>
              <w:rPr>
                <w:rFonts w:asciiTheme="minorEastAsia" w:hAnsiTheme="minorEastAsia" w:eastAsiaTheme="minorEastAsia" w:cstheme="minorEastAsia"/>
                <w:spacing w:val="-6"/>
                <w:sz w:val="24"/>
                <w:szCs w:val="24"/>
              </w:rPr>
            </w:pPr>
          </w:p>
        </w:tc>
        <w:tc>
          <w:tcPr>
            <w:tcW w:w="5791" w:type="dxa"/>
            <w:vMerge w:val="continue"/>
          </w:tcPr>
          <w:p>
            <w:pPr>
              <w:pStyle w:val="16"/>
              <w:shd w:val="clear" w:color="auto" w:fill="FFFFFF"/>
              <w:kinsoku/>
              <w:wordWrap w:val="0"/>
              <w:spacing w:beforeAutospacing="0" w:afterAutospacing="0"/>
              <w:jc w:val="both"/>
              <w:rPr>
                <w:rFonts w:asciiTheme="minorEastAsia" w:hAnsiTheme="minorEastAsia" w:eastAsiaTheme="minorEastAsia" w:cstheme="minorEastAsia"/>
                <w:spacing w:val="-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tcPr>
          <w:p>
            <w:pPr>
              <w:pStyle w:val="35"/>
              <w:kinsoku/>
              <w:wordWrap w:val="0"/>
              <w:spacing w:before="248" w:line="202"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3</w:t>
            </w:r>
          </w:p>
        </w:tc>
        <w:tc>
          <w:tcPr>
            <w:tcW w:w="1812" w:type="dxa"/>
          </w:tcPr>
          <w:p>
            <w:pPr>
              <w:kinsoku/>
              <w:wordWrap w:val="0"/>
              <w:spacing w:before="228" w:line="219" w:lineRule="auto"/>
              <w:ind w:left="13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tcPr>
          <w:p>
            <w:pPr>
              <w:kinsoku/>
              <w:wordWrap w:val="0"/>
              <w:spacing w:before="228" w:line="219" w:lineRule="auto"/>
              <w:ind w:left="11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tcPr>
          <w:p>
            <w:pPr>
              <w:pStyle w:val="35"/>
              <w:kinsoku/>
              <w:wordWrap w:val="0"/>
              <w:spacing w:before="252" w:line="199"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eastAsia="zh-CN"/>
              </w:rPr>
              <w:t>4</w:t>
            </w:r>
          </w:p>
        </w:tc>
        <w:tc>
          <w:tcPr>
            <w:tcW w:w="1812" w:type="dxa"/>
          </w:tcPr>
          <w:p>
            <w:pPr>
              <w:kinsoku/>
              <w:wordWrap w:val="0"/>
              <w:spacing w:before="226" w:line="221" w:lineRule="auto"/>
              <w:ind w:left="113"/>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tcPr>
          <w:p>
            <w:pPr>
              <w:kinsoku/>
              <w:wordWrap w:val="0"/>
              <w:spacing w:before="74" w:line="229" w:lineRule="auto"/>
              <w:ind w:left="115" w:right="136" w:firstLine="1"/>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pPr>
        <w:pStyle w:val="3"/>
        <w:kinsoku/>
        <w:wordWrap w:val="0"/>
        <w:spacing w:line="360" w:lineRule="auto"/>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2.技术审查</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□货物类，审查投标设备的技术指标、技术性能或产品技术说明、项目供货方案、培训计划和强制节能产品证明文件等是否符合招标要求。</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☑服务类，审查服务方案、人员配备方案及人员基本情况等是否符合招标要求。</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4.投标文件的澄清</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4.3 投标人的澄清、说明或补正文件是投标文件的组成部分，并取代投标文件中被澄清、说明或补正的部分。</w:t>
      </w:r>
    </w:p>
    <w:p>
      <w:pPr>
        <w:kinsoku/>
        <w:wordWrap w:val="0"/>
        <w:spacing w:line="360" w:lineRule="auto"/>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lang w:eastAsia="zh-CN"/>
        </w:rPr>
        <w:t>五.</w:t>
      </w:r>
      <w:r>
        <w:rPr>
          <w:rFonts w:hint="eastAsia" w:asciiTheme="minorEastAsia" w:hAnsiTheme="minorEastAsia" w:eastAsiaTheme="minorEastAsia" w:cstheme="minorEastAsia"/>
          <w:b/>
          <w:bCs/>
          <w:spacing w:val="2"/>
          <w:position w:val="17"/>
          <w:sz w:val="24"/>
          <w:szCs w:val="24"/>
        </w:rPr>
        <w:t>评标方法和评标标准</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1.</w:t>
      </w:r>
      <w:r>
        <w:rPr>
          <w:rFonts w:hint="eastAsia" w:asciiTheme="minorEastAsia" w:hAnsiTheme="minorEastAsia" w:eastAsiaTheme="minorEastAsia" w:cstheme="minorEastAsia"/>
          <w:spacing w:val="2"/>
          <w:position w:val="17"/>
          <w:sz w:val="24"/>
          <w:szCs w:val="24"/>
        </w:rPr>
        <w:t>本项目采用的评标方法为：</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pacing w:val="2"/>
          <w:position w:val="17"/>
          <w:sz w:val="24"/>
          <w:szCs w:val="24"/>
          <w:lang w:eastAsia="zh-CN"/>
        </w:rPr>
        <w:t>。</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最低评标价法，指投标文件满足招标文件全部实质性要求，且投标报价最低的投标人为中标候选人的评标方法。</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采用最低评标价法时，</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□其他方式，具体要求：</w:t>
      </w:r>
      <w:r>
        <w:rPr>
          <w:rFonts w:hint="eastAsia" w:asciiTheme="minorEastAsia" w:hAnsiTheme="minorEastAsia" w:eastAsiaTheme="minorEastAsia" w:cstheme="minorEastAsia"/>
          <w:color w:val="auto"/>
          <w:spacing w:val="2"/>
          <w:position w:val="17"/>
          <w:sz w:val="24"/>
          <w:szCs w:val="24"/>
          <w:u w:val="single"/>
          <w:lang w:eastAsia="zh-CN"/>
        </w:rPr>
        <w:t xml:space="preserve">           </w:t>
      </w:r>
      <w:r>
        <w:rPr>
          <w:rFonts w:hint="eastAsia" w:asciiTheme="minorEastAsia" w:hAnsiTheme="minorEastAsia" w:eastAsiaTheme="minorEastAsia" w:cstheme="minorEastAsia"/>
          <w:color w:val="auto"/>
          <w:spacing w:val="2"/>
          <w:position w:val="17"/>
          <w:sz w:val="24"/>
          <w:szCs w:val="24"/>
          <w:u w:val="single"/>
          <w:lang w:val="en-US" w:eastAsia="zh-CN"/>
        </w:rPr>
        <w:t>/</w:t>
      </w:r>
      <w:r>
        <w:rPr>
          <w:rFonts w:hint="eastAsia" w:asciiTheme="minorEastAsia" w:hAnsiTheme="minorEastAsia" w:eastAsiaTheme="minorEastAsia" w:cstheme="minorEastAsia"/>
          <w:color w:val="auto"/>
          <w:spacing w:val="2"/>
          <w:position w:val="17"/>
          <w:sz w:val="24"/>
          <w:szCs w:val="24"/>
          <w:u w:val="single"/>
          <w:lang w:eastAsia="zh-CN"/>
        </w:rPr>
        <w:t xml:space="preserve">                      。</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rPr>
        <w:t>（如涉及）。</w:t>
      </w:r>
    </w:p>
    <w:p>
      <w:pPr>
        <w:pStyle w:val="3"/>
        <w:kinsoku/>
        <w:wordWrap w:val="0"/>
        <w:spacing w:line="360" w:lineRule="auto"/>
        <w:ind w:left="239" w:leftChars="114" w:firstLine="244" w:firstLineChars="1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3.</w:t>
      </w:r>
      <w:r>
        <w:rPr>
          <w:rFonts w:hint="eastAsia" w:asciiTheme="minorEastAsia" w:hAnsiTheme="minorEastAsia" w:eastAsiaTheme="minorEastAsia" w:cstheme="minorEastAsia"/>
          <w:spacing w:val="2"/>
          <w:position w:val="17"/>
          <w:sz w:val="24"/>
          <w:szCs w:val="24"/>
        </w:rPr>
        <w:t>关于无线局域网认证产品政府采购清单中的产品，优先采购的具体规定</w:t>
      </w:r>
      <w:r>
        <w:rPr>
          <w:rFonts w:hint="eastAsia" w:asciiTheme="minorEastAsia" w:hAnsiTheme="minorEastAsia" w:eastAsiaTheme="minorEastAsia" w:cstheme="minorEastAsia"/>
          <w:spacing w:val="2"/>
          <w:position w:val="17"/>
          <w:sz w:val="24"/>
          <w:szCs w:val="24"/>
          <w:u w:val="single"/>
          <w:lang w:val="en-US" w:eastAsia="zh-CN"/>
        </w:rPr>
        <w:t>/</w:t>
      </w:r>
      <w:r>
        <w:rPr>
          <w:rFonts w:hint="eastAsia" w:asciiTheme="minorEastAsia" w:hAnsiTheme="minorEastAsia" w:eastAsiaTheme="minorEastAsia" w:cstheme="minorEastAsia"/>
          <w:spacing w:val="2"/>
          <w:position w:val="17"/>
          <w:sz w:val="24"/>
          <w:szCs w:val="24"/>
        </w:rPr>
        <w:t>（如涉及）</w:t>
      </w:r>
      <w:r>
        <w:rPr>
          <w:rFonts w:hint="eastAsia" w:asciiTheme="minorEastAsia" w:hAnsiTheme="minorEastAsia" w:eastAsiaTheme="minorEastAsia" w:cstheme="minorEastAsia"/>
          <w:spacing w:val="2"/>
          <w:position w:val="17"/>
          <w:sz w:val="24"/>
          <w:szCs w:val="24"/>
          <w:lang w:eastAsia="zh-CN"/>
        </w:rPr>
        <w:t>。</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确定中标候选人名单</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.1采用综合评分法时，</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随机抽取</w:t>
      </w:r>
    </w:p>
    <w:p>
      <w:pPr>
        <w:pStyle w:val="3"/>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其他方式，</w:t>
      </w:r>
      <w:r>
        <w:rPr>
          <w:rFonts w:hint="eastAsia" w:asciiTheme="minorEastAsia" w:hAnsiTheme="minorEastAsia" w:eastAsiaTheme="minorEastAsia" w:cstheme="minorEastAsia"/>
          <w:color w:val="auto"/>
          <w:spacing w:val="2"/>
          <w:position w:val="17"/>
          <w:sz w:val="24"/>
          <w:szCs w:val="24"/>
        </w:rPr>
        <w:t>具体要求：</w:t>
      </w:r>
      <w:r>
        <w:rPr>
          <w:rFonts w:hint="eastAsia" w:asciiTheme="minorEastAsia" w:hAnsiTheme="minorEastAsia" w:eastAsiaTheme="minorEastAsia" w:cstheme="minorEastAsia"/>
          <w:color w:val="auto"/>
          <w:spacing w:val="2"/>
          <w:position w:val="17"/>
          <w:sz w:val="24"/>
          <w:szCs w:val="24"/>
          <w:u w:val="single"/>
          <w:lang w:eastAsia="zh-CN"/>
        </w:rPr>
        <w:t xml:space="preserve">   优先选择报价低的       。</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.2采用综合评分法时，</w:t>
      </w:r>
      <w:r>
        <w:rPr>
          <w:rFonts w:hint="eastAsia" w:asciiTheme="minorEastAsia" w:hAnsiTheme="minorEastAsia" w:eastAsiaTheme="minorEastAsia" w:cstheme="minorEastAsia"/>
          <w:spacing w:val="2"/>
          <w:position w:val="17"/>
          <w:sz w:val="24"/>
          <w:szCs w:val="24"/>
          <w:lang w:eastAsia="zh-CN"/>
        </w:rPr>
        <w:t>投标人的排名按得分顺序从高到低排列；得分相同的，按投标报价由低到高顺序排列；得分且投标报价相同的，按技术指标优劣顺序排列。</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spacing w:val="2"/>
          <w:position w:val="17"/>
          <w:sz w:val="24"/>
          <w:szCs w:val="24"/>
          <w:lang w:eastAsia="zh-CN"/>
        </w:rPr>
        <w:t xml:space="preserve">3 </w:t>
      </w:r>
      <w:r>
        <w:rPr>
          <w:rFonts w:hint="eastAsia" w:asciiTheme="minorEastAsia" w:hAnsiTheme="minorEastAsia" w:eastAsiaTheme="minorEastAsia" w:cstheme="minorEastAsia"/>
          <w:spacing w:val="2"/>
          <w:position w:val="17"/>
          <w:sz w:val="24"/>
          <w:szCs w:val="24"/>
        </w:rPr>
        <w:t>采用最低评标价法时，评标结果</w:t>
      </w:r>
      <w:r>
        <w:rPr>
          <w:rFonts w:hint="eastAsia" w:asciiTheme="minorEastAsia" w:hAnsiTheme="minorEastAsia" w:eastAsiaTheme="minorEastAsia" w:cstheme="minorEastAsia"/>
          <w:spacing w:val="2"/>
          <w:position w:val="17"/>
          <w:sz w:val="24"/>
          <w:szCs w:val="24"/>
          <w:lang w:eastAsia="zh-CN"/>
        </w:rPr>
        <w:t>按照</w:t>
      </w:r>
      <w:r>
        <w:rPr>
          <w:rFonts w:hint="eastAsia" w:asciiTheme="minorEastAsia" w:hAnsiTheme="minorEastAsia" w:eastAsiaTheme="minorEastAsia" w:cstheme="minorEastAsia"/>
          <w:spacing w:val="2"/>
          <w:position w:val="17"/>
          <w:sz w:val="24"/>
          <w:szCs w:val="24"/>
        </w:rPr>
        <w:t>投标报价由低到高顺序排列。投标报价相同的并列。投标文件满足招标文件全部实质性要求且投标报价最低的投标人为排名第一的中标候选人。</w:t>
      </w:r>
    </w:p>
    <w:p>
      <w:pPr>
        <w:pStyle w:val="3"/>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rPr>
      </w:pPr>
      <w:r>
        <w:rPr>
          <w:rFonts w:hint="eastAsia" w:asciiTheme="minorEastAsia" w:hAnsiTheme="minorEastAsia" w:eastAsiaTheme="minorEastAsia" w:cstheme="minorEastAsia"/>
          <w:b/>
          <w:bCs/>
          <w:spacing w:val="2"/>
          <w:position w:val="17"/>
          <w:sz w:val="24"/>
          <w:szCs w:val="24"/>
          <w:lang w:eastAsia="zh-CN"/>
        </w:rPr>
        <w:t xml:space="preserve">4.4 </w:t>
      </w:r>
      <w:r>
        <w:rPr>
          <w:rFonts w:hint="eastAsia" w:asciiTheme="minorEastAsia" w:hAnsiTheme="minorEastAsia" w:eastAsiaTheme="minorEastAsia" w:cstheme="minorEastAsia"/>
          <w:b/>
          <w:bCs/>
          <w:spacing w:val="2"/>
          <w:position w:val="17"/>
          <w:sz w:val="24"/>
          <w:szCs w:val="24"/>
        </w:rPr>
        <w:t>评标委员会要对评分汇总情况进行复核，特别是对排名第一的、报价最低的、投标文件被认定为无效的情形进行重点复核。</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4</w:t>
      </w:r>
      <w:r>
        <w:rPr>
          <w:rFonts w:hint="eastAsia" w:asciiTheme="minorEastAsia" w:hAnsiTheme="minorEastAsia" w:eastAsiaTheme="minorEastAsia" w:cstheme="minorEastAsia"/>
          <w:spacing w:val="2"/>
          <w:position w:val="17"/>
          <w:sz w:val="24"/>
          <w:szCs w:val="24"/>
        </w:rPr>
        <w:t>.</w:t>
      </w:r>
      <w:r>
        <w:rPr>
          <w:rFonts w:hint="eastAsia" w:asciiTheme="minorEastAsia" w:hAnsiTheme="minorEastAsia" w:eastAsiaTheme="minorEastAsia" w:cstheme="minorEastAsia"/>
          <w:spacing w:val="2"/>
          <w:position w:val="17"/>
          <w:sz w:val="24"/>
          <w:szCs w:val="24"/>
          <w:lang w:eastAsia="zh-CN"/>
        </w:rPr>
        <w:t xml:space="preserve">5 </w:t>
      </w:r>
      <w:r>
        <w:rPr>
          <w:rFonts w:hint="eastAsia" w:asciiTheme="minorEastAsia" w:hAnsiTheme="minorEastAsia" w:eastAsiaTheme="minorEastAsia" w:cstheme="minorEastAsia"/>
          <w:spacing w:val="2"/>
          <w:position w:val="17"/>
          <w:sz w:val="24"/>
          <w:szCs w:val="24"/>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color w:val="auto"/>
          <w:spacing w:val="2"/>
          <w:position w:val="17"/>
          <w:sz w:val="24"/>
          <w:szCs w:val="24"/>
        </w:rPr>
        <w:t>员会共推荐名</w:t>
      </w:r>
      <w:r>
        <w:rPr>
          <w:rFonts w:hint="eastAsia" w:asciiTheme="minorEastAsia" w:hAnsiTheme="minorEastAsia" w:eastAsiaTheme="minorEastAsia" w:cstheme="minorEastAsia"/>
          <w:color w:val="auto"/>
          <w:spacing w:val="2"/>
          <w:position w:val="17"/>
          <w:sz w:val="24"/>
          <w:szCs w:val="24"/>
          <w:lang w:val="en-US" w:eastAsia="zh-CN"/>
        </w:rPr>
        <w:t>3名</w:t>
      </w:r>
      <w:r>
        <w:rPr>
          <w:rFonts w:hint="eastAsia" w:asciiTheme="minorEastAsia" w:hAnsiTheme="minorEastAsia" w:eastAsiaTheme="minorEastAsia" w:cstheme="minorEastAsia"/>
          <w:color w:val="auto"/>
          <w:spacing w:val="2"/>
          <w:position w:val="17"/>
          <w:sz w:val="24"/>
          <w:szCs w:val="24"/>
        </w:rPr>
        <w:t>中标</w:t>
      </w:r>
      <w:r>
        <w:rPr>
          <w:rFonts w:hint="eastAsia" w:asciiTheme="minorEastAsia" w:hAnsiTheme="minorEastAsia" w:eastAsiaTheme="minorEastAsia" w:cstheme="minorEastAsia"/>
          <w:spacing w:val="2"/>
          <w:position w:val="17"/>
          <w:sz w:val="24"/>
          <w:szCs w:val="24"/>
        </w:rPr>
        <w:t>候选人。</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5.</w:t>
      </w:r>
      <w:r>
        <w:rPr>
          <w:rFonts w:hint="eastAsia" w:asciiTheme="minorEastAsia" w:hAnsiTheme="minorEastAsia" w:eastAsiaTheme="minorEastAsia" w:cstheme="minorEastAsia"/>
          <w:spacing w:val="2"/>
          <w:position w:val="17"/>
          <w:sz w:val="24"/>
          <w:szCs w:val="24"/>
        </w:rPr>
        <w:t>报告违法行为</w:t>
      </w:r>
    </w:p>
    <w:p>
      <w:pPr>
        <w:pStyle w:val="3"/>
        <w:kinsoku/>
        <w:wordWrap w:val="0"/>
        <w:spacing w:line="360" w:lineRule="auto"/>
        <w:ind w:firstLine="488" w:firstLineChars="200"/>
        <w:jc w:val="both"/>
        <w:rPr>
          <w:rFonts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评标委员会在评标过程中发现投标人有行贿、</w:t>
      </w:r>
      <w:r>
        <w:rPr>
          <w:rFonts w:hint="eastAsia" w:asciiTheme="minorEastAsia" w:hAnsiTheme="minorEastAsia" w:eastAsiaTheme="minorEastAsia" w:cstheme="minorEastAsia"/>
          <w:spacing w:val="2"/>
          <w:position w:val="17"/>
          <w:sz w:val="24"/>
          <w:szCs w:val="24"/>
          <w:lang w:eastAsia="zh-CN"/>
        </w:rPr>
        <w:t>提</w:t>
      </w:r>
      <w:r>
        <w:rPr>
          <w:rFonts w:hint="eastAsia" w:asciiTheme="minorEastAsia" w:hAnsiTheme="minorEastAsia" w:eastAsiaTheme="minorEastAsia" w:cstheme="minorEastAsia"/>
          <w:spacing w:val="2"/>
          <w:position w:val="17"/>
          <w:sz w:val="24"/>
          <w:szCs w:val="24"/>
        </w:rPr>
        <w:t>供虚假材料或者串通等违法行为时，有向采购人、采购代理机构或者有关部门报告的职责。</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6.确定中标人</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□根据采购人授权，评委会根据排名顺序直接确定排名第一的中标候选人为中标人。</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☑采购人应当在收到评标报告之日起5个工作日内，在评标报告确定的中标候选人名单中按顺序确定中标人。</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7.投标人存在下列情况之一的，投标无效：</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（1）投标文件未按招标文件要求签署、盖章的；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（2）不具备招标文件中规定的资格要求的；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（3）报价超过招标文件中规定的预算金额或者最高限价的；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（4）投标文件含有采购人不能接受的附加条件的；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（5）不符合应提交投标文件资料数量要求的；</w:t>
      </w:r>
    </w:p>
    <w:p>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（6）开标解密时未在规定时间（30分钟）内进行解密成功的视为撤销其投标文件（因电子开标系统原因除外）；</w:t>
      </w:r>
    </w:p>
    <w:p>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（7）电子投标文件未使用</w:t>
      </w:r>
      <w:r>
        <w:rPr>
          <w:rFonts w:hint="eastAsia" w:asciiTheme="minorEastAsia" w:hAnsiTheme="minorEastAsia" w:eastAsiaTheme="minorEastAsia" w:cstheme="minorEastAsia"/>
          <w:b/>
          <w:bCs/>
          <w:spacing w:val="2"/>
          <w:position w:val="17"/>
          <w:sz w:val="24"/>
          <w:szCs w:val="24"/>
          <w:lang w:val="en-US" w:eastAsia="zh-CN"/>
        </w:rPr>
        <w:t>数字证书</w:t>
      </w:r>
      <w:r>
        <w:rPr>
          <w:rFonts w:hint="eastAsia" w:asciiTheme="minorEastAsia" w:hAnsiTheme="minorEastAsia" w:eastAsiaTheme="minorEastAsia" w:cstheme="minorEastAsia"/>
          <w:b/>
          <w:bCs/>
          <w:spacing w:val="2"/>
          <w:position w:val="17"/>
          <w:sz w:val="24"/>
          <w:szCs w:val="24"/>
        </w:rPr>
        <w:t>认证并加密的</w:t>
      </w:r>
      <w:r>
        <w:rPr>
          <w:rFonts w:hint="eastAsia" w:asciiTheme="minorEastAsia" w:hAnsiTheme="minorEastAsia" w:eastAsiaTheme="minorEastAsia" w:cstheme="minorEastAsia"/>
          <w:b/>
          <w:bCs/>
          <w:spacing w:val="2"/>
          <w:position w:val="17"/>
          <w:sz w:val="24"/>
          <w:szCs w:val="24"/>
          <w:lang w:eastAsia="zh-CN"/>
        </w:rPr>
        <w:t>；</w:t>
      </w:r>
    </w:p>
    <w:p>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（8）未在投标截止时间前完成上传的；</w:t>
      </w:r>
    </w:p>
    <w:p>
      <w:pPr>
        <w:widowControl w:val="0"/>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（9）法律、法规和招标文件规定的其他无效情形。</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8.在招标采购中，出现下列情形之一的，应予废标：</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（1）符合专业条件的供应商或者对招标文件作实质性响应的供应商不足三家的；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（2）出现影响采购公正的违法、违规行为的；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（3）投标人的报价均超过了预算金额，采购人不能支付的；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（4）因重大变故，采购任务取消的。</w:t>
      </w:r>
    </w:p>
    <w:p>
      <w:pPr>
        <w:kinsoku/>
        <w:wordWrap w:val="0"/>
        <w:spacing w:line="360" w:lineRule="auto"/>
        <w:ind w:firstLine="490"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废标后，应当在指定媒体发布公告，将废标理由通知所有投标人。</w:t>
      </w:r>
    </w:p>
    <w:p>
      <w:pPr>
        <w:pStyle w:val="33"/>
        <w:rPr>
          <w:rFonts w:hint="eastAsia" w:asciiTheme="minorEastAsia" w:hAnsiTheme="minorEastAsia" w:eastAsiaTheme="minorEastAsia" w:cstheme="minorEastAsia"/>
          <w:spacing w:val="-2"/>
          <w:sz w:val="24"/>
          <w:szCs w:val="24"/>
        </w:rPr>
      </w:pPr>
    </w:p>
    <w:p>
      <w:pPr>
        <w:rPr>
          <w:rFonts w:hint="eastAsia"/>
        </w:rPr>
      </w:pPr>
    </w:p>
    <w:p>
      <w:pP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br w:type="page"/>
      </w:r>
    </w:p>
    <w:p>
      <w:pPr>
        <w:pStyle w:val="3"/>
        <w:kinsoku/>
        <w:wordWrap w:val="0"/>
        <w:spacing w:before="78" w:line="221" w:lineRule="auto"/>
        <w:jc w:val="center"/>
        <w:outlineLvl w:val="2"/>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pacing w:val="-2"/>
          <w:sz w:val="28"/>
          <w:szCs w:val="28"/>
          <w:highlight w:val="none"/>
        </w:rPr>
        <w:t>评</w:t>
      </w:r>
      <w:r>
        <w:rPr>
          <w:rFonts w:hint="eastAsia" w:asciiTheme="minorEastAsia" w:hAnsiTheme="minorEastAsia" w:eastAsiaTheme="minorEastAsia" w:cstheme="minorEastAsia"/>
          <w:b/>
          <w:bCs/>
          <w:spacing w:val="-2"/>
          <w:sz w:val="28"/>
          <w:szCs w:val="28"/>
          <w:highlight w:val="none"/>
          <w:lang w:eastAsia="zh-CN"/>
        </w:rPr>
        <w:t>分</w:t>
      </w:r>
      <w:r>
        <w:rPr>
          <w:rFonts w:hint="eastAsia" w:asciiTheme="minorEastAsia" w:hAnsiTheme="minorEastAsia" w:eastAsiaTheme="minorEastAsia" w:cstheme="minorEastAsia"/>
          <w:b/>
          <w:bCs/>
          <w:spacing w:val="-2"/>
          <w:sz w:val="28"/>
          <w:szCs w:val="28"/>
          <w:highlight w:val="none"/>
        </w:rPr>
        <w:t>标准</w:t>
      </w:r>
    </w:p>
    <w:tbl>
      <w:tblPr>
        <w:tblStyle w:val="18"/>
        <w:tblpPr w:leftFromText="180" w:rightFromText="180" w:vertAnchor="text" w:horzAnchor="page" w:tblpX="1243" w:tblpY="256"/>
        <w:tblOverlap w:val="never"/>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469"/>
        <w:gridCol w:w="2283"/>
        <w:gridCol w:w="5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1" w:type="dxa"/>
            <w:gridSpan w:val="2"/>
            <w:vAlign w:val="center"/>
          </w:tcPr>
          <w:p>
            <w:pPr>
              <w:spacing w:line="460" w:lineRule="exact"/>
              <w:jc w:val="center"/>
              <w:rPr>
                <w:rFonts w:ascii="宋体" w:hAnsi="宋体" w:cs="宋体"/>
                <w:highlight w:val="none"/>
              </w:rPr>
            </w:pPr>
            <w:r>
              <w:rPr>
                <w:rFonts w:hint="eastAsia" w:ascii="宋体" w:hAnsi="宋体" w:cs="宋体"/>
                <w:highlight w:val="none"/>
              </w:rPr>
              <w:t>条款号</w:t>
            </w:r>
          </w:p>
        </w:tc>
        <w:tc>
          <w:tcPr>
            <w:tcW w:w="2283" w:type="dxa"/>
            <w:vAlign w:val="center"/>
          </w:tcPr>
          <w:p>
            <w:pPr>
              <w:spacing w:line="460" w:lineRule="exact"/>
              <w:jc w:val="center"/>
              <w:rPr>
                <w:rFonts w:ascii="宋体" w:hAnsi="宋体" w:cs="宋体"/>
                <w:highlight w:val="none"/>
              </w:rPr>
            </w:pPr>
            <w:r>
              <w:rPr>
                <w:rFonts w:hint="eastAsia" w:ascii="宋体" w:hAnsi="宋体" w:cs="宋体"/>
                <w:highlight w:val="none"/>
              </w:rPr>
              <w:t>评分因素</w:t>
            </w:r>
          </w:p>
        </w:tc>
        <w:tc>
          <w:tcPr>
            <w:tcW w:w="5353" w:type="dxa"/>
            <w:vAlign w:val="center"/>
          </w:tcPr>
          <w:p>
            <w:pPr>
              <w:spacing w:line="460" w:lineRule="exact"/>
              <w:jc w:val="center"/>
              <w:rPr>
                <w:rFonts w:ascii="宋体" w:hAnsi="宋体" w:cs="宋体"/>
                <w:highlight w:val="none"/>
                <w:lang w:eastAsia="zh-CN"/>
              </w:rPr>
            </w:pPr>
            <w:r>
              <w:rPr>
                <w:rFonts w:hint="eastAsia" w:ascii="宋体" w:hAnsi="宋体" w:cs="宋体"/>
                <w:highlight w:val="none"/>
                <w:lang w:eastAsia="zh-CN"/>
              </w:rPr>
              <w:t>评分标准</w:t>
            </w:r>
          </w:p>
          <w:p>
            <w:pPr>
              <w:spacing w:line="460" w:lineRule="exact"/>
              <w:jc w:val="center"/>
              <w:rPr>
                <w:rFonts w:ascii="宋体" w:hAnsi="宋体" w:cs="宋体"/>
                <w:highlight w:val="none"/>
                <w:lang w:eastAsia="zh-CN"/>
              </w:rPr>
            </w:pPr>
            <w:r>
              <w:rPr>
                <w:rFonts w:hint="eastAsia" w:ascii="宋体" w:hAnsi="宋体" w:cs="宋体"/>
                <w:highlight w:val="none"/>
                <w:lang w:eastAsia="zh-CN"/>
              </w:rPr>
              <w:t>缺项或不响应均得0分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9927" w:type="dxa"/>
            <w:gridSpan w:val="4"/>
            <w:vAlign w:val="center"/>
          </w:tcPr>
          <w:p>
            <w:pPr>
              <w:rPr>
                <w:rFonts w:ascii="宋体" w:hAnsi="宋体" w:cs="宋体"/>
                <w:highlight w:val="none"/>
                <w:lang w:eastAsia="zh-CN"/>
              </w:rPr>
            </w:pPr>
            <w:r>
              <w:rPr>
                <w:rFonts w:hint="eastAsia" w:ascii="宋体" w:hAnsi="宋体" w:cs="宋体"/>
                <w:highlight w:val="none"/>
                <w:lang w:eastAsia="zh-CN"/>
              </w:rPr>
              <w:t xml:space="preserve">价格优惠说明： </w:t>
            </w:r>
          </w:p>
          <w:p>
            <w:pPr>
              <w:ind w:firstLine="420" w:firstLineChars="200"/>
              <w:rPr>
                <w:rFonts w:ascii="宋体" w:hAnsi="宋体" w:cs="宋体"/>
                <w:highlight w:val="none"/>
                <w:lang w:eastAsia="zh-CN"/>
              </w:rPr>
            </w:pPr>
            <w:r>
              <w:rPr>
                <w:rFonts w:hint="eastAsia" w:ascii="宋体" w:hAnsi="宋体" w:cs="宋体"/>
                <w:highlight w:val="none"/>
                <w:lang w:eastAsia="zh-CN"/>
              </w:rPr>
              <w:t xml:space="preserve">1、为贯彻落实财库〔2020〕46 号《关于印发《政府采购促进中小企业发展管理办法》的通知》，本项目鼓励中小企业参与，中小型企业须提交《中小企业声明函》，（声明函格式详见附件）。 </w:t>
            </w:r>
          </w:p>
          <w:p>
            <w:pPr>
              <w:ind w:firstLine="420" w:firstLineChars="200"/>
              <w:rPr>
                <w:rFonts w:ascii="宋体" w:hAnsi="宋体" w:cs="宋体"/>
                <w:highlight w:val="none"/>
                <w:lang w:eastAsia="zh-CN"/>
              </w:rPr>
            </w:pPr>
            <w:r>
              <w:rPr>
                <w:rFonts w:hint="eastAsia" w:ascii="宋体" w:hAnsi="宋体" w:cs="宋体"/>
                <w:highlight w:val="none"/>
                <w:lang w:eastAsia="zh-CN"/>
              </w:rPr>
              <w:t xml:space="preserve">2、中小企业划型标准以工信部联企业〔2011〕300 号《工业和信息化部国家统计局国家发展和改革委财政部关于印发中小企业划型标准规定的通知》及《政府采购促进中小企业发展管理办法》财库〔2020〕46 号为依据。 </w:t>
            </w:r>
          </w:p>
          <w:p>
            <w:pPr>
              <w:ind w:firstLine="420" w:firstLineChars="200"/>
              <w:rPr>
                <w:rFonts w:ascii="宋体" w:hAnsi="宋体" w:cs="宋体"/>
                <w:highlight w:val="none"/>
                <w:lang w:eastAsia="zh-CN"/>
              </w:rPr>
            </w:pPr>
            <w:r>
              <w:rPr>
                <w:rFonts w:hint="eastAsia" w:ascii="宋体" w:hAnsi="宋体" w:cs="宋体"/>
                <w:highlight w:val="none"/>
                <w:lang w:eastAsia="zh-CN"/>
              </w:rPr>
              <w:t>3、评审时给予小型或微利企业 20%的价格扣除，用扣除后的价格参与评审。</w:t>
            </w:r>
          </w:p>
          <w:p>
            <w:pPr>
              <w:ind w:firstLine="840" w:firstLineChars="400"/>
              <w:rPr>
                <w:rFonts w:ascii="宋体" w:hAnsi="宋体" w:cs="宋体"/>
                <w:highlight w:val="none"/>
                <w:lang w:eastAsia="zh-CN"/>
              </w:rPr>
            </w:pPr>
            <w:r>
              <w:rPr>
                <w:rFonts w:hint="eastAsia" w:ascii="宋体" w:hAnsi="宋体" w:cs="宋体"/>
                <w:highlight w:val="none"/>
                <w:lang w:eastAsia="zh-CN"/>
              </w:rPr>
              <w:t xml:space="preserve">即小微型企业优惠后报价=投标报价*（1-20%）。 </w:t>
            </w:r>
          </w:p>
          <w:p>
            <w:pPr>
              <w:numPr>
                <w:ilvl w:val="0"/>
                <w:numId w:val="3"/>
              </w:numPr>
              <w:ind w:firstLine="420" w:firstLineChars="200"/>
              <w:rPr>
                <w:rFonts w:ascii="宋体" w:hAnsi="宋体" w:cs="宋体"/>
                <w:highlight w:val="none"/>
                <w:lang w:eastAsia="zh-CN"/>
              </w:rPr>
            </w:pPr>
            <w:r>
              <w:rPr>
                <w:rFonts w:hint="eastAsia" w:ascii="宋体" w:hAnsi="宋体" w:cs="宋体"/>
                <w:highlight w:val="none"/>
                <w:lang w:eastAsia="zh-CN"/>
              </w:rPr>
              <w:t>监狱企业及残疾人福利性单位视同小微企业。</w:t>
            </w:r>
          </w:p>
          <w:p>
            <w:pPr>
              <w:numPr>
                <w:ilvl w:val="0"/>
                <w:numId w:val="3"/>
              </w:numPr>
              <w:ind w:firstLine="420" w:firstLineChars="200"/>
              <w:rPr>
                <w:rFonts w:ascii="宋体" w:hAnsi="宋体" w:cs="宋体"/>
                <w:highlight w:val="none"/>
                <w:lang w:eastAsia="zh-CN"/>
              </w:rPr>
            </w:pPr>
            <w:r>
              <w:rPr>
                <w:rFonts w:hint="eastAsia" w:ascii="宋体" w:hAnsi="宋体" w:cs="宋体"/>
                <w:highlight w:val="none"/>
                <w:lang w:eastAsia="zh-CN"/>
              </w:rPr>
              <w:t>同一供应商（包括联合体），小微企业、监狱、残疾人福利企业价格扣除优惠只享受一次，不得重复享受。</w:t>
            </w:r>
          </w:p>
          <w:p>
            <w:pPr>
              <w:spacing w:line="460" w:lineRule="exact"/>
              <w:rPr>
                <w:rFonts w:ascii="宋体" w:hAnsi="宋体" w:cs="宋体"/>
                <w:highlight w:val="none"/>
                <w:lang w:eastAsia="zh-CN"/>
              </w:rPr>
            </w:pPr>
            <w:r>
              <w:rPr>
                <w:rFonts w:hint="eastAsia" w:ascii="宋体" w:hAnsi="宋体" w:cs="宋体"/>
                <w:b/>
                <w:bCs/>
                <w:highlight w:val="none"/>
                <w:lang w:eastAsia="zh-CN"/>
              </w:rPr>
              <w:t>注：若专门面向中小企业采购的项目或者采购包，不再执行价格评审优惠的扶持政策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Align w:val="center"/>
          </w:tcPr>
          <w:p>
            <w:pPr>
              <w:spacing w:line="460" w:lineRule="exact"/>
              <w:jc w:val="center"/>
              <w:rPr>
                <w:rFonts w:ascii="宋体" w:hAnsi="宋体" w:cs="宋体"/>
                <w:highlight w:val="none"/>
                <w:lang w:eastAsia="zh-CN"/>
              </w:rPr>
            </w:pPr>
          </w:p>
          <w:p>
            <w:pPr>
              <w:spacing w:line="460" w:lineRule="exact"/>
              <w:jc w:val="center"/>
              <w:rPr>
                <w:rFonts w:ascii="宋体" w:hAnsi="宋体" w:cs="宋体"/>
                <w:highlight w:val="none"/>
                <w:lang w:eastAsia="zh-CN"/>
              </w:rPr>
            </w:pPr>
          </w:p>
          <w:p>
            <w:pPr>
              <w:spacing w:line="460" w:lineRule="exact"/>
              <w:jc w:val="center"/>
              <w:rPr>
                <w:rFonts w:ascii="宋体" w:hAnsi="宋体" w:cs="宋体"/>
                <w:highlight w:val="none"/>
                <w:lang w:eastAsia="zh-CN"/>
              </w:rPr>
            </w:pPr>
          </w:p>
          <w:p>
            <w:pPr>
              <w:spacing w:line="460" w:lineRule="exact"/>
              <w:jc w:val="center"/>
              <w:rPr>
                <w:rFonts w:ascii="宋体" w:hAnsi="宋体" w:cs="宋体"/>
                <w:highlight w:val="none"/>
                <w:lang w:eastAsia="zh-CN"/>
              </w:rPr>
            </w:pPr>
          </w:p>
          <w:p>
            <w:pPr>
              <w:spacing w:line="460" w:lineRule="exact"/>
              <w:jc w:val="center"/>
              <w:rPr>
                <w:rFonts w:ascii="宋体" w:hAnsi="宋体" w:cs="宋体"/>
                <w:highlight w:val="none"/>
              </w:rPr>
            </w:pPr>
            <w:r>
              <w:rPr>
                <w:rFonts w:hint="eastAsia" w:ascii="宋体" w:hAnsi="宋体" w:cs="宋体"/>
                <w:highlight w:val="none"/>
              </w:rPr>
              <w:t>（1）</w:t>
            </w:r>
          </w:p>
        </w:tc>
        <w:tc>
          <w:tcPr>
            <w:tcW w:w="1469" w:type="dxa"/>
            <w:vAlign w:val="center"/>
          </w:tcPr>
          <w:p>
            <w:pPr>
              <w:spacing w:line="460" w:lineRule="exact"/>
              <w:jc w:val="center"/>
              <w:rPr>
                <w:rFonts w:ascii="宋体" w:hAnsi="宋体" w:cs="宋体"/>
                <w:highlight w:val="none"/>
              </w:rPr>
            </w:pPr>
            <w:r>
              <w:rPr>
                <w:rFonts w:hint="eastAsia" w:ascii="宋体" w:hAnsi="宋体" w:cs="宋体"/>
                <w:highlight w:val="none"/>
              </w:rPr>
              <w:t>投标报价</w:t>
            </w:r>
          </w:p>
          <w:p>
            <w:pPr>
              <w:spacing w:line="460" w:lineRule="exact"/>
              <w:jc w:val="center"/>
              <w:rPr>
                <w:rFonts w:ascii="宋体" w:hAnsi="宋体" w:cs="宋体"/>
                <w:highlight w:val="none"/>
              </w:rPr>
            </w:pPr>
            <w:r>
              <w:rPr>
                <w:rFonts w:hint="eastAsia" w:ascii="宋体" w:hAnsi="宋体" w:cs="宋体"/>
                <w:highlight w:val="none"/>
              </w:rPr>
              <w:t>（15分）</w:t>
            </w:r>
          </w:p>
        </w:tc>
        <w:tc>
          <w:tcPr>
            <w:tcW w:w="2283" w:type="dxa"/>
            <w:vAlign w:val="center"/>
          </w:tcPr>
          <w:p>
            <w:pPr>
              <w:spacing w:line="460" w:lineRule="exact"/>
              <w:jc w:val="center"/>
              <w:rPr>
                <w:rFonts w:ascii="宋体" w:hAnsi="宋体" w:cs="宋体"/>
                <w:highlight w:val="none"/>
              </w:rPr>
            </w:pPr>
          </w:p>
          <w:p>
            <w:pPr>
              <w:spacing w:line="460" w:lineRule="exact"/>
              <w:jc w:val="center"/>
              <w:rPr>
                <w:rFonts w:ascii="宋体" w:hAnsi="宋体" w:cs="宋体"/>
                <w:highlight w:val="none"/>
              </w:rPr>
            </w:pPr>
            <w:r>
              <w:rPr>
                <w:rFonts w:hint="eastAsia" w:ascii="宋体" w:hAnsi="宋体" w:cs="宋体"/>
                <w:highlight w:val="none"/>
              </w:rPr>
              <w:t>投标报价（15分）</w:t>
            </w:r>
          </w:p>
        </w:tc>
        <w:tc>
          <w:tcPr>
            <w:tcW w:w="5353" w:type="dxa"/>
            <w:vAlign w:val="center"/>
          </w:tcPr>
          <w:p>
            <w:pPr>
              <w:rPr>
                <w:rFonts w:ascii="宋体" w:hAnsi="宋体" w:cs="宋体"/>
                <w:color w:val="000000" w:themeColor="text1"/>
                <w:highlight w:val="none"/>
                <w:lang w:eastAsia="zh-CN"/>
                <w14:textFill>
                  <w14:solidFill>
                    <w14:schemeClr w14:val="tx1"/>
                  </w14:solidFill>
                </w14:textFill>
              </w:rPr>
            </w:pPr>
            <w:r>
              <w:rPr>
                <w:rFonts w:hint="eastAsia" w:ascii="宋体" w:hAnsi="宋体" w:cs="宋体"/>
                <w:highlight w:val="none"/>
                <w:lang w:eastAsia="zh-CN"/>
              </w:rPr>
              <w:t>1.</w:t>
            </w:r>
            <w:r>
              <w:rPr>
                <w:rFonts w:hint="eastAsia" w:ascii="宋体" w:hAnsi="宋体" w:cs="宋体"/>
                <w:color w:val="000000" w:themeColor="text1"/>
                <w:highlight w:val="none"/>
                <w:lang w:eastAsia="zh-CN"/>
                <w14:textFill>
                  <w14:solidFill>
                    <w14:schemeClr w14:val="tx1"/>
                  </w14:solidFill>
                </w14:textFill>
              </w:rPr>
              <w:t>价格分采用低价优先法计算，即满足采购文件要求且投标价格最低的投标报价为评标基准价，其价格分为满分15分；</w:t>
            </w:r>
          </w:p>
          <w:p>
            <w:pP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最后报价得分=（评标基准价/投标报价）×15</w:t>
            </w:r>
          </w:p>
          <w:p>
            <w:pPr>
              <w:rPr>
                <w:rFonts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rPr>
                <w:highlight w:val="none"/>
                <w:lang w:eastAsia="zh-CN"/>
              </w:rPr>
            </w:pPr>
            <w:r>
              <w:rPr>
                <w:rFonts w:hint="eastAsia" w:ascii="宋体" w:hAnsi="宋体" w:cs="宋体"/>
                <w:highlight w:val="none"/>
                <w:lang w:eastAsia="zh-CN"/>
              </w:rPr>
              <w:t>2、</w:t>
            </w:r>
            <w:r>
              <w:rPr>
                <w:rFonts w:hint="eastAsia" w:ascii="宋体" w:hAnsi="宋体" w:cs="宋体"/>
                <w:color w:val="000000" w:themeColor="text1"/>
                <w:highlight w:val="none"/>
                <w:lang w:eastAsia="zh-CN"/>
                <w14:textFill>
                  <w14:solidFill>
                    <w14:schemeClr w14:val="tx1"/>
                  </w14:solidFill>
                </w14:textFill>
              </w:rPr>
              <w:t>有效供应商是指实质上响应招标文件要求并通过实质性审核未被废标的所有供应商。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Merge w:val="restart"/>
            <w:vAlign w:val="center"/>
          </w:tcPr>
          <w:p>
            <w:pPr>
              <w:spacing w:line="460" w:lineRule="exact"/>
              <w:rPr>
                <w:rFonts w:ascii="宋体" w:hAnsi="宋体" w:cs="宋体"/>
                <w:highlight w:val="none"/>
              </w:rPr>
            </w:pPr>
            <w:r>
              <w:rPr>
                <w:rFonts w:hint="eastAsia" w:ascii="宋体" w:hAnsi="宋体" w:cs="宋体"/>
                <w:highlight w:val="none"/>
              </w:rPr>
              <w:t>（2）</w:t>
            </w:r>
          </w:p>
        </w:tc>
        <w:tc>
          <w:tcPr>
            <w:tcW w:w="1469" w:type="dxa"/>
            <w:vMerge w:val="restart"/>
            <w:vAlign w:val="center"/>
          </w:tcPr>
          <w:p>
            <w:pPr>
              <w:spacing w:line="460" w:lineRule="exact"/>
              <w:jc w:val="center"/>
              <w:rPr>
                <w:rFonts w:ascii="宋体" w:hAnsi="宋体" w:cs="宋体"/>
                <w:highlight w:val="none"/>
              </w:rPr>
            </w:pPr>
            <w:r>
              <w:rPr>
                <w:rFonts w:hint="eastAsia" w:ascii="宋体" w:hAnsi="宋体" w:cs="宋体"/>
                <w:highlight w:val="none"/>
              </w:rPr>
              <w:t>技术部分</w:t>
            </w:r>
          </w:p>
          <w:p>
            <w:pPr>
              <w:spacing w:line="460" w:lineRule="exact"/>
              <w:jc w:val="center"/>
              <w:rPr>
                <w:rFonts w:ascii="宋体" w:hAnsi="宋体" w:cs="宋体"/>
                <w:highlight w:val="none"/>
              </w:rPr>
            </w:pPr>
            <w:r>
              <w:rPr>
                <w:rFonts w:hint="eastAsia" w:ascii="微软雅黑" w:hAnsi="微软雅黑" w:eastAsia="微软雅黑" w:cs="微软雅黑"/>
                <w:highlight w:val="none"/>
              </w:rPr>
              <w:t>（</w:t>
            </w:r>
            <w:r>
              <w:rPr>
                <w:rFonts w:ascii="宋体" w:hAnsi="宋体" w:cs="宋体"/>
                <w:highlight w:val="none"/>
              </w:rPr>
              <w:t>65</w:t>
            </w:r>
            <w:r>
              <w:rPr>
                <w:rFonts w:hint="eastAsia" w:ascii="宋体" w:hAnsi="宋体" w:cs="宋体"/>
                <w:highlight w:val="none"/>
              </w:rPr>
              <w:t xml:space="preserve"> </w:t>
            </w:r>
            <w:r>
              <w:rPr>
                <w:rFonts w:hint="eastAsia" w:ascii="微软雅黑" w:hAnsi="微软雅黑" w:eastAsia="微软雅黑" w:cs="微软雅黑"/>
                <w:highlight w:val="none"/>
              </w:rPr>
              <w:t>分）</w:t>
            </w:r>
          </w:p>
        </w:tc>
        <w:tc>
          <w:tcPr>
            <w:tcW w:w="2283" w:type="dxa"/>
            <w:vAlign w:val="center"/>
          </w:tcPr>
          <w:p>
            <w:pPr>
              <w:spacing w:line="460" w:lineRule="exact"/>
              <w:jc w:val="center"/>
              <w:rPr>
                <w:rFonts w:ascii="宋体" w:hAnsi="宋体" w:cs="宋体"/>
                <w:highlight w:val="none"/>
                <w:lang w:eastAsia="zh-CN"/>
              </w:rPr>
            </w:pPr>
            <w:r>
              <w:rPr>
                <w:rFonts w:hint="eastAsia" w:ascii="微软雅黑" w:hAnsi="微软雅黑" w:eastAsia="微软雅黑" w:cs="微软雅黑"/>
                <w:highlight w:val="none"/>
                <w:lang w:eastAsia="zh-CN"/>
              </w:rPr>
              <w:t>对</w:t>
            </w:r>
            <w:r>
              <w:rPr>
                <w:rFonts w:hint="eastAsia" w:ascii="宋体" w:hAnsi="宋体" w:cs="宋体"/>
                <w:highlight w:val="none"/>
                <w:lang w:eastAsia="zh-CN"/>
              </w:rPr>
              <w:t>项目的认知情况</w:t>
            </w:r>
          </w:p>
          <w:p>
            <w:pPr>
              <w:spacing w:line="460" w:lineRule="exact"/>
              <w:jc w:val="center"/>
              <w:rPr>
                <w:rFonts w:ascii="宋体" w:hAnsi="宋体" w:cs="宋体"/>
                <w:highlight w:val="none"/>
                <w:lang w:eastAsia="zh-CN"/>
              </w:rPr>
            </w:pPr>
            <w:r>
              <w:rPr>
                <w:rFonts w:hint="eastAsia" w:ascii="宋体" w:hAnsi="宋体" w:cs="宋体"/>
                <w:highlight w:val="none"/>
                <w:lang w:eastAsia="zh-CN"/>
              </w:rPr>
              <w:t>（15分）</w:t>
            </w:r>
          </w:p>
        </w:tc>
        <w:tc>
          <w:tcPr>
            <w:tcW w:w="5353" w:type="dxa"/>
            <w:vAlign w:val="center"/>
          </w:tcPr>
          <w:p>
            <w:pPr>
              <w:numPr>
                <w:ilvl w:val="0"/>
                <w:numId w:val="4"/>
              </w:numPr>
              <w:rPr>
                <w:rFonts w:ascii="宋体" w:hAnsi="宋体" w:cs="宋体"/>
                <w:highlight w:val="none"/>
                <w:lang w:eastAsia="zh-CN"/>
              </w:rPr>
            </w:pPr>
            <w:r>
              <w:rPr>
                <w:rFonts w:hint="eastAsia" w:ascii="宋体" w:hAnsi="宋体" w:cs="宋体"/>
                <w:highlight w:val="none"/>
                <w:lang w:eastAsia="zh-CN"/>
              </w:rPr>
              <w:t>对项目地的历史背景资料、开发保护现状、相关规划策划、可行性研究报告等内容有深入了解，内容详细全面，科学合理，得15 分；</w:t>
            </w:r>
          </w:p>
          <w:p>
            <w:pPr>
              <w:rPr>
                <w:rFonts w:ascii="宋体" w:hAnsi="宋体" w:cs="宋体"/>
                <w:highlight w:val="none"/>
                <w:lang w:eastAsia="zh-CN"/>
              </w:rPr>
            </w:pPr>
            <w:r>
              <w:rPr>
                <w:rFonts w:hint="eastAsia" w:ascii="宋体" w:hAnsi="宋体" w:cs="宋体"/>
                <w:highlight w:val="none"/>
                <w:lang w:eastAsia="zh-CN"/>
              </w:rPr>
              <w:t>2.对项目有全面的认知了解，内容完整，得10分；</w:t>
            </w:r>
          </w:p>
          <w:p>
            <w:pPr>
              <w:rPr>
                <w:rFonts w:ascii="宋体" w:hAnsi="宋体" w:cs="宋体"/>
                <w:highlight w:val="none"/>
                <w:lang w:eastAsia="zh-CN"/>
              </w:rPr>
            </w:pPr>
            <w:r>
              <w:rPr>
                <w:rFonts w:hint="eastAsia" w:ascii="宋体" w:hAnsi="宋体" w:cs="宋体"/>
                <w:highlight w:val="none"/>
                <w:lang w:eastAsia="zh-CN"/>
              </w:rPr>
              <w:t>3.对项目有基本的认知，得 5分；</w:t>
            </w:r>
          </w:p>
          <w:p>
            <w:pPr>
              <w:rPr>
                <w:rFonts w:ascii="宋体" w:hAnsi="宋体" w:cs="宋体"/>
                <w:highlight w:val="none"/>
              </w:rPr>
            </w:pPr>
            <w:r>
              <w:rPr>
                <w:rFonts w:hint="eastAsia" w:ascii="宋体" w:hAnsi="宋体" w:cs="宋体"/>
                <w:highlight w:val="none"/>
              </w:rPr>
              <w:t>4.缺项得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22" w:type="dxa"/>
            <w:vMerge w:val="continue"/>
            <w:vAlign w:val="center"/>
          </w:tcPr>
          <w:p>
            <w:pPr>
              <w:spacing w:line="460" w:lineRule="exact"/>
              <w:rPr>
                <w:rFonts w:ascii="宋体" w:hAnsi="宋体" w:cs="宋体"/>
                <w:highlight w:val="none"/>
              </w:rPr>
            </w:pPr>
          </w:p>
        </w:tc>
        <w:tc>
          <w:tcPr>
            <w:tcW w:w="1469" w:type="dxa"/>
            <w:vMerge w:val="continue"/>
            <w:vAlign w:val="center"/>
          </w:tcPr>
          <w:p>
            <w:pPr>
              <w:spacing w:line="460" w:lineRule="exact"/>
              <w:jc w:val="center"/>
              <w:rPr>
                <w:rFonts w:ascii="宋体" w:hAnsi="宋体" w:cs="宋体"/>
                <w:highlight w:val="none"/>
              </w:rPr>
            </w:pPr>
          </w:p>
        </w:tc>
        <w:tc>
          <w:tcPr>
            <w:tcW w:w="2283" w:type="dxa"/>
            <w:vAlign w:val="center"/>
          </w:tcPr>
          <w:p>
            <w:pPr>
              <w:spacing w:line="460" w:lineRule="exact"/>
              <w:jc w:val="center"/>
              <w:rPr>
                <w:rFonts w:ascii="宋体" w:hAnsi="宋体" w:cs="宋体"/>
                <w:highlight w:val="none"/>
              </w:rPr>
            </w:pPr>
            <w:r>
              <w:rPr>
                <w:rFonts w:hint="eastAsia" w:ascii="宋体" w:hAnsi="宋体" w:cs="宋体"/>
                <w:highlight w:val="none"/>
              </w:rPr>
              <w:t>实施方案</w:t>
            </w:r>
          </w:p>
          <w:p>
            <w:pPr>
              <w:spacing w:line="460" w:lineRule="exact"/>
              <w:jc w:val="center"/>
              <w:rPr>
                <w:rFonts w:ascii="宋体" w:hAnsi="宋体" w:cs="宋体"/>
                <w:highlight w:val="none"/>
              </w:rPr>
            </w:pPr>
            <w:r>
              <w:rPr>
                <w:rFonts w:hint="eastAsia" w:ascii="宋体" w:hAnsi="宋体" w:cs="宋体"/>
                <w:highlight w:val="none"/>
              </w:rPr>
              <w:t>（15分）</w:t>
            </w:r>
          </w:p>
        </w:tc>
        <w:tc>
          <w:tcPr>
            <w:tcW w:w="5353" w:type="dxa"/>
            <w:vAlign w:val="center"/>
          </w:tcPr>
          <w:p>
            <w:pPr>
              <w:numPr>
                <w:ilvl w:val="0"/>
                <w:numId w:val="5"/>
              </w:numPr>
              <w:rPr>
                <w:rFonts w:ascii="宋体" w:hAnsi="宋体" w:cs="宋体"/>
                <w:highlight w:val="none"/>
                <w:lang w:eastAsia="zh-CN"/>
              </w:rPr>
            </w:pPr>
            <w:r>
              <w:rPr>
                <w:rFonts w:hint="eastAsia" w:ascii="宋体" w:hAnsi="宋体" w:cs="宋体"/>
                <w:highlight w:val="none"/>
                <w:lang w:eastAsia="zh-CN"/>
              </w:rPr>
              <w:t>对项目地详细考察，方案规划理念及思路明确清晰合理，项目实施人员职责明确，设备安排计划合理，得15分；</w:t>
            </w:r>
          </w:p>
          <w:p>
            <w:pPr>
              <w:numPr>
                <w:ilvl w:val="0"/>
                <w:numId w:val="5"/>
              </w:numPr>
              <w:rPr>
                <w:rFonts w:ascii="宋体" w:hAnsi="宋体" w:cs="宋体"/>
                <w:highlight w:val="none"/>
                <w:lang w:eastAsia="zh-CN"/>
              </w:rPr>
            </w:pPr>
            <w:r>
              <w:rPr>
                <w:rFonts w:hint="eastAsia" w:ascii="宋体" w:hAnsi="宋体" w:cs="宋体"/>
                <w:highlight w:val="none"/>
                <w:lang w:eastAsia="zh-CN"/>
              </w:rPr>
              <w:t>方案规划理念及思路明确，项目实施人员配备齐全，设备安排明确，得10分；</w:t>
            </w:r>
          </w:p>
          <w:p>
            <w:pPr>
              <w:numPr>
                <w:ilvl w:val="0"/>
                <w:numId w:val="5"/>
              </w:numPr>
              <w:rPr>
                <w:rFonts w:ascii="宋体" w:hAnsi="宋体" w:cs="宋体"/>
                <w:highlight w:val="none"/>
                <w:lang w:eastAsia="zh-CN"/>
              </w:rPr>
            </w:pPr>
            <w:r>
              <w:rPr>
                <w:rFonts w:hint="eastAsia" w:ascii="宋体" w:hAnsi="宋体" w:cs="宋体"/>
                <w:highlight w:val="none"/>
                <w:lang w:eastAsia="zh-CN"/>
              </w:rPr>
              <w:t>规划理念及思路简单明了，有基本的人员及设备安排，得5分；</w:t>
            </w:r>
          </w:p>
          <w:p>
            <w:pPr>
              <w:numPr>
                <w:ilvl w:val="0"/>
                <w:numId w:val="5"/>
              </w:numPr>
              <w:rPr>
                <w:rFonts w:ascii="宋体" w:hAnsi="宋体" w:cs="宋体"/>
                <w:highlight w:val="none"/>
              </w:rPr>
            </w:pPr>
            <w:r>
              <w:rPr>
                <w:rFonts w:hint="eastAsia" w:ascii="宋体" w:hAnsi="宋体" w:cs="宋体"/>
                <w:highlight w:val="none"/>
              </w:rPr>
              <w:t>缺项得 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2" w:type="dxa"/>
            <w:vMerge w:val="continue"/>
            <w:vAlign w:val="center"/>
          </w:tcPr>
          <w:p>
            <w:pPr>
              <w:spacing w:line="460" w:lineRule="exact"/>
              <w:rPr>
                <w:rFonts w:ascii="宋体" w:hAnsi="宋体" w:cs="宋体"/>
                <w:highlight w:val="none"/>
              </w:rPr>
            </w:pPr>
          </w:p>
        </w:tc>
        <w:tc>
          <w:tcPr>
            <w:tcW w:w="1469" w:type="dxa"/>
            <w:vMerge w:val="continue"/>
            <w:vAlign w:val="center"/>
          </w:tcPr>
          <w:p>
            <w:pPr>
              <w:spacing w:line="460" w:lineRule="exact"/>
              <w:jc w:val="center"/>
              <w:rPr>
                <w:rFonts w:ascii="宋体" w:hAnsi="宋体" w:cs="宋体"/>
                <w:highlight w:val="none"/>
              </w:rPr>
            </w:pPr>
          </w:p>
        </w:tc>
        <w:tc>
          <w:tcPr>
            <w:tcW w:w="2283" w:type="dxa"/>
            <w:vAlign w:val="center"/>
          </w:tcPr>
          <w:p>
            <w:pPr>
              <w:spacing w:line="460" w:lineRule="exact"/>
              <w:jc w:val="center"/>
              <w:rPr>
                <w:spacing w:val="-2"/>
                <w:highlight w:val="none"/>
                <w:lang w:eastAsia="zh-CN"/>
              </w:rPr>
            </w:pPr>
            <w:r>
              <w:rPr>
                <w:spacing w:val="-2"/>
                <w:highlight w:val="none"/>
                <w:lang w:eastAsia="zh-CN"/>
              </w:rPr>
              <w:t>重、难点理解以及关键技术问</w:t>
            </w:r>
            <w:r>
              <w:rPr>
                <w:rFonts w:hint="eastAsia"/>
                <w:spacing w:val="-2"/>
                <w:highlight w:val="none"/>
                <w:lang w:eastAsia="zh-CN"/>
              </w:rPr>
              <w:t>题</w:t>
            </w:r>
            <w:r>
              <w:rPr>
                <w:spacing w:val="-2"/>
                <w:highlight w:val="none"/>
                <w:lang w:eastAsia="zh-CN"/>
              </w:rPr>
              <w:t>措施</w:t>
            </w:r>
          </w:p>
          <w:p>
            <w:pPr>
              <w:spacing w:line="460" w:lineRule="exact"/>
              <w:jc w:val="center"/>
              <w:rPr>
                <w:rFonts w:ascii="宋体" w:hAnsi="宋体" w:cs="宋体"/>
                <w:highlight w:val="none"/>
              </w:rPr>
            </w:pPr>
            <w:r>
              <w:rPr>
                <w:rFonts w:hint="eastAsia" w:ascii="宋体" w:hAnsi="宋体" w:cs="宋体"/>
                <w:highlight w:val="none"/>
              </w:rPr>
              <w:t>（15分）</w:t>
            </w:r>
          </w:p>
        </w:tc>
        <w:tc>
          <w:tcPr>
            <w:tcW w:w="5353" w:type="dxa"/>
            <w:vAlign w:val="center"/>
          </w:tcPr>
          <w:p>
            <w:pPr>
              <w:numPr>
                <w:ilvl w:val="0"/>
                <w:numId w:val="6"/>
              </w:numPr>
              <w:rPr>
                <w:rFonts w:ascii="宋体" w:hAnsi="宋体" w:cs="宋体"/>
                <w:highlight w:val="none"/>
                <w:lang w:eastAsia="zh-CN"/>
              </w:rPr>
            </w:pPr>
            <w:r>
              <w:rPr>
                <w:rFonts w:hint="eastAsia" w:ascii="宋体" w:hAnsi="宋体" w:cs="宋体"/>
                <w:highlight w:val="none"/>
                <w:lang w:eastAsia="zh-CN"/>
              </w:rPr>
              <w:t>重、难点的理解以及关键技术问题的对策措施详细、可行，降低项目成本、缩短工期、提高工作质量的建议和措施合理、有效，得15分；</w:t>
            </w:r>
          </w:p>
          <w:p>
            <w:pPr>
              <w:numPr>
                <w:ilvl w:val="0"/>
                <w:numId w:val="6"/>
              </w:numPr>
              <w:rPr>
                <w:rFonts w:ascii="宋体" w:hAnsi="宋体" w:cs="宋体"/>
                <w:highlight w:val="none"/>
                <w:lang w:eastAsia="zh-CN"/>
              </w:rPr>
            </w:pPr>
            <w:r>
              <w:rPr>
                <w:rFonts w:hint="eastAsia" w:ascii="宋体" w:hAnsi="宋体" w:cs="宋体"/>
                <w:highlight w:val="none"/>
                <w:lang w:eastAsia="zh-CN"/>
              </w:rPr>
              <w:t>重、难点的分析理解和提高工作质量的建议和措施完整全面得 10 分；</w:t>
            </w:r>
          </w:p>
          <w:p>
            <w:pPr>
              <w:numPr>
                <w:ilvl w:val="0"/>
                <w:numId w:val="6"/>
              </w:numPr>
              <w:rPr>
                <w:rFonts w:ascii="宋体" w:hAnsi="宋体" w:cs="宋体"/>
                <w:highlight w:val="none"/>
                <w:lang w:eastAsia="zh-CN"/>
              </w:rPr>
            </w:pPr>
            <w:r>
              <w:rPr>
                <w:rFonts w:hint="eastAsia" w:ascii="宋体" w:hAnsi="宋体" w:cs="宋体"/>
                <w:highlight w:val="none"/>
                <w:lang w:eastAsia="zh-CN"/>
              </w:rPr>
              <w:t>有基本的重、难点的分析理解和提高工作质量的建议和措施得 5 分；</w:t>
            </w:r>
          </w:p>
          <w:p>
            <w:pPr>
              <w:numPr>
                <w:ilvl w:val="0"/>
                <w:numId w:val="6"/>
              </w:numPr>
              <w:rPr>
                <w:rFonts w:ascii="宋体" w:hAnsi="宋体" w:cs="宋体"/>
                <w:highlight w:val="none"/>
              </w:rPr>
            </w:pPr>
            <w:r>
              <w:rPr>
                <w:rFonts w:hint="eastAsia" w:ascii="宋体" w:hAnsi="宋体" w:cs="宋体"/>
                <w:highlight w:val="none"/>
              </w:rPr>
              <w:t>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822" w:type="dxa"/>
            <w:vMerge w:val="continue"/>
            <w:vAlign w:val="center"/>
          </w:tcPr>
          <w:p>
            <w:pPr>
              <w:spacing w:line="460" w:lineRule="exact"/>
              <w:rPr>
                <w:rFonts w:ascii="宋体" w:hAnsi="宋体" w:cs="宋体"/>
                <w:highlight w:val="none"/>
              </w:rPr>
            </w:pPr>
          </w:p>
        </w:tc>
        <w:tc>
          <w:tcPr>
            <w:tcW w:w="1469" w:type="dxa"/>
            <w:vMerge w:val="continue"/>
            <w:vAlign w:val="center"/>
          </w:tcPr>
          <w:p>
            <w:pPr>
              <w:spacing w:line="460" w:lineRule="exact"/>
              <w:jc w:val="center"/>
              <w:rPr>
                <w:rFonts w:ascii="宋体" w:hAnsi="宋体" w:cs="宋体"/>
                <w:highlight w:val="none"/>
              </w:rPr>
            </w:pPr>
          </w:p>
        </w:tc>
        <w:tc>
          <w:tcPr>
            <w:tcW w:w="2283" w:type="dxa"/>
            <w:vAlign w:val="center"/>
          </w:tcPr>
          <w:p>
            <w:pPr>
              <w:spacing w:line="460" w:lineRule="exact"/>
              <w:jc w:val="center"/>
              <w:rPr>
                <w:highlight w:val="none"/>
                <w:lang w:eastAsia="zh-CN"/>
              </w:rPr>
            </w:pPr>
            <w:r>
              <w:rPr>
                <w:highlight w:val="none"/>
                <w:lang w:eastAsia="zh-CN"/>
              </w:rPr>
              <w:t>确保服务期和质量的技术和组织措施</w:t>
            </w:r>
          </w:p>
          <w:p>
            <w:pPr>
              <w:spacing w:line="460" w:lineRule="exact"/>
              <w:jc w:val="center"/>
              <w:rPr>
                <w:rFonts w:ascii="宋体" w:hAnsi="宋体" w:cs="宋体"/>
                <w:highlight w:val="none"/>
              </w:rPr>
            </w:pPr>
            <w:r>
              <w:rPr>
                <w:rFonts w:hint="eastAsia" w:ascii="宋体" w:hAnsi="宋体" w:cs="宋体"/>
                <w:highlight w:val="none"/>
              </w:rPr>
              <w:t>（10分）</w:t>
            </w:r>
          </w:p>
        </w:tc>
        <w:tc>
          <w:tcPr>
            <w:tcW w:w="5353" w:type="dxa"/>
            <w:vAlign w:val="center"/>
          </w:tcPr>
          <w:p>
            <w:pPr>
              <w:numPr>
                <w:ilvl w:val="0"/>
                <w:numId w:val="7"/>
              </w:numPr>
              <w:rPr>
                <w:rFonts w:ascii="宋体" w:hAnsi="宋体" w:cs="宋体"/>
                <w:highlight w:val="none"/>
                <w:lang w:eastAsia="zh-CN"/>
              </w:rPr>
            </w:pPr>
            <w:r>
              <w:rPr>
                <w:rFonts w:hint="eastAsia" w:ascii="宋体" w:hAnsi="宋体" w:cs="宋体"/>
                <w:highlight w:val="none"/>
                <w:lang w:eastAsia="zh-CN"/>
              </w:rPr>
              <w:t>确保服务期旅游资源普查组织措施详细、可行，合理安排工作进度，组织措施完整，质量控制思路清晰，达到资源普查各项要求，得10分；</w:t>
            </w:r>
          </w:p>
          <w:p>
            <w:pPr>
              <w:numPr>
                <w:ilvl w:val="0"/>
                <w:numId w:val="7"/>
              </w:numPr>
              <w:rPr>
                <w:rFonts w:ascii="宋体" w:hAnsi="宋体" w:cs="宋体"/>
                <w:highlight w:val="none"/>
                <w:lang w:eastAsia="zh-CN"/>
              </w:rPr>
            </w:pPr>
            <w:r>
              <w:rPr>
                <w:rFonts w:hint="eastAsia" w:ascii="宋体" w:hAnsi="宋体" w:cs="宋体"/>
                <w:highlight w:val="none"/>
                <w:lang w:eastAsia="zh-CN"/>
              </w:rPr>
              <w:t>确保服务期和质量措施全面，工作进度安排和质量控制思路明确，得 6分；</w:t>
            </w:r>
          </w:p>
          <w:p>
            <w:pPr>
              <w:numPr>
                <w:ilvl w:val="0"/>
                <w:numId w:val="7"/>
              </w:numPr>
              <w:rPr>
                <w:rFonts w:ascii="宋体" w:hAnsi="宋体" w:cs="宋体"/>
                <w:highlight w:val="none"/>
                <w:lang w:eastAsia="zh-CN"/>
              </w:rPr>
            </w:pPr>
            <w:r>
              <w:rPr>
                <w:rFonts w:hint="eastAsia" w:ascii="宋体" w:hAnsi="宋体" w:cs="宋体"/>
                <w:highlight w:val="none"/>
                <w:lang w:eastAsia="zh-CN"/>
              </w:rPr>
              <w:t>有简单的服务期限、质量保证措施和工作进度安排，得2分；</w:t>
            </w:r>
          </w:p>
          <w:p>
            <w:pPr>
              <w:numPr>
                <w:ilvl w:val="0"/>
                <w:numId w:val="7"/>
              </w:numPr>
              <w:rPr>
                <w:rFonts w:ascii="宋体" w:hAnsi="宋体" w:cs="宋体"/>
                <w:highlight w:val="none"/>
              </w:rPr>
            </w:pPr>
            <w:r>
              <w:rPr>
                <w:rFonts w:hint="eastAsia" w:ascii="宋体" w:hAnsi="宋体" w:cs="宋体"/>
                <w:highlight w:val="none"/>
              </w:rPr>
              <w:t>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822" w:type="dxa"/>
            <w:vMerge w:val="continue"/>
            <w:vAlign w:val="center"/>
          </w:tcPr>
          <w:p>
            <w:pPr>
              <w:spacing w:line="460" w:lineRule="exact"/>
              <w:rPr>
                <w:rFonts w:ascii="宋体" w:hAnsi="宋体" w:cs="宋体"/>
                <w:highlight w:val="none"/>
              </w:rPr>
            </w:pPr>
          </w:p>
        </w:tc>
        <w:tc>
          <w:tcPr>
            <w:tcW w:w="1469" w:type="dxa"/>
            <w:vMerge w:val="continue"/>
            <w:vAlign w:val="center"/>
          </w:tcPr>
          <w:p>
            <w:pPr>
              <w:spacing w:line="460" w:lineRule="exact"/>
              <w:jc w:val="center"/>
              <w:rPr>
                <w:rFonts w:ascii="宋体" w:hAnsi="宋体" w:cs="宋体"/>
                <w:highlight w:val="none"/>
              </w:rPr>
            </w:pPr>
          </w:p>
        </w:tc>
        <w:tc>
          <w:tcPr>
            <w:tcW w:w="2283" w:type="dxa"/>
            <w:vAlign w:val="center"/>
          </w:tcPr>
          <w:p>
            <w:pPr>
              <w:spacing w:line="460" w:lineRule="exact"/>
              <w:jc w:val="center"/>
              <w:rPr>
                <w:rFonts w:ascii="宋体" w:hAnsi="宋体" w:cs="宋体"/>
                <w:highlight w:val="none"/>
                <w:lang w:eastAsia="zh-CN"/>
              </w:rPr>
            </w:pPr>
            <w:r>
              <w:rPr>
                <w:rFonts w:hint="eastAsia" w:ascii="宋体" w:hAnsi="宋体" w:cs="宋体"/>
                <w:highlight w:val="none"/>
                <w:lang w:eastAsia="zh-CN"/>
              </w:rPr>
              <w:t>项目成果管理及相应保证措施</w:t>
            </w:r>
          </w:p>
          <w:p>
            <w:pPr>
              <w:spacing w:line="460" w:lineRule="exact"/>
              <w:jc w:val="center"/>
              <w:rPr>
                <w:rFonts w:ascii="宋体" w:hAnsi="宋体" w:cs="宋体"/>
                <w:highlight w:val="none"/>
              </w:rPr>
            </w:pPr>
            <w:r>
              <w:rPr>
                <w:rFonts w:hint="eastAsia" w:ascii="宋体" w:hAnsi="宋体" w:cs="宋体"/>
                <w:highlight w:val="none"/>
              </w:rPr>
              <w:t>（10分）</w:t>
            </w:r>
          </w:p>
        </w:tc>
        <w:tc>
          <w:tcPr>
            <w:tcW w:w="5353" w:type="dxa"/>
            <w:vAlign w:val="center"/>
          </w:tcPr>
          <w:p>
            <w:pPr>
              <w:numPr>
                <w:ilvl w:val="0"/>
                <w:numId w:val="8"/>
              </w:numPr>
              <w:rPr>
                <w:rFonts w:ascii="宋体" w:hAnsi="宋体" w:cs="宋体"/>
                <w:highlight w:val="none"/>
                <w:lang w:eastAsia="zh-CN"/>
              </w:rPr>
            </w:pPr>
            <w:r>
              <w:rPr>
                <w:rFonts w:hint="eastAsia" w:ascii="宋体" w:hAnsi="宋体" w:cs="宋体"/>
                <w:highlight w:val="none"/>
                <w:lang w:eastAsia="zh-CN"/>
              </w:rPr>
              <w:t>项目成果整理及相应保证措施合理、有效，确保项目安全实施的措施全面具体，得10分；</w:t>
            </w:r>
          </w:p>
          <w:p>
            <w:pPr>
              <w:numPr>
                <w:ilvl w:val="0"/>
                <w:numId w:val="8"/>
              </w:numPr>
              <w:rPr>
                <w:rFonts w:ascii="宋体" w:hAnsi="宋体" w:cs="宋体"/>
                <w:highlight w:val="none"/>
                <w:lang w:eastAsia="zh-CN"/>
              </w:rPr>
            </w:pPr>
            <w:r>
              <w:rPr>
                <w:rFonts w:hint="eastAsia" w:ascii="宋体" w:hAnsi="宋体" w:cs="宋体"/>
                <w:highlight w:val="none"/>
                <w:lang w:eastAsia="zh-CN"/>
              </w:rPr>
              <w:t>项目成果管理措施得当，能够确保项目安全实施，得 6 分；</w:t>
            </w:r>
          </w:p>
          <w:p>
            <w:pPr>
              <w:numPr>
                <w:ilvl w:val="0"/>
                <w:numId w:val="8"/>
              </w:numPr>
              <w:rPr>
                <w:rFonts w:ascii="宋体" w:hAnsi="宋体" w:cs="宋体"/>
                <w:highlight w:val="none"/>
                <w:lang w:eastAsia="zh-CN"/>
              </w:rPr>
            </w:pPr>
            <w:r>
              <w:rPr>
                <w:rFonts w:hint="eastAsia" w:ascii="宋体" w:hAnsi="宋体" w:cs="宋体"/>
                <w:highlight w:val="none"/>
                <w:lang w:eastAsia="zh-CN"/>
              </w:rPr>
              <w:t>有简单有效的成果管理措施，得 2 分；</w:t>
            </w:r>
          </w:p>
          <w:p>
            <w:pPr>
              <w:numPr>
                <w:ilvl w:val="0"/>
                <w:numId w:val="8"/>
              </w:numPr>
              <w:rPr>
                <w:rFonts w:ascii="宋体" w:hAnsi="宋体" w:cs="宋体"/>
                <w:highlight w:val="none"/>
              </w:rPr>
            </w:pPr>
            <w:r>
              <w:rPr>
                <w:rFonts w:hint="eastAsia" w:ascii="宋体" w:hAnsi="宋体" w:cs="宋体"/>
                <w:highlight w:val="none"/>
              </w:rPr>
              <w:t>缺项得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22" w:type="dxa"/>
            <w:vMerge w:val="restart"/>
            <w:vAlign w:val="center"/>
          </w:tcPr>
          <w:p>
            <w:pPr>
              <w:spacing w:line="460" w:lineRule="exact"/>
              <w:rPr>
                <w:rFonts w:ascii="宋体" w:hAnsi="宋体" w:cs="宋体"/>
                <w:highlight w:val="none"/>
              </w:rPr>
            </w:pPr>
            <w:r>
              <w:rPr>
                <w:rFonts w:hint="eastAsia" w:ascii="宋体" w:hAnsi="宋体" w:cs="宋体"/>
                <w:highlight w:val="none"/>
              </w:rPr>
              <w:t>（3）</w:t>
            </w:r>
          </w:p>
        </w:tc>
        <w:tc>
          <w:tcPr>
            <w:tcW w:w="1469" w:type="dxa"/>
            <w:vMerge w:val="restart"/>
            <w:vAlign w:val="center"/>
          </w:tcPr>
          <w:p>
            <w:pPr>
              <w:spacing w:line="460" w:lineRule="exact"/>
              <w:jc w:val="center"/>
              <w:rPr>
                <w:rFonts w:ascii="宋体" w:hAnsi="宋体" w:cs="宋体"/>
                <w:highlight w:val="none"/>
              </w:rPr>
            </w:pPr>
            <w:r>
              <w:rPr>
                <w:rFonts w:hint="eastAsia" w:ascii="宋体" w:hAnsi="宋体" w:cs="宋体"/>
                <w:highlight w:val="none"/>
              </w:rPr>
              <w:t>商务部分</w:t>
            </w:r>
          </w:p>
          <w:p>
            <w:pPr>
              <w:spacing w:line="460" w:lineRule="exact"/>
              <w:jc w:val="center"/>
              <w:rPr>
                <w:rFonts w:ascii="宋体" w:hAnsi="宋体" w:cs="宋体"/>
                <w:highlight w:val="none"/>
              </w:rPr>
            </w:pPr>
            <w:r>
              <w:rPr>
                <w:rFonts w:hint="eastAsia" w:ascii="微软雅黑" w:hAnsi="微软雅黑" w:eastAsia="微软雅黑" w:cs="微软雅黑"/>
                <w:highlight w:val="none"/>
              </w:rPr>
              <w:t>（</w:t>
            </w:r>
            <w:r>
              <w:rPr>
                <w:rFonts w:ascii="宋体" w:hAnsi="宋体" w:cs="宋体"/>
                <w:highlight w:val="none"/>
              </w:rPr>
              <w:t>20</w:t>
            </w:r>
            <w:r>
              <w:rPr>
                <w:rFonts w:hint="eastAsia" w:ascii="微软雅黑" w:hAnsi="微软雅黑" w:eastAsia="微软雅黑" w:cs="微软雅黑"/>
                <w:highlight w:val="none"/>
              </w:rPr>
              <w:t>分）</w:t>
            </w:r>
          </w:p>
        </w:tc>
        <w:tc>
          <w:tcPr>
            <w:tcW w:w="2283" w:type="dxa"/>
            <w:vAlign w:val="center"/>
          </w:tcPr>
          <w:p>
            <w:pPr>
              <w:spacing w:line="460" w:lineRule="exact"/>
              <w:jc w:val="center"/>
              <w:rPr>
                <w:rFonts w:ascii="宋体" w:hAnsi="宋体" w:cs="宋体"/>
                <w:highlight w:val="none"/>
              </w:rPr>
            </w:pPr>
            <w:r>
              <w:rPr>
                <w:rFonts w:hint="eastAsia" w:ascii="微软雅黑" w:hAnsi="微软雅黑" w:eastAsia="微软雅黑" w:cs="微软雅黑"/>
                <w:highlight w:val="none"/>
              </w:rPr>
              <w:t>业</w:t>
            </w:r>
            <w:r>
              <w:rPr>
                <w:rFonts w:hint="eastAsia" w:ascii="宋体" w:hAnsi="宋体" w:cs="宋体"/>
                <w:highlight w:val="none"/>
              </w:rPr>
              <w:t>绩</w:t>
            </w:r>
          </w:p>
          <w:p>
            <w:pPr>
              <w:spacing w:line="460" w:lineRule="exact"/>
              <w:jc w:val="center"/>
              <w:rPr>
                <w:rFonts w:ascii="宋体" w:hAnsi="宋体" w:cs="宋体"/>
                <w:highlight w:val="none"/>
              </w:rPr>
            </w:pPr>
            <w:r>
              <w:rPr>
                <w:rFonts w:hint="eastAsia" w:ascii="宋体" w:hAnsi="宋体" w:cs="宋体"/>
                <w:highlight w:val="none"/>
              </w:rPr>
              <w:t>（10分）</w:t>
            </w:r>
          </w:p>
        </w:tc>
        <w:tc>
          <w:tcPr>
            <w:tcW w:w="5353" w:type="dxa"/>
            <w:vAlign w:val="center"/>
          </w:tcPr>
          <w:p>
            <w:pPr>
              <w:rPr>
                <w:rFonts w:ascii="宋体" w:hAnsi="宋体" w:cs="宋体"/>
                <w:highlight w:val="none"/>
                <w:lang w:eastAsia="zh-CN"/>
              </w:rPr>
            </w:pPr>
            <w:r>
              <w:rPr>
                <w:rFonts w:hint="eastAsia" w:ascii="宋体" w:hAnsi="宋体" w:cs="宋体"/>
                <w:highlight w:val="none"/>
                <w:lang w:eastAsia="zh-CN"/>
              </w:rPr>
              <w:t>供应商提供 202</w:t>
            </w:r>
            <w:r>
              <w:rPr>
                <w:rFonts w:hint="eastAsia" w:ascii="宋体" w:hAnsi="宋体" w:cs="宋体"/>
                <w:highlight w:val="none"/>
                <w:lang w:val="en-US" w:eastAsia="zh-CN"/>
              </w:rPr>
              <w:t>0</w:t>
            </w:r>
            <w:r>
              <w:rPr>
                <w:rFonts w:hint="eastAsia" w:ascii="宋体" w:hAnsi="宋体" w:cs="宋体"/>
                <w:highlight w:val="none"/>
                <w:lang w:eastAsia="zh-CN"/>
              </w:rPr>
              <w:t>年1月以来承担项目地旅游类项目业绩，每提供一项得2分，最多得10分。</w:t>
            </w:r>
          </w:p>
          <w:p>
            <w:pPr>
              <w:rPr>
                <w:rFonts w:ascii="宋体" w:hAnsi="宋体" w:cs="宋体"/>
                <w:highlight w:val="none"/>
                <w:lang w:eastAsia="zh-CN"/>
              </w:rPr>
            </w:pPr>
            <w:r>
              <w:rPr>
                <w:rFonts w:hint="eastAsia" w:ascii="宋体" w:hAnsi="宋体" w:cs="宋体"/>
                <w:highlight w:val="none"/>
                <w:lang w:eastAsia="zh-CN"/>
              </w:rPr>
              <w:t>注：业绩证明材料需上传诚信库。（以合同签订时间为准，投标文件中附加盖公章的合同文件）。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822" w:type="dxa"/>
            <w:vMerge w:val="continue"/>
            <w:vAlign w:val="center"/>
          </w:tcPr>
          <w:p>
            <w:pPr>
              <w:spacing w:line="460" w:lineRule="exact"/>
              <w:rPr>
                <w:rFonts w:ascii="宋体" w:hAnsi="宋体" w:cs="宋体"/>
                <w:highlight w:val="none"/>
                <w:lang w:eastAsia="zh-CN"/>
              </w:rPr>
            </w:pPr>
          </w:p>
        </w:tc>
        <w:tc>
          <w:tcPr>
            <w:tcW w:w="1469" w:type="dxa"/>
            <w:vMerge w:val="continue"/>
            <w:vAlign w:val="center"/>
          </w:tcPr>
          <w:p>
            <w:pPr>
              <w:spacing w:line="460" w:lineRule="exact"/>
              <w:jc w:val="center"/>
              <w:rPr>
                <w:rFonts w:ascii="宋体" w:hAnsi="宋体" w:cs="宋体"/>
                <w:highlight w:val="none"/>
                <w:lang w:eastAsia="zh-CN"/>
              </w:rPr>
            </w:pPr>
          </w:p>
        </w:tc>
        <w:tc>
          <w:tcPr>
            <w:tcW w:w="2283" w:type="dxa"/>
            <w:vAlign w:val="center"/>
          </w:tcPr>
          <w:p>
            <w:pPr>
              <w:spacing w:line="460" w:lineRule="exact"/>
              <w:jc w:val="center"/>
              <w:rPr>
                <w:rFonts w:hint="eastAsia" w:ascii="微软雅黑" w:hAnsi="微软雅黑" w:eastAsia="微软雅黑" w:cs="微软雅黑"/>
                <w:spacing w:val="-3"/>
                <w:highlight w:val="none"/>
                <w:lang w:eastAsia="zh-CN"/>
              </w:rPr>
            </w:pPr>
            <w:r>
              <w:rPr>
                <w:rFonts w:hint="eastAsia" w:ascii="微软雅黑" w:hAnsi="微软雅黑" w:eastAsia="微软雅黑" w:cs="微软雅黑"/>
                <w:spacing w:val="-3"/>
                <w:highlight w:val="none"/>
                <w:lang w:eastAsia="zh-CN"/>
              </w:rPr>
              <w:t>人员配备</w:t>
            </w:r>
          </w:p>
          <w:p>
            <w:pPr>
              <w:spacing w:line="460" w:lineRule="exact"/>
              <w:jc w:val="center"/>
              <w:rPr>
                <w:spacing w:val="-3"/>
                <w:highlight w:val="none"/>
                <w:lang w:eastAsia="zh-CN"/>
              </w:rPr>
            </w:pPr>
            <w:r>
              <w:rPr>
                <w:rFonts w:hint="eastAsia" w:ascii="微软雅黑" w:hAnsi="微软雅黑" w:eastAsia="微软雅黑" w:cs="微软雅黑"/>
                <w:spacing w:val="-3"/>
                <w:highlight w:val="none"/>
                <w:lang w:eastAsia="zh-CN"/>
              </w:rPr>
              <w:t>（</w:t>
            </w:r>
            <w:r>
              <w:rPr>
                <w:rFonts w:eastAsia="宋体"/>
                <w:spacing w:val="-3"/>
                <w:highlight w:val="none"/>
                <w:lang w:eastAsia="zh-CN"/>
              </w:rPr>
              <w:t>9</w:t>
            </w:r>
            <w:r>
              <w:rPr>
                <w:rFonts w:hint="eastAsia" w:ascii="微软雅黑" w:hAnsi="微软雅黑" w:eastAsia="微软雅黑" w:cs="微软雅黑"/>
                <w:spacing w:val="-3"/>
                <w:highlight w:val="none"/>
                <w:lang w:eastAsia="zh-CN"/>
              </w:rPr>
              <w:t>分）</w:t>
            </w:r>
          </w:p>
        </w:tc>
        <w:tc>
          <w:tcPr>
            <w:tcW w:w="5353" w:type="dxa"/>
            <w:vAlign w:val="center"/>
          </w:tcPr>
          <w:p>
            <w:pPr>
              <w:rPr>
                <w:rFonts w:ascii="宋体" w:hAnsi="宋体" w:cs="宋体" w:eastAsiaTheme="minorEastAsia"/>
                <w:highlight w:val="none"/>
                <w:lang w:eastAsia="zh-CN"/>
              </w:rPr>
            </w:pPr>
          </w:p>
          <w:p>
            <w:pPr>
              <w:numPr>
                <w:ilvl w:val="0"/>
                <w:numId w:val="9"/>
              </w:numPr>
              <w:rPr>
                <w:rFonts w:hint="eastAsia" w:ascii="宋体" w:hAnsi="宋体" w:cs="宋体" w:eastAsiaTheme="minorEastAsia"/>
                <w:highlight w:val="none"/>
                <w:lang w:eastAsia="zh-CN"/>
              </w:rPr>
            </w:pPr>
            <w:r>
              <w:rPr>
                <w:rFonts w:hint="eastAsia" w:ascii="宋体" w:hAnsi="宋体" w:cs="宋体" w:eastAsiaTheme="minorEastAsia"/>
                <w:highlight w:val="none"/>
                <w:lang w:eastAsia="zh-CN"/>
              </w:rPr>
              <w:t>项目负责人：</w:t>
            </w:r>
          </w:p>
          <w:p>
            <w:pPr>
              <w:numPr>
                <w:ilvl w:val="0"/>
                <w:numId w:val="0"/>
              </w:numPr>
              <w:rPr>
                <w:rFonts w:ascii="宋体" w:hAnsi="宋体" w:cs="宋体" w:eastAsiaTheme="minorEastAsia"/>
                <w:highlight w:val="none"/>
                <w:lang w:eastAsia="zh-CN"/>
              </w:rPr>
            </w:pPr>
            <w:r>
              <w:rPr>
                <w:rFonts w:hint="eastAsia" w:ascii="宋体" w:hAnsi="宋体" w:cs="宋体" w:eastAsiaTheme="minorEastAsia"/>
                <w:highlight w:val="none"/>
                <w:lang w:eastAsia="zh-CN"/>
              </w:rPr>
              <w:t>拟派项目负责人具有（城乡规划、风景园林等）相关专业中级及以上职称的得</w:t>
            </w:r>
            <w:r>
              <w:rPr>
                <w:rFonts w:ascii="宋体" w:hAnsi="宋体" w:cs="宋体" w:eastAsiaTheme="minorEastAsia"/>
                <w:highlight w:val="none"/>
                <w:lang w:eastAsia="zh-CN"/>
              </w:rPr>
              <w:t>3</w:t>
            </w:r>
            <w:r>
              <w:rPr>
                <w:rFonts w:hint="eastAsia" w:ascii="宋体" w:hAnsi="宋体" w:cs="宋体" w:eastAsiaTheme="minorEastAsia"/>
                <w:highlight w:val="none"/>
                <w:lang w:eastAsia="zh-CN"/>
              </w:rPr>
              <w:t>分；（须在响应文件中附相应人员劳动合同、社保证明及职称证书扫描件，否则不得分）。</w:t>
            </w:r>
          </w:p>
          <w:p>
            <w:pPr>
              <w:rPr>
                <w:rFonts w:hint="eastAsia" w:ascii="宋体" w:hAnsi="宋体" w:cs="宋体" w:eastAsiaTheme="minorEastAsia"/>
                <w:highlight w:val="none"/>
                <w:lang w:eastAsia="zh-CN"/>
              </w:rPr>
            </w:pPr>
            <w:r>
              <w:rPr>
                <w:rFonts w:ascii="宋体" w:hAnsi="宋体" w:cs="宋体" w:eastAsiaTheme="minorEastAsia"/>
                <w:highlight w:val="none"/>
                <w:lang w:eastAsia="zh-CN"/>
              </w:rPr>
              <w:t>2</w:t>
            </w:r>
            <w:r>
              <w:rPr>
                <w:rFonts w:hint="eastAsia" w:ascii="宋体" w:hAnsi="宋体" w:cs="宋体" w:eastAsiaTheme="minorEastAsia"/>
                <w:highlight w:val="none"/>
                <w:lang w:eastAsia="zh-CN"/>
              </w:rPr>
              <w:t>、技术团队：</w:t>
            </w:r>
          </w:p>
          <w:p>
            <w:pPr>
              <w:rPr>
                <w:rFonts w:hint="eastAsia" w:ascii="宋体" w:hAnsi="宋体" w:cs="宋体" w:eastAsiaTheme="minorEastAsia"/>
                <w:highlight w:val="none"/>
                <w:lang w:val="en-US" w:eastAsia="zh-CN"/>
              </w:rPr>
            </w:pPr>
            <w:r>
              <w:rPr>
                <w:rFonts w:hint="eastAsia" w:ascii="宋体" w:hAnsi="宋体" w:cs="宋体" w:eastAsiaTheme="minorEastAsia"/>
                <w:highlight w:val="none"/>
                <w:lang w:eastAsia="zh-CN"/>
              </w:rPr>
              <w:t>拟派本项目团队人员（项目负责人除外）中，具有（城乡规划、风景园林等）相关专业中级及以上职称证的，每具备一个得</w:t>
            </w:r>
            <w:r>
              <w:rPr>
                <w:rFonts w:ascii="宋体" w:hAnsi="宋体" w:cs="宋体" w:eastAsiaTheme="minorEastAsia"/>
                <w:highlight w:val="none"/>
                <w:lang w:eastAsia="zh-CN"/>
              </w:rPr>
              <w:t>2</w:t>
            </w:r>
            <w:r>
              <w:rPr>
                <w:rFonts w:hint="eastAsia" w:ascii="宋体" w:hAnsi="宋体" w:cs="宋体" w:eastAsiaTheme="minorEastAsia"/>
                <w:highlight w:val="none"/>
                <w:lang w:eastAsia="zh-CN"/>
              </w:rPr>
              <w:t>分，最多得</w:t>
            </w:r>
            <w:r>
              <w:rPr>
                <w:rFonts w:ascii="宋体" w:hAnsi="宋体" w:cs="宋体" w:eastAsiaTheme="minorEastAsia"/>
                <w:highlight w:val="none"/>
                <w:lang w:eastAsia="zh-CN"/>
              </w:rPr>
              <w:t>4</w:t>
            </w:r>
            <w:r>
              <w:rPr>
                <w:rFonts w:hint="eastAsia" w:ascii="宋体" w:hAnsi="宋体" w:cs="宋体" w:eastAsiaTheme="minorEastAsia"/>
                <w:highlight w:val="none"/>
                <w:lang w:eastAsia="zh-CN"/>
              </w:rPr>
              <w:t>分；（须在响应文件中附相应人员劳动合同、社保证明、学历证书及职称证书扫描件，否则不得分）。</w:t>
            </w:r>
          </w:p>
          <w:p>
            <w:pPr>
              <w:rPr>
                <w:rFonts w:ascii="宋体" w:hAnsi="宋体" w:cs="宋体" w:eastAsiaTheme="minorEastAsia"/>
                <w:highlight w:val="none"/>
                <w:lang w:eastAsia="zh-CN"/>
              </w:rPr>
            </w:pPr>
            <w:r>
              <w:rPr>
                <w:rFonts w:hint="eastAsia" w:ascii="宋体" w:hAnsi="宋体" w:cs="宋体" w:eastAsiaTheme="minorEastAsia"/>
                <w:highlight w:val="none"/>
                <w:lang w:eastAsia="zh-CN"/>
              </w:rPr>
              <w:t>每投入一名旅游、规划、环境、园林等方面专业的技术人员，每个专业得</w:t>
            </w:r>
            <w:r>
              <w:rPr>
                <w:rFonts w:ascii="宋体" w:hAnsi="宋体" w:cs="宋体" w:eastAsiaTheme="minorEastAsia"/>
                <w:highlight w:val="none"/>
                <w:lang w:eastAsia="zh-CN"/>
              </w:rPr>
              <w:t>0.5</w:t>
            </w:r>
            <w:r>
              <w:rPr>
                <w:rFonts w:hint="eastAsia" w:ascii="宋体" w:hAnsi="宋体" w:cs="宋体" w:eastAsiaTheme="minorEastAsia"/>
                <w:highlight w:val="none"/>
                <w:lang w:eastAsia="zh-CN"/>
              </w:rPr>
              <w:t>分最高得</w:t>
            </w:r>
            <w:r>
              <w:rPr>
                <w:rFonts w:ascii="宋体" w:hAnsi="宋体" w:cs="宋体" w:eastAsiaTheme="minorEastAsia"/>
                <w:highlight w:val="none"/>
                <w:lang w:eastAsia="zh-CN"/>
              </w:rPr>
              <w:t>2</w:t>
            </w:r>
            <w:r>
              <w:rPr>
                <w:rFonts w:hint="eastAsia" w:ascii="宋体" w:hAnsi="宋体" w:cs="宋体" w:eastAsiaTheme="minorEastAsia"/>
                <w:highlight w:val="none"/>
                <w:lang w:eastAsia="zh-CN"/>
              </w:rPr>
              <w:t>分；（须在响应文件中附相应人员劳动合同、社保证明、学历证书扫描件，否则不得分）</w:t>
            </w:r>
          </w:p>
          <w:p>
            <w:pPr>
              <w:rPr>
                <w:rFonts w:ascii="宋体" w:hAnsi="宋体" w:cs="宋体" w:eastAsiaTheme="minorEastAsia"/>
                <w:highlight w:val="none"/>
                <w:lang w:eastAsia="zh-CN"/>
              </w:rPr>
            </w:pPr>
          </w:p>
          <w:p>
            <w:pPr>
              <w:rPr>
                <w:rFonts w:hint="eastAsia" w:ascii="宋体" w:hAnsi="宋体" w:cs="宋体" w:eastAsiaTheme="minorEastAsia"/>
                <w:highlight w:val="none"/>
                <w:lang w:eastAsia="zh-CN"/>
              </w:rPr>
            </w:pPr>
            <w:r>
              <w:rPr>
                <w:rFonts w:hint="eastAsia" w:ascii="宋体" w:hAnsi="宋体" w:cs="宋体" w:eastAsiaTheme="minorEastAsia"/>
                <w:highlight w:val="none"/>
                <w:lang w:eastAsia="zh-CN"/>
              </w:rPr>
              <w:t>注：经验证明文件扫描件并加盖供应商公章；同一个人员不重复计分；未按要求提供上述材料的人员不予计分；不提供不得分。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22" w:type="dxa"/>
            <w:vMerge w:val="continue"/>
            <w:vAlign w:val="center"/>
          </w:tcPr>
          <w:p>
            <w:pPr>
              <w:spacing w:line="460" w:lineRule="exact"/>
              <w:rPr>
                <w:rFonts w:ascii="宋体" w:hAnsi="宋体" w:cs="宋体"/>
                <w:highlight w:val="none"/>
                <w:lang w:eastAsia="zh-CN"/>
              </w:rPr>
            </w:pPr>
          </w:p>
        </w:tc>
        <w:tc>
          <w:tcPr>
            <w:tcW w:w="1469" w:type="dxa"/>
            <w:vMerge w:val="continue"/>
            <w:vAlign w:val="center"/>
          </w:tcPr>
          <w:p>
            <w:pPr>
              <w:spacing w:line="460" w:lineRule="exact"/>
              <w:jc w:val="center"/>
              <w:rPr>
                <w:rFonts w:ascii="宋体" w:hAnsi="宋体" w:cs="宋体"/>
                <w:highlight w:val="none"/>
                <w:lang w:eastAsia="zh-CN"/>
              </w:rPr>
            </w:pPr>
          </w:p>
        </w:tc>
        <w:tc>
          <w:tcPr>
            <w:tcW w:w="2283" w:type="dxa"/>
            <w:vAlign w:val="center"/>
          </w:tcPr>
          <w:p>
            <w:pPr>
              <w:spacing w:line="460" w:lineRule="exact"/>
              <w:jc w:val="center"/>
              <w:rPr>
                <w:rFonts w:ascii="宋体" w:hAnsi="宋体" w:cs="宋体"/>
                <w:highlight w:val="none"/>
              </w:rPr>
            </w:pPr>
            <w:r>
              <w:rPr>
                <w:rFonts w:hint="eastAsia" w:cs="宋体" w:asciiTheme="minorEastAsia" w:hAnsiTheme="minorEastAsia" w:eastAsiaTheme="minorEastAsia"/>
                <w:highlight w:val="none"/>
                <w:lang w:eastAsia="zh-CN"/>
              </w:rPr>
              <w:t>服务</w:t>
            </w:r>
            <w:r>
              <w:rPr>
                <w:rFonts w:hint="eastAsia" w:ascii="宋体" w:hAnsi="宋体" w:cs="宋体"/>
                <w:highlight w:val="none"/>
              </w:rPr>
              <w:t>承诺</w:t>
            </w:r>
          </w:p>
          <w:p>
            <w:pPr>
              <w:spacing w:line="460" w:lineRule="exact"/>
              <w:jc w:val="center"/>
              <w:rPr>
                <w:rFonts w:ascii="宋体" w:hAnsi="宋体" w:cs="宋体"/>
                <w:highlight w:val="none"/>
              </w:rPr>
            </w:pPr>
            <w:r>
              <w:rPr>
                <w:rFonts w:hint="eastAsia" w:ascii="宋体" w:hAnsi="宋体" w:cs="宋体"/>
                <w:highlight w:val="none"/>
              </w:rPr>
              <w:t>（1分）</w:t>
            </w:r>
          </w:p>
        </w:tc>
        <w:tc>
          <w:tcPr>
            <w:tcW w:w="5353" w:type="dxa"/>
            <w:vAlign w:val="center"/>
          </w:tcPr>
          <w:p>
            <w:pPr>
              <w:rPr>
                <w:rFonts w:ascii="宋体" w:hAnsi="宋体" w:cs="宋体"/>
                <w:highlight w:val="none"/>
                <w:lang w:eastAsia="zh-CN"/>
              </w:rPr>
            </w:pPr>
            <w:r>
              <w:rPr>
                <w:rFonts w:hint="eastAsia" w:ascii="宋体" w:hAnsi="宋体" w:eastAsia="宋体" w:cs="宋体"/>
                <w:highlight w:val="none"/>
                <w:lang w:eastAsia="zh-CN"/>
              </w:rPr>
              <w:t>满足采购人要求，对项目进行所需承诺，得1分。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9927" w:type="dxa"/>
            <w:gridSpan w:val="4"/>
            <w:vAlign w:val="center"/>
          </w:tcPr>
          <w:p>
            <w:pPr>
              <w:spacing w:line="460" w:lineRule="exact"/>
              <w:rPr>
                <w:rFonts w:ascii="宋体" w:hAnsi="宋体" w:cs="宋体"/>
                <w:highlight w:val="none"/>
                <w:lang w:eastAsia="zh-CN"/>
              </w:rPr>
            </w:pPr>
            <w:r>
              <w:rPr>
                <w:rFonts w:hint="eastAsia" w:ascii="宋体" w:hAnsi="宋体" w:cs="宋体"/>
                <w:highlight w:val="none"/>
                <w:lang w:eastAsia="zh-CN"/>
              </w:rPr>
              <w:t>备注：</w:t>
            </w:r>
          </w:p>
          <w:p>
            <w:pPr>
              <w:spacing w:line="460" w:lineRule="exact"/>
              <w:ind w:firstLine="420" w:firstLineChars="200"/>
              <w:rPr>
                <w:rFonts w:ascii="宋体" w:hAnsi="宋体" w:cs="宋体"/>
                <w:highlight w:val="none"/>
                <w:lang w:eastAsia="zh-CN"/>
              </w:rPr>
            </w:pPr>
            <w:r>
              <w:rPr>
                <w:rFonts w:hint="eastAsia" w:ascii="宋体" w:hAnsi="宋体" w:cs="宋体"/>
                <w:highlight w:val="none"/>
                <w:lang w:eastAsia="zh-CN"/>
              </w:rPr>
              <w:t>投标人综合得分等于以上各项的汇总得分。</w:t>
            </w:r>
          </w:p>
          <w:p>
            <w:pPr>
              <w:spacing w:line="460" w:lineRule="exact"/>
              <w:ind w:firstLine="420" w:firstLineChars="200"/>
              <w:rPr>
                <w:rFonts w:ascii="宋体" w:hAnsi="宋体" w:cs="宋体"/>
                <w:highlight w:val="none"/>
                <w:lang w:eastAsia="zh-CN"/>
              </w:rPr>
            </w:pPr>
            <w:r>
              <w:rPr>
                <w:rFonts w:hint="eastAsia" w:ascii="宋体" w:hAnsi="宋体" w:cs="宋体"/>
                <w:highlight w:val="none"/>
                <w:lang w:eastAsia="zh-CN"/>
              </w:rPr>
              <w:t>评标委员会对各投标人的得分进行汇总，计算过程中评委个人分值按四舍五入保留三位小数，最终结果按四舍五入保留两位小数。以各评标委员会打分的算术平均值作为该投标人的最终得分。</w:t>
            </w:r>
          </w:p>
        </w:tc>
      </w:tr>
    </w:tbl>
    <w:p>
      <w:pPr>
        <w:kinsoku/>
        <w:wordWrap w:val="0"/>
        <w:spacing w:line="360" w:lineRule="auto"/>
        <w:jc w:val="both"/>
        <w:rPr>
          <w:rFonts w:asciiTheme="minorEastAsia" w:hAnsiTheme="minorEastAsia" w:eastAsiaTheme="minorEastAsia" w:cstheme="minorEastAsia"/>
        </w:rPr>
      </w:pPr>
      <w:r>
        <w:rPr>
          <w:rFonts w:hint="eastAsia" w:asciiTheme="minorEastAsia" w:hAnsiTheme="minorEastAsia" w:eastAsiaTheme="minorEastAsia" w:cstheme="minorEastAsia"/>
          <w:b/>
          <w:bCs/>
          <w:spacing w:val="2"/>
          <w:position w:val="17"/>
          <w:sz w:val="24"/>
          <w:szCs w:val="24"/>
          <w:lang w:eastAsia="zh-CN"/>
        </w:rPr>
        <w:t>备注：严格执行《南阳市政府采购负面清单》，根据实际项目需要设置科学合理的评分因素及分值。</w:t>
      </w: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六.中标通知及签订合同</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1.中标通知</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1.1 中标人被正式确定后，将在“河南省政府采购网”和“</w:t>
      </w:r>
      <w:r>
        <w:rPr>
          <w:rFonts w:hint="eastAsia" w:asciiTheme="minorEastAsia" w:hAnsiTheme="minorEastAsia" w:eastAsiaTheme="minorEastAsia" w:cstheme="minorEastAsia"/>
          <w:spacing w:val="2"/>
          <w:position w:val="17"/>
          <w:sz w:val="24"/>
          <w:szCs w:val="24"/>
          <w:lang w:val="en-US" w:eastAsia="zh-CN"/>
        </w:rPr>
        <w:t>淅川县</w:t>
      </w:r>
      <w:r>
        <w:rPr>
          <w:rFonts w:hint="eastAsia" w:asciiTheme="minorEastAsia" w:hAnsiTheme="minorEastAsia" w:eastAsiaTheme="minorEastAsia" w:cstheme="minorEastAsia"/>
          <w:spacing w:val="2"/>
          <w:position w:val="17"/>
          <w:sz w:val="24"/>
          <w:szCs w:val="24"/>
          <w:lang w:eastAsia="zh-CN"/>
        </w:rPr>
        <w:t>公共资源交易中心网”上公告中标结果，同时向中标人发出《中标通知书》。</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1.2 《中标通知书》将作为签订合同的依据之一。</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1.3 《中标通知书》发放办法：政府采购项目通过“淅川县公共资源交易中心公共服务平台”向中标人发出电子《中标通知书》后，中标供应商可登录淅川县公共资源交易平台会员系统，自行打印加盖电子签章的《中标通知书》。</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2.签订合同</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2.1中标供应商打印《中标通知书》后及时与采购人</w:t>
      </w:r>
      <w:r>
        <w:rPr>
          <w:rFonts w:hint="eastAsia" w:asciiTheme="minorEastAsia" w:hAnsiTheme="minorEastAsia" w:eastAsiaTheme="minorEastAsia" w:cstheme="minorEastAsia"/>
          <w:spacing w:val="2"/>
          <w:position w:val="17"/>
          <w:sz w:val="24"/>
          <w:szCs w:val="24"/>
          <w:lang w:val="en-US" w:eastAsia="zh-CN"/>
        </w:rPr>
        <w:t>线上</w:t>
      </w:r>
      <w:r>
        <w:rPr>
          <w:rFonts w:hint="eastAsia" w:asciiTheme="minorEastAsia" w:hAnsiTheme="minorEastAsia" w:eastAsiaTheme="minorEastAsia" w:cstheme="minorEastAsia"/>
          <w:spacing w:val="2"/>
          <w:position w:val="17"/>
          <w:sz w:val="24"/>
          <w:szCs w:val="24"/>
          <w:lang w:eastAsia="zh-CN"/>
        </w:rPr>
        <w:t>签订政府采购合同。合同签订后，采购人应通过“河南省电子化政府采购系统”(www.hngp.gov.cn)合同管理栏目上传合同原件扫描件完成备案。</w:t>
      </w:r>
    </w:p>
    <w:p>
      <w:pPr>
        <w:kinsoku/>
        <w:wordWrap w:val="0"/>
        <w:spacing w:line="360" w:lineRule="auto"/>
        <w:ind w:firstLine="488" w:firstLineChars="200"/>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2.2招标文件、投标文件、答疑及澄清文件，均为签订合同的依据。</w:t>
      </w: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七.质疑与答复</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w:t>
      </w:r>
      <w:r>
        <w:rPr>
          <w:rFonts w:hint="eastAsia" w:asciiTheme="minorEastAsia" w:hAnsiTheme="minorEastAsia" w:eastAsiaTheme="minorEastAsia" w:cstheme="minorEastAsia"/>
          <w:spacing w:val="2"/>
          <w:position w:val="17"/>
          <w:sz w:val="24"/>
          <w:szCs w:val="24"/>
          <w:lang w:val="en-US" w:eastAsia="zh-CN"/>
        </w:rPr>
        <w:t>或线上</w:t>
      </w:r>
      <w:r>
        <w:rPr>
          <w:rFonts w:asciiTheme="minorEastAsia" w:hAnsiTheme="minorEastAsia" w:eastAsiaTheme="minorEastAsia" w:cstheme="minorEastAsia"/>
          <w:spacing w:val="2"/>
          <w:position w:val="17"/>
          <w:sz w:val="24"/>
          <w:szCs w:val="24"/>
          <w:lang w:eastAsia="zh-CN"/>
        </w:rPr>
        <w:t>形式向采购人、采购代理机构提出质疑。供应商须在法定质疑期内一次性提出针对同一采购程序环节的质疑。</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w:t>
      </w:r>
      <w:r>
        <w:rPr>
          <w:rFonts w:hint="eastAsia" w:asciiTheme="minorEastAsia" w:hAnsiTheme="minorEastAsia" w:eastAsiaTheme="minorEastAsia" w:cstheme="minorEastAsia"/>
          <w:spacing w:val="2"/>
          <w:position w:val="17"/>
          <w:sz w:val="24"/>
          <w:szCs w:val="24"/>
          <w:lang w:val="en-US" w:eastAsia="zh-CN"/>
        </w:rPr>
        <w:t>淅川县</w:t>
      </w:r>
      <w:r>
        <w:rPr>
          <w:rFonts w:asciiTheme="minorEastAsia" w:hAnsiTheme="minorEastAsia" w:eastAsiaTheme="minorEastAsia" w:cstheme="minorEastAsia"/>
          <w:spacing w:val="2"/>
          <w:position w:val="17"/>
          <w:sz w:val="24"/>
          <w:szCs w:val="24"/>
          <w:lang w:eastAsia="zh-CN"/>
        </w:rPr>
        <w:t>公共资源交易系统并电话通知到项目负责人。</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6"/>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kinsoku/>
        <w:wordWrap w:val="0"/>
        <w:spacing w:line="360" w:lineRule="auto"/>
        <w:jc w:val="both"/>
        <w:rPr>
          <w:rFonts w:asciiTheme="minorEastAsia" w:hAnsiTheme="minorEastAsia" w:eastAsiaTheme="minorEastAsia" w:cstheme="minorEastAsia"/>
          <w:b/>
          <w:bCs/>
          <w:spacing w:val="2"/>
          <w:position w:val="17"/>
          <w:sz w:val="24"/>
          <w:szCs w:val="24"/>
          <w:lang w:eastAsia="zh-CN"/>
        </w:rPr>
      </w:pPr>
      <w:r>
        <w:rPr>
          <w:rFonts w:hint="eastAsia" w:asciiTheme="minorEastAsia" w:hAnsiTheme="minorEastAsia" w:eastAsiaTheme="minorEastAsia" w:cstheme="minorEastAsia"/>
          <w:b/>
          <w:bCs/>
          <w:spacing w:val="2"/>
          <w:position w:val="17"/>
          <w:sz w:val="24"/>
          <w:szCs w:val="24"/>
          <w:lang w:eastAsia="zh-CN"/>
        </w:rPr>
        <w:t>八、相关注意事项</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1.开标及询标时，投标人法定代表人（负责人）或授权代表务必携带有效的身份证明，否则产生的不利后果由投标人自行承担。</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2.各投标人应保证：投标文件中涉及到的所有内容，不会出现因第三方提出侵权而引发法律及经济纠纷，不论何种情况下若发生此类情况，其相应责任由投标人自行承担。</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3.3开标、评标期间，投标人不得向评委询问评标情况，不得进行旨在影响评标结果的活动。</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4.为了保证评标的公正性，除询标外，评委不得与投标人交换意见。无论评标工作结束与否，参与评标的任何人均不得私下向外透露评标中的任何情况。</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5.投标人应本着公平竞争的原则参与投标，不得用任何方式对其它投标人恶意攻击。</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6.投标人如有违反上述要求或违反国家法律、法规的行为，无论评标结果如何，其投标资格将被取消。</w:t>
      </w:r>
    </w:p>
    <w:p>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pStyle w:val="3"/>
        <w:kinsoku/>
        <w:wordWrap w:val="0"/>
        <w:spacing w:line="360" w:lineRule="auto"/>
        <w:ind w:firstLine="430" w:firstLineChars="200"/>
        <w:jc w:val="both"/>
        <w:rPr>
          <w:rFonts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pPr>
        <w:pStyle w:val="32"/>
        <w:wordWrap w:val="0"/>
        <w:jc w:val="both"/>
        <w:sectPr>
          <w:footerReference r:id="rId3" w:type="default"/>
          <w:pgSz w:w="11907" w:h="16840"/>
          <w:pgMar w:top="1440" w:right="1800" w:bottom="1440" w:left="1800" w:header="878" w:footer="886" w:gutter="0"/>
          <w:pgNumType w:start="1"/>
          <w:cols w:space="720" w:num="1"/>
        </w:sectPr>
      </w:pPr>
    </w:p>
    <w:p>
      <w:pPr>
        <w:pStyle w:val="3"/>
        <w:kinsoku/>
        <w:wordWrap w:val="0"/>
        <w:spacing w:before="353" w:line="219" w:lineRule="auto"/>
        <w:ind w:left="2294"/>
        <w:jc w:val="both"/>
        <w:rPr>
          <w:rFonts w:asciiTheme="minorEastAsia" w:hAnsiTheme="minorEastAsia" w:eastAsiaTheme="minorEastAsia" w:cstheme="minorEastAsia"/>
          <w:spacing w:val="-1"/>
          <w:sz w:val="36"/>
          <w:szCs w:val="36"/>
          <w:lang w:eastAsia="zh-CN"/>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五</w:t>
      </w:r>
      <w:r>
        <w:rPr>
          <w:rFonts w:hint="eastAsia" w:asciiTheme="minorEastAsia" w:hAnsiTheme="minorEastAsia" w:eastAsiaTheme="minorEastAsia" w:cstheme="minorEastAsia"/>
          <w:spacing w:val="-1"/>
          <w:sz w:val="36"/>
          <w:szCs w:val="36"/>
        </w:rPr>
        <w:t>章</w:t>
      </w:r>
      <w:r>
        <w:rPr>
          <w:rFonts w:hint="eastAsia" w:asciiTheme="minorEastAsia" w:hAnsiTheme="minorEastAsia" w:eastAsiaTheme="minorEastAsia" w:cstheme="minorEastAsia"/>
          <w:spacing w:val="-1"/>
          <w:sz w:val="36"/>
          <w:szCs w:val="36"/>
          <w:lang w:eastAsia="zh-CN"/>
        </w:rPr>
        <w:t>政府采购合同（草案）</w:t>
      </w:r>
    </w:p>
    <w:p>
      <w:pPr>
        <w:pStyle w:val="32"/>
        <w:jc w:val="both"/>
      </w:pPr>
    </w:p>
    <w:p>
      <w:pPr>
        <w:pStyle w:val="3"/>
        <w:kinsoku/>
        <w:wordWrap w:val="0"/>
        <w:spacing w:line="360" w:lineRule="auto"/>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pPr>
        <w:pStyle w:val="3"/>
        <w:kinsoku/>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0%。</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3"/>
        <w:kinsoku/>
        <w:wordWrap w:val="0"/>
        <w:spacing w:line="360" w:lineRule="auto"/>
        <w:ind w:firstLine="428" w:firstLineChars="200"/>
        <w:jc w:val="both"/>
        <w:rPr>
          <w:rFonts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pPr>
        <w:kinsoku/>
        <w:wordWrap w:val="0"/>
        <w:spacing w:line="220" w:lineRule="auto"/>
        <w:jc w:val="both"/>
        <w:rPr>
          <w:rFonts w:asciiTheme="minorEastAsia" w:hAnsiTheme="minorEastAsia" w:eastAsiaTheme="minorEastAsia" w:cstheme="minorEastAsia"/>
          <w:sz w:val="24"/>
          <w:szCs w:val="24"/>
        </w:rPr>
        <w:sectPr>
          <w:headerReference r:id="rId4" w:type="default"/>
          <w:footerReference r:id="rId5" w:type="default"/>
          <w:pgSz w:w="11907" w:h="16840"/>
          <w:pgMar w:top="1440" w:right="1800" w:bottom="1440" w:left="1800" w:header="878" w:footer="886" w:gutter="0"/>
          <w:cols w:space="720" w:num="1"/>
        </w:sectPr>
      </w:pPr>
    </w:p>
    <w:p>
      <w:pPr>
        <w:pStyle w:val="3"/>
        <w:kinsoku/>
        <w:wordWrap w:val="0"/>
        <w:spacing w:before="353" w:line="219" w:lineRule="auto"/>
        <w:ind w:left="2654"/>
        <w:jc w:val="both"/>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rPr>
        <w:t>第</w:t>
      </w:r>
      <w:r>
        <w:rPr>
          <w:rFonts w:hint="eastAsia" w:asciiTheme="minorEastAsia" w:hAnsiTheme="minorEastAsia" w:eastAsiaTheme="minorEastAsia" w:cstheme="minorEastAsia"/>
          <w:spacing w:val="-1"/>
          <w:sz w:val="36"/>
          <w:szCs w:val="36"/>
          <w:lang w:eastAsia="zh-CN"/>
        </w:rPr>
        <w:t>六</w:t>
      </w:r>
      <w:r>
        <w:rPr>
          <w:rFonts w:hint="eastAsia" w:asciiTheme="minorEastAsia" w:hAnsiTheme="minorEastAsia" w:eastAsiaTheme="minorEastAsia" w:cstheme="minorEastAsia"/>
          <w:spacing w:val="-1"/>
          <w:sz w:val="36"/>
          <w:szCs w:val="36"/>
        </w:rPr>
        <w:t>章投标文件格式</w:t>
      </w:r>
    </w:p>
    <w:p>
      <w:pPr>
        <w:kinsoku/>
        <w:wordWrap w:val="0"/>
        <w:spacing w:line="253" w:lineRule="auto"/>
        <w:jc w:val="both"/>
        <w:rPr>
          <w:rFonts w:asciiTheme="minorEastAsia" w:hAnsiTheme="minorEastAsia" w:eastAsiaTheme="minorEastAsia" w:cstheme="minorEastAsia"/>
        </w:rPr>
      </w:pPr>
    </w:p>
    <w:p>
      <w:pPr>
        <w:pStyle w:val="3"/>
        <w:kinsoku/>
        <w:wordWrap w:val="0"/>
        <w:spacing w:before="78" w:line="360" w:lineRule="auto"/>
        <w:ind w:left="154"/>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投标人编制文件须知</w:t>
      </w:r>
    </w:p>
    <w:p>
      <w:pPr>
        <w:pStyle w:val="3"/>
        <w:kinsoku/>
        <w:wordWrap w:val="0"/>
        <w:spacing w:line="360" w:lineRule="auto"/>
        <w:ind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eastAsia="zh-CN"/>
        </w:rPr>
        <w:t>提</w:t>
      </w:r>
      <w:r>
        <w:rPr>
          <w:rFonts w:hint="eastAsia" w:asciiTheme="minorEastAsia" w:hAnsiTheme="minorEastAsia" w:eastAsiaTheme="minorEastAsia" w:cstheme="minorEastAsia"/>
          <w:spacing w:val="-3"/>
          <w:sz w:val="24"/>
          <w:szCs w:val="24"/>
        </w:rPr>
        <w:t>交。</w:t>
      </w:r>
    </w:p>
    <w:p>
      <w:pPr>
        <w:pStyle w:val="3"/>
        <w:kinsoku/>
        <w:wordWrap w:val="0"/>
        <w:spacing w:line="360" w:lineRule="auto"/>
        <w:ind w:firstLine="468"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pPr>
        <w:kinsoku/>
        <w:wordWrap w:val="0"/>
        <w:spacing w:line="219" w:lineRule="auto"/>
        <w:jc w:val="both"/>
        <w:rPr>
          <w:rFonts w:asciiTheme="minorEastAsia" w:hAnsiTheme="minorEastAsia" w:eastAsiaTheme="minorEastAsia" w:cstheme="minorEastAsia"/>
          <w:sz w:val="24"/>
          <w:szCs w:val="24"/>
        </w:rPr>
        <w:sectPr>
          <w:headerReference r:id="rId6" w:type="default"/>
          <w:footerReference r:id="rId7" w:type="default"/>
          <w:pgSz w:w="11907" w:h="16840"/>
          <w:pgMar w:top="1440" w:right="1800" w:bottom="1440" w:left="1800" w:header="878" w:footer="886" w:gutter="0"/>
          <w:cols w:space="720" w:num="1"/>
        </w:sectPr>
      </w:pPr>
    </w:p>
    <w:p>
      <w:pPr>
        <w:pStyle w:val="3"/>
        <w:kinsoku/>
        <w:wordWrap w:val="0"/>
        <w:spacing w:before="78" w:line="360" w:lineRule="auto"/>
        <w:ind w:left="13"/>
        <w:jc w:val="both"/>
        <w:outlineLvl w:val="2"/>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rPr>
        <w:t>一、资格证明文件格式</w:t>
      </w:r>
    </w:p>
    <w:p>
      <w:pPr>
        <w:kinsoku/>
        <w:wordWrap w:val="0"/>
        <w:spacing w:line="360" w:lineRule="auto"/>
        <w:jc w:val="center"/>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lang w:val="en-US" w:eastAsia="zh-CN"/>
        </w:rPr>
        <w:t>1.</w:t>
      </w:r>
      <w:r>
        <w:rPr>
          <w:rFonts w:hint="eastAsia" w:asciiTheme="minorEastAsia" w:hAnsiTheme="minorEastAsia" w:eastAsiaTheme="minorEastAsia" w:cstheme="minorEastAsia"/>
          <w:spacing w:val="24"/>
          <w:sz w:val="24"/>
          <w:szCs w:val="24"/>
          <w:lang w:eastAsia="zh-CN"/>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8"/>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服务期限</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服务质量</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tc>
      </w:tr>
    </w:tbl>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注：“开标一览表”报总价。</w:t>
      </w:r>
    </w:p>
    <w:p>
      <w:pPr>
        <w:kinsoku/>
        <w:wordWrap w:val="0"/>
        <w:spacing w:line="360" w:lineRule="auto"/>
        <w:jc w:val="both"/>
        <w:rPr>
          <w:rFonts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投标人（公章）：法定代表人（负责人）或授权代表（签字）：</w:t>
      </w:r>
    </w:p>
    <w:p>
      <w:pPr>
        <w:kinsoku/>
        <w:wordWrap w:val="0"/>
        <w:spacing w:line="360" w:lineRule="auto"/>
        <w:jc w:val="both"/>
        <w:rPr>
          <w:rFonts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b/>
          <w:bCs/>
          <w:spacing w:val="-8"/>
          <w:sz w:val="24"/>
          <w:szCs w:val="24"/>
          <w:lang w:eastAsia="zh-CN"/>
        </w:rPr>
        <w:t>日期：年月日</w:t>
      </w: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spacing w:val="24"/>
          <w:sz w:val="24"/>
          <w:szCs w:val="24"/>
          <w:lang w:eastAsia="zh-CN"/>
        </w:rPr>
      </w:pPr>
    </w:p>
    <w:p>
      <w:pPr>
        <w:kinsoku/>
        <w:wordWrap w:val="0"/>
        <w:spacing w:line="360" w:lineRule="auto"/>
        <w:jc w:val="both"/>
        <w:rPr>
          <w:rFonts w:asciiTheme="minorEastAsia" w:hAnsiTheme="minorEastAsia" w:eastAsiaTheme="minorEastAsia" w:cstheme="minorEastAsia"/>
          <w:b/>
          <w:sz w:val="24"/>
          <w:szCs w:val="24"/>
          <w:lang w:eastAsia="zh-CN"/>
        </w:rPr>
      </w:pPr>
    </w:p>
    <w:p>
      <w:pPr>
        <w:kinsoku/>
        <w:wordWrap w:val="0"/>
        <w:spacing w:line="360" w:lineRule="auto"/>
        <w:jc w:val="both"/>
        <w:rPr>
          <w:rFonts w:asciiTheme="minorEastAsia" w:hAnsiTheme="minorEastAsia" w:eastAsiaTheme="minorEastAsia" w:cstheme="minorEastAsia"/>
          <w:b/>
          <w:sz w:val="24"/>
          <w:szCs w:val="24"/>
          <w:lang w:eastAsia="zh-CN"/>
        </w:rPr>
      </w:pPr>
    </w:p>
    <w:p>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2.授权书格式</w:t>
      </w:r>
    </w:p>
    <w:p>
      <w:pPr>
        <w:kinsoku/>
        <w:wordWrap w:val="0"/>
        <w:spacing w:line="360" w:lineRule="auto"/>
        <w:ind w:firstLine="567"/>
        <w:jc w:val="center"/>
        <w:rPr>
          <w:rFonts w:asciiTheme="minorEastAsia" w:hAnsiTheme="minorEastAsia" w:eastAsiaTheme="minorEastAsia" w:cstheme="minorEastAsia"/>
          <w:b/>
          <w:sz w:val="24"/>
          <w:szCs w:val="24"/>
          <w:lang w:eastAsia="zh-CN"/>
        </w:rPr>
      </w:pPr>
    </w:p>
    <w:p>
      <w:pPr>
        <w:kinsoku/>
        <w:wordWrap w:val="0"/>
        <w:spacing w:line="360" w:lineRule="auto"/>
        <w:ind w:firstLine="567"/>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pPr>
        <w:kinsoku/>
        <w:wordWrap w:val="0"/>
        <w:spacing w:line="360" w:lineRule="auto"/>
        <w:ind w:firstLine="567"/>
        <w:jc w:val="both"/>
        <w:rPr>
          <w:rFonts w:asciiTheme="minorEastAsia" w:hAnsiTheme="minorEastAsia" w:eastAsiaTheme="minorEastAsia" w:cstheme="minorEastAsia"/>
          <w:sz w:val="24"/>
          <w:szCs w:val="24"/>
          <w:lang w:eastAsia="zh-CN"/>
        </w:rPr>
      </w:pP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pPr>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pPr>
        <w:kinsoku/>
        <w:wordWrap w:val="0"/>
        <w:spacing w:line="360" w:lineRule="auto"/>
        <w:ind w:firstLine="567"/>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pPr>
        <w:pStyle w:val="17"/>
        <w:kinsoku/>
        <w:wordWrap w:val="0"/>
        <w:ind w:firstLine="480"/>
        <w:jc w:val="both"/>
        <w:rPr>
          <w:rFonts w:asciiTheme="minorEastAsia" w:hAnsiTheme="minorEastAsia" w:eastAsiaTheme="minorEastAsia" w:cstheme="minorEastAsia"/>
          <w:sz w:val="24"/>
          <w:szCs w:val="24"/>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ind w:firstLine="567"/>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Theme="minorEastAsia" w:hAnsiTheme="minorEastAsia" w:eastAsiaTheme="minorEastAsia" w:cstheme="minorEastAsia"/>
          <w:sz w:val="24"/>
          <w:szCs w:val="24"/>
          <w:lang w:eastAsia="zh-CN"/>
        </w:rPr>
      </w:pPr>
    </w:p>
    <w:p>
      <w:pPr>
        <w:kinsoku/>
        <w:wordWrap w:val="0"/>
        <w:spacing w:line="360" w:lineRule="auto"/>
        <w:jc w:val="both"/>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3.资格声明函格式</w:t>
      </w:r>
    </w:p>
    <w:p>
      <w:pPr>
        <w:kinsoku/>
        <w:wordWrap w:val="0"/>
        <w:spacing w:line="360" w:lineRule="auto"/>
        <w:jc w:val="center"/>
        <w:rPr>
          <w:rFonts w:asciiTheme="minorEastAsia" w:hAnsiTheme="minorEastAsia" w:eastAsiaTheme="minorEastAsia" w:cstheme="minorEastAsia"/>
          <w:b/>
          <w:sz w:val="24"/>
          <w:szCs w:val="24"/>
          <w:lang w:eastAsia="zh-CN"/>
        </w:rPr>
      </w:pPr>
    </w:p>
    <w:p>
      <w:pPr>
        <w:kinsoku/>
        <w:wordWrap w:val="0"/>
        <w:spacing w:line="360" w:lineRule="auto"/>
        <w:jc w:val="center"/>
        <w:rPr>
          <w:rFonts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pPr>
        <w:pStyle w:val="3"/>
        <w:kinsoku/>
        <w:wordWrap w:val="0"/>
        <w:spacing w:line="360" w:lineRule="auto"/>
        <w:jc w:val="both"/>
        <w:rPr>
          <w:rFonts w:asciiTheme="minorEastAsia" w:hAnsiTheme="minorEastAsia" w:eastAsiaTheme="minorEastAsia" w:cstheme="minorEastAsia"/>
          <w:spacing w:val="-3"/>
          <w:sz w:val="24"/>
          <w:szCs w:val="24"/>
          <w:lang w:eastAsia="zh-CN"/>
        </w:rPr>
      </w:pPr>
    </w:p>
    <w:p>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pStyle w:val="3"/>
        <w:kinsoku/>
        <w:wordWrap w:val="0"/>
        <w:spacing w:line="360" w:lineRule="auto"/>
        <w:ind w:firstLine="468" w:firstLineChars="200"/>
        <w:jc w:val="both"/>
        <w:rPr>
          <w:rFonts w:asciiTheme="minorEastAsia" w:hAnsiTheme="minorEastAsia" w:eastAsiaTheme="minorEastAsia" w:cstheme="minorEastAsia"/>
          <w:spacing w:val="-3"/>
          <w:sz w:val="24"/>
          <w:szCs w:val="24"/>
        </w:rPr>
      </w:pPr>
    </w:p>
    <w:p>
      <w:pPr>
        <w:pStyle w:val="3"/>
        <w:kinsoku/>
        <w:wordWrap w:val="0"/>
        <w:spacing w:line="360" w:lineRule="auto"/>
        <w:ind w:firstLine="470" w:firstLineChars="200"/>
        <w:jc w:val="both"/>
        <w:rPr>
          <w:rFonts w:asciiTheme="minorEastAsia" w:hAnsiTheme="minorEastAsia" w:eastAsiaTheme="minorEastAsia" w:cstheme="minorEastAsia"/>
          <w:sz w:val="24"/>
          <w:szCs w:val="24"/>
          <w:lang w:eastAsia="zh-CN"/>
        </w:rPr>
        <w:sectPr>
          <w:headerReference r:id="rId8" w:type="default"/>
          <w:footerReference r:id="rId9"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5"/>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eastAsia="zh-CN"/>
        </w:rPr>
        <w:t>处理。</w:t>
      </w:r>
    </w:p>
    <w:p>
      <w:pPr>
        <w:kinsoku/>
        <w:wordWrap w:val="0"/>
        <w:spacing w:line="256"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4.承诺函格式</w:t>
      </w:r>
    </w:p>
    <w:p>
      <w:pPr>
        <w:kinsoku/>
        <w:wordWrap w:val="0"/>
        <w:spacing w:line="360" w:lineRule="auto"/>
        <w:jc w:val="center"/>
        <w:rPr>
          <w:rFonts w:asciiTheme="minorEastAsia" w:hAnsiTheme="minorEastAsia" w:eastAsiaTheme="minorEastAsia" w:cstheme="minorEastAsia"/>
          <w:b/>
          <w:bCs/>
          <w:sz w:val="24"/>
          <w:szCs w:val="24"/>
          <w:lang w:eastAsia="zh-CN"/>
        </w:rPr>
      </w:pPr>
    </w:p>
    <w:p>
      <w:pPr>
        <w:kinsoku/>
        <w:wordWrap w:val="0"/>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投标人承诺函</w:t>
      </w:r>
    </w:p>
    <w:p>
      <w:pPr>
        <w:pStyle w:val="3"/>
        <w:kinsoku/>
        <w:wordWrap w:val="0"/>
        <w:spacing w:line="360" w:lineRule="auto"/>
        <w:jc w:val="both"/>
        <w:rPr>
          <w:rFonts w:asciiTheme="minorEastAsia" w:hAnsiTheme="minorEastAsia" w:eastAsiaTheme="minorEastAsia" w:cstheme="minorEastAsia"/>
          <w:spacing w:val="-3"/>
          <w:sz w:val="24"/>
          <w:szCs w:val="24"/>
          <w:lang w:eastAsia="zh-CN"/>
        </w:rPr>
      </w:pPr>
    </w:p>
    <w:p>
      <w:pPr>
        <w:pStyle w:val="3"/>
        <w:kinsoku/>
        <w:wordWrap w:val="0"/>
        <w:spacing w:line="360" w:lineRule="auto"/>
        <w:jc w:val="both"/>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采购人或代理机构名称：</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pPr>
        <w:kinsoku/>
        <w:wordWrap w:val="0"/>
        <w:spacing w:line="360" w:lineRule="auto"/>
        <w:ind w:firstLine="720"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256" w:lineRule="auto"/>
        <w:jc w:val="both"/>
        <w:rPr>
          <w:rFonts w:asciiTheme="minorEastAsia" w:hAnsiTheme="minorEastAsia" w:eastAsiaTheme="minorEastAsia" w:cstheme="minorEastAsia"/>
        </w:rPr>
      </w:pPr>
    </w:p>
    <w:p>
      <w:pPr>
        <w:kinsoku/>
        <w:wordWrap w:val="0"/>
        <w:spacing w:line="256" w:lineRule="auto"/>
        <w:jc w:val="both"/>
        <w:rPr>
          <w:rFonts w:asciiTheme="minorEastAsia" w:hAnsiTheme="minorEastAsia" w:eastAsiaTheme="minorEastAsia" w:cstheme="minorEastAsia"/>
        </w:rPr>
      </w:pPr>
    </w:p>
    <w:p>
      <w:pPr>
        <w:kinsoku/>
        <w:wordWrap w:val="0"/>
        <w:spacing w:line="256"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5.营业执照副本或其他资格证明文件</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6.具有履行合同所必需的设备和专业技术能力的承诺</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7.依法缴纳税收和社会保障资金的缴费凭证(提供近半年内任意三个月的有效凭证)</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8.良好的商业信誉和健全的财务会计制度的证明文件</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9.投标人出具参加政府采购活动前三年内，在经营活动中没有重大违法记录的书面声明（加盖单位公章）</w:t>
      </w: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10.投标人诚信承诺书</w:t>
      </w:r>
    </w:p>
    <w:p>
      <w:pPr>
        <w:kinsoku/>
        <w:wordWrap w:val="0"/>
        <w:spacing w:line="360" w:lineRule="auto"/>
        <w:jc w:val="center"/>
        <w:rPr>
          <w:rFonts w:asciiTheme="minorEastAsia" w:hAnsiTheme="minorEastAsia" w:eastAsiaTheme="minorEastAsia" w:cstheme="minorEastAsia"/>
          <w:b/>
          <w:bCs/>
          <w:sz w:val="24"/>
          <w:szCs w:val="24"/>
          <w:lang w:eastAsia="zh-CN"/>
        </w:rPr>
      </w:pPr>
    </w:p>
    <w:p>
      <w:pPr>
        <w:kinsoku/>
        <w:wordWrap w:val="0"/>
        <w:spacing w:line="360" w:lineRule="auto"/>
        <w:jc w:val="center"/>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w:t>
      </w:r>
    </w:p>
    <w:p>
      <w:pPr>
        <w:kinsoku/>
        <w:wordWrap w:val="0"/>
        <w:spacing w:line="360" w:lineRule="auto"/>
        <w:ind w:firstLine="672" w:firstLineChars="3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日期：年月日</w:t>
      </w:r>
    </w:p>
    <w:p>
      <w:pPr>
        <w:rPr>
          <w:rFonts w:hint="eastAsia" w:ascii="宋体" w:hAnsi="宋体" w:eastAsia="宋体" w:cs="宋体"/>
          <w:color w:val="auto"/>
          <w:spacing w:val="-7"/>
          <w:kern w:val="2"/>
          <w:sz w:val="24"/>
          <w:szCs w:val="24"/>
          <w:lang w:val="en-US" w:eastAsia="zh-CN" w:bidi="ar-SA"/>
        </w:rPr>
      </w:pPr>
      <w:r>
        <w:rPr>
          <w:rFonts w:hint="eastAsia" w:ascii="宋体" w:hAnsi="宋体" w:eastAsia="宋体" w:cs="宋体"/>
          <w:color w:val="auto"/>
          <w:spacing w:val="-7"/>
          <w:kern w:val="2"/>
          <w:sz w:val="24"/>
          <w:szCs w:val="24"/>
          <w:lang w:val="en-US" w:eastAsia="zh-CN" w:bidi="ar-SA"/>
        </w:rPr>
        <w:br w:type="page"/>
      </w:r>
    </w:p>
    <w:p>
      <w:pPr>
        <w:pStyle w:val="52"/>
        <w:keepNext/>
        <w:keepLines/>
        <w:spacing w:line="480" w:lineRule="exact"/>
        <w:ind w:firstLine="0"/>
        <w:jc w:val="center"/>
        <w:rPr>
          <w:rFonts w:hint="eastAsia" w:ascii="宋体" w:hAnsi="宋体" w:eastAsia="宋体" w:cs="宋体"/>
          <w:color w:val="auto"/>
          <w:spacing w:val="-7"/>
          <w:kern w:val="2"/>
          <w:sz w:val="28"/>
          <w:szCs w:val="28"/>
          <w:lang w:val="en-US" w:eastAsia="zh-CN" w:bidi="ar-SA"/>
        </w:rPr>
      </w:pPr>
      <w:r>
        <w:rPr>
          <w:rFonts w:hint="eastAsia" w:ascii="宋体" w:hAnsi="宋体" w:eastAsia="宋体" w:cs="宋体"/>
          <w:color w:val="auto"/>
          <w:spacing w:val="-7"/>
          <w:kern w:val="2"/>
          <w:sz w:val="28"/>
          <w:szCs w:val="28"/>
          <w:lang w:val="en-US" w:eastAsia="zh-CN" w:bidi="ar-SA"/>
        </w:rPr>
        <w:t>淅川县旅游发展服务中心南阳市淅川县旅游资源普查项目</w:t>
      </w:r>
    </w:p>
    <w:p>
      <w:pPr>
        <w:pStyle w:val="52"/>
        <w:keepNext/>
        <w:keepLines/>
        <w:spacing w:line="480" w:lineRule="exact"/>
        <w:ind w:firstLine="0"/>
        <w:jc w:val="center"/>
        <w:rPr>
          <w:rFonts w:hint="default" w:ascii="宋体" w:hAnsi="宋体" w:eastAsia="宋体" w:cs="宋体"/>
          <w:color w:val="auto"/>
          <w:spacing w:val="-7"/>
          <w:kern w:val="2"/>
          <w:sz w:val="24"/>
          <w:szCs w:val="24"/>
          <w:lang w:val="en-US" w:eastAsia="zh-CN" w:bidi="ar-SA"/>
        </w:rPr>
      </w:pPr>
      <w:r>
        <w:rPr>
          <w:rFonts w:hint="eastAsia" w:eastAsia="宋体" w:cs="宋体"/>
          <w:color w:val="auto"/>
          <w:spacing w:val="-7"/>
          <w:kern w:val="2"/>
          <w:sz w:val="28"/>
          <w:szCs w:val="28"/>
          <w:lang w:val="en-US" w:eastAsia="zh-CN" w:bidi="ar-SA"/>
        </w:rPr>
        <w:t>投标人</w:t>
      </w:r>
      <w:r>
        <w:rPr>
          <w:rFonts w:hint="eastAsia" w:ascii="宋体" w:hAnsi="宋体" w:eastAsia="宋体" w:cs="宋体"/>
          <w:color w:val="auto"/>
          <w:spacing w:val="-7"/>
          <w:kern w:val="2"/>
          <w:sz w:val="28"/>
          <w:szCs w:val="28"/>
          <w:lang w:val="en-US" w:eastAsia="zh-CN" w:bidi="ar-SA"/>
        </w:rPr>
        <w:t>信用承诺书</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为营造公开、公平、公正、诚实守信的公共资源交易环境，树立诚信守法的投标人形象，本人代表本单位作出以下承诺：</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(二)严格依照国家和河南省关于招标投标的法律、法规、规章、规范性文件，参加公共资源招标投标活动，不挂靠、借用、出租、出借、转让资质，积极履行社会责任，促进廉政建设。</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(三)自我约束、自我管理，守合同、重信用，不参与围标串标、弄虚作假、骗取中标、干扰评标、胁迫他人投标（放弃中标)、恶意投诉、违约毁约等行为，自觉维护公共资源招标投标的良好秩序。</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(四)本单位及项目经办人员信用状况良好，未被列为失信惩戒对象或“老赖”，符合参与公共资源交易活动的相关要求。</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(六)若中标，本单位将在规定的时间内与</w:t>
      </w:r>
      <w:r>
        <w:rPr>
          <w:rFonts w:hint="eastAsia" w:ascii="宋体" w:hAnsi="宋体" w:eastAsia="宋体" w:cs="宋体"/>
          <w:sz w:val="24"/>
          <w:szCs w:val="24"/>
          <w:lang w:eastAsia="zh-CN"/>
        </w:rPr>
        <w:t>采购人</w:t>
      </w:r>
      <w:r>
        <w:rPr>
          <w:rFonts w:hint="eastAsia" w:ascii="宋体" w:hAnsi="宋体" w:eastAsia="宋体" w:cs="宋体"/>
          <w:sz w:val="24"/>
          <w:szCs w:val="24"/>
        </w:rPr>
        <w:t>签订合同并自觉履行合同义务，不转包或违法分包中标项目。</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(七)自觉接受政府、行业组织、社会公众、新闻舆论的监督。</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53"/>
        <w:spacing w:after="0" w:line="400" w:lineRule="exact"/>
        <w:ind w:firstLineChars="200"/>
        <w:jc w:val="both"/>
        <w:rPr>
          <w:rFonts w:hint="eastAsia" w:ascii="宋体" w:hAnsi="宋体" w:eastAsia="宋体" w:cs="宋体"/>
          <w:sz w:val="24"/>
          <w:szCs w:val="24"/>
        </w:rPr>
      </w:pPr>
      <w:r>
        <w:rPr>
          <w:rFonts w:hint="eastAsia" w:ascii="宋体" w:hAnsi="宋体" w:eastAsia="宋体" w:cs="宋体"/>
          <w:sz w:val="24"/>
          <w:szCs w:val="24"/>
        </w:rPr>
        <w:t>(九)本人已认真阅读了上述承诺，并向本单位员工作了宣传教育。</w:t>
      </w:r>
    </w:p>
    <w:p>
      <w:pPr>
        <w:pStyle w:val="53"/>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w:t>
      </w:r>
    </w:p>
    <w:p>
      <w:pPr>
        <w:pStyle w:val="53"/>
        <w:spacing w:line="360" w:lineRule="auto"/>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企业名称（盖章）：</w:t>
      </w:r>
    </w:p>
    <w:p>
      <w:pPr>
        <w:pStyle w:val="16"/>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项目负责人（签字）：</w:t>
      </w:r>
      <w:r>
        <w:rPr>
          <w:rFonts w:hint="eastAsia" w:ascii="宋体" w:hAnsi="宋体" w:eastAsia="宋体" w:cs="宋体"/>
          <w:color w:val="auto"/>
          <w:sz w:val="18"/>
          <w:szCs w:val="18"/>
        </w:rPr>
        <w:t xml:space="preserve"> </w:t>
      </w:r>
    </w:p>
    <w:p>
      <w:pPr>
        <w:pStyle w:val="53"/>
        <w:spacing w:line="360" w:lineRule="auto"/>
        <w:ind w:firstLine="3662" w:firstLineChars="1526"/>
        <w:jc w:val="left"/>
        <w:rPr>
          <w:rFonts w:hint="eastAsia" w:ascii="宋体" w:hAnsi="宋体" w:eastAsia="宋体" w:cs="宋体"/>
          <w:lang w:val="en-US" w:eastAsia="zh-CN"/>
        </w:rPr>
      </w:pP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eastAsia="zh-CN"/>
        </w:rPr>
        <w:t xml:space="preserve">   </w:t>
      </w:r>
      <w:r>
        <w:rPr>
          <w:rFonts w:hint="eastAsia" w:ascii="宋体" w:hAnsi="宋体" w:eastAsia="宋体" w:cs="宋体"/>
          <w:color w:val="auto"/>
          <w:sz w:val="24"/>
          <w:szCs w:val="24"/>
        </w:rPr>
        <w:t>日</w:t>
      </w:r>
    </w:p>
    <w:p>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pPr>
        <w:kinsoku/>
        <w:wordWrap w:val="0"/>
        <w:spacing w:line="360" w:lineRule="auto"/>
        <w:ind w:firstLine="607" w:firstLineChars="252"/>
        <w:jc w:val="both"/>
        <w:rPr>
          <w:rFonts w:asciiTheme="minorEastAsia" w:hAnsiTheme="minorEastAsia" w:eastAsiaTheme="minorEastAsia" w:cstheme="minorEastAsia"/>
          <w:b/>
          <w:bCs/>
          <w:sz w:val="24"/>
          <w:szCs w:val="24"/>
          <w:lang w:eastAsia="zh-CN"/>
        </w:rPr>
      </w:pPr>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11.投标人出具信用记录查询结果网页截图</w:t>
      </w:r>
      <w:bookmarkStart w:id="0" w:name="_GoBack"/>
      <w:bookmarkEnd w:id="0"/>
    </w:p>
    <w:p>
      <w:pPr>
        <w:kinsoku/>
        <w:wordWrap w:val="0"/>
        <w:spacing w:line="360" w:lineRule="auto"/>
        <w:jc w:val="both"/>
        <w:rPr>
          <w:rFonts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12.其他资格证明</w:t>
      </w:r>
    </w:p>
    <w:p>
      <w:pPr>
        <w:kinsoku/>
        <w:wordWrap w:val="0"/>
        <w:spacing w:line="360" w:lineRule="auto"/>
        <w:jc w:val="both"/>
        <w:rPr>
          <w:rFonts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pPr>
        <w:pStyle w:val="3"/>
        <w:kinsoku/>
        <w:wordWrap w:val="0"/>
        <w:spacing w:line="360" w:lineRule="auto"/>
        <w:jc w:val="center"/>
        <w:rPr>
          <w:rFonts w:asciiTheme="minorEastAsia" w:hAnsiTheme="minorEastAsia" w:eastAsiaTheme="minorEastAsia" w:cstheme="minorEastAsia"/>
          <w:b/>
          <w:bCs/>
          <w:sz w:val="32"/>
          <w:szCs w:val="32"/>
          <w:lang w:val="zh-CN" w:eastAsia="zh-CN"/>
        </w:rPr>
      </w:pPr>
      <w:r>
        <w:rPr>
          <w:rFonts w:hint="eastAsia" w:asciiTheme="minorEastAsia" w:hAnsiTheme="minorEastAsia" w:eastAsiaTheme="minorEastAsia" w:cstheme="minorEastAsia"/>
          <w:b/>
          <w:bCs/>
          <w:sz w:val="32"/>
          <w:szCs w:val="32"/>
          <w:lang w:val="zh-CN" w:eastAsia="zh-CN"/>
        </w:rPr>
        <w:t>南阳市政府采购供应商信用承诺函</w:t>
      </w:r>
    </w:p>
    <w:p>
      <w:pPr>
        <w:widowControl w:val="0"/>
        <w:kinsoku/>
        <w:wordWrap w:val="0"/>
        <w:spacing w:line="360" w:lineRule="auto"/>
        <w:jc w:val="both"/>
        <w:rPr>
          <w:rFonts w:asciiTheme="minorEastAsia" w:hAnsiTheme="minorEastAsia" w:eastAsiaTheme="minorEastAsia" w:cstheme="minorEastAsia"/>
          <w:b/>
          <w:bCs/>
          <w:sz w:val="24"/>
          <w:szCs w:val="24"/>
          <w:lang w:val="zh-CN" w:eastAsia="zh-CN"/>
        </w:rPr>
      </w:pP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zh-CN" w:eastAsia="zh-CN"/>
        </w:rPr>
        <w:t>致（采购人或</w:t>
      </w:r>
      <w:r>
        <w:rPr>
          <w:rFonts w:hint="eastAsia" w:asciiTheme="minorEastAsia" w:hAnsiTheme="minorEastAsia" w:eastAsiaTheme="minorEastAsia" w:cstheme="minorEastAsia"/>
          <w:sz w:val="24"/>
          <w:szCs w:val="24"/>
          <w:lang w:eastAsia="zh-CN"/>
        </w:rPr>
        <w:t>采购代理机构</w:t>
      </w:r>
      <w:r>
        <w:rPr>
          <w:rFonts w:hint="eastAsia" w:asciiTheme="minorEastAsia" w:hAnsiTheme="minorEastAsia" w:eastAsiaTheme="minorEastAsia" w:cstheme="minorEastAsia"/>
          <w:sz w:val="24"/>
          <w:szCs w:val="24"/>
          <w:lang w:val="zh-CN" w:eastAsia="zh-CN"/>
        </w:rPr>
        <w:t>）：</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单位名称：</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统一社会信用代码：</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联系地址和电话：</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（一）具有独立承担民事责任的能力；</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（二）具有良好的商业信誉和健全的财务会计制度；</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（三）具有履行合同所必需的设备和专业技术能力；</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（四）有依法缴纳税收和社会保障资金的良好记录；</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（五）参加政府采购活动前三年内，在经营活动中没有重大违法记录；</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（六）法律、行政法规规定的其他条件。</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asciiTheme="minorEastAsia" w:hAnsiTheme="minorEastAsia" w:eastAsiaTheme="minorEastAsia" w:cstheme="minorEastAsia"/>
          <w:sz w:val="24"/>
          <w:szCs w:val="24"/>
          <w:lang w:eastAsia="zh-CN"/>
        </w:rPr>
      </w:pPr>
    </w:p>
    <w:p>
      <w:pPr>
        <w:widowControl w:val="0"/>
        <w:kinsoku/>
        <w:wordWrap w:val="0"/>
        <w:spacing w:line="360" w:lineRule="auto"/>
        <w:jc w:val="both"/>
        <w:rPr>
          <w:rFonts w:asciiTheme="minorEastAsia" w:hAnsiTheme="minorEastAsia" w:eastAsiaTheme="minorEastAsia" w:cstheme="minorEastAsia"/>
          <w:sz w:val="24"/>
          <w:szCs w:val="24"/>
          <w:lang w:eastAsia="zh-CN"/>
        </w:rPr>
      </w:pPr>
    </w:p>
    <w:p>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投标人（企业电子章）：</w:t>
      </w:r>
    </w:p>
    <w:p>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法定代表人或授权代表（签字或电子印章）：</w:t>
      </w:r>
    </w:p>
    <w:p>
      <w:pPr>
        <w:widowControl w:val="0"/>
        <w:kinsoku/>
        <w:wordWrap w:val="0"/>
        <w:spacing w:line="360" w:lineRule="auto"/>
        <w:ind w:firstLine="2160" w:firstLineChars="9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pacing w:val="-8"/>
          <w:sz w:val="24"/>
          <w:szCs w:val="24"/>
          <w:lang w:eastAsia="zh-CN"/>
        </w:rPr>
        <w:t>年月日</w:t>
      </w:r>
    </w:p>
    <w:p>
      <w:pPr>
        <w:widowControl w:val="0"/>
        <w:kinsoku/>
        <w:wordWrap w:val="0"/>
        <w:spacing w:line="360" w:lineRule="auto"/>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注：</w:t>
      </w:r>
    </w:p>
    <w:p>
      <w:pPr>
        <w:widowControl w:val="0"/>
        <w:kinsoku/>
        <w:wordWrap w:val="0"/>
        <w:spacing w:line="360" w:lineRule="auto"/>
        <w:ind w:firstLine="480" w:firstLineChars="200"/>
        <w:jc w:val="both"/>
        <w:rPr>
          <w:rFonts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1、投标人须在投标文件中按此模板提供承诺函，未提供视为未实质性响应招标文件要求，按无效投标处理。</w:t>
      </w:r>
    </w:p>
    <w:p>
      <w:pPr>
        <w:kinsoku/>
        <w:wordWrap w:val="0"/>
        <w:spacing w:line="360" w:lineRule="auto"/>
        <w:ind w:firstLine="480" w:firstLineChars="200"/>
        <w:jc w:val="both"/>
        <w:rPr>
          <w:rFonts w:asciiTheme="minorEastAsia" w:hAnsiTheme="minorEastAsia" w:eastAsiaTheme="minorEastAsia" w:cstheme="minorEastAsia"/>
          <w:spacing w:val="24"/>
          <w:sz w:val="24"/>
          <w:szCs w:val="24"/>
        </w:rPr>
      </w:pPr>
      <w:r>
        <w:rPr>
          <w:rFonts w:hint="eastAsia" w:asciiTheme="minorEastAsia" w:hAnsiTheme="minorEastAsia" w:eastAsiaTheme="minorEastAsia" w:cstheme="minorEastAsia"/>
          <w:sz w:val="24"/>
          <w:szCs w:val="24"/>
          <w:lang w:val="zh-CN" w:eastAsia="zh-CN"/>
        </w:rPr>
        <w:t>2、投标人的法定代表人或者授权代表的签字或盖章应真实、有效，如由授权代表签字或盖章的，应提供“法定代表人授权书”。</w:t>
      </w:r>
    </w:p>
    <w:p>
      <w:pPr>
        <w:pStyle w:val="3"/>
        <w:kinsoku/>
        <w:wordWrap w:val="0"/>
        <w:spacing w:before="78" w:line="360" w:lineRule="auto"/>
        <w:jc w:val="both"/>
        <w:outlineLvl w:val="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rPr>
        <w:t>二、商务技术文件格式</w:t>
      </w:r>
    </w:p>
    <w:p>
      <w:pPr>
        <w:kinsoku/>
        <w:wordWrap w:val="0"/>
        <w:spacing w:line="360" w:lineRule="auto"/>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lang w:eastAsia="zh-CN"/>
        </w:rPr>
        <w:t>1.投标书格式</w:t>
      </w:r>
    </w:p>
    <w:p>
      <w:pPr>
        <w:kinsoku/>
        <w:wordWrap w:val="0"/>
        <w:spacing w:line="360" w:lineRule="auto"/>
        <w:ind w:firstLine="607" w:firstLineChars="252"/>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投标书</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致：采购人或采购代理机构</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根据贵方招标编号为（）的公开招标公告，签字代表（全名、职务）经正式授权并代表投标人（投标人名称、地址）提交电子投标文件一份，并对之负法律责任。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投标文件组成资格证明文件第1至</w:t>
      </w:r>
      <w:r>
        <w:rPr>
          <w:rFonts w:hint="eastAsia" w:asciiTheme="minorEastAsia" w:hAnsiTheme="minorEastAsia" w:eastAsiaTheme="minorEastAsia" w:cstheme="minorEastAsia"/>
          <w:color w:val="auto"/>
          <w:sz w:val="24"/>
          <w:szCs w:val="24"/>
          <w:lang w:eastAsia="zh-CN"/>
        </w:rPr>
        <w:t>项</w:t>
      </w:r>
      <w:r>
        <w:rPr>
          <w:rFonts w:hint="eastAsia" w:asciiTheme="minorEastAsia" w:hAnsiTheme="minorEastAsia" w:eastAsiaTheme="minorEastAsia" w:cstheme="minorEastAsia"/>
          <w:sz w:val="24"/>
          <w:szCs w:val="24"/>
          <w:lang w:eastAsia="zh-CN"/>
        </w:rPr>
        <w:t>，商务技术文件第1</w:t>
      </w:r>
      <w:r>
        <w:rPr>
          <w:rFonts w:hint="eastAsia" w:asciiTheme="minorEastAsia" w:hAnsiTheme="minorEastAsia" w:eastAsiaTheme="minorEastAsia" w:cstheme="minorEastAsia"/>
          <w:color w:val="auto"/>
          <w:sz w:val="24"/>
          <w:szCs w:val="24"/>
          <w:lang w:eastAsia="zh-CN"/>
        </w:rPr>
        <w:t>至项</w:t>
      </w:r>
      <w:r>
        <w:rPr>
          <w:rFonts w:hint="eastAsia" w:asciiTheme="minorEastAsia" w:hAnsiTheme="minorEastAsia" w:eastAsiaTheme="minorEastAsia" w:cstheme="minorEastAsia"/>
          <w:sz w:val="24"/>
          <w:szCs w:val="24"/>
          <w:lang w:eastAsia="zh-CN"/>
        </w:rPr>
        <w:t>。</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据此函，签字代表宣布同意如下：</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1、所附服务报价为以开标一览表为准。</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2、如果我们的投标书被接受，我们将履行招标文件中规定的每一项要求，按期、按质、按量履行合同。</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3、我方愿按《中华人民共和国政府采购法》和《中华人民共和国民法典》履行我方的全部责任。</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4、我方已详细审查全部招标文件，包括修改文件以及全部参考资料和有关附件。我们完全理解并同意放弃对这方面有不明白及误解的权力。</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5、本投标自开标之日起有效期为60天。</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电话（传真）：</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p>
      <w:pPr>
        <w:kinsoku/>
        <w:wordWrap w:val="0"/>
        <w:spacing w:line="360" w:lineRule="auto"/>
        <w:ind w:firstLine="604" w:firstLineChars="252"/>
        <w:jc w:val="both"/>
        <w:rPr>
          <w:rFonts w:asciiTheme="minorEastAsia" w:hAnsiTheme="minorEastAsia" w:eastAsiaTheme="minorEastAsia" w:cstheme="minorEastAsia"/>
          <w:sz w:val="24"/>
          <w:szCs w:val="24"/>
          <w:lang w:eastAsia="zh-CN"/>
        </w:rPr>
        <w:sectPr>
          <w:headerReference r:id="rId10" w:type="default"/>
          <w:footerReference r:id="rId11"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jc w:val="both"/>
        <w:rPr>
          <w:rFonts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.服务方案、服务人员情况等</w:t>
      </w:r>
    </w:p>
    <w:p>
      <w:pPr>
        <w:kinsoku/>
        <w:wordWrap w:val="0"/>
        <w:spacing w:line="360" w:lineRule="auto"/>
        <w:jc w:val="both"/>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.投标人业绩</w:t>
      </w:r>
    </w:p>
    <w:p>
      <w:pPr>
        <w:pStyle w:val="3"/>
        <w:kinsoku/>
        <w:wordWrap w:val="0"/>
        <w:spacing w:line="360" w:lineRule="auto"/>
        <w:jc w:val="both"/>
        <w:rPr>
          <w:rFonts w:eastAsia="Arial" w:cs="Arial"/>
          <w:b/>
          <w:sz w:val="24"/>
          <w:szCs w:val="24"/>
          <w:lang w:eastAsia="zh-CN"/>
        </w:rPr>
      </w:pPr>
      <w:r>
        <w:rPr>
          <w:rFonts w:hint="eastAsia" w:eastAsia="Arial" w:cs="Arial"/>
          <w:b/>
          <w:sz w:val="24"/>
          <w:szCs w:val="24"/>
          <w:lang w:val="en-US" w:eastAsia="zh-CN"/>
        </w:rPr>
        <w:t>4</w:t>
      </w:r>
      <w:r>
        <w:rPr>
          <w:rFonts w:hint="eastAsia" w:eastAsia="Arial" w:cs="Arial"/>
          <w:b/>
          <w:sz w:val="24"/>
          <w:szCs w:val="24"/>
          <w:lang w:eastAsia="zh-CN"/>
        </w:rPr>
        <w:t>.中小企业、监狱企业或残疾人福利性单位声明函（对于专门面向中小企业采购的项目必须提供，不专门面向的项目可选择提供）</w:t>
      </w:r>
    </w:p>
    <w:p>
      <w:pPr>
        <w:pStyle w:val="3"/>
        <w:kinsoku/>
        <w:wordWrap w:val="0"/>
        <w:spacing w:before="333" w:line="219"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pStyle w:val="3"/>
        <w:kinsoku/>
        <w:wordWrap w:val="0"/>
        <w:spacing w:line="360" w:lineRule="auto"/>
        <w:jc w:val="center"/>
        <w:rPr>
          <w:rFonts w:asciiTheme="minorEastAsia" w:hAnsiTheme="minorEastAsia" w:eastAsiaTheme="minorEastAsia" w:cstheme="minorEastAsia"/>
          <w:spacing w:val="-3"/>
          <w:sz w:val="36"/>
          <w:szCs w:val="36"/>
        </w:rPr>
      </w:pPr>
    </w:p>
    <w:p>
      <w:pPr>
        <w:kinsoku/>
        <w:wordWrap w:val="0"/>
        <w:spacing w:line="360" w:lineRule="auto"/>
        <w:jc w:val="both"/>
        <w:rPr>
          <w:rFonts w:asciiTheme="minorEastAsia" w:hAnsiTheme="minorEastAsia" w:eastAsiaTheme="minorEastAsia" w:cstheme="minorEastAsia"/>
        </w:rPr>
      </w:pPr>
    </w:p>
    <w:p>
      <w:pPr>
        <w:rPr>
          <w:rFonts w:hint="eastAsia" w:asciiTheme="minorEastAsia" w:hAnsiTheme="minorEastAsia" w:eastAsiaTheme="minorEastAsia" w:cstheme="minorEastAsia"/>
          <w:spacing w:val="-2"/>
          <w:sz w:val="36"/>
          <w:szCs w:val="36"/>
        </w:rPr>
      </w:pPr>
      <w:r>
        <w:rPr>
          <w:rFonts w:hint="eastAsia" w:asciiTheme="minorEastAsia" w:hAnsiTheme="minorEastAsia" w:eastAsiaTheme="minorEastAsia" w:cstheme="minorEastAsia"/>
          <w:spacing w:val="-2"/>
          <w:sz w:val="36"/>
          <w:szCs w:val="36"/>
        </w:rPr>
        <w:br w:type="page"/>
      </w:r>
    </w:p>
    <w:p>
      <w:pPr>
        <w:pStyle w:val="3"/>
        <w:kinsoku/>
        <w:wordWrap w:val="0"/>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rPr>
        <w:t>中小企业声明函（工程、服务）格式</w:t>
      </w:r>
    </w:p>
    <w:p>
      <w:pPr>
        <w:kinsoku/>
        <w:wordWrap w:val="0"/>
        <w:spacing w:line="360" w:lineRule="auto"/>
        <w:jc w:val="both"/>
        <w:rPr>
          <w:rFonts w:asciiTheme="minorEastAsia" w:hAnsiTheme="minorEastAsia" w:eastAsiaTheme="minorEastAsia" w:cstheme="minorEastAsia"/>
        </w:rPr>
      </w:pPr>
    </w:p>
    <w:p>
      <w:pPr>
        <w:pStyle w:val="3"/>
        <w:kinsoku/>
        <w:wordWrap w:val="0"/>
        <w:spacing w:line="360" w:lineRule="auto"/>
        <w:ind w:firstLine="50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 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议的中小企业）的具体情况如下：</w:t>
      </w:r>
    </w:p>
    <w:p>
      <w:pPr>
        <w:pStyle w:val="3"/>
        <w:kinsoku/>
        <w:wordWrap w:val="0"/>
        <w:spacing w:line="360" w:lineRule="auto"/>
        <w:ind w:firstLine="518"/>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8"/>
          <w:sz w:val="24"/>
          <w:szCs w:val="24"/>
          <w:u w:val="single"/>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（中型企业、小型企业、微型企业</w:t>
      </w:r>
      <w:r>
        <w:rPr>
          <w:rFonts w:hint="eastAsia" w:asciiTheme="minorEastAsia" w:hAnsiTheme="minorEastAsia" w:eastAsiaTheme="minorEastAsia" w:cstheme="minorEastAsia"/>
          <w:spacing w:val="-50"/>
          <w:sz w:val="24"/>
          <w:szCs w:val="24"/>
          <w:u w:val="single"/>
        </w:rPr>
        <w:t>）</w:t>
      </w:r>
      <w:r>
        <w:rPr>
          <w:rFonts w:hint="eastAsia" w:asciiTheme="minorEastAsia" w:hAnsiTheme="minorEastAsia" w:eastAsiaTheme="minorEastAsia" w:cstheme="minorEastAsia"/>
          <w:spacing w:val="-50"/>
          <w:sz w:val="24"/>
          <w:szCs w:val="24"/>
        </w:rPr>
        <w:t>；</w:t>
      </w:r>
    </w:p>
    <w:p>
      <w:pPr>
        <w:pStyle w:val="3"/>
        <w:kinsoku/>
        <w:wordWrap w:val="0"/>
        <w:spacing w:line="360" w:lineRule="auto"/>
        <w:ind w:firstLine="509"/>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rPr>
        <w:t>（标的名称</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rPr>
        <w:t>（企业名称</w:t>
      </w:r>
      <w:r>
        <w:rPr>
          <w:rFonts w:hint="eastAsia" w:asciiTheme="minorEastAsia" w:hAnsiTheme="minorEastAsia" w:eastAsiaTheme="minorEastAsia" w:cstheme="minorEastAsia"/>
          <w:spacing w:val="-25"/>
          <w:sz w:val="24"/>
          <w:szCs w:val="24"/>
          <w:u w:val="single"/>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从业人员人，营业收入为万元，资产总额为</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rPr>
        <w:t>（中型企业、小型企业、微型企业</w:t>
      </w:r>
      <w:r>
        <w:rPr>
          <w:rFonts w:hint="eastAsia" w:asciiTheme="minorEastAsia" w:hAnsiTheme="minorEastAsia" w:eastAsiaTheme="minorEastAsia" w:cstheme="minorEastAsia"/>
          <w:spacing w:val="-46"/>
          <w:sz w:val="24"/>
          <w:szCs w:val="24"/>
          <w:u w:val="single"/>
        </w:rPr>
        <w:t>）</w:t>
      </w:r>
      <w:r>
        <w:rPr>
          <w:rFonts w:hint="eastAsia" w:asciiTheme="minorEastAsia" w:hAnsiTheme="minorEastAsia" w:eastAsiaTheme="minorEastAsia" w:cstheme="minorEastAsia"/>
          <w:spacing w:val="-46"/>
          <w:sz w:val="24"/>
          <w:szCs w:val="24"/>
        </w:rPr>
        <w:t>；</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3"/>
        <w:kinsoku/>
        <w:wordWrap w:val="0"/>
        <w:spacing w:line="360" w:lineRule="auto"/>
        <w:ind w:firstLine="524" w:firstLineChars="200"/>
        <w:jc w:val="both"/>
        <w:rPr>
          <w:rFonts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eastAsia="zh-CN"/>
        </w:rPr>
        <w:t>不存在与大企业的负责让你为同一人的情形。</w:t>
      </w:r>
    </w:p>
    <w:p>
      <w:pPr>
        <w:pStyle w:val="3"/>
        <w:kinsoku/>
        <w:wordWrap w:val="0"/>
        <w:spacing w:line="360" w:lineRule="auto"/>
        <w:ind w:firstLine="52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rPr>
      </w:pPr>
    </w:p>
    <w:p>
      <w:pPr>
        <w:pStyle w:val="3"/>
        <w:kinsoku/>
        <w:wordWrap w:val="0"/>
        <w:spacing w:line="360" w:lineRule="auto"/>
        <w:ind w:firstLine="5050" w:firstLineChars="25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pPr>
        <w:kinsoku/>
        <w:wordWrap w:val="0"/>
        <w:spacing w:line="360" w:lineRule="auto"/>
        <w:ind w:firstLine="5040" w:firstLineChars="21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pStyle w:val="3"/>
        <w:kinsoku/>
        <w:wordWrap w:val="0"/>
        <w:spacing w:line="360" w:lineRule="auto"/>
        <w:jc w:val="both"/>
        <w:rPr>
          <w:rFonts w:asciiTheme="minorEastAsia" w:hAnsiTheme="minorEastAsia" w:eastAsiaTheme="minorEastAsia" w:cstheme="minorEastAsia"/>
          <w:spacing w:val="9"/>
          <w:position w:val="5"/>
          <w:sz w:val="24"/>
          <w:szCs w:val="24"/>
          <w:lang w:eastAsia="zh-CN"/>
        </w:rPr>
      </w:pP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3"/>
        <w:kinsoku/>
        <w:wordWrap w:val="0"/>
        <w:spacing w:line="360" w:lineRule="auto"/>
        <w:jc w:val="center"/>
        <w:rPr>
          <w:rFonts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pStyle w:val="3"/>
        <w:kinsoku/>
        <w:wordWrap w:val="0"/>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残疾人福利性单位声明函格式</w:t>
      </w:r>
    </w:p>
    <w:p>
      <w:pPr>
        <w:kinsoku/>
        <w:wordWrap w:val="0"/>
        <w:spacing w:line="360" w:lineRule="auto"/>
        <w:jc w:val="both"/>
        <w:rPr>
          <w:rFonts w:asciiTheme="minorEastAsia" w:hAnsiTheme="minorEastAsia" w:eastAsiaTheme="minorEastAsia" w:cstheme="minorEastAsia"/>
        </w:rPr>
      </w:pP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业政府采购政策的通知》（财库〔2017〕141号）的规定，本单位（请进行选择</w:t>
      </w:r>
      <w:r>
        <w:rPr>
          <w:rFonts w:hint="eastAsia" w:asciiTheme="minorEastAsia" w:hAnsiTheme="minorEastAsia" w:eastAsiaTheme="minorEastAsia" w:cstheme="minorEastAsia"/>
          <w:spacing w:val="-46"/>
          <w:sz w:val="24"/>
          <w:szCs w:val="24"/>
        </w:rPr>
        <w:t>）：</w:t>
      </w:r>
    </w:p>
    <w:p>
      <w:pPr>
        <w:pStyle w:val="3"/>
        <w:kinsoku/>
        <w:wordWrap w:val="0"/>
        <w:spacing w:line="360" w:lineRule="auto"/>
        <w:ind w:firstLine="484" w:firstLineChars="2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rPr>
        <w:t>不属于符合条件的残疾人福利性单位。</w:t>
      </w:r>
    </w:p>
    <w:p>
      <w:pPr>
        <w:pStyle w:val="3"/>
        <w:kinsoku/>
        <w:wordWrap w:val="0"/>
        <w:spacing w:line="360" w:lineRule="auto"/>
        <w:ind w:firstLine="49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rPr>
        <w:t>属于符合条件的残疾人福利性单位，且本单位参加单位的项目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3"/>
        <w:kinsoku/>
        <w:wordWrap w:val="0"/>
        <w:spacing w:line="360" w:lineRule="auto"/>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本单位对上述声明的真实性负责。如有虚假，将依法</w:t>
      </w:r>
      <w:r>
        <w:rPr>
          <w:rFonts w:hint="eastAsia" w:asciiTheme="minorEastAsia" w:hAnsiTheme="minorEastAsia" w:eastAsiaTheme="minorEastAsia" w:cstheme="minorEastAsia"/>
          <w:spacing w:val="11"/>
          <w:sz w:val="24"/>
          <w:szCs w:val="24"/>
        </w:rPr>
        <w:t>承担相应责任。</w:t>
      </w:r>
    </w:p>
    <w:p>
      <w:pPr>
        <w:kinsoku/>
        <w:wordWrap w:val="0"/>
        <w:spacing w:line="360" w:lineRule="auto"/>
        <w:jc w:val="both"/>
        <w:rPr>
          <w:rFonts w:asciiTheme="minorEastAsia" w:hAnsiTheme="minorEastAsia" w:eastAsiaTheme="minorEastAsia" w:cstheme="minorEastAsia"/>
        </w:rPr>
      </w:pPr>
    </w:p>
    <w:p>
      <w:pPr>
        <w:kinsoku/>
        <w:wordWrap w:val="0"/>
        <w:spacing w:line="360" w:lineRule="auto"/>
        <w:jc w:val="both"/>
        <w:rPr>
          <w:rFonts w:asciiTheme="minorEastAsia" w:hAnsiTheme="minorEastAsia" w:eastAsiaTheme="minorEastAsia" w:cstheme="minorEastAsia"/>
        </w:rPr>
      </w:pPr>
    </w:p>
    <w:p>
      <w:pPr>
        <w:pStyle w:val="3"/>
        <w:kinsoku/>
        <w:wordWrap w:val="0"/>
        <w:spacing w:line="360" w:lineRule="auto"/>
        <w:ind w:firstLine="5120" w:firstLineChars="2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widowControl w:val="0"/>
        <w:kinsoku/>
        <w:wordWrap w:val="0"/>
        <w:spacing w:line="360" w:lineRule="auto"/>
        <w:ind w:firstLine="5152" w:firstLineChars="2300"/>
        <w:jc w:val="both"/>
        <w:rPr>
          <w:rFonts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日期：年月日</w:t>
      </w:r>
    </w:p>
    <w:p>
      <w:pPr>
        <w:kinsoku/>
        <w:wordWrap w:val="0"/>
        <w:spacing w:line="360" w:lineRule="auto"/>
        <w:jc w:val="both"/>
        <w:rPr>
          <w:rFonts w:asciiTheme="minorEastAsia" w:hAnsiTheme="minorEastAsia" w:eastAsiaTheme="minorEastAsia" w:cstheme="minorEastAsia"/>
          <w:sz w:val="24"/>
          <w:szCs w:val="24"/>
        </w:rPr>
      </w:pPr>
    </w:p>
    <w:p>
      <w:pPr>
        <w:kinsoku/>
        <w:wordWrap w:val="0"/>
        <w:spacing w:line="360" w:lineRule="auto"/>
        <w:jc w:val="both"/>
        <w:rPr>
          <w:rFonts w:asciiTheme="minorEastAsia" w:hAnsiTheme="minorEastAsia" w:eastAsiaTheme="minorEastAsia" w:cstheme="minorEastAsia"/>
          <w:sz w:val="24"/>
          <w:szCs w:val="24"/>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both"/>
        <w:rPr>
          <w:rFonts w:asciiTheme="minorEastAsia" w:hAnsiTheme="minorEastAsia" w:eastAsiaTheme="minorEastAsia" w:cstheme="minorEastAsia"/>
          <w:sz w:val="36"/>
          <w:szCs w:val="36"/>
          <w:lang w:eastAsia="zh-CN"/>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p>
    <w:p>
      <w:pPr>
        <w:tabs>
          <w:tab w:val="left" w:pos="4860"/>
        </w:tabs>
        <w:kinsoku/>
        <w:wordWrap w:val="0"/>
        <w:spacing w:line="360" w:lineRule="auto"/>
        <w:ind w:firstLine="508" w:firstLineChars="200"/>
        <w:jc w:val="both"/>
        <w:rPr>
          <w:rFonts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ind w:firstLine="4320" w:firstLineChars="1800"/>
        <w:jc w:val="both"/>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spacing w:val="-8"/>
          <w:sz w:val="24"/>
          <w:szCs w:val="24"/>
          <w:lang w:eastAsia="zh-CN"/>
        </w:rPr>
        <w:t>年月日</w:t>
      </w:r>
    </w:p>
    <w:p>
      <w:pPr>
        <w:kinsoku/>
        <w:wordWrap w:val="0"/>
        <w:spacing w:line="360" w:lineRule="auto"/>
        <w:jc w:val="both"/>
        <w:rPr>
          <w:rFonts w:asciiTheme="minorEastAsia" w:hAnsiTheme="minorEastAsia" w:eastAsiaTheme="minorEastAsia" w:cstheme="minorEastAsia"/>
          <w:b/>
          <w:bCs/>
          <w:spacing w:val="8"/>
          <w:position w:val="26"/>
          <w:sz w:val="24"/>
          <w:szCs w:val="24"/>
        </w:rPr>
      </w:pPr>
      <w:r>
        <w:rPr>
          <w:rFonts w:hint="eastAsia" w:asciiTheme="minorEastAsia" w:hAnsiTheme="minorEastAsia" w:eastAsiaTheme="minorEastAsia" w:cstheme="minorEastAsia"/>
          <w:b/>
          <w:bCs/>
          <w:spacing w:val="8"/>
          <w:position w:val="26"/>
          <w:sz w:val="24"/>
          <w:szCs w:val="24"/>
          <w:lang w:val="en-US" w:eastAsia="zh-CN"/>
        </w:rPr>
        <w:t>5</w:t>
      </w:r>
      <w:r>
        <w:rPr>
          <w:rFonts w:hint="eastAsia" w:asciiTheme="minorEastAsia" w:hAnsiTheme="minorEastAsia" w:eastAsiaTheme="minorEastAsia" w:cstheme="minorEastAsia"/>
          <w:b/>
          <w:bCs/>
          <w:spacing w:val="8"/>
          <w:position w:val="26"/>
          <w:sz w:val="24"/>
          <w:szCs w:val="24"/>
          <w:lang w:eastAsia="zh-CN"/>
        </w:rPr>
        <w:t>.招标文件要求的其它材料及投标人认为有必要提供的材料</w:t>
      </w:r>
    </w:p>
    <w:p>
      <w:pPr>
        <w:kinsoku/>
        <w:wordWrap w:val="0"/>
        <w:spacing w:line="360" w:lineRule="auto"/>
        <w:jc w:val="both"/>
        <w:rPr>
          <w:rFonts w:asciiTheme="minorEastAsia" w:hAnsiTheme="minorEastAsia" w:eastAsiaTheme="minorEastAsia" w:cstheme="minorEastAsia"/>
          <w:b/>
          <w:bCs/>
          <w:spacing w:val="8"/>
          <w:position w:val="26"/>
          <w:sz w:val="24"/>
          <w:szCs w:val="24"/>
        </w:rPr>
      </w:pP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Ionicons">
    <w:altName w:val="Segoe Print"/>
    <w:panose1 w:val="00000000000000000000"/>
    <w:charset w:val="00"/>
    <w:family w:val="auto"/>
    <w:pitch w:val="default"/>
    <w:sig w:usb0="00000000" w:usb1="00000000" w:usb2="00000000" w:usb3="00000000" w:csb0="00000000" w:csb1="00000000"/>
  </w:font>
  <w:font w:name="simple-line-icon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32</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ohXI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DohXI5AgAAcQQAAA4AAAAAAAAAAQAgAAAAHwEAAGRycy9lMm9Eb2Mu&#10;eG1sUEsFBgAAAAAGAAYAWQEAAMoFA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pPr>
                      <w:pStyle w:val="11"/>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52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B2D93"/>
    <w:multiLevelType w:val="singleLevel"/>
    <w:tmpl w:val="F40B2D93"/>
    <w:lvl w:ilvl="0" w:tentative="0">
      <w:start w:val="1"/>
      <w:numFmt w:val="decimal"/>
      <w:lvlText w:val="%1."/>
      <w:lvlJc w:val="left"/>
      <w:pPr>
        <w:tabs>
          <w:tab w:val="left" w:pos="312"/>
        </w:tabs>
      </w:pPr>
    </w:lvl>
  </w:abstractNum>
  <w:abstractNum w:abstractNumId="1">
    <w:nsid w:val="0293C986"/>
    <w:multiLevelType w:val="singleLevel"/>
    <w:tmpl w:val="0293C986"/>
    <w:lvl w:ilvl="0" w:tentative="0">
      <w:start w:val="1"/>
      <w:numFmt w:val="decimal"/>
      <w:lvlText w:val="%1."/>
      <w:lvlJc w:val="left"/>
      <w:pPr>
        <w:tabs>
          <w:tab w:val="left" w:pos="312"/>
        </w:tabs>
      </w:pPr>
    </w:lvl>
  </w:abstractNum>
  <w:abstractNum w:abstractNumId="2">
    <w:nsid w:val="054BD5BD"/>
    <w:multiLevelType w:val="singleLevel"/>
    <w:tmpl w:val="054BD5BD"/>
    <w:lvl w:ilvl="0" w:tentative="0">
      <w:start w:val="1"/>
      <w:numFmt w:val="decimal"/>
      <w:lvlText w:val="%1."/>
      <w:lvlJc w:val="left"/>
      <w:pPr>
        <w:tabs>
          <w:tab w:val="left" w:pos="312"/>
        </w:tabs>
      </w:pPr>
    </w:lvl>
  </w:abstractNum>
  <w:abstractNum w:abstractNumId="3">
    <w:nsid w:val="276BEA0A"/>
    <w:multiLevelType w:val="singleLevel"/>
    <w:tmpl w:val="276BEA0A"/>
    <w:lvl w:ilvl="0" w:tentative="0">
      <w:start w:val="4"/>
      <w:numFmt w:val="decimal"/>
      <w:suff w:val="nothing"/>
      <w:lvlText w:val="%1、"/>
      <w:lvlJc w:val="left"/>
    </w:lvl>
  </w:abstractNum>
  <w:abstractNum w:abstractNumId="4">
    <w:nsid w:val="382AA86D"/>
    <w:multiLevelType w:val="singleLevel"/>
    <w:tmpl w:val="382AA86D"/>
    <w:lvl w:ilvl="0" w:tentative="0">
      <w:start w:val="1"/>
      <w:numFmt w:val="decimal"/>
      <w:lvlText w:val="%1."/>
      <w:lvlJc w:val="left"/>
      <w:pPr>
        <w:tabs>
          <w:tab w:val="left" w:pos="312"/>
        </w:tabs>
      </w:pPr>
    </w:lvl>
  </w:abstractNum>
  <w:abstractNum w:abstractNumId="5">
    <w:nsid w:val="3E285C63"/>
    <w:multiLevelType w:val="singleLevel"/>
    <w:tmpl w:val="3E285C63"/>
    <w:lvl w:ilvl="0" w:tentative="0">
      <w:start w:val="1"/>
      <w:numFmt w:val="decimal"/>
      <w:suff w:val="nothing"/>
      <w:lvlText w:val="%1、"/>
      <w:lvlJc w:val="left"/>
    </w:lvl>
  </w:abstractNum>
  <w:abstractNum w:abstractNumId="6">
    <w:nsid w:val="5AE780BB"/>
    <w:multiLevelType w:val="singleLevel"/>
    <w:tmpl w:val="5AE780BB"/>
    <w:lvl w:ilvl="0" w:tentative="0">
      <w:start w:val="1"/>
      <w:numFmt w:val="decimal"/>
      <w:lvlText w:val="%1."/>
      <w:lvlJc w:val="left"/>
      <w:pPr>
        <w:tabs>
          <w:tab w:val="left" w:pos="312"/>
        </w:tabs>
      </w:pPr>
    </w:lvl>
  </w:abstractNum>
  <w:abstractNum w:abstractNumId="7">
    <w:nsid w:val="5D7BE5FA"/>
    <w:multiLevelType w:val="singleLevel"/>
    <w:tmpl w:val="5D7BE5FA"/>
    <w:lvl w:ilvl="0" w:tentative="0">
      <w:start w:val="1"/>
      <w:numFmt w:val="decimal"/>
      <w:suff w:val="nothing"/>
      <w:lvlText w:val="%1、"/>
      <w:lvlJc w:val="left"/>
    </w:lvl>
  </w:abstractNum>
  <w:abstractNum w:abstractNumId="8">
    <w:nsid w:val="73CE9EAC"/>
    <w:multiLevelType w:val="singleLevel"/>
    <w:tmpl w:val="73CE9EAC"/>
    <w:lvl w:ilvl="0" w:tentative="0">
      <w:start w:val="1"/>
      <w:numFmt w:val="decimal"/>
      <w:lvlText w:val="%1."/>
      <w:lvlJc w:val="left"/>
      <w:pPr>
        <w:tabs>
          <w:tab w:val="left" w:pos="312"/>
        </w:tabs>
      </w:pPr>
    </w:lvl>
  </w:abstractNum>
  <w:num w:numId="1">
    <w:abstractNumId w:val="7"/>
  </w:num>
  <w:num w:numId="2">
    <w:abstractNumId w:val="1"/>
  </w:num>
  <w:num w:numId="3">
    <w:abstractNumId w:val="3"/>
  </w:num>
  <w:num w:numId="4">
    <w:abstractNumId w:val="6"/>
  </w:num>
  <w:num w:numId="5">
    <w:abstractNumId w:val="8"/>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zkyYTc5ODA0MmIyOGZlMGFkZGM0YjE3OTNjNzcifQ=="/>
  </w:docVars>
  <w:rsids>
    <w:rsidRoot w:val="00DF56AD"/>
    <w:rsid w:val="0029519A"/>
    <w:rsid w:val="008B77A7"/>
    <w:rsid w:val="0096273C"/>
    <w:rsid w:val="00B00BD6"/>
    <w:rsid w:val="00D24FF0"/>
    <w:rsid w:val="00DF56AD"/>
    <w:rsid w:val="01161381"/>
    <w:rsid w:val="014E35A1"/>
    <w:rsid w:val="01611717"/>
    <w:rsid w:val="023E759B"/>
    <w:rsid w:val="027730B6"/>
    <w:rsid w:val="02FA03F5"/>
    <w:rsid w:val="03217B69"/>
    <w:rsid w:val="03C26B83"/>
    <w:rsid w:val="03CC315E"/>
    <w:rsid w:val="03DF5A69"/>
    <w:rsid w:val="044921B6"/>
    <w:rsid w:val="046E59EF"/>
    <w:rsid w:val="047F723D"/>
    <w:rsid w:val="050D556D"/>
    <w:rsid w:val="05234F67"/>
    <w:rsid w:val="05545C1C"/>
    <w:rsid w:val="055748A3"/>
    <w:rsid w:val="059A3EA8"/>
    <w:rsid w:val="05F76F31"/>
    <w:rsid w:val="06593C39"/>
    <w:rsid w:val="06787E06"/>
    <w:rsid w:val="06A5709B"/>
    <w:rsid w:val="06AF4861"/>
    <w:rsid w:val="06B0495B"/>
    <w:rsid w:val="06C93A28"/>
    <w:rsid w:val="06E37C8B"/>
    <w:rsid w:val="076721B4"/>
    <w:rsid w:val="077A10F2"/>
    <w:rsid w:val="08A33560"/>
    <w:rsid w:val="08CB596A"/>
    <w:rsid w:val="092D385C"/>
    <w:rsid w:val="094269FC"/>
    <w:rsid w:val="09684744"/>
    <w:rsid w:val="09A129E2"/>
    <w:rsid w:val="09A17C56"/>
    <w:rsid w:val="09C340D7"/>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CB5BAD"/>
    <w:rsid w:val="0CEC568C"/>
    <w:rsid w:val="0CF900A3"/>
    <w:rsid w:val="0D38442D"/>
    <w:rsid w:val="0DA859D3"/>
    <w:rsid w:val="0DD30B7C"/>
    <w:rsid w:val="0DF30354"/>
    <w:rsid w:val="0E307EEE"/>
    <w:rsid w:val="0E924011"/>
    <w:rsid w:val="0EE83F9D"/>
    <w:rsid w:val="0F0D035A"/>
    <w:rsid w:val="0FB87AA7"/>
    <w:rsid w:val="0FE34B24"/>
    <w:rsid w:val="102C0845"/>
    <w:rsid w:val="104F3F68"/>
    <w:rsid w:val="10B145AD"/>
    <w:rsid w:val="11107299"/>
    <w:rsid w:val="115A7068"/>
    <w:rsid w:val="115D0CBD"/>
    <w:rsid w:val="117D2D56"/>
    <w:rsid w:val="11867E5D"/>
    <w:rsid w:val="11B43A6A"/>
    <w:rsid w:val="11B5429E"/>
    <w:rsid w:val="11E85CAC"/>
    <w:rsid w:val="122675E2"/>
    <w:rsid w:val="12277E43"/>
    <w:rsid w:val="12417927"/>
    <w:rsid w:val="126E021D"/>
    <w:rsid w:val="12B72C8C"/>
    <w:rsid w:val="12C549DA"/>
    <w:rsid w:val="12D9220E"/>
    <w:rsid w:val="12FD5FFB"/>
    <w:rsid w:val="1380268A"/>
    <w:rsid w:val="13C5707D"/>
    <w:rsid w:val="13DF7F59"/>
    <w:rsid w:val="13E9022F"/>
    <w:rsid w:val="13F07810"/>
    <w:rsid w:val="1446371A"/>
    <w:rsid w:val="146A5814"/>
    <w:rsid w:val="14EC3DCF"/>
    <w:rsid w:val="15037E2D"/>
    <w:rsid w:val="150E4F8E"/>
    <w:rsid w:val="156B2323"/>
    <w:rsid w:val="158A77F0"/>
    <w:rsid w:val="15AC3C0A"/>
    <w:rsid w:val="15B05882"/>
    <w:rsid w:val="15E04F64"/>
    <w:rsid w:val="163B5B8B"/>
    <w:rsid w:val="164A7458"/>
    <w:rsid w:val="16D6322F"/>
    <w:rsid w:val="16F45CE8"/>
    <w:rsid w:val="16FC049F"/>
    <w:rsid w:val="174C193E"/>
    <w:rsid w:val="175005C5"/>
    <w:rsid w:val="179B0D80"/>
    <w:rsid w:val="17B27393"/>
    <w:rsid w:val="183D23CB"/>
    <w:rsid w:val="18510AEB"/>
    <w:rsid w:val="18610CDC"/>
    <w:rsid w:val="19161B44"/>
    <w:rsid w:val="19A90B8D"/>
    <w:rsid w:val="19D46BD3"/>
    <w:rsid w:val="19E260C0"/>
    <w:rsid w:val="1A464AA0"/>
    <w:rsid w:val="1A473F02"/>
    <w:rsid w:val="1A6B22E0"/>
    <w:rsid w:val="1A94296D"/>
    <w:rsid w:val="1AAC0209"/>
    <w:rsid w:val="1AC47924"/>
    <w:rsid w:val="1AF57E02"/>
    <w:rsid w:val="1B4F168F"/>
    <w:rsid w:val="1B6F0841"/>
    <w:rsid w:val="1C715266"/>
    <w:rsid w:val="1D391455"/>
    <w:rsid w:val="1D554B87"/>
    <w:rsid w:val="1D72498F"/>
    <w:rsid w:val="1D9D7C75"/>
    <w:rsid w:val="1E0754FF"/>
    <w:rsid w:val="1E2712E1"/>
    <w:rsid w:val="1E7249AF"/>
    <w:rsid w:val="1E890F8D"/>
    <w:rsid w:val="1F61475A"/>
    <w:rsid w:val="1F8737CC"/>
    <w:rsid w:val="1FBB33C8"/>
    <w:rsid w:val="1FE61854"/>
    <w:rsid w:val="1FF31541"/>
    <w:rsid w:val="20491AFF"/>
    <w:rsid w:val="20584328"/>
    <w:rsid w:val="20D65FDF"/>
    <w:rsid w:val="20E634F8"/>
    <w:rsid w:val="20F10837"/>
    <w:rsid w:val="210939CE"/>
    <w:rsid w:val="212D6A29"/>
    <w:rsid w:val="21521B0A"/>
    <w:rsid w:val="217E2260"/>
    <w:rsid w:val="21DC7625"/>
    <w:rsid w:val="21E33D7D"/>
    <w:rsid w:val="22937C80"/>
    <w:rsid w:val="22E737AC"/>
    <w:rsid w:val="23C6058D"/>
    <w:rsid w:val="23D34A58"/>
    <w:rsid w:val="24062738"/>
    <w:rsid w:val="24697FC3"/>
    <w:rsid w:val="24B92A42"/>
    <w:rsid w:val="24C8734D"/>
    <w:rsid w:val="24D757B6"/>
    <w:rsid w:val="24E94D19"/>
    <w:rsid w:val="24F627AC"/>
    <w:rsid w:val="25052271"/>
    <w:rsid w:val="255045B2"/>
    <w:rsid w:val="256253DA"/>
    <w:rsid w:val="25722260"/>
    <w:rsid w:val="257A4289"/>
    <w:rsid w:val="259F2E44"/>
    <w:rsid w:val="25A83616"/>
    <w:rsid w:val="25D07317"/>
    <w:rsid w:val="260373D2"/>
    <w:rsid w:val="262B2929"/>
    <w:rsid w:val="263A5FE5"/>
    <w:rsid w:val="265713EE"/>
    <w:rsid w:val="266177F8"/>
    <w:rsid w:val="26734FA1"/>
    <w:rsid w:val="26E260C0"/>
    <w:rsid w:val="26E33204"/>
    <w:rsid w:val="27EF7E63"/>
    <w:rsid w:val="27F6032D"/>
    <w:rsid w:val="28BA314A"/>
    <w:rsid w:val="2944096C"/>
    <w:rsid w:val="29462E99"/>
    <w:rsid w:val="295A479C"/>
    <w:rsid w:val="29C94933"/>
    <w:rsid w:val="29EF5E58"/>
    <w:rsid w:val="2A513206"/>
    <w:rsid w:val="2A5E573D"/>
    <w:rsid w:val="2A870159"/>
    <w:rsid w:val="2AB02639"/>
    <w:rsid w:val="2ABA04F6"/>
    <w:rsid w:val="2AD73080"/>
    <w:rsid w:val="2AD7512C"/>
    <w:rsid w:val="2B026176"/>
    <w:rsid w:val="2B296C36"/>
    <w:rsid w:val="2B32017A"/>
    <w:rsid w:val="2B4C1378"/>
    <w:rsid w:val="2BA967CA"/>
    <w:rsid w:val="2BD35370"/>
    <w:rsid w:val="2C1D5C33"/>
    <w:rsid w:val="2CB368C6"/>
    <w:rsid w:val="2CE542E8"/>
    <w:rsid w:val="2D4C797B"/>
    <w:rsid w:val="2D854259"/>
    <w:rsid w:val="2DA671B5"/>
    <w:rsid w:val="2DB33930"/>
    <w:rsid w:val="2DD5743D"/>
    <w:rsid w:val="2DF6291A"/>
    <w:rsid w:val="2E037ECE"/>
    <w:rsid w:val="2E123636"/>
    <w:rsid w:val="2E5267BF"/>
    <w:rsid w:val="2EDE4089"/>
    <w:rsid w:val="2F2C1714"/>
    <w:rsid w:val="2F795793"/>
    <w:rsid w:val="2F7E5B21"/>
    <w:rsid w:val="2FAF3423"/>
    <w:rsid w:val="305F18E8"/>
    <w:rsid w:val="311741D6"/>
    <w:rsid w:val="3119309A"/>
    <w:rsid w:val="31280191"/>
    <w:rsid w:val="312A5594"/>
    <w:rsid w:val="312C625F"/>
    <w:rsid w:val="316A07AA"/>
    <w:rsid w:val="31C81974"/>
    <w:rsid w:val="32230959"/>
    <w:rsid w:val="322748ED"/>
    <w:rsid w:val="3322495F"/>
    <w:rsid w:val="33686F6B"/>
    <w:rsid w:val="337450B5"/>
    <w:rsid w:val="344C700B"/>
    <w:rsid w:val="34C22FEC"/>
    <w:rsid w:val="34EB0670"/>
    <w:rsid w:val="34F605A6"/>
    <w:rsid w:val="34F86C33"/>
    <w:rsid w:val="356B276A"/>
    <w:rsid w:val="357D65D2"/>
    <w:rsid w:val="36266C69"/>
    <w:rsid w:val="36B765C5"/>
    <w:rsid w:val="371B2546"/>
    <w:rsid w:val="374E72FE"/>
    <w:rsid w:val="37512649"/>
    <w:rsid w:val="375815A3"/>
    <w:rsid w:val="37C036A0"/>
    <w:rsid w:val="37C30C14"/>
    <w:rsid w:val="37D664EB"/>
    <w:rsid w:val="37E776C2"/>
    <w:rsid w:val="383C09C6"/>
    <w:rsid w:val="386A72E1"/>
    <w:rsid w:val="38704382"/>
    <w:rsid w:val="388B2F38"/>
    <w:rsid w:val="38914EC4"/>
    <w:rsid w:val="39643D30"/>
    <w:rsid w:val="399D1B1E"/>
    <w:rsid w:val="3A046503"/>
    <w:rsid w:val="3B35724B"/>
    <w:rsid w:val="3B385475"/>
    <w:rsid w:val="3BB63ADA"/>
    <w:rsid w:val="3BDC4EDA"/>
    <w:rsid w:val="3C37498E"/>
    <w:rsid w:val="3C720E5A"/>
    <w:rsid w:val="3C860462"/>
    <w:rsid w:val="3C94450B"/>
    <w:rsid w:val="3CD83A9C"/>
    <w:rsid w:val="3D051AB3"/>
    <w:rsid w:val="3D13022E"/>
    <w:rsid w:val="3D517E2E"/>
    <w:rsid w:val="3D9C0E9C"/>
    <w:rsid w:val="3DDE7B24"/>
    <w:rsid w:val="3E353902"/>
    <w:rsid w:val="3E60285C"/>
    <w:rsid w:val="3E682515"/>
    <w:rsid w:val="3E7A6E5F"/>
    <w:rsid w:val="3E807399"/>
    <w:rsid w:val="3E923BF9"/>
    <w:rsid w:val="3EC60FE9"/>
    <w:rsid w:val="3ED454B4"/>
    <w:rsid w:val="3F0A4EA1"/>
    <w:rsid w:val="3F487C50"/>
    <w:rsid w:val="3F814E1B"/>
    <w:rsid w:val="3FB451F7"/>
    <w:rsid w:val="3FC65745"/>
    <w:rsid w:val="3FC733A8"/>
    <w:rsid w:val="3FCE3BC4"/>
    <w:rsid w:val="3FCE45FA"/>
    <w:rsid w:val="40274071"/>
    <w:rsid w:val="404030CE"/>
    <w:rsid w:val="405D1A2A"/>
    <w:rsid w:val="4061721C"/>
    <w:rsid w:val="407F405E"/>
    <w:rsid w:val="409370B0"/>
    <w:rsid w:val="40AD17FB"/>
    <w:rsid w:val="40D41902"/>
    <w:rsid w:val="41884B35"/>
    <w:rsid w:val="423849B8"/>
    <w:rsid w:val="43526C98"/>
    <w:rsid w:val="435F746A"/>
    <w:rsid w:val="436037BB"/>
    <w:rsid w:val="4372309F"/>
    <w:rsid w:val="44093E52"/>
    <w:rsid w:val="444E5D13"/>
    <w:rsid w:val="446F3136"/>
    <w:rsid w:val="44790C24"/>
    <w:rsid w:val="44E92DA4"/>
    <w:rsid w:val="451524CF"/>
    <w:rsid w:val="453A628D"/>
    <w:rsid w:val="45CF0C25"/>
    <w:rsid w:val="45DD7715"/>
    <w:rsid w:val="45EA7197"/>
    <w:rsid w:val="46DE0983"/>
    <w:rsid w:val="472965B9"/>
    <w:rsid w:val="47503B46"/>
    <w:rsid w:val="479D5F50"/>
    <w:rsid w:val="47C562E2"/>
    <w:rsid w:val="47C81344"/>
    <w:rsid w:val="480E5EDB"/>
    <w:rsid w:val="481D611E"/>
    <w:rsid w:val="483B0352"/>
    <w:rsid w:val="487D096B"/>
    <w:rsid w:val="488A3088"/>
    <w:rsid w:val="48DF1625"/>
    <w:rsid w:val="48F078C5"/>
    <w:rsid w:val="49117305"/>
    <w:rsid w:val="49267254"/>
    <w:rsid w:val="492D2391"/>
    <w:rsid w:val="49320965"/>
    <w:rsid w:val="496D4E83"/>
    <w:rsid w:val="49AC2E6D"/>
    <w:rsid w:val="49BC3715"/>
    <w:rsid w:val="4A3414FD"/>
    <w:rsid w:val="4A3F3154"/>
    <w:rsid w:val="4A4562D3"/>
    <w:rsid w:val="4A52328E"/>
    <w:rsid w:val="4A6A13C3"/>
    <w:rsid w:val="4B050440"/>
    <w:rsid w:val="4B227F62"/>
    <w:rsid w:val="4B6545C2"/>
    <w:rsid w:val="4BBC369E"/>
    <w:rsid w:val="4C12586E"/>
    <w:rsid w:val="4CEC4659"/>
    <w:rsid w:val="4D2B4E39"/>
    <w:rsid w:val="4D493511"/>
    <w:rsid w:val="4D970721"/>
    <w:rsid w:val="4DF21FC2"/>
    <w:rsid w:val="4DF6521C"/>
    <w:rsid w:val="4DF932EA"/>
    <w:rsid w:val="4DFC4A28"/>
    <w:rsid w:val="4E197388"/>
    <w:rsid w:val="4E201C1D"/>
    <w:rsid w:val="4E7A34EC"/>
    <w:rsid w:val="4E861641"/>
    <w:rsid w:val="4F0C2A48"/>
    <w:rsid w:val="4FAB04B3"/>
    <w:rsid w:val="4FB426AD"/>
    <w:rsid w:val="4FCB6460"/>
    <w:rsid w:val="4FEE2DC9"/>
    <w:rsid w:val="506765BF"/>
    <w:rsid w:val="510E1399"/>
    <w:rsid w:val="51346287"/>
    <w:rsid w:val="51850890"/>
    <w:rsid w:val="519F1DA4"/>
    <w:rsid w:val="51F15F26"/>
    <w:rsid w:val="524C637E"/>
    <w:rsid w:val="525210BA"/>
    <w:rsid w:val="52A90328"/>
    <w:rsid w:val="52DC3333"/>
    <w:rsid w:val="53036690"/>
    <w:rsid w:val="53376A7B"/>
    <w:rsid w:val="536A41E2"/>
    <w:rsid w:val="537441A1"/>
    <w:rsid w:val="53B1020C"/>
    <w:rsid w:val="54065481"/>
    <w:rsid w:val="55017052"/>
    <w:rsid w:val="552D43F9"/>
    <w:rsid w:val="557169CF"/>
    <w:rsid w:val="557D5D2A"/>
    <w:rsid w:val="55A41C2D"/>
    <w:rsid w:val="56105A78"/>
    <w:rsid w:val="56682D63"/>
    <w:rsid w:val="56905D0D"/>
    <w:rsid w:val="56C63E25"/>
    <w:rsid w:val="56FB4C08"/>
    <w:rsid w:val="574153BB"/>
    <w:rsid w:val="57A852D8"/>
    <w:rsid w:val="57F77651"/>
    <w:rsid w:val="589A668A"/>
    <w:rsid w:val="58AC00F0"/>
    <w:rsid w:val="58C46E3D"/>
    <w:rsid w:val="58CD28C3"/>
    <w:rsid w:val="58D971B2"/>
    <w:rsid w:val="59042C0B"/>
    <w:rsid w:val="59272568"/>
    <w:rsid w:val="59576FB6"/>
    <w:rsid w:val="59BC1D1A"/>
    <w:rsid w:val="59C142A0"/>
    <w:rsid w:val="59C641E6"/>
    <w:rsid w:val="59D65347"/>
    <w:rsid w:val="5A2E3043"/>
    <w:rsid w:val="5A9763C3"/>
    <w:rsid w:val="5A9920D7"/>
    <w:rsid w:val="5AEA63E6"/>
    <w:rsid w:val="5B2C7B17"/>
    <w:rsid w:val="5B9C04A1"/>
    <w:rsid w:val="5BCB0AF4"/>
    <w:rsid w:val="5C2D5181"/>
    <w:rsid w:val="5C9B1B86"/>
    <w:rsid w:val="5CA02E79"/>
    <w:rsid w:val="5CEA5B79"/>
    <w:rsid w:val="5D150553"/>
    <w:rsid w:val="5D1D71A2"/>
    <w:rsid w:val="5D3550FB"/>
    <w:rsid w:val="5D4D3731"/>
    <w:rsid w:val="5D902A97"/>
    <w:rsid w:val="5E3606EF"/>
    <w:rsid w:val="5EDA32DC"/>
    <w:rsid w:val="5F321771"/>
    <w:rsid w:val="5F3A0F0C"/>
    <w:rsid w:val="5F412CC2"/>
    <w:rsid w:val="5F9C3975"/>
    <w:rsid w:val="5FE2771E"/>
    <w:rsid w:val="600E6D7C"/>
    <w:rsid w:val="607F1E09"/>
    <w:rsid w:val="60854409"/>
    <w:rsid w:val="60A17B22"/>
    <w:rsid w:val="60BD2923"/>
    <w:rsid w:val="60EE6452"/>
    <w:rsid w:val="6157407D"/>
    <w:rsid w:val="618C2692"/>
    <w:rsid w:val="619C2744"/>
    <w:rsid w:val="622D31D4"/>
    <w:rsid w:val="62A74B0A"/>
    <w:rsid w:val="62E015B0"/>
    <w:rsid w:val="63510510"/>
    <w:rsid w:val="638906B4"/>
    <w:rsid w:val="639D4CC6"/>
    <w:rsid w:val="63A02D13"/>
    <w:rsid w:val="63A560B1"/>
    <w:rsid w:val="642053CC"/>
    <w:rsid w:val="6457430E"/>
    <w:rsid w:val="646A5DEF"/>
    <w:rsid w:val="646F5EF6"/>
    <w:rsid w:val="6486074F"/>
    <w:rsid w:val="65785E0F"/>
    <w:rsid w:val="658A75F4"/>
    <w:rsid w:val="658D65D9"/>
    <w:rsid w:val="659D21F5"/>
    <w:rsid w:val="65BD4645"/>
    <w:rsid w:val="65CF7A95"/>
    <w:rsid w:val="666A657B"/>
    <w:rsid w:val="66A23F66"/>
    <w:rsid w:val="66CF63DE"/>
    <w:rsid w:val="672526A7"/>
    <w:rsid w:val="675B4115"/>
    <w:rsid w:val="67BA7A20"/>
    <w:rsid w:val="680D3662"/>
    <w:rsid w:val="68222C97"/>
    <w:rsid w:val="68333F9A"/>
    <w:rsid w:val="683858D3"/>
    <w:rsid w:val="68437083"/>
    <w:rsid w:val="68645FE7"/>
    <w:rsid w:val="69413090"/>
    <w:rsid w:val="69855FCD"/>
    <w:rsid w:val="69BC17E8"/>
    <w:rsid w:val="69D16911"/>
    <w:rsid w:val="69DD77FF"/>
    <w:rsid w:val="6A553A70"/>
    <w:rsid w:val="6AA656A7"/>
    <w:rsid w:val="6AAD2EDA"/>
    <w:rsid w:val="6AB204F0"/>
    <w:rsid w:val="6AD374A7"/>
    <w:rsid w:val="6AE37CE3"/>
    <w:rsid w:val="6AE64462"/>
    <w:rsid w:val="6B0625EA"/>
    <w:rsid w:val="6B5442BA"/>
    <w:rsid w:val="6BC32289"/>
    <w:rsid w:val="6C593408"/>
    <w:rsid w:val="6C5D3D12"/>
    <w:rsid w:val="6C68544B"/>
    <w:rsid w:val="6C785167"/>
    <w:rsid w:val="6D0715D4"/>
    <w:rsid w:val="6DCE3893"/>
    <w:rsid w:val="6DDB2C74"/>
    <w:rsid w:val="6DF37C67"/>
    <w:rsid w:val="6E0E0C0F"/>
    <w:rsid w:val="6E8E7670"/>
    <w:rsid w:val="6EE31AAA"/>
    <w:rsid w:val="6EEB0447"/>
    <w:rsid w:val="6FAE323D"/>
    <w:rsid w:val="6FAF3250"/>
    <w:rsid w:val="6FC71762"/>
    <w:rsid w:val="70312E6C"/>
    <w:rsid w:val="703419A7"/>
    <w:rsid w:val="703F6560"/>
    <w:rsid w:val="705C648E"/>
    <w:rsid w:val="70725ED5"/>
    <w:rsid w:val="70B362F9"/>
    <w:rsid w:val="71653340"/>
    <w:rsid w:val="71F347D3"/>
    <w:rsid w:val="71FC098F"/>
    <w:rsid w:val="72161365"/>
    <w:rsid w:val="72172541"/>
    <w:rsid w:val="72415D05"/>
    <w:rsid w:val="7245643F"/>
    <w:rsid w:val="7296241B"/>
    <w:rsid w:val="732A300A"/>
    <w:rsid w:val="73692C50"/>
    <w:rsid w:val="73803FEB"/>
    <w:rsid w:val="73B17D39"/>
    <w:rsid w:val="73CE2CA8"/>
    <w:rsid w:val="743A4414"/>
    <w:rsid w:val="747F7695"/>
    <w:rsid w:val="748C5DD6"/>
    <w:rsid w:val="751029E3"/>
    <w:rsid w:val="754A398B"/>
    <w:rsid w:val="75857AA3"/>
    <w:rsid w:val="758D5DE2"/>
    <w:rsid w:val="75943299"/>
    <w:rsid w:val="76017BAF"/>
    <w:rsid w:val="76515061"/>
    <w:rsid w:val="767A5F36"/>
    <w:rsid w:val="76837B47"/>
    <w:rsid w:val="76841AFC"/>
    <w:rsid w:val="76B97261"/>
    <w:rsid w:val="772D4414"/>
    <w:rsid w:val="7744228A"/>
    <w:rsid w:val="77DF044B"/>
    <w:rsid w:val="781C7039"/>
    <w:rsid w:val="781E668F"/>
    <w:rsid w:val="784A45E5"/>
    <w:rsid w:val="788C166D"/>
    <w:rsid w:val="78AC0934"/>
    <w:rsid w:val="78BD4DDD"/>
    <w:rsid w:val="78E700F4"/>
    <w:rsid w:val="78ED6BDA"/>
    <w:rsid w:val="78EE7B24"/>
    <w:rsid w:val="7907377A"/>
    <w:rsid w:val="792E7F96"/>
    <w:rsid w:val="793B1352"/>
    <w:rsid w:val="79AB21E7"/>
    <w:rsid w:val="79CC501C"/>
    <w:rsid w:val="79E1494E"/>
    <w:rsid w:val="79F12DE4"/>
    <w:rsid w:val="7B0E17E2"/>
    <w:rsid w:val="7B3E48AE"/>
    <w:rsid w:val="7B9337D7"/>
    <w:rsid w:val="7C6203C7"/>
    <w:rsid w:val="7C86358B"/>
    <w:rsid w:val="7CB47DAA"/>
    <w:rsid w:val="7CD364E6"/>
    <w:rsid w:val="7D076A17"/>
    <w:rsid w:val="7D4476CE"/>
    <w:rsid w:val="7D462131"/>
    <w:rsid w:val="7DC974CD"/>
    <w:rsid w:val="7E4B00B1"/>
    <w:rsid w:val="7EA62275"/>
    <w:rsid w:val="7ED86A6B"/>
    <w:rsid w:val="7F034C8E"/>
    <w:rsid w:val="7F235328"/>
    <w:rsid w:val="7F640382"/>
    <w:rsid w:val="7FB30C7B"/>
    <w:rsid w:val="7FB34697"/>
    <w:rsid w:val="7FE5681A"/>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autoRedefine/>
    <w:qFormat/>
    <w:uiPriority w:val="0"/>
    <w:pPr>
      <w:outlineLvl w:val="0"/>
    </w:pPr>
    <w:rPr>
      <w:rFonts w:hint="eastAsia" w:ascii="宋体" w:hAnsi="宋体" w:eastAsia="宋体" w:cs="Times New Roman"/>
      <w:b/>
      <w:bCs/>
      <w:kern w:val="44"/>
      <w:sz w:val="33"/>
      <w:szCs w:val="33"/>
      <w:lang w:eastAsia="zh-CN"/>
    </w:rPr>
  </w:style>
  <w:style w:type="paragraph" w:styleId="5">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rPr>
  </w:style>
  <w:style w:type="paragraph" w:styleId="6">
    <w:name w:val="annotation text"/>
    <w:basedOn w:val="1"/>
    <w:autoRedefine/>
    <w:qFormat/>
    <w:uiPriority w:val="0"/>
  </w:style>
  <w:style w:type="paragraph" w:styleId="7">
    <w:name w:val="Body Text Indent"/>
    <w:basedOn w:val="1"/>
    <w:autoRedefine/>
    <w:qFormat/>
    <w:uiPriority w:val="99"/>
    <w:pPr>
      <w:ind w:left="420" w:leftChars="200"/>
    </w:pPr>
    <w:rPr>
      <w:kern w:val="2"/>
      <w:lang w:eastAsia="zh-CN"/>
    </w:rPr>
  </w:style>
  <w:style w:type="paragraph" w:styleId="8">
    <w:name w:val="Date"/>
    <w:basedOn w:val="1"/>
    <w:next w:val="1"/>
    <w:autoRedefine/>
    <w:qFormat/>
    <w:uiPriority w:val="0"/>
    <w:rPr>
      <w:kern w:val="2"/>
      <w:lang w:eastAsia="zh-CN"/>
    </w:rPr>
  </w:style>
  <w:style w:type="paragraph" w:styleId="9">
    <w:name w:val="Body Text Indent 2"/>
    <w:basedOn w:val="1"/>
    <w:autoRedefine/>
    <w:qFormat/>
    <w:uiPriority w:val="0"/>
    <w:pPr>
      <w:spacing w:after="120" w:afterLines="0" w:line="480" w:lineRule="auto"/>
      <w:ind w:left="420" w:leftChars="200"/>
    </w:pPr>
  </w:style>
  <w:style w:type="paragraph" w:styleId="10">
    <w:name w:val="Balloon Text"/>
    <w:basedOn w:val="1"/>
    <w:link w:val="41"/>
    <w:autoRedefine/>
    <w:qFormat/>
    <w:uiPriority w:val="0"/>
    <w:rPr>
      <w:sz w:val="18"/>
      <w:szCs w:val="18"/>
    </w:rPr>
  </w:style>
  <w:style w:type="paragraph" w:styleId="11">
    <w:name w:val="footer"/>
    <w:basedOn w:val="1"/>
    <w:autoRedefine/>
    <w:qFormat/>
    <w:uiPriority w:val="0"/>
    <w:pPr>
      <w:tabs>
        <w:tab w:val="center" w:pos="4153"/>
        <w:tab w:val="right" w:pos="8306"/>
      </w:tabs>
    </w:pPr>
    <w:rPr>
      <w:sz w:val="18"/>
    </w:rPr>
  </w:style>
  <w:style w:type="paragraph" w:styleId="12">
    <w:name w:val="envelope return"/>
    <w:basedOn w:val="1"/>
    <w:autoRedefine/>
    <w:qFormat/>
    <w:uiPriority w:val="0"/>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7"/>
    <w:next w:val="1"/>
    <w:autoRedefine/>
    <w:qFormat/>
    <w:uiPriority w:val="0"/>
    <w:pPr>
      <w:ind w:firstLine="200" w:firstLineChars="200"/>
    </w:pPr>
    <w:rPr>
      <w:sz w:val="28"/>
    </w:rPr>
  </w:style>
  <w:style w:type="character" w:styleId="20">
    <w:name w:val="Strong"/>
    <w:basedOn w:val="19"/>
    <w:qFormat/>
    <w:uiPriority w:val="0"/>
    <w:rPr>
      <w:b/>
      <w:bCs/>
    </w:rPr>
  </w:style>
  <w:style w:type="character" w:styleId="21">
    <w:name w:val="FollowedHyperlink"/>
    <w:basedOn w:val="19"/>
    <w:autoRedefine/>
    <w:qFormat/>
    <w:uiPriority w:val="0"/>
    <w:rPr>
      <w:color w:val="444444"/>
      <w:sz w:val="16"/>
      <w:szCs w:val="16"/>
      <w:u w:val="none"/>
    </w:rPr>
  </w:style>
  <w:style w:type="character" w:styleId="22">
    <w:name w:val="HTML Definition"/>
    <w:basedOn w:val="19"/>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autoRedefine/>
    <w:qFormat/>
    <w:uiPriority w:val="0"/>
    <w:rPr>
      <w:color w:val="0000FF"/>
      <w:u w:val="single"/>
    </w:rPr>
  </w:style>
  <w:style w:type="character" w:styleId="27">
    <w:name w:val="HTML Code"/>
    <w:basedOn w:val="19"/>
    <w:uiPriority w:val="0"/>
    <w:rPr>
      <w:rFonts w:ascii="monospace" w:hAnsi="monospace" w:eastAsia="monospace" w:cs="monospace"/>
      <w:sz w:val="20"/>
    </w:rPr>
  </w:style>
  <w:style w:type="character" w:styleId="28">
    <w:name w:val="HTML Cite"/>
    <w:basedOn w:val="19"/>
    <w:qFormat/>
    <w:uiPriority w:val="0"/>
  </w:style>
  <w:style w:type="character" w:styleId="29">
    <w:name w:val="HTML Keyboard"/>
    <w:basedOn w:val="19"/>
    <w:uiPriority w:val="0"/>
    <w:rPr>
      <w:rFonts w:hint="default" w:ascii="monospace" w:hAnsi="monospace" w:eastAsia="monospace" w:cs="monospace"/>
      <w:sz w:val="20"/>
    </w:rPr>
  </w:style>
  <w:style w:type="character" w:styleId="30">
    <w:name w:val="HTML Sample"/>
    <w:basedOn w:val="19"/>
    <w:qFormat/>
    <w:uiPriority w:val="0"/>
    <w:rPr>
      <w:rFonts w:hint="default" w:ascii="monospace" w:hAnsi="monospace" w:eastAsia="monospace" w:cs="monospace"/>
    </w:rPr>
  </w:style>
  <w:style w:type="paragraph" w:customStyle="1" w:styleId="31">
    <w:name w:val="No Spacing"/>
    <w:basedOn w:val="1"/>
    <w:autoRedefine/>
    <w:qFormat/>
    <w:uiPriority w:val="1"/>
    <w:pPr>
      <w:spacing w:line="400" w:lineRule="exact"/>
    </w:pPr>
    <w:rPr>
      <w:rFonts w:ascii="Calibri" w:hAnsi="Calibri"/>
      <w:sz w:val="24"/>
    </w:rPr>
  </w:style>
  <w:style w:type="paragraph" w:customStyle="1" w:styleId="32">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33">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style>
  <w:style w:type="paragraph" w:customStyle="1" w:styleId="36">
    <w:name w:val="Char Char10 Char Char Char Char"/>
    <w:basedOn w:val="1"/>
    <w:next w:val="37"/>
    <w:autoRedefine/>
    <w:qFormat/>
    <w:uiPriority w:val="99"/>
    <w:rPr>
      <w:rFonts w:ascii="宋体" w:hAnsi="宋体" w:cs="宋体"/>
      <w:lang w:val="zh-CN" w:bidi="zh-CN"/>
    </w:rPr>
  </w:style>
  <w:style w:type="paragraph" w:customStyle="1" w:styleId="37">
    <w:name w:val="xl87"/>
    <w:basedOn w:val="1"/>
    <w:next w:val="3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8">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9">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40">
    <w:name w:val="hover18"/>
    <w:basedOn w:val="19"/>
    <w:autoRedefine/>
    <w:qFormat/>
    <w:uiPriority w:val="0"/>
  </w:style>
  <w:style w:type="character" w:customStyle="1" w:styleId="41">
    <w:name w:val="批注框文本 Char"/>
    <w:basedOn w:val="19"/>
    <w:link w:val="10"/>
    <w:autoRedefine/>
    <w:qFormat/>
    <w:uiPriority w:val="0"/>
    <w:rPr>
      <w:rFonts w:ascii="Arial" w:hAnsi="Arial" w:eastAsia="Arial" w:cs="Arial"/>
      <w:snapToGrid w:val="0"/>
      <w:color w:val="000000"/>
      <w:sz w:val="18"/>
      <w:szCs w:val="18"/>
      <w:lang w:eastAsia="en-US"/>
    </w:rPr>
  </w:style>
  <w:style w:type="paragraph" w:styleId="42">
    <w:name w:val="List Paragraph"/>
    <w:basedOn w:val="1"/>
    <w:autoRedefine/>
    <w:qFormat/>
    <w:uiPriority w:val="99"/>
    <w:pPr>
      <w:ind w:firstLine="420" w:firstLineChars="200"/>
    </w:pPr>
  </w:style>
  <w:style w:type="paragraph" w:customStyle="1" w:styleId="43">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44">
    <w:name w:val="无间隔1"/>
    <w:basedOn w:val="1"/>
    <w:autoRedefine/>
    <w:qFormat/>
    <w:uiPriority w:val="1"/>
    <w:pPr>
      <w:spacing w:line="400" w:lineRule="exact"/>
    </w:pPr>
    <w:rPr>
      <w:rFonts w:ascii="Calibri" w:hAnsi="Calibri"/>
      <w:sz w:val="24"/>
    </w:rPr>
  </w:style>
  <w:style w:type="character" w:customStyle="1" w:styleId="45">
    <w:name w:val="icon_ds"/>
    <w:basedOn w:val="19"/>
    <w:uiPriority w:val="0"/>
  </w:style>
  <w:style w:type="character" w:customStyle="1" w:styleId="46">
    <w:name w:val="fr"/>
    <w:basedOn w:val="19"/>
    <w:uiPriority w:val="0"/>
  </w:style>
  <w:style w:type="character" w:customStyle="1" w:styleId="47">
    <w:name w:val="first-child"/>
    <w:basedOn w:val="19"/>
    <w:uiPriority w:val="0"/>
    <w:rPr>
      <w:color w:val="1F3149"/>
      <w:sz w:val="24"/>
      <w:szCs w:val="24"/>
      <w:bdr w:val="none" w:color="auto" w:sz="0" w:space="0"/>
    </w:rPr>
  </w:style>
  <w:style w:type="character" w:customStyle="1" w:styleId="48">
    <w:name w:val="first-child1"/>
    <w:basedOn w:val="19"/>
    <w:uiPriority w:val="0"/>
    <w:rPr>
      <w:color w:val="1F3149"/>
      <w:sz w:val="24"/>
      <w:szCs w:val="24"/>
      <w:bdr w:val="none" w:color="auto" w:sz="0" w:space="0"/>
    </w:rPr>
  </w:style>
  <w:style w:type="character" w:customStyle="1" w:styleId="49">
    <w:name w:val="xiadan"/>
    <w:basedOn w:val="19"/>
    <w:uiPriority w:val="0"/>
    <w:rPr>
      <w:shd w:val="clear" w:fill="E4393C"/>
    </w:rPr>
  </w:style>
  <w:style w:type="character" w:customStyle="1" w:styleId="50">
    <w:name w:val="icon_gys"/>
    <w:basedOn w:val="19"/>
    <w:uiPriority w:val="0"/>
    <w:rPr>
      <w:sz w:val="21"/>
      <w:szCs w:val="21"/>
      <w:bdr w:val="none" w:color="auto" w:sz="0" w:space="0"/>
    </w:rPr>
  </w:style>
  <w:style w:type="character" w:customStyle="1" w:styleId="51">
    <w:name w:val="icon_ds1"/>
    <w:basedOn w:val="19"/>
    <w:uiPriority w:val="0"/>
    <w:rPr>
      <w:sz w:val="21"/>
      <w:szCs w:val="21"/>
      <w:bdr w:val="none" w:color="auto" w:sz="0" w:space="0"/>
    </w:rPr>
  </w:style>
  <w:style w:type="paragraph" w:customStyle="1" w:styleId="52">
    <w:name w:val="Heading #3|1"/>
    <w:basedOn w:val="1"/>
    <w:qFormat/>
    <w:uiPriority w:val="99"/>
    <w:pPr>
      <w:spacing w:line="619" w:lineRule="exact"/>
      <w:ind w:firstLine="660"/>
      <w:outlineLvl w:val="2"/>
    </w:pPr>
    <w:rPr>
      <w:rFonts w:ascii="宋体" w:hAnsi="宋体" w:cs="宋体"/>
      <w:b/>
      <w:bCs/>
      <w:sz w:val="32"/>
      <w:szCs w:val="32"/>
      <w:lang w:val="zh-TW" w:eastAsia="zh-TW"/>
    </w:rPr>
  </w:style>
  <w:style w:type="paragraph" w:customStyle="1" w:styleId="53">
    <w:name w:val="Body text|1"/>
    <w:basedOn w:val="1"/>
    <w:qFormat/>
    <w:uiPriority w:val="99"/>
    <w:pPr>
      <w:spacing w:line="466" w:lineRule="exact"/>
      <w:ind w:firstLine="480"/>
    </w:pPr>
    <w:rPr>
      <w:rFonts w:ascii="宋体" w:hAnsi="宋体" w:cs="宋体"/>
      <w:sz w:val="26"/>
      <w:szCs w:val="26"/>
      <w:lang w:val="zh-TW" w:eastAsia="zh-TW"/>
    </w:rPr>
  </w:style>
  <w:style w:type="character" w:customStyle="1" w:styleId="54">
    <w:name w:val="first-child2"/>
    <w:basedOn w:val="19"/>
    <w:uiPriority w:val="0"/>
  </w:style>
  <w:style w:type="character" w:customStyle="1" w:styleId="55">
    <w:name w:val="first-child3"/>
    <w:basedOn w:val="19"/>
    <w:uiPriority w:val="0"/>
  </w:style>
  <w:style w:type="character" w:customStyle="1" w:styleId="56">
    <w:name w:val="color-blue"/>
    <w:basedOn w:val="19"/>
    <w:uiPriority w:val="0"/>
    <w:rPr>
      <w:color w:val="3F88CA"/>
      <w:sz w:val="18"/>
      <w:szCs w:val="18"/>
      <w:bdr w:val="single" w:color="3F88CA" w:sz="6" w:space="0"/>
    </w:rPr>
  </w:style>
  <w:style w:type="character" w:customStyle="1" w:styleId="57">
    <w:name w:val="color-yellow"/>
    <w:basedOn w:val="19"/>
    <w:uiPriority w:val="0"/>
    <w:rPr>
      <w:color w:val="FAAD14"/>
      <w:sz w:val="18"/>
      <w:szCs w:val="18"/>
      <w:bdr w:val="single" w:color="FAAD14" w:sz="6" w:space="0"/>
    </w:rPr>
  </w:style>
  <w:style w:type="character" w:customStyle="1" w:styleId="58">
    <w:name w:val="color-yellow1"/>
    <w:basedOn w:val="19"/>
    <w:uiPriority w:val="0"/>
    <w:rPr>
      <w:color w:val="1F3149"/>
      <w:sz w:val="21"/>
      <w:szCs w:val="21"/>
      <w:bdr w:val="single" w:color="FAAD14" w:sz="6" w:space="0"/>
    </w:rPr>
  </w:style>
  <w:style w:type="character" w:customStyle="1" w:styleId="59">
    <w:name w:val="first-child4"/>
    <w:basedOn w:val="19"/>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23776</Words>
  <Characters>24905</Characters>
  <Lines>201</Lines>
  <Paragraphs>56</Paragraphs>
  <TotalTime>1</TotalTime>
  <ScaleCrop>false</ScaleCrop>
  <LinksUpToDate>false</LinksUpToDate>
  <CharactersWithSpaces>25090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2024-04-17T07:27:00Z</dcterms:created>
  <dc:creator>尹皓</dc:creator>
  <cp:lastModifiedBy>NTKO</cp:lastModifiedBy>
  <cp:lastPrinted>2024-04-07T03:01:00Z</cp:lastPrinted>
  <dcterms:modified xsi:type="dcterms:W3CDTF">2024-05-31T08:23:21Z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E197063851F74AC08EFB62AC39320007_13</vt:lpwstr>
  </property>
</Properties>
</file>