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w:t>
      </w:r>
      <w:r>
        <w:rPr>
          <w:rFonts w:hint="eastAsia" w:ascii="宋体" w:hAnsi="宋体" w:eastAsia="宋体" w:cs="宋体"/>
          <w:spacing w:val="-1"/>
          <w:sz w:val="52"/>
          <w:szCs w:val="52"/>
          <w:lang w:eastAsia="zh-CN"/>
          <w14:textOutline w14:w="3844" w14:cap="flat" w14:cmpd="sng">
            <w14:solidFill>
              <w14:srgbClr w14:val="000000"/>
            </w14:solidFill>
            <w14:prstDash w14:val="solid"/>
            <w14:miter w14:val="0"/>
          </w14:textOutline>
        </w:rPr>
        <w:t>谈判</w:t>
      </w: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文件</w:t>
      </w: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南阳市公安局购置特种车辆项目</w:t>
      </w:r>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 南阳政采谈判-2024-4 </w:t>
      </w:r>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南阳市公安局 </w:t>
      </w:r>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 南阳市公共资源交易中心</w:t>
      </w:r>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hAnsi="宋体" w:eastAsia="宋体" w:cs="宋体"/>
          <w:sz w:val="36"/>
          <w:szCs w:val="36"/>
        </w:rPr>
        <w:sectPr>
          <w:footerReference r:id="rId5" w:type="default"/>
          <w:pgSz w:w="11906" w:h="16839"/>
          <w:pgMar w:top="1440" w:right="1800" w:bottom="1440" w:left="1800" w:header="0" w:footer="0" w:gutter="0"/>
          <w:pgNumType w:fmt="decimal" w:start="1"/>
          <w:cols w:space="720" w:num="1"/>
        </w:sectPr>
      </w:pPr>
    </w:p>
    <w:p>
      <w:pPr>
        <w:keepNext w:val="0"/>
        <w:keepLines w:val="0"/>
        <w:pageBreakBefore w:val="0"/>
        <w:kinsoku/>
        <w:wordWrap w:val="0"/>
        <w:overflowPunct/>
        <w:topLinePunct w:val="0"/>
        <w:bidi w:val="0"/>
        <w:spacing w:line="326" w:lineRule="auto"/>
        <w:jc w:val="both"/>
        <w:rPr>
          <w:rFonts w:ascii="Arial"/>
          <w:sz w:val="21"/>
        </w:rPr>
      </w:pPr>
    </w:p>
    <w:sdt>
      <w:sdtPr>
        <w:rPr>
          <w:rFonts w:ascii="宋体" w:hAnsi="宋体" w:eastAsia="宋体" w:cs="宋体"/>
          <w:sz w:val="36"/>
          <w:szCs w:val="36"/>
        </w:rPr>
        <w:id w:val="1"/>
        <w:docPartObj>
          <w:docPartGallery w:val="Table of Contents"/>
          <w:docPartUnique/>
        </w:docPartObj>
      </w:sdtPr>
      <w:sdtEndPr>
        <w:rPr>
          <w:rFonts w:ascii="宋体" w:hAnsi="宋体" w:eastAsia="宋体" w:cs="宋体"/>
          <w:sz w:val="28"/>
          <w:szCs w:val="28"/>
        </w:rPr>
      </w:sdtEndPr>
      <w:sdtContent>
        <w:p>
          <w:pPr>
            <w:pStyle w:val="3"/>
            <w:keepNext w:val="0"/>
            <w:keepLines w:val="0"/>
            <w:pageBreakBefore w:val="0"/>
            <w:kinsoku/>
            <w:wordWrap w:val="0"/>
            <w:overflowPunct/>
            <w:topLinePunct w:val="0"/>
            <w:bidi w:val="0"/>
            <w:spacing w:before="117" w:line="222" w:lineRule="auto"/>
            <w:ind w:left="3716"/>
            <w:jc w:val="both"/>
            <w:rPr>
              <w:spacing w:val="-42"/>
              <w:sz w:val="36"/>
              <w:szCs w:val="36"/>
              <w14:textOutline w14:w="2306" w14:cap="flat" w14:cmpd="sng">
                <w14:solidFill>
                  <w14:srgbClr w14:val="000000"/>
                </w14:solidFill>
                <w14:prstDash w14:val="solid"/>
                <w14:miter w14:val="0"/>
              </w14:textOutline>
            </w:rPr>
          </w:pPr>
          <w:bookmarkStart w:id="0" w:name="bookmark1"/>
          <w:bookmarkEnd w:id="0"/>
          <w:r>
            <w:rPr>
              <w:spacing w:val="-42"/>
              <w:sz w:val="36"/>
              <w:szCs w:val="36"/>
              <w14:textOutline w14:w="2306" w14:cap="flat" w14:cmpd="sng">
                <w14:solidFill>
                  <w14:srgbClr w14:val="000000"/>
                </w14:solidFill>
                <w14:prstDash w14:val="solid"/>
                <w14:miter w14:val="0"/>
              </w14:textOutline>
            </w:rPr>
            <w:t>目</w:t>
          </w:r>
          <w:r>
            <w:rPr>
              <w:rFonts w:hint="eastAsia"/>
              <w:spacing w:val="-42"/>
              <w:sz w:val="36"/>
              <w:szCs w:val="36"/>
              <w:lang w:val="en-US" w:eastAsia="zh-CN"/>
              <w14:textOutline w14:w="2306" w14:cap="flat" w14:cmpd="sng">
                <w14:solidFill>
                  <w14:srgbClr w14:val="000000"/>
                </w14:solidFill>
                <w14:prstDash w14:val="solid"/>
                <w14:miter w14:val="0"/>
              </w14:textOutline>
            </w:rPr>
            <w:t xml:space="preserve">  </w:t>
          </w:r>
          <w:r>
            <w:rPr>
              <w:spacing w:val="-42"/>
              <w:sz w:val="36"/>
              <w:szCs w:val="36"/>
              <w14:textOutline w14:w="2306" w14:cap="flat" w14:cmpd="sng">
                <w14:solidFill>
                  <w14:srgbClr w14:val="000000"/>
                </w14:solidFill>
                <w14:prstDash w14:val="solid"/>
                <w14:miter w14:val="0"/>
              </w14:textOutline>
            </w:rPr>
            <w:t>录</w:t>
          </w:r>
        </w:p>
        <w:p>
          <w:pPr>
            <w:pStyle w:val="14"/>
          </w:pPr>
        </w:p>
        <w:p>
          <w:pPr>
            <w:pStyle w:val="3"/>
            <w:bidi w:val="0"/>
            <w:spacing w:line="360" w:lineRule="auto"/>
            <w:rPr>
              <w:sz w:val="28"/>
              <w:szCs w:val="28"/>
            </w:rPr>
          </w:pPr>
          <w:r>
            <w:rPr>
              <w:sz w:val="28"/>
              <w:szCs w:val="28"/>
            </w:rPr>
            <w:fldChar w:fldCharType="begin"/>
          </w:r>
          <w:r>
            <w:rPr>
              <w:sz w:val="28"/>
              <w:szCs w:val="28"/>
            </w:rPr>
            <w:instrText xml:space="preserve">HYPERLINK\l"bookmark1"</w:instrText>
          </w:r>
          <w:r>
            <w:rPr>
              <w:sz w:val="28"/>
              <w:szCs w:val="28"/>
            </w:rPr>
            <w:fldChar w:fldCharType="separate"/>
          </w:r>
          <w:r>
            <w:rPr>
              <w:sz w:val="28"/>
              <w:szCs w:val="28"/>
            </w:rPr>
            <w:t>第一章</w:t>
          </w:r>
          <w:r>
            <w:rPr>
              <w:rFonts w:hint="eastAsia"/>
              <w:sz w:val="28"/>
              <w:szCs w:val="28"/>
              <w:lang w:val="en-US" w:eastAsia="zh-CN"/>
            </w:rPr>
            <w:t xml:space="preserve"> </w:t>
          </w:r>
          <w:r>
            <w:rPr>
              <w:rFonts w:hint="eastAsia"/>
              <w:sz w:val="28"/>
              <w:szCs w:val="28"/>
              <w:lang w:eastAsia="zh-CN"/>
            </w:rPr>
            <w:t>竞争性谈判公告</w:t>
          </w:r>
          <w:r>
            <w:rPr>
              <w:sz w:val="28"/>
              <w:szCs w:val="28"/>
            </w:rPr>
            <w:fldChar w:fldCharType="end"/>
          </w:r>
        </w:p>
        <w:p>
          <w:pPr>
            <w:pStyle w:val="3"/>
            <w:bidi w:val="0"/>
            <w:spacing w:line="360" w:lineRule="auto"/>
            <w:rPr>
              <w:rFonts w:hint="eastAsia"/>
              <w:sz w:val="28"/>
              <w:szCs w:val="28"/>
              <w:lang w:eastAsia="zh-CN"/>
            </w:rPr>
          </w:pPr>
          <w:r>
            <w:rPr>
              <w:sz w:val="28"/>
              <w:szCs w:val="28"/>
            </w:rPr>
            <w:t>第二章</w:t>
          </w:r>
          <w:r>
            <w:rPr>
              <w:rFonts w:hint="eastAsia"/>
              <w:sz w:val="28"/>
              <w:szCs w:val="28"/>
              <w:lang w:val="en-US" w:eastAsia="zh-CN"/>
            </w:rPr>
            <w:t xml:space="preserve"> </w:t>
          </w:r>
          <w:r>
            <w:rPr>
              <w:sz w:val="28"/>
              <w:szCs w:val="28"/>
            </w:rPr>
            <w:t>采购需求</w:t>
          </w:r>
        </w:p>
        <w:p>
          <w:pPr>
            <w:pStyle w:val="3"/>
            <w:bidi w:val="0"/>
            <w:spacing w:line="360" w:lineRule="auto"/>
            <w:rPr>
              <w:rFonts w:hint="eastAsia"/>
              <w:sz w:val="28"/>
              <w:szCs w:val="28"/>
              <w:lang w:eastAsia="zh-CN"/>
            </w:rPr>
          </w:pPr>
          <w:r>
            <w:rPr>
              <w:sz w:val="28"/>
              <w:szCs w:val="28"/>
            </w:rPr>
            <w:t>第三章</w:t>
          </w:r>
          <w:r>
            <w:rPr>
              <w:rFonts w:hint="eastAsia"/>
              <w:sz w:val="28"/>
              <w:szCs w:val="28"/>
              <w:lang w:val="en-US" w:eastAsia="zh-CN"/>
            </w:rPr>
            <w:t xml:space="preserve"> </w:t>
          </w:r>
          <w:r>
            <w:rPr>
              <w:sz w:val="28"/>
              <w:szCs w:val="28"/>
            </w:rPr>
            <w:t>供应商须知</w:t>
          </w:r>
        </w:p>
        <w:p>
          <w:pPr>
            <w:pStyle w:val="3"/>
            <w:bidi w:val="0"/>
            <w:spacing w:line="360" w:lineRule="auto"/>
            <w:rPr>
              <w:rFonts w:hint="default"/>
              <w:sz w:val="28"/>
              <w:szCs w:val="28"/>
              <w:lang w:val="en-US" w:eastAsia="zh-CN"/>
            </w:rPr>
          </w:pPr>
          <w:r>
            <w:rPr>
              <w:sz w:val="28"/>
              <w:szCs w:val="28"/>
            </w:rPr>
            <w:t>第四章</w:t>
          </w:r>
          <w:r>
            <w:rPr>
              <w:rFonts w:hint="eastAsia"/>
              <w:sz w:val="28"/>
              <w:szCs w:val="28"/>
              <w:lang w:val="en-US" w:eastAsia="zh-CN"/>
            </w:rPr>
            <w:t xml:space="preserve"> </w:t>
          </w:r>
          <w:r>
            <w:rPr>
              <w:rFonts w:hint="eastAsia"/>
              <w:sz w:val="28"/>
              <w:szCs w:val="28"/>
              <w:lang w:eastAsia="zh-CN"/>
            </w:rPr>
            <w:t>评审程序和评定成交的标准</w:t>
          </w:r>
        </w:p>
        <w:p>
          <w:pPr>
            <w:pStyle w:val="3"/>
            <w:bidi w:val="0"/>
            <w:spacing w:line="360" w:lineRule="auto"/>
            <w:rPr>
              <w:rFonts w:hint="default"/>
              <w:sz w:val="28"/>
              <w:szCs w:val="28"/>
              <w:lang w:val="en-US" w:eastAsia="zh-CN"/>
            </w:rPr>
          </w:pPr>
          <w:r>
            <w:rPr>
              <w:sz w:val="28"/>
              <w:szCs w:val="28"/>
            </w:rPr>
            <w:t>第五章</w:t>
          </w:r>
          <w:r>
            <w:rPr>
              <w:rFonts w:hint="eastAsia"/>
              <w:sz w:val="28"/>
              <w:szCs w:val="28"/>
              <w:lang w:val="en-US" w:eastAsia="zh-CN"/>
            </w:rPr>
            <w:t xml:space="preserve"> </w:t>
          </w:r>
          <w:r>
            <w:rPr>
              <w:rFonts w:hint="eastAsia"/>
              <w:sz w:val="28"/>
              <w:szCs w:val="28"/>
              <w:lang w:eastAsia="zh-CN"/>
            </w:rPr>
            <w:t>政府采购合同（草案）</w:t>
          </w:r>
        </w:p>
        <w:p>
          <w:pPr>
            <w:pStyle w:val="3"/>
            <w:bidi w:val="0"/>
            <w:spacing w:line="360" w:lineRule="auto"/>
            <w:rPr>
              <w:sz w:val="28"/>
              <w:szCs w:val="28"/>
            </w:rPr>
          </w:pPr>
          <w:r>
            <w:rPr>
              <w:sz w:val="28"/>
              <w:szCs w:val="28"/>
            </w:rPr>
            <w:t>第六章</w:t>
          </w:r>
          <w:r>
            <w:rPr>
              <w:rFonts w:hint="eastAsia"/>
              <w:sz w:val="28"/>
              <w:szCs w:val="28"/>
              <w:lang w:val="en-US" w:eastAsia="zh-CN"/>
            </w:rPr>
            <w:t xml:space="preserve"> </w:t>
          </w:r>
          <w:r>
            <w:rPr>
              <w:sz w:val="28"/>
              <w:szCs w:val="28"/>
            </w:rPr>
            <w:t>响应文件格式</w:t>
          </w:r>
        </w:p>
      </w:sdtContent>
    </w:sdt>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rPr>
          <w:rFonts w:hint="eastAsia" w:eastAsia="宋体"/>
          <w:sz w:val="36"/>
          <w:szCs w:val="36"/>
          <w:lang w:eastAsia="zh-CN"/>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竞争性谈判公告</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竞争性谈判</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谈判</w:t>
      </w:r>
      <w:r>
        <w:rPr>
          <w:spacing w:val="-6"/>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129.6616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129.6616 </w:t>
      </w:r>
      <w:r>
        <w:rPr>
          <w:rFonts w:hint="eastAsia" w:asciiTheme="minorEastAsia" w:hAnsiTheme="minorEastAsia" w:eastAsiaTheme="minorEastAsia" w:cstheme="minorEastAsia"/>
          <w:spacing w:val="-14"/>
          <w:sz w:val="24"/>
          <w:szCs w:val="24"/>
        </w:rPr>
        <w:t>万元</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16"/>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6"/>
        <w:gridCol w:w="2794"/>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3056"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2794"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3056" w:type="dxa"/>
            <w:vAlign w:val="top"/>
          </w:tcPr>
          <w:p>
            <w:pPr>
              <w:pStyle w:val="1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b w:val="0"/>
                <w:bCs w:val="0"/>
                <w:sz w:val="24"/>
                <w:szCs w:val="24"/>
                <w:u w:val="none"/>
              </w:rPr>
            </w:pPr>
            <w:r>
              <w:rPr>
                <w:rFonts w:hint="eastAsia" w:ascii="宋体" w:hAnsi="宋体" w:eastAsia="宋体" w:cs="宋体"/>
                <w:b w:val="0"/>
                <w:bCs w:val="0"/>
                <w:spacing w:val="-17"/>
                <w:sz w:val="24"/>
                <w:szCs w:val="24"/>
                <w:u w:val="none"/>
                <w:lang w:val="en-US" w:eastAsia="zh-CN"/>
              </w:rPr>
              <w:t xml:space="preserve">南阳政采谈判-2024-4   </w:t>
            </w:r>
            <w:r>
              <w:rPr>
                <w:rFonts w:hint="eastAsia" w:ascii="宋体" w:hAnsi="宋体" w:eastAsia="宋体" w:cs="宋体"/>
                <w:b w:val="0"/>
                <w:bCs w:val="0"/>
                <w:spacing w:val="14"/>
                <w:sz w:val="24"/>
                <w:szCs w:val="24"/>
                <w:u w:val="none"/>
                <w:lang w:val="en-US" w:eastAsia="zh-CN"/>
              </w:rPr>
              <w:t>-</w:t>
            </w:r>
            <w:r>
              <w:rPr>
                <w:rFonts w:hint="eastAsia" w:ascii="宋体" w:hAnsi="宋体" w:eastAsia="宋体" w:cs="宋体"/>
                <w:b w:val="0"/>
                <w:bCs w:val="0"/>
                <w:spacing w:val="14"/>
                <w:sz w:val="24"/>
                <w:szCs w:val="24"/>
                <w:u w:val="none"/>
              </w:rPr>
              <w:t>1</w:t>
            </w:r>
          </w:p>
        </w:tc>
        <w:tc>
          <w:tcPr>
            <w:tcW w:w="2794" w:type="dxa"/>
            <w:vAlign w:val="top"/>
          </w:tcPr>
          <w:p>
            <w:pPr>
              <w:tabs>
                <w:tab w:val="left" w:pos="1074"/>
              </w:tabs>
              <w:bidi w:val="0"/>
              <w:jc w:val="left"/>
              <w:rPr>
                <w:rFonts w:hint="eastAsia" w:ascii="宋体" w:hAnsi="宋体" w:eastAsia="宋体" w:cs="宋体"/>
                <w:b w:val="0"/>
                <w:bCs w:val="0"/>
                <w:sz w:val="24"/>
                <w:szCs w:val="24"/>
                <w:u w:val="none"/>
                <w:lang w:eastAsia="zh-CN"/>
              </w:rPr>
            </w:pPr>
            <w:r>
              <w:rPr>
                <w:rFonts w:hint="eastAsia" w:ascii="宋体" w:hAnsi="宋体" w:eastAsia="宋体" w:cs="宋体"/>
                <w:b w:val="0"/>
                <w:bCs w:val="0"/>
                <w:spacing w:val="-17"/>
                <w:sz w:val="24"/>
                <w:szCs w:val="24"/>
                <w:u w:val="none"/>
                <w:lang w:val="en-US" w:eastAsia="zh-CN"/>
              </w:rPr>
              <w:t xml:space="preserve">南阳市公安局购置特种车辆项目 </w:t>
            </w:r>
          </w:p>
        </w:tc>
        <w:tc>
          <w:tcPr>
            <w:tcW w:w="2321" w:type="dxa"/>
            <w:vAlign w:val="top"/>
          </w:tcPr>
          <w:p>
            <w:pPr>
              <w:pStyle w:val="1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u w:val="none"/>
                <w:lang w:val="en-US" w:eastAsia="zh-CN"/>
              </w:rPr>
              <w:t>1296616</w:t>
            </w:r>
          </w:p>
        </w:tc>
      </w:tr>
    </w:tbl>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5.采购清单或服务要求</w:t>
      </w:r>
    </w:p>
    <w:tbl>
      <w:tblPr>
        <w:tblStyle w:val="10"/>
        <w:tblW w:w="817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1632"/>
        <w:gridCol w:w="3855"/>
        <w:gridCol w:w="1365"/>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32"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序号</w:t>
            </w:r>
          </w:p>
        </w:tc>
        <w:tc>
          <w:tcPr>
            <w:tcW w:w="385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名称</w:t>
            </w:r>
          </w:p>
        </w:tc>
        <w:tc>
          <w:tcPr>
            <w:tcW w:w="136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单位</w:t>
            </w:r>
          </w:p>
        </w:tc>
        <w:tc>
          <w:tcPr>
            <w:tcW w:w="1323"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32"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w:t>
            </w:r>
          </w:p>
        </w:tc>
        <w:tc>
          <w:tcPr>
            <w:tcW w:w="385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仿宋_GB2312" w:hAnsi="仿宋_GB2312" w:eastAsia="仿宋_GB2312" w:cs="仿宋_GB2312"/>
                <w:sz w:val="21"/>
                <w:szCs w:val="21"/>
                <w:vertAlign w:val="baseline"/>
                <w:lang w:val="en-US" w:eastAsia="zh-CN"/>
              </w:rPr>
              <w:t>皮卡巡逻车</w:t>
            </w:r>
          </w:p>
        </w:tc>
        <w:tc>
          <w:tcPr>
            <w:tcW w:w="136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仿宋_GB2312" w:hAnsi="仿宋_GB2312" w:eastAsia="仿宋_GB2312" w:cs="仿宋_GB2312"/>
                <w:sz w:val="21"/>
                <w:szCs w:val="21"/>
                <w:vertAlign w:val="baseline"/>
                <w:lang w:val="en-US" w:eastAsia="zh-CN"/>
              </w:rPr>
              <w:t>辆</w:t>
            </w:r>
          </w:p>
        </w:tc>
        <w:tc>
          <w:tcPr>
            <w:tcW w:w="1323"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32"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85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vertAlign w:val="baseline"/>
                <w:lang w:val="en-US" w:eastAsia="zh-CN"/>
              </w:rPr>
              <w:t>警犬运输车</w:t>
            </w:r>
          </w:p>
        </w:tc>
        <w:tc>
          <w:tcPr>
            <w:tcW w:w="136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仿宋_GB2312" w:hAnsi="仿宋_GB2312" w:eastAsia="仿宋_GB2312" w:cs="仿宋_GB2312"/>
                <w:sz w:val="21"/>
                <w:szCs w:val="21"/>
                <w:vertAlign w:val="baseline"/>
                <w:lang w:val="en-US" w:eastAsia="zh-CN"/>
              </w:rPr>
              <w:t>辆</w:t>
            </w:r>
          </w:p>
        </w:tc>
        <w:tc>
          <w:tcPr>
            <w:tcW w:w="1323"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385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vertAlign w:val="baseline"/>
                <w:lang w:val="en-US" w:eastAsia="zh-CN"/>
              </w:rPr>
              <w:t>MPV特种巡逻车</w:t>
            </w:r>
          </w:p>
        </w:tc>
        <w:tc>
          <w:tcPr>
            <w:tcW w:w="1365"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仿宋_GB2312" w:hAnsi="仿宋_GB2312" w:eastAsia="仿宋_GB2312" w:cs="仿宋_GB2312"/>
                <w:sz w:val="21"/>
                <w:szCs w:val="21"/>
                <w:vertAlign w:val="baseline"/>
                <w:lang w:val="en-US" w:eastAsia="zh-CN"/>
              </w:rPr>
              <w:t>辆</w:t>
            </w:r>
          </w:p>
        </w:tc>
        <w:tc>
          <w:tcPr>
            <w:tcW w:w="1323" w:type="dxa"/>
            <w:shd w:val="clear" w:color="000000" w:fill="FFFFFF"/>
            <w:noWrap w:val="0"/>
            <w:vAlign w:val="center"/>
          </w:tcPr>
          <w:p>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r>
    </w:tbl>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注：采购清单中的强制节能产品请列明。</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eastAsia="zh-CN"/>
        </w:rPr>
        <w:t>合同签订后30日历天内供车完毕。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pPr>
        <w:pStyle w:val="3"/>
        <w:keepNext w:val="0"/>
        <w:keepLines w:val="0"/>
        <w:pageBreakBefore w:val="0"/>
        <w:widowControl/>
        <w:kinsoku/>
        <w:wordWrap w:val="0"/>
        <w:overflowPunct/>
        <w:topLinePunct w:val="0"/>
        <w:bidi w:val="0"/>
        <w:spacing w:line="360" w:lineRule="auto"/>
        <w:jc w:val="both"/>
        <w:outlineLvl w:val="1"/>
        <w:rPr>
          <w:spacing w:val="-1"/>
          <w:sz w:val="24"/>
          <w:szCs w:val="24"/>
          <w14:textOutline w14:w="1537"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bidi w:val="0"/>
        <w:spacing w:line="360" w:lineRule="auto"/>
        <w:jc w:val="both"/>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本项目不专门面向中小企业预留采购份额。</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供的货物全部由符合政策要求的中小</w:t>
      </w:r>
      <w:r>
        <w:rPr>
          <w:rFonts w:hint="eastAsia" w:asciiTheme="minorEastAsia" w:hAnsiTheme="minorEastAsia" w:eastAsiaTheme="minorEastAsia" w:cstheme="minorEastAsia"/>
          <w:spacing w:val="1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u w:val="none"/>
          <w:lang w:val="en-US" w:eastAsia="zh-CN"/>
        </w:rPr>
        <w:t>预留金额</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万元或预留</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%份额</w:t>
      </w:r>
      <w:r>
        <w:rPr>
          <w:rFonts w:hint="eastAsia" w:asciiTheme="minorEastAsia" w:hAnsiTheme="minorEastAsia" w:eastAsiaTheme="minorEastAsia" w:cstheme="minorEastAsia"/>
          <w:spacing w:val="-2"/>
          <w:position w:val="17"/>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pPr>
        <w:keepNext w:val="0"/>
        <w:keepLines w:val="0"/>
        <w:pageBreakBefore w:val="0"/>
        <w:kinsoku/>
        <w:wordWrap w:val="0"/>
        <w:overflowPunct/>
        <w:topLinePunct w:val="0"/>
        <w:bidi w:val="0"/>
        <w:spacing w:line="259" w:lineRule="auto"/>
        <w:ind w:firstLine="472" w:firstLineChars="200"/>
        <w:jc w:val="both"/>
        <w:rPr>
          <w:rFonts w:ascii="Arial"/>
          <w:sz w:val="21"/>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pPr>
        <w:keepNext w:val="0"/>
        <w:keepLines w:val="0"/>
        <w:pageBreakBefore w:val="0"/>
        <w:kinsoku/>
        <w:wordWrap w:val="0"/>
        <w:overflowPunct/>
        <w:topLinePunct w:val="0"/>
        <w:bidi w:val="0"/>
        <w:spacing w:line="259" w:lineRule="auto"/>
        <w:jc w:val="both"/>
        <w:rPr>
          <w:rFonts w:ascii="Arial"/>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spacing w:val="-1"/>
          <w:sz w:val="24"/>
          <w:szCs w:val="24"/>
          <w:lang w:val="en-US" w:eastAsia="zh-CN"/>
          <w14:textOutline w14:w="1537"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6</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13</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6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18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8：00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18：00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2.地点：南阳市公共资源交易中心网站https://ggzyjy.nanyang.gov.cn</w:t>
      </w:r>
    </w:p>
    <w:p>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使用普通电子交易系统的，</w:t>
      </w:r>
      <w:r>
        <w:rPr>
          <w:rFonts w:hint="eastAsia" w:asciiTheme="minorEastAsia" w:hAnsiTheme="minorEastAsia" w:eastAsiaTheme="minorEastAsia" w:cstheme="minorEastAsia"/>
          <w:spacing w:val="-4"/>
          <w:sz w:val="24"/>
          <w:szCs w:val="24"/>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pPr>
        <w:keepNext w:val="0"/>
        <w:keepLines w:val="0"/>
        <w:pageBreakBefore w:val="0"/>
        <w:shd w:val="clear" w:color="auto" w:fill="FFFFFF"/>
        <w:kinsoku/>
        <w:wordWrap w:val="0"/>
        <w:overflowPunct/>
        <w:topLinePunct w:val="0"/>
        <w:bidi w:val="0"/>
        <w:spacing w:line="360" w:lineRule="auto"/>
        <w:ind w:firstLine="600"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使用普通电子交易系统的</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竞争性谈判</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谈判</w:t>
      </w:r>
      <w:r>
        <w:rPr>
          <w:rFonts w:hint="eastAsia" w:asciiTheme="minorEastAsia" w:hAnsiTheme="minorEastAsia" w:eastAsiaTheme="minorEastAsia" w:cstheme="minorEastAsia"/>
          <w:spacing w:val="-4"/>
          <w:sz w:val="24"/>
          <w:szCs w:val="24"/>
          <w:lang w:eastAsia="zh-CN"/>
        </w:rPr>
        <w:t>。</w:t>
      </w:r>
    </w:p>
    <w:p>
      <w:pPr>
        <w:keepNext w:val="0"/>
        <w:keepLines w:val="0"/>
        <w:pageBreakBefore w:val="0"/>
        <w:shd w:val="clear" w:color="auto" w:fill="FFFFFF"/>
        <w:kinsoku/>
        <w:wordWrap w:val="0"/>
        <w:overflowPunct/>
        <w:topLinePunct w:val="0"/>
        <w:bidi w:val="0"/>
        <w:spacing w:line="360" w:lineRule="auto"/>
        <w:ind w:firstLine="464" w:firstLineChars="200"/>
        <w:jc w:val="both"/>
        <w:rPr>
          <w:rFonts w:hint="eastAsia"/>
          <w:spacing w:val="-3"/>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文件”。电子交易系统技术支持电话：400-998-0000</w:t>
      </w:r>
      <w:r>
        <w:rPr>
          <w:rFonts w:hint="eastAsia" w:asciiTheme="minorEastAsia" w:hAnsiTheme="minorEastAsia" w:eastAsiaTheme="minorEastAsia" w:cstheme="minorEastAsia"/>
          <w:spacing w:val="-4"/>
          <w:sz w:val="24"/>
          <w:szCs w:val="24"/>
          <w:lang w:val="en-US" w:eastAsia="zh-CN"/>
        </w:rPr>
        <w:t>。</w:t>
      </w:r>
    </w:p>
    <w:p>
      <w:pPr>
        <w:pStyle w:val="3"/>
        <w:keepNext w:val="0"/>
        <w:keepLines w:val="0"/>
        <w:pageBreakBefore w:val="0"/>
        <w:kinsoku/>
        <w:wordWrap w:val="0"/>
        <w:overflowPunct/>
        <w:topLinePunct w:val="0"/>
        <w:bidi w:val="0"/>
        <w:spacing w:before="79" w:line="222" w:lineRule="auto"/>
        <w:ind w:left="15"/>
        <w:jc w:val="both"/>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pPr>
        <w:pStyle w:val="3"/>
        <w:keepNext w:val="0"/>
        <w:keepLines w:val="0"/>
        <w:pageBreakBefore w:val="0"/>
        <w:kinsoku/>
        <w:wordWrap w:val="0"/>
        <w:overflowPunct/>
        <w:topLinePunct w:val="0"/>
        <w:bidi w:val="0"/>
        <w:spacing w:before="181" w:line="220" w:lineRule="auto"/>
        <w:jc w:val="both"/>
        <w:rPr>
          <w:sz w:val="24"/>
          <w:szCs w:val="24"/>
        </w:rPr>
      </w:pPr>
      <w:r>
        <w:rPr>
          <w:spacing w:val="-25"/>
          <w:sz w:val="24"/>
          <w:szCs w:val="24"/>
        </w:rPr>
        <w:t>时间：</w:t>
      </w:r>
      <w:r>
        <w:rPr>
          <w:rFonts w:hint="eastAsia" w:asciiTheme="minorEastAsia" w:hAnsiTheme="minorEastAsia" w:eastAsiaTheme="minorEastAsia" w:cstheme="minorEastAsia"/>
          <w:spacing w:val="-14"/>
          <w:sz w:val="24"/>
          <w:szCs w:val="24"/>
          <w:u w:val="single"/>
          <w:lang w:val="en-US" w:eastAsia="zh-CN"/>
        </w:rPr>
        <w:t>2024</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6  </w:t>
      </w:r>
      <w:r>
        <w:rPr>
          <w:rFonts w:hint="eastAsia" w:asciiTheme="minorEastAsia" w:hAnsiTheme="minorEastAsia" w:eastAsiaTheme="minorEastAsia" w:cstheme="minorEastAsia"/>
          <w:snapToGrid w:val="0"/>
          <w:color w:val="000000"/>
          <w:spacing w:val="-4"/>
          <w:kern w:val="0"/>
          <w:sz w:val="24"/>
          <w:szCs w:val="24"/>
          <w:lang w:val="en-US" w:eastAsia="zh-CN" w:bidi="ar-SA"/>
        </w:rPr>
        <w:t>月</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21</w:t>
      </w:r>
      <w:r>
        <w:rPr>
          <w:rFonts w:hint="eastAsia" w:asciiTheme="minorEastAsia" w:hAnsiTheme="minorEastAsia" w:eastAsiaTheme="minorEastAsia" w:cstheme="minorEastAsia"/>
          <w:snapToGrid w:val="0"/>
          <w:color w:val="000000"/>
          <w:spacing w:val="-4"/>
          <w:kern w:val="0"/>
          <w:sz w:val="24"/>
          <w:szCs w:val="24"/>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w:t>
      </w:r>
      <w:r>
        <w:rPr>
          <w:spacing w:val="-25"/>
          <w:sz w:val="24"/>
          <w:szCs w:val="24"/>
        </w:rPr>
        <w:t>（北京时间）。</w:t>
      </w:r>
    </w:p>
    <w:p>
      <w:pPr>
        <w:pStyle w:val="3"/>
        <w:keepNext w:val="0"/>
        <w:keepLines w:val="0"/>
        <w:pageBreakBefore w:val="0"/>
        <w:kinsoku/>
        <w:wordWrap w:val="0"/>
        <w:overflowPunct/>
        <w:topLinePunct w:val="0"/>
        <w:bidi w:val="0"/>
        <w:spacing w:before="180" w:line="189" w:lineRule="auto"/>
        <w:jc w:val="both"/>
        <w:rPr>
          <w:rFonts w:hint="eastAsia" w:ascii="Arial" w:hAnsi="Arial" w:eastAsia="宋体" w:cs="Arial"/>
          <w:sz w:val="24"/>
          <w:szCs w:val="24"/>
          <w:lang w:eastAsia="zh-CN"/>
        </w:rPr>
      </w:pPr>
      <w:r>
        <w:rPr>
          <w:spacing w:val="-31"/>
          <w:sz w:val="24"/>
          <w:szCs w:val="24"/>
        </w:rPr>
        <w:t>地点：</w:t>
      </w:r>
      <w:r>
        <w:rPr>
          <w:rFonts w:hint="eastAsia" w:ascii="宋体" w:hAnsi="宋体" w:eastAsia="宋体" w:cs="宋体"/>
          <w:snapToGrid w:val="0"/>
          <w:color w:val="000000" w:themeColor="text1"/>
          <w:spacing w:val="-17"/>
          <w:kern w:val="0"/>
          <w:sz w:val="24"/>
          <w:szCs w:val="24"/>
          <w:lang w:val="en-US" w:eastAsia="zh-CN" w:bidi="ar-SA"/>
          <w14:textFill>
            <w14:solidFill>
              <w14:schemeClr w14:val="tx1"/>
            </w14:solidFill>
          </w14:textFill>
        </w:rPr>
        <w:t>不见面开标大厅（</w:t>
      </w:r>
      <w:r>
        <w:rPr>
          <w:rFonts w:hint="eastAsia" w:ascii="微软雅黑" w:hAnsi="微软雅黑" w:eastAsia="微软雅黑" w:cs="微软雅黑"/>
          <w:b w:val="0"/>
          <w:i w:val="0"/>
          <w:snapToGrid w:val="0"/>
          <w:color w:val="000000" w:themeColor="text1"/>
          <w:kern w:val="0"/>
          <w:sz w:val="21"/>
          <w:szCs w:val="21"/>
          <w:lang w:val="en-US" w:eastAsia="zh-CN" w:bidi="ar"/>
          <w14:textFill>
            <w14:solidFill>
              <w14:schemeClr w14:val="tx1"/>
            </w14:solidFill>
          </w14:textFill>
        </w:rPr>
        <w:t>https://ggzyjy.nanyang.gov.cn/BidOpening/bidopeninghallaction/hall/login</w:t>
      </w: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w:t>
      </w:r>
      <w:r>
        <w:rPr>
          <w:rFonts w:hint="eastAsia" w:ascii="Arial" w:hAnsi="Arial" w:cs="Arial"/>
          <w:position w:val="5"/>
          <w:sz w:val="24"/>
          <w:szCs w:val="24"/>
          <w:lang w:eastAsia="zh-CN"/>
        </w:rPr>
        <w:t>。</w:t>
      </w:r>
    </w:p>
    <w:p>
      <w:pPr>
        <w:keepNext w:val="0"/>
        <w:keepLines w:val="0"/>
        <w:pageBreakBefore w:val="0"/>
        <w:kinsoku/>
        <w:wordWrap w:val="0"/>
        <w:overflowPunct/>
        <w:topLinePunct w:val="0"/>
        <w:bidi w:val="0"/>
        <w:spacing w:line="269" w:lineRule="auto"/>
        <w:jc w:val="both"/>
        <w:rPr>
          <w:rFonts w:ascii="Arial"/>
          <w:sz w:val="21"/>
        </w:rPr>
      </w:pPr>
    </w:p>
    <w:p>
      <w:pPr>
        <w:keepNext w:val="0"/>
        <w:keepLines w:val="0"/>
        <w:pageBreakBefore w:val="0"/>
        <w:kinsoku/>
        <w:wordWrap w:val="0"/>
        <w:overflowPunct/>
        <w:topLinePunct w:val="0"/>
        <w:bidi w:val="0"/>
        <w:spacing w:line="269" w:lineRule="auto"/>
        <w:jc w:val="both"/>
        <w:rPr>
          <w:rFonts w:ascii="Arial"/>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6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13 </w:t>
      </w:r>
      <w:r>
        <w:rPr>
          <w:rFonts w:hint="eastAsia" w:asciiTheme="minorEastAsia" w:hAnsiTheme="minorEastAsia" w:eastAsiaTheme="minorEastAsia" w:cstheme="minorEastAsia"/>
          <w:spacing w:val="-13"/>
          <w:sz w:val="24"/>
          <w:szCs w:val="24"/>
        </w:rPr>
        <w:t>日至_</w:t>
      </w: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3"/>
          <w:sz w:val="24"/>
          <w:szCs w:val="24"/>
        </w:rPr>
        <w:t>___年</w:t>
      </w:r>
      <w:r>
        <w:rPr>
          <w:rFonts w:hint="eastAsia" w:asciiTheme="minorEastAsia" w:hAnsiTheme="minorEastAsia" w:eastAsiaTheme="minorEastAsia" w:cstheme="minorEastAsia"/>
          <w:spacing w:val="-13"/>
          <w:sz w:val="24"/>
          <w:szCs w:val="24"/>
          <w:u w:val="single"/>
          <w:lang w:val="en-US" w:eastAsia="zh-CN"/>
        </w:rPr>
        <w:t xml:space="preserve"> 6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17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pPr>
        <w:keepNext w:val="0"/>
        <w:keepLines w:val="0"/>
        <w:pageBreakBefore w:val="0"/>
        <w:kinsoku/>
        <w:wordWrap w:val="0"/>
        <w:overflowPunct/>
        <w:topLinePunct w:val="0"/>
        <w:bidi w:val="0"/>
        <w:spacing w:line="259" w:lineRule="auto"/>
        <w:jc w:val="both"/>
        <w:rPr>
          <w:rFonts w:ascii="Arial"/>
          <w:sz w:val="21"/>
        </w:rPr>
      </w:pPr>
    </w:p>
    <w:p>
      <w:pPr>
        <w:keepNext w:val="0"/>
        <w:keepLines w:val="0"/>
        <w:pageBreakBefore w:val="0"/>
        <w:kinsoku/>
        <w:wordWrap w:val="0"/>
        <w:overflowPunct/>
        <w:topLinePunct w:val="0"/>
        <w:bidi w:val="0"/>
        <w:spacing w:line="260" w:lineRule="auto"/>
        <w:jc w:val="both"/>
        <w:rPr>
          <w:rFonts w:ascii="Arial"/>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sz w:val="24"/>
          <w:szCs w:val="24"/>
          <w:lang w:val="en-US" w:eastAsia="zh-CN"/>
        </w:rPr>
        <w:t>本次招标公告在河南省政府采购网、南阳市公共资源交易中心网发布。</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名称：南阳市公安局</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spacing w:val="-15"/>
          <w:sz w:val="24"/>
          <w:szCs w:val="24"/>
          <w:lang w:val="en-US" w:eastAsia="zh-CN"/>
        </w:rPr>
        <w:t>卧龙区张衡路1号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w:t>
      </w:r>
      <w:r>
        <w:rPr>
          <w:rFonts w:hint="eastAsia" w:asciiTheme="minorEastAsia" w:hAnsiTheme="minorEastAsia" w:eastAsiaTheme="minorEastAsia" w:cstheme="minorEastAsia"/>
          <w:spacing w:val="-15"/>
          <w:sz w:val="24"/>
          <w:szCs w:val="24"/>
        </w:rPr>
        <w:t>乔峰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联系方式：0377-61226172</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4"/>
          <w:sz w:val="24"/>
          <w:szCs w:val="24"/>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sz w:val="24"/>
          <w:szCs w:val="24"/>
          <w:u w:val="none" w:color="auto"/>
          <w:lang w:val="en-US" w:eastAsia="zh-CN"/>
        </w:rPr>
        <w:t>南阳市范蠡东路与南都路交叉口市民服务中心中区3号楼5楼</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联系人：潘高</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0377-61176178</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w:t>
      </w:r>
      <w:r>
        <w:rPr>
          <w:rFonts w:hint="eastAsia" w:ascii="仿宋_GB2312" w:hAnsi="宋体" w:eastAsia="仿宋_GB2312"/>
          <w:sz w:val="28"/>
          <w:szCs w:val="28"/>
          <w:u w:val="none"/>
          <w:lang w:eastAsia="zh-CN"/>
        </w:rPr>
        <w:t>nyszfcgzx@126.com</w:t>
      </w:r>
      <w:r>
        <w:rPr>
          <w:rFonts w:hint="eastAsia" w:asciiTheme="minorEastAsia" w:hAnsiTheme="minorEastAsia" w:eastAsiaTheme="minorEastAsia" w:cstheme="minorEastAsia"/>
          <w:spacing w:val="-15"/>
          <w:sz w:val="24"/>
          <w:szCs w:val="24"/>
          <w:u w:val="none"/>
          <w:lang w:val="en-US" w:eastAsia="zh-CN"/>
        </w:rPr>
        <w:t xml:space="preserve">  </w:t>
      </w:r>
    </w:p>
    <w:p>
      <w:pPr>
        <w:pStyle w:val="3"/>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default" w:asciiTheme="minorEastAsia" w:hAnsiTheme="minorEastAsia" w:eastAsiaTheme="minorEastAsia" w:cstheme="minorEastAsia"/>
          <w:spacing w:val="-13"/>
          <w:sz w:val="24"/>
          <w:szCs w:val="24"/>
          <w:u w:val="none"/>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350" w:firstLineChars="25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6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13  </w:t>
      </w:r>
      <w:r>
        <w:rPr>
          <w:rFonts w:hint="eastAsia" w:asciiTheme="minorEastAsia" w:hAnsiTheme="minorEastAsia" w:eastAsiaTheme="minorEastAsia" w:cstheme="minorEastAsia"/>
          <w:spacing w:val="-13"/>
          <w:sz w:val="24"/>
          <w:szCs w:val="24"/>
        </w:rPr>
        <w:t>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14"/>
        <w:rPr>
          <w:rFonts w:hint="eastAsi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tbl>
      <w:tblPr>
        <w:tblStyle w:val="11"/>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338"/>
        <w:gridCol w:w="782"/>
        <w:gridCol w:w="792"/>
        <w:gridCol w:w="5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5" w:hRule="atLeast"/>
          <w:jc w:val="center"/>
        </w:trPr>
        <w:tc>
          <w:tcPr>
            <w:tcW w:w="1338" w:type="dxa"/>
            <w:tcBorders>
              <w:top w:val="single" w:color="auto" w:sz="4" w:space="0"/>
            </w:tcBorders>
            <w:vAlign w:val="center"/>
          </w:tcPr>
          <w:p>
            <w:pPr>
              <w:widowControl w:val="0"/>
              <w:tabs>
                <w:tab w:val="center" w:pos="561"/>
              </w:tabs>
              <w:jc w:val="both"/>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ab/>
            </w:r>
            <w:r>
              <w:rPr>
                <w:rFonts w:hint="eastAsia" w:ascii="宋体" w:hAnsi="宋体" w:eastAsia="宋体" w:cs="宋体"/>
                <w:color w:val="auto"/>
                <w:sz w:val="24"/>
                <w:szCs w:val="24"/>
                <w:highlight w:val="none"/>
                <w:vertAlign w:val="baseline"/>
                <w:lang w:val="en-US" w:eastAsia="zh-CN"/>
              </w:rPr>
              <w:t>1</w:t>
            </w:r>
          </w:p>
        </w:tc>
        <w:tc>
          <w:tcPr>
            <w:tcW w:w="1338" w:type="dxa"/>
            <w:tcBorders>
              <w:top w:val="single" w:color="auto" w:sz="4" w:space="0"/>
            </w:tcBorders>
            <w:vAlign w:val="center"/>
          </w:tcPr>
          <w:p>
            <w:pPr>
              <w:widowControl w:val="0"/>
              <w:jc w:val="center"/>
              <w:rPr>
                <w:rFonts w:hint="eastAsia" w:ascii="仿宋_GB2312" w:hAnsi="仿宋_GB2312" w:eastAsia="仿宋_GB2312" w:cs="仿宋_GB2312"/>
                <w:color w:val="auto"/>
                <w:sz w:val="21"/>
                <w:szCs w:val="21"/>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皮卡巡逻车</w:t>
            </w:r>
          </w:p>
        </w:tc>
        <w:tc>
          <w:tcPr>
            <w:tcW w:w="782" w:type="dxa"/>
            <w:tcBorders>
              <w:top w:val="single" w:color="auto" w:sz="4" w:space="0"/>
            </w:tcBorders>
            <w:vAlign w:val="center"/>
          </w:tcPr>
          <w:p>
            <w:pPr>
              <w:widowControl w:val="0"/>
              <w:ind w:firstLine="309" w:firstLineChars="0"/>
              <w:jc w:val="both"/>
              <w:rPr>
                <w:rFonts w:hint="eastAsia" w:ascii="仿宋_GB2312" w:hAnsi="仿宋_GB2312" w:eastAsia="仿宋_GB2312" w:cs="仿宋_GB2312"/>
                <w:color w:val="auto"/>
                <w:sz w:val="21"/>
                <w:szCs w:val="21"/>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792" w:type="dxa"/>
            <w:tcBorders>
              <w:top w:val="single" w:color="auto" w:sz="4" w:space="0"/>
            </w:tcBorders>
            <w:vAlign w:val="center"/>
          </w:tcPr>
          <w:p>
            <w:pPr>
              <w:widowControl w:val="0"/>
              <w:ind w:firstLine="262" w:firstLineChars="0"/>
              <w:jc w:val="both"/>
              <w:rPr>
                <w:rFonts w:hint="eastAsia" w:ascii="仿宋_GB2312" w:hAnsi="仿宋_GB2312" w:eastAsia="仿宋_GB2312" w:cs="仿宋_GB2312"/>
                <w:color w:val="auto"/>
                <w:sz w:val="21"/>
                <w:szCs w:val="21"/>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辆</w:t>
            </w:r>
          </w:p>
        </w:tc>
        <w:tc>
          <w:tcPr>
            <w:tcW w:w="5250" w:type="dxa"/>
            <w:tcBorders>
              <w:top w:val="single" w:color="auto" w:sz="4" w:space="0"/>
            </w:tcBorders>
            <w:vAlign w:val="top"/>
          </w:tcPr>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技术参数：</w:t>
            </w:r>
          </w:p>
          <w:p>
            <w:pPr>
              <w:widowControl w:val="0"/>
              <w:numPr>
                <w:ilvl w:val="0"/>
                <w:numId w:val="1"/>
              </w:numPr>
              <w:jc w:val="both"/>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i w:val="0"/>
                <w:caps w:val="0"/>
                <w:color w:val="auto"/>
                <w:spacing w:val="0"/>
                <w:sz w:val="24"/>
                <w:szCs w:val="24"/>
                <w:highlight w:val="none"/>
                <w:lang w:val="en-US" w:eastAsia="zh-CN"/>
              </w:rPr>
              <w:t>外形尺寸（mm)</w:t>
            </w:r>
            <w:r>
              <w:rPr>
                <w:rFonts w:hint="eastAsia" w:ascii="宋体" w:hAnsi="宋体" w:eastAsia="宋体" w:cs="宋体"/>
                <w:i w:val="0"/>
                <w:caps w:val="0"/>
                <w:color w:val="auto"/>
                <w:spacing w:val="0"/>
                <w:sz w:val="24"/>
                <w:szCs w:val="24"/>
                <w:highlight w:val="none"/>
                <w:lang w:eastAsia="zh-CN"/>
              </w:rPr>
              <w:t>：≥</w:t>
            </w:r>
            <w:r>
              <w:rPr>
                <w:rFonts w:hint="eastAsia" w:ascii="宋体" w:hAnsi="宋体" w:eastAsia="宋体" w:cs="宋体"/>
                <w:b w:val="0"/>
                <w:bCs w:val="0"/>
                <w:color w:val="auto"/>
                <w:sz w:val="24"/>
                <w:szCs w:val="24"/>
                <w:highlight w:val="none"/>
                <w:vertAlign w:val="baseline"/>
                <w:lang w:val="en-US" w:eastAsia="zh-CN"/>
              </w:rPr>
              <w:t>5200×1800×1700</w:t>
            </w:r>
          </w:p>
          <w:p>
            <w:pPr>
              <w:widowControl w:val="0"/>
              <w:numPr>
                <w:ilvl w:val="0"/>
                <w:numId w:val="1"/>
              </w:numPr>
              <w:jc w:val="both"/>
              <w:rPr>
                <w:rFonts w:hint="eastAsia" w:ascii="宋体" w:hAnsi="宋体" w:eastAsia="宋体" w:cs="宋体"/>
                <w:b w:val="0"/>
                <w:bCs w:val="0"/>
                <w:color w:val="auto"/>
                <w:sz w:val="24"/>
                <w:szCs w:val="24"/>
                <w:highlight w:val="none"/>
                <w:vertAlign w:val="baseline"/>
                <w:lang w:val="en-US" w:eastAsia="zh-CN"/>
              </w:rPr>
            </w:pPr>
            <w:r>
              <w:rPr>
                <w:rStyle w:val="13"/>
                <w:rFonts w:hint="eastAsia" w:ascii="宋体" w:hAnsi="宋体" w:eastAsia="宋体" w:cs="宋体"/>
                <w:b w:val="0"/>
                <w:bCs/>
                <w:i w:val="0"/>
                <w:caps w:val="0"/>
                <w:color w:val="auto"/>
                <w:spacing w:val="0"/>
                <w:sz w:val="24"/>
                <w:szCs w:val="24"/>
                <w:highlight w:val="none"/>
              </w:rPr>
              <w:t>座椅布局</w:t>
            </w:r>
            <w:r>
              <w:rPr>
                <w:rStyle w:val="13"/>
                <w:rFonts w:hint="eastAsia" w:ascii="宋体" w:hAnsi="宋体" w:eastAsia="宋体" w:cs="宋体"/>
                <w:b w:val="0"/>
                <w:bCs/>
                <w:i w:val="0"/>
                <w:caps w:val="0"/>
                <w:color w:val="auto"/>
                <w:spacing w:val="0"/>
                <w:sz w:val="24"/>
                <w:szCs w:val="24"/>
                <w:highlight w:val="none"/>
                <w:lang w:eastAsia="zh-CN"/>
              </w:rPr>
              <w:t>：</w:t>
            </w:r>
            <w:r>
              <w:rPr>
                <w:rFonts w:hint="eastAsia" w:ascii="宋体" w:hAnsi="宋体" w:eastAsia="宋体" w:cs="宋体"/>
                <w:b w:val="0"/>
                <w:bCs w:val="0"/>
                <w:color w:val="auto"/>
                <w:sz w:val="24"/>
                <w:szCs w:val="24"/>
                <w:highlight w:val="none"/>
                <w:vertAlign w:val="baseline"/>
                <w:lang w:val="en-US" w:eastAsia="zh-CN"/>
              </w:rPr>
              <w:t>2+3</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i w:val="0"/>
                <w:caps w:val="0"/>
                <w:color w:val="auto"/>
                <w:spacing w:val="0"/>
                <w:sz w:val="24"/>
                <w:szCs w:val="24"/>
                <w:highlight w:val="none"/>
              </w:rPr>
              <w:t>油箱容积（L）</w:t>
            </w:r>
            <w:r>
              <w:rPr>
                <w:rFonts w:hint="eastAsia" w:ascii="宋体" w:hAnsi="宋体" w:eastAsia="宋体" w:cs="宋体"/>
                <w:i w:val="0"/>
                <w:caps w:val="0"/>
                <w:color w:val="auto"/>
                <w:spacing w:val="0"/>
                <w:sz w:val="24"/>
                <w:szCs w:val="24"/>
                <w:highlight w:val="none"/>
                <w:lang w:eastAsia="zh-CN"/>
              </w:rPr>
              <w:t>：≥</w:t>
            </w:r>
            <w:r>
              <w:rPr>
                <w:rFonts w:hint="eastAsia" w:ascii="宋体" w:hAnsi="宋体" w:eastAsia="宋体" w:cs="宋体"/>
                <w:i w:val="0"/>
                <w:caps w:val="0"/>
                <w:color w:val="auto"/>
                <w:spacing w:val="0"/>
                <w:sz w:val="24"/>
                <w:szCs w:val="24"/>
                <w:highlight w:val="none"/>
                <w:lang w:val="en-US" w:eastAsia="zh-CN"/>
              </w:rPr>
              <w:t>70</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防抱死系统：标配</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前悬（mm)：≤900</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后悬（mm)：≥1200</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i w:val="0"/>
                <w:caps w:val="0"/>
                <w:color w:val="auto"/>
                <w:spacing w:val="0"/>
                <w:sz w:val="24"/>
                <w:szCs w:val="24"/>
                <w:highlight w:val="none"/>
              </w:rPr>
              <w:t>轮毂</w:t>
            </w:r>
            <w:r>
              <w:rPr>
                <w:rFonts w:hint="eastAsia" w:ascii="宋体" w:hAnsi="宋体" w:eastAsia="宋体" w:cs="宋体"/>
                <w:i w:val="0"/>
                <w:caps w:val="0"/>
                <w:color w:val="auto"/>
                <w:spacing w:val="0"/>
                <w:sz w:val="24"/>
                <w:szCs w:val="24"/>
                <w:highlight w:val="none"/>
                <w:lang w:eastAsia="zh-CN"/>
              </w:rPr>
              <w:t>：≥</w:t>
            </w:r>
            <w:r>
              <w:rPr>
                <w:rFonts w:hint="eastAsia" w:ascii="宋体" w:hAnsi="宋体" w:eastAsia="宋体" w:cs="宋体"/>
                <w:b w:val="0"/>
                <w:bCs w:val="0"/>
                <w:color w:val="auto"/>
                <w:sz w:val="24"/>
                <w:szCs w:val="24"/>
                <w:highlight w:val="none"/>
                <w:vertAlign w:val="baseline"/>
                <w:lang w:val="en-US" w:eastAsia="zh-CN"/>
              </w:rPr>
              <w:t>255/70R16铝轮毂</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发动机排量（L）：2.0-3.0</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发动机净功率（KW)：125-135</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燃油类型：汽油</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准托挂车总质量（kg)：≥2000</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整备质量（kg)：≤1800</w:t>
            </w:r>
          </w:p>
          <w:p>
            <w:pPr>
              <w:widowControl w:val="0"/>
              <w:numPr>
                <w:ilvl w:val="0"/>
                <w:numId w:val="1"/>
              </w:numPr>
              <w:ind w:left="0" w:leftChars="0" w:firstLine="0" w:firstLineChars="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驱动和变速配置：手动两驱</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改装要求：</w:t>
            </w:r>
          </w:p>
          <w:p>
            <w:pPr>
              <w:widowControl w:val="0"/>
              <w:numPr>
                <w:ilvl w:val="0"/>
                <w:numId w:val="2"/>
              </w:numPr>
              <w:ind w:leftChars="0"/>
              <w:jc w:val="left"/>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车身外观：04制式外观</w:t>
            </w:r>
          </w:p>
          <w:p>
            <w:pPr>
              <w:widowControl w:val="0"/>
              <w:snapToGrid/>
              <w:spacing w:before="0" w:beforeAutospacing="0" w:after="0" w:afterAutospacing="0" w:line="240" w:lineRule="auto"/>
              <w:jc w:val="both"/>
              <w:textAlignment w:val="baseline"/>
              <w:rPr>
                <w:rFonts w:hint="eastAsia" w:ascii="宋体" w:hAnsi="宋体" w:eastAsia="宋体" w:cs="宋体"/>
                <w:b w:val="0"/>
                <w:bCs/>
                <w:i w:val="0"/>
                <w:caps w:val="0"/>
                <w:color w:val="auto"/>
                <w:spacing w:val="0"/>
                <w:w w:val="100"/>
                <w:kern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2、长条警灯：1.2M 100W警报器，</w:t>
            </w:r>
            <w:r>
              <w:rPr>
                <w:rFonts w:hint="eastAsia" w:ascii="宋体" w:hAnsi="宋体" w:eastAsia="宋体" w:cs="宋体"/>
                <w:b w:val="0"/>
                <w:bCs/>
                <w:i w:val="0"/>
                <w:caps w:val="0"/>
                <w:color w:val="auto"/>
                <w:spacing w:val="0"/>
                <w:w w:val="100"/>
                <w:kern w:val="0"/>
                <w:sz w:val="24"/>
                <w:szCs w:val="24"/>
                <w:highlight w:val="none"/>
                <w:lang w:val="en-US" w:eastAsia="zh-CN"/>
              </w:rPr>
              <w:t>警灯参数：光源：LED</w:t>
            </w:r>
          </w:p>
          <w:p>
            <w:pPr>
              <w:widowControl w:val="0"/>
              <w:snapToGrid/>
              <w:spacing w:before="0" w:beforeAutospacing="0" w:after="0" w:afterAutospacing="0" w:line="240" w:lineRule="auto"/>
              <w:jc w:val="both"/>
              <w:textAlignment w:val="baseline"/>
              <w:rPr>
                <w:rFonts w:hint="eastAsia" w:ascii="宋体" w:hAnsi="宋体" w:eastAsia="宋体" w:cs="宋体"/>
                <w:b w:val="0"/>
                <w:bCs/>
                <w:i w:val="0"/>
                <w:caps w:val="0"/>
                <w:color w:val="auto"/>
                <w:spacing w:val="0"/>
                <w:w w:val="100"/>
                <w:kern w:val="0"/>
                <w:sz w:val="24"/>
                <w:szCs w:val="24"/>
                <w:highlight w:val="none"/>
                <w:lang w:val="en-US" w:eastAsia="zh-CN"/>
              </w:rPr>
            </w:pPr>
            <w:r>
              <w:rPr>
                <w:rFonts w:hint="eastAsia" w:ascii="宋体" w:hAnsi="宋体" w:eastAsia="宋体" w:cs="宋体"/>
                <w:b w:val="0"/>
                <w:bCs/>
                <w:i w:val="0"/>
                <w:caps w:val="0"/>
                <w:color w:val="auto"/>
                <w:spacing w:val="0"/>
                <w:w w:val="100"/>
                <w:kern w:val="0"/>
                <w:sz w:val="24"/>
                <w:szCs w:val="24"/>
                <w:highlight w:val="none"/>
                <w:lang w:val="en-US" w:eastAsia="zh-CN"/>
              </w:rPr>
              <w:t>光源数量：</w:t>
            </w:r>
            <w:r>
              <w:rPr>
                <w:rFonts w:hint="eastAsia" w:ascii="宋体" w:hAnsi="宋体" w:eastAsia="宋体" w:cs="宋体"/>
                <w:i w:val="0"/>
                <w:caps w:val="0"/>
                <w:color w:val="auto"/>
                <w:spacing w:val="0"/>
                <w:sz w:val="24"/>
                <w:szCs w:val="24"/>
                <w:highlight w:val="none"/>
                <w:lang w:eastAsia="zh-CN"/>
              </w:rPr>
              <w:t>≥</w:t>
            </w:r>
            <w:r>
              <w:rPr>
                <w:rFonts w:hint="eastAsia" w:ascii="宋体" w:hAnsi="宋体" w:eastAsia="宋体" w:cs="宋体"/>
                <w:b w:val="0"/>
                <w:bCs/>
                <w:i w:val="0"/>
                <w:caps w:val="0"/>
                <w:color w:val="auto"/>
                <w:spacing w:val="0"/>
                <w:w w:val="100"/>
                <w:kern w:val="0"/>
                <w:sz w:val="24"/>
                <w:szCs w:val="24"/>
                <w:highlight w:val="none"/>
                <w:lang w:val="en-US" w:eastAsia="zh-CN"/>
              </w:rPr>
              <w:t>12、辅助光源数量：</w:t>
            </w:r>
            <w:r>
              <w:rPr>
                <w:rFonts w:hint="eastAsia" w:ascii="宋体" w:hAnsi="宋体" w:eastAsia="宋体" w:cs="宋体"/>
                <w:i w:val="0"/>
                <w:caps w:val="0"/>
                <w:color w:val="auto"/>
                <w:spacing w:val="0"/>
                <w:sz w:val="24"/>
                <w:szCs w:val="24"/>
                <w:highlight w:val="none"/>
                <w:lang w:eastAsia="zh-CN"/>
              </w:rPr>
              <w:t>≥</w:t>
            </w:r>
            <w:r>
              <w:rPr>
                <w:rFonts w:hint="eastAsia" w:ascii="宋体" w:hAnsi="宋体" w:eastAsia="宋体" w:cs="宋体"/>
                <w:b w:val="0"/>
                <w:bCs/>
                <w:i w:val="0"/>
                <w:caps w:val="0"/>
                <w:color w:val="auto"/>
                <w:spacing w:val="0"/>
                <w:w w:val="100"/>
                <w:kern w:val="0"/>
                <w:sz w:val="24"/>
                <w:szCs w:val="24"/>
                <w:highlight w:val="none"/>
                <w:lang w:val="en-US" w:eastAsia="zh-CN"/>
              </w:rPr>
              <w:t>2只。</w:t>
            </w:r>
          </w:p>
          <w:p>
            <w:pPr>
              <w:widowControl w:val="0"/>
              <w:snapToGrid/>
              <w:spacing w:before="0" w:beforeAutospacing="0" w:after="0" w:afterAutospacing="0" w:line="240" w:lineRule="auto"/>
              <w:jc w:val="both"/>
              <w:textAlignment w:val="baseline"/>
              <w:rPr>
                <w:rFonts w:hint="eastAsia" w:ascii="宋体" w:hAnsi="宋体" w:eastAsia="宋体" w:cs="宋体"/>
                <w:b w:val="0"/>
                <w:bCs/>
                <w:i w:val="0"/>
                <w:caps w:val="0"/>
                <w:color w:val="auto"/>
                <w:spacing w:val="0"/>
                <w:w w:val="100"/>
                <w:kern w:val="0"/>
                <w:sz w:val="24"/>
                <w:szCs w:val="24"/>
                <w:highlight w:val="none"/>
                <w:lang w:val="en-US" w:eastAsia="zh-CN"/>
              </w:rPr>
            </w:pPr>
            <w:r>
              <w:rPr>
                <w:rFonts w:hint="eastAsia" w:ascii="宋体" w:hAnsi="宋体" w:eastAsia="宋体" w:cs="宋体"/>
                <w:b w:val="0"/>
                <w:bCs/>
                <w:i w:val="0"/>
                <w:caps w:val="0"/>
                <w:color w:val="auto"/>
                <w:spacing w:val="0"/>
                <w:w w:val="100"/>
                <w:kern w:val="0"/>
                <w:sz w:val="24"/>
                <w:szCs w:val="24"/>
                <w:highlight w:val="none"/>
                <w:lang w:val="en-US" w:eastAsia="zh-CN"/>
              </w:rPr>
              <w:t>3、爆闪灯：安装进气格栅红蓝爆闪，爆闪灯参数：额定电压：10-13.5V、工作温度：-40℃-65℃、发光强调：红≥500cd、蓝≥200cd、执行标准：GB13954-2009、LED灯管使用寿命：≥20000h。</w:t>
            </w:r>
          </w:p>
          <w:p>
            <w:pPr>
              <w:widowControl w:val="0"/>
              <w:numPr>
                <w:ilvl w:val="0"/>
                <w:numId w:val="0"/>
              </w:numPr>
              <w:jc w:val="left"/>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4、</w:t>
            </w:r>
            <w:r>
              <w:rPr>
                <w:rFonts w:hint="eastAsia" w:ascii="宋体" w:hAnsi="宋体" w:eastAsia="宋体" w:cs="宋体"/>
                <w:b w:val="0"/>
                <w:bCs/>
                <w:i w:val="0"/>
                <w:caps w:val="0"/>
                <w:color w:val="auto"/>
                <w:spacing w:val="0"/>
                <w:w w:val="100"/>
                <w:kern w:val="0"/>
                <w:sz w:val="24"/>
                <w:szCs w:val="24"/>
                <w:highlight w:val="none"/>
                <w:lang w:val="en-US" w:eastAsia="zh-CN"/>
              </w:rPr>
              <w:t>龙门架并配备爆闪灯：采用不锈钢材质，做</w:t>
            </w:r>
            <w:r>
              <w:rPr>
                <w:rFonts w:hint="eastAsia" w:ascii="宋体" w:hAnsi="宋体" w:eastAsia="宋体" w:cs="宋体"/>
                <w:b w:val="0"/>
                <w:bCs w:val="0"/>
                <w:color w:val="auto"/>
                <w:sz w:val="24"/>
                <w:szCs w:val="24"/>
                <w:highlight w:val="none"/>
                <w:vertAlign w:val="baseline"/>
                <w:lang w:val="en-US" w:eastAsia="zh-CN"/>
              </w:rPr>
              <w:t>嵌入式框架用于安装爆闪灯。车厢两侧及后部三红三蓝长条爆闪灯。</w:t>
            </w:r>
            <w:r>
              <w:rPr>
                <w:rFonts w:hint="eastAsia" w:ascii="宋体" w:hAnsi="宋体" w:eastAsia="宋体" w:cs="宋体"/>
                <w:b w:val="0"/>
                <w:bCs/>
                <w:i w:val="0"/>
                <w:caps w:val="0"/>
                <w:color w:val="auto"/>
                <w:spacing w:val="0"/>
                <w:w w:val="100"/>
                <w:kern w:val="0"/>
                <w:sz w:val="24"/>
                <w:szCs w:val="24"/>
                <w:highlight w:val="none"/>
                <w:lang w:val="en-US" w:eastAsia="zh-CN"/>
              </w:rPr>
              <w:t>爆闪参数：封装3W、12种模式、光源颜色：红、蓝、工作电压：10-30V、防护等级：IP67、尺寸（mm）：≥130*25*9、制造标准：GB13954。</w:t>
            </w:r>
          </w:p>
          <w:p>
            <w:pPr>
              <w:widowControl w:val="0"/>
              <w:numPr>
                <w:ilvl w:val="0"/>
                <w:numId w:val="0"/>
              </w:numPr>
              <w:jc w:val="left"/>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5、伸缩盖：后斗安装，</w:t>
            </w:r>
            <w:r>
              <w:rPr>
                <w:rFonts w:hint="eastAsia" w:ascii="宋体" w:hAnsi="宋体" w:eastAsia="宋体" w:cs="宋体"/>
                <w:b w:val="0"/>
                <w:bCs/>
                <w:i w:val="0"/>
                <w:caps w:val="0"/>
                <w:color w:val="auto"/>
                <w:spacing w:val="0"/>
                <w:w w:val="100"/>
                <w:kern w:val="0"/>
                <w:sz w:val="24"/>
                <w:szCs w:val="24"/>
                <w:highlight w:val="none"/>
                <w:lang w:val="en-US" w:eastAsia="zh-CN"/>
              </w:rPr>
              <w:t>采用铝合金材质，可以自由伸缩，配备防盗锁。</w:t>
            </w:r>
          </w:p>
          <w:p>
            <w:pPr>
              <w:widowControl w:val="0"/>
              <w:numPr>
                <w:ilvl w:val="0"/>
                <w:numId w:val="0"/>
              </w:numPr>
              <w:jc w:val="left"/>
              <w:rPr>
                <w:rFonts w:hint="eastAsia" w:ascii="宋体" w:hAnsi="宋体" w:eastAsia="宋体" w:cs="宋体"/>
                <w:b w:val="0"/>
                <w:i w:val="0"/>
                <w:caps w:val="0"/>
                <w:color w:val="auto"/>
                <w:spacing w:val="0"/>
                <w:w w:val="100"/>
                <w:kern w:val="0"/>
                <w:sz w:val="24"/>
                <w:szCs w:val="24"/>
                <w:highlight w:val="none"/>
                <w:lang w:val="en-US" w:eastAsia="zh-CN"/>
              </w:rPr>
            </w:pPr>
            <w:r>
              <w:rPr>
                <w:rFonts w:hint="eastAsia" w:ascii="宋体" w:hAnsi="宋体" w:eastAsia="宋体" w:cs="宋体"/>
                <w:b w:val="0"/>
                <w:bCs w:val="0"/>
                <w:color w:val="auto"/>
                <w:sz w:val="24"/>
                <w:szCs w:val="24"/>
                <w:highlight w:val="none"/>
                <w:vertAlign w:val="baseline"/>
                <w:lang w:val="en-US" w:eastAsia="zh-CN"/>
              </w:rPr>
              <w:t>6、牵引系统：</w:t>
            </w:r>
            <w:r>
              <w:rPr>
                <w:rFonts w:hint="eastAsia" w:ascii="宋体" w:hAnsi="宋体" w:eastAsia="宋体" w:cs="宋体"/>
                <w:b w:val="0"/>
                <w:bCs/>
                <w:i w:val="0"/>
                <w:caps w:val="0"/>
                <w:color w:val="auto"/>
                <w:spacing w:val="0"/>
                <w:w w:val="100"/>
                <w:kern w:val="0"/>
                <w:sz w:val="24"/>
                <w:szCs w:val="24"/>
                <w:highlight w:val="none"/>
                <w:lang w:val="en-US" w:eastAsia="zh-CN"/>
              </w:rPr>
              <w:t>定制标准件，带流氓钩。</w:t>
            </w:r>
          </w:p>
          <w:p>
            <w:pPr>
              <w:widowControl w:val="0"/>
              <w:numPr>
                <w:ilvl w:val="0"/>
                <w:numId w:val="0"/>
              </w:numPr>
              <w:jc w:val="both"/>
              <w:rPr>
                <w:rFonts w:hint="default" w:ascii="仿宋_GB2312" w:hAnsi="仿宋_GB2312" w:eastAsia="仿宋_GB2312" w:cs="仿宋_GB2312"/>
                <w:b w:val="0"/>
                <w:bCs w:val="0"/>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4" w:hRule="atLeast"/>
          <w:jc w:val="center"/>
        </w:trPr>
        <w:tc>
          <w:tcPr>
            <w:tcW w:w="1338" w:type="dxa"/>
            <w:vAlign w:val="center"/>
          </w:tcPr>
          <w:p>
            <w:pPr>
              <w:widowControl w:val="0"/>
              <w:ind w:firstLine="589" w:firstLineChars="0"/>
              <w:jc w:val="both"/>
              <w:rPr>
                <w:rFonts w:hint="default"/>
                <w:color w:val="auto"/>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338" w:type="dxa"/>
            <w:vAlign w:val="center"/>
          </w:tcPr>
          <w:p>
            <w:pPr>
              <w:widowControl w:val="0"/>
              <w:jc w:val="both"/>
              <w:rPr>
                <w:rFonts w:hint="default"/>
                <w:color w:val="auto"/>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警犬运输车</w:t>
            </w:r>
          </w:p>
        </w:tc>
        <w:tc>
          <w:tcPr>
            <w:tcW w:w="782" w:type="dxa"/>
            <w:vAlign w:val="center"/>
          </w:tcPr>
          <w:p>
            <w:pPr>
              <w:widowControl w:val="0"/>
              <w:ind w:firstLine="298" w:firstLineChars="0"/>
              <w:jc w:val="both"/>
              <w:rPr>
                <w:rFonts w:hint="default"/>
                <w:color w:val="auto"/>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792" w:type="dxa"/>
            <w:vAlign w:val="center"/>
          </w:tcPr>
          <w:p>
            <w:pPr>
              <w:widowControl w:val="0"/>
              <w:ind w:firstLine="240" w:firstLineChars="100"/>
              <w:jc w:val="both"/>
              <w:rPr>
                <w:rFonts w:hint="default"/>
                <w:color w:val="auto"/>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辆</w:t>
            </w:r>
          </w:p>
        </w:tc>
        <w:tc>
          <w:tcPr>
            <w:tcW w:w="5250" w:type="dxa"/>
            <w:vAlign w:val="top"/>
          </w:tcPr>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技术参数：</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1、外形尺寸（mm)：≥5600×1800×1800</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2、货箱尺寸（mm）：≥1700×1500×500</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3、轴距（mm）：≥3400</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4、变速箱：2.0TGI发动机+8挡自动</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5、悬挂系统：前双叉臂式独立悬架/后钢板弹簧非独立悬架</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6、驱动方式：前置四驱/</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7、最大功率（KW）：≥140</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8、最大马力（ps）：≥190</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9、助力类型：液压助力</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10、车体结构：非承载式</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11、轮毂：≥</w:t>
            </w:r>
            <w:r>
              <w:rPr>
                <w:rFonts w:hint="eastAsia" w:ascii="宋体" w:hAnsi="宋体" w:eastAsia="宋体" w:cs="宋体"/>
                <w:i w:val="0"/>
                <w:caps w:val="0"/>
                <w:color w:val="auto"/>
                <w:spacing w:val="0"/>
                <w:sz w:val="24"/>
                <w:szCs w:val="24"/>
                <w:highlight w:val="none"/>
              </w:rPr>
              <w:t>245/70</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eastAsia="宋体" w:cs="宋体"/>
                <w:color w:val="auto"/>
                <w:sz w:val="24"/>
                <w:szCs w:val="24"/>
                <w:highlight w:val="none"/>
                <w:vertAlign w:val="baseline"/>
                <w:lang w:val="en-US" w:eastAsia="zh-CN"/>
              </w:rPr>
              <w:t>R17</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改装要求：</w:t>
            </w:r>
          </w:p>
          <w:p>
            <w:pPr>
              <w:widowControl w:val="0"/>
              <w:numPr>
                <w:ilvl w:val="0"/>
                <w:numId w:val="3"/>
              </w:numPr>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车身局部改制  预埋加强、加固、开孔</w:t>
            </w:r>
          </w:p>
          <w:p>
            <w:pPr>
              <w:widowControl w:val="0"/>
              <w:numPr>
                <w:ilvl w:val="0"/>
                <w:numId w:val="3"/>
              </w:numPr>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舱盖：铝型材整体后厢体，更加轻量化，左右后均设有手动换气百叶窗结构，使用方便。</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3、犬笼：车厢宽160公分，犬笼四个，每个宽80公分x70高，可调节为一个100公分x70公分，另一个40公分x70公分，装两头大型犬，两头小型犬。铝合金上掀门，左右两侧开门，2个独立仓，可用活动隔板隔开。</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4、辅助系统</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地板及侧围挡改制：犬笼区铺设防滑面板，地板整体无焊点，侧围挡改制为储物箱，可存放物品。</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不锈钢地漏：不锈钢地漏，可排出舱内污水。</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吸底式水箱：不锈钢净水箱，配套增压喷水枪、水管、220V 压力泵。</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U型警灯套装：铝合金整体外壳，LED多种颜色爆闪灯，亮度强。</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中网爆闪灯：铝型压制外壳散热速快，防水密封性好，防进水防雾气。</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车载空调：独立车载顶部空调，车辆启动支持供电、静音无噪。</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5、电气系统</w:t>
            </w:r>
            <w:r>
              <w:rPr>
                <w:rFonts w:hint="eastAsia" w:ascii="宋体" w:hAnsi="宋体" w:eastAsia="宋体" w:cs="宋体"/>
                <w:color w:val="auto"/>
                <w:sz w:val="24"/>
                <w:szCs w:val="24"/>
                <w:highlight w:val="none"/>
                <w:vertAlign w:val="baseline"/>
                <w:lang w:val="en-US" w:eastAsia="zh-CN"/>
              </w:rPr>
              <w:tab/>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电气系统线路改装要求：整车独立电路设计，设置上装专用保险丝盒（设置永久性标签用于标志各保险用途），所有线路均采用国标4平方铜芯线，使用套管保护，并采用不同颜色及线号区分线路连接形式、作用,电线标称电流大于电线实际通电电流125%，并采用防水端子连接，电路灯具均受继电器电流/电压过载保护。后器材箱附加电器箱线路中，均采用线槽予以保护，并设有防震设施，确保车身安全。</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警灯警报器要求：（1）、驾驶室顶部配备长排警灯(长度1.2m,功率100W)，警报器位于驾驶室底盘仪表板空余处，附有扩音系统(功率100瓦)，在驾驶室可控制扩音器.（2）、车身两侧上方安装红蓝色频闪灯（间距0.5m），并配备安装45°侧照明灯（功率：12V  20W）。下方按照安全标志灯及标志贴，并符合GB4758的规定要求。（3）、车顶后部设置外部照明灯2只（12V、50W），可以360度回转，上下旋转120度，开关为无线遥控开关，用于夜间救援作业辅助照明。</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6、外饰涂装</w:t>
            </w:r>
          </w:p>
          <w:p>
            <w:pPr>
              <w:widowControl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外观喷涂：标准特警制式喷涂或公安制式喷涂，含徽标，喷字</w:t>
            </w:r>
          </w:p>
          <w:p>
            <w:pPr>
              <w:widowControl w:val="0"/>
              <w:jc w:val="both"/>
              <w:rPr>
                <w:rFonts w:hint="default"/>
                <w:color w:val="auto"/>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1" w:hRule="atLeast"/>
          <w:jc w:val="center"/>
        </w:trPr>
        <w:tc>
          <w:tcPr>
            <w:tcW w:w="1338" w:type="dxa"/>
            <w:vAlign w:val="center"/>
          </w:tcPr>
          <w:p>
            <w:pPr>
              <w:widowControl w:val="0"/>
              <w:jc w:val="center"/>
              <w:rPr>
                <w:rFonts w:hint="default"/>
                <w:color w:val="auto"/>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1338" w:type="dxa"/>
            <w:vAlign w:val="center"/>
          </w:tcPr>
          <w:p>
            <w:pPr>
              <w:widowControl w:val="0"/>
              <w:ind w:left="420" w:hanging="480" w:hangingChars="200"/>
              <w:jc w:val="both"/>
              <w:rPr>
                <w:rFonts w:hint="default"/>
                <w:color w:val="auto"/>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MPV特种巡逻车</w:t>
            </w:r>
          </w:p>
        </w:tc>
        <w:tc>
          <w:tcPr>
            <w:tcW w:w="782" w:type="dxa"/>
            <w:vAlign w:val="center"/>
          </w:tcPr>
          <w:p>
            <w:pPr>
              <w:widowControl w:val="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792" w:type="dxa"/>
            <w:vAlign w:val="center"/>
          </w:tcPr>
          <w:p>
            <w:pPr>
              <w:widowControl w:val="0"/>
              <w:ind w:firstLine="240" w:firstLineChars="100"/>
              <w:jc w:val="both"/>
              <w:rPr>
                <w:rFonts w:hint="default"/>
                <w:color w:val="auto"/>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辆</w:t>
            </w:r>
          </w:p>
        </w:tc>
        <w:tc>
          <w:tcPr>
            <w:tcW w:w="5250" w:type="dxa"/>
            <w:vAlign w:val="top"/>
          </w:tcPr>
          <w:p>
            <w:pPr>
              <w:widowControl w:val="0"/>
              <w:jc w:val="left"/>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技术参数：</w:t>
            </w:r>
          </w:p>
          <w:p>
            <w:pPr>
              <w:widowControl w:val="0"/>
              <w:numPr>
                <w:ilvl w:val="0"/>
                <w:numId w:val="4"/>
              </w:numPr>
              <w:jc w:val="both"/>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lang w:val="en-US" w:eastAsia="zh-CN"/>
                <w14:textFill>
                  <w14:solidFill>
                    <w14:schemeClr w14:val="tx1"/>
                  </w14:solidFill>
                </w14:textFill>
              </w:rPr>
              <w:t>外形尺寸（mm)</w:t>
            </w:r>
            <w:r>
              <w:rPr>
                <w:rFonts w:hint="eastAsia" w:ascii="宋体" w:hAnsi="宋体" w:eastAsia="宋体" w:cs="宋体"/>
                <w:i w:val="0"/>
                <w:caps w:val="0"/>
                <w:color w:val="000000" w:themeColor="text1"/>
                <w:spacing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5100×1800×1800</w:t>
            </w:r>
          </w:p>
          <w:p>
            <w:pPr>
              <w:widowControl w:val="0"/>
              <w:numPr>
                <w:ilvl w:val="0"/>
                <w:numId w:val="0"/>
              </w:numPr>
              <w:ind w:leftChars="0"/>
              <w:jc w:val="left"/>
              <w:rPr>
                <w:rFonts w:hint="eastAsia" w:ascii="宋体" w:hAnsi="宋体" w:eastAsia="宋体" w:cs="宋体"/>
                <w:i w:val="0"/>
                <w:caps w:val="0"/>
                <w:color w:val="000000" w:themeColor="text1"/>
                <w:spacing w:val="0"/>
                <w:sz w:val="24"/>
                <w:szCs w:val="24"/>
                <w:highlight w:val="none"/>
                <w14:textFill>
                  <w14:solidFill>
                    <w14:schemeClr w14:val="tx1"/>
                  </w14:solidFill>
                </w14:textFill>
              </w:rPr>
            </w:pPr>
            <w:r>
              <w:rPr>
                <w:rStyle w:val="13"/>
                <w:rFonts w:hint="eastAsia" w:ascii="宋体" w:hAnsi="宋体" w:eastAsia="宋体" w:cs="宋体"/>
                <w:b w:val="0"/>
                <w:bCs/>
                <w:i w:val="0"/>
                <w:caps w:val="0"/>
                <w:color w:val="000000" w:themeColor="text1"/>
                <w:spacing w:val="0"/>
                <w:sz w:val="24"/>
                <w:szCs w:val="24"/>
                <w:highlight w:val="none"/>
                <w:lang w:val="en-US" w:eastAsia="zh-CN"/>
                <w14:textFill>
                  <w14:solidFill>
                    <w14:schemeClr w14:val="tx1"/>
                  </w14:solidFill>
                </w14:textFill>
              </w:rPr>
              <w:t>2、</w:t>
            </w:r>
            <w:r>
              <w:rPr>
                <w:rStyle w:val="13"/>
                <w:rFonts w:hint="eastAsia" w:ascii="宋体" w:hAnsi="宋体" w:eastAsia="宋体" w:cs="宋体"/>
                <w:b w:val="0"/>
                <w:bCs/>
                <w:i w:val="0"/>
                <w:caps w:val="0"/>
                <w:color w:val="000000" w:themeColor="text1"/>
                <w:spacing w:val="0"/>
                <w:sz w:val="24"/>
                <w:szCs w:val="24"/>
                <w:highlight w:val="none"/>
                <w14:textFill>
                  <w14:solidFill>
                    <w14:schemeClr w14:val="tx1"/>
                  </w14:solidFill>
                </w14:textFill>
              </w:rPr>
              <w:t>座椅布局</w:t>
            </w:r>
            <w:r>
              <w:rPr>
                <w:rStyle w:val="13"/>
                <w:rFonts w:hint="eastAsia" w:ascii="宋体" w:hAnsi="宋体" w:eastAsia="宋体" w:cs="宋体"/>
                <w:b w:val="0"/>
                <w:bCs/>
                <w:i w:val="0"/>
                <w:caps w:val="0"/>
                <w:color w:val="000000" w:themeColor="text1"/>
                <w:spacing w:val="0"/>
                <w:sz w:val="24"/>
                <w:szCs w:val="24"/>
                <w:highlight w:val="none"/>
                <w:lang w:eastAsia="zh-CN"/>
                <w14:textFill>
                  <w14:solidFill>
                    <w14:schemeClr w14:val="tx1"/>
                  </w14:solidFill>
                </w14:textFill>
              </w:rPr>
              <w:t>：</w:t>
            </w:r>
            <w:r>
              <w:rPr>
                <w:rFonts w:hint="eastAsia" w:ascii="宋体" w:hAnsi="宋体" w:eastAsia="宋体" w:cs="宋体"/>
                <w:i w:val="0"/>
                <w:caps w:val="0"/>
                <w:color w:val="000000" w:themeColor="text1"/>
                <w:spacing w:val="0"/>
                <w:sz w:val="24"/>
                <w:szCs w:val="24"/>
                <w:highlight w:val="none"/>
                <w14:textFill>
                  <w14:solidFill>
                    <w14:schemeClr w14:val="tx1"/>
                  </w14:solidFill>
                </w14:textFill>
              </w:rPr>
              <w:t>2+2+3</w:t>
            </w:r>
            <w:r>
              <w:rPr>
                <w:rFonts w:hint="eastAsia" w:ascii="宋体" w:hAnsi="宋体" w:eastAsia="宋体" w:cs="宋体"/>
                <w:i w:val="0"/>
                <w:caps w:val="0"/>
                <w:color w:val="000000" w:themeColor="text1"/>
                <w:spacing w:val="0"/>
                <w:sz w:val="24"/>
                <w:szCs w:val="24"/>
                <w:highlight w:val="none"/>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4"/>
                <w:szCs w:val="24"/>
                <w:highlight w:val="none"/>
                <w14:textFill>
                  <w14:solidFill>
                    <w14:schemeClr w14:val="tx1"/>
                  </w14:solidFill>
                </w14:textFill>
              </w:rPr>
              <w:t>七座</w:t>
            </w:r>
          </w:p>
          <w:p>
            <w:pPr>
              <w:widowControl w:val="0"/>
              <w:numPr>
                <w:ilvl w:val="0"/>
                <w:numId w:val="0"/>
              </w:numPr>
              <w:ind w:leftChars="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3、防抱死系统：标配</w:t>
            </w:r>
          </w:p>
          <w:p>
            <w:pPr>
              <w:widowControl w:val="0"/>
              <w:numPr>
                <w:ilvl w:val="0"/>
                <w:numId w:val="0"/>
              </w:numPr>
              <w:ind w:leftChars="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4、发动机净功率（KW)：≥180</w:t>
            </w:r>
          </w:p>
          <w:p>
            <w:pPr>
              <w:widowControl w:val="0"/>
              <w:numPr>
                <w:ilvl w:val="0"/>
                <w:numId w:val="0"/>
              </w:numPr>
              <w:ind w:leftChars="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5、发动机排量（mL）：1900-2100</w:t>
            </w:r>
          </w:p>
          <w:p>
            <w:pPr>
              <w:widowControl w:val="0"/>
              <w:numPr>
                <w:ilvl w:val="0"/>
                <w:numId w:val="0"/>
              </w:numPr>
              <w:ind w:leftChars="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6、燃油类型：汽油</w:t>
            </w:r>
          </w:p>
          <w:p>
            <w:pPr>
              <w:widowControl w:val="0"/>
              <w:numPr>
                <w:ilvl w:val="0"/>
                <w:numId w:val="0"/>
              </w:numPr>
              <w:ind w:leftChars="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7、轴距（mm)：≤3000</w:t>
            </w:r>
          </w:p>
          <w:p>
            <w:pPr>
              <w:widowControl w:val="0"/>
              <w:numPr>
                <w:ilvl w:val="0"/>
                <w:numId w:val="0"/>
              </w:numPr>
              <w:ind w:leftChars="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8、</w:t>
            </w:r>
            <w:r>
              <w:rPr>
                <w:rFonts w:hint="eastAsia" w:ascii="宋体" w:hAnsi="宋体" w:eastAsia="宋体" w:cs="宋体"/>
                <w:i w:val="0"/>
                <w:caps w:val="0"/>
                <w:color w:val="000000" w:themeColor="text1"/>
                <w:spacing w:val="0"/>
                <w:sz w:val="24"/>
                <w:szCs w:val="24"/>
                <w:highlight w:val="none"/>
                <w14:textFill>
                  <w14:solidFill>
                    <w14:schemeClr w14:val="tx1"/>
                  </w14:solidFill>
                </w14:textFill>
              </w:rPr>
              <w:t>轮毂</w:t>
            </w:r>
            <w:r>
              <w:rPr>
                <w:rFonts w:hint="eastAsia" w:ascii="宋体" w:hAnsi="宋体" w:eastAsia="宋体" w:cs="宋体"/>
                <w:i w:val="0"/>
                <w:caps w:val="0"/>
                <w:color w:val="000000" w:themeColor="text1"/>
                <w:spacing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255/60R17铝轮毂</w:t>
            </w:r>
          </w:p>
          <w:p>
            <w:pPr>
              <w:widowControl w:val="0"/>
              <w:jc w:val="left"/>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改装要求：</w:t>
            </w:r>
          </w:p>
          <w:p>
            <w:pPr>
              <w:widowControl w:val="0"/>
              <w:numPr>
                <w:ilvl w:val="0"/>
                <w:numId w:val="0"/>
              </w:numPr>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1、车身外观：04制式外观</w:t>
            </w:r>
          </w:p>
          <w:p>
            <w:pPr>
              <w:widowControl w:val="0"/>
              <w:snapToGrid/>
              <w:spacing w:before="0" w:beforeAutospacing="0" w:after="0" w:afterAutospacing="0" w:line="240" w:lineRule="auto"/>
              <w:jc w:val="both"/>
              <w:textAlignment w:val="baseline"/>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2、长条警灯：1.2M 100W 警报器 警灯参数：光源：LED光源数量：12辅助光源数量：2只。</w:t>
            </w:r>
          </w:p>
          <w:p>
            <w:pPr>
              <w:widowControl w:val="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3、后装备架：</w:t>
            </w: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采用激光切割工艺裁剪材料，焊接后电泳处理，然后喷黑漆，用于存放单警装备部。</w:t>
            </w:r>
          </w:p>
          <w:p>
            <w:pPr>
              <w:widowControl w:val="0"/>
              <w:jc w:val="left"/>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4、贴膜：</w:t>
            </w: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可见光透率≤16%、总太阳阻隔率≥53%</w:t>
            </w:r>
          </w:p>
          <w:p>
            <w:pPr>
              <w:widowControl w:val="0"/>
              <w:jc w:val="left"/>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紫外线阻隔率≥99%、可见光反射率≤10%、厚度≥2mil。</w:t>
            </w:r>
          </w:p>
          <w:p>
            <w:pPr>
              <w:widowControl w:val="0"/>
              <w:jc w:val="left"/>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5、行车记录仪：带前后摄像头，</w:t>
            </w: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LCD屏分辨率720P</w:t>
            </w:r>
          </w:p>
          <w:p>
            <w:pPr>
              <w:widowControl w:val="0"/>
              <w:jc w:val="left"/>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前后摄像头分辨率1080P、前置摄像头最大角度≥100°（H)，54°（V)、显示屏尺寸≥9寸</w:t>
            </w:r>
          </w:p>
          <w:p>
            <w:pPr>
              <w:widowControl w:val="0"/>
              <w:jc w:val="left"/>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vertAlign w:val="baseline"/>
                <w:lang w:val="en-US" w:eastAsia="zh-CN"/>
                <w14:textFill>
                  <w14:solidFill>
                    <w14:schemeClr w14:val="tx1"/>
                  </w14:solidFill>
                </w14:textFill>
              </w:rPr>
              <w:t xml:space="preserve">6、前爆闪灯:进气格栅红蓝爆闪 </w:t>
            </w: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前爆闪灯：额定电压10-13.5V、工作温度：-40</w:t>
            </w:r>
            <w:r>
              <w:rPr>
                <w:rFonts w:hint="eastAsia" w:ascii="宋体" w:hAnsi="宋体" w:eastAsia="宋体" w:cs="宋体"/>
                <w:b w:val="0"/>
                <w:bCs/>
                <w:i w:val="0"/>
                <w:caps w:val="0"/>
                <w:color w:val="000000" w:themeColor="text1"/>
                <w:spacing w:val="0"/>
                <w:w w:val="100"/>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-65</w:t>
            </w:r>
            <w:r>
              <w:rPr>
                <w:rFonts w:hint="eastAsia" w:ascii="宋体" w:hAnsi="宋体" w:eastAsia="宋体" w:cs="宋体"/>
                <w:b w:val="0"/>
                <w:bCs/>
                <w:i w:val="0"/>
                <w:caps w:val="0"/>
                <w:color w:val="000000" w:themeColor="text1"/>
                <w:spacing w:val="0"/>
                <w:w w:val="100"/>
                <w:kern w:val="0"/>
                <w:sz w:val="24"/>
                <w:szCs w:val="24"/>
                <w:highlight w:val="none"/>
                <w:lang w:val="en-US" w:eastAsia="zh-CN"/>
                <w14:textFill>
                  <w14:solidFill>
                    <w14:schemeClr w14:val="tx1"/>
                  </w14:solidFill>
                </w14:textFill>
              </w:rPr>
              <w:t>℃</w:t>
            </w:r>
          </w:p>
          <w:p>
            <w:pPr>
              <w:widowControl w:val="0"/>
              <w:jc w:val="left"/>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发光强调：红≥500cd、蓝：≥200cd、执行标准GB13954-2009、LED灯管使用寿命≥20000h、</w:t>
            </w:r>
          </w:p>
          <w:p>
            <w:pPr>
              <w:widowControl w:val="0"/>
              <w:numPr>
                <w:ilvl w:val="0"/>
                <w:numId w:val="0"/>
              </w:numPr>
              <w:jc w:val="left"/>
              <w:rPr>
                <w:rFonts w:hint="default" w:ascii="仿宋_GB2312" w:hAnsi="仿宋_GB2312" w:eastAsia="仿宋_GB2312" w:cs="仿宋_GB2312"/>
                <w:b w:val="0"/>
                <w:bCs w:val="0"/>
                <w:color w:val="auto"/>
                <w:sz w:val="21"/>
                <w:szCs w:val="21"/>
                <w:highlight w:val="none"/>
                <w:vertAlign w:val="baseline"/>
                <w:lang w:val="en-US" w:eastAsia="zh-CN"/>
              </w:rPr>
            </w:pPr>
          </w:p>
          <w:p>
            <w:pPr>
              <w:widowControl w:val="0"/>
              <w:numPr>
                <w:ilvl w:val="0"/>
                <w:numId w:val="0"/>
              </w:numPr>
              <w:ind w:leftChars="0"/>
              <w:jc w:val="left"/>
              <w:rPr>
                <w:rFonts w:hint="default" w:ascii="仿宋_GB2312" w:hAnsi="仿宋_GB2312" w:eastAsia="仿宋_GB2312" w:cs="仿宋_GB2312"/>
                <w:b w:val="0"/>
                <w:bCs w:val="0"/>
                <w:color w:val="auto"/>
                <w:sz w:val="21"/>
                <w:szCs w:val="21"/>
                <w:highlight w:val="none"/>
                <w:vertAlign w:val="baseline"/>
                <w:lang w:val="en-US" w:eastAsia="zh-CN"/>
              </w:rPr>
            </w:pPr>
          </w:p>
          <w:p>
            <w:pPr>
              <w:widowControl w:val="0"/>
              <w:numPr>
                <w:ilvl w:val="0"/>
                <w:numId w:val="0"/>
              </w:numPr>
              <w:ind w:leftChars="0"/>
              <w:jc w:val="left"/>
              <w:rPr>
                <w:rFonts w:hint="default" w:ascii="仿宋_GB2312" w:hAnsi="仿宋_GB2312" w:eastAsia="仿宋_GB2312" w:cs="仿宋_GB2312"/>
                <w:b w:val="0"/>
                <w:bCs w:val="0"/>
                <w:color w:val="auto"/>
                <w:sz w:val="21"/>
                <w:szCs w:val="21"/>
                <w:highlight w:val="none"/>
                <w:vertAlign w:val="baseline"/>
                <w:lang w:val="en-US" w:eastAsia="zh-CN"/>
              </w:rPr>
            </w:pPr>
          </w:p>
        </w:tc>
      </w:tr>
    </w:tbl>
    <w:p>
      <w:pPr>
        <w:jc w:val="both"/>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1.</w:t>
      </w: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交货</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时间</w:t>
      </w:r>
      <w:r>
        <w:rPr>
          <w:rFonts w:hint="eastAsia" w:asciiTheme="minorEastAsia" w:hAnsiTheme="minorEastAsia" w:eastAsiaTheme="minorEastAsia" w:cstheme="minorEastAsia"/>
          <w:color w:val="000000" w:themeColor="text1"/>
          <w:spacing w:val="-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合同签订后30日历天内供车完毕。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color w:val="000000" w:themeColor="text1"/>
          <w:spacing w:val="-2"/>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t>2.付款方式</w:t>
      </w:r>
      <w:r>
        <w:rPr>
          <w:rFonts w:hint="eastAsia" w:asciiTheme="minorEastAsia" w:hAnsiTheme="minorEastAsia" w:eastAsiaTheme="minorEastAsia" w:cstheme="minorEastAsia"/>
          <w:b w:val="0"/>
          <w:bCs w:val="0"/>
          <w:color w:val="000000" w:themeColor="text1"/>
          <w:spacing w:val="-2"/>
          <w:sz w:val="24"/>
          <w:szCs w:val="24"/>
          <w:lang w:val="en-US" w:eastAsia="zh-CN"/>
          <w14:textFill>
            <w14:solidFill>
              <w14:schemeClr w14:val="tx1"/>
            </w14:solidFill>
          </w14:textFill>
        </w:rPr>
        <w:t>验收完成，结算审计完成后一次性付款。</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.售后服务</w:t>
      </w:r>
      <w:r>
        <w:rPr>
          <w:rFonts w:hint="eastAsia" w:asciiTheme="minorEastAsia" w:hAnsiTheme="minorEastAsia" w:eastAsiaTheme="minorEastAsia" w:cstheme="minorEastAsia"/>
          <w:color w:val="000000" w:themeColor="text1"/>
          <w:spacing w:val="-8"/>
          <w:sz w:val="24"/>
          <w:szCs w:val="24"/>
          <w:lang w:val="en-US" w:eastAsia="zh-CN"/>
          <w14:textFill>
            <w14:solidFill>
              <w14:schemeClr w14:val="tx1"/>
            </w14:solidFill>
          </w14:textFill>
        </w:rPr>
        <w:t>要求：</w:t>
      </w:r>
      <w:r>
        <w:rPr>
          <w:rFonts w:hint="eastAsia" w:asciiTheme="minorEastAsia" w:hAnsiTheme="minorEastAsia" w:eastAsiaTheme="minorEastAsia" w:cstheme="minorEastAsia"/>
          <w:color w:val="000000" w:themeColor="text1"/>
          <w:spacing w:val="-2"/>
          <w:sz w:val="24"/>
          <w:szCs w:val="24"/>
          <w:lang w:eastAsia="zh-CN"/>
          <w14:textFill>
            <w14:solidFill>
              <w14:schemeClr w14:val="tx1"/>
            </w14:solidFill>
          </w14:textFill>
        </w:rPr>
        <w:t>整车质保3年或10万公里。</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.验收标准</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及方式：</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供货完成后，由采购人组成验收小组对该项目进行验收，验收小组验收合格后签署验收报告，验收报告作为付款的凭据之一</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样品，样品提供要求、方式、摆放时间及地点；</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无</w:t>
      </w:r>
      <w:r>
        <w:rPr>
          <w:rFonts w:hint="eastAsia" w:asciiTheme="minorEastAsia" w:hAnsiTheme="minorEastAsia" w:eastAsiaTheme="minorEastAsia" w:cstheme="minorEastAsia"/>
          <w:sz w:val="24"/>
          <w:szCs w:val="24"/>
          <w:lang w:val="en-US" w:eastAsia="zh-CN"/>
        </w:rPr>
        <w:t>样品。</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演示，演示要求、内容、方式及地点。鼓励使用不见面演示；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无</w:t>
      </w:r>
      <w:r>
        <w:rPr>
          <w:rFonts w:hint="eastAsia" w:asciiTheme="minorEastAsia" w:hAnsiTheme="minorEastAsia" w:eastAsiaTheme="minorEastAsia" w:cstheme="minorEastAsia"/>
          <w:sz w:val="24"/>
          <w:szCs w:val="24"/>
          <w:lang w:val="en-US" w:eastAsia="zh-CN"/>
        </w:rPr>
        <w:t>演示。</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其他要求</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 xml:space="preserve">    特种专业技术用车改装厂在工信部目录中，生产的特种专业技术用车确保能够登记入户。</w:t>
      </w: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 w:name="_GoBack"/>
      <w:bookmarkEnd w:id="1"/>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pPr>
        <w:pStyle w:val="3"/>
        <w:keepNext w:val="0"/>
        <w:keepLines w:val="0"/>
        <w:pageBreakBefore w:val="0"/>
        <w:kinsoku/>
        <w:wordWrap w:val="0"/>
        <w:overflowPunct/>
        <w:topLinePunct w:val="0"/>
        <w:bidi w:val="0"/>
        <w:spacing w:line="220" w:lineRule="auto"/>
        <w:jc w:val="center"/>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p>
      <w:pPr>
        <w:pStyle w:val="15"/>
        <w:keepNext w:val="0"/>
        <w:keepLines w:val="0"/>
        <w:pageBreakBefore w:val="0"/>
        <w:kinsoku/>
        <w:wordWrap w:val="0"/>
        <w:overflowPunct/>
        <w:topLinePunct w:val="0"/>
        <w:bidi w:val="0"/>
        <w:jc w:val="both"/>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17"/>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1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p>
            <w:pPr>
              <w:pStyle w:val="1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val="en-US"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17"/>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17"/>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1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工业   </w:t>
            </w:r>
          </w:p>
          <w:p>
            <w:pPr>
              <w:pStyle w:val="1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16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1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谈判</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谈判</w:t>
            </w:r>
            <w:r>
              <w:rPr>
                <w:rFonts w:hint="eastAsia" w:asciiTheme="minorEastAsia" w:hAnsiTheme="minorEastAsia" w:eastAsiaTheme="minorEastAsia" w:cstheme="minorEastAsia"/>
                <w:spacing w:val="-7"/>
                <w:sz w:val="24"/>
                <w:szCs w:val="24"/>
              </w:rPr>
              <w:t>报价的特殊规定：</w:t>
            </w:r>
          </w:p>
          <w:p>
            <w:pPr>
              <w:pStyle w:val="1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1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17"/>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4"/>
                <w:sz w:val="24"/>
                <w:szCs w:val="24"/>
                <w:u w:val="single"/>
                <w:lang w:val="en-US" w:eastAsia="zh-CN"/>
              </w:rPr>
              <w:t>129.6616</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b w:val="0"/>
                <w:bCs/>
                <w:sz w:val="24"/>
                <w:szCs w:val="24"/>
                <w:lang w:val="en-US"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2024</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6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6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谈判小组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14"/>
                <w:sz w:val="24"/>
                <w:szCs w:val="24"/>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pStyle w:val="17"/>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p>
            <w:pPr>
              <w:pStyle w:val="1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17"/>
              <w:keepNext w:val="0"/>
              <w:keepLines w:val="0"/>
              <w:pageBreakBefore w:val="0"/>
              <w:kinsoku/>
              <w:wordWrap w:val="0"/>
              <w:overflowPunct/>
              <w:topLinePunct w:val="0"/>
              <w:bidi w:val="0"/>
              <w:spacing w:before="1" w:line="220" w:lineRule="auto"/>
              <w:ind w:left="126" w:leftChars="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13"/>
                <w:sz w:val="24"/>
                <w:szCs w:val="24"/>
                <w:lang w:val="en-US" w:eastAsia="zh-CN"/>
              </w:rPr>
              <w:t>收费标准：</w:t>
            </w:r>
          </w:p>
        </w:tc>
      </w:tr>
    </w:tbl>
    <w:p>
      <w:pPr>
        <w:keepNext w:val="0"/>
        <w:keepLines w:val="0"/>
        <w:pageBreakBefore w:val="0"/>
        <w:kinsoku/>
        <w:wordWrap w:val="0"/>
        <w:overflowPunct/>
        <w:topLinePunct w:val="0"/>
        <w:bidi w:val="0"/>
        <w:spacing w:line="371" w:lineRule="auto"/>
        <w:jc w:val="both"/>
        <w:rPr>
          <w:rFonts w:ascii="Arial"/>
          <w:sz w:val="21"/>
        </w:rPr>
      </w:pPr>
    </w:p>
    <w:p>
      <w:pPr>
        <w:keepNext w:val="0"/>
        <w:keepLines w:val="0"/>
        <w:pageBreakBefore w:val="0"/>
        <w:kinsoku/>
        <w:wordWrap w:val="0"/>
        <w:overflowPunct/>
        <w:topLinePunct w:val="0"/>
        <w:bidi w:val="0"/>
        <w:spacing w:line="243" w:lineRule="auto"/>
        <w:jc w:val="both"/>
        <w:rPr>
          <w:rFonts w:ascii="Arial"/>
          <w:sz w:val="21"/>
        </w:rPr>
      </w:pPr>
    </w:p>
    <w:p>
      <w:pPr>
        <w:keepNext w:val="0"/>
        <w:keepLines w:val="0"/>
        <w:pageBreakBefore w:val="0"/>
        <w:kinsoku/>
        <w:wordWrap w:val="0"/>
        <w:overflowPunct/>
        <w:topLinePunct w:val="0"/>
        <w:bidi w:val="0"/>
        <w:spacing w:line="244" w:lineRule="auto"/>
        <w:jc w:val="both"/>
        <w:rPr>
          <w:rFonts w:ascii="Arial"/>
          <w:sz w:val="21"/>
        </w:rPr>
      </w:pPr>
    </w:p>
    <w:p>
      <w:pPr>
        <w:pStyle w:val="3"/>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91" w:line="220" w:lineRule="auto"/>
        <w:jc w:val="both"/>
        <w:rPr>
          <w:spacing w:val="-1"/>
          <w:sz w:val="28"/>
          <w:szCs w:val="28"/>
          <w14:textOutline w14:w="1800"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91" w:line="220" w:lineRule="auto"/>
        <w:jc w:val="both"/>
        <w:rPr>
          <w:spacing w:val="-1"/>
          <w:sz w:val="28"/>
          <w:szCs w:val="28"/>
          <w14:textOutline w14:w="1800"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pPr>
        <w:pStyle w:val="3"/>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w:t>
      </w:r>
      <w:r>
        <w:rPr>
          <w:rFonts w:hint="eastAsia" w:asciiTheme="minorEastAsia" w:hAnsiTheme="minorEastAsia" w:eastAsiaTheme="minorEastAsia" w:cstheme="minorEastAsia"/>
          <w:spacing w:val="-14"/>
          <w:sz w:val="24"/>
          <w:szCs w:val="24"/>
          <w:u w:val="single"/>
          <w:lang w:val="en-US" w:eastAsia="zh-CN"/>
        </w:rPr>
        <w:t>129.6616</w:t>
      </w:r>
      <w:r>
        <w:rPr>
          <w:rFonts w:hint="eastAsia" w:asciiTheme="minorEastAsia" w:hAnsiTheme="minorEastAsia" w:eastAsiaTheme="minorEastAsia" w:cstheme="minorEastAsia"/>
          <w:spacing w:val="7"/>
          <w:sz w:val="24"/>
          <w:szCs w:val="24"/>
          <w:u w:val="single"/>
          <w:lang w:val="en-US" w:eastAsia="zh-CN"/>
        </w:rPr>
        <w:t xml:space="preserve">   </w:t>
      </w:r>
      <w:r>
        <w:rPr>
          <w:rFonts w:hint="eastAsia" w:asciiTheme="minorEastAsia" w:hAnsiTheme="minorEastAsia" w:eastAsiaTheme="minorEastAsia" w:cstheme="minorEastAsia"/>
          <w:spacing w:val="7"/>
          <w:sz w:val="24"/>
          <w:szCs w:val="24"/>
          <w:u w:val="none"/>
          <w:lang w:val="en-US" w:eastAsia="zh-CN"/>
        </w:rPr>
        <w:t>万元</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0" w:firstLineChars="200"/>
        <w:jc w:val="both"/>
        <w:textAlignment w:val="baseline"/>
        <w:rPr>
          <w:rFonts w:hint="eastAsia" w:asciiTheme="minorEastAsia" w:hAnsiTheme="minorEastAsia" w:eastAsiaTheme="minorEastAsia" w:cstheme="minorEastAsia"/>
          <w:b/>
          <w:bCs/>
          <w:spacing w:val="2"/>
          <w:sz w:val="24"/>
          <w:szCs w:val="24"/>
        </w:rPr>
      </w:pPr>
      <w:r>
        <w:rPr>
          <w:rFonts w:hint="eastAsia" w:asciiTheme="minorEastAsia" w:hAnsiTheme="minorEastAsia" w:eastAsiaTheme="minorEastAsia" w:cstheme="minorEastAsia"/>
          <w:b/>
          <w:bCs/>
          <w:spacing w:val="2"/>
          <w:sz w:val="24"/>
          <w:szCs w:val="24"/>
          <w:lang w:val="en-US" w:eastAsia="zh-CN"/>
        </w:rPr>
        <w:t>3.</w:t>
      </w:r>
      <w:r>
        <w:rPr>
          <w:rFonts w:hint="eastAsia" w:asciiTheme="minorEastAsia" w:hAnsiTheme="minorEastAsia" w:eastAsiaTheme="minorEastAsia" w:cstheme="minorEastAsia"/>
          <w:b/>
          <w:bCs/>
          <w:spacing w:val="2"/>
          <w:sz w:val="24"/>
          <w:szCs w:val="24"/>
        </w:rPr>
        <w:t>政府采购政策（包括但不限于下列具体政策要求）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谈判</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3</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竞争性谈判公告</w:t>
      </w:r>
      <w:r>
        <w:rPr>
          <w:rFonts w:hint="eastAsia" w:asciiTheme="minorEastAsia" w:hAnsiTheme="minorEastAsia" w:eastAsiaTheme="minorEastAsia" w:cstheme="minorEastAsia"/>
          <w:spacing w:val="-8"/>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eastAsia="zh-CN"/>
        </w:rPr>
        <w:t>评审程序和评定成交的标准</w:t>
      </w:r>
      <w:r>
        <w:rPr>
          <w:rFonts w:hint="eastAsia" w:asciiTheme="minorEastAsia" w:hAnsiTheme="minorEastAsia" w:eastAsiaTheme="minorEastAsia" w:cstheme="minorEastAsia"/>
          <w:spacing w:val="-8"/>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eastAsia="zh-CN"/>
        </w:rPr>
        <w:t>评审程序和评定成交的标准</w:t>
      </w:r>
      <w:r>
        <w:rPr>
          <w:rFonts w:hint="eastAsia" w:asciiTheme="minorEastAsia" w:hAnsiTheme="minorEastAsia" w:eastAsiaTheme="minorEastAsia" w:cstheme="minorEastAsia"/>
          <w:spacing w:val="-8"/>
          <w:sz w:val="24"/>
          <w:szCs w:val="24"/>
        </w:rPr>
        <w:t>》。（如涉及）。</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3</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3</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4.采购</w:t>
      </w:r>
      <w:r>
        <w:rPr>
          <w:rFonts w:hint="eastAsia" w:asciiTheme="minorEastAsia" w:hAnsiTheme="minorEastAsia" w:eastAsiaTheme="minorEastAsia" w:cstheme="minorEastAsia"/>
          <w:b/>
          <w:bCs/>
          <w:spacing w:val="-2"/>
          <w:sz w:val="24"/>
          <w:szCs w:val="24"/>
        </w:rPr>
        <w:t>费用</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谈判</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b/>
          <w:bCs/>
          <w:snapToGrid w:val="0"/>
          <w:color w:val="000000"/>
          <w:spacing w:val="-4"/>
          <w:kern w:val="0"/>
          <w:sz w:val="24"/>
          <w:szCs w:val="24"/>
          <w:lang w:val="en-US" w:eastAsia="zh-CN" w:bidi="ar-SA"/>
        </w:rPr>
      </w:pPr>
      <w:r>
        <w:rPr>
          <w:rFonts w:hint="eastAsia" w:asciiTheme="minorEastAsia" w:hAnsiTheme="minorEastAsia" w:eastAsiaTheme="minorEastAsia" w:cstheme="minorEastAsia"/>
          <w:b/>
          <w:bCs/>
          <w:snapToGrid w:val="0"/>
          <w:color w:val="000000"/>
          <w:spacing w:val="-4"/>
          <w:kern w:val="0"/>
          <w:sz w:val="24"/>
          <w:szCs w:val="24"/>
          <w:lang w:val="en-US" w:eastAsia="zh-CN" w:bidi="ar-SA"/>
        </w:rPr>
        <w:t>5.采购范围及适用法律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5.1 本次采购适用的法律、法规为《中华人民共和国政府采购法》《中华人民共和国政府采购法实施条例》《政府采购非招标采购方式管理办法》《中华人民共和国民法典》以及其他相关政府采购法律法规。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ascii="Arial"/>
          <w:sz w:val="21"/>
        </w:rPr>
      </w:pPr>
      <w:r>
        <w:rPr>
          <w:rFonts w:hint="eastAsia" w:asciiTheme="minorEastAsia" w:hAnsiTheme="minorEastAsia" w:eastAsiaTheme="minorEastAsia" w:cstheme="minorEastAsia"/>
          <w:snapToGrid w:val="0"/>
          <w:color w:val="000000"/>
          <w:spacing w:val="-4"/>
          <w:kern w:val="0"/>
          <w:sz w:val="24"/>
          <w:szCs w:val="24"/>
          <w:lang w:val="en-US" w:eastAsia="zh-CN" w:bidi="ar-SA"/>
        </w:rPr>
        <w:t>5.3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特种车辆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pStyle w:val="3"/>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w:t>
      </w:r>
      <w:r>
        <w:rPr>
          <w:rFonts w:hint="eastAsia"/>
          <w:spacing w:val="-1"/>
          <w:sz w:val="28"/>
          <w:szCs w:val="28"/>
          <w:lang w:eastAsia="zh-CN"/>
          <w14:textOutline w14:w="1800" w14:cap="flat" w14:cmpd="sng">
            <w14:solidFill>
              <w14:srgbClr w14:val="000000"/>
            </w14:solidFill>
            <w14:prstDash w14:val="solid"/>
            <w14:miter w14:val="0"/>
          </w14:textOutline>
        </w:rPr>
        <w:t>谈判</w:t>
      </w:r>
      <w:r>
        <w:rPr>
          <w:spacing w:val="-1"/>
          <w:sz w:val="28"/>
          <w:szCs w:val="28"/>
          <w14:textOutline w14:w="1800" w14:cap="flat" w14:cmpd="sng">
            <w14:solidFill>
              <w14:srgbClr w14:val="000000"/>
            </w14:solidFill>
            <w14:prstDash w14:val="solid"/>
            <w14:miter w14:val="0"/>
          </w14:textOutline>
        </w:rPr>
        <w:t>文件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sz w:val="24"/>
          <w:szCs w:val="24"/>
        </w:rPr>
      </w:pPr>
      <w:r>
        <w:rPr>
          <w:rFonts w:hint="eastAsia"/>
          <w:b/>
          <w:bCs/>
          <w:sz w:val="24"/>
          <w:szCs w:val="24"/>
          <w:lang w:val="en-US" w:eastAsia="zh-CN"/>
        </w:rPr>
        <w:t>6.</w:t>
      </w:r>
      <w:r>
        <w:rPr>
          <w:b/>
          <w:bCs/>
          <w:sz w:val="24"/>
          <w:szCs w:val="24"/>
        </w:rPr>
        <w:t>竞争性</w:t>
      </w:r>
      <w:r>
        <w:rPr>
          <w:rFonts w:hint="eastAsia"/>
          <w:b/>
          <w:bCs/>
          <w:sz w:val="24"/>
          <w:szCs w:val="24"/>
          <w:lang w:eastAsia="zh-CN"/>
        </w:rPr>
        <w:t>谈判</w:t>
      </w:r>
      <w:r>
        <w:rPr>
          <w:b/>
          <w:bCs/>
          <w:sz w:val="24"/>
          <w:szCs w:val="24"/>
        </w:rPr>
        <w:t>文件构成</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6</w:t>
      </w:r>
      <w:r>
        <w:rPr>
          <w:spacing w:val="-1"/>
          <w:sz w:val="24"/>
          <w:szCs w:val="24"/>
        </w:rPr>
        <w:t>.1</w:t>
      </w:r>
      <w:r>
        <w:rPr>
          <w:rFonts w:hint="eastAsia"/>
          <w:spacing w:val="-1"/>
          <w:sz w:val="24"/>
          <w:szCs w:val="24"/>
          <w:lang w:val="en-US" w:eastAsia="zh-CN"/>
        </w:rPr>
        <w:t xml:space="preserve"> </w:t>
      </w:r>
      <w:r>
        <w:rPr>
          <w:spacing w:val="-1"/>
          <w:sz w:val="24"/>
          <w:szCs w:val="24"/>
        </w:rPr>
        <w:t>竞争性</w:t>
      </w:r>
      <w:r>
        <w:rPr>
          <w:rFonts w:hint="eastAsia"/>
          <w:spacing w:val="-1"/>
          <w:sz w:val="24"/>
          <w:szCs w:val="24"/>
          <w:lang w:eastAsia="zh-CN"/>
        </w:rPr>
        <w:t>谈判</w:t>
      </w:r>
      <w:r>
        <w:rPr>
          <w:spacing w:val="-1"/>
          <w:sz w:val="24"/>
          <w:szCs w:val="24"/>
        </w:rPr>
        <w:t>文件包括以下部分：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竞争性谈判公告</w:t>
      </w:r>
      <w:r>
        <w:rPr>
          <w:spacing w:val="-1"/>
          <w:sz w:val="24"/>
          <w:szCs w:val="24"/>
        </w:rPr>
        <w:fldChar w:fldCharType="end"/>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lang w:eastAsia="zh-CN"/>
        </w:rPr>
        <w:t>评审程序和评定成交的标准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6.2 供应商应认真阅读竞争性谈判文件的全部内容。供应商应按照竞争性谈判文件要求提交响应文件并保证所提供的全部资料的真实性，并对竞争性谈判文件做出实质性响应，否则响应无效。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7.对竞争性谈判文件的澄清或修改</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7.1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可用补充文件的方式修正竞争性谈判文件，补充文件内容以公告的形式告知所有竞争性谈判文件收受人，该补充文件将成为竞争性谈判文件的组成部分，并替代所修正的部分。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7.2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可以酌情延长上传截止时间，并将此变更以公告形式通知所有竞争性谈判文件收受人。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7.3 澄清或者修改的内容为竞争性谈判文件的组成部分，并对所有获取竞争性谈判文件的潜在供应商具有约束力。澄清或者修改的内容可能影响响应文件编制的，将在提交首次响应文件截止之日3个工作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通知所有获取谈判文件的供应商；不足上述时间的，将顺延上传响应文件截止时间。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7.4 政府采购项目实行网上受理，开标前所有信息保密。因此，采购人或采购代理机构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7.5 供应商应关注是否有发布最新的澄清更正公告和更正的最新谈判文件（电子答疑文件），如有则需下载最新的谈判文件，并在此基础上制作最新的响应文件并上传。</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spacing w:val="-1"/>
          <w:sz w:val="24"/>
          <w:szCs w:val="24"/>
          <w:lang w:val="en-US" w:eastAsia="zh-CN"/>
        </w:rPr>
      </w:pPr>
    </w:p>
    <w:p>
      <w:pPr>
        <w:pStyle w:val="3"/>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8.响应范围、竞争性谈判文件中计量单位的使用及谈判语言</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8.2 除竞争性谈判文件有特殊要求外，本项目谈判所使用的计量单位，应采用中华人民共和国法定计量单位。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9.响应文件构成</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供应商应当按照竞争性谈判文件的要求编制响应文件，并对其提交的响应文件的真实性、合法性承担法律责任。响应文件的部分格式要求，见第六章《响应文件格式》。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对于竞争性谈判文件中标记了实质性格式文件的，供应商不得改变格式中给定的文字所表达的含义，不得删减格式中的实质性内容，不得对应当填写的空格不填写或不实质性响应，否则响应无效。未标记实质性格式的文件和竞争性谈判文件未提供格式的内容，可由供应商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文件应使用CA数字证书在截止时间前上传其加密版本，</w:t>
      </w:r>
      <w:r>
        <w:rPr>
          <w:rFonts w:hint="eastAsia" w:asciiTheme="minorEastAsia" w:hAnsiTheme="minorEastAsia" w:eastAsiaTheme="minorEastAsia" w:cstheme="minorEastAsia"/>
          <w:sz w:val="24"/>
          <w:szCs w:val="24"/>
          <w:lang w:val="en-US" w:eastAsia="zh-CN"/>
        </w:rPr>
        <w:t>根据谈判文件中规定的下载平台要求，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9.4 </w:t>
      </w:r>
      <w:r>
        <w:rPr>
          <w:rFonts w:hint="eastAsia" w:asciiTheme="minorEastAsia" w:hAnsiTheme="minorEastAsia" w:eastAsiaTheme="minorEastAsia" w:cstheme="minorEastAsia"/>
          <w:sz w:val="24"/>
          <w:szCs w:val="24"/>
        </w:rPr>
        <w:t>第四章《</w:t>
      </w:r>
      <w:r>
        <w:rPr>
          <w:rFonts w:hint="eastAsia" w:eastAsiaTheme="minorEastAsia"/>
          <w:spacing w:val="-1"/>
          <w:sz w:val="24"/>
          <w:szCs w:val="24"/>
          <w:lang w:eastAsia="zh-CN"/>
        </w:rPr>
        <w:t>评审程序和评定成交的标准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10.报价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谈判文件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竞争性谈判</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10.5 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10.6 谈判结束，供应商进行网上最终报价。</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10.7 本次采购设有预算，供应商最终报价超过预算的，谈判小组将不予评议。</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10.8 供应商的所有报价不得低于成本恶意竞争。</w:t>
      </w:r>
    </w:p>
    <w:p>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11.响应有效期</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11.1 响应文件应在本竞争性谈判文件《供应商须知表》中规定的响应有效期内保持有效，响应有效期少于谈判文件规定期限的，其响应无效。成交人的响应有效期延长至项目验收合格之日。</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11.2 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12.响应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12.1 电子响应文件必须在规定签章处电子签章或手写签字后扫描上传进响应文件。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12.2 竞争性谈判文件要求盖章的内容，一般通过CA加盖电子签章。</w:t>
      </w:r>
    </w:p>
    <w:p>
      <w:pPr>
        <w:pStyle w:val="3"/>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w:t>
      </w:r>
      <w:r>
        <w:rPr>
          <w:rFonts w:hint="eastAsia" w:cs="宋体"/>
          <w:b/>
          <w:bCs/>
          <w:snapToGrid w:val="0"/>
          <w:color w:val="000000"/>
          <w:spacing w:val="-1"/>
          <w:kern w:val="0"/>
          <w:sz w:val="24"/>
          <w:szCs w:val="24"/>
          <w:lang w:val="en-US" w:eastAsia="zh-CN" w:bidi="ar-SA"/>
        </w:rPr>
        <w:t>3</w:t>
      </w:r>
      <w:r>
        <w:rPr>
          <w:rFonts w:hint="eastAsia" w:ascii="宋体" w:hAnsi="宋体" w:eastAsia="宋体" w:cs="宋体"/>
          <w:b/>
          <w:bCs/>
          <w:snapToGrid w:val="0"/>
          <w:color w:val="000000"/>
          <w:spacing w:val="-1"/>
          <w:kern w:val="0"/>
          <w:sz w:val="24"/>
          <w:szCs w:val="24"/>
          <w:lang w:val="en-US" w:eastAsia="zh-CN" w:bidi="ar-SA"/>
        </w:rPr>
        <w:t>.响应文件的提交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3.</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南阳市公共资源交易中心网上交易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13.2 采购人及采购代理机构拒绝接受通过电子交易平台以外任何形式提交的响应文件。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14.响应文件上传截止时间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供应商应在采购文件要求响应文件上传截止时间前，将电子响应文件提交至电子交易平台。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15.响应文件的修改与撤回</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15.1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line="256" w:lineRule="auto"/>
        <w:jc w:val="both"/>
        <w:rPr>
          <w:rFonts w:ascii="Arial"/>
          <w:sz w:val="21"/>
        </w:rPr>
      </w:pPr>
    </w:p>
    <w:p>
      <w:pPr>
        <w:keepNext w:val="0"/>
        <w:keepLines w:val="0"/>
        <w:pageBreakBefore w:val="0"/>
        <w:kinsoku/>
        <w:wordWrap w:val="0"/>
        <w:overflowPunct/>
        <w:topLinePunct w:val="0"/>
        <w:bidi w:val="0"/>
        <w:spacing w:line="256" w:lineRule="auto"/>
        <w:jc w:val="both"/>
        <w:rPr>
          <w:rFonts w:ascii="Arial"/>
          <w:sz w:val="21"/>
        </w:rPr>
      </w:pPr>
    </w:p>
    <w:p>
      <w:pPr>
        <w:pStyle w:val="3"/>
        <w:keepNext w:val="0"/>
        <w:keepLines w:val="0"/>
        <w:pageBreakBefore w:val="0"/>
        <w:kinsoku/>
        <w:wordWrap w:val="0"/>
        <w:overflowPunct/>
        <w:topLinePunct w:val="0"/>
        <w:bidi w:val="0"/>
        <w:spacing w:before="1" w:line="218" w:lineRule="auto"/>
        <w:jc w:val="both"/>
        <w:rPr>
          <w:sz w:val="24"/>
          <w:szCs w:val="24"/>
        </w:rPr>
      </w:pPr>
    </w:p>
    <w:p>
      <w:pPr>
        <w:keepNext w:val="0"/>
        <w:keepLines w:val="0"/>
        <w:pageBreakBefore w:val="0"/>
        <w:kinsoku/>
        <w:wordWrap w:val="0"/>
        <w:overflowPunct/>
        <w:topLinePunct w:val="0"/>
        <w:bidi w:val="0"/>
        <w:spacing w:line="218" w:lineRule="auto"/>
        <w:jc w:val="both"/>
        <w:rPr>
          <w:sz w:val="24"/>
          <w:szCs w:val="24"/>
        </w:rPr>
        <w:sectPr>
          <w:headerReference r:id="rId6" w:type="default"/>
          <w:footerReference r:id="rId7" w:type="default"/>
          <w:pgSz w:w="11907" w:h="16840"/>
          <w:pgMar w:top="1440" w:right="1800" w:bottom="1440" w:left="1800" w:header="878" w:footer="886" w:gutter="0"/>
          <w:pgNumType w:fmt="decimal" w:start="1"/>
          <w:cols w:space="720" w:num="1"/>
        </w:sectPr>
      </w:pPr>
    </w:p>
    <w:p>
      <w:pPr>
        <w:pStyle w:val="3"/>
        <w:keepNext w:val="0"/>
        <w:keepLines w:val="0"/>
        <w:pageBreakBefore w:val="0"/>
        <w:kinsoku/>
        <w:wordWrap w:val="0"/>
        <w:overflowPunct/>
        <w:topLinePunct w:val="0"/>
        <w:bidi w:val="0"/>
        <w:spacing w:before="353" w:line="219" w:lineRule="auto"/>
        <w:jc w:val="center"/>
        <w:rPr>
          <w:rFonts w:hint="eastAsia" w:eastAsia="宋体"/>
          <w:sz w:val="36"/>
          <w:szCs w:val="36"/>
          <w:lang w:eastAsia="zh-CN"/>
          <w14:textOutline w14:w="2306" w14:cap="flat" w14:cmpd="sng">
            <w14:solidFill>
              <w14:srgbClr w14:val="000000"/>
            </w14:solidFill>
            <w14:prstDash w14:val="solid"/>
            <w14:miter w14:val="0"/>
          </w14:textOutline>
        </w:rPr>
      </w:pPr>
      <w:r>
        <w:rPr>
          <w:sz w:val="36"/>
          <w:szCs w:val="36"/>
          <w14:textOutline w14:w="2306" w14:cap="flat" w14:cmpd="sng">
            <w14:solidFill>
              <w14:srgbClr w14:val="000000"/>
            </w14:solidFill>
            <w14:prstDash w14:val="solid"/>
            <w14:miter w14:val="0"/>
          </w14:textOutline>
        </w:rPr>
        <w:t>第</w:t>
      </w:r>
      <w:r>
        <w:rPr>
          <w:rFonts w:hint="eastAsia"/>
          <w:sz w:val="36"/>
          <w:szCs w:val="36"/>
          <w:lang w:val="en-US" w:eastAsia="zh-CN"/>
          <w14:textOutline w14:w="2306" w14:cap="flat" w14:cmpd="sng">
            <w14:solidFill>
              <w14:srgbClr w14:val="000000"/>
            </w14:solidFill>
            <w14:prstDash w14:val="solid"/>
            <w14:miter w14:val="0"/>
          </w14:textOutline>
        </w:rPr>
        <w:t>四</w:t>
      </w:r>
      <w:r>
        <w:rPr>
          <w:sz w:val="36"/>
          <w:szCs w:val="36"/>
          <w14:textOutline w14:w="2306" w14:cap="flat" w14:cmpd="sng">
            <w14:solidFill>
              <w14:srgbClr w14:val="000000"/>
            </w14:solidFill>
            <w14:prstDash w14:val="solid"/>
            <w14:miter w14:val="0"/>
          </w14:textOutline>
        </w:rPr>
        <w:t>章</w:t>
      </w:r>
      <w:r>
        <w:rPr>
          <w:rFonts w:hint="eastAsia"/>
          <w:sz w:val="36"/>
          <w:szCs w:val="36"/>
          <w:lang w:val="en-US" w:eastAsia="zh-CN"/>
          <w14:textOutline w14:w="2306" w14:cap="flat" w14:cmpd="sng">
            <w14:solidFill>
              <w14:srgbClr w14:val="000000"/>
            </w14:solidFill>
            <w14:prstDash w14:val="solid"/>
            <w14:miter w14:val="0"/>
          </w14:textOutline>
        </w:rPr>
        <w:t xml:space="preserve"> </w:t>
      </w:r>
      <w:r>
        <w:rPr>
          <w:rFonts w:hint="eastAsia"/>
          <w:sz w:val="36"/>
          <w:szCs w:val="36"/>
          <w:lang w:eastAsia="zh-CN"/>
          <w14:textOutline w14:w="2306" w14:cap="flat" w14:cmpd="sng">
            <w14:solidFill>
              <w14:srgbClr w14:val="000000"/>
            </w14:solidFill>
            <w14:prstDash w14:val="solid"/>
            <w14:miter w14:val="0"/>
          </w14:textOutline>
        </w:rPr>
        <w:t>评审程序和评定成交的标准</w:t>
      </w:r>
    </w:p>
    <w:p>
      <w:pPr>
        <w:pStyle w:val="3"/>
        <w:keepNext w:val="0"/>
        <w:keepLines w:val="0"/>
        <w:pageBreakBefore w:val="0"/>
        <w:kinsoku/>
        <w:wordWrap w:val="0"/>
        <w:overflowPunct/>
        <w:topLinePunct w:val="0"/>
        <w:bidi w:val="0"/>
        <w:spacing w:before="256" w:line="220" w:lineRule="auto"/>
        <w:ind w:left="3702"/>
        <w:jc w:val="both"/>
        <w:outlineLvl w:val="1"/>
        <w:rPr>
          <w:spacing w:val="-2"/>
          <w:sz w:val="24"/>
          <w:szCs w:val="24"/>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一、编制、确认竞争性谈判文件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根据采购项目特点和采购实际需求编制竞争性谈判文件，编制的竞争性谈判文件应由采购人审核并确认。</w:t>
      </w: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二、发布竞争性谈判公告，邀请供应商参加谈判</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竞争性谈判文件经采购人书面确认后，将在指定媒体和南阳市公共资源交易中心网发布竞争性谈判公告。供应商按照公告和竞争性谈判文件要求制作并递交响应文件。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三、组建谈判小组</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《中华人民共和国政府采购法》《中华人民共和国政府采购法实施条例》《政府采购非招标采购方式管理办法》</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谈判小组，竞争性谈判小组由采购人代表和评审专家共3人以上单数组成，其中评审专家人数不得少于谈判小组成员总数的2/3。评审专家应当从政府采购评审专家库内相关专业的专家名单中随机抽取。技术复杂、专业性强的采购项目，评审专家中应当包含1名法律专家。达到公开招标数额标准的货物或者服务采购项目，或者达到招标规模标准的政府采购工程，竞争性谈判小组应当由5人以上单数组成。</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竞争性谈判小组对竞争性谈判文件进行审核并确认，负责对响应文件进行评审、质疑、评估、比较、确定成交候选人。</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评审专家应当严格遵守评审工作纪律，按照客观、公正、审慎的原则，根据谈判文件规定的评审程序和评定成交的标准进行独立评审。</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pStyle w:val="9"/>
        <w:keepNext w:val="0"/>
        <w:keepLines w:val="0"/>
        <w:pageBreakBefore w:val="0"/>
        <w:widowControl/>
        <w:kinsoku/>
        <w:wordWrap w:val="0"/>
        <w:overflowPunct/>
        <w:topLinePunct w:val="0"/>
        <w:autoSpaceDE w:val="0"/>
        <w:autoSpaceDN w:val="0"/>
        <w:bidi w:val="0"/>
        <w:adjustRightInd w:val="0"/>
        <w:snapToGrid w:val="0"/>
        <w:spacing w:after="0" w:line="360" w:lineRule="auto"/>
        <w:ind w:left="0" w:leftChars="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9"/>
        <w:keepNext w:val="0"/>
        <w:keepLines w:val="0"/>
        <w:pageBreakBefore w:val="0"/>
        <w:widowControl/>
        <w:kinsoku/>
        <w:wordWrap w:val="0"/>
        <w:overflowPunct/>
        <w:topLinePunct w:val="0"/>
        <w:autoSpaceDE w:val="0"/>
        <w:autoSpaceDN w:val="0"/>
        <w:bidi w:val="0"/>
        <w:adjustRightInd w:val="0"/>
        <w:snapToGrid w:val="0"/>
        <w:spacing w:after="0" w:line="360" w:lineRule="auto"/>
        <w:ind w:left="0" w:leftChars="0" w:firstLine="0" w:firstLine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进行加密，供应商在解密前须自行检查CA有效性。解密时未在开启响应文件时间后30分钟内进行解密成功的视为撤销其响应文件（因电子开标系统原因除外）。</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谈判小组对供应商提交的响应文件进行评审。主要对响应文件的有效性、完整性和响应程度进行审查，具体包括：</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1.资格性审查</w:t>
      </w:r>
    </w:p>
    <w:tbl>
      <w:tblPr>
        <w:tblStyle w:val="16"/>
        <w:tblW w:w="82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2"/>
        <w:gridCol w:w="1298"/>
        <w:gridCol w:w="3796"/>
        <w:gridCol w:w="26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492" w:type="dxa"/>
            <w:vAlign w:val="top"/>
          </w:tcPr>
          <w:p>
            <w:pPr>
              <w:keepNext w:val="0"/>
              <w:keepLines w:val="0"/>
              <w:pageBreakBefore w:val="0"/>
              <w:kinsoku/>
              <w:wordWrap w:val="0"/>
              <w:overflowPunct/>
              <w:topLinePunct w:val="0"/>
              <w:bidi w:val="0"/>
              <w:spacing w:before="119" w:line="222"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298" w:type="dxa"/>
            <w:vAlign w:val="top"/>
          </w:tcPr>
          <w:p>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796" w:type="dxa"/>
            <w:vAlign w:val="top"/>
          </w:tcPr>
          <w:p>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684" w:type="dxa"/>
            <w:vAlign w:val="top"/>
          </w:tcPr>
          <w:p>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492" w:type="dxa"/>
            <w:vAlign w:val="center"/>
          </w:tcPr>
          <w:p>
            <w:pPr>
              <w:pStyle w:val="17"/>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8"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796"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2684"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2" w:type="dxa"/>
            <w:vAlign w:val="top"/>
          </w:tcPr>
          <w:p>
            <w:pPr>
              <w:pStyle w:val="17"/>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298" w:type="dxa"/>
            <w:vAlign w:val="top"/>
          </w:tcPr>
          <w:p>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796" w:type="dxa"/>
            <w:vAlign w:val="top"/>
          </w:tcPr>
          <w:p>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竞争性谈判公告</w:t>
            </w:r>
            <w:r>
              <w:rPr>
                <w:rFonts w:hint="eastAsia" w:asciiTheme="minorEastAsia" w:hAnsiTheme="minorEastAsia" w:eastAsiaTheme="minorEastAsia" w:cstheme="minorEastAsia"/>
                <w:spacing w:val="-2"/>
                <w:sz w:val="24"/>
                <w:szCs w:val="24"/>
              </w:rPr>
              <w:t>》</w:t>
            </w:r>
          </w:p>
        </w:tc>
        <w:tc>
          <w:tcPr>
            <w:tcW w:w="2684" w:type="dxa"/>
            <w:vAlign w:val="top"/>
          </w:tcPr>
          <w:p>
            <w:pPr>
              <w:pStyle w:val="1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492" w:type="dxa"/>
            <w:vAlign w:val="top"/>
          </w:tcPr>
          <w:p>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before="49" w:line="19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298" w:type="dxa"/>
            <w:vAlign w:val="top"/>
          </w:tcPr>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796" w:type="dxa"/>
            <w:vAlign w:val="top"/>
          </w:tcPr>
          <w:p>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pPr>
              <w:pStyle w:val="17"/>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17"/>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竞争性谈判</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84" w:type="dxa"/>
            <w:vAlign w:val="top"/>
          </w:tcPr>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bl>
    <w:p>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小组依据竞争性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文件的各项要求。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小组依据竞争性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对谈判文件的符合性和技术响应程度、综合实力、售后服务以及报价等因素，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文件的响应文件按无效响应处理，</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小组应当告知提交响应文件的供应商。</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w:t>
      </w:r>
      <w:r>
        <w:rPr>
          <w:rFonts w:hint="eastAsia" w:asciiTheme="minorEastAsia" w:hAnsiTheme="minorEastAsia" w:eastAsiaTheme="minorEastAsia" w:cstheme="minorEastAsia"/>
          <w:b/>
          <w:bCs/>
          <w:snapToGrid w:val="0"/>
          <w:color w:val="000000"/>
          <w:spacing w:val="3"/>
          <w:kern w:val="0"/>
          <w:sz w:val="24"/>
          <w:szCs w:val="24"/>
          <w:lang w:val="en-US" w:eastAsia="zh-CN" w:bidi="ar-SA"/>
        </w:rPr>
        <w:t>谈判</w:t>
      </w:r>
      <w:r>
        <w:rPr>
          <w:rFonts w:hint="eastAsia" w:asciiTheme="minorEastAsia" w:hAnsiTheme="minorEastAsia" w:eastAsiaTheme="minorEastAsia" w:cstheme="minorEastAsia"/>
          <w:b/>
          <w:bCs/>
          <w:snapToGrid w:val="0"/>
          <w:color w:val="000000"/>
          <w:spacing w:val="3"/>
          <w:kern w:val="0"/>
          <w:sz w:val="24"/>
          <w:szCs w:val="24"/>
          <w:lang w:val="en-US" w:eastAsia="en-US" w:bidi="ar-SA"/>
        </w:rPr>
        <w:t>文件标明的资格要求的；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其他不符合谈判文件实质性要求的。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rFonts w:hint="eastAsia"/>
          <w:sz w:val="24"/>
          <w:szCs w:val="24"/>
          <w:lang w:eastAsia="zh-CN"/>
        </w:rPr>
        <w:t>谈判</w:t>
      </w:r>
      <w:r>
        <w:rPr>
          <w:sz w:val="24"/>
          <w:szCs w:val="24"/>
        </w:rPr>
        <w:t>、响应文件有关事项的澄清、说明或者更正和最后报价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rFonts w:hint="eastAsia"/>
          <w:sz w:val="24"/>
          <w:szCs w:val="24"/>
          <w:lang w:eastAsia="zh-CN"/>
        </w:rPr>
        <w:t>谈判</w:t>
      </w:r>
      <w:r>
        <w:rPr>
          <w:sz w:val="24"/>
          <w:szCs w:val="24"/>
        </w:rPr>
        <w:t>小组所有成员将集中与单一供应商分别进行</w:t>
      </w:r>
      <w:r>
        <w:rPr>
          <w:rFonts w:hint="eastAsia"/>
          <w:sz w:val="24"/>
          <w:szCs w:val="24"/>
          <w:lang w:eastAsia="zh-CN"/>
        </w:rPr>
        <w:t>谈判</w:t>
      </w:r>
      <w:r>
        <w:rPr>
          <w:sz w:val="24"/>
          <w:szCs w:val="24"/>
        </w:rPr>
        <w:t>，并给予所有参加</w:t>
      </w:r>
      <w:r>
        <w:rPr>
          <w:rFonts w:hint="eastAsia"/>
          <w:sz w:val="24"/>
          <w:szCs w:val="24"/>
          <w:lang w:eastAsia="zh-CN"/>
        </w:rPr>
        <w:t>谈判</w:t>
      </w:r>
      <w:r>
        <w:rPr>
          <w:sz w:val="24"/>
          <w:szCs w:val="24"/>
        </w:rPr>
        <w:t>的供应商平等的</w:t>
      </w:r>
      <w:r>
        <w:rPr>
          <w:rFonts w:hint="eastAsia"/>
          <w:sz w:val="24"/>
          <w:szCs w:val="24"/>
          <w:lang w:eastAsia="zh-CN"/>
        </w:rPr>
        <w:t>谈判</w:t>
      </w:r>
      <w:r>
        <w:rPr>
          <w:sz w:val="24"/>
          <w:szCs w:val="24"/>
        </w:rPr>
        <w:t>机会。在谈判中，谈判的任何一方不得透露与谈判有关的其他供应商的技术资料、价格和其他信息。</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w:t>
      </w:r>
      <w:r>
        <w:rPr>
          <w:rFonts w:hint="eastAsia"/>
          <w:sz w:val="24"/>
          <w:szCs w:val="24"/>
          <w:lang w:eastAsia="zh-CN"/>
        </w:rPr>
        <w:t>谈判</w:t>
      </w:r>
      <w:r>
        <w:rPr>
          <w:sz w:val="24"/>
          <w:szCs w:val="24"/>
        </w:rPr>
        <w:t>过程中，</w:t>
      </w:r>
      <w:r>
        <w:rPr>
          <w:rFonts w:hint="eastAsia"/>
          <w:sz w:val="24"/>
          <w:szCs w:val="24"/>
          <w:lang w:eastAsia="zh-CN"/>
        </w:rPr>
        <w:t>谈判</w:t>
      </w:r>
      <w:r>
        <w:rPr>
          <w:sz w:val="24"/>
          <w:szCs w:val="24"/>
        </w:rPr>
        <w:t>小组可以根据</w:t>
      </w:r>
      <w:r>
        <w:rPr>
          <w:rFonts w:hint="eastAsia"/>
          <w:sz w:val="24"/>
          <w:szCs w:val="24"/>
          <w:lang w:eastAsia="zh-CN"/>
        </w:rPr>
        <w:t>谈判</w:t>
      </w:r>
      <w:r>
        <w:rPr>
          <w:sz w:val="24"/>
          <w:szCs w:val="24"/>
        </w:rPr>
        <w:t>文件和</w:t>
      </w:r>
      <w:r>
        <w:rPr>
          <w:rFonts w:hint="eastAsia"/>
          <w:sz w:val="24"/>
          <w:szCs w:val="24"/>
          <w:lang w:eastAsia="zh-CN"/>
        </w:rPr>
        <w:t>谈判</w:t>
      </w:r>
      <w:r>
        <w:rPr>
          <w:sz w:val="24"/>
          <w:szCs w:val="24"/>
        </w:rPr>
        <w:t>情况实质性变动采购需求中的技术、服务要求以及合同草案条款，但不得变动</w:t>
      </w:r>
      <w:r>
        <w:rPr>
          <w:rFonts w:hint="eastAsia"/>
          <w:sz w:val="24"/>
          <w:szCs w:val="24"/>
          <w:lang w:eastAsia="zh-CN"/>
        </w:rPr>
        <w:t>谈判</w:t>
      </w:r>
      <w:r>
        <w:rPr>
          <w:sz w:val="24"/>
          <w:szCs w:val="24"/>
        </w:rPr>
        <w:t>文件中的其他内容。实质性变动的内容，须经采购人代表确认。</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w:t>
      </w:r>
      <w:r>
        <w:rPr>
          <w:rFonts w:hint="eastAsia"/>
          <w:sz w:val="24"/>
          <w:szCs w:val="24"/>
          <w:lang w:eastAsia="zh-CN"/>
        </w:rPr>
        <w:t>谈判</w:t>
      </w:r>
      <w:r>
        <w:rPr>
          <w:sz w:val="24"/>
          <w:szCs w:val="24"/>
        </w:rPr>
        <w:t>文件作出的实质性变动是</w:t>
      </w:r>
      <w:r>
        <w:rPr>
          <w:rFonts w:hint="eastAsia"/>
          <w:sz w:val="24"/>
          <w:szCs w:val="24"/>
          <w:lang w:eastAsia="zh-CN"/>
        </w:rPr>
        <w:t>谈判</w:t>
      </w:r>
      <w:r>
        <w:rPr>
          <w:sz w:val="24"/>
          <w:szCs w:val="24"/>
        </w:rPr>
        <w:t>文件的有效组成部分，</w:t>
      </w:r>
      <w:r>
        <w:rPr>
          <w:rFonts w:hint="eastAsia"/>
          <w:sz w:val="24"/>
          <w:szCs w:val="24"/>
          <w:lang w:eastAsia="zh-CN"/>
        </w:rPr>
        <w:t>谈判</w:t>
      </w:r>
      <w:r>
        <w:rPr>
          <w:sz w:val="24"/>
          <w:szCs w:val="24"/>
        </w:rPr>
        <w:t>小组应当及时</w:t>
      </w:r>
      <w:r>
        <w:rPr>
          <w:rFonts w:hint="eastAsia"/>
          <w:sz w:val="24"/>
          <w:szCs w:val="24"/>
          <w:lang w:val="en-US" w:eastAsia="zh-CN"/>
        </w:rPr>
        <w:t>通过</w:t>
      </w:r>
      <w:r>
        <w:rPr>
          <w:rFonts w:hint="eastAsia"/>
          <w:sz w:val="24"/>
          <w:szCs w:val="24"/>
        </w:rPr>
        <w:t>评标系统通知</w:t>
      </w:r>
      <w:r>
        <w:rPr>
          <w:sz w:val="24"/>
          <w:szCs w:val="24"/>
        </w:rPr>
        <w:t>所有参加</w:t>
      </w:r>
      <w:r>
        <w:rPr>
          <w:rFonts w:hint="eastAsia"/>
          <w:sz w:val="24"/>
          <w:szCs w:val="24"/>
          <w:lang w:eastAsia="zh-CN"/>
        </w:rPr>
        <w:t>谈判</w:t>
      </w:r>
      <w:r>
        <w:rPr>
          <w:sz w:val="24"/>
          <w:szCs w:val="24"/>
        </w:rPr>
        <w:t>的供应商。</w:t>
      </w:r>
      <w:r>
        <w:rPr>
          <w:rFonts w:hint="eastAsia"/>
          <w:sz w:val="24"/>
          <w:szCs w:val="24"/>
        </w:rPr>
        <w:t>具体</w:t>
      </w:r>
      <w:r>
        <w:rPr>
          <w:rFonts w:hint="eastAsia"/>
          <w:sz w:val="24"/>
          <w:szCs w:val="24"/>
          <w:lang w:eastAsia="zh-CN"/>
        </w:rPr>
        <w:t>谈判</w:t>
      </w:r>
      <w:r>
        <w:rPr>
          <w:rFonts w:hint="eastAsia"/>
          <w:sz w:val="24"/>
          <w:szCs w:val="24"/>
        </w:rPr>
        <w:t>内容由</w:t>
      </w:r>
      <w:r>
        <w:rPr>
          <w:rFonts w:hint="eastAsia"/>
          <w:sz w:val="24"/>
          <w:szCs w:val="24"/>
          <w:lang w:eastAsia="zh-CN"/>
        </w:rPr>
        <w:t>谈判</w:t>
      </w:r>
      <w:r>
        <w:rPr>
          <w:rFonts w:hint="eastAsia"/>
          <w:sz w:val="24"/>
          <w:szCs w:val="24"/>
        </w:rPr>
        <w:t>小组根据</w:t>
      </w:r>
      <w:r>
        <w:rPr>
          <w:rFonts w:hint="eastAsia"/>
          <w:sz w:val="24"/>
          <w:szCs w:val="24"/>
          <w:lang w:eastAsia="zh-CN"/>
        </w:rPr>
        <w:t>谈判</w:t>
      </w:r>
      <w:r>
        <w:rPr>
          <w:rFonts w:hint="eastAsia"/>
          <w:sz w:val="24"/>
          <w:szCs w:val="24"/>
        </w:rPr>
        <w:t>实际情况确定。</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文件的变动情况和</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小组在对响应文件的有效性、完整性和响应程度进行审查时，可以要求供应商对响应文件中含义不明确、同类问题表述不一致或者有明显文字和计算错误的内容等作出必要的澄清、说明或者更正。</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结束后，</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家。《政府采购非招标采购方式管理办法》第二十七条第二款规定的情形除外。最后报价是响应文件的有效组成部分。</w:t>
      </w:r>
    </w:p>
    <w:p>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文件不能详细列明采购标的的技术、服务要求，需经</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结束后，</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交最后报价。《政府采购非招标采购方式管理办法》第二十七条第二款规定的情形除外。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情况退出</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sz w:val="24"/>
          <w:szCs w:val="24"/>
        </w:rPr>
        <w:t>评定成交的标准与确定成交候选人名单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谈判小组应当从质量和服务均能满足采购文件实质性响应要求的供应商中，按照报价由低到高的顺序提出3名以上成交候选人，并编写评审报告。</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8</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2 谈判</w:t>
      </w:r>
      <w:r>
        <w:rPr>
          <w:rFonts w:hint="eastAsia" w:cs="宋体"/>
          <w:b/>
          <w:bCs/>
          <w:snapToGrid w:val="0"/>
          <w:color w:val="000000"/>
          <w:kern w:val="0"/>
          <w:sz w:val="24"/>
          <w:szCs w:val="24"/>
          <w:lang w:val="en-US" w:eastAsia="en-US" w:bidi="ar-SA"/>
        </w:rPr>
        <w:t>小组要对</w:t>
      </w:r>
      <w:r>
        <w:rPr>
          <w:rFonts w:hint="eastAsia" w:cs="宋体"/>
          <w:b/>
          <w:bCs/>
          <w:snapToGrid w:val="0"/>
          <w:color w:val="000000"/>
          <w:kern w:val="0"/>
          <w:sz w:val="24"/>
          <w:szCs w:val="24"/>
          <w:lang w:val="en-US" w:eastAsia="zh-CN" w:bidi="ar-SA"/>
        </w:rPr>
        <w:t>评审结果</w:t>
      </w:r>
      <w:r>
        <w:rPr>
          <w:rFonts w:hint="eastAsia" w:cs="宋体"/>
          <w:b/>
          <w:bCs/>
          <w:snapToGrid w:val="0"/>
          <w:color w:val="000000"/>
          <w:kern w:val="0"/>
          <w:sz w:val="24"/>
          <w:szCs w:val="24"/>
          <w:lang w:val="en-US" w:eastAsia="en-US" w:bidi="ar-SA"/>
        </w:rPr>
        <w:t>进行复核，特别是对排名第一的、报价最低的、响应文件被认定为无效的情形进行重点复核。</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default" w:cs="宋体"/>
          <w:snapToGrid w:val="0"/>
          <w:color w:val="000000"/>
          <w:kern w:val="0"/>
          <w:sz w:val="24"/>
          <w:szCs w:val="24"/>
          <w:lang w:val="en-US" w:eastAsia="zh-CN"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□谈判</w:t>
      </w:r>
      <w:r>
        <w:rPr>
          <w:rFonts w:hint="eastAsia" w:cs="宋体"/>
          <w:snapToGrid w:val="0"/>
          <w:color w:val="000000"/>
          <w:kern w:val="0"/>
          <w:sz w:val="24"/>
          <w:szCs w:val="24"/>
          <w:lang w:val="en-US" w:eastAsia="en-US" w:bidi="ar-SA"/>
        </w:rPr>
        <w:t>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小组直接确定成交供应商。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报告违法行为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ascii="Arial"/>
          <w:b/>
          <w:bCs/>
          <w:sz w:val="21"/>
        </w:rPr>
      </w:pPr>
      <w:r>
        <w:rPr>
          <w:rFonts w:hint="eastAsia" w:cs="宋体"/>
          <w:b/>
          <w:bCs/>
          <w:snapToGrid w:val="0"/>
          <w:color w:val="000000"/>
          <w:kern w:val="0"/>
          <w:sz w:val="24"/>
          <w:szCs w:val="24"/>
          <w:lang w:val="en-US" w:eastAsia="zh-CN" w:bidi="ar-SA"/>
        </w:rPr>
        <w:t>谈判</w:t>
      </w:r>
      <w:r>
        <w:rPr>
          <w:rFonts w:hint="eastAsia" w:cs="宋体"/>
          <w:b/>
          <w:bCs/>
          <w:snapToGrid w:val="0"/>
          <w:color w:val="000000"/>
          <w:kern w:val="0"/>
          <w:sz w:val="24"/>
          <w:szCs w:val="24"/>
          <w:lang w:val="en-US" w:eastAsia="en-US" w:bidi="ar-SA"/>
        </w:rPr>
        <w:t>小组在评审过程中发现供应商有行贿、</w:t>
      </w:r>
      <w:r>
        <w:rPr>
          <w:rFonts w:hint="eastAsia" w:cs="宋体"/>
          <w:b/>
          <w:bCs/>
          <w:snapToGrid w:val="0"/>
          <w:color w:val="000000"/>
          <w:kern w:val="0"/>
          <w:sz w:val="24"/>
          <w:szCs w:val="24"/>
          <w:lang w:val="en-US" w:eastAsia="zh-CN" w:bidi="ar-SA"/>
        </w:rPr>
        <w:t>提</w:t>
      </w:r>
      <w:r>
        <w:rPr>
          <w:rFonts w:hint="eastAsia" w:cs="宋体"/>
          <w:b/>
          <w:bCs/>
          <w:snapToGrid w:val="0"/>
          <w:color w:val="000000"/>
          <w:kern w:val="0"/>
          <w:sz w:val="24"/>
          <w:szCs w:val="24"/>
          <w:lang w:val="en-US" w:eastAsia="en-US" w:bidi="ar-SA"/>
        </w:rPr>
        <w:t>供虚假材料或者串通等违法行为时，有向采购人、采购代理机构或者有关部门报告的职责。</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10.</w:t>
      </w:r>
      <w:r>
        <w:rPr>
          <w:rFonts w:hint="eastAsia" w:ascii="宋体" w:hAnsi="宋体" w:eastAsia="宋体" w:cs="宋体"/>
          <w:snapToGrid w:val="0"/>
          <w:color w:val="000000"/>
          <w:kern w:val="0"/>
          <w:sz w:val="24"/>
          <w:szCs w:val="24"/>
          <w:lang w:val="en-US" w:eastAsia="en-US" w:bidi="ar-SA"/>
        </w:rPr>
        <w:t>有下列情况之一的，采购人或采购代理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10.1 </w:t>
      </w:r>
      <w:r>
        <w:rPr>
          <w:rFonts w:hint="eastAsia" w:ascii="宋体" w:hAnsi="宋体" w:eastAsia="宋体" w:cs="宋体"/>
          <w:snapToGrid w:val="0"/>
          <w:color w:val="000000"/>
          <w:kern w:val="0"/>
          <w:sz w:val="24"/>
          <w:szCs w:val="24"/>
          <w:lang w:val="en-US" w:eastAsia="en-US" w:bidi="ar-SA"/>
        </w:rPr>
        <w:t>因情况变化，不再符合规定的竞争性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采购方式适用情形的；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10.2 </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10.3 </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kinsoku/>
        <w:wordWrap w:val="0"/>
        <w:overflowPunct/>
        <w:topLinePunct w:val="0"/>
        <w:bidi w:val="0"/>
        <w:spacing w:after="0" w:line="360" w:lineRule="auto"/>
        <w:jc w:val="both"/>
        <w:rPr>
          <w:rFonts w:hint="eastAsia" w:ascii="仿宋_GB2312" w:hAnsi="仿宋_GB2312" w:eastAsia="仿宋_GB2312" w:cs="仿宋_GB2312"/>
          <w:b/>
          <w:sz w:val="28"/>
          <w:szCs w:val="28"/>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将在“河南省政府采购网”和“南阳市公共资源交易中心网”上发布成交公告。</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通过“南阳市公共资源交易中心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南阳市公共资源交易平台会员系统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签订政府采购合同，逾期无故不签订的，按《政府采购非招标采购方式管理办法》及有关规定处理。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文件、响应文件、供应商在</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过程中的承诺以及确认材料，均为合同的有效组成部分。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文件要求签订政府采购合同，将取消其成交资格。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kinsoku/>
        <w:wordWrap w:val="0"/>
        <w:overflowPunct/>
        <w:topLinePunct w:val="0"/>
        <w:bidi w:val="0"/>
        <w:spacing w:after="0" w:line="360" w:lineRule="auto"/>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，随时接受</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小组的询问、质疑，并按照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小组的要求答复。</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的全部费用。</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文件最终解释权归采购人或采购代理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center"/>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4.政府采购合同设定</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val="en-US"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keepNext w:val="0"/>
        <w:keepLines w:val="0"/>
        <w:pageBreakBefore w:val="0"/>
        <w:kinsoku/>
        <w:wordWrap w:val="0"/>
        <w:overflowPunct/>
        <w:topLinePunct w:val="0"/>
        <w:bidi w:val="0"/>
        <w:spacing w:line="220" w:lineRule="auto"/>
        <w:jc w:val="both"/>
        <w:rPr>
          <w:sz w:val="24"/>
          <w:szCs w:val="24"/>
        </w:rPr>
        <w:sectPr>
          <w:headerReference r:id="rId8" w:type="default"/>
          <w:footerReference r:id="rId9" w:type="default"/>
          <w:pgSz w:w="11907" w:h="16840"/>
          <w:pgMar w:top="1440" w:right="1800" w:bottom="1440" w:left="1800" w:header="878" w:footer="886" w:gutter="0"/>
          <w:pgNumType w:fmt="decimal"/>
          <w:cols w:space="720" w:num="1"/>
        </w:sectPr>
      </w:pPr>
    </w:p>
    <w:p>
      <w:pPr>
        <w:pStyle w:val="3"/>
        <w:keepNext w:val="0"/>
        <w:keepLines w:val="0"/>
        <w:pageBreakBefore w:val="0"/>
        <w:kinsoku/>
        <w:wordWrap w:val="0"/>
        <w:overflowPunct/>
        <w:topLinePunct w:val="0"/>
        <w:bidi w:val="0"/>
        <w:spacing w:before="353" w:line="360" w:lineRule="auto"/>
        <w:jc w:val="center"/>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pPr>
        <w:keepNext w:val="0"/>
        <w:keepLines w:val="0"/>
        <w:pageBreakBefore w:val="0"/>
        <w:kinsoku/>
        <w:wordWrap w:val="0"/>
        <w:overflowPunct/>
        <w:topLinePunct w:val="0"/>
        <w:bidi w:val="0"/>
        <w:spacing w:line="219" w:lineRule="auto"/>
        <w:jc w:val="both"/>
        <w:rPr>
          <w:sz w:val="24"/>
          <w:szCs w:val="24"/>
        </w:rPr>
        <w:sectPr>
          <w:headerReference r:id="rId10" w:type="default"/>
          <w:footerReference r:id="rId11" w:type="default"/>
          <w:pgSz w:w="11907" w:h="16840"/>
          <w:pgMar w:top="1440" w:right="1800" w:bottom="1440" w:left="1800" w:header="878" w:footer="886" w:gutter="0"/>
          <w:pgNumType w:fmt="decimal"/>
          <w:cols w:space="720" w:num="1"/>
        </w:sectPr>
      </w:pPr>
    </w:p>
    <w:p>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t>响应函</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7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项的响应文件电子版本一份。据此函，签字代表宣布同意并郑重承诺如下：</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pPr>
        <w:pStyle w:val="3"/>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pPr>
        <w:pStyle w:val="3"/>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《政府采购非招标采购方式管理办法》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pPr>
        <w:pStyle w:val="3"/>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keepNext w:val="0"/>
        <w:keepLines w:val="0"/>
        <w:pageBreakBefore w:val="0"/>
        <w:kinsoku/>
        <w:wordWrap w:val="0"/>
        <w:overflowPunct/>
        <w:topLinePunct w:val="0"/>
        <w:bidi w:val="0"/>
        <w:spacing w:after="0" w:line="360" w:lineRule="auto"/>
        <w:ind w:firstLine="5073" w:firstLineChars="2168"/>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3604" w:firstLineChars="1502"/>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t>法定代表人或负责人授权委托书</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5148" w:firstLineChars="2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pPr>
        <w:keepNext w:val="0"/>
        <w:keepLines w:val="0"/>
        <w:pageBreakBefore w:val="0"/>
        <w:widowControl w:val="0"/>
        <w:kinsoku/>
        <w:wordWrap w:val="0"/>
        <w:overflowPunct/>
        <w:topLinePunct w:val="0"/>
        <w:autoSpaceDE w:val="0"/>
        <w:autoSpaceDN w:val="0"/>
        <w:bidi w:val="0"/>
        <w:adjustRightInd w:val="0"/>
        <w:spacing w:line="360" w:lineRule="auto"/>
        <w:ind w:firstLine="5044" w:firstLineChars="2102"/>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1.货物类</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谈判报价</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ind w:firstLine="900" w:firstLineChars="400"/>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    法定代表人（负责人）或授权代表（签字）：</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四、营业执照副本、依法缴纳税收和社会保障资金的缴费凭证</w:t>
      </w:r>
      <w:r>
        <w:rPr>
          <w:rFonts w:hint="eastAsia" w:asciiTheme="minorEastAsia" w:hAnsiTheme="minorEastAsia" w:eastAsiaTheme="minorEastAsia" w:cstheme="minorEastAsia"/>
          <w:b/>
          <w:bCs/>
          <w:sz w:val="24"/>
          <w:szCs w:val="24"/>
          <w:lang w:eastAsia="zh-CN"/>
        </w:rPr>
        <w:t>(提供近半年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r>
        <w:rPr>
          <w:rFonts w:hint="eastAsia" w:asciiTheme="minorEastAsia" w:hAnsiTheme="minorEastAsia" w:eastAsiaTheme="minorEastAsia" w:cstheme="minorEastAsia"/>
          <w:b/>
          <w:bCs/>
          <w:snapToGrid w:val="0"/>
          <w:color w:val="000000"/>
          <w:spacing w:val="-3"/>
          <w:kern w:val="0"/>
          <w:sz w:val="24"/>
          <w:szCs w:val="24"/>
          <w:lang w:val="en-US" w:eastAsia="zh-CN" w:bidi="ar-SA"/>
        </w:rPr>
        <w:t>、审计或财务报告、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近三年内在经营活动中没有重大违法记录的声明等；</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声明函</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w:t>
      </w:r>
      <w:r>
        <w:rPr>
          <w:rFonts w:hint="eastAsia" w:asciiTheme="minorEastAsia" w:hAnsiTheme="minorEastAsia" w:eastAsiaTheme="minorEastAsia" w:cstheme="minorEastAsia"/>
          <w:b w:val="0"/>
          <w:bCs w:val="0"/>
          <w:sz w:val="24"/>
          <w:szCs w:val="24"/>
          <w:lang w:val="en-US" w:eastAsia="zh-CN"/>
        </w:rPr>
        <w:t>机构</w:t>
      </w:r>
      <w:r>
        <w:rPr>
          <w:rFonts w:hint="eastAsia" w:asciiTheme="minorEastAsia" w:hAnsiTheme="minorEastAsia" w:eastAsiaTheme="minorEastAsia" w:cstheme="minorEastAsia"/>
          <w:b w:val="0"/>
          <w:bCs w:val="0"/>
          <w:sz w:val="24"/>
          <w:szCs w:val="24"/>
          <w:lang w:eastAsia="zh-CN"/>
        </w:rPr>
        <w:t>郑重声明如下：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五、分项报价一览表、技术偏差表、商务偏差表、售后服务计划等；</w:t>
      </w:r>
    </w:p>
    <w:p>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rPr>
        <w:sectPr>
          <w:headerReference r:id="rId12" w:type="default"/>
          <w:footerReference r:id="rId13" w:type="default"/>
          <w:pgSz w:w="11907" w:h="16840"/>
          <w:pgMar w:top="1440" w:right="1800" w:bottom="1440" w:left="1800" w:header="851" w:footer="992" w:gutter="0"/>
          <w:pgNumType w:fmt="decimal"/>
          <w:cols w:space="720" w:num="1"/>
          <w:docGrid w:linePitch="332" w:charSpace="0"/>
        </w:sectPr>
      </w:pPr>
    </w:p>
    <w:p>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0"/>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lang w:eastAsia="zh-CN"/>
              </w:rPr>
              <w:t>名称（公章）：</w:t>
            </w:r>
          </w:p>
        </w:tc>
        <w:tc>
          <w:tcPr>
            <w:tcW w:w="4536" w:type="dxa"/>
            <w:gridSpan w:val="2"/>
            <w:tcBorders>
              <w:top w:val="nil"/>
              <w:left w:val="nil"/>
              <w:bottom w:val="single" w:color="auto" w:sz="4" w:space="0"/>
              <w:right w:val="nil"/>
            </w:tcBorders>
            <w:noWrap w:val="0"/>
            <w:vAlign w:val="center"/>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0"/>
            <w:vAlign w:val="center"/>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0"/>
            <w:vAlign w:val="center"/>
          </w:tcPr>
          <w:p>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报价金额合计（大写）：</w:t>
            </w: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z w:val="24"/>
          <w:szCs w:val="24"/>
          <w:lang w:eastAsia="zh-CN"/>
        </w:rPr>
        <w:sectPr>
          <w:pgSz w:w="16840" w:h="11907" w:orient="landscape"/>
          <w:pgMar w:top="1440" w:right="1800" w:bottom="1440" w:left="1800" w:header="851" w:footer="992" w:gutter="0"/>
          <w:pgNumType w:fmt="decimal"/>
          <w:cols w:space="720" w:num="1"/>
          <w:docGrid w:linePitch="332" w:charSpace="0"/>
        </w:sectPr>
      </w:pPr>
    </w:p>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240" w:lineRule="atLeast"/>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供应商</w:t>
      </w:r>
      <w:r>
        <w:rPr>
          <w:rFonts w:hint="eastAsia" w:asciiTheme="minorEastAsia" w:hAnsiTheme="minorEastAsia" w:eastAsiaTheme="minorEastAsia" w:cstheme="minorEastAsia"/>
          <w:b/>
          <w:sz w:val="24"/>
          <w:szCs w:val="24"/>
          <w:lang w:eastAsia="zh-CN"/>
        </w:rPr>
        <w:t>（公章）：法定代表人（负责人）或授权代表（签字）：</w:t>
      </w:r>
    </w:p>
    <w:p>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日期：</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商务偏差表</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z w:val="24"/>
          <w:szCs w:val="24"/>
          <w:lang w:val="en-US" w:eastAsia="zh-CN"/>
        </w:rPr>
        <w:t>日期：</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六、供应商诚信承诺书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诚信承诺书</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七、供应商认为需要的其他文件资料</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中小企业声明函（货物）格式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4"/>
          <w:sz w:val="24"/>
          <w:szCs w:val="24"/>
        </w:rPr>
        <w:t>供</w:t>
      </w:r>
      <w:r>
        <w:rPr>
          <w:rFonts w:hint="eastAsia" w:asciiTheme="minorEastAsia" w:hAnsiTheme="minorEastAsia" w:eastAsiaTheme="minorEastAsia" w:cstheme="minorEastAsia"/>
          <w:spacing w:val="14"/>
          <w:sz w:val="24"/>
          <w:szCs w:val="24"/>
        </w:rPr>
        <w:t>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从业人员人，营业收入为万元，资产总额为万元</w:t>
      </w:r>
      <w:r>
        <w:rPr>
          <w:rFonts w:hint="eastAsia" w:asciiTheme="minorEastAsia" w:hAnsiTheme="minorEastAsia" w:eastAsiaTheme="minorEastAsia" w:cstheme="minorEastAsia"/>
          <w:spacing w:val="3"/>
          <w:position w:val="6"/>
          <w:sz w:val="16"/>
          <w:szCs w:val="16"/>
        </w:rPr>
        <w:t>1</w:t>
      </w:r>
      <w:r>
        <w:rPr>
          <w:rFonts w:hint="eastAsia" w:asciiTheme="minorEastAsia" w:hAnsiTheme="minorEastAsia" w:eastAsiaTheme="minorEastAsia" w:cstheme="minorEastAsia"/>
          <w:spacing w:val="3"/>
          <w:sz w:val="24"/>
          <w:szCs w:val="24"/>
        </w:rPr>
        <w:t>，属于</w:t>
      </w:r>
    </w:p>
    <w:p>
      <w:pPr>
        <w:pStyle w:val="3"/>
        <w:keepNext w:val="0"/>
        <w:keepLines w:val="0"/>
        <w:pageBreakBefore w:val="0"/>
        <w:widowControl/>
        <w:tabs>
          <w:tab w:val="left" w:pos="243"/>
        </w:tabs>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从业人员人，营业收入为万元，资产总额为万元，属于</w:t>
      </w:r>
      <w:r>
        <w:rPr>
          <w:rFonts w:hint="eastAsia" w:asciiTheme="minorEastAsia" w:hAnsiTheme="minorEastAsia" w:eastAsiaTheme="minorEastAsia" w:cstheme="minorEastAsia"/>
          <w:spacing w:val="-5"/>
          <w:sz w:val="24"/>
          <w:szCs w:val="24"/>
          <w:u w:val="single" w:color="auto"/>
        </w:rPr>
        <w:t>（中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eepNext w:val="0"/>
        <w:keepLines w:val="0"/>
        <w:pageBreakBefore w:val="0"/>
        <w:widowControl w:val="0"/>
        <w:kinsoku/>
        <w:wordWrap w:val="0"/>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 xml:space="preserve">                    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w:t>
      </w:r>
      <w:r>
        <w:rPr>
          <w:rFonts w:hint="eastAsia" w:asciiTheme="minorEastAsia" w:hAnsiTheme="minorEastAsia" w:eastAsiaTheme="minorEastAsia" w:cstheme="minorEastAsia"/>
          <w:spacing w:val="3"/>
          <w:sz w:val="24"/>
          <w:szCs w:val="24"/>
        </w:rPr>
        <w:t>〔201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napToGrid w:val="0"/>
          <w:color w:val="000000"/>
          <w:spacing w:val="7"/>
          <w:kern w:val="0"/>
          <w:sz w:val="24"/>
          <w:szCs w:val="24"/>
          <w:lang w:val="en-US" w:eastAsia="zh-CN" w:bidi="ar-SA"/>
        </w:rPr>
        <w:t>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企业名称（盖章）：</w:t>
      </w:r>
    </w:p>
    <w:p>
      <w:pPr>
        <w:keepNext w:val="0"/>
        <w:keepLines w:val="0"/>
        <w:pageBreakBefore w:val="0"/>
        <w:widowControl w:val="0"/>
        <w:kinsoku/>
        <w:wordWrap w:val="0"/>
        <w:overflowPunct/>
        <w:topLinePunct w:val="0"/>
        <w:autoSpaceDE w:val="0"/>
        <w:autoSpaceDN w:val="0"/>
        <w:bidi w:val="0"/>
        <w:adjustRightInd w:val="0"/>
        <w:spacing w:line="360" w:lineRule="auto"/>
        <w:ind w:firstLine="508" w:firstLineChars="2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u w:val="single" w:color="auto"/>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pPr>
        <w:pStyle w:val="3"/>
        <w:keepNext w:val="0"/>
        <w:keepLines w:val="0"/>
        <w:pageBreakBefore w:val="0"/>
        <w:kinsoku/>
        <w:wordWrap w:val="0"/>
        <w:overflowPunct/>
        <w:topLinePunct w:val="0"/>
        <w:bidi w:val="0"/>
        <w:spacing w:line="360" w:lineRule="auto"/>
        <w:ind w:firstLine="1446" w:firstLineChars="600"/>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南阳市政府采购供应商信用承诺函（格式）</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4" w:type="default"/>
      <w:footerReference r:id="rId15"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579"/>
        <w:tab w:val="clear" w:pos="4153"/>
      </w:tabs>
    </w:pPr>
    <w:r>
      <w:rPr>
        <w:rFonts w:hint="eastAsia" w:eastAsia="宋体"/>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1312;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pPr>
                      <w:pStyle w:val="5"/>
                      <w:rPr>
                        <w:rFonts w:hint="eastAsia" w:eastAsia="宋体"/>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D77DD"/>
    <w:multiLevelType w:val="singleLevel"/>
    <w:tmpl w:val="904D77DD"/>
    <w:lvl w:ilvl="0" w:tentative="0">
      <w:start w:val="1"/>
      <w:numFmt w:val="decimal"/>
      <w:suff w:val="nothing"/>
      <w:lvlText w:val="%1、"/>
      <w:lvlJc w:val="left"/>
    </w:lvl>
  </w:abstractNum>
  <w:abstractNum w:abstractNumId="1">
    <w:nsid w:val="02F79B9F"/>
    <w:multiLevelType w:val="singleLevel"/>
    <w:tmpl w:val="02F79B9F"/>
    <w:lvl w:ilvl="0" w:tentative="0">
      <w:start w:val="1"/>
      <w:numFmt w:val="decimal"/>
      <w:suff w:val="nothing"/>
      <w:lvlText w:val="%1、"/>
      <w:lvlJc w:val="left"/>
    </w:lvl>
  </w:abstractNum>
  <w:abstractNum w:abstractNumId="2">
    <w:nsid w:val="37EF3B36"/>
    <w:multiLevelType w:val="singleLevel"/>
    <w:tmpl w:val="37EF3B36"/>
    <w:lvl w:ilvl="0" w:tentative="0">
      <w:start w:val="1"/>
      <w:numFmt w:val="decimal"/>
      <w:suff w:val="nothing"/>
      <w:lvlText w:val="%1、"/>
      <w:lvlJc w:val="left"/>
    </w:lvl>
  </w:abstractNum>
  <w:abstractNum w:abstractNumId="3">
    <w:nsid w:val="51A3EAE8"/>
    <w:multiLevelType w:val="singleLevel"/>
    <w:tmpl w:val="51A3EAE8"/>
    <w:lvl w:ilvl="0" w:tentative="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U5ODFjOGEyNWRlYTNkMjA0OTNkYmM2YTBlNjc3YTEifQ=="/>
  </w:docVars>
  <w:rsids>
    <w:rsidRoot w:val="00000000"/>
    <w:rsid w:val="00991589"/>
    <w:rsid w:val="01080A12"/>
    <w:rsid w:val="015C3E7B"/>
    <w:rsid w:val="01BD7BE8"/>
    <w:rsid w:val="068E3768"/>
    <w:rsid w:val="06BC23B0"/>
    <w:rsid w:val="07512AFF"/>
    <w:rsid w:val="07AB20F7"/>
    <w:rsid w:val="08743EB7"/>
    <w:rsid w:val="09593447"/>
    <w:rsid w:val="09A960A9"/>
    <w:rsid w:val="0A4E3858"/>
    <w:rsid w:val="0BCA5067"/>
    <w:rsid w:val="0C272EF4"/>
    <w:rsid w:val="0CEA544B"/>
    <w:rsid w:val="0D4C0C6C"/>
    <w:rsid w:val="0DA948FA"/>
    <w:rsid w:val="0EC4025E"/>
    <w:rsid w:val="0EE04793"/>
    <w:rsid w:val="0EE83C0B"/>
    <w:rsid w:val="0FFF7484"/>
    <w:rsid w:val="109040C8"/>
    <w:rsid w:val="11DE5D80"/>
    <w:rsid w:val="11E54B27"/>
    <w:rsid w:val="124675EC"/>
    <w:rsid w:val="12AF0CEE"/>
    <w:rsid w:val="13346191"/>
    <w:rsid w:val="139C13E5"/>
    <w:rsid w:val="13FE2F34"/>
    <w:rsid w:val="14184102"/>
    <w:rsid w:val="145D4BFF"/>
    <w:rsid w:val="146A4EE4"/>
    <w:rsid w:val="147646D5"/>
    <w:rsid w:val="14A529A8"/>
    <w:rsid w:val="14B05372"/>
    <w:rsid w:val="14B80C58"/>
    <w:rsid w:val="14C924CC"/>
    <w:rsid w:val="15103876"/>
    <w:rsid w:val="15EF58A5"/>
    <w:rsid w:val="1627027A"/>
    <w:rsid w:val="17426AF8"/>
    <w:rsid w:val="17AC113D"/>
    <w:rsid w:val="18C921CA"/>
    <w:rsid w:val="19075642"/>
    <w:rsid w:val="196A0814"/>
    <w:rsid w:val="19E82D37"/>
    <w:rsid w:val="1C273FEB"/>
    <w:rsid w:val="1C7B41D3"/>
    <w:rsid w:val="1D7F2147"/>
    <w:rsid w:val="1DA01659"/>
    <w:rsid w:val="1FCF1E87"/>
    <w:rsid w:val="20FB6077"/>
    <w:rsid w:val="21157CC7"/>
    <w:rsid w:val="21887424"/>
    <w:rsid w:val="226F0499"/>
    <w:rsid w:val="23735491"/>
    <w:rsid w:val="240E1FB8"/>
    <w:rsid w:val="246F4781"/>
    <w:rsid w:val="249B7305"/>
    <w:rsid w:val="253D7C8D"/>
    <w:rsid w:val="25F7793F"/>
    <w:rsid w:val="26A5448A"/>
    <w:rsid w:val="28C34872"/>
    <w:rsid w:val="29A9603F"/>
    <w:rsid w:val="2A9137CD"/>
    <w:rsid w:val="2B481888"/>
    <w:rsid w:val="2C956D4E"/>
    <w:rsid w:val="2D452BB2"/>
    <w:rsid w:val="2E375403"/>
    <w:rsid w:val="2EA8335A"/>
    <w:rsid w:val="31E05F1C"/>
    <w:rsid w:val="320C16C0"/>
    <w:rsid w:val="32D83E39"/>
    <w:rsid w:val="334A1323"/>
    <w:rsid w:val="33A371EA"/>
    <w:rsid w:val="34A47FC2"/>
    <w:rsid w:val="34B2130C"/>
    <w:rsid w:val="366B6ABE"/>
    <w:rsid w:val="372B776E"/>
    <w:rsid w:val="37542B18"/>
    <w:rsid w:val="37CA6352"/>
    <w:rsid w:val="39906272"/>
    <w:rsid w:val="3BAF7174"/>
    <w:rsid w:val="3C5C1B69"/>
    <w:rsid w:val="40EB4E21"/>
    <w:rsid w:val="41FD4D22"/>
    <w:rsid w:val="423746D8"/>
    <w:rsid w:val="42AC25ED"/>
    <w:rsid w:val="435968D0"/>
    <w:rsid w:val="44B74AB0"/>
    <w:rsid w:val="453C2005"/>
    <w:rsid w:val="45485320"/>
    <w:rsid w:val="462D5E47"/>
    <w:rsid w:val="46832AB5"/>
    <w:rsid w:val="46837CA7"/>
    <w:rsid w:val="48277564"/>
    <w:rsid w:val="49AB21BF"/>
    <w:rsid w:val="4B9619CE"/>
    <w:rsid w:val="4BBB7B8C"/>
    <w:rsid w:val="4BD83AA6"/>
    <w:rsid w:val="4C3664B6"/>
    <w:rsid w:val="4D025E0C"/>
    <w:rsid w:val="4D8D53AE"/>
    <w:rsid w:val="4DEF40B9"/>
    <w:rsid w:val="4E5C03B2"/>
    <w:rsid w:val="4F561780"/>
    <w:rsid w:val="4FF86B2F"/>
    <w:rsid w:val="50232EC7"/>
    <w:rsid w:val="516C45A1"/>
    <w:rsid w:val="52E92543"/>
    <w:rsid w:val="54E833A6"/>
    <w:rsid w:val="55473AD1"/>
    <w:rsid w:val="569C2904"/>
    <w:rsid w:val="583737A8"/>
    <w:rsid w:val="587B7259"/>
    <w:rsid w:val="58DB71BE"/>
    <w:rsid w:val="59C70462"/>
    <w:rsid w:val="5A1629CD"/>
    <w:rsid w:val="5C45162D"/>
    <w:rsid w:val="5CB03C1D"/>
    <w:rsid w:val="5D1853FB"/>
    <w:rsid w:val="5D5C1168"/>
    <w:rsid w:val="5DAE1464"/>
    <w:rsid w:val="5E401EE1"/>
    <w:rsid w:val="5E6A5C00"/>
    <w:rsid w:val="603E3E34"/>
    <w:rsid w:val="60811390"/>
    <w:rsid w:val="612C3317"/>
    <w:rsid w:val="61390221"/>
    <w:rsid w:val="64E32222"/>
    <w:rsid w:val="655F65B8"/>
    <w:rsid w:val="66263390"/>
    <w:rsid w:val="6A443604"/>
    <w:rsid w:val="6A8A71EB"/>
    <w:rsid w:val="6B6E2D90"/>
    <w:rsid w:val="6BFF5555"/>
    <w:rsid w:val="6C4274D6"/>
    <w:rsid w:val="6E085CF6"/>
    <w:rsid w:val="6EC24A7A"/>
    <w:rsid w:val="6F1E4415"/>
    <w:rsid w:val="6F746490"/>
    <w:rsid w:val="6FA16FBF"/>
    <w:rsid w:val="6FC26D45"/>
    <w:rsid w:val="702B3BC3"/>
    <w:rsid w:val="70411D13"/>
    <w:rsid w:val="705047AD"/>
    <w:rsid w:val="70D70B1C"/>
    <w:rsid w:val="712804DB"/>
    <w:rsid w:val="717B788E"/>
    <w:rsid w:val="74143D3D"/>
    <w:rsid w:val="75654242"/>
    <w:rsid w:val="7778698F"/>
    <w:rsid w:val="786749F3"/>
    <w:rsid w:val="78F607B2"/>
    <w:rsid w:val="7BC65611"/>
    <w:rsid w:val="7C0A78A1"/>
    <w:rsid w:val="7C2C76E7"/>
    <w:rsid w:val="7C7D54DC"/>
    <w:rsid w:val="7D192AAE"/>
    <w:rsid w:val="7D390946"/>
    <w:rsid w:val="7F3341BF"/>
    <w:rsid w:val="7FE301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Body Text"/>
    <w:basedOn w:val="1"/>
    <w:next w:val="1"/>
    <w:autoRedefine/>
    <w:qFormat/>
    <w:uiPriority w:val="0"/>
    <w:rPr>
      <w:rFonts w:ascii="宋体" w:hAnsi="宋体" w:eastAsia="宋体" w:cs="宋体"/>
      <w:sz w:val="31"/>
      <w:szCs w:val="31"/>
      <w:lang w:val="en-US" w:eastAsia="en-US" w:bidi="ar-SA"/>
    </w:rPr>
  </w:style>
  <w:style w:type="paragraph" w:styleId="4">
    <w:name w:val="Body Text Indent"/>
    <w:basedOn w:val="1"/>
    <w:next w:val="1"/>
    <w:autoRedefine/>
    <w:qFormat/>
    <w:uiPriority w:val="0"/>
    <w:pPr>
      <w:tabs>
        <w:tab w:val="left" w:pos="0"/>
      </w:tabs>
      <w:ind w:firstLine="538" w:firstLineChars="192"/>
    </w:pPr>
    <w:rPr>
      <w:rFonts w:ascii="Tahoma" w:hAnsi="Tahoma"/>
      <w:kern w:val="2"/>
      <w:sz w:val="28"/>
      <w:szCs w:val="24"/>
    </w:rPr>
  </w:style>
  <w:style w:type="paragraph" w:styleId="5">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7">
    <w:name w:val="footnote text"/>
    <w:basedOn w:val="1"/>
    <w:qFormat/>
    <w:uiPriority w:val="0"/>
    <w:pPr>
      <w:snapToGrid w:val="0"/>
    </w:pPr>
    <w:rPr>
      <w:sz w:val="18"/>
      <w:szCs w:val="18"/>
    </w:rPr>
  </w:style>
  <w:style w:type="paragraph" w:styleId="8">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9">
    <w:name w:val="Body Text First Indent 2"/>
    <w:basedOn w:val="4"/>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paragraph" w:customStyle="1" w:styleId="14">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15">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16">
    <w:name w:val="Table Normal"/>
    <w:autoRedefine/>
    <w:semiHidden/>
    <w:unhideWhenUsed/>
    <w:qFormat/>
    <w:uiPriority w:val="0"/>
    <w:tblPr>
      <w:tblCellMar>
        <w:top w:w="0" w:type="dxa"/>
        <w:left w:w="0" w:type="dxa"/>
        <w:bottom w:w="0" w:type="dxa"/>
        <w:right w:w="0" w:type="dxa"/>
      </w:tblCellMar>
    </w:tblPr>
  </w:style>
  <w:style w:type="paragraph" w:customStyle="1" w:styleId="17">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43</Pages>
  <Words>19848</Words>
  <Characters>21226</Characters>
  <TotalTime>77</TotalTime>
  <ScaleCrop>false</ScaleCrop>
  <LinksUpToDate>false</LinksUpToDate>
  <CharactersWithSpaces>21831</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NTKO</cp:lastModifiedBy>
  <dcterms:modified xsi:type="dcterms:W3CDTF">2024-06-13T07:01:47Z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4948C252A45144F79EAF7D684BD289DE_13</vt:lpwstr>
  </property>
</Properties>
</file>