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spacing w:line="281" w:lineRule="auto"/>
        <w:jc w:val="both"/>
      </w:pPr>
    </w:p>
    <w:p>
      <w:pPr>
        <w:kinsoku/>
        <w:wordWrap w:val="0"/>
        <w:spacing w:line="360" w:lineRule="auto"/>
        <w:jc w:val="center"/>
        <w:outlineLvl w:val="0"/>
        <w:rPr>
          <w:rFonts w:ascii="宋体" w:hAnsi="宋体" w:eastAsia="宋体" w:cs="宋体"/>
          <w:spacing w:val="-2"/>
          <w:sz w:val="52"/>
          <w:szCs w:val="52"/>
          <w:lang w:eastAsia="zh-CN"/>
        </w:rPr>
      </w:pPr>
    </w:p>
    <w:p>
      <w:pPr>
        <w:spacing w:line="257" w:lineRule="auto"/>
        <w:jc w:val="center"/>
        <w:rPr>
          <w:rFonts w:hint="eastAsia" w:eastAsia="宋体"/>
          <w:b/>
          <w:bCs/>
          <w:sz w:val="40"/>
          <w:szCs w:val="40"/>
          <w:lang w:val="en-US" w:eastAsia="zh-CN"/>
        </w:rPr>
      </w:pPr>
      <w:r>
        <w:rPr>
          <w:rFonts w:hint="eastAsia" w:eastAsia="宋体"/>
          <w:b/>
          <w:bCs/>
          <w:sz w:val="40"/>
          <w:szCs w:val="40"/>
          <w:lang w:val="en-US" w:eastAsia="zh-CN"/>
        </w:rPr>
        <w:t>淅川县市场监督管理局2024年食品安全抽检</w:t>
      </w:r>
    </w:p>
    <w:p>
      <w:pPr>
        <w:spacing w:line="257" w:lineRule="auto"/>
        <w:jc w:val="center"/>
        <w:rPr>
          <w:rFonts w:ascii="宋体" w:hAnsi="宋体" w:eastAsia="宋体" w:cs="宋体"/>
          <w:sz w:val="48"/>
          <w:szCs w:val="48"/>
        </w:rPr>
      </w:pPr>
      <w:r>
        <w:rPr>
          <w:rFonts w:hint="eastAsia" w:eastAsia="宋体"/>
          <w:b/>
          <w:bCs/>
          <w:sz w:val="40"/>
          <w:szCs w:val="40"/>
          <w:lang w:val="en-US" w:eastAsia="zh-CN"/>
        </w:rPr>
        <w:t>项      目</w:t>
      </w:r>
    </w:p>
    <w:p>
      <w:pPr>
        <w:kinsoku/>
        <w:wordWrap w:val="0"/>
        <w:spacing w:line="360" w:lineRule="auto"/>
        <w:jc w:val="center"/>
        <w:rPr>
          <w:rFonts w:hint="eastAsia" w:ascii="宋体" w:hAnsi="宋体" w:eastAsia="宋体" w:cs="宋体"/>
          <w:spacing w:val="-1"/>
          <w:sz w:val="52"/>
          <w:szCs w:val="52"/>
        </w:rPr>
      </w:pPr>
    </w:p>
    <w:p>
      <w:pPr>
        <w:kinsoku/>
        <w:wordWrap w:val="0"/>
        <w:spacing w:line="360" w:lineRule="auto"/>
        <w:jc w:val="center"/>
        <w:rPr>
          <w:rFonts w:hint="eastAsia" w:ascii="宋体" w:hAnsi="宋体" w:eastAsia="宋体" w:cs="宋体"/>
          <w:spacing w:val="-1"/>
          <w:sz w:val="52"/>
          <w:szCs w:val="52"/>
        </w:rPr>
      </w:pPr>
    </w:p>
    <w:p>
      <w:pPr>
        <w:kinsoku/>
        <w:wordWrap w:val="0"/>
        <w:spacing w:line="360" w:lineRule="auto"/>
        <w:jc w:val="center"/>
        <w:rPr>
          <w:rFonts w:ascii="宋体" w:hAnsi="宋体" w:eastAsia="宋体" w:cs="宋体"/>
          <w:sz w:val="52"/>
          <w:szCs w:val="52"/>
        </w:rPr>
      </w:pPr>
      <w:r>
        <w:rPr>
          <w:rFonts w:hint="eastAsia" w:ascii="宋体" w:hAnsi="宋体" w:eastAsia="宋体" w:cs="宋体"/>
          <w:spacing w:val="-1"/>
          <w:sz w:val="52"/>
          <w:szCs w:val="52"/>
        </w:rPr>
        <w:t>竞争性磋商文件</w:t>
      </w:r>
    </w:p>
    <w:p>
      <w:pPr>
        <w:kinsoku/>
        <w:wordWrap w:val="0"/>
        <w:spacing w:line="248"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360" w:lineRule="auto"/>
        <w:ind w:firstLine="1149" w:firstLineChars="400"/>
        <w:jc w:val="both"/>
        <w:rPr>
          <w:rFonts w:hint="eastAsia" w:asciiTheme="minorEastAsia" w:hAnsiTheme="minorEastAsia" w:eastAsiaTheme="minorEastAsia" w:cstheme="minorEastAsia"/>
          <w:b w:val="0"/>
          <w:bCs w:val="0"/>
          <w:spacing w:val="-57"/>
          <w:sz w:val="32"/>
          <w:szCs w:val="32"/>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val="0"/>
          <w:bCs w:val="0"/>
          <w:spacing w:val="-57"/>
          <w:sz w:val="32"/>
          <w:szCs w:val="32"/>
        </w:rPr>
        <w:t>淅川县市场监督管理局2024年食品安全抽检</w:t>
      </w:r>
      <w:r>
        <w:rPr>
          <w:rFonts w:hint="eastAsia" w:asciiTheme="minorEastAsia" w:hAnsiTheme="minorEastAsia" w:eastAsiaTheme="minorEastAsia" w:cstheme="minorEastAsia"/>
          <w:b w:val="0"/>
          <w:bCs w:val="0"/>
          <w:spacing w:val="-57"/>
          <w:sz w:val="32"/>
          <w:szCs w:val="32"/>
          <w:lang w:val="en-US" w:eastAsia="zh-CN"/>
        </w:rPr>
        <w:t>项目</w:t>
      </w:r>
    </w:p>
    <w:p>
      <w:pPr>
        <w:kinsoku/>
        <w:wordWrap w:val="0"/>
        <w:spacing w:line="360" w:lineRule="auto"/>
        <w:ind w:firstLine="1149" w:firstLineChars="400"/>
        <w:jc w:val="both"/>
        <w:rPr>
          <w:rFonts w:hint="eastAsia" w:asciiTheme="minorEastAsia" w:hAnsiTheme="minorEastAsia" w:eastAsiaTheme="minorEastAsia" w:cstheme="minorEastAsia"/>
          <w:b w:val="0"/>
          <w:bCs w:val="0"/>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val="0"/>
          <w:bCs w:val="0"/>
          <w:spacing w:val="-17"/>
          <w:sz w:val="32"/>
          <w:szCs w:val="32"/>
          <w:lang w:eastAsia="zh-CN"/>
        </w:rPr>
        <w:t>淅财磋商采购-2024-30</w:t>
      </w:r>
    </w:p>
    <w:p>
      <w:pPr>
        <w:kinsoku/>
        <w:wordWrap w:val="0"/>
        <w:spacing w:line="360" w:lineRule="auto"/>
        <w:ind w:left="2713" w:leftChars="608" w:hanging="1436" w:hangingChars="500"/>
        <w:jc w:val="both"/>
        <w:rPr>
          <w:rFonts w:hint="default" w:asciiTheme="minorEastAsia" w:hAnsiTheme="minorEastAsia" w:eastAsiaTheme="minorEastAsia" w:cstheme="minorEastAsia"/>
          <w:b w:val="0"/>
          <w:bCs w:val="0"/>
          <w:spacing w:val="-17"/>
          <w:sz w:val="32"/>
          <w:szCs w:val="32"/>
          <w:lang w:val="en-US" w:eastAsia="zh-CN"/>
        </w:rPr>
      </w:pPr>
      <w:r>
        <w:rPr>
          <w:rFonts w:hint="eastAsia" w:asciiTheme="minorEastAsia" w:hAnsiTheme="minorEastAsia" w:eastAsiaTheme="minorEastAsia" w:cstheme="minorEastAsia"/>
          <w:b/>
          <w:bCs/>
          <w:spacing w:val="-17"/>
          <w:sz w:val="32"/>
          <w:szCs w:val="32"/>
          <w:lang w:val="en-US" w:eastAsia="zh-CN"/>
        </w:rPr>
        <w:t>标段编号：</w:t>
      </w:r>
      <w:r>
        <w:rPr>
          <w:rFonts w:hint="eastAsia" w:asciiTheme="minorEastAsia" w:hAnsiTheme="minorEastAsia" w:eastAsiaTheme="minorEastAsia" w:cstheme="minorEastAsia"/>
          <w:b w:val="0"/>
          <w:bCs w:val="0"/>
          <w:spacing w:val="-17"/>
          <w:sz w:val="24"/>
          <w:szCs w:val="24"/>
          <w:lang w:eastAsia="zh-CN"/>
        </w:rPr>
        <w:t>淅财磋商采购-2024-30</w:t>
      </w:r>
      <w:r>
        <w:rPr>
          <w:rFonts w:hint="eastAsia" w:asciiTheme="minorEastAsia" w:hAnsiTheme="minorEastAsia" w:eastAsiaTheme="minorEastAsia" w:cstheme="minorEastAsia"/>
          <w:b w:val="0"/>
          <w:bCs w:val="0"/>
          <w:spacing w:val="-17"/>
          <w:sz w:val="24"/>
          <w:szCs w:val="24"/>
          <w:lang w:val="en-US" w:eastAsia="zh-CN"/>
        </w:rPr>
        <w:t>-1、淅财磋商采购-2024-30-2、淅财磋商采购-2024-30-3、淅财磋商采购-2024-30-4</w:t>
      </w:r>
    </w:p>
    <w:p>
      <w:pPr>
        <w:kinsoku/>
        <w:wordWrap w:val="0"/>
        <w:spacing w:line="360" w:lineRule="auto"/>
        <w:ind w:firstLine="1149" w:firstLineChars="400"/>
        <w:jc w:val="both"/>
        <w:rPr>
          <w:rFonts w:hint="eastAsia" w:asciiTheme="minorEastAsia" w:hAnsiTheme="minorEastAsia" w:eastAsiaTheme="minorEastAsia" w:cstheme="minorEastAsia"/>
          <w:b w:val="0"/>
          <w:bCs w:val="0"/>
          <w:spacing w:val="-17"/>
          <w:sz w:val="32"/>
          <w:szCs w:val="32"/>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val="0"/>
          <w:bCs w:val="0"/>
          <w:spacing w:val="-17"/>
          <w:sz w:val="32"/>
          <w:szCs w:val="32"/>
        </w:rPr>
        <w:t>淅川县市场监督管理局</w:t>
      </w:r>
    </w:p>
    <w:p>
      <w:pPr>
        <w:kinsoku/>
        <w:wordWrap w:val="0"/>
        <w:spacing w:line="360" w:lineRule="auto"/>
        <w:ind w:firstLine="1149" w:firstLineChars="400"/>
        <w:jc w:val="both"/>
        <w:rPr>
          <w:rFonts w:asciiTheme="minorEastAsia" w:hAnsiTheme="minorEastAsia" w:eastAsiaTheme="minorEastAsia" w:cstheme="minorEastAsia"/>
          <w:b w:val="0"/>
          <w:bCs w:val="0"/>
          <w:spacing w:val="-17"/>
          <w:sz w:val="32"/>
          <w:szCs w:val="32"/>
          <w:u w:val="single"/>
          <w:lang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val="0"/>
          <w:bCs w:val="0"/>
          <w:spacing w:val="-17"/>
          <w:sz w:val="32"/>
          <w:szCs w:val="32"/>
        </w:rPr>
        <w:t>河南丹诺招标代理有限公司</w:t>
      </w:r>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pPr>
        <w:pStyle w:val="3"/>
      </w:pPr>
    </w:p>
    <w:p>
      <w:pPr>
        <w:pStyle w:val="4"/>
      </w:pPr>
    </w:p>
    <w:p>
      <w:pPr>
        <w:pStyle w:val="3"/>
        <w:kinsoku/>
        <w:wordWrap w:val="0"/>
        <w:spacing w:before="117" w:line="220" w:lineRule="auto"/>
        <w:jc w:val="both"/>
        <w:rPr>
          <w:spacing w:val="-3"/>
          <w:sz w:val="44"/>
          <w:szCs w:val="44"/>
        </w:rPr>
      </w:pPr>
    </w:p>
    <w:p>
      <w:pPr>
        <w:kinsoku/>
        <w:wordWrap w:val="0"/>
        <w:spacing w:line="326" w:lineRule="auto"/>
        <w:jc w:val="both"/>
      </w:pPr>
    </w:p>
    <w:sdt>
      <w:sdtPr>
        <w:rPr>
          <w:sz w:val="36"/>
          <w:szCs w:val="36"/>
        </w:rPr>
        <w:id w:val="1"/>
        <w:docPartObj>
          <w:docPartGallery w:val="Table of Contents"/>
          <w:docPartUnique/>
        </w:docPartObj>
      </w:sdtPr>
      <w:sdtEndPr>
        <w:rPr>
          <w:rFonts w:hint="eastAsia"/>
          <w:sz w:val="28"/>
          <w:szCs w:val="28"/>
        </w:rPr>
      </w:sdtEndPr>
      <w:sdtContent>
        <w:p>
          <w:pPr>
            <w:pStyle w:val="3"/>
            <w:kinsoku/>
            <w:wordWrap w:val="0"/>
            <w:spacing w:before="117" w:line="222" w:lineRule="auto"/>
            <w:ind w:left="3716"/>
            <w:jc w:val="both"/>
            <w:rPr>
              <w:sz w:val="36"/>
              <w:szCs w:val="36"/>
            </w:rPr>
          </w:pPr>
          <w:bookmarkStart w:id="0" w:name="bookmark1"/>
          <w:bookmarkEnd w:id="0"/>
          <w:r>
            <w:rPr>
              <w:rFonts w:hint="eastAsia"/>
              <w:spacing w:val="-42"/>
              <w:sz w:val="36"/>
              <w:szCs w:val="36"/>
            </w:rPr>
            <w:t>目录</w:t>
          </w:r>
        </w:p>
        <w:p>
          <w:pPr>
            <w:kinsoku/>
            <w:wordWrap w:val="0"/>
            <w:spacing w:line="286" w:lineRule="auto"/>
            <w:jc w:val="both"/>
          </w:pPr>
        </w:p>
        <w:p>
          <w:pPr>
            <w:pStyle w:val="3"/>
            <w:spacing w:line="360" w:lineRule="auto"/>
            <w:rPr>
              <w:sz w:val="28"/>
              <w:szCs w:val="28"/>
            </w:rPr>
          </w:pPr>
          <w:r>
            <w:rPr>
              <w:rFonts w:hint="eastAsia"/>
              <w:sz w:val="28"/>
              <w:szCs w:val="28"/>
            </w:rPr>
            <w:fldChar w:fldCharType="begin"/>
          </w:r>
          <w:r>
            <w:rPr>
              <w:rFonts w:hint="eastAsia"/>
              <w:sz w:val="28"/>
              <w:szCs w:val="28"/>
            </w:rPr>
            <w:instrText xml:space="preserve">HYPERLINK\l"bookmark1"</w:instrText>
          </w:r>
          <w:r>
            <w:rPr>
              <w:rFonts w:hint="eastAsia"/>
              <w:sz w:val="28"/>
              <w:szCs w:val="28"/>
            </w:rPr>
            <w:fldChar w:fldCharType="separate"/>
          </w:r>
          <w:r>
            <w:rPr>
              <w:rFonts w:hint="eastAsia"/>
              <w:sz w:val="28"/>
              <w:szCs w:val="28"/>
            </w:rPr>
            <w:t>第一章</w:t>
          </w:r>
          <w:r>
            <w:rPr>
              <w:rFonts w:hint="eastAsia"/>
              <w:sz w:val="28"/>
              <w:szCs w:val="28"/>
              <w:lang w:eastAsia="zh-CN"/>
            </w:rPr>
            <w:t>竞争性磋商公告</w:t>
          </w:r>
          <w:r>
            <w:rPr>
              <w:rFonts w:hint="eastAsia"/>
              <w:sz w:val="28"/>
              <w:szCs w:val="28"/>
            </w:rPr>
            <w:fldChar w:fldCharType="end"/>
          </w:r>
        </w:p>
        <w:p>
          <w:pPr>
            <w:pStyle w:val="3"/>
            <w:spacing w:line="360" w:lineRule="auto"/>
            <w:rPr>
              <w:sz w:val="28"/>
              <w:szCs w:val="28"/>
              <w:lang w:eastAsia="zh-CN"/>
            </w:rPr>
          </w:pPr>
          <w:r>
            <w:rPr>
              <w:rFonts w:hint="eastAsia"/>
              <w:sz w:val="28"/>
              <w:szCs w:val="28"/>
            </w:rPr>
            <w:t>第二章采购需求</w:t>
          </w:r>
        </w:p>
        <w:p>
          <w:pPr>
            <w:pStyle w:val="3"/>
            <w:spacing w:line="360" w:lineRule="auto"/>
            <w:rPr>
              <w:sz w:val="28"/>
              <w:szCs w:val="28"/>
              <w:lang w:eastAsia="zh-CN"/>
            </w:rPr>
          </w:pPr>
          <w:r>
            <w:rPr>
              <w:rFonts w:hint="eastAsia"/>
              <w:sz w:val="28"/>
              <w:szCs w:val="28"/>
            </w:rPr>
            <w:t>第三章供应商须知</w:t>
          </w:r>
        </w:p>
        <w:p>
          <w:pPr>
            <w:pStyle w:val="3"/>
            <w:spacing w:line="360" w:lineRule="auto"/>
            <w:rPr>
              <w:sz w:val="28"/>
              <w:szCs w:val="28"/>
              <w:lang w:eastAsia="zh-CN"/>
            </w:rPr>
          </w:pPr>
          <w:r>
            <w:rPr>
              <w:rFonts w:hint="eastAsia"/>
              <w:sz w:val="28"/>
              <w:szCs w:val="28"/>
            </w:rPr>
            <w:t>第四章评</w:t>
          </w:r>
          <w:r>
            <w:rPr>
              <w:rFonts w:hint="eastAsia"/>
              <w:sz w:val="28"/>
              <w:szCs w:val="28"/>
              <w:lang w:eastAsia="zh-CN"/>
            </w:rPr>
            <w:t>审</w:t>
          </w:r>
          <w:r>
            <w:rPr>
              <w:rFonts w:hint="eastAsia"/>
              <w:sz w:val="28"/>
              <w:szCs w:val="28"/>
            </w:rPr>
            <w:t>程序、评审方法和评审标准</w:t>
          </w:r>
        </w:p>
        <w:p>
          <w:pPr>
            <w:pStyle w:val="3"/>
            <w:spacing w:line="360" w:lineRule="auto"/>
            <w:rPr>
              <w:sz w:val="28"/>
              <w:szCs w:val="28"/>
              <w:lang w:eastAsia="zh-CN"/>
            </w:rPr>
          </w:pPr>
          <w:r>
            <w:rPr>
              <w:rFonts w:hint="eastAsia"/>
              <w:sz w:val="28"/>
              <w:szCs w:val="28"/>
            </w:rPr>
            <w:t>第五章</w:t>
          </w:r>
          <w:r>
            <w:rPr>
              <w:rFonts w:hint="eastAsia"/>
              <w:sz w:val="28"/>
              <w:szCs w:val="28"/>
              <w:lang w:eastAsia="zh-CN"/>
            </w:rPr>
            <w:t>政府采购合同（草案）</w:t>
          </w:r>
        </w:p>
        <w:p>
          <w:pPr>
            <w:pStyle w:val="3"/>
            <w:spacing w:line="360" w:lineRule="auto"/>
            <w:rPr>
              <w:sz w:val="28"/>
              <w:szCs w:val="28"/>
            </w:rPr>
          </w:pPr>
          <w:r>
            <w:rPr>
              <w:rFonts w:hint="eastAsia"/>
              <w:sz w:val="28"/>
              <w:szCs w:val="28"/>
            </w:rPr>
            <w:t>第六章响应文件格式</w:t>
          </w:r>
        </w:p>
      </w:sdtContent>
    </w:sdt>
    <w:p>
      <w:pPr>
        <w:pStyle w:val="3"/>
        <w:kinsoku/>
        <w:wordWrap w:val="0"/>
        <w:spacing w:before="117" w:line="360" w:lineRule="auto"/>
        <w:jc w:val="center"/>
        <w:rPr>
          <w:spacing w:val="-3"/>
          <w:sz w:val="44"/>
          <w:szCs w:val="44"/>
        </w:rPr>
      </w:pPr>
    </w:p>
    <w:p>
      <w:pPr>
        <w:pStyle w:val="3"/>
        <w:kinsoku/>
        <w:wordWrap w:val="0"/>
        <w:spacing w:before="117" w:line="360" w:lineRule="auto"/>
        <w:jc w:val="center"/>
        <w:rPr>
          <w:spacing w:val="-3"/>
          <w:sz w:val="44"/>
          <w:szCs w:val="44"/>
        </w:rPr>
      </w:pPr>
    </w:p>
    <w:p>
      <w:pPr>
        <w:pStyle w:val="3"/>
        <w:kinsoku/>
        <w:wordWrap w:val="0"/>
        <w:spacing w:before="117" w:line="360" w:lineRule="auto"/>
        <w:jc w:val="center"/>
        <w:rPr>
          <w:spacing w:val="-3"/>
          <w:sz w:val="44"/>
          <w:szCs w:val="44"/>
        </w:rPr>
      </w:pPr>
    </w:p>
    <w:p>
      <w:pPr>
        <w:pStyle w:val="3"/>
        <w:kinsoku/>
        <w:wordWrap w:val="0"/>
        <w:spacing w:before="117" w:line="360" w:lineRule="auto"/>
        <w:jc w:val="center"/>
        <w:rPr>
          <w:spacing w:val="-3"/>
          <w:sz w:val="44"/>
          <w:szCs w:val="44"/>
        </w:rPr>
      </w:pPr>
    </w:p>
    <w:p>
      <w:pPr>
        <w:pStyle w:val="3"/>
        <w:kinsoku/>
        <w:wordWrap w:val="0"/>
        <w:spacing w:before="117" w:line="360" w:lineRule="auto"/>
        <w:jc w:val="center"/>
        <w:rPr>
          <w:spacing w:val="-3"/>
          <w:sz w:val="44"/>
          <w:szCs w:val="44"/>
        </w:rPr>
      </w:pPr>
    </w:p>
    <w:p>
      <w:pPr>
        <w:pStyle w:val="3"/>
        <w:kinsoku/>
        <w:wordWrap w:val="0"/>
        <w:spacing w:before="117" w:line="360" w:lineRule="auto"/>
        <w:jc w:val="center"/>
        <w:rPr>
          <w:spacing w:val="-3"/>
          <w:sz w:val="44"/>
          <w:szCs w:val="44"/>
        </w:rPr>
      </w:pPr>
    </w:p>
    <w:p>
      <w:pPr>
        <w:pStyle w:val="3"/>
        <w:kinsoku/>
        <w:wordWrap w:val="0"/>
        <w:spacing w:before="117" w:line="360" w:lineRule="auto"/>
        <w:jc w:val="center"/>
        <w:rPr>
          <w:spacing w:val="-3"/>
          <w:sz w:val="44"/>
          <w:szCs w:val="44"/>
        </w:rPr>
      </w:pPr>
    </w:p>
    <w:p>
      <w:pPr>
        <w:pStyle w:val="3"/>
        <w:kinsoku/>
        <w:wordWrap w:val="0"/>
        <w:spacing w:before="117" w:line="360" w:lineRule="auto"/>
        <w:jc w:val="center"/>
        <w:rPr>
          <w:spacing w:val="-3"/>
          <w:sz w:val="44"/>
          <w:szCs w:val="44"/>
        </w:rPr>
      </w:pPr>
    </w:p>
    <w:p>
      <w:pPr>
        <w:pStyle w:val="3"/>
        <w:kinsoku/>
        <w:wordWrap w:val="0"/>
        <w:spacing w:before="117" w:line="360" w:lineRule="auto"/>
        <w:jc w:val="center"/>
        <w:rPr>
          <w:spacing w:val="-3"/>
          <w:sz w:val="44"/>
          <w:szCs w:val="44"/>
        </w:rPr>
      </w:pPr>
    </w:p>
    <w:p>
      <w:pPr>
        <w:pStyle w:val="3"/>
        <w:kinsoku/>
        <w:wordWrap w:val="0"/>
        <w:spacing w:before="117" w:line="360" w:lineRule="auto"/>
        <w:jc w:val="center"/>
        <w:rPr>
          <w:spacing w:val="-3"/>
          <w:sz w:val="44"/>
          <w:szCs w:val="44"/>
        </w:rPr>
      </w:pPr>
    </w:p>
    <w:p>
      <w:pPr>
        <w:pStyle w:val="3"/>
        <w:kinsoku/>
        <w:wordWrap w:val="0"/>
        <w:spacing w:before="358" w:line="360" w:lineRule="auto"/>
        <w:jc w:val="center"/>
        <w:rPr>
          <w:rFonts w:ascii="Arial"/>
          <w:sz w:val="21"/>
        </w:rPr>
      </w:pPr>
      <w:r>
        <w:rPr>
          <w:spacing w:val="-1"/>
          <w:sz w:val="36"/>
          <w:szCs w:val="36"/>
        </w:rPr>
        <w:t>第一章</w:t>
      </w:r>
      <w:r>
        <w:rPr>
          <w:rFonts w:hint="eastAsia"/>
          <w:spacing w:val="-1"/>
          <w:sz w:val="36"/>
          <w:szCs w:val="36"/>
          <w:lang w:eastAsia="zh-CN"/>
        </w:rPr>
        <w:t>竞争性磋商公告</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项目概况</w:t>
      </w:r>
    </w:p>
    <w:p>
      <w:pPr>
        <w:keepNext w:val="0"/>
        <w:keepLines w:val="0"/>
        <w:pageBreakBefore w:val="0"/>
        <w:widowControl/>
        <w:kinsoku w:val="0"/>
        <w:wordWrap w:val="0"/>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lang w:val="en-US" w:eastAsia="zh-CN"/>
        </w:rPr>
        <w:t>淅川县市场监督管理局2024年食品安全抽检项目</w:t>
      </w:r>
      <w:r>
        <w:rPr>
          <w:rFonts w:hint="eastAsia" w:ascii="宋体" w:hAnsi="宋体" w:eastAsia="宋体" w:cs="宋体"/>
          <w:spacing w:val="-4"/>
          <w:sz w:val="22"/>
          <w:szCs w:val="22"/>
        </w:rPr>
        <w:t>的潜在</w:t>
      </w:r>
      <w:r>
        <w:rPr>
          <w:rFonts w:hint="eastAsia" w:ascii="宋体" w:hAnsi="宋体" w:eastAsia="宋体" w:cs="宋体"/>
          <w:spacing w:val="-4"/>
          <w:sz w:val="22"/>
          <w:szCs w:val="22"/>
          <w:lang w:eastAsia="zh-CN"/>
        </w:rPr>
        <w:t>供应商</w:t>
      </w:r>
      <w:r>
        <w:rPr>
          <w:rFonts w:hint="eastAsia" w:ascii="宋体" w:hAnsi="宋体" w:eastAsia="宋体" w:cs="宋体"/>
          <w:spacing w:val="-4"/>
          <w:sz w:val="22"/>
          <w:szCs w:val="22"/>
        </w:rPr>
        <w:t>应在全国公共资源交易平台(河南省·淅川县 )</w:t>
      </w:r>
      <w:r>
        <w:rPr>
          <w:rFonts w:hint="eastAsia" w:ascii="宋体" w:hAnsi="宋体" w:eastAsia="宋体" w:cs="宋体"/>
          <w:spacing w:val="-4"/>
          <w:sz w:val="22"/>
          <w:szCs w:val="22"/>
          <w:lang w:eastAsia="zh-CN"/>
        </w:rPr>
        <w:t>（</w:t>
      </w:r>
      <w:r>
        <w:rPr>
          <w:rFonts w:hint="eastAsia" w:ascii="宋体" w:hAnsi="宋体" w:eastAsia="宋体" w:cs="宋体"/>
          <w:spacing w:val="-4"/>
          <w:sz w:val="22"/>
          <w:szCs w:val="22"/>
        </w:rPr>
        <w:t>http://ggzyjy.xichuan.gov.cn/)获取</w:t>
      </w:r>
      <w:r>
        <w:rPr>
          <w:rFonts w:hint="eastAsia" w:ascii="宋体" w:hAnsi="宋体" w:eastAsia="宋体" w:cs="宋体"/>
          <w:spacing w:val="-4"/>
          <w:sz w:val="22"/>
          <w:szCs w:val="22"/>
          <w:lang w:val="en-US" w:eastAsia="zh-CN"/>
        </w:rPr>
        <w:t>磋商</w:t>
      </w:r>
      <w:r>
        <w:rPr>
          <w:rFonts w:hint="eastAsia" w:ascii="宋体" w:hAnsi="宋体" w:eastAsia="宋体" w:cs="宋体"/>
          <w:spacing w:val="-4"/>
          <w:sz w:val="22"/>
          <w:szCs w:val="22"/>
        </w:rPr>
        <w:t>文件，并于</w:t>
      </w:r>
      <w:r>
        <w:rPr>
          <w:rFonts w:hint="eastAsia" w:ascii="宋体" w:hAnsi="宋体" w:eastAsia="宋体" w:cs="宋体"/>
          <w:color w:val="FF0000"/>
          <w:spacing w:val="-4"/>
          <w:sz w:val="22"/>
          <w:szCs w:val="22"/>
        </w:rPr>
        <w:t>202</w:t>
      </w:r>
      <w:r>
        <w:rPr>
          <w:rFonts w:hint="eastAsia" w:ascii="宋体" w:hAnsi="宋体" w:eastAsia="宋体" w:cs="宋体"/>
          <w:color w:val="FF0000"/>
          <w:spacing w:val="-4"/>
          <w:sz w:val="22"/>
          <w:szCs w:val="22"/>
          <w:lang w:val="en-US" w:eastAsia="zh-CN"/>
        </w:rPr>
        <w:t>4</w:t>
      </w:r>
      <w:r>
        <w:rPr>
          <w:rFonts w:hint="eastAsia" w:ascii="宋体" w:hAnsi="宋体" w:eastAsia="宋体" w:cs="宋体"/>
          <w:color w:val="FF0000"/>
          <w:spacing w:val="-4"/>
          <w:sz w:val="22"/>
          <w:szCs w:val="22"/>
        </w:rPr>
        <w:t>年</w:t>
      </w:r>
      <w:r>
        <w:rPr>
          <w:rFonts w:hint="eastAsia" w:ascii="宋体" w:hAnsi="宋体" w:eastAsia="宋体" w:cs="宋体"/>
          <w:color w:val="FF0000"/>
          <w:spacing w:val="-4"/>
          <w:sz w:val="22"/>
          <w:szCs w:val="22"/>
          <w:lang w:val="en-US" w:eastAsia="zh-CN"/>
        </w:rPr>
        <w:t>6</w:t>
      </w:r>
      <w:r>
        <w:rPr>
          <w:rFonts w:hint="eastAsia" w:ascii="宋体" w:hAnsi="宋体" w:eastAsia="宋体" w:cs="宋体"/>
          <w:color w:val="FF0000"/>
          <w:spacing w:val="-4"/>
          <w:sz w:val="22"/>
          <w:szCs w:val="22"/>
        </w:rPr>
        <w:t>月</w:t>
      </w:r>
      <w:r>
        <w:rPr>
          <w:rFonts w:hint="eastAsia" w:ascii="宋体" w:hAnsi="宋体" w:eastAsia="宋体" w:cs="宋体"/>
          <w:color w:val="FF0000"/>
          <w:spacing w:val="-4"/>
          <w:sz w:val="22"/>
          <w:szCs w:val="22"/>
          <w:lang w:val="en-US" w:eastAsia="zh-CN"/>
        </w:rPr>
        <w:t>26</w:t>
      </w:r>
      <w:r>
        <w:rPr>
          <w:rFonts w:hint="eastAsia" w:ascii="宋体" w:hAnsi="宋体" w:eastAsia="宋体" w:cs="宋体"/>
          <w:color w:val="FF0000"/>
          <w:spacing w:val="-4"/>
          <w:sz w:val="22"/>
          <w:szCs w:val="22"/>
        </w:rPr>
        <w:t>日9时</w:t>
      </w:r>
      <w:r>
        <w:rPr>
          <w:rFonts w:hint="eastAsia" w:ascii="宋体" w:hAnsi="宋体" w:eastAsia="宋体" w:cs="宋体"/>
          <w:color w:val="FF0000"/>
          <w:spacing w:val="-4"/>
          <w:sz w:val="22"/>
          <w:szCs w:val="22"/>
          <w:lang w:val="en-US" w:eastAsia="zh-CN"/>
        </w:rPr>
        <w:t>0</w:t>
      </w:r>
      <w:r>
        <w:rPr>
          <w:rFonts w:hint="eastAsia" w:ascii="宋体" w:hAnsi="宋体" w:eastAsia="宋体" w:cs="宋体"/>
          <w:color w:val="FF0000"/>
          <w:spacing w:val="-4"/>
          <w:sz w:val="22"/>
          <w:szCs w:val="22"/>
        </w:rPr>
        <w:t>0分</w:t>
      </w:r>
      <w:r>
        <w:rPr>
          <w:rFonts w:hint="eastAsia" w:ascii="宋体" w:hAnsi="宋体" w:eastAsia="宋体" w:cs="宋体"/>
          <w:spacing w:val="-4"/>
          <w:sz w:val="22"/>
          <w:szCs w:val="22"/>
        </w:rPr>
        <w:t>(北京时间)前递交</w:t>
      </w:r>
      <w:r>
        <w:rPr>
          <w:rFonts w:hint="eastAsia" w:ascii="宋体" w:hAnsi="宋体" w:eastAsia="宋体" w:cs="宋体"/>
          <w:spacing w:val="-4"/>
          <w:sz w:val="22"/>
          <w:szCs w:val="22"/>
          <w:lang w:val="en-US" w:eastAsia="zh-CN"/>
        </w:rPr>
        <w:t>响应</w:t>
      </w:r>
      <w:r>
        <w:rPr>
          <w:rFonts w:hint="eastAsia" w:ascii="宋体" w:hAnsi="宋体" w:eastAsia="宋体" w:cs="宋体"/>
          <w:spacing w:val="-4"/>
          <w:sz w:val="22"/>
          <w:szCs w:val="22"/>
        </w:rPr>
        <w:t>文件。</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一、项目基本情况</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default" w:ascii="宋体" w:hAnsi="宋体" w:eastAsia="宋体" w:cs="宋体"/>
          <w:spacing w:val="-4"/>
          <w:sz w:val="22"/>
          <w:szCs w:val="22"/>
          <w:lang w:val="en-US" w:eastAsia="zh-CN"/>
        </w:rPr>
      </w:pPr>
      <w:r>
        <w:rPr>
          <w:rFonts w:hint="eastAsia" w:ascii="宋体" w:hAnsi="宋体" w:eastAsia="宋体" w:cs="宋体"/>
          <w:spacing w:val="-4"/>
          <w:sz w:val="22"/>
          <w:szCs w:val="22"/>
        </w:rPr>
        <w:t>1、项目编号：淅财磋商采购-2024-30</w:t>
      </w:r>
      <w:r>
        <w:rPr>
          <w:rFonts w:hint="eastAsia" w:ascii="宋体" w:hAnsi="宋体" w:eastAsia="宋体" w:cs="宋体"/>
          <w:spacing w:val="-4"/>
          <w:sz w:val="22"/>
          <w:szCs w:val="22"/>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2、项目名称：</w:t>
      </w:r>
      <w:r>
        <w:rPr>
          <w:rFonts w:hint="eastAsia" w:ascii="宋体" w:hAnsi="宋体" w:eastAsia="宋体" w:cs="宋体"/>
          <w:spacing w:val="-4"/>
          <w:sz w:val="22"/>
          <w:szCs w:val="22"/>
          <w:lang w:eastAsia="zh-CN"/>
        </w:rPr>
        <w:t>淅川县市场监督管理局2024年食品安全抽检项目</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3、采购方式：竞争性磋商</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4、预算金额：</w:t>
      </w:r>
      <w:r>
        <w:rPr>
          <w:rFonts w:hint="eastAsia" w:ascii="宋体" w:hAnsi="宋体" w:eastAsia="宋体" w:cs="宋体"/>
          <w:spacing w:val="-4"/>
          <w:sz w:val="22"/>
          <w:szCs w:val="22"/>
          <w:lang w:val="en-US" w:eastAsia="zh-CN"/>
        </w:rPr>
        <w:t>609600</w:t>
      </w:r>
      <w:r>
        <w:rPr>
          <w:rFonts w:hint="eastAsia" w:ascii="宋体" w:hAnsi="宋体" w:eastAsia="宋体" w:cs="宋体"/>
          <w:spacing w:val="-4"/>
          <w:sz w:val="22"/>
          <w:szCs w:val="22"/>
        </w:rPr>
        <w:t>元</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最高限价：</w:t>
      </w:r>
      <w:r>
        <w:rPr>
          <w:rFonts w:hint="eastAsia" w:ascii="宋体" w:hAnsi="宋体" w:eastAsia="宋体" w:cs="宋体"/>
          <w:spacing w:val="-4"/>
          <w:sz w:val="22"/>
          <w:szCs w:val="22"/>
          <w:lang w:val="en-US" w:eastAsia="zh-CN"/>
        </w:rPr>
        <w:t>609600</w:t>
      </w:r>
      <w:r>
        <w:rPr>
          <w:rFonts w:hint="eastAsia" w:ascii="宋体" w:hAnsi="宋体" w:eastAsia="宋体" w:cs="宋体"/>
          <w:spacing w:val="-4"/>
          <w:sz w:val="22"/>
          <w:szCs w:val="22"/>
        </w:rPr>
        <w:t>元</w:t>
      </w:r>
    </w:p>
    <w:tbl>
      <w:tblPr>
        <w:tblStyle w:val="28"/>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3"/>
        <w:gridCol w:w="899"/>
        <w:gridCol w:w="2308"/>
        <w:gridCol w:w="1391"/>
        <w:gridCol w:w="1411"/>
        <w:gridCol w:w="1603"/>
        <w:gridCol w:w="15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413" w:type="dxa"/>
            <w:textDirection w:val="tbRlV"/>
          </w:tcPr>
          <w:p>
            <w:pPr>
              <w:keepNext w:val="0"/>
              <w:keepLines w:val="0"/>
              <w:pageBreakBefore w:val="0"/>
              <w:widowControl/>
              <w:kinsoku w:val="0"/>
              <w:overflowPunct/>
              <w:topLinePunct w:val="0"/>
              <w:autoSpaceDE w:val="0"/>
              <w:autoSpaceDN w:val="0"/>
              <w:bidi w:val="0"/>
              <w:adjustRightInd w:val="0"/>
              <w:snapToGrid w:val="0"/>
              <w:spacing w:line="211" w:lineRule="auto"/>
              <w:ind w:left="102"/>
              <w:textAlignment w:val="baseline"/>
              <w:rPr>
                <w:rFonts w:ascii="宋体" w:hAnsi="宋体" w:eastAsia="宋体" w:cs="宋体"/>
                <w:sz w:val="22"/>
                <w:szCs w:val="22"/>
              </w:rPr>
            </w:pPr>
            <w:r>
              <w:rPr>
                <w:rFonts w:ascii="宋体" w:hAnsi="宋体" w:eastAsia="宋体" w:cs="宋体"/>
                <w:spacing w:val="10"/>
                <w:sz w:val="22"/>
                <w:szCs w:val="22"/>
              </w:rPr>
              <w:t>序 号</w:t>
            </w:r>
          </w:p>
        </w:tc>
        <w:tc>
          <w:tcPr>
            <w:tcW w:w="899" w:type="dxa"/>
          </w:tcPr>
          <w:p>
            <w:pPr>
              <w:keepNext w:val="0"/>
              <w:keepLines w:val="0"/>
              <w:pageBreakBefore w:val="0"/>
              <w:widowControl/>
              <w:kinsoku w:val="0"/>
              <w:overflowPunct/>
              <w:topLinePunct w:val="0"/>
              <w:autoSpaceDE w:val="0"/>
              <w:autoSpaceDN w:val="0"/>
              <w:bidi w:val="0"/>
              <w:adjustRightInd w:val="0"/>
              <w:snapToGrid w:val="0"/>
              <w:spacing w:line="222" w:lineRule="auto"/>
              <w:ind w:left="233"/>
              <w:textAlignment w:val="baseline"/>
              <w:rPr>
                <w:rFonts w:ascii="宋体" w:hAnsi="宋体" w:eastAsia="宋体" w:cs="宋体"/>
                <w:spacing w:val="-2"/>
                <w:sz w:val="22"/>
                <w:szCs w:val="22"/>
              </w:rPr>
            </w:pPr>
          </w:p>
          <w:p>
            <w:pPr>
              <w:keepNext w:val="0"/>
              <w:keepLines w:val="0"/>
              <w:pageBreakBefore w:val="0"/>
              <w:widowControl/>
              <w:kinsoku w:val="0"/>
              <w:overflowPunct/>
              <w:topLinePunct w:val="0"/>
              <w:autoSpaceDE w:val="0"/>
              <w:autoSpaceDN w:val="0"/>
              <w:bidi w:val="0"/>
              <w:adjustRightInd w:val="0"/>
              <w:snapToGrid w:val="0"/>
              <w:spacing w:line="222" w:lineRule="auto"/>
              <w:ind w:left="233"/>
              <w:textAlignment w:val="baseline"/>
              <w:rPr>
                <w:rFonts w:ascii="宋体" w:hAnsi="宋体" w:eastAsia="宋体" w:cs="宋体"/>
                <w:sz w:val="22"/>
                <w:szCs w:val="22"/>
              </w:rPr>
            </w:pPr>
            <w:r>
              <w:rPr>
                <w:rFonts w:ascii="宋体" w:hAnsi="宋体" w:eastAsia="宋体" w:cs="宋体"/>
                <w:spacing w:val="-2"/>
                <w:sz w:val="22"/>
                <w:szCs w:val="22"/>
              </w:rPr>
              <w:t>包号</w:t>
            </w:r>
          </w:p>
        </w:tc>
        <w:tc>
          <w:tcPr>
            <w:tcW w:w="2308" w:type="dxa"/>
          </w:tcPr>
          <w:p>
            <w:pPr>
              <w:keepNext w:val="0"/>
              <w:keepLines w:val="0"/>
              <w:pageBreakBefore w:val="0"/>
              <w:widowControl/>
              <w:kinsoku w:val="0"/>
              <w:overflowPunct/>
              <w:topLinePunct w:val="0"/>
              <w:autoSpaceDE w:val="0"/>
              <w:autoSpaceDN w:val="0"/>
              <w:bidi w:val="0"/>
              <w:adjustRightInd w:val="0"/>
              <w:snapToGrid w:val="0"/>
              <w:spacing w:line="222" w:lineRule="auto"/>
              <w:ind w:left="827"/>
              <w:textAlignment w:val="baseline"/>
              <w:rPr>
                <w:rFonts w:ascii="宋体" w:hAnsi="宋体" w:eastAsia="宋体" w:cs="宋体"/>
                <w:spacing w:val="-2"/>
                <w:sz w:val="22"/>
                <w:szCs w:val="22"/>
              </w:rPr>
            </w:pPr>
          </w:p>
          <w:p>
            <w:pPr>
              <w:keepNext w:val="0"/>
              <w:keepLines w:val="0"/>
              <w:pageBreakBefore w:val="0"/>
              <w:widowControl/>
              <w:kinsoku w:val="0"/>
              <w:overflowPunct/>
              <w:topLinePunct w:val="0"/>
              <w:autoSpaceDE w:val="0"/>
              <w:autoSpaceDN w:val="0"/>
              <w:bidi w:val="0"/>
              <w:adjustRightInd w:val="0"/>
              <w:snapToGrid w:val="0"/>
              <w:spacing w:line="222" w:lineRule="auto"/>
              <w:ind w:left="827"/>
              <w:textAlignment w:val="baseline"/>
              <w:rPr>
                <w:rFonts w:ascii="宋体" w:hAnsi="宋体" w:eastAsia="宋体" w:cs="宋体"/>
                <w:sz w:val="22"/>
                <w:szCs w:val="22"/>
              </w:rPr>
            </w:pPr>
            <w:r>
              <w:rPr>
                <w:rFonts w:ascii="宋体" w:hAnsi="宋体" w:eastAsia="宋体" w:cs="宋体"/>
                <w:spacing w:val="-2"/>
                <w:sz w:val="22"/>
                <w:szCs w:val="22"/>
              </w:rPr>
              <w:t>包名</w:t>
            </w:r>
            <w:r>
              <w:rPr>
                <w:rFonts w:ascii="宋体" w:hAnsi="宋体" w:eastAsia="宋体" w:cs="宋体"/>
                <w:spacing w:val="-1"/>
                <w:sz w:val="22"/>
                <w:szCs w:val="22"/>
              </w:rPr>
              <w:t>称</w:t>
            </w:r>
          </w:p>
        </w:tc>
        <w:tc>
          <w:tcPr>
            <w:tcW w:w="1391" w:type="dxa"/>
          </w:tcPr>
          <w:p>
            <w:pPr>
              <w:keepNext w:val="0"/>
              <w:keepLines w:val="0"/>
              <w:pageBreakBefore w:val="0"/>
              <w:widowControl/>
              <w:kinsoku w:val="0"/>
              <w:overflowPunct/>
              <w:topLinePunct w:val="0"/>
              <w:autoSpaceDE w:val="0"/>
              <w:autoSpaceDN w:val="0"/>
              <w:bidi w:val="0"/>
              <w:adjustRightInd w:val="0"/>
              <w:snapToGrid w:val="0"/>
              <w:spacing w:line="360" w:lineRule="exact"/>
              <w:ind w:left="413"/>
              <w:textAlignment w:val="baseline"/>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pacing w:val="-2"/>
                <w:position w:val="10"/>
                <w:sz w:val="22"/>
                <w:szCs w:val="22"/>
                <w14:textFill>
                  <w14:solidFill>
                    <w14:schemeClr w14:val="tx1"/>
                  </w14:solidFill>
                </w14:textFill>
              </w:rPr>
              <w:t>包预</w:t>
            </w:r>
            <w:r>
              <w:rPr>
                <w:rFonts w:ascii="宋体" w:hAnsi="宋体" w:eastAsia="宋体" w:cs="宋体"/>
                <w:color w:val="000000" w:themeColor="text1"/>
                <w:spacing w:val="-1"/>
                <w:position w:val="10"/>
                <w:sz w:val="22"/>
                <w:szCs w:val="22"/>
                <w14:textFill>
                  <w14:solidFill>
                    <w14:schemeClr w14:val="tx1"/>
                  </w14:solidFill>
                </w14:textFill>
              </w:rPr>
              <w:t>算</w:t>
            </w:r>
          </w:p>
          <w:p>
            <w:pPr>
              <w:keepNext w:val="0"/>
              <w:keepLines w:val="0"/>
              <w:pageBreakBefore w:val="0"/>
              <w:widowControl/>
              <w:kinsoku w:val="0"/>
              <w:overflowPunct/>
              <w:topLinePunct w:val="0"/>
              <w:autoSpaceDE w:val="0"/>
              <w:autoSpaceDN w:val="0"/>
              <w:bidi w:val="0"/>
              <w:adjustRightInd w:val="0"/>
              <w:snapToGrid w:val="0"/>
              <w:spacing w:line="220" w:lineRule="auto"/>
              <w:ind w:left="420"/>
              <w:textAlignment w:val="baseline"/>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pacing w:val="28"/>
                <w:sz w:val="22"/>
                <w:szCs w:val="22"/>
                <w14:textFill>
                  <w14:solidFill>
                    <w14:schemeClr w14:val="tx1"/>
                  </w14:solidFill>
                </w14:textFill>
              </w:rPr>
              <w:t>(</w:t>
            </w:r>
            <w:r>
              <w:rPr>
                <w:rFonts w:ascii="宋体" w:hAnsi="宋体" w:eastAsia="宋体" w:cs="宋体"/>
                <w:color w:val="000000" w:themeColor="text1"/>
                <w:spacing w:val="27"/>
                <w:sz w:val="22"/>
                <w:szCs w:val="22"/>
                <w14:textFill>
                  <w14:solidFill>
                    <w14:schemeClr w14:val="tx1"/>
                  </w14:solidFill>
                </w14:textFill>
              </w:rPr>
              <w:t>元)</w:t>
            </w:r>
          </w:p>
        </w:tc>
        <w:tc>
          <w:tcPr>
            <w:tcW w:w="1411" w:type="dxa"/>
          </w:tcPr>
          <w:p>
            <w:pPr>
              <w:keepNext w:val="0"/>
              <w:keepLines w:val="0"/>
              <w:pageBreakBefore w:val="0"/>
              <w:widowControl/>
              <w:kinsoku w:val="0"/>
              <w:overflowPunct/>
              <w:topLinePunct w:val="0"/>
              <w:autoSpaceDE w:val="0"/>
              <w:autoSpaceDN w:val="0"/>
              <w:bidi w:val="0"/>
              <w:adjustRightInd w:val="0"/>
              <w:snapToGrid w:val="0"/>
              <w:spacing w:line="219" w:lineRule="auto"/>
              <w:ind w:left="121"/>
              <w:textAlignment w:val="baseline"/>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pacing w:val="-2"/>
                <w:sz w:val="22"/>
                <w:szCs w:val="22"/>
                <w14:textFill>
                  <w14:solidFill>
                    <w14:schemeClr w14:val="tx1"/>
                  </w14:solidFill>
                </w14:textFill>
              </w:rPr>
              <w:t>包</w:t>
            </w:r>
            <w:r>
              <w:rPr>
                <w:rFonts w:ascii="宋体" w:hAnsi="宋体" w:eastAsia="宋体" w:cs="宋体"/>
                <w:color w:val="000000" w:themeColor="text1"/>
                <w:spacing w:val="-1"/>
                <w:sz w:val="22"/>
                <w:szCs w:val="22"/>
                <w14:textFill>
                  <w14:solidFill>
                    <w14:schemeClr w14:val="tx1"/>
                  </w14:solidFill>
                </w14:textFill>
              </w:rPr>
              <w:t>最高限价</w:t>
            </w:r>
          </w:p>
          <w:p>
            <w:pPr>
              <w:keepNext w:val="0"/>
              <w:keepLines w:val="0"/>
              <w:pageBreakBefore w:val="0"/>
              <w:widowControl/>
              <w:kinsoku w:val="0"/>
              <w:overflowPunct/>
              <w:topLinePunct w:val="0"/>
              <w:autoSpaceDE w:val="0"/>
              <w:autoSpaceDN w:val="0"/>
              <w:bidi w:val="0"/>
              <w:adjustRightInd w:val="0"/>
              <w:snapToGrid w:val="0"/>
              <w:spacing w:line="221" w:lineRule="auto"/>
              <w:ind w:left="348"/>
              <w:textAlignment w:val="baseline"/>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pacing w:val="28"/>
                <w:sz w:val="22"/>
                <w:szCs w:val="22"/>
                <w14:textFill>
                  <w14:solidFill>
                    <w14:schemeClr w14:val="tx1"/>
                  </w14:solidFill>
                </w14:textFill>
              </w:rPr>
              <w:t>(</w:t>
            </w:r>
            <w:r>
              <w:rPr>
                <w:rFonts w:ascii="宋体" w:hAnsi="宋体" w:eastAsia="宋体" w:cs="宋体"/>
                <w:color w:val="000000" w:themeColor="text1"/>
                <w:spacing w:val="27"/>
                <w:sz w:val="22"/>
                <w:szCs w:val="22"/>
                <w14:textFill>
                  <w14:solidFill>
                    <w14:schemeClr w14:val="tx1"/>
                  </w14:solidFill>
                </w14:textFill>
              </w:rPr>
              <w:t>元)</w:t>
            </w:r>
          </w:p>
        </w:tc>
        <w:tc>
          <w:tcPr>
            <w:tcW w:w="1603" w:type="dxa"/>
          </w:tcPr>
          <w:p>
            <w:pPr>
              <w:keepNext w:val="0"/>
              <w:keepLines w:val="0"/>
              <w:pageBreakBefore w:val="0"/>
              <w:widowControl/>
              <w:kinsoku w:val="0"/>
              <w:overflowPunct/>
              <w:topLinePunct w:val="0"/>
              <w:autoSpaceDE w:val="0"/>
              <w:autoSpaceDN w:val="0"/>
              <w:bidi w:val="0"/>
              <w:adjustRightInd w:val="0"/>
              <w:snapToGrid w:val="0"/>
              <w:spacing w:line="262" w:lineRule="auto"/>
              <w:ind w:left="387" w:right="135" w:hanging="235"/>
              <w:textAlignment w:val="baseline"/>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pacing w:val="-2"/>
                <w:sz w:val="22"/>
                <w:szCs w:val="22"/>
                <w14:textFill>
                  <w14:solidFill>
                    <w14:schemeClr w14:val="tx1"/>
                  </w14:solidFill>
                </w14:textFill>
              </w:rPr>
              <w:t>是否专门</w:t>
            </w:r>
            <w:r>
              <w:rPr>
                <w:rFonts w:ascii="宋体" w:hAnsi="宋体" w:eastAsia="宋体" w:cs="宋体"/>
                <w:color w:val="000000" w:themeColor="text1"/>
                <w:spacing w:val="-1"/>
                <w:sz w:val="22"/>
                <w:szCs w:val="22"/>
                <w14:textFill>
                  <w14:solidFill>
                    <w14:schemeClr w14:val="tx1"/>
                  </w14:solidFill>
                </w14:textFill>
              </w:rPr>
              <w:t>面向</w:t>
            </w:r>
            <w:r>
              <w:rPr>
                <w:rFonts w:ascii="宋体" w:hAnsi="宋体" w:eastAsia="宋体" w:cs="宋体"/>
                <w:color w:val="000000" w:themeColor="text1"/>
                <w:spacing w:val="-5"/>
                <w:sz w:val="22"/>
                <w:szCs w:val="22"/>
                <w14:textFill>
                  <w14:solidFill>
                    <w14:schemeClr w14:val="tx1"/>
                  </w14:solidFill>
                </w14:textFill>
              </w:rPr>
              <w:t>中小企业</w:t>
            </w:r>
          </w:p>
        </w:tc>
        <w:tc>
          <w:tcPr>
            <w:tcW w:w="1598" w:type="dxa"/>
          </w:tcPr>
          <w:p>
            <w:pPr>
              <w:keepNext w:val="0"/>
              <w:keepLines w:val="0"/>
              <w:pageBreakBefore w:val="0"/>
              <w:widowControl/>
              <w:kinsoku w:val="0"/>
              <w:overflowPunct/>
              <w:topLinePunct w:val="0"/>
              <w:autoSpaceDE w:val="0"/>
              <w:autoSpaceDN w:val="0"/>
              <w:bidi w:val="0"/>
              <w:adjustRightInd w:val="0"/>
              <w:snapToGrid w:val="0"/>
              <w:spacing w:line="219" w:lineRule="auto"/>
              <w:ind w:left="144"/>
              <w:textAlignment w:val="baseline"/>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pacing w:val="-1"/>
                <w:sz w:val="22"/>
                <w:szCs w:val="22"/>
                <w14:textFill>
                  <w14:solidFill>
                    <w14:schemeClr w14:val="tx1"/>
                  </w14:solidFill>
                </w14:textFill>
              </w:rPr>
              <w:t>采购预留金</w:t>
            </w:r>
            <w:r>
              <w:rPr>
                <w:rFonts w:ascii="宋体" w:hAnsi="宋体" w:eastAsia="宋体" w:cs="宋体"/>
                <w:color w:val="000000" w:themeColor="text1"/>
                <w:sz w:val="22"/>
                <w:szCs w:val="22"/>
                <w14:textFill>
                  <w14:solidFill>
                    <w14:schemeClr w14:val="tx1"/>
                  </w14:solidFill>
                </w14:textFill>
              </w:rPr>
              <w:t>额</w:t>
            </w:r>
          </w:p>
          <w:p>
            <w:pPr>
              <w:keepNext w:val="0"/>
              <w:keepLines w:val="0"/>
              <w:pageBreakBefore w:val="0"/>
              <w:widowControl/>
              <w:kinsoku w:val="0"/>
              <w:overflowPunct/>
              <w:topLinePunct w:val="0"/>
              <w:autoSpaceDE w:val="0"/>
              <w:autoSpaceDN w:val="0"/>
              <w:bidi w:val="0"/>
              <w:adjustRightInd w:val="0"/>
              <w:snapToGrid w:val="0"/>
              <w:spacing w:line="221" w:lineRule="auto"/>
              <w:ind w:left="480"/>
              <w:textAlignment w:val="baseline"/>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pacing w:val="28"/>
                <w:sz w:val="22"/>
                <w:szCs w:val="22"/>
                <w14:textFill>
                  <w14:solidFill>
                    <w14:schemeClr w14:val="tx1"/>
                  </w14:solidFill>
                </w14:textFill>
              </w:rPr>
              <w:t>(</w:t>
            </w:r>
            <w:r>
              <w:rPr>
                <w:rFonts w:ascii="宋体" w:hAnsi="宋体" w:eastAsia="宋体" w:cs="宋体"/>
                <w:color w:val="000000" w:themeColor="text1"/>
                <w:spacing w:val="27"/>
                <w:sz w:val="22"/>
                <w:szCs w:val="22"/>
                <w14:textFill>
                  <w14:solidFill>
                    <w14:schemeClr w14:val="tx1"/>
                  </w14:solidFill>
                </w14:textFill>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jc w:val="center"/>
        </w:trPr>
        <w:tc>
          <w:tcPr>
            <w:tcW w:w="413" w:type="dxa"/>
            <w:vAlign w:val="center"/>
          </w:tcPr>
          <w:p>
            <w:pPr>
              <w:keepNext w:val="0"/>
              <w:keepLines w:val="0"/>
              <w:pageBreakBefore w:val="0"/>
              <w:widowControl/>
              <w:kinsoku w:val="0"/>
              <w:overflowPunct/>
              <w:topLinePunct w:val="0"/>
              <w:autoSpaceDE w:val="0"/>
              <w:autoSpaceDN w:val="0"/>
              <w:bidi w:val="0"/>
              <w:adjustRightInd w:val="0"/>
              <w:snapToGrid w:val="0"/>
              <w:spacing w:line="185" w:lineRule="auto"/>
              <w:ind w:left="175"/>
              <w:jc w:val="center"/>
              <w:textAlignment w:val="baseline"/>
              <w:rPr>
                <w:rFonts w:ascii="宋体" w:hAnsi="宋体" w:eastAsia="宋体" w:cs="宋体"/>
                <w:sz w:val="22"/>
                <w:szCs w:val="22"/>
              </w:rPr>
            </w:pPr>
            <w:r>
              <w:rPr>
                <w:rFonts w:ascii="宋体" w:hAnsi="宋体" w:eastAsia="宋体" w:cs="宋体"/>
                <w:sz w:val="22"/>
                <w:szCs w:val="22"/>
              </w:rPr>
              <w:t>1</w:t>
            </w:r>
          </w:p>
        </w:tc>
        <w:tc>
          <w:tcPr>
            <w:tcW w:w="899" w:type="dxa"/>
          </w:tcPr>
          <w:p>
            <w:pPr>
              <w:keepNext w:val="0"/>
              <w:keepLines w:val="0"/>
              <w:pageBreakBefore w:val="0"/>
              <w:widowControl/>
              <w:kinsoku w:val="0"/>
              <w:overflowPunct/>
              <w:topLinePunct w:val="0"/>
              <w:autoSpaceDE w:val="0"/>
              <w:autoSpaceDN w:val="0"/>
              <w:bidi w:val="0"/>
              <w:adjustRightInd w:val="0"/>
              <w:snapToGrid w:val="0"/>
              <w:spacing w:line="184" w:lineRule="auto"/>
              <w:ind w:left="113"/>
              <w:textAlignment w:val="baseline"/>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淅财磋商采购-2024-30</w:t>
            </w:r>
            <w:r>
              <w:rPr>
                <w:rFonts w:hint="eastAsia" w:ascii="宋体" w:hAnsi="宋体" w:eastAsia="宋体" w:cs="宋体"/>
                <w:color w:val="000000" w:themeColor="text1"/>
                <w:sz w:val="22"/>
                <w:szCs w:val="22"/>
                <w:lang w:val="en-US" w:eastAsia="zh-CN"/>
                <w14:textFill>
                  <w14:solidFill>
                    <w14:schemeClr w14:val="tx1"/>
                  </w14:solidFill>
                </w14:textFill>
              </w:rPr>
              <w:t>-1</w:t>
            </w:r>
          </w:p>
        </w:tc>
        <w:tc>
          <w:tcPr>
            <w:tcW w:w="2308" w:type="dxa"/>
          </w:tcPr>
          <w:p>
            <w:pPr>
              <w:keepNext w:val="0"/>
              <w:keepLines w:val="0"/>
              <w:pageBreakBefore w:val="0"/>
              <w:widowControl/>
              <w:kinsoku w:val="0"/>
              <w:overflowPunct/>
              <w:topLinePunct w:val="0"/>
              <w:autoSpaceDE w:val="0"/>
              <w:autoSpaceDN w:val="0"/>
              <w:bidi w:val="0"/>
              <w:adjustRightInd w:val="0"/>
              <w:snapToGrid w:val="0"/>
              <w:spacing w:line="314" w:lineRule="auto"/>
              <w:ind w:left="185" w:right="161" w:hanging="16"/>
              <w:textAlignment w:val="baseline"/>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pacing w:val="-4"/>
                <w:sz w:val="22"/>
                <w:szCs w:val="22"/>
                <w:lang w:val="en-US" w:eastAsia="zh-CN"/>
                <w14:textFill>
                  <w14:solidFill>
                    <w14:schemeClr w14:val="tx1"/>
                  </w14:solidFill>
                </w14:textFill>
              </w:rPr>
              <w:t>淅川县市场监督管理局2024年食品安全抽检项目</w:t>
            </w:r>
            <w:r>
              <w:rPr>
                <w:rFonts w:hint="eastAsia" w:ascii="宋体" w:hAnsi="宋体" w:eastAsia="宋体" w:cs="宋体"/>
                <w:color w:val="000000" w:themeColor="text1"/>
                <w:spacing w:val="-4"/>
                <w:sz w:val="22"/>
                <w:szCs w:val="22"/>
                <w14:textFill>
                  <w14:solidFill>
                    <w14:schemeClr w14:val="tx1"/>
                  </w14:solidFill>
                </w14:textFill>
              </w:rPr>
              <w:t>第1标段</w:t>
            </w:r>
          </w:p>
        </w:tc>
        <w:tc>
          <w:tcPr>
            <w:tcW w:w="1391"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default" w:ascii="宋体" w:hAnsi="宋体" w:eastAsia="宋体" w:cs="宋体"/>
                <w:color w:val="000000" w:themeColor="text1"/>
                <w:spacing w:val="-6"/>
                <w:sz w:val="22"/>
                <w:szCs w:val="22"/>
                <w:lang w:val="en-US" w:eastAsia="zh-CN"/>
                <w14:textFill>
                  <w14:solidFill>
                    <w14:schemeClr w14:val="tx1"/>
                  </w14:solidFill>
                </w14:textFill>
              </w:rPr>
            </w:pPr>
            <w:r>
              <w:rPr>
                <w:rFonts w:hint="eastAsia" w:ascii="宋体" w:hAnsi="宋体" w:eastAsia="宋体" w:cs="宋体"/>
                <w:color w:val="000000" w:themeColor="text1"/>
                <w:spacing w:val="-6"/>
                <w:sz w:val="22"/>
                <w:szCs w:val="22"/>
                <w:lang w:val="en-US" w:eastAsia="zh-CN"/>
                <w14:textFill>
                  <w14:solidFill>
                    <w14:schemeClr w14:val="tx1"/>
                  </w14:solidFill>
                </w14:textFill>
              </w:rPr>
              <w:t>177800.00</w:t>
            </w:r>
          </w:p>
        </w:tc>
        <w:tc>
          <w:tcPr>
            <w:tcW w:w="1411"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default" w:ascii="宋体" w:hAnsi="宋体" w:eastAsia="宋体" w:cs="宋体"/>
                <w:color w:val="000000" w:themeColor="text1"/>
                <w:spacing w:val="-6"/>
                <w:sz w:val="22"/>
                <w:szCs w:val="22"/>
                <w:lang w:val="en-US"/>
                <w14:textFill>
                  <w14:solidFill>
                    <w14:schemeClr w14:val="tx1"/>
                  </w14:solidFill>
                </w14:textFill>
              </w:rPr>
            </w:pPr>
            <w:r>
              <w:rPr>
                <w:rFonts w:hint="eastAsia" w:ascii="宋体" w:hAnsi="宋体" w:eastAsia="宋体" w:cs="宋体"/>
                <w:color w:val="000000" w:themeColor="text1"/>
                <w:spacing w:val="-6"/>
                <w:sz w:val="22"/>
                <w:szCs w:val="22"/>
                <w:lang w:val="en-US" w:eastAsia="zh-CN"/>
                <w14:textFill>
                  <w14:solidFill>
                    <w14:schemeClr w14:val="tx1"/>
                  </w14:solidFill>
                </w14:textFill>
              </w:rPr>
              <w:t>177800.00</w:t>
            </w:r>
          </w:p>
        </w:tc>
        <w:tc>
          <w:tcPr>
            <w:tcW w:w="1603"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ascii="宋体" w:hAnsi="宋体" w:eastAsia="宋体" w:cs="宋体"/>
                <w:color w:val="000000" w:themeColor="text1"/>
                <w:spacing w:val="-6"/>
                <w:sz w:val="22"/>
                <w:szCs w:val="22"/>
                <w14:textFill>
                  <w14:solidFill>
                    <w14:schemeClr w14:val="tx1"/>
                  </w14:solidFill>
                </w14:textFill>
              </w:rPr>
            </w:pPr>
            <w:r>
              <w:rPr>
                <w:rFonts w:hint="eastAsia" w:ascii="宋体" w:hAnsi="宋体" w:eastAsia="宋体" w:cs="宋体"/>
                <w:color w:val="000000" w:themeColor="text1"/>
                <w:spacing w:val="-6"/>
                <w:sz w:val="22"/>
                <w:szCs w:val="22"/>
                <w14:textFill>
                  <w14:solidFill>
                    <w14:schemeClr w14:val="tx1"/>
                  </w14:solidFill>
                </w14:textFill>
              </w:rPr>
              <w:t>是</w:t>
            </w:r>
          </w:p>
        </w:tc>
        <w:tc>
          <w:tcPr>
            <w:tcW w:w="1598"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ascii="宋体" w:hAnsi="宋体" w:eastAsia="宋体" w:cs="宋体"/>
                <w:color w:val="000000" w:themeColor="text1"/>
                <w:spacing w:val="-6"/>
                <w:sz w:val="22"/>
                <w:szCs w:val="22"/>
                <w14:textFill>
                  <w14:solidFill>
                    <w14:schemeClr w14:val="tx1"/>
                  </w14:solidFill>
                </w14:textFill>
              </w:rPr>
            </w:pPr>
            <w:r>
              <w:rPr>
                <w:rFonts w:hint="eastAsia" w:ascii="宋体" w:hAnsi="宋体" w:eastAsia="宋体" w:cs="宋体"/>
                <w:color w:val="000000" w:themeColor="text1"/>
                <w:spacing w:val="-6"/>
                <w:sz w:val="22"/>
                <w:szCs w:val="22"/>
                <w:lang w:val="en-US" w:eastAsia="zh-CN"/>
                <w14:textFill>
                  <w14:solidFill>
                    <w14:schemeClr w14:val="tx1"/>
                  </w14:solidFill>
                </w14:textFill>
              </w:rPr>
              <w:t>177800.00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jc w:val="center"/>
        </w:trPr>
        <w:tc>
          <w:tcPr>
            <w:tcW w:w="413" w:type="dxa"/>
            <w:vAlign w:val="center"/>
          </w:tcPr>
          <w:p>
            <w:pPr>
              <w:keepNext w:val="0"/>
              <w:keepLines w:val="0"/>
              <w:pageBreakBefore w:val="0"/>
              <w:widowControl/>
              <w:kinsoku w:val="0"/>
              <w:overflowPunct/>
              <w:topLinePunct w:val="0"/>
              <w:autoSpaceDE w:val="0"/>
              <w:autoSpaceDN w:val="0"/>
              <w:bidi w:val="0"/>
              <w:adjustRightInd w:val="0"/>
              <w:snapToGrid w:val="0"/>
              <w:spacing w:line="185" w:lineRule="auto"/>
              <w:ind w:left="175"/>
              <w:jc w:val="center"/>
              <w:textAlignment w:val="baseline"/>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899" w:type="dxa"/>
            <w:vAlign w:val="top"/>
          </w:tcPr>
          <w:p>
            <w:pPr>
              <w:keepNext w:val="0"/>
              <w:keepLines w:val="0"/>
              <w:pageBreakBefore w:val="0"/>
              <w:widowControl/>
              <w:kinsoku w:val="0"/>
              <w:overflowPunct/>
              <w:topLinePunct w:val="0"/>
              <w:autoSpaceDE w:val="0"/>
              <w:autoSpaceDN w:val="0"/>
              <w:bidi w:val="0"/>
              <w:adjustRightInd w:val="0"/>
              <w:snapToGrid w:val="0"/>
              <w:spacing w:line="184" w:lineRule="auto"/>
              <w:ind w:left="113" w:leftChars="0"/>
              <w:textAlignment w:val="baseline"/>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淅财磋商采购-2024-30</w:t>
            </w:r>
            <w:r>
              <w:rPr>
                <w:rFonts w:hint="eastAsia" w:ascii="宋体" w:hAnsi="宋体" w:eastAsia="宋体" w:cs="宋体"/>
                <w:color w:val="000000" w:themeColor="text1"/>
                <w:sz w:val="22"/>
                <w:szCs w:val="22"/>
                <w:lang w:val="en-US" w:eastAsia="zh-CN"/>
                <w14:textFill>
                  <w14:solidFill>
                    <w14:schemeClr w14:val="tx1"/>
                  </w14:solidFill>
                </w14:textFill>
              </w:rPr>
              <w:t>-2</w:t>
            </w:r>
          </w:p>
        </w:tc>
        <w:tc>
          <w:tcPr>
            <w:tcW w:w="2308" w:type="dxa"/>
            <w:vAlign w:val="top"/>
          </w:tcPr>
          <w:p>
            <w:pPr>
              <w:keepNext w:val="0"/>
              <w:keepLines w:val="0"/>
              <w:pageBreakBefore w:val="0"/>
              <w:widowControl/>
              <w:kinsoku w:val="0"/>
              <w:overflowPunct/>
              <w:topLinePunct w:val="0"/>
              <w:autoSpaceDE w:val="0"/>
              <w:autoSpaceDN w:val="0"/>
              <w:bidi w:val="0"/>
              <w:adjustRightInd w:val="0"/>
              <w:snapToGrid w:val="0"/>
              <w:spacing w:line="314" w:lineRule="auto"/>
              <w:ind w:left="185" w:leftChars="0" w:right="161" w:rightChars="0" w:hanging="16" w:firstLineChars="0"/>
              <w:textAlignment w:val="baseline"/>
              <w:rPr>
                <w:rFonts w:hint="eastAsia" w:ascii="宋体" w:hAnsi="宋体" w:eastAsia="宋体" w:cs="宋体"/>
                <w:color w:val="000000" w:themeColor="text1"/>
                <w:spacing w:val="-4"/>
                <w:sz w:val="22"/>
                <w:szCs w:val="22"/>
                <w:lang w:val="en-US" w:eastAsia="zh-CN"/>
                <w14:textFill>
                  <w14:solidFill>
                    <w14:schemeClr w14:val="tx1"/>
                  </w14:solidFill>
                </w14:textFill>
              </w:rPr>
            </w:pPr>
            <w:r>
              <w:rPr>
                <w:rFonts w:hint="eastAsia" w:ascii="宋体" w:hAnsi="宋体" w:eastAsia="宋体" w:cs="宋体"/>
                <w:color w:val="000000" w:themeColor="text1"/>
                <w:spacing w:val="-4"/>
                <w:sz w:val="22"/>
                <w:szCs w:val="22"/>
                <w:lang w:val="en-US" w:eastAsia="zh-CN"/>
                <w14:textFill>
                  <w14:solidFill>
                    <w14:schemeClr w14:val="tx1"/>
                  </w14:solidFill>
                </w14:textFill>
              </w:rPr>
              <w:t>淅川县市场监督管理局2024年食品安全抽检项目</w:t>
            </w:r>
            <w:r>
              <w:rPr>
                <w:rFonts w:hint="eastAsia" w:ascii="宋体" w:hAnsi="宋体" w:eastAsia="宋体" w:cs="宋体"/>
                <w:color w:val="000000" w:themeColor="text1"/>
                <w:spacing w:val="-4"/>
                <w:sz w:val="22"/>
                <w:szCs w:val="22"/>
                <w14:textFill>
                  <w14:solidFill>
                    <w14:schemeClr w14:val="tx1"/>
                  </w14:solidFill>
                </w14:textFill>
              </w:rPr>
              <w:t>第</w:t>
            </w:r>
            <w:r>
              <w:rPr>
                <w:rFonts w:hint="eastAsia" w:ascii="宋体" w:hAnsi="宋体" w:eastAsia="宋体" w:cs="宋体"/>
                <w:color w:val="000000" w:themeColor="text1"/>
                <w:spacing w:val="-4"/>
                <w:sz w:val="22"/>
                <w:szCs w:val="22"/>
                <w:lang w:val="en-US" w:eastAsia="zh-CN"/>
                <w14:textFill>
                  <w14:solidFill>
                    <w14:schemeClr w14:val="tx1"/>
                  </w14:solidFill>
                </w14:textFill>
              </w:rPr>
              <w:t>2</w:t>
            </w:r>
            <w:r>
              <w:rPr>
                <w:rFonts w:hint="eastAsia" w:ascii="宋体" w:hAnsi="宋体" w:eastAsia="宋体" w:cs="宋体"/>
                <w:color w:val="000000" w:themeColor="text1"/>
                <w:spacing w:val="-4"/>
                <w:sz w:val="22"/>
                <w:szCs w:val="22"/>
                <w14:textFill>
                  <w14:solidFill>
                    <w14:schemeClr w14:val="tx1"/>
                  </w14:solidFill>
                </w14:textFill>
              </w:rPr>
              <w:t>标段</w:t>
            </w:r>
          </w:p>
        </w:tc>
        <w:tc>
          <w:tcPr>
            <w:tcW w:w="1391"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eastAsia" w:ascii="宋体" w:hAnsi="宋体" w:eastAsia="宋体" w:cs="宋体"/>
                <w:color w:val="000000" w:themeColor="text1"/>
                <w:spacing w:val="-6"/>
                <w:sz w:val="22"/>
                <w:szCs w:val="22"/>
                <w:lang w:val="en-US" w:eastAsia="zh-CN"/>
                <w14:textFill>
                  <w14:solidFill>
                    <w14:schemeClr w14:val="tx1"/>
                  </w14:solidFill>
                </w14:textFill>
              </w:rPr>
            </w:pPr>
            <w:r>
              <w:rPr>
                <w:rFonts w:hint="eastAsia" w:ascii="宋体" w:hAnsi="宋体" w:eastAsia="宋体" w:cs="宋体"/>
                <w:color w:val="000000" w:themeColor="text1"/>
                <w:spacing w:val="-6"/>
                <w:sz w:val="22"/>
                <w:szCs w:val="22"/>
                <w:lang w:val="en-US" w:eastAsia="zh-CN"/>
                <w14:textFill>
                  <w14:solidFill>
                    <w14:schemeClr w14:val="tx1"/>
                  </w14:solidFill>
                </w14:textFill>
              </w:rPr>
              <w:t>177800.00</w:t>
            </w:r>
          </w:p>
        </w:tc>
        <w:tc>
          <w:tcPr>
            <w:tcW w:w="1411"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default" w:ascii="宋体" w:hAnsi="宋体" w:eastAsia="宋体" w:cs="宋体"/>
                <w:color w:val="000000" w:themeColor="text1"/>
                <w:spacing w:val="-6"/>
                <w:sz w:val="22"/>
                <w:szCs w:val="22"/>
                <w:lang w:val="en-US"/>
                <w14:textFill>
                  <w14:solidFill>
                    <w14:schemeClr w14:val="tx1"/>
                  </w14:solidFill>
                </w14:textFill>
              </w:rPr>
            </w:pPr>
            <w:r>
              <w:rPr>
                <w:rFonts w:hint="eastAsia" w:ascii="宋体" w:hAnsi="宋体" w:eastAsia="宋体" w:cs="宋体"/>
                <w:color w:val="000000" w:themeColor="text1"/>
                <w:spacing w:val="-6"/>
                <w:sz w:val="22"/>
                <w:szCs w:val="22"/>
                <w:lang w:val="en-US" w:eastAsia="zh-CN"/>
                <w14:textFill>
                  <w14:solidFill>
                    <w14:schemeClr w14:val="tx1"/>
                  </w14:solidFill>
                </w14:textFill>
              </w:rPr>
              <w:t>177800.00</w:t>
            </w:r>
          </w:p>
        </w:tc>
        <w:tc>
          <w:tcPr>
            <w:tcW w:w="1603"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eastAsia" w:ascii="宋体" w:hAnsi="宋体" w:eastAsia="宋体" w:cs="宋体"/>
                <w:color w:val="000000" w:themeColor="text1"/>
                <w:spacing w:val="-6"/>
                <w:sz w:val="22"/>
                <w:szCs w:val="22"/>
                <w14:textFill>
                  <w14:solidFill>
                    <w14:schemeClr w14:val="tx1"/>
                  </w14:solidFill>
                </w14:textFill>
              </w:rPr>
            </w:pPr>
            <w:r>
              <w:rPr>
                <w:rFonts w:hint="eastAsia" w:ascii="宋体" w:hAnsi="宋体" w:eastAsia="宋体" w:cs="宋体"/>
                <w:color w:val="000000" w:themeColor="text1"/>
                <w:spacing w:val="-6"/>
                <w:sz w:val="22"/>
                <w:szCs w:val="22"/>
                <w14:textFill>
                  <w14:solidFill>
                    <w14:schemeClr w14:val="tx1"/>
                  </w14:solidFill>
                </w14:textFill>
              </w:rPr>
              <w:t>是</w:t>
            </w:r>
          </w:p>
        </w:tc>
        <w:tc>
          <w:tcPr>
            <w:tcW w:w="1598"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eastAsia" w:ascii="宋体" w:hAnsi="宋体" w:eastAsia="宋体" w:cs="宋体"/>
                <w:color w:val="000000" w:themeColor="text1"/>
                <w:spacing w:val="-6"/>
                <w:sz w:val="22"/>
                <w:szCs w:val="22"/>
                <w:lang w:val="en-US" w:eastAsia="zh-CN"/>
                <w14:textFill>
                  <w14:solidFill>
                    <w14:schemeClr w14:val="tx1"/>
                  </w14:solidFill>
                </w14:textFill>
              </w:rPr>
            </w:pPr>
            <w:r>
              <w:rPr>
                <w:rFonts w:hint="eastAsia" w:ascii="宋体" w:hAnsi="宋体" w:eastAsia="宋体" w:cs="宋体"/>
                <w:color w:val="000000" w:themeColor="text1"/>
                <w:spacing w:val="-6"/>
                <w:sz w:val="22"/>
                <w:szCs w:val="22"/>
                <w:lang w:val="en-US" w:eastAsia="zh-CN"/>
                <w14:textFill>
                  <w14:solidFill>
                    <w14:schemeClr w14:val="tx1"/>
                  </w14:solidFill>
                </w14:textFill>
              </w:rPr>
              <w:t>177800.00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jc w:val="center"/>
        </w:trPr>
        <w:tc>
          <w:tcPr>
            <w:tcW w:w="413" w:type="dxa"/>
            <w:vAlign w:val="center"/>
          </w:tcPr>
          <w:p>
            <w:pPr>
              <w:keepNext w:val="0"/>
              <w:keepLines w:val="0"/>
              <w:pageBreakBefore w:val="0"/>
              <w:widowControl/>
              <w:kinsoku w:val="0"/>
              <w:overflowPunct/>
              <w:topLinePunct w:val="0"/>
              <w:autoSpaceDE w:val="0"/>
              <w:autoSpaceDN w:val="0"/>
              <w:bidi w:val="0"/>
              <w:adjustRightInd w:val="0"/>
              <w:snapToGrid w:val="0"/>
              <w:spacing w:line="185" w:lineRule="auto"/>
              <w:ind w:left="175"/>
              <w:jc w:val="center"/>
              <w:textAlignment w:val="baseline"/>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p>
        </w:tc>
        <w:tc>
          <w:tcPr>
            <w:tcW w:w="899" w:type="dxa"/>
            <w:vAlign w:val="top"/>
          </w:tcPr>
          <w:p>
            <w:pPr>
              <w:keepNext w:val="0"/>
              <w:keepLines w:val="0"/>
              <w:pageBreakBefore w:val="0"/>
              <w:widowControl/>
              <w:kinsoku w:val="0"/>
              <w:overflowPunct/>
              <w:topLinePunct w:val="0"/>
              <w:autoSpaceDE w:val="0"/>
              <w:autoSpaceDN w:val="0"/>
              <w:bidi w:val="0"/>
              <w:adjustRightInd w:val="0"/>
              <w:snapToGrid w:val="0"/>
              <w:spacing w:line="184" w:lineRule="auto"/>
              <w:ind w:left="113" w:leftChars="0"/>
              <w:textAlignment w:val="baseline"/>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淅财磋商采购-2024-30</w:t>
            </w:r>
            <w:r>
              <w:rPr>
                <w:rFonts w:hint="eastAsia" w:ascii="宋体" w:hAnsi="宋体" w:eastAsia="宋体" w:cs="宋体"/>
                <w:color w:val="000000" w:themeColor="text1"/>
                <w:sz w:val="22"/>
                <w:szCs w:val="22"/>
                <w:lang w:val="en-US" w:eastAsia="zh-CN"/>
                <w14:textFill>
                  <w14:solidFill>
                    <w14:schemeClr w14:val="tx1"/>
                  </w14:solidFill>
                </w14:textFill>
              </w:rPr>
              <w:t>-3</w:t>
            </w:r>
          </w:p>
        </w:tc>
        <w:tc>
          <w:tcPr>
            <w:tcW w:w="2308" w:type="dxa"/>
            <w:vAlign w:val="top"/>
          </w:tcPr>
          <w:p>
            <w:pPr>
              <w:keepNext w:val="0"/>
              <w:keepLines w:val="0"/>
              <w:pageBreakBefore w:val="0"/>
              <w:widowControl/>
              <w:kinsoku w:val="0"/>
              <w:overflowPunct/>
              <w:topLinePunct w:val="0"/>
              <w:autoSpaceDE w:val="0"/>
              <w:autoSpaceDN w:val="0"/>
              <w:bidi w:val="0"/>
              <w:adjustRightInd w:val="0"/>
              <w:snapToGrid w:val="0"/>
              <w:spacing w:line="314" w:lineRule="auto"/>
              <w:ind w:left="185" w:leftChars="0" w:right="161" w:rightChars="0" w:hanging="16" w:firstLineChars="0"/>
              <w:textAlignment w:val="baseline"/>
              <w:rPr>
                <w:rFonts w:hint="eastAsia" w:ascii="宋体" w:hAnsi="宋体" w:eastAsia="宋体" w:cs="宋体"/>
                <w:color w:val="000000" w:themeColor="text1"/>
                <w:spacing w:val="-4"/>
                <w:sz w:val="22"/>
                <w:szCs w:val="22"/>
                <w:lang w:val="en-US" w:eastAsia="zh-CN"/>
                <w14:textFill>
                  <w14:solidFill>
                    <w14:schemeClr w14:val="tx1"/>
                  </w14:solidFill>
                </w14:textFill>
              </w:rPr>
            </w:pPr>
            <w:r>
              <w:rPr>
                <w:rFonts w:hint="eastAsia" w:ascii="宋体" w:hAnsi="宋体" w:eastAsia="宋体" w:cs="宋体"/>
                <w:color w:val="000000" w:themeColor="text1"/>
                <w:spacing w:val="-4"/>
                <w:sz w:val="22"/>
                <w:szCs w:val="22"/>
                <w:lang w:val="en-US" w:eastAsia="zh-CN"/>
                <w14:textFill>
                  <w14:solidFill>
                    <w14:schemeClr w14:val="tx1"/>
                  </w14:solidFill>
                </w14:textFill>
              </w:rPr>
              <w:t>淅川县市场监督管理局2024年食品安全抽检项目</w:t>
            </w:r>
            <w:r>
              <w:rPr>
                <w:rFonts w:hint="eastAsia" w:ascii="宋体" w:hAnsi="宋体" w:eastAsia="宋体" w:cs="宋体"/>
                <w:color w:val="000000" w:themeColor="text1"/>
                <w:spacing w:val="-4"/>
                <w:sz w:val="22"/>
                <w:szCs w:val="22"/>
                <w14:textFill>
                  <w14:solidFill>
                    <w14:schemeClr w14:val="tx1"/>
                  </w14:solidFill>
                </w14:textFill>
              </w:rPr>
              <w:t>第</w:t>
            </w:r>
            <w:r>
              <w:rPr>
                <w:rFonts w:hint="eastAsia" w:ascii="宋体" w:hAnsi="宋体" w:eastAsia="宋体" w:cs="宋体"/>
                <w:color w:val="000000" w:themeColor="text1"/>
                <w:spacing w:val="-4"/>
                <w:sz w:val="22"/>
                <w:szCs w:val="22"/>
                <w:lang w:val="en-US" w:eastAsia="zh-CN"/>
                <w14:textFill>
                  <w14:solidFill>
                    <w14:schemeClr w14:val="tx1"/>
                  </w14:solidFill>
                </w14:textFill>
              </w:rPr>
              <w:t>3</w:t>
            </w:r>
            <w:r>
              <w:rPr>
                <w:rFonts w:hint="eastAsia" w:ascii="宋体" w:hAnsi="宋体" w:eastAsia="宋体" w:cs="宋体"/>
                <w:color w:val="000000" w:themeColor="text1"/>
                <w:spacing w:val="-4"/>
                <w:sz w:val="22"/>
                <w:szCs w:val="22"/>
                <w14:textFill>
                  <w14:solidFill>
                    <w14:schemeClr w14:val="tx1"/>
                  </w14:solidFill>
                </w14:textFill>
              </w:rPr>
              <w:t>标段</w:t>
            </w:r>
          </w:p>
        </w:tc>
        <w:tc>
          <w:tcPr>
            <w:tcW w:w="1391"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default" w:ascii="宋体" w:hAnsi="宋体" w:eastAsia="宋体" w:cs="宋体"/>
                <w:color w:val="000000" w:themeColor="text1"/>
                <w:spacing w:val="-6"/>
                <w:sz w:val="22"/>
                <w:szCs w:val="22"/>
                <w:lang w:val="en-US" w:eastAsia="zh-CN"/>
                <w14:textFill>
                  <w14:solidFill>
                    <w14:schemeClr w14:val="tx1"/>
                  </w14:solidFill>
                </w14:textFill>
              </w:rPr>
            </w:pPr>
            <w:r>
              <w:rPr>
                <w:rFonts w:hint="eastAsia" w:ascii="宋体" w:hAnsi="宋体" w:eastAsia="宋体" w:cs="宋体"/>
                <w:color w:val="000000" w:themeColor="text1"/>
                <w:spacing w:val="-6"/>
                <w:sz w:val="22"/>
                <w:szCs w:val="22"/>
                <w:lang w:val="en-US" w:eastAsia="zh-CN"/>
                <w14:textFill>
                  <w14:solidFill>
                    <w14:schemeClr w14:val="tx1"/>
                  </w14:solidFill>
                </w14:textFill>
              </w:rPr>
              <w:t>127000.00</w:t>
            </w:r>
          </w:p>
        </w:tc>
        <w:tc>
          <w:tcPr>
            <w:tcW w:w="1411"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default" w:ascii="宋体" w:hAnsi="宋体" w:eastAsia="宋体" w:cs="宋体"/>
                <w:color w:val="000000" w:themeColor="text1"/>
                <w:spacing w:val="-6"/>
                <w:sz w:val="22"/>
                <w:szCs w:val="22"/>
                <w:lang w:val="en-US"/>
                <w14:textFill>
                  <w14:solidFill>
                    <w14:schemeClr w14:val="tx1"/>
                  </w14:solidFill>
                </w14:textFill>
              </w:rPr>
            </w:pPr>
            <w:r>
              <w:rPr>
                <w:rFonts w:hint="eastAsia" w:ascii="宋体" w:hAnsi="宋体" w:eastAsia="宋体" w:cs="宋体"/>
                <w:color w:val="000000" w:themeColor="text1"/>
                <w:spacing w:val="-6"/>
                <w:sz w:val="22"/>
                <w:szCs w:val="22"/>
                <w:lang w:val="en-US" w:eastAsia="zh-CN"/>
                <w14:textFill>
                  <w14:solidFill>
                    <w14:schemeClr w14:val="tx1"/>
                  </w14:solidFill>
                </w14:textFill>
              </w:rPr>
              <w:t>127000.00</w:t>
            </w:r>
          </w:p>
        </w:tc>
        <w:tc>
          <w:tcPr>
            <w:tcW w:w="1603"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eastAsia" w:ascii="宋体" w:hAnsi="宋体" w:eastAsia="宋体" w:cs="宋体"/>
                <w:color w:val="000000" w:themeColor="text1"/>
                <w:spacing w:val="-6"/>
                <w:sz w:val="22"/>
                <w:szCs w:val="22"/>
                <w14:textFill>
                  <w14:solidFill>
                    <w14:schemeClr w14:val="tx1"/>
                  </w14:solidFill>
                </w14:textFill>
              </w:rPr>
            </w:pPr>
            <w:r>
              <w:rPr>
                <w:rFonts w:hint="eastAsia" w:ascii="宋体" w:hAnsi="宋体" w:eastAsia="宋体" w:cs="宋体"/>
                <w:color w:val="000000" w:themeColor="text1"/>
                <w:spacing w:val="-6"/>
                <w:sz w:val="22"/>
                <w:szCs w:val="22"/>
                <w14:textFill>
                  <w14:solidFill>
                    <w14:schemeClr w14:val="tx1"/>
                  </w14:solidFill>
                </w14:textFill>
              </w:rPr>
              <w:t>是</w:t>
            </w:r>
          </w:p>
        </w:tc>
        <w:tc>
          <w:tcPr>
            <w:tcW w:w="1598"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eastAsia" w:ascii="宋体" w:hAnsi="宋体" w:eastAsia="宋体" w:cs="宋体"/>
                <w:color w:val="000000" w:themeColor="text1"/>
                <w:spacing w:val="-6"/>
                <w:sz w:val="22"/>
                <w:szCs w:val="22"/>
                <w:lang w:val="en-US" w:eastAsia="zh-CN"/>
                <w14:textFill>
                  <w14:solidFill>
                    <w14:schemeClr w14:val="tx1"/>
                  </w14:solidFill>
                </w14:textFill>
              </w:rPr>
            </w:pPr>
            <w:r>
              <w:rPr>
                <w:rFonts w:hint="eastAsia" w:ascii="宋体" w:hAnsi="宋体" w:eastAsia="宋体" w:cs="宋体"/>
                <w:color w:val="000000" w:themeColor="text1"/>
                <w:spacing w:val="-6"/>
                <w:sz w:val="22"/>
                <w:szCs w:val="22"/>
                <w:lang w:val="en-US" w:eastAsia="zh-CN"/>
                <w14:textFill>
                  <w14:solidFill>
                    <w14:schemeClr w14:val="tx1"/>
                  </w14:solidFill>
                </w14:textFill>
              </w:rPr>
              <w:t>127000.00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jc w:val="center"/>
        </w:trPr>
        <w:tc>
          <w:tcPr>
            <w:tcW w:w="413" w:type="dxa"/>
            <w:vAlign w:val="center"/>
          </w:tcPr>
          <w:p>
            <w:pPr>
              <w:keepNext w:val="0"/>
              <w:keepLines w:val="0"/>
              <w:pageBreakBefore w:val="0"/>
              <w:widowControl/>
              <w:kinsoku w:val="0"/>
              <w:overflowPunct/>
              <w:topLinePunct w:val="0"/>
              <w:autoSpaceDE w:val="0"/>
              <w:autoSpaceDN w:val="0"/>
              <w:bidi w:val="0"/>
              <w:adjustRightInd w:val="0"/>
              <w:snapToGrid w:val="0"/>
              <w:spacing w:line="185" w:lineRule="auto"/>
              <w:ind w:left="175"/>
              <w:jc w:val="center"/>
              <w:textAlignment w:val="baseline"/>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w:t>
            </w:r>
          </w:p>
        </w:tc>
        <w:tc>
          <w:tcPr>
            <w:tcW w:w="899" w:type="dxa"/>
            <w:vAlign w:val="top"/>
          </w:tcPr>
          <w:p>
            <w:pPr>
              <w:keepNext w:val="0"/>
              <w:keepLines w:val="0"/>
              <w:pageBreakBefore w:val="0"/>
              <w:widowControl/>
              <w:kinsoku w:val="0"/>
              <w:overflowPunct/>
              <w:topLinePunct w:val="0"/>
              <w:autoSpaceDE w:val="0"/>
              <w:autoSpaceDN w:val="0"/>
              <w:bidi w:val="0"/>
              <w:adjustRightInd w:val="0"/>
              <w:snapToGrid w:val="0"/>
              <w:spacing w:line="184" w:lineRule="auto"/>
              <w:ind w:left="113" w:leftChars="0"/>
              <w:textAlignment w:val="baseline"/>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淅财磋商采购-2024-30</w:t>
            </w:r>
            <w:r>
              <w:rPr>
                <w:rFonts w:hint="eastAsia" w:ascii="宋体" w:hAnsi="宋体" w:eastAsia="宋体" w:cs="宋体"/>
                <w:color w:val="000000" w:themeColor="text1"/>
                <w:sz w:val="22"/>
                <w:szCs w:val="22"/>
                <w:lang w:val="en-US" w:eastAsia="zh-CN"/>
                <w14:textFill>
                  <w14:solidFill>
                    <w14:schemeClr w14:val="tx1"/>
                  </w14:solidFill>
                </w14:textFill>
              </w:rPr>
              <w:t>-4</w:t>
            </w:r>
          </w:p>
        </w:tc>
        <w:tc>
          <w:tcPr>
            <w:tcW w:w="2308" w:type="dxa"/>
            <w:vAlign w:val="top"/>
          </w:tcPr>
          <w:p>
            <w:pPr>
              <w:keepNext w:val="0"/>
              <w:keepLines w:val="0"/>
              <w:pageBreakBefore w:val="0"/>
              <w:widowControl/>
              <w:kinsoku w:val="0"/>
              <w:overflowPunct/>
              <w:topLinePunct w:val="0"/>
              <w:autoSpaceDE w:val="0"/>
              <w:autoSpaceDN w:val="0"/>
              <w:bidi w:val="0"/>
              <w:adjustRightInd w:val="0"/>
              <w:snapToGrid w:val="0"/>
              <w:spacing w:line="314" w:lineRule="auto"/>
              <w:ind w:left="185" w:leftChars="0" w:right="161" w:rightChars="0" w:hanging="16" w:firstLineChars="0"/>
              <w:textAlignment w:val="baseline"/>
              <w:rPr>
                <w:rFonts w:hint="eastAsia" w:ascii="宋体" w:hAnsi="宋体" w:eastAsia="宋体" w:cs="宋体"/>
                <w:color w:val="000000" w:themeColor="text1"/>
                <w:spacing w:val="-4"/>
                <w:sz w:val="22"/>
                <w:szCs w:val="22"/>
                <w:lang w:val="en-US" w:eastAsia="zh-CN"/>
                <w14:textFill>
                  <w14:solidFill>
                    <w14:schemeClr w14:val="tx1"/>
                  </w14:solidFill>
                </w14:textFill>
              </w:rPr>
            </w:pPr>
            <w:r>
              <w:rPr>
                <w:rFonts w:hint="eastAsia" w:ascii="宋体" w:hAnsi="宋体" w:eastAsia="宋体" w:cs="宋体"/>
                <w:color w:val="000000" w:themeColor="text1"/>
                <w:spacing w:val="-4"/>
                <w:sz w:val="22"/>
                <w:szCs w:val="22"/>
                <w:lang w:val="en-US" w:eastAsia="zh-CN"/>
                <w14:textFill>
                  <w14:solidFill>
                    <w14:schemeClr w14:val="tx1"/>
                  </w14:solidFill>
                </w14:textFill>
              </w:rPr>
              <w:t>淅川县市场监督管理局2024年食品安全抽检项目</w:t>
            </w:r>
            <w:r>
              <w:rPr>
                <w:rFonts w:hint="eastAsia" w:ascii="宋体" w:hAnsi="宋体" w:eastAsia="宋体" w:cs="宋体"/>
                <w:color w:val="000000" w:themeColor="text1"/>
                <w:spacing w:val="-4"/>
                <w:sz w:val="22"/>
                <w:szCs w:val="22"/>
                <w14:textFill>
                  <w14:solidFill>
                    <w14:schemeClr w14:val="tx1"/>
                  </w14:solidFill>
                </w14:textFill>
              </w:rPr>
              <w:t>第</w:t>
            </w:r>
            <w:r>
              <w:rPr>
                <w:rFonts w:hint="eastAsia" w:ascii="宋体" w:hAnsi="宋体" w:eastAsia="宋体" w:cs="宋体"/>
                <w:color w:val="000000" w:themeColor="text1"/>
                <w:spacing w:val="-4"/>
                <w:sz w:val="22"/>
                <w:szCs w:val="22"/>
                <w:lang w:val="en-US" w:eastAsia="zh-CN"/>
                <w14:textFill>
                  <w14:solidFill>
                    <w14:schemeClr w14:val="tx1"/>
                  </w14:solidFill>
                </w14:textFill>
              </w:rPr>
              <w:t>4</w:t>
            </w:r>
            <w:r>
              <w:rPr>
                <w:rFonts w:hint="eastAsia" w:ascii="宋体" w:hAnsi="宋体" w:eastAsia="宋体" w:cs="宋体"/>
                <w:color w:val="000000" w:themeColor="text1"/>
                <w:spacing w:val="-4"/>
                <w:sz w:val="22"/>
                <w:szCs w:val="22"/>
                <w14:textFill>
                  <w14:solidFill>
                    <w14:schemeClr w14:val="tx1"/>
                  </w14:solidFill>
                </w14:textFill>
              </w:rPr>
              <w:t>标段</w:t>
            </w:r>
          </w:p>
        </w:tc>
        <w:tc>
          <w:tcPr>
            <w:tcW w:w="1391"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eastAsia" w:ascii="宋体" w:hAnsi="宋体" w:eastAsia="宋体" w:cs="宋体"/>
                <w:color w:val="000000" w:themeColor="text1"/>
                <w:spacing w:val="-6"/>
                <w:sz w:val="22"/>
                <w:szCs w:val="22"/>
                <w:lang w:val="en-US" w:eastAsia="zh-CN"/>
                <w14:textFill>
                  <w14:solidFill>
                    <w14:schemeClr w14:val="tx1"/>
                  </w14:solidFill>
                </w14:textFill>
              </w:rPr>
            </w:pPr>
            <w:r>
              <w:rPr>
                <w:rFonts w:hint="eastAsia" w:ascii="宋体" w:hAnsi="宋体" w:eastAsia="宋体" w:cs="宋体"/>
                <w:color w:val="000000" w:themeColor="text1"/>
                <w:spacing w:val="-6"/>
                <w:sz w:val="22"/>
                <w:szCs w:val="22"/>
                <w:lang w:val="en-US" w:eastAsia="zh-CN"/>
                <w14:textFill>
                  <w14:solidFill>
                    <w14:schemeClr w14:val="tx1"/>
                  </w14:solidFill>
                </w14:textFill>
              </w:rPr>
              <w:t>127000.00</w:t>
            </w:r>
          </w:p>
        </w:tc>
        <w:tc>
          <w:tcPr>
            <w:tcW w:w="1411"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default" w:ascii="宋体" w:hAnsi="宋体" w:eastAsia="宋体" w:cs="宋体"/>
                <w:color w:val="000000" w:themeColor="text1"/>
                <w:spacing w:val="-6"/>
                <w:sz w:val="22"/>
                <w:szCs w:val="22"/>
                <w:lang w:val="en-US"/>
                <w14:textFill>
                  <w14:solidFill>
                    <w14:schemeClr w14:val="tx1"/>
                  </w14:solidFill>
                </w14:textFill>
              </w:rPr>
            </w:pPr>
            <w:r>
              <w:rPr>
                <w:rFonts w:hint="eastAsia" w:ascii="宋体" w:hAnsi="宋体" w:eastAsia="宋体" w:cs="宋体"/>
                <w:color w:val="000000" w:themeColor="text1"/>
                <w:spacing w:val="-6"/>
                <w:sz w:val="22"/>
                <w:szCs w:val="22"/>
                <w:lang w:val="en-US" w:eastAsia="zh-CN"/>
                <w14:textFill>
                  <w14:solidFill>
                    <w14:schemeClr w14:val="tx1"/>
                  </w14:solidFill>
                </w14:textFill>
              </w:rPr>
              <w:t>127000.00</w:t>
            </w:r>
          </w:p>
        </w:tc>
        <w:tc>
          <w:tcPr>
            <w:tcW w:w="1603"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eastAsia" w:ascii="宋体" w:hAnsi="宋体" w:eastAsia="宋体" w:cs="宋体"/>
                <w:color w:val="000000" w:themeColor="text1"/>
                <w:spacing w:val="-6"/>
                <w:sz w:val="22"/>
                <w:szCs w:val="22"/>
                <w14:textFill>
                  <w14:solidFill>
                    <w14:schemeClr w14:val="tx1"/>
                  </w14:solidFill>
                </w14:textFill>
              </w:rPr>
            </w:pPr>
            <w:r>
              <w:rPr>
                <w:rFonts w:hint="eastAsia" w:ascii="宋体" w:hAnsi="宋体" w:eastAsia="宋体" w:cs="宋体"/>
                <w:color w:val="000000" w:themeColor="text1"/>
                <w:spacing w:val="-6"/>
                <w:sz w:val="22"/>
                <w:szCs w:val="22"/>
                <w14:textFill>
                  <w14:solidFill>
                    <w14:schemeClr w14:val="tx1"/>
                  </w14:solidFill>
                </w14:textFill>
              </w:rPr>
              <w:t>是</w:t>
            </w:r>
          </w:p>
        </w:tc>
        <w:tc>
          <w:tcPr>
            <w:tcW w:w="1598"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eastAsia" w:ascii="宋体" w:hAnsi="宋体" w:eastAsia="宋体" w:cs="宋体"/>
                <w:color w:val="000000" w:themeColor="text1"/>
                <w:spacing w:val="-6"/>
                <w:sz w:val="22"/>
                <w:szCs w:val="22"/>
                <w:lang w:val="en-US" w:eastAsia="zh-CN"/>
                <w14:textFill>
                  <w14:solidFill>
                    <w14:schemeClr w14:val="tx1"/>
                  </w14:solidFill>
                </w14:textFill>
              </w:rPr>
            </w:pPr>
            <w:r>
              <w:rPr>
                <w:rFonts w:hint="eastAsia" w:ascii="宋体" w:hAnsi="宋体" w:eastAsia="宋体" w:cs="宋体"/>
                <w:color w:val="000000" w:themeColor="text1"/>
                <w:spacing w:val="-6"/>
                <w:sz w:val="22"/>
                <w:szCs w:val="22"/>
                <w:lang w:val="en-US" w:eastAsia="zh-CN"/>
                <w14:textFill>
                  <w14:solidFill>
                    <w14:schemeClr w14:val="tx1"/>
                  </w14:solidFill>
                </w14:textFill>
              </w:rPr>
              <w:t>127000.00</w:t>
            </w:r>
          </w:p>
        </w:tc>
      </w:tr>
    </w:tbl>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5、</w:t>
      </w:r>
      <w:r>
        <w:rPr>
          <w:rFonts w:hint="eastAsia" w:ascii="宋体" w:hAnsi="宋体" w:eastAsia="宋体" w:cs="宋体"/>
          <w:spacing w:val="-4"/>
          <w:sz w:val="22"/>
          <w:szCs w:val="22"/>
          <w:lang w:eastAsia="zh-CN"/>
        </w:rPr>
        <w:t>服务内容与要求</w:t>
      </w:r>
      <w:r>
        <w:rPr>
          <w:rFonts w:hint="eastAsia" w:ascii="宋体" w:hAnsi="宋体" w:eastAsia="宋体" w:cs="宋体"/>
          <w:spacing w:val="-4"/>
          <w:sz w:val="22"/>
          <w:szCs w:val="22"/>
        </w:rPr>
        <w:t>(包括目标、标准、数量、规格、服务要求、验收标准等) ：</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default" w:ascii="宋体" w:hAnsi="宋体" w:eastAsia="宋体" w:cs="宋体"/>
          <w:spacing w:val="-4"/>
          <w:sz w:val="22"/>
          <w:szCs w:val="22"/>
          <w:lang w:val="en-US" w:eastAsia="zh-CN"/>
        </w:rPr>
      </w:pPr>
      <w:r>
        <w:rPr>
          <w:rFonts w:hint="eastAsia" w:ascii="宋体" w:hAnsi="宋体" w:eastAsia="宋体" w:cs="宋体"/>
          <w:spacing w:val="-4"/>
          <w:sz w:val="22"/>
          <w:szCs w:val="22"/>
        </w:rPr>
        <w:t>5.1、项目内容：第一标段: 食品安全抽检 350 批</w:t>
      </w:r>
      <w:r>
        <w:rPr>
          <w:rFonts w:hint="eastAsia" w:ascii="宋体" w:hAnsi="宋体" w:eastAsia="宋体" w:cs="宋体"/>
          <w:spacing w:val="-4"/>
          <w:sz w:val="22"/>
          <w:szCs w:val="22"/>
          <w:lang w:eastAsia="zh-CN"/>
        </w:rPr>
        <w:t>；</w:t>
      </w:r>
      <w:r>
        <w:rPr>
          <w:rFonts w:hint="eastAsia" w:ascii="宋体" w:hAnsi="宋体" w:eastAsia="宋体" w:cs="宋体"/>
          <w:spacing w:val="-4"/>
          <w:sz w:val="22"/>
          <w:szCs w:val="22"/>
        </w:rPr>
        <w:t>第二标段: 食品安全抽检 350 批</w:t>
      </w:r>
      <w:r>
        <w:rPr>
          <w:rFonts w:hint="eastAsia" w:ascii="宋体" w:hAnsi="宋体" w:eastAsia="宋体" w:cs="宋体"/>
          <w:spacing w:val="-4"/>
          <w:sz w:val="22"/>
          <w:szCs w:val="22"/>
          <w:lang w:eastAsia="zh-CN"/>
        </w:rPr>
        <w:t>；</w:t>
      </w:r>
      <w:r>
        <w:rPr>
          <w:rFonts w:hint="eastAsia" w:ascii="宋体" w:hAnsi="宋体" w:eastAsia="宋体" w:cs="宋体"/>
          <w:spacing w:val="-4"/>
          <w:sz w:val="22"/>
          <w:szCs w:val="22"/>
        </w:rPr>
        <w:t>第三标段:食品安全抽检250批</w:t>
      </w:r>
      <w:r>
        <w:rPr>
          <w:rFonts w:hint="eastAsia" w:ascii="宋体" w:hAnsi="宋体" w:eastAsia="宋体" w:cs="宋体"/>
          <w:spacing w:val="-4"/>
          <w:sz w:val="22"/>
          <w:szCs w:val="22"/>
          <w:lang w:eastAsia="zh-CN"/>
        </w:rPr>
        <w:t>；</w:t>
      </w:r>
      <w:r>
        <w:rPr>
          <w:rFonts w:hint="eastAsia" w:ascii="宋体" w:hAnsi="宋体" w:eastAsia="宋体" w:cs="宋体"/>
          <w:spacing w:val="-4"/>
          <w:sz w:val="22"/>
          <w:szCs w:val="22"/>
        </w:rPr>
        <w:t>第四标段:食品安全抽检250批</w:t>
      </w:r>
      <w:r>
        <w:rPr>
          <w:rFonts w:hint="eastAsia" w:ascii="宋体" w:hAnsi="宋体" w:eastAsia="宋体" w:cs="宋体"/>
          <w:spacing w:val="-4"/>
          <w:sz w:val="22"/>
          <w:szCs w:val="22"/>
          <w:lang w:eastAsia="zh-CN"/>
        </w:rPr>
        <w:t>；采购内容为:针对粮食加工产品、禽肉类、蔬菜类等进行安全抽检项目</w:t>
      </w:r>
      <w:r>
        <w:rPr>
          <w:rFonts w:hint="eastAsia" w:ascii="宋体" w:hAnsi="宋体" w:eastAsia="宋体" w:cs="宋体"/>
          <w:spacing w:val="-4"/>
          <w:sz w:val="22"/>
          <w:szCs w:val="22"/>
          <w:lang w:val="en-US" w:eastAsia="zh-CN"/>
        </w:rPr>
        <w:t>（详见服务内容与要求）；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5.2、标段划分：</w:t>
      </w:r>
      <w:r>
        <w:rPr>
          <w:rFonts w:hint="eastAsia" w:ascii="宋体" w:hAnsi="宋体" w:eastAsia="宋体" w:cs="宋体"/>
          <w:spacing w:val="-4"/>
          <w:sz w:val="22"/>
          <w:szCs w:val="22"/>
          <w:lang w:val="en-US" w:eastAsia="zh-CN"/>
        </w:rPr>
        <w:t>4</w:t>
      </w:r>
      <w:r>
        <w:rPr>
          <w:rFonts w:hint="eastAsia" w:ascii="宋体" w:hAnsi="宋体" w:eastAsia="宋体" w:cs="宋体"/>
          <w:spacing w:val="-4"/>
          <w:sz w:val="22"/>
          <w:szCs w:val="22"/>
        </w:rPr>
        <w:t>个标段；</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5.3、资金来源：</w:t>
      </w:r>
      <w:r>
        <w:rPr>
          <w:rFonts w:hint="eastAsia" w:ascii="宋体" w:hAnsi="宋体" w:eastAsia="宋体" w:cs="宋体"/>
          <w:spacing w:val="-4"/>
          <w:sz w:val="22"/>
          <w:szCs w:val="22"/>
          <w:lang w:val="en-US" w:eastAsia="zh-CN"/>
        </w:rPr>
        <w:t>财政资金</w:t>
      </w:r>
      <w:r>
        <w:rPr>
          <w:rFonts w:hint="eastAsia" w:ascii="宋体" w:hAnsi="宋体" w:eastAsia="宋体" w:cs="宋体"/>
          <w:spacing w:val="-4"/>
          <w:sz w:val="22"/>
          <w:szCs w:val="22"/>
        </w:rPr>
        <w:t>；</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5.4、质量要求：合格，符合国家相关规范要求；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lang w:eastAsia="zh-CN"/>
        </w:rPr>
      </w:pPr>
      <w:r>
        <w:rPr>
          <w:rFonts w:hint="eastAsia" w:ascii="宋体" w:hAnsi="宋体" w:eastAsia="宋体" w:cs="宋体"/>
          <w:spacing w:val="-4"/>
          <w:sz w:val="22"/>
          <w:szCs w:val="22"/>
        </w:rPr>
        <w:t>5.</w:t>
      </w:r>
      <w:r>
        <w:rPr>
          <w:rFonts w:hint="eastAsia" w:ascii="宋体" w:hAnsi="宋体" w:eastAsia="宋体" w:cs="宋体"/>
          <w:spacing w:val="-4"/>
          <w:sz w:val="22"/>
          <w:szCs w:val="22"/>
          <w:lang w:val="en-US" w:eastAsia="zh-CN"/>
        </w:rPr>
        <w:t>5</w:t>
      </w:r>
      <w:r>
        <w:rPr>
          <w:rFonts w:hint="eastAsia" w:ascii="宋体" w:hAnsi="宋体" w:eastAsia="宋体" w:cs="宋体"/>
          <w:spacing w:val="-4"/>
          <w:sz w:val="22"/>
          <w:szCs w:val="22"/>
        </w:rPr>
        <w:t>、服务</w:t>
      </w:r>
      <w:r>
        <w:rPr>
          <w:rFonts w:hint="eastAsia" w:ascii="宋体" w:hAnsi="宋体" w:eastAsia="宋体" w:cs="宋体"/>
          <w:spacing w:val="-4"/>
          <w:sz w:val="22"/>
          <w:szCs w:val="22"/>
          <w:lang w:val="en-US" w:eastAsia="zh-CN"/>
        </w:rPr>
        <w:t>期</w:t>
      </w:r>
      <w:r>
        <w:rPr>
          <w:rFonts w:hint="eastAsia" w:ascii="宋体" w:hAnsi="宋体" w:eastAsia="宋体" w:cs="宋体"/>
          <w:spacing w:val="-4"/>
          <w:sz w:val="22"/>
          <w:szCs w:val="22"/>
        </w:rPr>
        <w:t>：合同签订后，须在</w:t>
      </w:r>
      <w:r>
        <w:rPr>
          <w:rFonts w:hint="eastAsia" w:ascii="宋体" w:hAnsi="宋体" w:eastAsia="宋体" w:cs="宋体"/>
          <w:color w:val="000000" w:themeColor="text1"/>
          <w:spacing w:val="-4"/>
          <w:sz w:val="22"/>
          <w:szCs w:val="22"/>
          <w14:textFill>
            <w14:solidFill>
              <w14:schemeClr w14:val="tx1"/>
            </w14:solidFill>
          </w14:textFill>
        </w:rPr>
        <w:t xml:space="preserve"> 20</w:t>
      </w:r>
      <w:r>
        <w:rPr>
          <w:rFonts w:hint="eastAsia" w:ascii="宋体" w:hAnsi="宋体" w:eastAsia="宋体" w:cs="宋体"/>
          <w:color w:val="000000" w:themeColor="text1"/>
          <w:spacing w:val="-4"/>
          <w:sz w:val="22"/>
          <w:szCs w:val="22"/>
          <w:lang w:val="en-US" w:eastAsia="zh-CN"/>
          <w14:textFill>
            <w14:solidFill>
              <w14:schemeClr w14:val="tx1"/>
            </w14:solidFill>
          </w14:textFill>
        </w:rPr>
        <w:t>24</w:t>
      </w:r>
      <w:r>
        <w:rPr>
          <w:rFonts w:hint="eastAsia" w:ascii="宋体" w:hAnsi="宋体" w:eastAsia="宋体" w:cs="宋体"/>
          <w:color w:val="000000" w:themeColor="text1"/>
          <w:spacing w:val="-4"/>
          <w:sz w:val="22"/>
          <w:szCs w:val="22"/>
          <w14:textFill>
            <w14:solidFill>
              <w14:schemeClr w14:val="tx1"/>
            </w14:solidFill>
          </w14:textFill>
        </w:rPr>
        <w:t xml:space="preserve">年 12 月 </w:t>
      </w:r>
      <w:r>
        <w:rPr>
          <w:rFonts w:hint="eastAsia" w:ascii="宋体" w:hAnsi="宋体" w:eastAsia="宋体" w:cs="宋体"/>
          <w:color w:val="000000" w:themeColor="text1"/>
          <w:spacing w:val="-4"/>
          <w:sz w:val="22"/>
          <w:szCs w:val="22"/>
          <w:lang w:val="en-US" w:eastAsia="zh-CN"/>
          <w14:textFill>
            <w14:solidFill>
              <w14:schemeClr w14:val="tx1"/>
            </w14:solidFill>
          </w14:textFill>
        </w:rPr>
        <w:t>25</w:t>
      </w:r>
      <w:r>
        <w:rPr>
          <w:rFonts w:hint="eastAsia" w:ascii="宋体" w:hAnsi="宋体" w:eastAsia="宋体" w:cs="宋体"/>
          <w:color w:val="000000" w:themeColor="text1"/>
          <w:spacing w:val="-4"/>
          <w:sz w:val="22"/>
          <w:szCs w:val="22"/>
          <w14:textFill>
            <w14:solidFill>
              <w14:schemeClr w14:val="tx1"/>
            </w14:solidFill>
          </w14:textFill>
        </w:rPr>
        <w:t xml:space="preserve"> 日</w:t>
      </w:r>
      <w:r>
        <w:rPr>
          <w:rFonts w:hint="eastAsia" w:ascii="宋体" w:hAnsi="宋体" w:eastAsia="宋体" w:cs="宋体"/>
          <w:spacing w:val="-4"/>
          <w:sz w:val="22"/>
          <w:szCs w:val="22"/>
        </w:rPr>
        <w:t>前完成全部检验工作</w:t>
      </w:r>
      <w:r>
        <w:rPr>
          <w:rFonts w:hint="eastAsia" w:ascii="宋体" w:hAnsi="宋体" w:eastAsia="宋体" w:cs="宋体"/>
          <w:spacing w:val="-4"/>
          <w:sz w:val="22"/>
          <w:szCs w:val="2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default" w:ascii="宋体" w:hAnsi="宋体" w:eastAsia="宋体" w:cs="宋体"/>
          <w:spacing w:val="-4"/>
          <w:sz w:val="22"/>
          <w:szCs w:val="22"/>
          <w:lang w:val="en-US" w:eastAsia="zh-CN"/>
        </w:rPr>
      </w:pPr>
      <w:r>
        <w:rPr>
          <w:rFonts w:hint="eastAsia" w:ascii="宋体" w:hAnsi="宋体" w:eastAsia="宋体" w:cs="宋体"/>
          <w:spacing w:val="-4"/>
          <w:sz w:val="22"/>
          <w:szCs w:val="22"/>
        </w:rPr>
        <w:t>6、合同履行期限：</w:t>
      </w:r>
      <w:r>
        <w:rPr>
          <w:rFonts w:hint="eastAsia" w:ascii="宋体" w:hAnsi="宋体" w:eastAsia="宋体" w:cs="宋体"/>
          <w:spacing w:val="-4"/>
          <w:sz w:val="22"/>
          <w:szCs w:val="22"/>
          <w:lang w:val="en-US" w:eastAsia="zh-CN"/>
        </w:rPr>
        <w:t>同“服务期”</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7、本项目是否接受联合体投标：否</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8、是否接受进口产品：否</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9、是否专门面向中小企业：是</w:t>
      </w:r>
    </w:p>
    <w:p>
      <w:pPr>
        <w:keepNext w:val="0"/>
        <w:keepLines w:val="0"/>
        <w:pageBreakBefore w:val="0"/>
        <w:widowControl/>
        <w:kinsoku w:val="0"/>
        <w:overflowPunct/>
        <w:topLinePunct w:val="0"/>
        <w:autoSpaceDE w:val="0"/>
        <w:autoSpaceDN w:val="0"/>
        <w:bidi w:val="0"/>
        <w:adjustRightInd w:val="0"/>
        <w:snapToGrid w:val="0"/>
        <w:spacing w:line="218" w:lineRule="auto"/>
        <w:ind w:left="225"/>
        <w:textAlignment w:val="baseline"/>
        <w:outlineLvl w:val="2"/>
        <w:rPr>
          <w:rFonts w:ascii="宋体" w:hAnsi="宋体" w:eastAsia="宋体" w:cs="宋体"/>
          <w:sz w:val="24"/>
          <w:szCs w:val="24"/>
        </w:rPr>
      </w:pPr>
      <w:r>
        <w:rPr>
          <w:rFonts w:ascii="宋体" w:hAnsi="宋体" w:eastAsia="宋体" w:cs="宋体"/>
          <w:spacing w:val="-6"/>
          <w:sz w:val="24"/>
          <w:szCs w:val="24"/>
        </w:rPr>
        <w:t>二</w:t>
      </w:r>
      <w:r>
        <w:rPr>
          <w:rFonts w:ascii="宋体" w:hAnsi="宋体" w:eastAsia="宋体" w:cs="宋体"/>
          <w:spacing w:val="-4"/>
          <w:sz w:val="24"/>
          <w:szCs w:val="24"/>
        </w:rPr>
        <w:t>、</w:t>
      </w:r>
      <w:r>
        <w:rPr>
          <w:rFonts w:hint="eastAsia" w:ascii="宋体" w:hAnsi="宋体" w:eastAsia="宋体" w:cs="宋体"/>
          <w:spacing w:val="-3"/>
          <w:sz w:val="24"/>
          <w:szCs w:val="24"/>
          <w:lang w:eastAsia="zh-CN"/>
        </w:rPr>
        <w:t>供应商</w:t>
      </w:r>
      <w:r>
        <w:rPr>
          <w:rFonts w:ascii="宋体" w:hAnsi="宋体" w:eastAsia="宋体" w:cs="宋体"/>
          <w:spacing w:val="-3"/>
          <w:sz w:val="24"/>
          <w:szCs w:val="24"/>
        </w:rPr>
        <w:t>资格要求：</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1、满足《中华人民共和国政府采购法》第二十二条规定；</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2、落实政府采购政策满足的资格要求：</w:t>
      </w:r>
    </w:p>
    <w:p>
      <w:pPr>
        <w:keepNext w:val="0"/>
        <w:keepLines w:val="0"/>
        <w:pageBreakBefore w:val="0"/>
        <w:widowControl/>
        <w:kinsoku w:val="0"/>
        <w:wordWrap/>
        <w:overflowPunct/>
        <w:topLinePunct w:val="0"/>
        <w:autoSpaceDE w:val="0"/>
        <w:autoSpaceDN w:val="0"/>
        <w:bidi w:val="0"/>
        <w:adjustRightInd w:val="0"/>
        <w:snapToGrid w:val="0"/>
        <w:spacing w:line="440" w:lineRule="exact"/>
        <w:ind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本项目执行促进中小型企业发展政策(残疾人福利性企业、监狱企业视同小微企业)</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3、本项目的特定资格要求</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spacing w:val="-4"/>
          <w:sz w:val="22"/>
          <w:szCs w:val="22"/>
        </w:rPr>
        <w:t>3.1、</w:t>
      </w:r>
      <w:r>
        <w:rPr>
          <w:rFonts w:hint="eastAsia" w:ascii="宋体" w:hAnsi="宋体" w:eastAsia="宋体" w:cs="宋体"/>
          <w:color w:val="auto"/>
          <w:spacing w:val="-4"/>
          <w:sz w:val="22"/>
          <w:szCs w:val="22"/>
          <w:lang w:eastAsia="zh-CN"/>
        </w:rPr>
        <w:t>供应商</w:t>
      </w:r>
      <w:r>
        <w:rPr>
          <w:rFonts w:hint="eastAsia" w:ascii="宋体" w:hAnsi="宋体" w:eastAsia="宋体" w:cs="宋体"/>
          <w:color w:val="auto"/>
          <w:spacing w:val="-4"/>
          <w:sz w:val="22"/>
          <w:szCs w:val="22"/>
        </w:rPr>
        <w:t>具有独立法人资格，具有有效的营业执照、税务登记证、组织机构代码(或提供</w:t>
      </w:r>
      <w:r>
        <w:rPr>
          <w:rFonts w:hint="eastAsia" w:ascii="宋体" w:hAnsi="宋体" w:eastAsia="宋体" w:cs="宋体"/>
          <w:color w:val="auto"/>
          <w:spacing w:val="-4"/>
          <w:sz w:val="22"/>
          <w:szCs w:val="22"/>
          <w:lang w:val="en-US" w:eastAsia="zh-CN"/>
        </w:rPr>
        <w:t>.</w:t>
      </w:r>
      <w:r>
        <w:rPr>
          <w:rFonts w:hint="eastAsia" w:ascii="宋体" w:hAnsi="宋体" w:eastAsia="宋体" w:cs="宋体"/>
          <w:color w:val="auto"/>
          <w:spacing w:val="-4"/>
          <w:sz w:val="22"/>
          <w:szCs w:val="22"/>
        </w:rPr>
        <w:t>统一社会 信用代码三证合一的营业执照)；</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3.2 供应商应具备有效的标识含食品的资质认定计量认证证书（CMA），且证书合法有效；供应商具备所有检验项目的法定检验资质（须提供证书及已取得认证项目目录）</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3.3 具有履行合同所必需的设备和专业技术能力。(①近三年未发生过重大食品检验事故；②在中华人民共和国境内具有固定的能够独立运行的实验场所，能满足本项目要求的承检任务需要；③能保证食品抽样检 验工作的连续性和稳定定性，本单位具有足够满足本次抽检任务的专业技术人员，并在响应文件中做出承诺；</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 xml:space="preserve">3.4 </w:t>
      </w:r>
      <w:r>
        <w:rPr>
          <w:rFonts w:hint="eastAsia" w:ascii="宋体" w:hAnsi="宋体" w:eastAsia="宋体" w:cs="宋体"/>
          <w:spacing w:val="-4"/>
          <w:sz w:val="22"/>
          <w:szCs w:val="22"/>
          <w:lang w:eastAsia="zh-CN"/>
        </w:rPr>
        <w:t>供应商</w:t>
      </w:r>
      <w:r>
        <w:rPr>
          <w:rFonts w:hint="eastAsia" w:ascii="宋体" w:hAnsi="宋体" w:eastAsia="宋体" w:cs="宋体"/>
          <w:spacing w:val="-4"/>
          <w:sz w:val="22"/>
          <w:szCs w:val="22"/>
        </w:rPr>
        <w:t>须出具参加政府采购活动前 3 年内在经营活动中没有重大违法记录的书面声明（新成立的企业从成立之日起）。</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3.</w:t>
      </w:r>
      <w:r>
        <w:rPr>
          <w:rFonts w:hint="eastAsia" w:ascii="宋体" w:hAnsi="宋体" w:eastAsia="宋体" w:cs="宋体"/>
          <w:spacing w:val="-4"/>
          <w:sz w:val="22"/>
          <w:szCs w:val="22"/>
          <w:lang w:val="en-US" w:eastAsia="zh-CN"/>
        </w:rPr>
        <w:t>5</w:t>
      </w:r>
      <w:r>
        <w:rPr>
          <w:rFonts w:hint="eastAsia" w:ascii="宋体" w:hAnsi="宋体" w:eastAsia="宋体" w:cs="宋体"/>
          <w:spacing w:val="-4"/>
          <w:sz w:val="22"/>
          <w:szCs w:val="22"/>
        </w:rPr>
        <w:t>、供应商需提供无行贿犯罪记录承诺函（承诺对象包括：供应商、法定代表人、授权委托人）,并对其真实性负责，若承诺不实，造成的后果由供应商自行负责。经公检法司、纪检监察、行政监督部门查证“以向招标人或者评标委员会成员行贿的手段谋取中标的”投标企业不得参与本项目投标。</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3.</w:t>
      </w:r>
      <w:r>
        <w:rPr>
          <w:rFonts w:hint="eastAsia" w:ascii="宋体" w:hAnsi="宋体" w:eastAsia="宋体" w:cs="宋体"/>
          <w:spacing w:val="-4"/>
          <w:sz w:val="22"/>
          <w:szCs w:val="22"/>
          <w:lang w:val="en-US" w:eastAsia="zh-CN"/>
        </w:rPr>
        <w:t>6</w:t>
      </w:r>
      <w:r>
        <w:rPr>
          <w:rFonts w:hint="eastAsia" w:ascii="宋体" w:hAnsi="宋体" w:eastAsia="宋体" w:cs="宋体"/>
          <w:spacing w:val="-4"/>
          <w:sz w:val="22"/>
          <w:szCs w:val="22"/>
        </w:rPr>
        <w:t>、根据《关于在政府采购活动中查询及使用信用记录有关问题的通知》 (财库[2016]125 号) 的规定，对列入失信被执行人、重大税收违法失信主体、政府采购严重违法失信行为记录名单的供应商，不得参与本项目采购活动，</w:t>
      </w:r>
      <w:r>
        <w:rPr>
          <w:rFonts w:hint="eastAsia" w:ascii="宋体" w:hAnsi="宋体" w:eastAsia="宋体" w:cs="宋体"/>
          <w:spacing w:val="-4"/>
          <w:sz w:val="22"/>
          <w:szCs w:val="22"/>
          <w:lang w:eastAsia="zh-CN"/>
        </w:rPr>
        <w:t>供应商</w:t>
      </w:r>
      <w:r>
        <w:rPr>
          <w:rFonts w:hint="eastAsia" w:ascii="宋体" w:hAnsi="宋体" w:eastAsia="宋体" w:cs="宋体"/>
          <w:spacing w:val="-4"/>
          <w:sz w:val="22"/>
          <w:szCs w:val="22"/>
        </w:rPr>
        <w:t>须提供信用报告（信用报告从“信用中国”网站下载，生成日期不得早于公告发布日期）。注：供应商应通过“信用中国”网站（www.creditchina.gov.cn）查询“失信被执行人”、“重大税收违法失信主体”，中国政府采购网（www.ccgp.gov.cn）查询“政府采购严重违法失信行为记录名单”渠道查询自身信用记录，查询时间需在本招标公告发布之后；</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3.</w:t>
      </w:r>
      <w:r>
        <w:rPr>
          <w:rFonts w:hint="eastAsia" w:ascii="宋体" w:hAnsi="宋体" w:eastAsia="宋体" w:cs="宋体"/>
          <w:spacing w:val="-4"/>
          <w:sz w:val="22"/>
          <w:szCs w:val="22"/>
          <w:lang w:val="en-US" w:eastAsia="zh-CN"/>
        </w:rPr>
        <w:t>7</w:t>
      </w:r>
      <w:r>
        <w:rPr>
          <w:rFonts w:hint="eastAsia" w:ascii="宋体" w:hAnsi="宋体" w:eastAsia="宋体" w:cs="宋体"/>
          <w:spacing w:val="-4"/>
          <w:sz w:val="22"/>
          <w:szCs w:val="22"/>
        </w:rPr>
        <w:t>、本项目不接受联合体投标，不得分包转包。</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*注：</w:t>
      </w:r>
      <w:r>
        <w:rPr>
          <w:rFonts w:hint="eastAsia" w:ascii="宋体" w:hAnsi="宋体" w:eastAsia="宋体" w:cs="宋体"/>
          <w:spacing w:val="-4"/>
          <w:sz w:val="22"/>
          <w:szCs w:val="22"/>
          <w:lang w:eastAsia="zh-CN"/>
        </w:rPr>
        <w:t>供应商</w:t>
      </w:r>
      <w:r>
        <w:rPr>
          <w:rFonts w:hint="eastAsia" w:ascii="宋体" w:hAnsi="宋体" w:eastAsia="宋体" w:cs="宋体"/>
          <w:spacing w:val="-4"/>
          <w:sz w:val="22"/>
          <w:szCs w:val="22"/>
        </w:rPr>
        <w:t>可就本项目上述标段中的多个标段进行投标，但只能中一个标段，</w:t>
      </w:r>
      <w:r>
        <w:rPr>
          <w:rFonts w:hint="eastAsia" w:ascii="宋体" w:hAnsi="宋体" w:eastAsia="宋体" w:cs="宋体"/>
          <w:spacing w:val="-4"/>
          <w:sz w:val="22"/>
          <w:szCs w:val="22"/>
          <w:lang w:eastAsia="zh-CN"/>
        </w:rPr>
        <w:t>供应商</w:t>
      </w:r>
      <w:r>
        <w:rPr>
          <w:rFonts w:hint="eastAsia" w:ascii="宋体" w:hAnsi="宋体" w:eastAsia="宋体" w:cs="宋体"/>
          <w:spacing w:val="-4"/>
          <w:sz w:val="22"/>
          <w:szCs w:val="22"/>
        </w:rPr>
        <w:t>如果同时在多个标段排名第一，可按标段顺序中标,其他中标标段第二名顺延为中标候选人，以此类推。</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424" w:firstLineChars="200"/>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3.</w:t>
      </w:r>
      <w:r>
        <w:rPr>
          <w:rFonts w:hint="eastAsia" w:ascii="宋体" w:hAnsi="宋体" w:eastAsia="宋体" w:cs="宋体"/>
          <w:spacing w:val="-4"/>
          <w:sz w:val="22"/>
          <w:szCs w:val="22"/>
          <w:lang w:val="en-US" w:eastAsia="zh-CN"/>
        </w:rPr>
        <w:t>8</w:t>
      </w:r>
      <w:r>
        <w:rPr>
          <w:rFonts w:hint="eastAsia" w:ascii="宋体" w:hAnsi="宋体" w:eastAsia="宋体" w:cs="宋体"/>
          <w:spacing w:val="-4"/>
          <w:sz w:val="22"/>
          <w:szCs w:val="22"/>
        </w:rPr>
        <w:t>、本项目实行资格后审，审查内容以投标截止时间 24 小时前填报上传的企业诚信库信息为准，过期更改的诚信库信息不作为本项目评审依据。诚信库上传信息必须内容齐全，真实有效，原件扫描件清晰可辨。否则，由此造成应得分而未得分或资格审查不合格等情况的，由投标企业自行承担责任；</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424" w:firstLineChars="200"/>
        <w:textAlignment w:val="baseline"/>
        <w:rPr>
          <w:rFonts w:ascii="宋体" w:hAnsi="宋体" w:eastAsia="宋体" w:cs="宋体"/>
          <w:spacing w:val="-4"/>
          <w:sz w:val="22"/>
          <w:szCs w:val="22"/>
        </w:rPr>
      </w:pPr>
      <w:r>
        <w:rPr>
          <w:rFonts w:hint="eastAsia" w:ascii="宋体" w:hAnsi="宋体" w:eastAsia="宋体" w:cs="宋体"/>
          <w:spacing w:val="-4"/>
          <w:sz w:val="22"/>
          <w:szCs w:val="22"/>
        </w:rPr>
        <w:t>3.</w:t>
      </w:r>
      <w:r>
        <w:rPr>
          <w:rFonts w:hint="eastAsia" w:ascii="宋体" w:hAnsi="宋体" w:eastAsia="宋体" w:cs="宋体"/>
          <w:spacing w:val="-4"/>
          <w:sz w:val="22"/>
          <w:szCs w:val="22"/>
          <w:lang w:val="en-US" w:eastAsia="zh-CN"/>
        </w:rPr>
        <w:t>9</w:t>
      </w:r>
      <w:r>
        <w:rPr>
          <w:rFonts w:hint="eastAsia" w:ascii="宋体" w:hAnsi="宋体" w:eastAsia="宋体" w:cs="宋体"/>
          <w:spacing w:val="-4"/>
          <w:sz w:val="22"/>
          <w:szCs w:val="22"/>
        </w:rPr>
        <w:t>、本项目评标结果公示时，同时公示中标候选人诚信库信息，接受社会监督。</w:t>
      </w:r>
    </w:p>
    <w:p>
      <w:pPr>
        <w:keepNext w:val="0"/>
        <w:keepLines w:val="0"/>
        <w:pageBreakBefore w:val="0"/>
        <w:widowControl/>
        <w:kinsoku w:val="0"/>
        <w:overflowPunct/>
        <w:topLinePunct w:val="0"/>
        <w:autoSpaceDE w:val="0"/>
        <w:autoSpaceDN w:val="0"/>
        <w:bidi w:val="0"/>
        <w:adjustRightInd w:val="0"/>
        <w:snapToGrid w:val="0"/>
        <w:spacing w:line="219" w:lineRule="auto"/>
        <w:ind w:left="224"/>
        <w:textAlignment w:val="baseline"/>
        <w:outlineLvl w:val="2"/>
        <w:rPr>
          <w:rFonts w:ascii="宋体" w:hAnsi="宋体" w:eastAsia="宋体" w:cs="宋体"/>
          <w:sz w:val="24"/>
          <w:szCs w:val="24"/>
        </w:rPr>
      </w:pPr>
      <w:r>
        <w:rPr>
          <w:rFonts w:ascii="宋体" w:hAnsi="宋体" w:eastAsia="宋体" w:cs="宋体"/>
          <w:spacing w:val="-1"/>
          <w:sz w:val="24"/>
          <w:szCs w:val="24"/>
        </w:rPr>
        <w:t>三、获</w:t>
      </w:r>
      <w:r>
        <w:rPr>
          <w:rFonts w:ascii="宋体" w:hAnsi="宋体" w:eastAsia="宋体" w:cs="宋体"/>
          <w:sz w:val="24"/>
          <w:szCs w:val="24"/>
        </w:rPr>
        <w:t>取采购文件</w:t>
      </w:r>
    </w:p>
    <w:p>
      <w:pPr>
        <w:keepNext w:val="0"/>
        <w:keepLines w:val="0"/>
        <w:pageBreakBefore w:val="0"/>
        <w:widowControl/>
        <w:kinsoku w:val="0"/>
        <w:overflowPunct/>
        <w:topLinePunct w:val="0"/>
        <w:autoSpaceDE w:val="0"/>
        <w:autoSpaceDN w:val="0"/>
        <w:bidi w:val="0"/>
        <w:adjustRightInd w:val="0"/>
        <w:snapToGrid w:val="0"/>
        <w:spacing w:line="302" w:lineRule="auto"/>
        <w:ind w:left="3" w:firstLine="443"/>
        <w:textAlignment w:val="baseline"/>
        <w:rPr>
          <w:rFonts w:ascii="宋体" w:hAnsi="宋体" w:eastAsia="宋体" w:cs="宋体"/>
          <w:spacing w:val="-1"/>
          <w:sz w:val="22"/>
          <w:szCs w:val="22"/>
        </w:rPr>
      </w:pPr>
      <w:r>
        <w:rPr>
          <w:rFonts w:ascii="宋体" w:hAnsi="宋体" w:eastAsia="宋体" w:cs="宋体"/>
          <w:color w:val="FF0000"/>
          <w:spacing w:val="-1"/>
          <w:sz w:val="22"/>
          <w:szCs w:val="22"/>
        </w:rPr>
        <w:t>1.时间： 202</w:t>
      </w:r>
      <w:r>
        <w:rPr>
          <w:rFonts w:hint="eastAsia" w:ascii="宋体" w:hAnsi="宋体" w:eastAsia="宋体" w:cs="宋体"/>
          <w:color w:val="FF0000"/>
          <w:spacing w:val="-1"/>
          <w:sz w:val="22"/>
          <w:szCs w:val="22"/>
          <w:lang w:val="en-US" w:eastAsia="zh-CN"/>
        </w:rPr>
        <w:t>4</w:t>
      </w:r>
      <w:r>
        <w:rPr>
          <w:rFonts w:ascii="宋体" w:hAnsi="宋体" w:eastAsia="宋体" w:cs="宋体"/>
          <w:color w:val="FF0000"/>
          <w:spacing w:val="-1"/>
          <w:sz w:val="22"/>
          <w:szCs w:val="22"/>
        </w:rPr>
        <w:t>年</w:t>
      </w:r>
      <w:r>
        <w:rPr>
          <w:rFonts w:hint="eastAsia" w:ascii="宋体" w:hAnsi="宋体" w:eastAsia="宋体" w:cs="宋体"/>
          <w:color w:val="FF0000"/>
          <w:spacing w:val="-1"/>
          <w:sz w:val="22"/>
          <w:szCs w:val="22"/>
          <w:lang w:val="en-US" w:eastAsia="zh-CN"/>
        </w:rPr>
        <w:t>6</w:t>
      </w:r>
      <w:r>
        <w:rPr>
          <w:rFonts w:ascii="宋体" w:hAnsi="宋体" w:eastAsia="宋体" w:cs="宋体"/>
          <w:color w:val="FF0000"/>
          <w:spacing w:val="-1"/>
          <w:sz w:val="22"/>
          <w:szCs w:val="22"/>
        </w:rPr>
        <w:t>月</w:t>
      </w:r>
      <w:r>
        <w:rPr>
          <w:rFonts w:hint="eastAsia" w:ascii="宋体" w:hAnsi="宋体" w:eastAsia="宋体" w:cs="宋体"/>
          <w:color w:val="FF0000"/>
          <w:spacing w:val="-1"/>
          <w:sz w:val="22"/>
          <w:szCs w:val="22"/>
          <w:lang w:val="en-US" w:eastAsia="zh-CN"/>
        </w:rPr>
        <w:t>15</w:t>
      </w:r>
      <w:r>
        <w:rPr>
          <w:rFonts w:ascii="宋体" w:hAnsi="宋体" w:eastAsia="宋体" w:cs="宋体"/>
          <w:color w:val="FF0000"/>
          <w:spacing w:val="-1"/>
          <w:sz w:val="22"/>
          <w:szCs w:val="22"/>
        </w:rPr>
        <w:t>日至</w:t>
      </w:r>
      <w:r>
        <w:rPr>
          <w:rFonts w:hint="eastAsia" w:ascii="宋体" w:hAnsi="宋体" w:eastAsia="宋体" w:cs="宋体"/>
          <w:color w:val="FF0000"/>
          <w:spacing w:val="-1"/>
          <w:sz w:val="22"/>
          <w:szCs w:val="22"/>
          <w:lang w:val="en-US" w:eastAsia="zh-CN"/>
        </w:rPr>
        <w:t xml:space="preserve"> </w:t>
      </w:r>
      <w:r>
        <w:rPr>
          <w:rFonts w:ascii="宋体" w:hAnsi="宋体" w:eastAsia="宋体" w:cs="宋体"/>
          <w:color w:val="FF0000"/>
          <w:spacing w:val="-1"/>
          <w:sz w:val="22"/>
          <w:szCs w:val="22"/>
        </w:rPr>
        <w:t>202</w:t>
      </w:r>
      <w:r>
        <w:rPr>
          <w:rFonts w:hint="eastAsia" w:ascii="宋体" w:hAnsi="宋体" w:eastAsia="宋体" w:cs="宋体"/>
          <w:color w:val="FF0000"/>
          <w:spacing w:val="-1"/>
          <w:sz w:val="22"/>
          <w:szCs w:val="22"/>
          <w:lang w:val="en-US" w:eastAsia="zh-CN"/>
        </w:rPr>
        <w:t>4</w:t>
      </w:r>
      <w:r>
        <w:rPr>
          <w:rFonts w:ascii="宋体" w:hAnsi="宋体" w:eastAsia="宋体" w:cs="宋体"/>
          <w:color w:val="FF0000"/>
          <w:spacing w:val="-1"/>
          <w:sz w:val="22"/>
          <w:szCs w:val="22"/>
        </w:rPr>
        <w:t>年</w:t>
      </w:r>
      <w:r>
        <w:rPr>
          <w:rFonts w:hint="eastAsia" w:ascii="宋体" w:hAnsi="宋体" w:eastAsia="宋体" w:cs="宋体"/>
          <w:color w:val="FF0000"/>
          <w:spacing w:val="-1"/>
          <w:sz w:val="22"/>
          <w:szCs w:val="22"/>
          <w:lang w:val="en-US" w:eastAsia="zh-CN"/>
        </w:rPr>
        <w:t>6</w:t>
      </w:r>
      <w:r>
        <w:rPr>
          <w:rFonts w:ascii="宋体" w:hAnsi="宋体" w:eastAsia="宋体" w:cs="宋体"/>
          <w:color w:val="FF0000"/>
          <w:spacing w:val="-1"/>
          <w:sz w:val="22"/>
          <w:szCs w:val="22"/>
        </w:rPr>
        <w:t>月</w:t>
      </w:r>
      <w:r>
        <w:rPr>
          <w:rFonts w:hint="eastAsia" w:ascii="宋体" w:hAnsi="宋体" w:eastAsia="宋体" w:cs="宋体"/>
          <w:color w:val="FF0000"/>
          <w:spacing w:val="-1"/>
          <w:sz w:val="22"/>
          <w:szCs w:val="22"/>
          <w:lang w:val="en-US" w:eastAsia="zh-CN"/>
        </w:rPr>
        <w:t>25</w:t>
      </w:r>
      <w:r>
        <w:rPr>
          <w:rFonts w:ascii="宋体" w:hAnsi="宋体" w:eastAsia="宋体" w:cs="宋体"/>
          <w:color w:val="FF0000"/>
          <w:spacing w:val="-1"/>
          <w:sz w:val="22"/>
          <w:szCs w:val="22"/>
        </w:rPr>
        <w:t>日，每天上午09:00至12:00，下午</w:t>
      </w:r>
      <w:r>
        <w:rPr>
          <w:rFonts w:ascii="宋体" w:hAnsi="宋体" w:eastAsia="宋体" w:cs="宋体"/>
          <w:spacing w:val="-1"/>
          <w:sz w:val="22"/>
          <w:szCs w:val="22"/>
        </w:rPr>
        <w:t>1</w:t>
      </w:r>
      <w:r>
        <w:rPr>
          <w:rFonts w:hint="eastAsia" w:ascii="宋体" w:hAnsi="宋体" w:eastAsia="宋体" w:cs="宋体"/>
          <w:spacing w:val="-1"/>
          <w:sz w:val="22"/>
          <w:szCs w:val="22"/>
          <w:lang w:val="en-US" w:eastAsia="zh-CN"/>
        </w:rPr>
        <w:t>2</w:t>
      </w:r>
      <w:r>
        <w:rPr>
          <w:rFonts w:ascii="宋体" w:hAnsi="宋体" w:eastAsia="宋体" w:cs="宋体"/>
          <w:spacing w:val="-1"/>
          <w:sz w:val="22"/>
          <w:szCs w:val="22"/>
        </w:rPr>
        <w:t>:00至18:00 (北京时间，法定节假日除外。)</w:t>
      </w:r>
    </w:p>
    <w:p>
      <w:pPr>
        <w:keepNext w:val="0"/>
        <w:keepLines w:val="0"/>
        <w:pageBreakBefore w:val="0"/>
        <w:widowControl/>
        <w:kinsoku w:val="0"/>
        <w:overflowPunct/>
        <w:topLinePunct w:val="0"/>
        <w:autoSpaceDE w:val="0"/>
        <w:autoSpaceDN w:val="0"/>
        <w:bidi w:val="0"/>
        <w:adjustRightInd w:val="0"/>
        <w:snapToGrid w:val="0"/>
        <w:spacing w:line="302" w:lineRule="auto"/>
        <w:ind w:left="3" w:firstLine="443"/>
        <w:textAlignment w:val="baseline"/>
        <w:rPr>
          <w:rFonts w:hint="eastAsia" w:ascii="宋体" w:hAnsi="宋体" w:eastAsia="宋体" w:cs="宋体"/>
          <w:spacing w:val="-4"/>
          <w:sz w:val="22"/>
          <w:szCs w:val="22"/>
        </w:rPr>
      </w:pPr>
      <w:r>
        <w:rPr>
          <w:rFonts w:ascii="宋体" w:hAnsi="宋体" w:eastAsia="宋体" w:cs="宋体"/>
          <w:spacing w:val="-1"/>
          <w:sz w:val="22"/>
          <w:szCs w:val="22"/>
        </w:rPr>
        <w:t>2.地点：</w:t>
      </w:r>
      <w:r>
        <w:rPr>
          <w:rFonts w:hint="eastAsia" w:ascii="宋体" w:hAnsi="宋体" w:eastAsia="宋体" w:cs="宋体"/>
          <w:spacing w:val="-4"/>
          <w:sz w:val="22"/>
          <w:szCs w:val="22"/>
        </w:rPr>
        <w:t>全国公共资源交易平台(河南省·淅川县 )</w:t>
      </w:r>
      <w:r>
        <w:rPr>
          <w:rFonts w:hint="eastAsia" w:ascii="宋体" w:hAnsi="宋体" w:eastAsia="宋体" w:cs="宋体"/>
          <w:spacing w:val="-4"/>
          <w:sz w:val="22"/>
          <w:szCs w:val="22"/>
          <w:lang w:eastAsia="zh-CN"/>
        </w:rPr>
        <w:t>（</w:t>
      </w:r>
      <w:r>
        <w:rPr>
          <w:rFonts w:hint="eastAsia" w:ascii="宋体" w:hAnsi="宋体" w:eastAsia="宋体" w:cs="宋体"/>
          <w:spacing w:val="-4"/>
          <w:sz w:val="22"/>
          <w:szCs w:val="22"/>
        </w:rPr>
        <w:t>http://ggzyjy.xichuan.gov.cn/)</w:t>
      </w:r>
    </w:p>
    <w:p>
      <w:pPr>
        <w:keepNext w:val="0"/>
        <w:keepLines w:val="0"/>
        <w:pageBreakBefore w:val="0"/>
        <w:widowControl/>
        <w:kinsoku w:val="0"/>
        <w:overflowPunct/>
        <w:topLinePunct w:val="0"/>
        <w:autoSpaceDE w:val="0"/>
        <w:autoSpaceDN w:val="0"/>
        <w:bidi w:val="0"/>
        <w:adjustRightInd w:val="0"/>
        <w:snapToGrid w:val="0"/>
        <w:spacing w:line="302" w:lineRule="auto"/>
        <w:ind w:left="3" w:firstLine="443"/>
        <w:textAlignment w:val="baseline"/>
        <w:rPr>
          <w:rFonts w:ascii="宋体" w:hAnsi="宋体" w:eastAsia="宋体" w:cs="宋体"/>
          <w:spacing w:val="-1"/>
          <w:sz w:val="22"/>
          <w:szCs w:val="22"/>
        </w:rPr>
      </w:pPr>
      <w:r>
        <w:rPr>
          <w:rFonts w:ascii="宋体" w:hAnsi="宋体" w:eastAsia="宋体" w:cs="宋体"/>
          <w:spacing w:val="-1"/>
          <w:sz w:val="22"/>
          <w:szCs w:val="22"/>
        </w:rPr>
        <w:t>3.方式： 潜在</w:t>
      </w:r>
      <w:r>
        <w:rPr>
          <w:rFonts w:hint="eastAsia" w:ascii="宋体" w:hAnsi="宋体" w:eastAsia="宋体" w:cs="宋体"/>
          <w:spacing w:val="-1"/>
          <w:sz w:val="22"/>
          <w:szCs w:val="22"/>
          <w:lang w:eastAsia="zh-CN"/>
        </w:rPr>
        <w:t>供应商</w:t>
      </w:r>
      <w:r>
        <w:rPr>
          <w:rFonts w:ascii="宋体" w:hAnsi="宋体" w:eastAsia="宋体" w:cs="宋体"/>
          <w:spacing w:val="-1"/>
          <w:sz w:val="22"/>
          <w:szCs w:val="22"/>
        </w:rPr>
        <w:t>登录</w:t>
      </w:r>
      <w:r>
        <w:rPr>
          <w:rFonts w:hint="eastAsia" w:ascii="宋体" w:hAnsi="宋体" w:eastAsia="宋体" w:cs="宋体"/>
          <w:spacing w:val="-4"/>
          <w:sz w:val="22"/>
          <w:szCs w:val="22"/>
        </w:rPr>
        <w:t>全国公共资源交易平台(河南省·淅川县 )</w:t>
      </w:r>
      <w:r>
        <w:rPr>
          <w:rFonts w:hint="eastAsia" w:ascii="宋体" w:hAnsi="宋体" w:eastAsia="宋体" w:cs="宋体"/>
          <w:spacing w:val="-4"/>
          <w:sz w:val="22"/>
          <w:szCs w:val="22"/>
          <w:lang w:eastAsia="zh-CN"/>
        </w:rPr>
        <w:t>（</w:t>
      </w:r>
      <w:r>
        <w:rPr>
          <w:rFonts w:hint="eastAsia" w:ascii="宋体" w:hAnsi="宋体" w:eastAsia="宋体" w:cs="宋体"/>
          <w:spacing w:val="-4"/>
          <w:sz w:val="22"/>
          <w:szCs w:val="22"/>
        </w:rPr>
        <w:t>http://ggzyjy.xichuan.gov.cn/)</w:t>
      </w:r>
      <w:r>
        <w:rPr>
          <w:rFonts w:ascii="宋体" w:hAnsi="宋体" w:eastAsia="宋体" w:cs="宋体"/>
          <w:spacing w:val="-1"/>
          <w:sz w:val="22"/>
          <w:szCs w:val="22"/>
        </w:rPr>
        <w:t xml:space="preserve"> 参与采购项目，可直接下载磋商文件</w:t>
      </w:r>
    </w:p>
    <w:p>
      <w:pPr>
        <w:keepNext w:val="0"/>
        <w:keepLines w:val="0"/>
        <w:pageBreakBefore w:val="0"/>
        <w:widowControl/>
        <w:kinsoku w:val="0"/>
        <w:overflowPunct/>
        <w:topLinePunct w:val="0"/>
        <w:autoSpaceDE w:val="0"/>
        <w:autoSpaceDN w:val="0"/>
        <w:bidi w:val="0"/>
        <w:adjustRightInd w:val="0"/>
        <w:snapToGrid w:val="0"/>
        <w:spacing w:line="302" w:lineRule="auto"/>
        <w:ind w:left="3" w:firstLine="443"/>
        <w:textAlignment w:val="baseline"/>
        <w:rPr>
          <w:rFonts w:ascii="宋体" w:hAnsi="宋体" w:eastAsia="宋体" w:cs="宋体"/>
          <w:spacing w:val="-1"/>
          <w:sz w:val="22"/>
          <w:szCs w:val="22"/>
        </w:rPr>
      </w:pPr>
      <w:r>
        <w:rPr>
          <w:rFonts w:ascii="宋体" w:hAnsi="宋体" w:eastAsia="宋体" w:cs="宋体"/>
          <w:spacing w:val="-1"/>
          <w:sz w:val="22"/>
          <w:szCs w:val="22"/>
        </w:rPr>
        <w:t>4. 售价： 0元</w:t>
      </w:r>
    </w:p>
    <w:p>
      <w:pPr>
        <w:keepNext w:val="0"/>
        <w:keepLines w:val="0"/>
        <w:pageBreakBefore w:val="0"/>
        <w:widowControl/>
        <w:kinsoku w:val="0"/>
        <w:overflowPunct/>
        <w:topLinePunct w:val="0"/>
        <w:autoSpaceDE w:val="0"/>
        <w:autoSpaceDN w:val="0"/>
        <w:bidi w:val="0"/>
        <w:adjustRightInd w:val="0"/>
        <w:snapToGrid w:val="0"/>
        <w:spacing w:line="220" w:lineRule="auto"/>
        <w:ind w:left="246"/>
        <w:textAlignment w:val="baseline"/>
        <w:outlineLvl w:val="2"/>
        <w:rPr>
          <w:rFonts w:ascii="宋体" w:hAnsi="宋体" w:eastAsia="宋体" w:cs="宋体"/>
          <w:color w:val="FF0000"/>
          <w:sz w:val="24"/>
          <w:szCs w:val="24"/>
        </w:rPr>
      </w:pPr>
      <w:r>
        <w:rPr>
          <w:rFonts w:ascii="宋体" w:hAnsi="宋体" w:eastAsia="宋体" w:cs="宋体"/>
          <w:spacing w:val="-5"/>
          <w:sz w:val="24"/>
          <w:szCs w:val="24"/>
        </w:rPr>
        <w:t>四</w:t>
      </w:r>
      <w:r>
        <w:rPr>
          <w:rFonts w:ascii="宋体" w:hAnsi="宋体" w:eastAsia="宋体" w:cs="宋体"/>
          <w:spacing w:val="-3"/>
          <w:sz w:val="24"/>
          <w:szCs w:val="24"/>
        </w:rPr>
        <w:t>、响应文件提交</w:t>
      </w:r>
    </w:p>
    <w:p>
      <w:pPr>
        <w:keepNext w:val="0"/>
        <w:keepLines w:val="0"/>
        <w:pageBreakBefore w:val="0"/>
        <w:widowControl/>
        <w:kinsoku w:val="0"/>
        <w:overflowPunct/>
        <w:topLinePunct w:val="0"/>
        <w:autoSpaceDE w:val="0"/>
        <w:autoSpaceDN w:val="0"/>
        <w:bidi w:val="0"/>
        <w:adjustRightInd w:val="0"/>
        <w:snapToGrid w:val="0"/>
        <w:spacing w:line="302" w:lineRule="auto"/>
        <w:ind w:left="3" w:firstLine="443"/>
        <w:textAlignment w:val="baseline"/>
        <w:rPr>
          <w:rFonts w:hint="eastAsia" w:ascii="宋体" w:hAnsi="宋体" w:eastAsia="宋体" w:cs="宋体"/>
          <w:color w:val="FF0000"/>
          <w:spacing w:val="-1"/>
          <w:sz w:val="22"/>
          <w:szCs w:val="22"/>
          <w:lang w:eastAsia="zh-CN"/>
        </w:rPr>
      </w:pPr>
      <w:r>
        <w:rPr>
          <w:rFonts w:ascii="宋体" w:hAnsi="宋体" w:eastAsia="宋体" w:cs="宋体"/>
          <w:color w:val="FF0000"/>
          <w:spacing w:val="-1"/>
          <w:sz w:val="22"/>
          <w:szCs w:val="22"/>
        </w:rPr>
        <w:t>1.</w:t>
      </w:r>
      <w:r>
        <w:rPr>
          <w:rFonts w:hint="eastAsia" w:ascii="宋体" w:hAnsi="宋体" w:eastAsia="宋体" w:cs="宋体"/>
          <w:color w:val="FF0000"/>
          <w:spacing w:val="-1"/>
          <w:sz w:val="22"/>
          <w:szCs w:val="22"/>
          <w:lang w:val="en-US" w:eastAsia="zh-CN"/>
        </w:rPr>
        <w:t>截至</w:t>
      </w:r>
      <w:r>
        <w:rPr>
          <w:rFonts w:ascii="宋体" w:hAnsi="宋体" w:eastAsia="宋体" w:cs="宋体"/>
          <w:color w:val="FF0000"/>
          <w:spacing w:val="-1"/>
          <w:sz w:val="22"/>
          <w:szCs w:val="22"/>
        </w:rPr>
        <w:t>时间： 202</w:t>
      </w:r>
      <w:r>
        <w:rPr>
          <w:rFonts w:hint="eastAsia" w:ascii="宋体" w:hAnsi="宋体" w:eastAsia="宋体" w:cs="宋体"/>
          <w:color w:val="FF0000"/>
          <w:spacing w:val="-1"/>
          <w:sz w:val="22"/>
          <w:szCs w:val="22"/>
          <w:lang w:val="en-US" w:eastAsia="zh-CN"/>
        </w:rPr>
        <w:t>4</w:t>
      </w:r>
      <w:r>
        <w:rPr>
          <w:rFonts w:hint="eastAsia" w:ascii="宋体" w:hAnsi="宋体" w:eastAsia="宋体" w:cs="宋体"/>
          <w:color w:val="FF0000"/>
          <w:spacing w:val="-1"/>
          <w:sz w:val="22"/>
          <w:szCs w:val="22"/>
        </w:rPr>
        <w:t>年</w:t>
      </w:r>
      <w:r>
        <w:rPr>
          <w:rFonts w:hint="eastAsia" w:ascii="宋体" w:hAnsi="宋体" w:eastAsia="宋体" w:cs="宋体"/>
          <w:color w:val="FF0000"/>
          <w:spacing w:val="-1"/>
          <w:sz w:val="22"/>
          <w:szCs w:val="22"/>
          <w:lang w:val="en-US" w:eastAsia="zh-CN"/>
        </w:rPr>
        <w:t>6</w:t>
      </w:r>
      <w:r>
        <w:rPr>
          <w:rFonts w:hint="eastAsia" w:ascii="宋体" w:hAnsi="宋体" w:eastAsia="宋体" w:cs="宋体"/>
          <w:color w:val="FF0000"/>
          <w:spacing w:val="-1"/>
          <w:sz w:val="22"/>
          <w:szCs w:val="22"/>
        </w:rPr>
        <w:t>月</w:t>
      </w:r>
      <w:r>
        <w:rPr>
          <w:rFonts w:hint="eastAsia" w:ascii="宋体" w:hAnsi="宋体" w:eastAsia="宋体" w:cs="宋体"/>
          <w:color w:val="FF0000"/>
          <w:spacing w:val="-1"/>
          <w:sz w:val="22"/>
          <w:szCs w:val="22"/>
          <w:lang w:val="en-US" w:eastAsia="zh-CN"/>
        </w:rPr>
        <w:t>26</w:t>
      </w:r>
      <w:r>
        <w:rPr>
          <w:rFonts w:ascii="宋体" w:hAnsi="宋体" w:eastAsia="宋体" w:cs="宋体"/>
          <w:color w:val="FF0000"/>
          <w:spacing w:val="-1"/>
          <w:sz w:val="22"/>
          <w:szCs w:val="22"/>
        </w:rPr>
        <w:t>日</w:t>
      </w:r>
      <w:r>
        <w:rPr>
          <w:rFonts w:hint="eastAsia" w:ascii="宋体" w:hAnsi="宋体" w:eastAsia="宋体" w:cs="宋体"/>
          <w:color w:val="FF0000"/>
          <w:spacing w:val="-1"/>
          <w:sz w:val="22"/>
          <w:szCs w:val="22"/>
          <w:lang w:val="en-US" w:eastAsia="zh-CN"/>
        </w:rPr>
        <w:t>9</w:t>
      </w:r>
      <w:r>
        <w:rPr>
          <w:rFonts w:ascii="宋体" w:hAnsi="宋体" w:eastAsia="宋体" w:cs="宋体"/>
          <w:color w:val="FF0000"/>
          <w:spacing w:val="-1"/>
          <w:sz w:val="22"/>
          <w:szCs w:val="22"/>
        </w:rPr>
        <w:t>时</w:t>
      </w:r>
      <w:r>
        <w:rPr>
          <w:rFonts w:hint="eastAsia" w:ascii="宋体" w:hAnsi="宋体" w:eastAsia="宋体" w:cs="宋体"/>
          <w:color w:val="FF0000"/>
          <w:spacing w:val="-1"/>
          <w:sz w:val="22"/>
          <w:szCs w:val="22"/>
          <w:lang w:val="en-US" w:eastAsia="zh-CN"/>
        </w:rPr>
        <w:t>00</w:t>
      </w:r>
      <w:r>
        <w:rPr>
          <w:rFonts w:ascii="宋体" w:hAnsi="宋体" w:eastAsia="宋体" w:cs="宋体"/>
          <w:color w:val="FF0000"/>
          <w:spacing w:val="-1"/>
          <w:sz w:val="22"/>
          <w:szCs w:val="22"/>
        </w:rPr>
        <w:t>分(北京时间</w:t>
      </w:r>
      <w:r>
        <w:rPr>
          <w:rFonts w:hint="eastAsia" w:ascii="宋体" w:hAnsi="宋体" w:eastAsia="宋体" w:cs="宋体"/>
          <w:color w:val="FF0000"/>
          <w:spacing w:val="-1"/>
          <w:sz w:val="22"/>
          <w:szCs w:val="22"/>
          <w:lang w:eastAsia="zh-CN"/>
        </w:rPr>
        <w:t>）</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spacing w:val="-1"/>
          <w:sz w:val="22"/>
          <w:szCs w:val="22"/>
        </w:rPr>
      </w:pPr>
      <w:r>
        <w:rPr>
          <w:rFonts w:ascii="宋体" w:hAnsi="宋体" w:eastAsia="宋体" w:cs="宋体"/>
          <w:spacing w:val="-1"/>
          <w:sz w:val="22"/>
          <w:szCs w:val="22"/>
        </w:rPr>
        <w:t>2.地点：</w:t>
      </w:r>
      <w:r>
        <w:rPr>
          <w:rFonts w:hint="eastAsia" w:ascii="宋体" w:hAnsi="宋体" w:eastAsia="宋体" w:cs="宋体"/>
          <w:spacing w:val="-4"/>
          <w:sz w:val="22"/>
          <w:szCs w:val="22"/>
        </w:rPr>
        <w:t>全国公共资源交易平台(河南省·淅川县 )</w:t>
      </w:r>
      <w:r>
        <w:rPr>
          <w:rFonts w:hint="eastAsia" w:ascii="宋体" w:hAnsi="宋体" w:eastAsia="宋体" w:cs="宋体"/>
          <w:spacing w:val="-4"/>
          <w:sz w:val="22"/>
          <w:szCs w:val="22"/>
          <w:lang w:eastAsia="zh-CN"/>
        </w:rPr>
        <w:t>（</w:t>
      </w:r>
      <w:r>
        <w:rPr>
          <w:rFonts w:hint="eastAsia" w:ascii="宋体" w:hAnsi="宋体" w:eastAsia="宋体" w:cs="宋体"/>
          <w:spacing w:val="-4"/>
          <w:sz w:val="22"/>
          <w:szCs w:val="22"/>
        </w:rPr>
        <w:t>http://ggzyjy.xichuan.gov.cn/)</w:t>
      </w:r>
    </w:p>
    <w:p>
      <w:pPr>
        <w:keepNext w:val="0"/>
        <w:keepLines w:val="0"/>
        <w:pageBreakBefore w:val="0"/>
        <w:widowControl/>
        <w:kinsoku w:val="0"/>
        <w:overflowPunct/>
        <w:topLinePunct w:val="0"/>
        <w:autoSpaceDE w:val="0"/>
        <w:autoSpaceDN w:val="0"/>
        <w:bidi w:val="0"/>
        <w:adjustRightInd w:val="0"/>
        <w:snapToGrid w:val="0"/>
        <w:spacing w:line="220" w:lineRule="auto"/>
        <w:ind w:left="228"/>
        <w:textAlignment w:val="baseline"/>
        <w:outlineLvl w:val="2"/>
        <w:rPr>
          <w:rFonts w:ascii="宋体" w:hAnsi="宋体" w:eastAsia="宋体" w:cs="宋体"/>
          <w:sz w:val="24"/>
          <w:szCs w:val="24"/>
        </w:rPr>
      </w:pPr>
      <w:r>
        <w:rPr>
          <w:rFonts w:ascii="宋体" w:hAnsi="宋体" w:eastAsia="宋体" w:cs="宋体"/>
          <w:spacing w:val="-1"/>
          <w:sz w:val="24"/>
          <w:szCs w:val="24"/>
        </w:rPr>
        <w:t>五、响应文件开</w:t>
      </w:r>
      <w:r>
        <w:rPr>
          <w:rFonts w:ascii="宋体" w:hAnsi="宋体" w:eastAsia="宋体" w:cs="宋体"/>
          <w:sz w:val="24"/>
          <w:szCs w:val="24"/>
        </w:rPr>
        <w:t>启</w:t>
      </w:r>
    </w:p>
    <w:p>
      <w:pPr>
        <w:keepNext w:val="0"/>
        <w:keepLines w:val="0"/>
        <w:pageBreakBefore w:val="0"/>
        <w:widowControl/>
        <w:kinsoku w:val="0"/>
        <w:overflowPunct/>
        <w:topLinePunct w:val="0"/>
        <w:autoSpaceDE w:val="0"/>
        <w:autoSpaceDN w:val="0"/>
        <w:bidi w:val="0"/>
        <w:adjustRightInd w:val="0"/>
        <w:snapToGrid w:val="0"/>
        <w:spacing w:line="220" w:lineRule="auto"/>
        <w:ind w:left="458"/>
        <w:textAlignment w:val="baseline"/>
        <w:rPr>
          <w:rFonts w:hint="eastAsia" w:ascii="宋体" w:hAnsi="宋体" w:eastAsia="宋体" w:cs="宋体"/>
          <w:color w:val="FF0000"/>
          <w:sz w:val="22"/>
          <w:szCs w:val="22"/>
          <w:lang w:val="en-US" w:eastAsia="zh-CN"/>
        </w:rPr>
      </w:pPr>
      <w:r>
        <w:rPr>
          <w:rFonts w:ascii="宋体" w:hAnsi="宋体" w:eastAsia="宋体" w:cs="宋体"/>
          <w:color w:val="FF0000"/>
          <w:spacing w:val="-2"/>
          <w:sz w:val="22"/>
          <w:szCs w:val="22"/>
        </w:rPr>
        <w:t xml:space="preserve">1.时间： </w:t>
      </w:r>
      <w:r>
        <w:rPr>
          <w:rFonts w:ascii="宋体" w:hAnsi="宋体" w:eastAsia="宋体" w:cs="宋体"/>
          <w:color w:val="FF0000"/>
          <w:spacing w:val="-1"/>
          <w:sz w:val="22"/>
          <w:szCs w:val="22"/>
        </w:rPr>
        <w:t>202</w:t>
      </w:r>
      <w:r>
        <w:rPr>
          <w:rFonts w:hint="eastAsia" w:ascii="宋体" w:hAnsi="宋体" w:eastAsia="宋体" w:cs="宋体"/>
          <w:color w:val="FF0000"/>
          <w:spacing w:val="-1"/>
          <w:sz w:val="22"/>
          <w:szCs w:val="22"/>
          <w:lang w:val="en-US" w:eastAsia="zh-CN"/>
        </w:rPr>
        <w:t xml:space="preserve">4年6月26 </w:t>
      </w:r>
      <w:r>
        <w:rPr>
          <w:rFonts w:ascii="宋体" w:hAnsi="宋体" w:eastAsia="宋体" w:cs="宋体"/>
          <w:color w:val="FF0000"/>
          <w:spacing w:val="-1"/>
          <w:sz w:val="22"/>
          <w:szCs w:val="22"/>
        </w:rPr>
        <w:t>日</w:t>
      </w:r>
      <w:r>
        <w:rPr>
          <w:rFonts w:hint="eastAsia" w:ascii="宋体" w:hAnsi="宋体" w:eastAsia="宋体" w:cs="宋体"/>
          <w:color w:val="FF0000"/>
          <w:spacing w:val="-1"/>
          <w:sz w:val="22"/>
          <w:szCs w:val="22"/>
          <w:lang w:val="en-US" w:eastAsia="zh-CN"/>
        </w:rPr>
        <w:t>9</w:t>
      </w:r>
      <w:r>
        <w:rPr>
          <w:rFonts w:ascii="宋体" w:hAnsi="宋体" w:eastAsia="宋体" w:cs="宋体"/>
          <w:color w:val="FF0000"/>
          <w:spacing w:val="-1"/>
          <w:sz w:val="22"/>
          <w:szCs w:val="22"/>
        </w:rPr>
        <w:t>时</w:t>
      </w:r>
      <w:r>
        <w:rPr>
          <w:rFonts w:hint="eastAsia" w:ascii="宋体" w:hAnsi="宋体" w:eastAsia="宋体" w:cs="宋体"/>
          <w:color w:val="FF0000"/>
          <w:spacing w:val="-1"/>
          <w:sz w:val="22"/>
          <w:szCs w:val="22"/>
          <w:lang w:val="en-US" w:eastAsia="zh-CN"/>
        </w:rPr>
        <w:t>00</w:t>
      </w:r>
      <w:r>
        <w:rPr>
          <w:rFonts w:ascii="宋体" w:hAnsi="宋体" w:eastAsia="宋体" w:cs="宋体"/>
          <w:color w:val="FF0000"/>
          <w:spacing w:val="-1"/>
          <w:sz w:val="22"/>
          <w:szCs w:val="22"/>
        </w:rPr>
        <w:t>分(北京时间</w:t>
      </w:r>
      <w:r>
        <w:rPr>
          <w:rFonts w:hint="eastAsia" w:ascii="宋体" w:hAnsi="宋体" w:eastAsia="宋体" w:cs="宋体"/>
          <w:color w:val="FF0000"/>
          <w:spacing w:val="-1"/>
          <w:sz w:val="22"/>
          <w:szCs w:val="22"/>
          <w:lang w:eastAsia="zh-CN"/>
        </w:rPr>
        <w:t>）</w:t>
      </w:r>
    </w:p>
    <w:p>
      <w:pPr>
        <w:keepNext w:val="0"/>
        <w:keepLines w:val="0"/>
        <w:pageBreakBefore w:val="0"/>
        <w:widowControl/>
        <w:kinsoku w:val="0"/>
        <w:wordWrap w:val="0"/>
        <w:overflowPunct/>
        <w:topLinePunct w:val="0"/>
        <w:autoSpaceDE w:val="0"/>
        <w:autoSpaceDN w:val="0"/>
        <w:bidi w:val="0"/>
        <w:adjustRightInd w:val="0"/>
        <w:snapToGrid w:val="0"/>
        <w:spacing w:line="312" w:lineRule="auto"/>
        <w:ind w:left="0" w:right="6" w:firstLine="442"/>
        <w:textAlignment w:val="baseline"/>
        <w:rPr>
          <w:rFonts w:hint="eastAsia" w:ascii="宋体" w:hAnsi="宋体" w:eastAsia="宋体" w:cs="宋体"/>
          <w:spacing w:val="-4"/>
          <w:sz w:val="22"/>
          <w:szCs w:val="22"/>
        </w:rPr>
      </w:pPr>
      <w:r>
        <w:rPr>
          <w:rFonts w:hint="eastAsia" w:ascii="宋体" w:hAnsi="宋体" w:eastAsia="宋体" w:cs="宋体"/>
          <w:spacing w:val="-4"/>
          <w:sz w:val="22"/>
          <w:szCs w:val="22"/>
        </w:rPr>
        <w:t>2.地点： 该项目需要使用不见面开标，供应商无需前往现场来参与投标。各供应商根据手册要求， 提前做好相关准备工作。附件：操作手册地址(下载专区中自行下载)、不见面开标大厅地址</w:t>
      </w:r>
      <w:r>
        <w:rPr>
          <w:rFonts w:hint="eastAsia" w:ascii="宋体" w:hAnsi="宋体" w:eastAsia="宋体" w:cs="宋体"/>
          <w:spacing w:val="-4"/>
          <w:sz w:val="22"/>
          <w:szCs w:val="22"/>
          <w:lang w:eastAsia="zh-CN"/>
        </w:rPr>
        <w:t>：</w:t>
      </w:r>
      <w:r>
        <w:rPr>
          <w:rFonts w:hint="eastAsia" w:ascii="宋体" w:hAnsi="宋体" w:eastAsia="宋体" w:cs="宋体"/>
          <w:spacing w:val="-4"/>
          <w:sz w:val="22"/>
          <w:szCs w:val="22"/>
        </w:rPr>
        <w:t>https://ggzyjy.nanyang.gov.cn/BidOpening/bidhall/nanyang/login.html</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spacing w:val="-1"/>
          <w:sz w:val="22"/>
          <w:szCs w:val="22"/>
        </w:rPr>
      </w:pPr>
      <w:r>
        <w:rPr>
          <w:rFonts w:ascii="宋体" w:hAnsi="宋体" w:eastAsia="宋体" w:cs="宋体"/>
          <w:spacing w:val="-1"/>
          <w:sz w:val="22"/>
          <w:szCs w:val="22"/>
        </w:rPr>
        <w:t>六、发布公告的媒介</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spacing w:val="-1"/>
          <w:sz w:val="22"/>
          <w:szCs w:val="22"/>
        </w:rPr>
      </w:pPr>
      <w:r>
        <w:rPr>
          <w:rFonts w:ascii="宋体" w:hAnsi="宋体" w:eastAsia="宋体" w:cs="宋体"/>
          <w:spacing w:val="-1"/>
          <w:sz w:val="22"/>
          <w:szCs w:val="22"/>
        </w:rPr>
        <w:t>本次磋商公告同时在《河南省政府采购网》、《淅川县公共资源交易中心》、《中国招标投标公共服务平台》、《河南省电子招标投标公共服务平台》网站上发布。</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spacing w:val="-1"/>
          <w:sz w:val="22"/>
          <w:szCs w:val="22"/>
        </w:rPr>
      </w:pPr>
      <w:bookmarkStart w:id="1" w:name="_bookmark2"/>
      <w:bookmarkEnd w:id="1"/>
      <w:r>
        <w:rPr>
          <w:rFonts w:ascii="宋体" w:hAnsi="宋体" w:eastAsia="宋体" w:cs="宋体"/>
          <w:spacing w:val="-1"/>
          <w:sz w:val="22"/>
          <w:szCs w:val="22"/>
        </w:rPr>
        <w:t>七、其他补充事宜</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rPr>
        <w:t>1、企业诚信库注册</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rPr>
        <w:t>本项目只接受南阳市公共资源电子交易平台中已加入企业诚信库的企业投标,未入库的投标人请及时办理入库手续。入库办理请参见南阳市公共资源交易中心网站https://ggzyjy.nanyang.gov.cn下载专区《诚信库申报操作手册》，企业办理诚信库不收取任何费用，不需携带原件到南阳市公共资源交易中心进行审核。因未及时办理入库手续导致无法投标的,责任自负。</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rPr>
        <w:t>2、办理CA数字证书</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rPr>
        <w:t>投标人完成企业诚信库注册后，必须办理CA数字证书方可在网上办理招投标相关业务。CA数字证书办理请参见南阳市公共资源交易中心网站下载专区《CA办理所需资料》。</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rPr>
        <w:t>3、因投标人无需现场参与开标，所有准备工作需要自行到位。开标过程中如遇到紧急事项，可在不见面开标大厅中进行提出异议或文字交流，严重问题可拨打技术支持电话400-998-0000。</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lang w:val="en-US" w:eastAsia="zh-CN"/>
        </w:rPr>
        <w:t>4</w:t>
      </w:r>
      <w:r>
        <w:rPr>
          <w:rFonts w:hint="eastAsia" w:ascii="宋体" w:hAnsi="宋体" w:eastAsia="宋体" w:cs="宋体"/>
          <w:spacing w:val="-1"/>
          <w:sz w:val="22"/>
          <w:szCs w:val="22"/>
        </w:rPr>
        <w:t>、本项目为电子评标项目，投标人须提供电子投标文件，电子投标文件需要使用投标文件制作工具制作，制作工具及操作手册可在南阳市公共资源交易中心网站“下载专区”中下载。</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lang w:val="en-US" w:eastAsia="zh-CN"/>
        </w:rPr>
        <w:t>5</w:t>
      </w:r>
      <w:r>
        <w:rPr>
          <w:rFonts w:hint="eastAsia" w:ascii="宋体" w:hAnsi="宋体" w:eastAsia="宋体" w:cs="宋体"/>
          <w:spacing w:val="-1"/>
          <w:sz w:val="22"/>
          <w:szCs w:val="22"/>
        </w:rPr>
        <w:t>、请各潜在投标人在获取文件后及时关注网站更新信息，若因其他原因未能及时看到网上更新信息而造成的损失，采购人及采购代理机构将不负任何责任。</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rPr>
        <w:t>电子交易系统技术支持电话：400-998-0000</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rPr>
        <w:t>CA数字证书技术电话：详见淅川县公共资源交易中心网站首页CA办理和咨询</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lang w:val="en-US" w:eastAsia="zh-CN"/>
        </w:rPr>
        <w:t>6</w:t>
      </w:r>
      <w:r>
        <w:rPr>
          <w:rFonts w:hint="eastAsia" w:ascii="宋体" w:hAnsi="宋体" w:eastAsia="宋体" w:cs="宋体"/>
          <w:spacing w:val="-1"/>
          <w:sz w:val="22"/>
          <w:szCs w:val="22"/>
        </w:rPr>
        <w:t>、监督部门：淅川县财政局</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rPr>
        <w:t>监督部门代码：11411326006042033B</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rPr>
        <w:t>地址：淅川县金河镇</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rPr>
        <w:t>联 系 人：姚先生</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rPr>
        <w:t>联系电话：0377-60668835</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sz w:val="24"/>
          <w:szCs w:val="24"/>
        </w:rPr>
      </w:pPr>
      <w:r>
        <w:rPr>
          <w:rFonts w:ascii="宋体" w:hAnsi="宋体" w:eastAsia="宋体" w:cs="宋体"/>
          <w:spacing w:val="-2"/>
          <w:sz w:val="24"/>
          <w:szCs w:val="24"/>
        </w:rPr>
        <w:t>八、</w:t>
      </w:r>
      <w:r>
        <w:rPr>
          <w:rFonts w:ascii="宋体" w:hAnsi="宋体" w:eastAsia="宋体" w:cs="宋体"/>
          <w:spacing w:val="-1"/>
          <w:sz w:val="24"/>
          <w:szCs w:val="24"/>
        </w:rPr>
        <w:t>联系方式：</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spacing w:val="-1"/>
          <w:sz w:val="22"/>
          <w:szCs w:val="22"/>
        </w:rPr>
      </w:pPr>
      <w:r>
        <w:rPr>
          <w:rFonts w:ascii="宋体" w:hAnsi="宋体" w:eastAsia="宋体" w:cs="宋体"/>
          <w:spacing w:val="-1"/>
          <w:sz w:val="22"/>
          <w:szCs w:val="22"/>
        </w:rPr>
        <w:t>1.采购人信息</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spacing w:val="-1"/>
          <w:sz w:val="22"/>
          <w:szCs w:val="22"/>
        </w:rPr>
      </w:pPr>
      <w:r>
        <w:rPr>
          <w:rFonts w:ascii="宋体" w:hAnsi="宋体" w:eastAsia="宋体" w:cs="宋体"/>
          <w:spacing w:val="-1"/>
          <w:sz w:val="22"/>
          <w:szCs w:val="22"/>
        </w:rPr>
        <w:t>名称：</w:t>
      </w:r>
      <w:r>
        <w:rPr>
          <w:rFonts w:hint="eastAsia" w:ascii="宋体" w:hAnsi="宋体" w:eastAsia="宋体" w:cs="宋体"/>
          <w:spacing w:val="-1"/>
          <w:sz w:val="22"/>
          <w:szCs w:val="22"/>
          <w:lang w:val="en-US" w:eastAsia="zh-CN"/>
        </w:rPr>
        <w:t>淅川县市场监督管理局</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lang w:eastAsia="zh-CN"/>
        </w:rPr>
      </w:pPr>
      <w:r>
        <w:rPr>
          <w:rFonts w:ascii="宋体" w:hAnsi="宋体" w:eastAsia="宋体" w:cs="宋体"/>
          <w:spacing w:val="-1"/>
          <w:sz w:val="22"/>
          <w:szCs w:val="22"/>
        </w:rPr>
        <w:t>地址：</w:t>
      </w:r>
      <w:r>
        <w:rPr>
          <w:rFonts w:hint="eastAsia" w:ascii="宋体" w:hAnsi="宋体" w:eastAsia="宋体" w:cs="宋体"/>
          <w:spacing w:val="-1"/>
          <w:sz w:val="22"/>
          <w:szCs w:val="22"/>
          <w:lang w:eastAsia="zh-CN"/>
        </w:rPr>
        <w:t>河南省南阳市淅川县东环路中段</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spacing w:val="-1"/>
          <w:sz w:val="22"/>
          <w:szCs w:val="22"/>
        </w:rPr>
      </w:pPr>
      <w:r>
        <w:rPr>
          <w:rFonts w:ascii="宋体" w:hAnsi="宋体" w:eastAsia="宋体" w:cs="宋体"/>
          <w:spacing w:val="-1"/>
          <w:sz w:val="22"/>
          <w:szCs w:val="22"/>
        </w:rPr>
        <w:t>联系人：</w:t>
      </w:r>
      <w:r>
        <w:rPr>
          <w:rFonts w:hint="eastAsia" w:ascii="宋体" w:hAnsi="宋体" w:eastAsia="宋体" w:cs="宋体"/>
          <w:spacing w:val="-1"/>
          <w:sz w:val="22"/>
          <w:szCs w:val="22"/>
          <w:lang w:val="en-US" w:eastAsia="zh-CN"/>
        </w:rPr>
        <w:t>党女士</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spacing w:val="-1"/>
          <w:sz w:val="22"/>
          <w:szCs w:val="22"/>
        </w:rPr>
      </w:pPr>
      <w:r>
        <w:rPr>
          <w:rFonts w:ascii="宋体" w:hAnsi="宋体" w:eastAsia="宋体" w:cs="宋体"/>
          <w:spacing w:val="-1"/>
          <w:sz w:val="22"/>
          <w:szCs w:val="22"/>
        </w:rPr>
        <w:t>联系电话：</w:t>
      </w:r>
      <w:r>
        <w:rPr>
          <w:rFonts w:hint="eastAsia" w:ascii="宋体" w:hAnsi="宋体" w:eastAsia="宋体" w:cs="宋体"/>
          <w:spacing w:val="-1"/>
          <w:sz w:val="22"/>
          <w:szCs w:val="22"/>
          <w:lang w:val="en-US" w:eastAsia="zh-CN"/>
        </w:rPr>
        <w:t>18567251636</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spacing w:val="-1"/>
          <w:sz w:val="22"/>
          <w:szCs w:val="22"/>
        </w:rPr>
      </w:pPr>
      <w:r>
        <w:rPr>
          <w:rFonts w:ascii="宋体" w:hAnsi="宋体" w:eastAsia="宋体" w:cs="宋体"/>
          <w:spacing w:val="-1"/>
          <w:sz w:val="22"/>
          <w:szCs w:val="22"/>
        </w:rPr>
        <w:t>2.采购代理机构信息(如有)</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lang w:eastAsia="zh-CN"/>
        </w:rPr>
      </w:pPr>
      <w:r>
        <w:rPr>
          <w:rFonts w:ascii="宋体" w:hAnsi="宋体" w:eastAsia="宋体" w:cs="宋体"/>
          <w:spacing w:val="-1"/>
          <w:sz w:val="22"/>
          <w:szCs w:val="22"/>
        </w:rPr>
        <w:t>名称：</w:t>
      </w:r>
      <w:r>
        <w:rPr>
          <w:rFonts w:hint="eastAsia" w:ascii="宋体" w:hAnsi="宋体" w:eastAsia="宋体" w:cs="宋体"/>
          <w:spacing w:val="-1"/>
          <w:sz w:val="22"/>
          <w:szCs w:val="22"/>
          <w:lang w:eastAsia="zh-CN"/>
        </w:rPr>
        <w:t>河南丹诺招标代理有限公司</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spacing w:val="-1"/>
          <w:sz w:val="22"/>
          <w:szCs w:val="22"/>
        </w:rPr>
      </w:pPr>
      <w:r>
        <w:rPr>
          <w:rFonts w:hint="eastAsia" w:ascii="宋体" w:hAnsi="宋体" w:eastAsia="宋体" w:cs="宋体"/>
          <w:spacing w:val="-1"/>
          <w:sz w:val="22"/>
          <w:szCs w:val="22"/>
        </w:rPr>
        <w:t>地址：河南省南阳市宛城区孔明路质监站小区</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spacing w:val="-1"/>
          <w:sz w:val="22"/>
          <w:szCs w:val="22"/>
        </w:rPr>
      </w:pPr>
      <w:r>
        <w:rPr>
          <w:rFonts w:hint="eastAsia" w:ascii="宋体" w:hAnsi="宋体" w:eastAsia="宋体" w:cs="宋体"/>
          <w:spacing w:val="-1"/>
          <w:sz w:val="22"/>
          <w:szCs w:val="22"/>
        </w:rPr>
        <w:t>联系人：</w:t>
      </w:r>
      <w:r>
        <w:rPr>
          <w:rFonts w:hint="eastAsia" w:ascii="宋体" w:hAnsi="宋体" w:eastAsia="宋体" w:cs="宋体"/>
          <w:spacing w:val="-1"/>
          <w:sz w:val="22"/>
          <w:szCs w:val="22"/>
          <w:lang w:val="en-US" w:eastAsia="zh-CN"/>
        </w:rPr>
        <w:t>文</w:t>
      </w:r>
      <w:r>
        <w:rPr>
          <w:rFonts w:hint="eastAsia" w:ascii="宋体" w:hAnsi="宋体" w:eastAsia="宋体" w:cs="宋体"/>
          <w:spacing w:val="-1"/>
          <w:sz w:val="22"/>
          <w:szCs w:val="22"/>
        </w:rPr>
        <w:t>先生</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default" w:ascii="宋体" w:hAnsi="宋体" w:eastAsia="宋体" w:cs="宋体"/>
          <w:spacing w:val="-1"/>
          <w:sz w:val="22"/>
          <w:szCs w:val="22"/>
          <w:lang w:val="en-US" w:eastAsia="zh-CN"/>
        </w:rPr>
      </w:pPr>
      <w:r>
        <w:rPr>
          <w:rFonts w:hint="eastAsia" w:ascii="宋体" w:hAnsi="宋体" w:eastAsia="宋体" w:cs="宋体"/>
          <w:spacing w:val="-1"/>
          <w:sz w:val="22"/>
          <w:szCs w:val="22"/>
        </w:rPr>
        <w:t>电话：</w:t>
      </w:r>
      <w:r>
        <w:rPr>
          <w:rFonts w:hint="eastAsia" w:ascii="宋体" w:hAnsi="宋体" w:eastAsia="宋体" w:cs="宋体"/>
          <w:spacing w:val="-1"/>
          <w:sz w:val="22"/>
          <w:szCs w:val="22"/>
          <w:lang w:val="en-US" w:eastAsia="zh-CN"/>
        </w:rPr>
        <w:t>0377-69388899</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spacing w:val="-1"/>
          <w:sz w:val="22"/>
          <w:szCs w:val="22"/>
        </w:rPr>
      </w:pPr>
      <w:r>
        <w:rPr>
          <w:rFonts w:ascii="宋体" w:hAnsi="宋体" w:eastAsia="宋体" w:cs="宋体"/>
          <w:spacing w:val="-1"/>
          <w:sz w:val="22"/>
          <w:szCs w:val="22"/>
        </w:rPr>
        <w:t>3. 项目联系方式</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spacing w:val="-1"/>
          <w:sz w:val="22"/>
          <w:szCs w:val="22"/>
        </w:rPr>
      </w:pPr>
      <w:r>
        <w:rPr>
          <w:rFonts w:hint="eastAsia" w:ascii="宋体" w:hAnsi="宋体" w:eastAsia="宋体" w:cs="宋体"/>
          <w:spacing w:val="-1"/>
          <w:sz w:val="22"/>
          <w:szCs w:val="22"/>
        </w:rPr>
        <w:t>联系人：</w:t>
      </w:r>
      <w:r>
        <w:rPr>
          <w:rFonts w:hint="eastAsia" w:ascii="宋体" w:hAnsi="宋体" w:eastAsia="宋体" w:cs="宋体"/>
          <w:spacing w:val="-1"/>
          <w:sz w:val="22"/>
          <w:szCs w:val="22"/>
          <w:lang w:val="en-US" w:eastAsia="zh-CN"/>
        </w:rPr>
        <w:t>文</w:t>
      </w:r>
      <w:r>
        <w:rPr>
          <w:rFonts w:hint="eastAsia" w:ascii="宋体" w:hAnsi="宋体" w:eastAsia="宋体" w:cs="宋体"/>
          <w:spacing w:val="-1"/>
          <w:sz w:val="22"/>
          <w:szCs w:val="22"/>
        </w:rPr>
        <w:t>先生</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default" w:ascii="宋体" w:hAnsi="宋体" w:eastAsia="宋体" w:cs="宋体"/>
          <w:spacing w:val="-1"/>
          <w:sz w:val="22"/>
          <w:szCs w:val="22"/>
          <w:lang w:val="en-US" w:eastAsia="zh-CN"/>
        </w:rPr>
        <w:sectPr>
          <w:footerReference r:id="rId3" w:type="default"/>
          <w:pgSz w:w="11921" w:h="16860"/>
          <w:pgMar w:top="1440" w:right="1800" w:bottom="1440" w:left="1800" w:header="0" w:footer="962" w:gutter="0"/>
          <w:pgNumType w:start="1"/>
          <w:cols w:space="720" w:num="1"/>
        </w:sectPr>
      </w:pPr>
      <w:r>
        <w:rPr>
          <w:rFonts w:hint="eastAsia" w:ascii="宋体" w:hAnsi="宋体" w:eastAsia="宋体" w:cs="宋体"/>
          <w:spacing w:val="-1"/>
          <w:sz w:val="22"/>
          <w:szCs w:val="22"/>
        </w:rPr>
        <w:t>电话：</w:t>
      </w:r>
      <w:r>
        <w:rPr>
          <w:rFonts w:hint="eastAsia" w:ascii="宋体" w:hAnsi="宋体" w:eastAsia="宋体" w:cs="宋体"/>
          <w:spacing w:val="-1"/>
          <w:sz w:val="22"/>
          <w:szCs w:val="22"/>
          <w:lang w:val="en-US" w:eastAsia="zh-CN"/>
        </w:rPr>
        <w:t>0377-69388899</w:t>
      </w:r>
    </w:p>
    <w:p>
      <w:pPr>
        <w:pStyle w:val="3"/>
        <w:kinsoku/>
        <w:wordWrap w:val="0"/>
        <w:spacing w:line="360" w:lineRule="auto"/>
        <w:jc w:val="center"/>
        <w:rPr>
          <w:rFonts w:asciiTheme="minorEastAsia" w:hAnsiTheme="minorEastAsia" w:eastAsiaTheme="minorEastAsia" w:cstheme="minorEastAsia"/>
          <w:color w:val="000000" w:themeColor="text1"/>
          <w:spacing w:val="-15"/>
          <w:sz w:val="32"/>
          <w:szCs w:val="32"/>
          <w14:textFill>
            <w14:solidFill>
              <w14:schemeClr w14:val="tx1"/>
            </w14:solidFill>
          </w14:textFill>
        </w:rPr>
      </w:pPr>
      <w:r>
        <w:rPr>
          <w:rFonts w:hint="eastAsia" w:asciiTheme="minorEastAsia" w:hAnsiTheme="minorEastAsia" w:eastAsiaTheme="minorEastAsia" w:cstheme="minorEastAsia"/>
          <w:color w:val="000000" w:themeColor="text1"/>
          <w:spacing w:val="-1"/>
          <w:sz w:val="44"/>
          <w:szCs w:val="44"/>
          <w14:textFill>
            <w14:solidFill>
              <w14:schemeClr w14:val="tx1"/>
            </w14:solidFill>
          </w14:textFill>
        </w:rPr>
        <w:t>第二章采购需求</w:t>
      </w:r>
    </w:p>
    <w:p>
      <w:pPr>
        <w:spacing w:before="53"/>
        <w:rPr>
          <w:rFonts w:ascii="黑体" w:eastAsia="黑体"/>
          <w:b/>
          <w:spacing w:val="-10"/>
          <w:sz w:val="34"/>
        </w:rPr>
      </w:pPr>
      <w:r>
        <w:rPr>
          <w:rFonts w:hint="eastAsia" w:ascii="黑体" w:eastAsia="黑体"/>
          <w:b/>
          <w:spacing w:val="-10"/>
          <w:sz w:val="34"/>
        </w:rPr>
        <w:t>附件1</w:t>
      </w:r>
    </w:p>
    <w:p>
      <w:pPr>
        <w:pStyle w:val="8"/>
        <w:ind w:left="0"/>
        <w:jc w:val="center"/>
        <w:rPr>
          <w:rFonts w:hint="eastAsia" w:ascii="方正小标宋简体" w:eastAsia="方正小标宋简体"/>
          <w:b w:val="0"/>
          <w:sz w:val="44"/>
          <w:szCs w:val="44"/>
        </w:rPr>
      </w:pPr>
      <w:r>
        <w:rPr>
          <w:rFonts w:hint="eastAsia" w:ascii="方正小标宋简体" w:eastAsia="方正小标宋简体"/>
          <w:b w:val="0"/>
          <w:spacing w:val="13"/>
          <w:sz w:val="44"/>
          <w:szCs w:val="44"/>
        </w:rPr>
        <w:t>淅川县2024</w:t>
      </w:r>
      <w:r>
        <w:rPr>
          <w:rFonts w:hint="eastAsia" w:ascii="方正小标宋简体" w:eastAsia="方正小标宋简体"/>
          <w:b w:val="0"/>
          <w:spacing w:val="11"/>
          <w:sz w:val="44"/>
          <w:szCs w:val="44"/>
        </w:rPr>
        <w:t>年食品抽检计划(非食用农产品</w:t>
      </w:r>
      <w:r>
        <w:rPr>
          <w:rFonts w:hint="eastAsia" w:ascii="方正小标宋简体" w:eastAsia="方正小标宋简体"/>
          <w:b w:val="0"/>
          <w:sz w:val="44"/>
          <w:szCs w:val="44"/>
        </w:rPr>
        <w:t>）表</w:t>
      </w:r>
    </w:p>
    <w:p>
      <w:pPr>
        <w:spacing w:before="12" w:after="1"/>
        <w:rPr>
          <w:b/>
          <w:sz w:val="14"/>
        </w:rPr>
      </w:pPr>
    </w:p>
    <w:tbl>
      <w:tblPr>
        <w:tblStyle w:val="14"/>
        <w:tblW w:w="15168" w:type="dxa"/>
        <w:tblInd w:w="-4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0"/>
        <w:gridCol w:w="850"/>
        <w:gridCol w:w="1418"/>
        <w:gridCol w:w="1417"/>
        <w:gridCol w:w="1843"/>
        <w:gridCol w:w="1276"/>
        <w:gridCol w:w="709"/>
        <w:gridCol w:w="69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10" w:type="dxa"/>
            <w:noWrap w:val="0"/>
            <w:vAlign w:val="center"/>
          </w:tcPr>
          <w:p>
            <w:pPr>
              <w:pStyle w:val="30"/>
              <w:spacing w:line="260" w:lineRule="exact"/>
              <w:ind w:left="126" w:right="126"/>
              <w:jc w:val="center"/>
              <w:rPr>
                <w:color w:val="000000"/>
                <w:sz w:val="20"/>
                <w:szCs w:val="20"/>
              </w:rPr>
            </w:pPr>
            <w:r>
              <w:rPr>
                <w:color w:val="000000"/>
                <w:sz w:val="20"/>
                <w:szCs w:val="20"/>
              </w:rPr>
              <w:t>序号</w:t>
            </w:r>
          </w:p>
        </w:tc>
        <w:tc>
          <w:tcPr>
            <w:tcW w:w="850" w:type="dxa"/>
            <w:noWrap w:val="0"/>
            <w:vAlign w:val="center"/>
          </w:tcPr>
          <w:p>
            <w:pPr>
              <w:pStyle w:val="30"/>
              <w:spacing w:line="240" w:lineRule="exact"/>
              <w:jc w:val="center"/>
              <w:rPr>
                <w:color w:val="000000"/>
                <w:sz w:val="20"/>
                <w:szCs w:val="20"/>
              </w:rPr>
            </w:pPr>
            <w:r>
              <w:rPr>
                <w:color w:val="000000"/>
                <w:sz w:val="20"/>
                <w:szCs w:val="20"/>
              </w:rPr>
              <w:t>抽检</w:t>
            </w:r>
          </w:p>
          <w:p>
            <w:pPr>
              <w:pStyle w:val="30"/>
              <w:spacing w:line="240" w:lineRule="exact"/>
              <w:jc w:val="center"/>
              <w:rPr>
                <w:color w:val="000000"/>
                <w:sz w:val="20"/>
                <w:szCs w:val="20"/>
              </w:rPr>
            </w:pPr>
            <w:r>
              <w:rPr>
                <w:color w:val="000000"/>
                <w:sz w:val="20"/>
                <w:szCs w:val="20"/>
              </w:rPr>
              <w:t>批次</w:t>
            </w:r>
          </w:p>
        </w:tc>
        <w:tc>
          <w:tcPr>
            <w:tcW w:w="1418" w:type="dxa"/>
            <w:noWrap w:val="0"/>
            <w:vAlign w:val="center"/>
          </w:tcPr>
          <w:p>
            <w:pPr>
              <w:pStyle w:val="30"/>
              <w:spacing w:line="240" w:lineRule="exact"/>
              <w:jc w:val="center"/>
              <w:rPr>
                <w:rFonts w:hint="eastAsia"/>
                <w:color w:val="000000"/>
                <w:sz w:val="20"/>
                <w:szCs w:val="20"/>
              </w:rPr>
            </w:pPr>
            <w:r>
              <w:rPr>
                <w:color w:val="000000"/>
                <w:sz w:val="20"/>
                <w:szCs w:val="20"/>
              </w:rPr>
              <w:t>食品大类</w:t>
            </w:r>
          </w:p>
          <w:p>
            <w:pPr>
              <w:pStyle w:val="30"/>
              <w:spacing w:line="240" w:lineRule="exact"/>
              <w:jc w:val="center"/>
              <w:rPr>
                <w:color w:val="000000"/>
                <w:sz w:val="20"/>
                <w:szCs w:val="20"/>
              </w:rPr>
            </w:pPr>
            <w:r>
              <w:rPr>
                <w:color w:val="000000"/>
                <w:sz w:val="20"/>
                <w:szCs w:val="20"/>
              </w:rPr>
              <w:t>(一级)</w:t>
            </w:r>
          </w:p>
        </w:tc>
        <w:tc>
          <w:tcPr>
            <w:tcW w:w="1417" w:type="dxa"/>
            <w:noWrap w:val="0"/>
            <w:vAlign w:val="center"/>
          </w:tcPr>
          <w:p>
            <w:pPr>
              <w:pStyle w:val="30"/>
              <w:spacing w:line="240" w:lineRule="exact"/>
              <w:jc w:val="center"/>
              <w:rPr>
                <w:rFonts w:hint="eastAsia"/>
                <w:color w:val="000000"/>
                <w:sz w:val="20"/>
                <w:szCs w:val="20"/>
              </w:rPr>
            </w:pPr>
            <w:r>
              <w:rPr>
                <w:color w:val="000000"/>
                <w:sz w:val="20"/>
                <w:szCs w:val="20"/>
              </w:rPr>
              <w:t xml:space="preserve">食品亚类 </w:t>
            </w:r>
          </w:p>
          <w:p>
            <w:pPr>
              <w:pStyle w:val="30"/>
              <w:spacing w:line="240" w:lineRule="exact"/>
              <w:jc w:val="center"/>
              <w:rPr>
                <w:color w:val="000000"/>
                <w:sz w:val="20"/>
                <w:szCs w:val="20"/>
              </w:rPr>
            </w:pPr>
            <w:r>
              <w:rPr>
                <w:color w:val="000000"/>
                <w:sz w:val="20"/>
                <w:szCs w:val="20"/>
              </w:rPr>
              <w:t>(二级)</w:t>
            </w:r>
          </w:p>
        </w:tc>
        <w:tc>
          <w:tcPr>
            <w:tcW w:w="1843" w:type="dxa"/>
            <w:noWrap w:val="0"/>
            <w:vAlign w:val="center"/>
          </w:tcPr>
          <w:p>
            <w:pPr>
              <w:pStyle w:val="30"/>
              <w:spacing w:line="240" w:lineRule="exact"/>
              <w:jc w:val="center"/>
              <w:rPr>
                <w:rFonts w:hint="eastAsia"/>
                <w:color w:val="000000"/>
                <w:sz w:val="20"/>
                <w:szCs w:val="20"/>
              </w:rPr>
            </w:pPr>
            <w:r>
              <w:rPr>
                <w:color w:val="000000"/>
                <w:sz w:val="20"/>
                <w:szCs w:val="20"/>
              </w:rPr>
              <w:t>食品品种</w:t>
            </w:r>
          </w:p>
          <w:p>
            <w:pPr>
              <w:pStyle w:val="30"/>
              <w:spacing w:line="240" w:lineRule="exact"/>
              <w:jc w:val="center"/>
              <w:rPr>
                <w:color w:val="000000"/>
                <w:sz w:val="20"/>
                <w:szCs w:val="20"/>
              </w:rPr>
            </w:pPr>
            <w:r>
              <w:rPr>
                <w:color w:val="000000"/>
                <w:sz w:val="20"/>
                <w:szCs w:val="20"/>
              </w:rPr>
              <w:t>(三级)</w:t>
            </w:r>
          </w:p>
        </w:tc>
        <w:tc>
          <w:tcPr>
            <w:tcW w:w="1276" w:type="dxa"/>
            <w:noWrap w:val="0"/>
            <w:vAlign w:val="center"/>
          </w:tcPr>
          <w:p>
            <w:pPr>
              <w:pStyle w:val="30"/>
              <w:spacing w:line="240" w:lineRule="exact"/>
              <w:jc w:val="center"/>
              <w:rPr>
                <w:rFonts w:hint="eastAsia"/>
                <w:color w:val="000000"/>
                <w:sz w:val="20"/>
                <w:szCs w:val="20"/>
              </w:rPr>
            </w:pPr>
            <w:r>
              <w:rPr>
                <w:color w:val="000000"/>
                <w:sz w:val="20"/>
                <w:szCs w:val="20"/>
              </w:rPr>
              <w:t>食品细类</w:t>
            </w:r>
          </w:p>
          <w:p>
            <w:pPr>
              <w:pStyle w:val="30"/>
              <w:spacing w:line="240" w:lineRule="exact"/>
              <w:jc w:val="center"/>
              <w:rPr>
                <w:color w:val="000000"/>
                <w:sz w:val="20"/>
                <w:szCs w:val="20"/>
              </w:rPr>
            </w:pPr>
            <w:r>
              <w:rPr>
                <w:color w:val="000000"/>
                <w:sz w:val="20"/>
                <w:szCs w:val="20"/>
              </w:rPr>
              <w:t>(四级)</w:t>
            </w:r>
          </w:p>
        </w:tc>
        <w:tc>
          <w:tcPr>
            <w:tcW w:w="709" w:type="dxa"/>
            <w:noWrap w:val="0"/>
            <w:vAlign w:val="center"/>
          </w:tcPr>
          <w:p>
            <w:pPr>
              <w:pStyle w:val="30"/>
              <w:spacing w:line="240" w:lineRule="exact"/>
              <w:jc w:val="center"/>
              <w:rPr>
                <w:rFonts w:hint="eastAsia"/>
                <w:color w:val="000000"/>
                <w:sz w:val="20"/>
                <w:szCs w:val="20"/>
              </w:rPr>
            </w:pPr>
            <w:r>
              <w:rPr>
                <w:color w:val="000000"/>
                <w:sz w:val="20"/>
                <w:szCs w:val="20"/>
              </w:rPr>
              <w:t>风险</w:t>
            </w:r>
          </w:p>
          <w:p>
            <w:pPr>
              <w:pStyle w:val="30"/>
              <w:spacing w:line="240" w:lineRule="exact"/>
              <w:jc w:val="center"/>
              <w:rPr>
                <w:color w:val="000000"/>
                <w:sz w:val="20"/>
                <w:szCs w:val="20"/>
              </w:rPr>
            </w:pPr>
            <w:r>
              <w:rPr>
                <w:color w:val="000000"/>
                <w:sz w:val="20"/>
                <w:szCs w:val="20"/>
              </w:rPr>
              <w:t>等级</w:t>
            </w:r>
          </w:p>
        </w:tc>
        <w:tc>
          <w:tcPr>
            <w:tcW w:w="6945" w:type="dxa"/>
            <w:noWrap w:val="0"/>
            <w:vAlign w:val="center"/>
          </w:tcPr>
          <w:p>
            <w:pPr>
              <w:pStyle w:val="30"/>
              <w:spacing w:line="240" w:lineRule="exact"/>
              <w:jc w:val="center"/>
              <w:rPr>
                <w:color w:val="000000"/>
                <w:sz w:val="20"/>
                <w:szCs w:val="20"/>
              </w:rPr>
            </w:pPr>
            <w:r>
              <w:rPr>
                <w:color w:val="000000"/>
                <w:sz w:val="20"/>
                <w:szCs w:val="20"/>
              </w:rPr>
              <w:t>检验项目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10" w:type="dxa"/>
            <w:noWrap w:val="0"/>
            <w:vAlign w:val="center"/>
          </w:tcPr>
          <w:p>
            <w:pPr>
              <w:pStyle w:val="30"/>
              <w:spacing w:line="260" w:lineRule="exact"/>
              <w:ind w:left="1"/>
              <w:jc w:val="center"/>
              <w:rPr>
                <w:color w:val="000000"/>
                <w:sz w:val="20"/>
                <w:szCs w:val="20"/>
              </w:rPr>
            </w:pPr>
            <w:r>
              <w:rPr>
                <w:color w:val="000000"/>
                <w:sz w:val="20"/>
                <w:szCs w:val="20"/>
              </w:rPr>
              <w:t>1</w:t>
            </w:r>
          </w:p>
        </w:tc>
        <w:tc>
          <w:tcPr>
            <w:tcW w:w="850" w:type="dxa"/>
            <w:noWrap w:val="0"/>
            <w:vAlign w:val="center"/>
          </w:tcPr>
          <w:p>
            <w:pPr>
              <w:pStyle w:val="30"/>
              <w:overflowPunct w:val="0"/>
              <w:spacing w:line="260" w:lineRule="exact"/>
              <w:jc w:val="center"/>
              <w:rPr>
                <w:color w:val="000000"/>
                <w:sz w:val="20"/>
                <w:szCs w:val="20"/>
              </w:rPr>
            </w:pPr>
            <w:r>
              <w:rPr>
                <w:rFonts w:hint="eastAsia"/>
                <w:color w:val="000000"/>
                <w:sz w:val="20"/>
                <w:szCs w:val="20"/>
              </w:rPr>
              <w:t>31</w:t>
            </w:r>
          </w:p>
        </w:tc>
        <w:tc>
          <w:tcPr>
            <w:tcW w:w="1418" w:type="dxa"/>
            <w:noWrap w:val="0"/>
            <w:vAlign w:val="center"/>
          </w:tcPr>
          <w:p>
            <w:pPr>
              <w:pStyle w:val="30"/>
              <w:spacing w:line="260" w:lineRule="exact"/>
              <w:ind w:left="326" w:right="327" w:firstLine="98"/>
              <w:jc w:val="center"/>
              <w:rPr>
                <w:color w:val="000000"/>
                <w:sz w:val="20"/>
                <w:szCs w:val="20"/>
              </w:rPr>
            </w:pPr>
            <w:r>
              <w:rPr>
                <w:color w:val="000000"/>
                <w:sz w:val="20"/>
                <w:szCs w:val="20"/>
              </w:rPr>
              <w:t>粮食加工品</w:t>
            </w:r>
          </w:p>
        </w:tc>
        <w:tc>
          <w:tcPr>
            <w:tcW w:w="1417" w:type="dxa"/>
            <w:noWrap w:val="0"/>
            <w:vAlign w:val="center"/>
          </w:tcPr>
          <w:p>
            <w:pPr>
              <w:pStyle w:val="30"/>
              <w:spacing w:line="260" w:lineRule="exact"/>
              <w:ind w:left="111" w:right="109"/>
              <w:jc w:val="center"/>
              <w:rPr>
                <w:color w:val="000000"/>
                <w:sz w:val="20"/>
                <w:szCs w:val="20"/>
              </w:rPr>
            </w:pPr>
            <w:r>
              <w:rPr>
                <w:color w:val="000000"/>
                <w:sz w:val="20"/>
                <w:szCs w:val="20"/>
              </w:rPr>
              <w:t>挂面</w:t>
            </w:r>
          </w:p>
        </w:tc>
        <w:tc>
          <w:tcPr>
            <w:tcW w:w="1843" w:type="dxa"/>
            <w:noWrap w:val="0"/>
            <w:vAlign w:val="center"/>
          </w:tcPr>
          <w:p>
            <w:pPr>
              <w:pStyle w:val="30"/>
              <w:spacing w:line="260" w:lineRule="exact"/>
              <w:ind w:left="111" w:right="109"/>
              <w:jc w:val="center"/>
              <w:rPr>
                <w:color w:val="000000"/>
                <w:sz w:val="20"/>
                <w:szCs w:val="20"/>
              </w:rPr>
            </w:pPr>
            <w:r>
              <w:rPr>
                <w:color w:val="000000"/>
                <w:sz w:val="20"/>
                <w:szCs w:val="20"/>
              </w:rPr>
              <w:t>挂面</w:t>
            </w:r>
          </w:p>
        </w:tc>
        <w:tc>
          <w:tcPr>
            <w:tcW w:w="1276" w:type="dxa"/>
            <w:noWrap w:val="0"/>
            <w:vAlign w:val="center"/>
          </w:tcPr>
          <w:p>
            <w:pPr>
              <w:pStyle w:val="30"/>
              <w:spacing w:line="260" w:lineRule="exact"/>
              <w:ind w:left="327" w:right="48" w:hanging="200"/>
              <w:jc w:val="center"/>
              <w:rPr>
                <w:color w:val="000000"/>
                <w:sz w:val="20"/>
                <w:szCs w:val="20"/>
              </w:rPr>
            </w:pPr>
            <w:r>
              <w:rPr>
                <w:color w:val="000000"/>
                <w:sz w:val="20"/>
                <w:szCs w:val="20"/>
              </w:rPr>
              <w:t>普通挂面、手工面</w:t>
            </w:r>
          </w:p>
        </w:tc>
        <w:tc>
          <w:tcPr>
            <w:tcW w:w="709" w:type="dxa"/>
            <w:noWrap w:val="0"/>
            <w:vAlign w:val="center"/>
          </w:tcPr>
          <w:p>
            <w:pPr>
              <w:pStyle w:val="30"/>
              <w:spacing w:line="260" w:lineRule="exact"/>
              <w:ind w:left="138" w:right="138"/>
              <w:jc w:val="center"/>
              <w:rPr>
                <w:color w:val="000000"/>
                <w:sz w:val="20"/>
                <w:szCs w:val="20"/>
              </w:rPr>
            </w:pPr>
            <w:r>
              <w:rPr>
                <w:color w:val="000000"/>
                <w:sz w:val="20"/>
                <w:szCs w:val="20"/>
              </w:rPr>
              <w:t>一般</w:t>
            </w:r>
          </w:p>
        </w:tc>
        <w:tc>
          <w:tcPr>
            <w:tcW w:w="6945" w:type="dxa"/>
            <w:noWrap w:val="0"/>
            <w:vAlign w:val="center"/>
          </w:tcPr>
          <w:p>
            <w:pPr>
              <w:pStyle w:val="30"/>
              <w:spacing w:line="260" w:lineRule="exact"/>
              <w:ind w:left="56" w:right="139"/>
              <w:jc w:val="center"/>
              <w:rPr>
                <w:color w:val="000000"/>
                <w:sz w:val="20"/>
                <w:szCs w:val="20"/>
              </w:rPr>
            </w:pPr>
            <w:r>
              <w:rPr>
                <w:color w:val="000000"/>
                <w:sz w:val="20"/>
                <w:szCs w:val="20"/>
              </w:rPr>
              <w:t>铅(以Pb计)、脱氢乙酸及其钠盐(以脱氢乙酸计)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10" w:type="dxa"/>
            <w:noWrap w:val="0"/>
            <w:vAlign w:val="center"/>
          </w:tcPr>
          <w:p>
            <w:pPr>
              <w:pStyle w:val="30"/>
              <w:spacing w:line="260" w:lineRule="exact"/>
              <w:jc w:val="center"/>
              <w:rPr>
                <w:b/>
                <w:color w:val="000000"/>
                <w:sz w:val="20"/>
                <w:szCs w:val="20"/>
              </w:rPr>
            </w:pPr>
          </w:p>
          <w:p>
            <w:pPr>
              <w:pStyle w:val="30"/>
              <w:spacing w:line="260" w:lineRule="exact"/>
              <w:ind w:left="1"/>
              <w:jc w:val="center"/>
              <w:rPr>
                <w:color w:val="000000"/>
                <w:sz w:val="20"/>
                <w:szCs w:val="20"/>
              </w:rPr>
            </w:pPr>
            <w:r>
              <w:rPr>
                <w:color w:val="000000"/>
                <w:sz w:val="20"/>
                <w:szCs w:val="20"/>
              </w:rPr>
              <w:t>2</w:t>
            </w:r>
          </w:p>
        </w:tc>
        <w:tc>
          <w:tcPr>
            <w:tcW w:w="850" w:type="dxa"/>
            <w:noWrap w:val="0"/>
            <w:vAlign w:val="center"/>
          </w:tcPr>
          <w:p>
            <w:pPr>
              <w:pStyle w:val="30"/>
              <w:overflowPunct w:val="0"/>
              <w:spacing w:line="260" w:lineRule="exact"/>
              <w:jc w:val="center"/>
              <w:rPr>
                <w:color w:val="000000"/>
                <w:sz w:val="20"/>
                <w:szCs w:val="20"/>
              </w:rPr>
            </w:pPr>
            <w:r>
              <w:rPr>
                <w:rFonts w:hint="eastAsia"/>
                <w:color w:val="000000"/>
                <w:sz w:val="20"/>
                <w:szCs w:val="20"/>
              </w:rPr>
              <w:t>24</w:t>
            </w:r>
          </w:p>
        </w:tc>
        <w:tc>
          <w:tcPr>
            <w:tcW w:w="1418" w:type="dxa"/>
            <w:noWrap w:val="0"/>
            <w:vAlign w:val="center"/>
          </w:tcPr>
          <w:p>
            <w:pPr>
              <w:pStyle w:val="30"/>
              <w:spacing w:line="260" w:lineRule="exact"/>
              <w:ind w:left="125" w:right="116"/>
              <w:jc w:val="center"/>
              <w:rPr>
                <w:color w:val="000000"/>
                <w:sz w:val="20"/>
                <w:szCs w:val="20"/>
              </w:rPr>
            </w:pPr>
            <w:r>
              <w:rPr>
                <w:color w:val="000000"/>
                <w:sz w:val="20"/>
                <w:szCs w:val="20"/>
              </w:rPr>
              <w:t>食用油、油脂及其制品</w:t>
            </w:r>
          </w:p>
        </w:tc>
        <w:tc>
          <w:tcPr>
            <w:tcW w:w="1417" w:type="dxa"/>
            <w:noWrap w:val="0"/>
            <w:vAlign w:val="center"/>
          </w:tcPr>
          <w:p>
            <w:pPr>
              <w:pStyle w:val="30"/>
              <w:spacing w:line="260" w:lineRule="exact"/>
              <w:jc w:val="center"/>
              <w:rPr>
                <w:rFonts w:hint="eastAsia"/>
                <w:color w:val="000000"/>
                <w:sz w:val="20"/>
                <w:szCs w:val="20"/>
              </w:rPr>
            </w:pPr>
            <w:r>
              <w:rPr>
                <w:color w:val="000000"/>
                <w:sz w:val="20"/>
                <w:szCs w:val="20"/>
              </w:rPr>
              <w:t>食用植物油</w:t>
            </w:r>
          </w:p>
          <w:p>
            <w:pPr>
              <w:pStyle w:val="30"/>
              <w:spacing w:line="260" w:lineRule="exact"/>
              <w:jc w:val="center"/>
              <w:rPr>
                <w:color w:val="000000"/>
                <w:sz w:val="20"/>
                <w:szCs w:val="20"/>
              </w:rPr>
            </w:pPr>
            <w:r>
              <w:rPr>
                <w:color w:val="000000"/>
                <w:sz w:val="20"/>
                <w:szCs w:val="20"/>
              </w:rPr>
              <w:t>(含煎炸用油)</w:t>
            </w:r>
          </w:p>
        </w:tc>
        <w:tc>
          <w:tcPr>
            <w:tcW w:w="1843" w:type="dxa"/>
            <w:noWrap w:val="0"/>
            <w:vAlign w:val="center"/>
          </w:tcPr>
          <w:p>
            <w:pPr>
              <w:pStyle w:val="30"/>
              <w:spacing w:line="260" w:lineRule="exact"/>
              <w:jc w:val="center"/>
              <w:rPr>
                <w:color w:val="000000"/>
                <w:sz w:val="20"/>
                <w:szCs w:val="20"/>
              </w:rPr>
            </w:pPr>
            <w:r>
              <w:rPr>
                <w:color w:val="000000"/>
                <w:sz w:val="20"/>
                <w:szCs w:val="20"/>
              </w:rPr>
              <w:t>食用植物油</w:t>
            </w:r>
          </w:p>
          <w:p>
            <w:pPr>
              <w:pStyle w:val="30"/>
              <w:spacing w:line="260" w:lineRule="exact"/>
              <w:jc w:val="center"/>
              <w:rPr>
                <w:color w:val="000000"/>
                <w:sz w:val="20"/>
                <w:szCs w:val="20"/>
              </w:rPr>
            </w:pPr>
            <w:r>
              <w:rPr>
                <w:color w:val="000000"/>
                <w:sz w:val="20"/>
                <w:szCs w:val="20"/>
              </w:rPr>
              <w:t>( 半精炼、全精炼)</w:t>
            </w:r>
          </w:p>
        </w:tc>
        <w:tc>
          <w:tcPr>
            <w:tcW w:w="1276" w:type="dxa"/>
            <w:noWrap w:val="0"/>
            <w:vAlign w:val="center"/>
          </w:tcPr>
          <w:p>
            <w:pPr>
              <w:pStyle w:val="30"/>
              <w:spacing w:line="260" w:lineRule="exact"/>
              <w:jc w:val="center"/>
              <w:rPr>
                <w:b/>
                <w:color w:val="000000"/>
                <w:sz w:val="20"/>
                <w:szCs w:val="20"/>
              </w:rPr>
            </w:pPr>
          </w:p>
          <w:p>
            <w:pPr>
              <w:pStyle w:val="30"/>
              <w:spacing w:line="260" w:lineRule="exact"/>
              <w:jc w:val="center"/>
              <w:rPr>
                <w:color w:val="000000"/>
                <w:sz w:val="20"/>
                <w:szCs w:val="20"/>
              </w:rPr>
            </w:pPr>
            <w:r>
              <w:rPr>
                <w:color w:val="000000"/>
                <w:sz w:val="20"/>
                <w:szCs w:val="20"/>
              </w:rPr>
              <w:t>花生油</w:t>
            </w:r>
          </w:p>
        </w:tc>
        <w:tc>
          <w:tcPr>
            <w:tcW w:w="709" w:type="dxa"/>
            <w:noWrap w:val="0"/>
            <w:vAlign w:val="center"/>
          </w:tcPr>
          <w:p>
            <w:pPr>
              <w:pStyle w:val="30"/>
              <w:spacing w:line="260" w:lineRule="exact"/>
              <w:ind w:left="2"/>
              <w:jc w:val="center"/>
              <w:rPr>
                <w:color w:val="000000"/>
                <w:sz w:val="20"/>
                <w:szCs w:val="20"/>
              </w:rPr>
            </w:pPr>
            <w:r>
              <w:rPr>
                <w:color w:val="000000"/>
                <w:sz w:val="20"/>
                <w:szCs w:val="20"/>
              </w:rPr>
              <w:t>高</w:t>
            </w:r>
          </w:p>
        </w:tc>
        <w:tc>
          <w:tcPr>
            <w:tcW w:w="6945" w:type="dxa"/>
            <w:noWrap w:val="0"/>
            <w:vAlign w:val="center"/>
          </w:tcPr>
          <w:p>
            <w:pPr>
              <w:pStyle w:val="30"/>
              <w:spacing w:line="260" w:lineRule="exact"/>
              <w:ind w:left="2219" w:right="130" w:hanging="2100"/>
              <w:jc w:val="center"/>
              <w:rPr>
                <w:color w:val="000000"/>
                <w:sz w:val="20"/>
                <w:szCs w:val="20"/>
              </w:rPr>
            </w:pPr>
            <w:r>
              <w:rPr>
                <w:color w:val="000000"/>
                <w:sz w:val="20"/>
                <w:szCs w:val="20"/>
              </w:rPr>
              <w:t>酸值/酸价、过氧化值、黄曲霉毒素B、铅(以Pb计)、苯并[a]芘、溶剂残留量、特丁基对苯二酚(TBHQ)</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10" w:type="dxa"/>
            <w:noWrap w:val="0"/>
            <w:vAlign w:val="center"/>
          </w:tcPr>
          <w:p>
            <w:pPr>
              <w:pStyle w:val="30"/>
              <w:spacing w:line="260" w:lineRule="exact"/>
              <w:jc w:val="center"/>
              <w:rPr>
                <w:b/>
                <w:color w:val="000000"/>
                <w:sz w:val="20"/>
                <w:szCs w:val="20"/>
              </w:rPr>
            </w:pPr>
          </w:p>
          <w:p>
            <w:pPr>
              <w:pStyle w:val="30"/>
              <w:spacing w:line="260" w:lineRule="exact"/>
              <w:ind w:left="1"/>
              <w:jc w:val="center"/>
              <w:rPr>
                <w:color w:val="000000"/>
                <w:sz w:val="20"/>
                <w:szCs w:val="20"/>
              </w:rPr>
            </w:pPr>
            <w:r>
              <w:rPr>
                <w:color w:val="000000"/>
                <w:sz w:val="20"/>
                <w:szCs w:val="20"/>
              </w:rPr>
              <w:t>3</w:t>
            </w:r>
          </w:p>
        </w:tc>
        <w:tc>
          <w:tcPr>
            <w:tcW w:w="850" w:type="dxa"/>
            <w:noWrap w:val="0"/>
            <w:vAlign w:val="center"/>
          </w:tcPr>
          <w:p>
            <w:pPr>
              <w:pStyle w:val="30"/>
              <w:overflowPunct w:val="0"/>
              <w:spacing w:line="260" w:lineRule="exact"/>
              <w:jc w:val="center"/>
              <w:rPr>
                <w:color w:val="000000"/>
                <w:sz w:val="20"/>
                <w:szCs w:val="20"/>
              </w:rPr>
            </w:pPr>
            <w:r>
              <w:rPr>
                <w:color w:val="000000"/>
                <w:sz w:val="20"/>
                <w:szCs w:val="20"/>
              </w:rPr>
              <w:t>9</w:t>
            </w:r>
          </w:p>
        </w:tc>
        <w:tc>
          <w:tcPr>
            <w:tcW w:w="1418" w:type="dxa"/>
            <w:noWrap w:val="0"/>
            <w:vAlign w:val="center"/>
          </w:tcPr>
          <w:p>
            <w:pPr>
              <w:pStyle w:val="30"/>
              <w:spacing w:line="260" w:lineRule="exact"/>
              <w:ind w:left="125" w:right="116"/>
              <w:jc w:val="center"/>
              <w:rPr>
                <w:color w:val="000000"/>
                <w:sz w:val="20"/>
                <w:szCs w:val="20"/>
              </w:rPr>
            </w:pPr>
            <w:r>
              <w:rPr>
                <w:color w:val="000000"/>
                <w:sz w:val="20"/>
                <w:szCs w:val="20"/>
              </w:rPr>
              <w:t>食用油、油脂及其制品</w:t>
            </w:r>
          </w:p>
        </w:tc>
        <w:tc>
          <w:tcPr>
            <w:tcW w:w="1417" w:type="dxa"/>
            <w:noWrap w:val="0"/>
            <w:vAlign w:val="center"/>
          </w:tcPr>
          <w:p>
            <w:pPr>
              <w:pStyle w:val="30"/>
              <w:spacing w:line="260" w:lineRule="exact"/>
              <w:jc w:val="center"/>
              <w:rPr>
                <w:color w:val="000000"/>
                <w:sz w:val="20"/>
                <w:szCs w:val="20"/>
              </w:rPr>
            </w:pPr>
            <w:r>
              <w:rPr>
                <w:color w:val="000000"/>
                <w:sz w:val="20"/>
                <w:szCs w:val="20"/>
              </w:rPr>
              <w:t>食用植物油</w:t>
            </w:r>
          </w:p>
          <w:p>
            <w:pPr>
              <w:pStyle w:val="30"/>
              <w:spacing w:line="260" w:lineRule="exact"/>
              <w:jc w:val="center"/>
              <w:rPr>
                <w:color w:val="000000"/>
                <w:sz w:val="20"/>
                <w:szCs w:val="20"/>
              </w:rPr>
            </w:pPr>
            <w:r>
              <w:rPr>
                <w:color w:val="000000"/>
                <w:sz w:val="20"/>
                <w:szCs w:val="20"/>
              </w:rPr>
              <w:t>(含煎炸用油 )</w:t>
            </w:r>
          </w:p>
        </w:tc>
        <w:tc>
          <w:tcPr>
            <w:tcW w:w="1843" w:type="dxa"/>
            <w:noWrap w:val="0"/>
            <w:vAlign w:val="center"/>
          </w:tcPr>
          <w:p>
            <w:pPr>
              <w:pStyle w:val="30"/>
              <w:spacing w:line="260" w:lineRule="exact"/>
              <w:jc w:val="center"/>
              <w:rPr>
                <w:rFonts w:hint="eastAsia"/>
                <w:color w:val="000000"/>
                <w:sz w:val="20"/>
                <w:szCs w:val="20"/>
              </w:rPr>
            </w:pPr>
            <w:r>
              <w:rPr>
                <w:color w:val="000000"/>
                <w:sz w:val="20"/>
                <w:szCs w:val="20"/>
              </w:rPr>
              <w:t xml:space="preserve">食用植物油 </w:t>
            </w:r>
          </w:p>
          <w:p>
            <w:pPr>
              <w:pStyle w:val="30"/>
              <w:spacing w:line="260" w:lineRule="exact"/>
              <w:jc w:val="center"/>
              <w:rPr>
                <w:color w:val="000000"/>
                <w:sz w:val="20"/>
                <w:szCs w:val="20"/>
              </w:rPr>
            </w:pPr>
            <w:r>
              <w:rPr>
                <w:color w:val="000000"/>
                <w:sz w:val="20"/>
                <w:szCs w:val="20"/>
              </w:rPr>
              <w:t>( 半精炼、全精炼)</w:t>
            </w:r>
          </w:p>
        </w:tc>
        <w:tc>
          <w:tcPr>
            <w:tcW w:w="1276" w:type="dxa"/>
            <w:noWrap w:val="0"/>
            <w:vAlign w:val="center"/>
          </w:tcPr>
          <w:p>
            <w:pPr>
              <w:pStyle w:val="30"/>
              <w:spacing w:line="260" w:lineRule="exact"/>
              <w:jc w:val="center"/>
              <w:rPr>
                <w:b/>
                <w:color w:val="000000"/>
                <w:sz w:val="20"/>
                <w:szCs w:val="20"/>
              </w:rPr>
            </w:pPr>
          </w:p>
          <w:p>
            <w:pPr>
              <w:pStyle w:val="30"/>
              <w:spacing w:line="260" w:lineRule="exact"/>
              <w:jc w:val="center"/>
              <w:rPr>
                <w:color w:val="000000"/>
                <w:sz w:val="20"/>
                <w:szCs w:val="20"/>
              </w:rPr>
            </w:pPr>
            <w:r>
              <w:rPr>
                <w:color w:val="000000"/>
                <w:sz w:val="20"/>
                <w:szCs w:val="20"/>
              </w:rPr>
              <w:t>芝麻油</w:t>
            </w:r>
          </w:p>
        </w:tc>
        <w:tc>
          <w:tcPr>
            <w:tcW w:w="709" w:type="dxa"/>
            <w:noWrap w:val="0"/>
            <w:vAlign w:val="center"/>
          </w:tcPr>
          <w:p>
            <w:pPr>
              <w:pStyle w:val="30"/>
              <w:spacing w:line="260" w:lineRule="exact"/>
              <w:ind w:left="2"/>
              <w:jc w:val="center"/>
              <w:rPr>
                <w:color w:val="000000"/>
                <w:sz w:val="20"/>
                <w:szCs w:val="20"/>
              </w:rPr>
            </w:pPr>
            <w:r>
              <w:rPr>
                <w:color w:val="000000"/>
                <w:sz w:val="20"/>
                <w:szCs w:val="20"/>
              </w:rPr>
              <w:t>高</w:t>
            </w:r>
          </w:p>
        </w:tc>
        <w:tc>
          <w:tcPr>
            <w:tcW w:w="6945" w:type="dxa"/>
            <w:noWrap w:val="0"/>
            <w:vAlign w:val="center"/>
          </w:tcPr>
          <w:p>
            <w:pPr>
              <w:pStyle w:val="30"/>
              <w:spacing w:line="260" w:lineRule="exact"/>
              <w:jc w:val="center"/>
              <w:rPr>
                <w:b/>
                <w:color w:val="000000"/>
                <w:sz w:val="20"/>
                <w:szCs w:val="20"/>
              </w:rPr>
            </w:pPr>
          </w:p>
          <w:p>
            <w:pPr>
              <w:pStyle w:val="30"/>
              <w:spacing w:line="260" w:lineRule="exact"/>
              <w:ind w:right="828"/>
              <w:jc w:val="center"/>
              <w:rPr>
                <w:color w:val="000000"/>
                <w:sz w:val="20"/>
                <w:szCs w:val="20"/>
              </w:rPr>
            </w:pPr>
            <w:r>
              <w:rPr>
                <w:color w:val="000000"/>
                <w:sz w:val="20"/>
                <w:szCs w:val="20"/>
              </w:rPr>
              <w:t>酸值/酸价、过氧化值、苯并[a]芘、溶剂残留量、乙基麦芽酚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710" w:type="dxa"/>
            <w:noWrap w:val="0"/>
            <w:vAlign w:val="center"/>
          </w:tcPr>
          <w:p>
            <w:pPr>
              <w:pStyle w:val="30"/>
              <w:spacing w:line="260" w:lineRule="exact"/>
              <w:jc w:val="center"/>
              <w:rPr>
                <w:b/>
                <w:color w:val="000000"/>
                <w:sz w:val="20"/>
                <w:szCs w:val="20"/>
              </w:rPr>
            </w:pPr>
          </w:p>
          <w:p>
            <w:pPr>
              <w:pStyle w:val="30"/>
              <w:spacing w:line="260" w:lineRule="exact"/>
              <w:ind w:left="1"/>
              <w:jc w:val="center"/>
              <w:rPr>
                <w:color w:val="000000"/>
                <w:sz w:val="20"/>
                <w:szCs w:val="20"/>
              </w:rPr>
            </w:pPr>
            <w:r>
              <w:rPr>
                <w:color w:val="000000"/>
                <w:sz w:val="20"/>
                <w:szCs w:val="20"/>
              </w:rPr>
              <w:t>4</w:t>
            </w:r>
          </w:p>
        </w:tc>
        <w:tc>
          <w:tcPr>
            <w:tcW w:w="850" w:type="dxa"/>
            <w:noWrap w:val="0"/>
            <w:vAlign w:val="center"/>
          </w:tcPr>
          <w:p>
            <w:pPr>
              <w:pStyle w:val="30"/>
              <w:overflowPunct w:val="0"/>
              <w:spacing w:line="260" w:lineRule="exact"/>
              <w:jc w:val="center"/>
              <w:rPr>
                <w:color w:val="000000"/>
                <w:sz w:val="20"/>
                <w:szCs w:val="20"/>
              </w:rPr>
            </w:pPr>
            <w:r>
              <w:rPr>
                <w:rFonts w:hint="eastAsia"/>
                <w:color w:val="000000"/>
                <w:sz w:val="20"/>
                <w:szCs w:val="20"/>
              </w:rPr>
              <w:t>33</w:t>
            </w:r>
          </w:p>
        </w:tc>
        <w:tc>
          <w:tcPr>
            <w:tcW w:w="1418" w:type="dxa"/>
            <w:noWrap w:val="0"/>
            <w:vAlign w:val="center"/>
          </w:tcPr>
          <w:p>
            <w:pPr>
              <w:pStyle w:val="30"/>
              <w:spacing w:line="260" w:lineRule="exact"/>
              <w:ind w:left="125" w:right="116"/>
              <w:jc w:val="center"/>
              <w:rPr>
                <w:color w:val="000000"/>
                <w:sz w:val="20"/>
                <w:szCs w:val="20"/>
              </w:rPr>
            </w:pPr>
            <w:r>
              <w:rPr>
                <w:color w:val="000000"/>
                <w:sz w:val="20"/>
                <w:szCs w:val="20"/>
              </w:rPr>
              <w:t>食用油、油脂及其制品</w:t>
            </w:r>
          </w:p>
        </w:tc>
        <w:tc>
          <w:tcPr>
            <w:tcW w:w="1417" w:type="dxa"/>
            <w:noWrap w:val="0"/>
            <w:vAlign w:val="center"/>
          </w:tcPr>
          <w:p>
            <w:pPr>
              <w:pStyle w:val="30"/>
              <w:spacing w:line="260" w:lineRule="exact"/>
              <w:jc w:val="center"/>
              <w:rPr>
                <w:rFonts w:hint="eastAsia"/>
                <w:color w:val="000000"/>
                <w:sz w:val="20"/>
                <w:szCs w:val="20"/>
              </w:rPr>
            </w:pPr>
            <w:r>
              <w:rPr>
                <w:color w:val="000000"/>
                <w:sz w:val="20"/>
                <w:szCs w:val="20"/>
              </w:rPr>
              <w:t>食用植物油</w:t>
            </w:r>
          </w:p>
          <w:p>
            <w:pPr>
              <w:pStyle w:val="30"/>
              <w:spacing w:line="260" w:lineRule="exact"/>
              <w:jc w:val="center"/>
              <w:rPr>
                <w:color w:val="000000"/>
                <w:sz w:val="20"/>
                <w:szCs w:val="20"/>
              </w:rPr>
            </w:pPr>
            <w:r>
              <w:rPr>
                <w:color w:val="000000"/>
                <w:sz w:val="20"/>
                <w:szCs w:val="20"/>
              </w:rPr>
              <w:t>(含煎炸用油)</w:t>
            </w:r>
          </w:p>
        </w:tc>
        <w:tc>
          <w:tcPr>
            <w:tcW w:w="1843" w:type="dxa"/>
            <w:noWrap w:val="0"/>
            <w:vAlign w:val="center"/>
          </w:tcPr>
          <w:p>
            <w:pPr>
              <w:pStyle w:val="30"/>
              <w:overflowPunct w:val="0"/>
              <w:spacing w:line="260" w:lineRule="exact"/>
              <w:jc w:val="center"/>
              <w:rPr>
                <w:color w:val="000000"/>
                <w:sz w:val="20"/>
                <w:szCs w:val="20"/>
              </w:rPr>
            </w:pPr>
            <w:r>
              <w:rPr>
                <w:color w:val="000000"/>
                <w:sz w:val="20"/>
                <w:szCs w:val="20"/>
              </w:rPr>
              <w:t>煎炸过程用</w:t>
            </w:r>
          </w:p>
          <w:p>
            <w:pPr>
              <w:pStyle w:val="30"/>
              <w:overflowPunct w:val="0"/>
              <w:spacing w:line="260" w:lineRule="exact"/>
              <w:jc w:val="center"/>
              <w:rPr>
                <w:color w:val="000000"/>
                <w:sz w:val="20"/>
                <w:szCs w:val="20"/>
              </w:rPr>
            </w:pPr>
            <w:r>
              <w:rPr>
                <w:color w:val="000000"/>
                <w:sz w:val="20"/>
                <w:szCs w:val="20"/>
              </w:rPr>
              <w:t>油(餐饮环节 )</w:t>
            </w:r>
          </w:p>
        </w:tc>
        <w:tc>
          <w:tcPr>
            <w:tcW w:w="1276" w:type="dxa"/>
            <w:noWrap w:val="0"/>
            <w:vAlign w:val="center"/>
          </w:tcPr>
          <w:p>
            <w:pPr>
              <w:pStyle w:val="30"/>
              <w:spacing w:line="260" w:lineRule="exact"/>
              <w:jc w:val="center"/>
              <w:rPr>
                <w:color w:val="000000"/>
                <w:sz w:val="20"/>
                <w:szCs w:val="20"/>
              </w:rPr>
            </w:pPr>
            <w:r>
              <w:rPr>
                <w:color w:val="000000"/>
                <w:sz w:val="20"/>
                <w:szCs w:val="20"/>
              </w:rPr>
              <w:t>煎炸过程用油</w:t>
            </w:r>
          </w:p>
        </w:tc>
        <w:tc>
          <w:tcPr>
            <w:tcW w:w="709" w:type="dxa"/>
            <w:noWrap w:val="0"/>
            <w:vAlign w:val="center"/>
          </w:tcPr>
          <w:p>
            <w:pPr>
              <w:pStyle w:val="30"/>
              <w:spacing w:line="260" w:lineRule="exact"/>
              <w:jc w:val="center"/>
              <w:rPr>
                <w:b/>
                <w:color w:val="000000"/>
                <w:sz w:val="20"/>
                <w:szCs w:val="20"/>
              </w:rPr>
            </w:pPr>
          </w:p>
          <w:p>
            <w:pPr>
              <w:pStyle w:val="30"/>
              <w:spacing w:line="260" w:lineRule="exact"/>
              <w:ind w:left="2"/>
              <w:jc w:val="center"/>
              <w:rPr>
                <w:color w:val="000000"/>
                <w:sz w:val="20"/>
                <w:szCs w:val="20"/>
              </w:rPr>
            </w:pPr>
            <w:r>
              <w:rPr>
                <w:color w:val="000000"/>
                <w:sz w:val="20"/>
                <w:szCs w:val="20"/>
              </w:rPr>
              <w:t>高</w:t>
            </w:r>
          </w:p>
        </w:tc>
        <w:tc>
          <w:tcPr>
            <w:tcW w:w="6945" w:type="dxa"/>
            <w:noWrap w:val="0"/>
            <w:vAlign w:val="center"/>
          </w:tcPr>
          <w:p>
            <w:pPr>
              <w:pStyle w:val="30"/>
              <w:spacing w:line="260" w:lineRule="exact"/>
              <w:jc w:val="center"/>
              <w:rPr>
                <w:b/>
                <w:color w:val="000000"/>
                <w:sz w:val="20"/>
                <w:szCs w:val="20"/>
              </w:rPr>
            </w:pPr>
          </w:p>
          <w:p>
            <w:pPr>
              <w:pStyle w:val="30"/>
              <w:spacing w:line="260" w:lineRule="exact"/>
              <w:ind w:left="119" w:right="93"/>
              <w:jc w:val="center"/>
              <w:rPr>
                <w:color w:val="000000"/>
                <w:sz w:val="20"/>
                <w:szCs w:val="20"/>
              </w:rPr>
            </w:pPr>
            <w:r>
              <w:rPr>
                <w:color w:val="000000"/>
                <w:sz w:val="20"/>
                <w:szCs w:val="20"/>
              </w:rPr>
              <w:t>酸价、极性组分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7" w:hRule="atLeast"/>
        </w:trPr>
        <w:tc>
          <w:tcPr>
            <w:tcW w:w="710" w:type="dxa"/>
            <w:noWrap w:val="0"/>
            <w:vAlign w:val="center"/>
          </w:tcPr>
          <w:p>
            <w:pPr>
              <w:pStyle w:val="30"/>
              <w:spacing w:line="260" w:lineRule="exact"/>
              <w:jc w:val="center"/>
              <w:rPr>
                <w:b/>
                <w:color w:val="000000"/>
                <w:sz w:val="20"/>
                <w:szCs w:val="20"/>
              </w:rPr>
            </w:pPr>
          </w:p>
          <w:p>
            <w:pPr>
              <w:pStyle w:val="30"/>
              <w:spacing w:line="260" w:lineRule="exact"/>
              <w:jc w:val="center"/>
              <w:rPr>
                <w:b/>
                <w:color w:val="000000"/>
                <w:sz w:val="20"/>
                <w:szCs w:val="20"/>
              </w:rPr>
            </w:pPr>
          </w:p>
          <w:p>
            <w:pPr>
              <w:pStyle w:val="30"/>
              <w:spacing w:line="260" w:lineRule="exact"/>
              <w:ind w:left="1"/>
              <w:jc w:val="center"/>
              <w:rPr>
                <w:color w:val="000000"/>
                <w:sz w:val="20"/>
                <w:szCs w:val="20"/>
              </w:rPr>
            </w:pPr>
            <w:r>
              <w:rPr>
                <w:color w:val="000000"/>
                <w:sz w:val="20"/>
                <w:szCs w:val="20"/>
              </w:rPr>
              <w:t>5</w:t>
            </w:r>
          </w:p>
        </w:tc>
        <w:tc>
          <w:tcPr>
            <w:tcW w:w="850" w:type="dxa"/>
            <w:noWrap w:val="0"/>
            <w:vAlign w:val="center"/>
          </w:tcPr>
          <w:p>
            <w:pPr>
              <w:pStyle w:val="30"/>
              <w:overflowPunct w:val="0"/>
              <w:spacing w:line="260" w:lineRule="exact"/>
              <w:jc w:val="center"/>
              <w:rPr>
                <w:color w:val="000000"/>
                <w:sz w:val="20"/>
                <w:szCs w:val="20"/>
              </w:rPr>
            </w:pPr>
            <w:r>
              <w:rPr>
                <w:rFonts w:hint="eastAsia"/>
                <w:color w:val="000000"/>
                <w:sz w:val="20"/>
                <w:szCs w:val="20"/>
              </w:rPr>
              <w:t>38</w:t>
            </w:r>
          </w:p>
        </w:tc>
        <w:tc>
          <w:tcPr>
            <w:tcW w:w="1418" w:type="dxa"/>
            <w:noWrap w:val="0"/>
            <w:vAlign w:val="center"/>
          </w:tcPr>
          <w:p>
            <w:pPr>
              <w:pStyle w:val="30"/>
              <w:spacing w:line="260" w:lineRule="exact"/>
              <w:ind w:left="15" w:right="9"/>
              <w:jc w:val="center"/>
              <w:rPr>
                <w:color w:val="000000"/>
                <w:sz w:val="20"/>
                <w:szCs w:val="20"/>
              </w:rPr>
            </w:pPr>
            <w:r>
              <w:rPr>
                <w:color w:val="000000"/>
                <w:sz w:val="20"/>
                <w:szCs w:val="20"/>
              </w:rPr>
              <w:t>肉制品</w:t>
            </w:r>
          </w:p>
        </w:tc>
        <w:tc>
          <w:tcPr>
            <w:tcW w:w="1417" w:type="dxa"/>
            <w:noWrap w:val="0"/>
            <w:vAlign w:val="center"/>
          </w:tcPr>
          <w:p>
            <w:pPr>
              <w:pStyle w:val="30"/>
              <w:spacing w:line="260" w:lineRule="exact"/>
              <w:ind w:left="129" w:right="108"/>
              <w:jc w:val="center"/>
              <w:rPr>
                <w:color w:val="000000"/>
                <w:sz w:val="20"/>
                <w:szCs w:val="20"/>
              </w:rPr>
            </w:pPr>
            <w:r>
              <w:rPr>
                <w:color w:val="000000"/>
                <w:sz w:val="20"/>
                <w:szCs w:val="20"/>
              </w:rPr>
              <w:t>预制肉制品</w:t>
            </w:r>
          </w:p>
        </w:tc>
        <w:tc>
          <w:tcPr>
            <w:tcW w:w="1843" w:type="dxa"/>
            <w:noWrap w:val="0"/>
            <w:vAlign w:val="center"/>
          </w:tcPr>
          <w:p>
            <w:pPr>
              <w:pStyle w:val="30"/>
              <w:spacing w:line="260" w:lineRule="exact"/>
              <w:ind w:left="129" w:right="108"/>
              <w:jc w:val="center"/>
              <w:rPr>
                <w:color w:val="000000"/>
                <w:sz w:val="20"/>
                <w:szCs w:val="20"/>
              </w:rPr>
            </w:pPr>
            <w:r>
              <w:rPr>
                <w:color w:val="000000"/>
                <w:sz w:val="20"/>
                <w:szCs w:val="20"/>
              </w:rPr>
              <w:t>酱卤肉制品</w:t>
            </w:r>
          </w:p>
        </w:tc>
        <w:tc>
          <w:tcPr>
            <w:tcW w:w="1276" w:type="dxa"/>
            <w:noWrap w:val="0"/>
            <w:vAlign w:val="center"/>
          </w:tcPr>
          <w:p>
            <w:pPr>
              <w:pStyle w:val="30"/>
              <w:spacing w:line="260" w:lineRule="exact"/>
              <w:ind w:left="15" w:right="2"/>
              <w:jc w:val="center"/>
              <w:rPr>
                <w:color w:val="000000"/>
                <w:sz w:val="20"/>
                <w:szCs w:val="20"/>
              </w:rPr>
            </w:pPr>
            <w:r>
              <w:rPr>
                <w:color w:val="000000"/>
                <w:sz w:val="20"/>
                <w:szCs w:val="20"/>
              </w:rPr>
              <w:t>酱卤肉制品</w:t>
            </w:r>
          </w:p>
        </w:tc>
        <w:tc>
          <w:tcPr>
            <w:tcW w:w="709" w:type="dxa"/>
            <w:noWrap w:val="0"/>
            <w:vAlign w:val="center"/>
          </w:tcPr>
          <w:p>
            <w:pPr>
              <w:pStyle w:val="30"/>
              <w:spacing w:line="260" w:lineRule="exact"/>
              <w:ind w:left="2"/>
              <w:jc w:val="center"/>
              <w:rPr>
                <w:color w:val="000000"/>
                <w:sz w:val="20"/>
                <w:szCs w:val="20"/>
              </w:rPr>
            </w:pPr>
            <w:r>
              <w:rPr>
                <w:color w:val="000000"/>
                <w:sz w:val="20"/>
                <w:szCs w:val="20"/>
              </w:rPr>
              <w:t>高</w:t>
            </w:r>
          </w:p>
        </w:tc>
        <w:tc>
          <w:tcPr>
            <w:tcW w:w="6945" w:type="dxa"/>
            <w:noWrap w:val="0"/>
            <w:vAlign w:val="center"/>
          </w:tcPr>
          <w:p>
            <w:pPr>
              <w:pStyle w:val="30"/>
              <w:spacing w:line="260" w:lineRule="exact"/>
              <w:jc w:val="center"/>
              <w:rPr>
                <w:color w:val="000000"/>
                <w:sz w:val="20"/>
                <w:szCs w:val="20"/>
              </w:rPr>
            </w:pPr>
            <w:r>
              <w:rPr>
                <w:color w:val="000000"/>
                <w:sz w:val="20"/>
                <w:szCs w:val="20"/>
              </w:rPr>
              <w:t>铅( 以Pb计) 、镉( 以Cd计) 、铬( 以Cr计) 、总砷( 以As计) 、氯霉素、酸性橙Ⅱ、亚硝酸盐(以亚硝酸钠计)、苯甲酸及其钠盐(以苯甲酸计)、山梨酸及其钾盐(以山梨酸计)、脱氢乙酸及其钠盐(以脱氢乙酸计)、防腐剂混合使用时各自用量占其最大使用量的比例之和、胭脂红、糖精钠(以糖精计)、菌 落总数、大肠菌群、沙门氏菌、金黄色葡萄球菌、单核细胞增生李斯特氏菌、大肠埃希氏菌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10" w:type="dxa"/>
            <w:noWrap w:val="0"/>
            <w:vAlign w:val="center"/>
          </w:tcPr>
          <w:p>
            <w:pPr>
              <w:pStyle w:val="30"/>
              <w:spacing w:line="260" w:lineRule="exact"/>
              <w:ind w:left="1"/>
              <w:jc w:val="center"/>
              <w:rPr>
                <w:color w:val="000000"/>
                <w:sz w:val="20"/>
                <w:szCs w:val="20"/>
              </w:rPr>
            </w:pPr>
            <w:r>
              <w:rPr>
                <w:color w:val="000000"/>
                <w:sz w:val="20"/>
                <w:szCs w:val="20"/>
              </w:rPr>
              <w:t>6</w:t>
            </w:r>
          </w:p>
        </w:tc>
        <w:tc>
          <w:tcPr>
            <w:tcW w:w="850" w:type="dxa"/>
            <w:noWrap w:val="0"/>
            <w:vAlign w:val="center"/>
          </w:tcPr>
          <w:p>
            <w:pPr>
              <w:pStyle w:val="30"/>
              <w:overflowPunct w:val="0"/>
              <w:spacing w:line="260" w:lineRule="exact"/>
              <w:jc w:val="center"/>
              <w:rPr>
                <w:rFonts w:hint="eastAsia"/>
                <w:color w:val="000000"/>
                <w:sz w:val="20"/>
                <w:szCs w:val="20"/>
              </w:rPr>
            </w:pPr>
            <w:r>
              <w:rPr>
                <w:rFonts w:hint="eastAsia"/>
                <w:color w:val="000000"/>
                <w:sz w:val="20"/>
                <w:szCs w:val="20"/>
              </w:rPr>
              <w:t>6</w:t>
            </w:r>
          </w:p>
        </w:tc>
        <w:tc>
          <w:tcPr>
            <w:tcW w:w="1418" w:type="dxa"/>
            <w:noWrap w:val="0"/>
            <w:vAlign w:val="center"/>
          </w:tcPr>
          <w:p>
            <w:pPr>
              <w:pStyle w:val="30"/>
              <w:spacing w:line="260" w:lineRule="exact"/>
              <w:ind w:left="15" w:right="25"/>
              <w:jc w:val="center"/>
              <w:rPr>
                <w:color w:val="000000"/>
                <w:sz w:val="20"/>
                <w:szCs w:val="20"/>
              </w:rPr>
            </w:pPr>
            <w:r>
              <w:rPr>
                <w:color w:val="000000"/>
                <w:sz w:val="20"/>
                <w:szCs w:val="20"/>
              </w:rPr>
              <w:t>饮料</w:t>
            </w:r>
          </w:p>
        </w:tc>
        <w:tc>
          <w:tcPr>
            <w:tcW w:w="1417" w:type="dxa"/>
            <w:noWrap w:val="0"/>
            <w:vAlign w:val="center"/>
          </w:tcPr>
          <w:p>
            <w:pPr>
              <w:pStyle w:val="30"/>
              <w:spacing w:line="260" w:lineRule="exact"/>
              <w:ind w:left="111" w:right="109"/>
              <w:jc w:val="center"/>
              <w:rPr>
                <w:color w:val="000000"/>
                <w:sz w:val="20"/>
                <w:szCs w:val="20"/>
              </w:rPr>
            </w:pPr>
            <w:r>
              <w:rPr>
                <w:color w:val="000000"/>
                <w:sz w:val="20"/>
                <w:szCs w:val="20"/>
              </w:rPr>
              <w:t>饮料</w:t>
            </w:r>
          </w:p>
        </w:tc>
        <w:tc>
          <w:tcPr>
            <w:tcW w:w="1843" w:type="dxa"/>
            <w:noWrap w:val="0"/>
            <w:vAlign w:val="center"/>
          </w:tcPr>
          <w:p>
            <w:pPr>
              <w:pStyle w:val="30"/>
              <w:spacing w:line="260" w:lineRule="exact"/>
              <w:ind w:left="109" w:right="109"/>
              <w:jc w:val="center"/>
              <w:rPr>
                <w:color w:val="000000"/>
                <w:sz w:val="20"/>
                <w:szCs w:val="20"/>
              </w:rPr>
            </w:pPr>
            <w:r>
              <w:rPr>
                <w:color w:val="000000"/>
                <w:sz w:val="20"/>
                <w:szCs w:val="20"/>
              </w:rPr>
              <w:t>茶饮料</w:t>
            </w:r>
          </w:p>
        </w:tc>
        <w:tc>
          <w:tcPr>
            <w:tcW w:w="1276" w:type="dxa"/>
            <w:noWrap w:val="0"/>
            <w:vAlign w:val="center"/>
          </w:tcPr>
          <w:p>
            <w:pPr>
              <w:pStyle w:val="30"/>
              <w:spacing w:line="260" w:lineRule="exact"/>
              <w:ind w:left="15" w:right="23"/>
              <w:jc w:val="center"/>
              <w:rPr>
                <w:color w:val="000000"/>
                <w:sz w:val="20"/>
                <w:szCs w:val="20"/>
              </w:rPr>
            </w:pPr>
            <w:r>
              <w:rPr>
                <w:color w:val="000000"/>
                <w:sz w:val="20"/>
                <w:szCs w:val="20"/>
              </w:rPr>
              <w:t>茶饮料</w:t>
            </w:r>
          </w:p>
        </w:tc>
        <w:tc>
          <w:tcPr>
            <w:tcW w:w="709" w:type="dxa"/>
            <w:noWrap w:val="0"/>
            <w:vAlign w:val="center"/>
          </w:tcPr>
          <w:p>
            <w:pPr>
              <w:pStyle w:val="30"/>
              <w:spacing w:line="260" w:lineRule="exact"/>
              <w:ind w:left="138" w:right="138"/>
              <w:jc w:val="center"/>
              <w:rPr>
                <w:color w:val="000000"/>
                <w:sz w:val="20"/>
                <w:szCs w:val="20"/>
              </w:rPr>
            </w:pPr>
            <w:r>
              <w:rPr>
                <w:color w:val="000000"/>
                <w:sz w:val="20"/>
                <w:szCs w:val="20"/>
              </w:rPr>
              <w:t>较高</w:t>
            </w:r>
          </w:p>
        </w:tc>
        <w:tc>
          <w:tcPr>
            <w:tcW w:w="6945" w:type="dxa"/>
            <w:noWrap w:val="0"/>
            <w:vAlign w:val="center"/>
          </w:tcPr>
          <w:p>
            <w:pPr>
              <w:pStyle w:val="30"/>
              <w:spacing w:line="260" w:lineRule="exact"/>
              <w:ind w:right="862"/>
              <w:jc w:val="center"/>
              <w:rPr>
                <w:color w:val="000000"/>
                <w:sz w:val="20"/>
                <w:szCs w:val="20"/>
              </w:rPr>
            </w:pPr>
            <w:r>
              <w:rPr>
                <w:color w:val="000000"/>
                <w:sz w:val="20"/>
                <w:szCs w:val="20"/>
              </w:rPr>
              <w:t>茶多酚、咖啡因、甜蜜素(以环己基氨基磺酸计)、菌落总数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710" w:type="dxa"/>
            <w:noWrap w:val="0"/>
            <w:vAlign w:val="center"/>
          </w:tcPr>
          <w:p>
            <w:pPr>
              <w:pStyle w:val="30"/>
              <w:spacing w:line="260" w:lineRule="exact"/>
              <w:ind w:left="1"/>
              <w:jc w:val="center"/>
              <w:rPr>
                <w:color w:val="000000"/>
                <w:sz w:val="20"/>
                <w:szCs w:val="20"/>
              </w:rPr>
            </w:pPr>
            <w:r>
              <w:rPr>
                <w:color w:val="000000"/>
                <w:sz w:val="20"/>
                <w:szCs w:val="20"/>
              </w:rPr>
              <w:t>7</w:t>
            </w:r>
          </w:p>
        </w:tc>
        <w:tc>
          <w:tcPr>
            <w:tcW w:w="850" w:type="dxa"/>
            <w:vMerge w:val="restart"/>
            <w:noWrap w:val="0"/>
            <w:vAlign w:val="center"/>
          </w:tcPr>
          <w:p>
            <w:pPr>
              <w:pStyle w:val="30"/>
              <w:overflowPunct w:val="0"/>
              <w:spacing w:line="260" w:lineRule="exact"/>
              <w:jc w:val="center"/>
              <w:rPr>
                <w:color w:val="000000"/>
                <w:sz w:val="20"/>
                <w:szCs w:val="20"/>
              </w:rPr>
            </w:pPr>
            <w:r>
              <w:rPr>
                <w:color w:val="000000"/>
                <w:sz w:val="20"/>
                <w:szCs w:val="20"/>
              </w:rPr>
              <w:t>9</w:t>
            </w:r>
          </w:p>
        </w:tc>
        <w:tc>
          <w:tcPr>
            <w:tcW w:w="1418" w:type="dxa"/>
            <w:noWrap w:val="0"/>
            <w:vAlign w:val="center"/>
          </w:tcPr>
          <w:p>
            <w:pPr>
              <w:pStyle w:val="30"/>
              <w:spacing w:line="260" w:lineRule="exact"/>
              <w:ind w:left="15" w:right="25"/>
              <w:jc w:val="center"/>
              <w:rPr>
                <w:color w:val="000000"/>
                <w:sz w:val="20"/>
                <w:szCs w:val="20"/>
              </w:rPr>
            </w:pPr>
            <w:r>
              <w:rPr>
                <w:color w:val="000000"/>
                <w:sz w:val="20"/>
                <w:szCs w:val="20"/>
              </w:rPr>
              <w:t>饮料</w:t>
            </w:r>
          </w:p>
        </w:tc>
        <w:tc>
          <w:tcPr>
            <w:tcW w:w="1417" w:type="dxa"/>
            <w:noWrap w:val="0"/>
            <w:vAlign w:val="center"/>
          </w:tcPr>
          <w:p>
            <w:pPr>
              <w:pStyle w:val="30"/>
              <w:spacing w:line="260" w:lineRule="exact"/>
              <w:ind w:left="111" w:right="109"/>
              <w:jc w:val="center"/>
              <w:rPr>
                <w:color w:val="000000"/>
                <w:sz w:val="20"/>
                <w:szCs w:val="20"/>
              </w:rPr>
            </w:pPr>
            <w:r>
              <w:rPr>
                <w:color w:val="000000"/>
                <w:sz w:val="20"/>
                <w:szCs w:val="20"/>
              </w:rPr>
              <w:t>饮料</w:t>
            </w:r>
          </w:p>
        </w:tc>
        <w:tc>
          <w:tcPr>
            <w:tcW w:w="1843" w:type="dxa"/>
            <w:noWrap w:val="0"/>
            <w:vAlign w:val="center"/>
          </w:tcPr>
          <w:p>
            <w:pPr>
              <w:pStyle w:val="30"/>
              <w:spacing w:line="260" w:lineRule="exact"/>
              <w:ind w:left="109" w:right="109"/>
              <w:jc w:val="center"/>
              <w:rPr>
                <w:color w:val="000000"/>
                <w:sz w:val="20"/>
                <w:szCs w:val="20"/>
              </w:rPr>
            </w:pPr>
            <w:r>
              <w:rPr>
                <w:color w:val="000000"/>
                <w:sz w:val="20"/>
                <w:szCs w:val="20"/>
              </w:rPr>
              <w:t>包装饮用水</w:t>
            </w:r>
          </w:p>
        </w:tc>
        <w:tc>
          <w:tcPr>
            <w:tcW w:w="1276" w:type="dxa"/>
            <w:noWrap w:val="0"/>
            <w:vAlign w:val="center"/>
          </w:tcPr>
          <w:p>
            <w:pPr>
              <w:pStyle w:val="30"/>
              <w:spacing w:line="260" w:lineRule="exact"/>
              <w:ind w:left="428" w:right="137" w:hanging="300"/>
              <w:jc w:val="center"/>
              <w:rPr>
                <w:color w:val="000000"/>
                <w:sz w:val="20"/>
                <w:szCs w:val="20"/>
              </w:rPr>
            </w:pPr>
            <w:r>
              <w:rPr>
                <w:color w:val="000000"/>
                <w:sz w:val="20"/>
                <w:szCs w:val="20"/>
              </w:rPr>
              <w:t>饮用天然矿泉水</w:t>
            </w:r>
          </w:p>
        </w:tc>
        <w:tc>
          <w:tcPr>
            <w:tcW w:w="709" w:type="dxa"/>
            <w:noWrap w:val="0"/>
            <w:vAlign w:val="center"/>
          </w:tcPr>
          <w:p>
            <w:pPr>
              <w:pStyle w:val="30"/>
              <w:spacing w:line="260" w:lineRule="exact"/>
              <w:ind w:left="2"/>
              <w:jc w:val="center"/>
              <w:rPr>
                <w:color w:val="000000"/>
                <w:sz w:val="20"/>
                <w:szCs w:val="20"/>
              </w:rPr>
            </w:pPr>
            <w:r>
              <w:rPr>
                <w:color w:val="000000"/>
                <w:sz w:val="20"/>
                <w:szCs w:val="20"/>
              </w:rPr>
              <w:t>高</w:t>
            </w:r>
          </w:p>
        </w:tc>
        <w:tc>
          <w:tcPr>
            <w:tcW w:w="6945" w:type="dxa"/>
            <w:noWrap w:val="0"/>
            <w:vAlign w:val="center"/>
          </w:tcPr>
          <w:p>
            <w:pPr>
              <w:pStyle w:val="30"/>
              <w:spacing w:line="260" w:lineRule="exact"/>
              <w:ind w:left="2510" w:right="264" w:hanging="2391"/>
              <w:jc w:val="center"/>
              <w:rPr>
                <w:color w:val="000000"/>
                <w:sz w:val="20"/>
                <w:szCs w:val="20"/>
              </w:rPr>
            </w:pPr>
            <w:r>
              <w:rPr>
                <w:color w:val="000000"/>
                <w:sz w:val="20"/>
                <w:szCs w:val="20"/>
              </w:rPr>
              <w:t>界限指标、镍、锑、溴酸盐、硝酸盐(以NO</w:t>
            </w:r>
            <w:r>
              <w:rPr>
                <w:rFonts w:ascii="Segoe UI" w:hAnsi="Segoe UI"/>
                <w:color w:val="000000"/>
                <w:sz w:val="20"/>
                <w:szCs w:val="20"/>
              </w:rPr>
              <w:t>₃</w:t>
            </w:r>
            <w:r>
              <w:rPr>
                <w:color w:val="000000"/>
                <w:sz w:val="20"/>
                <w:szCs w:val="20"/>
              </w:rPr>
              <w:t>计)、亚硝酸盐(以NO</w:t>
            </w:r>
            <w:r>
              <w:rPr>
                <w:rFonts w:ascii="Segoe UI" w:hAnsi="Segoe UI"/>
                <w:color w:val="000000"/>
                <w:sz w:val="20"/>
                <w:szCs w:val="20"/>
              </w:rPr>
              <w:t>₂</w:t>
            </w:r>
            <w:r>
              <w:rPr>
                <w:color w:val="000000"/>
                <w:sz w:val="20"/>
                <w:szCs w:val="20"/>
              </w:rPr>
              <w:t>计)、大肠菌群、铜绿假单胞菌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710" w:type="dxa"/>
            <w:noWrap w:val="0"/>
            <w:vAlign w:val="center"/>
          </w:tcPr>
          <w:p>
            <w:pPr>
              <w:pStyle w:val="30"/>
              <w:spacing w:line="260" w:lineRule="exact"/>
              <w:ind w:left="1"/>
              <w:jc w:val="center"/>
              <w:rPr>
                <w:color w:val="000000"/>
                <w:sz w:val="20"/>
                <w:szCs w:val="20"/>
              </w:rPr>
            </w:pPr>
            <w:r>
              <w:rPr>
                <w:color w:val="000000"/>
                <w:sz w:val="20"/>
                <w:szCs w:val="20"/>
              </w:rPr>
              <w:t>8</w:t>
            </w:r>
          </w:p>
        </w:tc>
        <w:tc>
          <w:tcPr>
            <w:tcW w:w="850" w:type="dxa"/>
            <w:vMerge w:val="continue"/>
            <w:tcBorders>
              <w:top w:val="nil"/>
            </w:tcBorders>
            <w:noWrap w:val="0"/>
            <w:vAlign w:val="center"/>
          </w:tcPr>
          <w:p>
            <w:pPr>
              <w:overflowPunct w:val="0"/>
              <w:spacing w:line="260" w:lineRule="exact"/>
              <w:jc w:val="center"/>
              <w:rPr>
                <w:color w:val="000000"/>
                <w:sz w:val="20"/>
                <w:szCs w:val="20"/>
              </w:rPr>
            </w:pPr>
          </w:p>
        </w:tc>
        <w:tc>
          <w:tcPr>
            <w:tcW w:w="1418" w:type="dxa"/>
            <w:noWrap w:val="0"/>
            <w:vAlign w:val="center"/>
          </w:tcPr>
          <w:p>
            <w:pPr>
              <w:pStyle w:val="30"/>
              <w:spacing w:line="260" w:lineRule="exact"/>
              <w:ind w:left="15" w:right="25"/>
              <w:jc w:val="center"/>
              <w:rPr>
                <w:color w:val="000000"/>
                <w:sz w:val="20"/>
                <w:szCs w:val="20"/>
              </w:rPr>
            </w:pPr>
            <w:r>
              <w:rPr>
                <w:color w:val="000000"/>
                <w:sz w:val="20"/>
                <w:szCs w:val="20"/>
              </w:rPr>
              <w:t>饮料</w:t>
            </w:r>
          </w:p>
        </w:tc>
        <w:tc>
          <w:tcPr>
            <w:tcW w:w="1417" w:type="dxa"/>
            <w:noWrap w:val="0"/>
            <w:vAlign w:val="center"/>
          </w:tcPr>
          <w:p>
            <w:pPr>
              <w:pStyle w:val="30"/>
              <w:spacing w:line="260" w:lineRule="exact"/>
              <w:ind w:left="111" w:right="109"/>
              <w:jc w:val="center"/>
              <w:rPr>
                <w:color w:val="000000"/>
                <w:sz w:val="20"/>
                <w:szCs w:val="20"/>
              </w:rPr>
            </w:pPr>
            <w:r>
              <w:rPr>
                <w:color w:val="000000"/>
                <w:sz w:val="20"/>
                <w:szCs w:val="20"/>
              </w:rPr>
              <w:t>饮料</w:t>
            </w:r>
          </w:p>
        </w:tc>
        <w:tc>
          <w:tcPr>
            <w:tcW w:w="1843" w:type="dxa"/>
            <w:noWrap w:val="0"/>
            <w:vAlign w:val="center"/>
          </w:tcPr>
          <w:p>
            <w:pPr>
              <w:pStyle w:val="30"/>
              <w:spacing w:line="260" w:lineRule="exact"/>
              <w:ind w:left="109" w:right="109"/>
              <w:jc w:val="center"/>
              <w:rPr>
                <w:color w:val="000000"/>
                <w:sz w:val="20"/>
                <w:szCs w:val="20"/>
              </w:rPr>
            </w:pPr>
            <w:r>
              <w:rPr>
                <w:color w:val="000000"/>
                <w:sz w:val="20"/>
                <w:szCs w:val="20"/>
              </w:rPr>
              <w:t>包装饮用水</w:t>
            </w:r>
          </w:p>
        </w:tc>
        <w:tc>
          <w:tcPr>
            <w:tcW w:w="1276" w:type="dxa"/>
            <w:noWrap w:val="0"/>
            <w:vAlign w:val="center"/>
          </w:tcPr>
          <w:p>
            <w:pPr>
              <w:pStyle w:val="30"/>
              <w:spacing w:line="260" w:lineRule="exact"/>
              <w:ind w:left="15" w:right="23"/>
              <w:jc w:val="center"/>
              <w:rPr>
                <w:color w:val="000000"/>
                <w:sz w:val="20"/>
                <w:szCs w:val="20"/>
              </w:rPr>
            </w:pPr>
            <w:r>
              <w:rPr>
                <w:color w:val="000000"/>
                <w:sz w:val="20"/>
                <w:szCs w:val="20"/>
              </w:rPr>
              <w:t>饮用纯净水</w:t>
            </w:r>
          </w:p>
        </w:tc>
        <w:tc>
          <w:tcPr>
            <w:tcW w:w="709" w:type="dxa"/>
            <w:noWrap w:val="0"/>
            <w:vAlign w:val="center"/>
          </w:tcPr>
          <w:p>
            <w:pPr>
              <w:pStyle w:val="30"/>
              <w:spacing w:line="260" w:lineRule="exact"/>
              <w:ind w:left="2"/>
              <w:jc w:val="center"/>
              <w:rPr>
                <w:color w:val="000000"/>
                <w:sz w:val="20"/>
                <w:szCs w:val="20"/>
              </w:rPr>
            </w:pPr>
            <w:r>
              <w:rPr>
                <w:color w:val="000000"/>
                <w:sz w:val="20"/>
                <w:szCs w:val="20"/>
              </w:rPr>
              <w:t>高</w:t>
            </w:r>
          </w:p>
        </w:tc>
        <w:tc>
          <w:tcPr>
            <w:tcW w:w="6945" w:type="dxa"/>
            <w:noWrap w:val="0"/>
            <w:vAlign w:val="center"/>
          </w:tcPr>
          <w:p>
            <w:pPr>
              <w:pStyle w:val="30"/>
              <w:spacing w:line="260" w:lineRule="exact"/>
              <w:ind w:left="1989" w:right="19" w:hanging="1870"/>
              <w:jc w:val="center"/>
              <w:rPr>
                <w:color w:val="000000"/>
                <w:sz w:val="20"/>
                <w:szCs w:val="20"/>
              </w:rPr>
            </w:pPr>
            <w:r>
              <w:rPr>
                <w:color w:val="000000"/>
                <w:sz w:val="20"/>
                <w:szCs w:val="20"/>
              </w:rPr>
              <w:t>电导率、耗氧量(以O²计)、亚硝酸盐(以NO</w:t>
            </w:r>
            <w:r>
              <w:rPr>
                <w:rFonts w:ascii="Segoe UI" w:hAnsi="Segoe UI"/>
                <w:color w:val="000000"/>
                <w:sz w:val="20"/>
                <w:szCs w:val="20"/>
              </w:rPr>
              <w:t>₂</w:t>
            </w:r>
            <w:r>
              <w:rPr>
                <w:color w:val="000000"/>
                <w:sz w:val="20"/>
                <w:szCs w:val="20"/>
              </w:rPr>
              <w:t>计)、余氯(游离氯)、三氯甲烷、溴酸盐、大肠菌群、铜绿假单胞菌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710" w:type="dxa"/>
            <w:noWrap w:val="0"/>
            <w:vAlign w:val="center"/>
          </w:tcPr>
          <w:p>
            <w:pPr>
              <w:pStyle w:val="30"/>
              <w:spacing w:line="260" w:lineRule="exact"/>
              <w:jc w:val="center"/>
              <w:rPr>
                <w:b/>
                <w:color w:val="000000"/>
                <w:sz w:val="20"/>
                <w:szCs w:val="20"/>
              </w:rPr>
            </w:pPr>
          </w:p>
          <w:p>
            <w:pPr>
              <w:pStyle w:val="30"/>
              <w:spacing w:line="260" w:lineRule="exact"/>
              <w:ind w:left="1"/>
              <w:jc w:val="center"/>
              <w:rPr>
                <w:color w:val="000000"/>
                <w:sz w:val="20"/>
                <w:szCs w:val="20"/>
              </w:rPr>
            </w:pPr>
            <w:r>
              <w:rPr>
                <w:color w:val="000000"/>
                <w:sz w:val="20"/>
                <w:szCs w:val="20"/>
              </w:rPr>
              <w:t>9</w:t>
            </w:r>
          </w:p>
        </w:tc>
        <w:tc>
          <w:tcPr>
            <w:tcW w:w="850" w:type="dxa"/>
            <w:noWrap w:val="0"/>
            <w:vAlign w:val="center"/>
          </w:tcPr>
          <w:p>
            <w:pPr>
              <w:pStyle w:val="30"/>
              <w:overflowPunct w:val="0"/>
              <w:spacing w:line="260" w:lineRule="exact"/>
              <w:jc w:val="center"/>
              <w:rPr>
                <w:color w:val="000000"/>
                <w:sz w:val="20"/>
                <w:szCs w:val="20"/>
              </w:rPr>
            </w:pPr>
            <w:r>
              <w:rPr>
                <w:color w:val="000000"/>
                <w:sz w:val="20"/>
                <w:szCs w:val="20"/>
              </w:rPr>
              <w:t>12</w:t>
            </w:r>
          </w:p>
        </w:tc>
        <w:tc>
          <w:tcPr>
            <w:tcW w:w="1418" w:type="dxa"/>
            <w:noWrap w:val="0"/>
            <w:vAlign w:val="center"/>
          </w:tcPr>
          <w:p>
            <w:pPr>
              <w:pStyle w:val="30"/>
              <w:spacing w:line="260" w:lineRule="exact"/>
              <w:jc w:val="center"/>
              <w:rPr>
                <w:b/>
                <w:color w:val="000000"/>
                <w:sz w:val="20"/>
                <w:szCs w:val="20"/>
              </w:rPr>
            </w:pPr>
          </w:p>
          <w:p>
            <w:pPr>
              <w:pStyle w:val="30"/>
              <w:spacing w:line="260" w:lineRule="exact"/>
              <w:ind w:left="15" w:right="25"/>
              <w:jc w:val="center"/>
              <w:rPr>
                <w:color w:val="000000"/>
                <w:sz w:val="20"/>
                <w:szCs w:val="20"/>
              </w:rPr>
            </w:pPr>
            <w:r>
              <w:rPr>
                <w:color w:val="000000"/>
                <w:sz w:val="20"/>
                <w:szCs w:val="20"/>
              </w:rPr>
              <w:t>饮料</w:t>
            </w:r>
          </w:p>
        </w:tc>
        <w:tc>
          <w:tcPr>
            <w:tcW w:w="1417" w:type="dxa"/>
            <w:noWrap w:val="0"/>
            <w:vAlign w:val="center"/>
          </w:tcPr>
          <w:p>
            <w:pPr>
              <w:pStyle w:val="30"/>
              <w:spacing w:line="260" w:lineRule="exact"/>
              <w:jc w:val="center"/>
              <w:rPr>
                <w:b/>
                <w:color w:val="000000"/>
                <w:sz w:val="20"/>
                <w:szCs w:val="20"/>
              </w:rPr>
            </w:pPr>
          </w:p>
          <w:p>
            <w:pPr>
              <w:pStyle w:val="30"/>
              <w:spacing w:line="260" w:lineRule="exact"/>
              <w:ind w:left="111" w:right="109"/>
              <w:jc w:val="center"/>
              <w:rPr>
                <w:color w:val="000000"/>
                <w:sz w:val="20"/>
                <w:szCs w:val="20"/>
              </w:rPr>
            </w:pPr>
            <w:r>
              <w:rPr>
                <w:color w:val="000000"/>
                <w:sz w:val="20"/>
                <w:szCs w:val="20"/>
              </w:rPr>
              <w:t>饮料</w:t>
            </w:r>
          </w:p>
        </w:tc>
        <w:tc>
          <w:tcPr>
            <w:tcW w:w="1843" w:type="dxa"/>
            <w:noWrap w:val="0"/>
            <w:vAlign w:val="center"/>
          </w:tcPr>
          <w:p>
            <w:pPr>
              <w:pStyle w:val="30"/>
              <w:spacing w:line="260" w:lineRule="exact"/>
              <w:jc w:val="center"/>
              <w:rPr>
                <w:b/>
                <w:color w:val="000000"/>
                <w:sz w:val="20"/>
                <w:szCs w:val="20"/>
              </w:rPr>
            </w:pPr>
          </w:p>
          <w:p>
            <w:pPr>
              <w:pStyle w:val="30"/>
              <w:spacing w:line="260" w:lineRule="exact"/>
              <w:ind w:left="118" w:right="109"/>
              <w:jc w:val="center"/>
              <w:rPr>
                <w:color w:val="000000"/>
                <w:sz w:val="20"/>
                <w:szCs w:val="20"/>
              </w:rPr>
            </w:pPr>
            <w:r>
              <w:rPr>
                <w:color w:val="000000"/>
                <w:sz w:val="20"/>
                <w:szCs w:val="20"/>
              </w:rPr>
              <w:t>固体饮料</w:t>
            </w:r>
          </w:p>
        </w:tc>
        <w:tc>
          <w:tcPr>
            <w:tcW w:w="1276" w:type="dxa"/>
            <w:noWrap w:val="0"/>
            <w:vAlign w:val="center"/>
          </w:tcPr>
          <w:p>
            <w:pPr>
              <w:pStyle w:val="30"/>
              <w:spacing w:line="260" w:lineRule="exact"/>
              <w:jc w:val="center"/>
              <w:rPr>
                <w:b/>
                <w:color w:val="000000"/>
                <w:sz w:val="20"/>
                <w:szCs w:val="20"/>
              </w:rPr>
            </w:pPr>
          </w:p>
          <w:p>
            <w:pPr>
              <w:pStyle w:val="30"/>
              <w:spacing w:line="260" w:lineRule="exact"/>
              <w:ind w:left="15" w:right="14"/>
              <w:jc w:val="center"/>
              <w:rPr>
                <w:color w:val="000000"/>
                <w:sz w:val="20"/>
                <w:szCs w:val="20"/>
              </w:rPr>
            </w:pPr>
            <w:r>
              <w:rPr>
                <w:color w:val="000000"/>
                <w:sz w:val="20"/>
                <w:szCs w:val="20"/>
              </w:rPr>
              <w:t>固体饮料</w:t>
            </w:r>
          </w:p>
        </w:tc>
        <w:tc>
          <w:tcPr>
            <w:tcW w:w="709" w:type="dxa"/>
            <w:noWrap w:val="0"/>
            <w:vAlign w:val="center"/>
          </w:tcPr>
          <w:p>
            <w:pPr>
              <w:pStyle w:val="30"/>
              <w:spacing w:line="260" w:lineRule="exact"/>
              <w:jc w:val="center"/>
              <w:rPr>
                <w:b/>
                <w:color w:val="000000"/>
                <w:sz w:val="20"/>
                <w:szCs w:val="20"/>
              </w:rPr>
            </w:pPr>
          </w:p>
          <w:p>
            <w:pPr>
              <w:pStyle w:val="30"/>
              <w:spacing w:line="260" w:lineRule="exact"/>
              <w:ind w:left="138" w:right="138"/>
              <w:jc w:val="center"/>
              <w:rPr>
                <w:color w:val="000000"/>
                <w:sz w:val="20"/>
                <w:szCs w:val="20"/>
              </w:rPr>
            </w:pPr>
            <w:r>
              <w:rPr>
                <w:color w:val="000000"/>
                <w:sz w:val="20"/>
                <w:szCs w:val="20"/>
              </w:rPr>
              <w:t>一般</w:t>
            </w:r>
          </w:p>
        </w:tc>
        <w:tc>
          <w:tcPr>
            <w:tcW w:w="6945" w:type="dxa"/>
            <w:noWrap w:val="0"/>
            <w:vAlign w:val="center"/>
          </w:tcPr>
          <w:p>
            <w:pPr>
              <w:pStyle w:val="30"/>
              <w:spacing w:line="260" w:lineRule="exact"/>
              <w:ind w:left="119" w:right="139"/>
              <w:jc w:val="center"/>
              <w:rPr>
                <w:color w:val="000000"/>
                <w:sz w:val="20"/>
                <w:szCs w:val="20"/>
              </w:rPr>
            </w:pPr>
            <w:r>
              <w:rPr>
                <w:color w:val="000000"/>
                <w:sz w:val="20"/>
                <w:szCs w:val="20"/>
              </w:rPr>
              <w:t>蛋白质、铅(以Pb计)、赭曲霉毒素A、苯甲酸及其钠盐(以苯甲酸计)、山梨酸及其钾盐(以山梨酸计)、防腐剂混合使用时各自用量占其最大使用量的比</w:t>
            </w:r>
          </w:p>
          <w:p>
            <w:pPr>
              <w:pStyle w:val="30"/>
              <w:spacing w:line="260" w:lineRule="exact"/>
              <w:ind w:left="179" w:right="175"/>
              <w:jc w:val="center"/>
              <w:rPr>
                <w:color w:val="000000"/>
                <w:sz w:val="20"/>
                <w:szCs w:val="20"/>
              </w:rPr>
            </w:pPr>
            <w:r>
              <w:rPr>
                <w:color w:val="000000"/>
                <w:sz w:val="20"/>
                <w:szCs w:val="20"/>
              </w:rPr>
              <w:t>例之和、糖精钠(以糖精计)、合成着色剂(苋菜红、胭脂红、柠檬黄、日落黄、亮蓝)、菌落总数、大肠菌群、霉菌</w:t>
            </w:r>
          </w:p>
        </w:tc>
      </w:tr>
    </w:tbl>
    <w:p>
      <w:pPr>
        <w:spacing w:before="7"/>
        <w:rPr>
          <w:b/>
        </w:rPr>
      </w:pPr>
    </w:p>
    <w:tbl>
      <w:tblPr>
        <w:tblStyle w:val="14"/>
        <w:tblW w:w="146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6"/>
        <w:gridCol w:w="567"/>
        <w:gridCol w:w="1520"/>
        <w:gridCol w:w="1279"/>
        <w:gridCol w:w="1259"/>
        <w:gridCol w:w="1289"/>
        <w:gridCol w:w="689"/>
        <w:gridCol w:w="74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jc w:val="center"/>
        </w:trPr>
        <w:tc>
          <w:tcPr>
            <w:tcW w:w="596" w:type="dxa"/>
            <w:noWrap w:val="0"/>
            <w:vAlign w:val="top"/>
          </w:tcPr>
          <w:p>
            <w:pPr>
              <w:pStyle w:val="30"/>
              <w:spacing w:before="21" w:line="224" w:lineRule="exact"/>
              <w:ind w:left="126" w:right="126"/>
              <w:jc w:val="center"/>
              <w:rPr>
                <w:color w:val="000000"/>
                <w:sz w:val="20"/>
                <w:szCs w:val="20"/>
              </w:rPr>
            </w:pPr>
            <w:r>
              <w:rPr>
                <w:color w:val="000000"/>
                <w:sz w:val="20"/>
                <w:szCs w:val="20"/>
              </w:rPr>
              <w:t>10</w:t>
            </w:r>
          </w:p>
        </w:tc>
        <w:tc>
          <w:tcPr>
            <w:tcW w:w="567" w:type="dxa"/>
            <w:noWrap w:val="0"/>
            <w:vAlign w:val="top"/>
          </w:tcPr>
          <w:p>
            <w:pPr>
              <w:pStyle w:val="30"/>
              <w:spacing w:line="240" w:lineRule="exact"/>
              <w:jc w:val="center"/>
              <w:rPr>
                <w:color w:val="000000"/>
                <w:sz w:val="20"/>
                <w:szCs w:val="20"/>
              </w:rPr>
            </w:pPr>
            <w:r>
              <w:rPr>
                <w:color w:val="000000"/>
                <w:sz w:val="20"/>
                <w:szCs w:val="20"/>
              </w:rPr>
              <w:t>15</w:t>
            </w:r>
          </w:p>
        </w:tc>
        <w:tc>
          <w:tcPr>
            <w:tcW w:w="1520" w:type="dxa"/>
            <w:noWrap w:val="0"/>
            <w:vAlign w:val="top"/>
          </w:tcPr>
          <w:p>
            <w:pPr>
              <w:pStyle w:val="30"/>
              <w:spacing w:before="11" w:line="233" w:lineRule="exact"/>
              <w:ind w:left="129" w:right="127"/>
              <w:jc w:val="center"/>
              <w:rPr>
                <w:color w:val="000000"/>
                <w:sz w:val="20"/>
                <w:szCs w:val="20"/>
              </w:rPr>
            </w:pPr>
            <w:r>
              <w:rPr>
                <w:color w:val="000000"/>
                <w:sz w:val="20"/>
                <w:szCs w:val="20"/>
              </w:rPr>
              <w:t>方便食品</w:t>
            </w:r>
          </w:p>
        </w:tc>
        <w:tc>
          <w:tcPr>
            <w:tcW w:w="1279" w:type="dxa"/>
            <w:noWrap w:val="0"/>
            <w:vAlign w:val="top"/>
          </w:tcPr>
          <w:p>
            <w:pPr>
              <w:pStyle w:val="30"/>
              <w:spacing w:before="11" w:line="233" w:lineRule="exact"/>
              <w:ind w:left="126" w:right="109"/>
              <w:jc w:val="center"/>
              <w:rPr>
                <w:color w:val="000000"/>
                <w:sz w:val="20"/>
                <w:szCs w:val="20"/>
              </w:rPr>
            </w:pPr>
            <w:r>
              <w:rPr>
                <w:color w:val="000000"/>
                <w:sz w:val="20"/>
                <w:szCs w:val="20"/>
              </w:rPr>
              <w:t>方便食品</w:t>
            </w:r>
          </w:p>
        </w:tc>
        <w:tc>
          <w:tcPr>
            <w:tcW w:w="1259" w:type="dxa"/>
            <w:noWrap w:val="0"/>
            <w:vAlign w:val="top"/>
          </w:tcPr>
          <w:p>
            <w:pPr>
              <w:pStyle w:val="30"/>
              <w:spacing w:before="11" w:line="233" w:lineRule="exact"/>
              <w:ind w:left="119" w:right="118"/>
              <w:jc w:val="center"/>
              <w:rPr>
                <w:color w:val="000000"/>
                <w:sz w:val="20"/>
                <w:szCs w:val="20"/>
              </w:rPr>
            </w:pPr>
            <w:r>
              <w:rPr>
                <w:color w:val="000000"/>
                <w:sz w:val="20"/>
                <w:szCs w:val="20"/>
              </w:rPr>
              <w:t>方便面</w:t>
            </w:r>
          </w:p>
        </w:tc>
        <w:tc>
          <w:tcPr>
            <w:tcW w:w="1289" w:type="dxa"/>
            <w:noWrap w:val="0"/>
            <w:vAlign w:val="top"/>
          </w:tcPr>
          <w:p>
            <w:pPr>
              <w:pStyle w:val="30"/>
              <w:spacing w:before="11" w:line="233" w:lineRule="exact"/>
              <w:ind w:left="127" w:right="127"/>
              <w:jc w:val="center"/>
              <w:rPr>
                <w:color w:val="000000"/>
                <w:sz w:val="20"/>
                <w:szCs w:val="20"/>
              </w:rPr>
            </w:pPr>
            <w:r>
              <w:rPr>
                <w:color w:val="000000"/>
                <w:sz w:val="20"/>
                <w:szCs w:val="20"/>
              </w:rPr>
              <w:t>米线</w:t>
            </w:r>
          </w:p>
        </w:tc>
        <w:tc>
          <w:tcPr>
            <w:tcW w:w="689" w:type="dxa"/>
            <w:noWrap w:val="0"/>
            <w:vAlign w:val="top"/>
          </w:tcPr>
          <w:p>
            <w:pPr>
              <w:pStyle w:val="30"/>
              <w:spacing w:before="11" w:line="233" w:lineRule="exact"/>
              <w:ind w:left="126" w:right="129"/>
              <w:jc w:val="center"/>
              <w:rPr>
                <w:color w:val="000000"/>
                <w:sz w:val="20"/>
                <w:szCs w:val="20"/>
              </w:rPr>
            </w:pPr>
            <w:r>
              <w:rPr>
                <w:color w:val="000000"/>
                <w:sz w:val="20"/>
                <w:szCs w:val="20"/>
              </w:rPr>
              <w:t>较高</w:t>
            </w:r>
          </w:p>
        </w:tc>
        <w:tc>
          <w:tcPr>
            <w:tcW w:w="7428" w:type="dxa"/>
            <w:noWrap w:val="0"/>
            <w:vAlign w:val="top"/>
          </w:tcPr>
          <w:p>
            <w:pPr>
              <w:pStyle w:val="30"/>
              <w:spacing w:line="245" w:lineRule="exact"/>
              <w:ind w:left="192" w:right="188"/>
              <w:jc w:val="center"/>
              <w:rPr>
                <w:color w:val="000000"/>
                <w:sz w:val="20"/>
                <w:szCs w:val="20"/>
              </w:rPr>
            </w:pPr>
            <w:r>
              <w:rPr>
                <w:color w:val="000000"/>
                <w:sz w:val="20"/>
                <w:szCs w:val="20"/>
              </w:rPr>
              <w:t>水分、酸价(以脂肪计)、过氧化值(以脂肪计)、菌落总数、大肠菌群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596" w:type="dxa"/>
            <w:noWrap w:val="0"/>
            <w:vAlign w:val="top"/>
          </w:tcPr>
          <w:p>
            <w:pPr>
              <w:pStyle w:val="30"/>
              <w:spacing w:before="5"/>
              <w:rPr>
                <w:color w:val="000000"/>
                <w:sz w:val="20"/>
                <w:szCs w:val="20"/>
              </w:rPr>
            </w:pPr>
          </w:p>
          <w:p>
            <w:pPr>
              <w:pStyle w:val="30"/>
              <w:spacing w:before="1"/>
              <w:ind w:left="126" w:right="126"/>
              <w:jc w:val="center"/>
              <w:rPr>
                <w:color w:val="000000"/>
                <w:sz w:val="20"/>
                <w:szCs w:val="20"/>
              </w:rPr>
            </w:pPr>
            <w:r>
              <w:rPr>
                <w:color w:val="000000"/>
                <w:sz w:val="20"/>
                <w:szCs w:val="20"/>
              </w:rPr>
              <w:t>11</w:t>
            </w:r>
          </w:p>
        </w:tc>
        <w:tc>
          <w:tcPr>
            <w:tcW w:w="567" w:type="dxa"/>
            <w:vMerge w:val="restart"/>
            <w:noWrap w:val="0"/>
            <w:vAlign w:val="center"/>
          </w:tcPr>
          <w:p>
            <w:pPr>
              <w:pStyle w:val="30"/>
              <w:spacing w:line="240" w:lineRule="exact"/>
              <w:jc w:val="center"/>
              <w:rPr>
                <w:color w:val="000000"/>
                <w:sz w:val="20"/>
                <w:szCs w:val="20"/>
              </w:rPr>
            </w:pPr>
            <w:r>
              <w:rPr>
                <w:rFonts w:hint="eastAsia"/>
                <w:color w:val="000000"/>
                <w:sz w:val="20"/>
                <w:szCs w:val="20"/>
              </w:rPr>
              <w:t>20</w:t>
            </w:r>
          </w:p>
        </w:tc>
        <w:tc>
          <w:tcPr>
            <w:tcW w:w="1520" w:type="dxa"/>
            <w:noWrap w:val="0"/>
            <w:vAlign w:val="top"/>
          </w:tcPr>
          <w:p>
            <w:pPr>
              <w:pStyle w:val="30"/>
              <w:spacing w:before="12"/>
              <w:rPr>
                <w:color w:val="000000"/>
                <w:sz w:val="20"/>
                <w:szCs w:val="20"/>
              </w:rPr>
            </w:pPr>
          </w:p>
          <w:p>
            <w:pPr>
              <w:pStyle w:val="30"/>
              <w:ind w:left="125" w:right="127"/>
              <w:jc w:val="center"/>
              <w:rPr>
                <w:color w:val="000000"/>
                <w:sz w:val="20"/>
                <w:szCs w:val="20"/>
              </w:rPr>
            </w:pPr>
            <w:r>
              <w:rPr>
                <w:color w:val="000000"/>
                <w:sz w:val="20"/>
                <w:szCs w:val="20"/>
              </w:rPr>
              <w:t>酒类</w:t>
            </w:r>
          </w:p>
        </w:tc>
        <w:tc>
          <w:tcPr>
            <w:tcW w:w="1279" w:type="dxa"/>
            <w:noWrap w:val="0"/>
            <w:vAlign w:val="top"/>
          </w:tcPr>
          <w:p>
            <w:pPr>
              <w:pStyle w:val="30"/>
              <w:spacing w:before="1"/>
              <w:rPr>
                <w:color w:val="000000"/>
                <w:sz w:val="20"/>
                <w:szCs w:val="20"/>
              </w:rPr>
            </w:pPr>
          </w:p>
          <w:p>
            <w:pPr>
              <w:pStyle w:val="30"/>
              <w:spacing w:before="1"/>
              <w:ind w:left="105" w:right="109"/>
              <w:jc w:val="center"/>
              <w:rPr>
                <w:color w:val="000000"/>
                <w:sz w:val="20"/>
                <w:szCs w:val="20"/>
              </w:rPr>
            </w:pPr>
            <w:r>
              <w:rPr>
                <w:color w:val="000000"/>
                <w:sz w:val="20"/>
                <w:szCs w:val="20"/>
              </w:rPr>
              <w:t>蒸馏酒</w:t>
            </w:r>
          </w:p>
        </w:tc>
        <w:tc>
          <w:tcPr>
            <w:tcW w:w="1259" w:type="dxa"/>
            <w:noWrap w:val="0"/>
            <w:vAlign w:val="top"/>
          </w:tcPr>
          <w:p>
            <w:pPr>
              <w:pStyle w:val="30"/>
              <w:spacing w:before="4"/>
              <w:rPr>
                <w:color w:val="000000"/>
                <w:sz w:val="20"/>
                <w:szCs w:val="20"/>
              </w:rPr>
            </w:pPr>
          </w:p>
          <w:p>
            <w:pPr>
              <w:pStyle w:val="30"/>
              <w:ind w:left="119" w:right="108"/>
              <w:jc w:val="center"/>
              <w:rPr>
                <w:color w:val="000000"/>
                <w:sz w:val="20"/>
                <w:szCs w:val="20"/>
              </w:rPr>
            </w:pPr>
            <w:r>
              <w:rPr>
                <w:color w:val="000000"/>
                <w:sz w:val="20"/>
                <w:szCs w:val="20"/>
              </w:rPr>
              <w:t>白酒</w:t>
            </w:r>
          </w:p>
        </w:tc>
        <w:tc>
          <w:tcPr>
            <w:tcW w:w="1289" w:type="dxa"/>
            <w:noWrap w:val="0"/>
            <w:vAlign w:val="top"/>
          </w:tcPr>
          <w:p>
            <w:pPr>
              <w:pStyle w:val="30"/>
              <w:spacing w:before="46" w:line="247" w:lineRule="auto"/>
              <w:ind w:left="139" w:right="120"/>
              <w:rPr>
                <w:color w:val="000000"/>
                <w:sz w:val="20"/>
                <w:szCs w:val="20"/>
              </w:rPr>
            </w:pPr>
            <w:r>
              <w:rPr>
                <w:color w:val="000000"/>
                <w:sz w:val="20"/>
                <w:szCs w:val="20"/>
              </w:rPr>
              <w:t>白酒、白酒 (液态)、白</w:t>
            </w:r>
          </w:p>
          <w:p>
            <w:pPr>
              <w:pStyle w:val="30"/>
              <w:spacing w:line="195" w:lineRule="exact"/>
              <w:ind w:left="237"/>
              <w:rPr>
                <w:color w:val="000000"/>
                <w:sz w:val="20"/>
                <w:szCs w:val="20"/>
              </w:rPr>
            </w:pPr>
            <w:r>
              <w:rPr>
                <w:color w:val="000000"/>
                <w:sz w:val="20"/>
                <w:szCs w:val="20"/>
              </w:rPr>
              <w:t>酒(原酒)</w:t>
            </w:r>
          </w:p>
        </w:tc>
        <w:tc>
          <w:tcPr>
            <w:tcW w:w="689" w:type="dxa"/>
            <w:noWrap w:val="0"/>
            <w:vAlign w:val="top"/>
          </w:tcPr>
          <w:p>
            <w:pPr>
              <w:pStyle w:val="30"/>
              <w:spacing w:before="12"/>
              <w:rPr>
                <w:color w:val="000000"/>
                <w:sz w:val="20"/>
                <w:szCs w:val="20"/>
              </w:rPr>
            </w:pPr>
          </w:p>
          <w:p>
            <w:pPr>
              <w:pStyle w:val="30"/>
              <w:jc w:val="center"/>
              <w:rPr>
                <w:color w:val="000000"/>
                <w:sz w:val="20"/>
                <w:szCs w:val="20"/>
              </w:rPr>
            </w:pPr>
            <w:r>
              <w:rPr>
                <w:color w:val="000000"/>
                <w:sz w:val="20"/>
                <w:szCs w:val="20"/>
              </w:rPr>
              <w:t>高</w:t>
            </w:r>
          </w:p>
        </w:tc>
        <w:tc>
          <w:tcPr>
            <w:tcW w:w="7428" w:type="dxa"/>
            <w:noWrap w:val="0"/>
            <w:vAlign w:val="top"/>
          </w:tcPr>
          <w:p>
            <w:pPr>
              <w:pStyle w:val="30"/>
              <w:spacing w:before="157" w:line="230" w:lineRule="auto"/>
              <w:ind w:left="1758" w:right="134" w:hanging="1649"/>
              <w:rPr>
                <w:color w:val="000000"/>
                <w:sz w:val="20"/>
                <w:szCs w:val="20"/>
              </w:rPr>
            </w:pPr>
            <w:r>
              <w:rPr>
                <w:color w:val="000000"/>
                <w:sz w:val="20"/>
                <w:szCs w:val="20"/>
              </w:rPr>
              <w:t>酒精度、铅(以Pb计)、甲醇、氰化物(以HCN计)、糖精钠(以糖精计)、甜蜜素(以环己基氨基磺酸计)、三氯蔗糖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jc w:val="center"/>
        </w:trPr>
        <w:tc>
          <w:tcPr>
            <w:tcW w:w="596" w:type="dxa"/>
            <w:noWrap w:val="0"/>
            <w:vAlign w:val="top"/>
          </w:tcPr>
          <w:p>
            <w:pPr>
              <w:pStyle w:val="30"/>
              <w:rPr>
                <w:color w:val="000000"/>
                <w:sz w:val="20"/>
                <w:szCs w:val="20"/>
              </w:rPr>
            </w:pPr>
          </w:p>
          <w:p>
            <w:pPr>
              <w:pStyle w:val="30"/>
              <w:spacing w:before="167"/>
              <w:ind w:left="126" w:right="126"/>
              <w:jc w:val="center"/>
              <w:rPr>
                <w:color w:val="000000"/>
                <w:sz w:val="20"/>
                <w:szCs w:val="20"/>
              </w:rPr>
            </w:pPr>
            <w:r>
              <w:rPr>
                <w:color w:val="000000"/>
                <w:sz w:val="20"/>
                <w:szCs w:val="20"/>
              </w:rPr>
              <w:t>12</w:t>
            </w:r>
          </w:p>
        </w:tc>
        <w:tc>
          <w:tcPr>
            <w:tcW w:w="567" w:type="dxa"/>
            <w:vMerge w:val="continue"/>
            <w:tcBorders>
              <w:top w:val="nil"/>
            </w:tcBorders>
            <w:noWrap w:val="0"/>
            <w:vAlign w:val="top"/>
          </w:tcPr>
          <w:p>
            <w:pPr>
              <w:spacing w:line="240" w:lineRule="exact"/>
              <w:rPr>
                <w:color w:val="000000"/>
                <w:sz w:val="20"/>
                <w:szCs w:val="20"/>
              </w:rPr>
            </w:pPr>
          </w:p>
        </w:tc>
        <w:tc>
          <w:tcPr>
            <w:tcW w:w="1520" w:type="dxa"/>
            <w:noWrap w:val="0"/>
            <w:vAlign w:val="top"/>
          </w:tcPr>
          <w:p>
            <w:pPr>
              <w:pStyle w:val="30"/>
              <w:rPr>
                <w:color w:val="000000"/>
                <w:sz w:val="20"/>
                <w:szCs w:val="20"/>
              </w:rPr>
            </w:pPr>
          </w:p>
          <w:p>
            <w:pPr>
              <w:pStyle w:val="30"/>
              <w:spacing w:before="145"/>
              <w:ind w:left="125" w:right="127"/>
              <w:jc w:val="center"/>
              <w:rPr>
                <w:color w:val="000000"/>
                <w:sz w:val="20"/>
                <w:szCs w:val="20"/>
              </w:rPr>
            </w:pPr>
            <w:r>
              <w:rPr>
                <w:color w:val="000000"/>
                <w:sz w:val="20"/>
                <w:szCs w:val="20"/>
              </w:rPr>
              <w:t>酒类</w:t>
            </w:r>
          </w:p>
        </w:tc>
        <w:tc>
          <w:tcPr>
            <w:tcW w:w="1279" w:type="dxa"/>
            <w:noWrap w:val="0"/>
            <w:vAlign w:val="top"/>
          </w:tcPr>
          <w:p>
            <w:pPr>
              <w:pStyle w:val="30"/>
              <w:rPr>
                <w:color w:val="000000"/>
                <w:sz w:val="20"/>
                <w:szCs w:val="20"/>
              </w:rPr>
            </w:pPr>
          </w:p>
          <w:p>
            <w:pPr>
              <w:pStyle w:val="30"/>
              <w:spacing w:before="147"/>
              <w:ind w:left="107" w:right="109"/>
              <w:jc w:val="center"/>
              <w:rPr>
                <w:color w:val="000000"/>
                <w:sz w:val="20"/>
                <w:szCs w:val="20"/>
              </w:rPr>
            </w:pPr>
            <w:r>
              <w:rPr>
                <w:color w:val="000000"/>
                <w:sz w:val="20"/>
                <w:szCs w:val="20"/>
              </w:rPr>
              <w:t>其它酒</w:t>
            </w:r>
          </w:p>
        </w:tc>
        <w:tc>
          <w:tcPr>
            <w:tcW w:w="1259" w:type="dxa"/>
            <w:noWrap w:val="0"/>
            <w:vAlign w:val="top"/>
          </w:tcPr>
          <w:p>
            <w:pPr>
              <w:pStyle w:val="30"/>
              <w:rPr>
                <w:color w:val="000000"/>
                <w:sz w:val="20"/>
                <w:szCs w:val="20"/>
              </w:rPr>
            </w:pPr>
          </w:p>
          <w:p>
            <w:pPr>
              <w:pStyle w:val="30"/>
              <w:spacing w:before="147"/>
              <w:ind w:left="119" w:right="118"/>
              <w:jc w:val="center"/>
              <w:rPr>
                <w:color w:val="000000"/>
                <w:sz w:val="20"/>
                <w:szCs w:val="20"/>
              </w:rPr>
            </w:pPr>
            <w:r>
              <w:rPr>
                <w:color w:val="000000"/>
                <w:sz w:val="20"/>
                <w:szCs w:val="20"/>
              </w:rPr>
              <w:t>配制酒</w:t>
            </w:r>
          </w:p>
        </w:tc>
        <w:tc>
          <w:tcPr>
            <w:tcW w:w="1289" w:type="dxa"/>
            <w:noWrap w:val="0"/>
            <w:vAlign w:val="top"/>
          </w:tcPr>
          <w:p>
            <w:pPr>
              <w:pStyle w:val="30"/>
              <w:spacing w:before="15" w:line="247" w:lineRule="auto"/>
              <w:ind w:left="139" w:right="127" w:hanging="3"/>
              <w:jc w:val="center"/>
              <w:rPr>
                <w:color w:val="000000"/>
                <w:sz w:val="20"/>
                <w:szCs w:val="20"/>
              </w:rPr>
            </w:pPr>
            <w:r>
              <w:rPr>
                <w:color w:val="000000"/>
                <w:sz w:val="20"/>
                <w:szCs w:val="20"/>
              </w:rPr>
              <w:t>以蒸馏酒及食用酒精为</w:t>
            </w:r>
          </w:p>
          <w:p>
            <w:pPr>
              <w:pStyle w:val="30"/>
              <w:spacing w:before="4" w:line="236" w:lineRule="exact"/>
              <w:ind w:left="139" w:right="127"/>
              <w:jc w:val="center"/>
              <w:rPr>
                <w:color w:val="000000"/>
                <w:sz w:val="20"/>
                <w:szCs w:val="20"/>
              </w:rPr>
            </w:pPr>
            <w:r>
              <w:rPr>
                <w:color w:val="000000"/>
                <w:sz w:val="20"/>
                <w:szCs w:val="20"/>
              </w:rPr>
              <w:t>酒基的配制酒</w:t>
            </w:r>
          </w:p>
        </w:tc>
        <w:tc>
          <w:tcPr>
            <w:tcW w:w="689" w:type="dxa"/>
            <w:noWrap w:val="0"/>
            <w:vAlign w:val="top"/>
          </w:tcPr>
          <w:p>
            <w:pPr>
              <w:pStyle w:val="30"/>
              <w:rPr>
                <w:color w:val="000000"/>
                <w:sz w:val="20"/>
                <w:szCs w:val="20"/>
              </w:rPr>
            </w:pPr>
          </w:p>
          <w:p>
            <w:pPr>
              <w:pStyle w:val="30"/>
              <w:spacing w:before="145"/>
              <w:ind w:left="126" w:right="129"/>
              <w:jc w:val="center"/>
              <w:rPr>
                <w:color w:val="000000"/>
                <w:sz w:val="20"/>
                <w:szCs w:val="20"/>
              </w:rPr>
            </w:pPr>
            <w:r>
              <w:rPr>
                <w:color w:val="000000"/>
                <w:sz w:val="20"/>
                <w:szCs w:val="20"/>
              </w:rPr>
              <w:t>较高</w:t>
            </w:r>
          </w:p>
        </w:tc>
        <w:tc>
          <w:tcPr>
            <w:tcW w:w="7428" w:type="dxa"/>
            <w:noWrap w:val="0"/>
            <w:vAlign w:val="top"/>
          </w:tcPr>
          <w:p>
            <w:pPr>
              <w:pStyle w:val="30"/>
              <w:rPr>
                <w:color w:val="000000"/>
                <w:sz w:val="20"/>
                <w:szCs w:val="20"/>
              </w:rPr>
            </w:pPr>
          </w:p>
          <w:p>
            <w:pPr>
              <w:pStyle w:val="30"/>
              <w:spacing w:before="143"/>
              <w:ind w:left="153" w:right="202"/>
              <w:jc w:val="center"/>
              <w:rPr>
                <w:color w:val="000000"/>
                <w:sz w:val="20"/>
                <w:szCs w:val="20"/>
              </w:rPr>
            </w:pPr>
            <w:r>
              <w:rPr>
                <w:color w:val="000000"/>
                <w:sz w:val="20"/>
                <w:szCs w:val="20"/>
              </w:rPr>
              <w:t>酒精度、甲醇、氰化物(以HCN计)、甜蜜素(以环己基氨基磺酸计)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596" w:type="dxa"/>
            <w:noWrap w:val="0"/>
            <w:vAlign w:val="top"/>
          </w:tcPr>
          <w:p>
            <w:pPr>
              <w:pStyle w:val="30"/>
              <w:spacing w:before="163"/>
              <w:ind w:left="126" w:right="126"/>
              <w:jc w:val="center"/>
              <w:rPr>
                <w:color w:val="000000"/>
                <w:sz w:val="20"/>
                <w:szCs w:val="20"/>
              </w:rPr>
            </w:pPr>
            <w:r>
              <w:rPr>
                <w:color w:val="000000"/>
                <w:sz w:val="20"/>
                <w:szCs w:val="20"/>
              </w:rPr>
              <w:t>13</w:t>
            </w:r>
          </w:p>
        </w:tc>
        <w:tc>
          <w:tcPr>
            <w:tcW w:w="567" w:type="dxa"/>
            <w:noWrap w:val="0"/>
            <w:vAlign w:val="center"/>
          </w:tcPr>
          <w:p>
            <w:pPr>
              <w:pStyle w:val="30"/>
              <w:spacing w:line="240" w:lineRule="exact"/>
              <w:jc w:val="center"/>
              <w:rPr>
                <w:color w:val="000000"/>
                <w:sz w:val="20"/>
                <w:szCs w:val="20"/>
              </w:rPr>
            </w:pPr>
            <w:r>
              <w:rPr>
                <w:color w:val="000000"/>
                <w:sz w:val="20"/>
                <w:szCs w:val="20"/>
              </w:rPr>
              <w:t>3</w:t>
            </w:r>
          </w:p>
        </w:tc>
        <w:tc>
          <w:tcPr>
            <w:tcW w:w="1520" w:type="dxa"/>
            <w:noWrap w:val="0"/>
            <w:vAlign w:val="top"/>
          </w:tcPr>
          <w:p>
            <w:pPr>
              <w:pStyle w:val="30"/>
              <w:spacing w:before="142"/>
              <w:ind w:left="125" w:right="127"/>
              <w:jc w:val="center"/>
              <w:rPr>
                <w:color w:val="000000"/>
                <w:sz w:val="20"/>
                <w:szCs w:val="20"/>
              </w:rPr>
            </w:pPr>
            <w:r>
              <w:rPr>
                <w:color w:val="000000"/>
                <w:sz w:val="20"/>
                <w:szCs w:val="20"/>
              </w:rPr>
              <w:t>酒类</w:t>
            </w:r>
          </w:p>
        </w:tc>
        <w:tc>
          <w:tcPr>
            <w:tcW w:w="1279" w:type="dxa"/>
            <w:noWrap w:val="0"/>
            <w:vAlign w:val="top"/>
          </w:tcPr>
          <w:p>
            <w:pPr>
              <w:pStyle w:val="30"/>
              <w:spacing w:before="144"/>
              <w:ind w:left="114" w:right="109"/>
              <w:jc w:val="center"/>
              <w:rPr>
                <w:color w:val="000000"/>
                <w:sz w:val="20"/>
                <w:szCs w:val="20"/>
              </w:rPr>
            </w:pPr>
            <w:r>
              <w:rPr>
                <w:color w:val="000000"/>
                <w:sz w:val="20"/>
                <w:szCs w:val="20"/>
              </w:rPr>
              <w:t>发酵酒</w:t>
            </w:r>
          </w:p>
        </w:tc>
        <w:tc>
          <w:tcPr>
            <w:tcW w:w="1259" w:type="dxa"/>
            <w:noWrap w:val="0"/>
            <w:vAlign w:val="top"/>
          </w:tcPr>
          <w:p>
            <w:pPr>
              <w:pStyle w:val="30"/>
              <w:spacing w:before="142"/>
              <w:ind w:left="119" w:right="119"/>
              <w:jc w:val="center"/>
              <w:rPr>
                <w:color w:val="000000"/>
                <w:sz w:val="20"/>
                <w:szCs w:val="20"/>
              </w:rPr>
            </w:pPr>
            <w:r>
              <w:rPr>
                <w:color w:val="000000"/>
                <w:sz w:val="20"/>
                <w:szCs w:val="20"/>
              </w:rPr>
              <w:t>黄酒</w:t>
            </w:r>
          </w:p>
        </w:tc>
        <w:tc>
          <w:tcPr>
            <w:tcW w:w="1289" w:type="dxa"/>
            <w:noWrap w:val="0"/>
            <w:vAlign w:val="top"/>
          </w:tcPr>
          <w:p>
            <w:pPr>
              <w:pStyle w:val="30"/>
              <w:spacing w:before="142"/>
              <w:ind w:left="120" w:right="127"/>
              <w:jc w:val="center"/>
              <w:rPr>
                <w:color w:val="000000"/>
                <w:sz w:val="20"/>
                <w:szCs w:val="20"/>
              </w:rPr>
            </w:pPr>
            <w:r>
              <w:rPr>
                <w:color w:val="000000"/>
                <w:sz w:val="20"/>
                <w:szCs w:val="20"/>
              </w:rPr>
              <w:t>黄酒</w:t>
            </w:r>
          </w:p>
        </w:tc>
        <w:tc>
          <w:tcPr>
            <w:tcW w:w="689" w:type="dxa"/>
            <w:noWrap w:val="0"/>
            <w:vAlign w:val="top"/>
          </w:tcPr>
          <w:p>
            <w:pPr>
              <w:pStyle w:val="30"/>
              <w:spacing w:before="142"/>
              <w:ind w:left="126" w:right="129"/>
              <w:jc w:val="center"/>
              <w:rPr>
                <w:color w:val="000000"/>
                <w:sz w:val="20"/>
                <w:szCs w:val="20"/>
              </w:rPr>
            </w:pPr>
            <w:r>
              <w:rPr>
                <w:color w:val="000000"/>
                <w:sz w:val="20"/>
                <w:szCs w:val="20"/>
              </w:rPr>
              <w:t>较高</w:t>
            </w:r>
          </w:p>
        </w:tc>
        <w:tc>
          <w:tcPr>
            <w:tcW w:w="7428" w:type="dxa"/>
            <w:noWrap w:val="0"/>
            <w:vAlign w:val="top"/>
          </w:tcPr>
          <w:p>
            <w:pPr>
              <w:pStyle w:val="30"/>
              <w:spacing w:line="247" w:lineRule="exact"/>
              <w:ind w:left="192" w:right="202"/>
              <w:jc w:val="center"/>
              <w:rPr>
                <w:color w:val="000000"/>
                <w:sz w:val="20"/>
                <w:szCs w:val="20"/>
              </w:rPr>
            </w:pPr>
            <w:r>
              <w:rPr>
                <w:color w:val="000000"/>
                <w:sz w:val="20"/>
                <w:szCs w:val="20"/>
              </w:rPr>
              <w:t>酒精度、苯甲酸及其钠盐(以苯甲酸计)、山梨酸及其钾盐(以山梨酸计)、糖</w:t>
            </w:r>
          </w:p>
          <w:p>
            <w:pPr>
              <w:pStyle w:val="30"/>
              <w:spacing w:before="3" w:line="239" w:lineRule="exact"/>
              <w:ind w:left="192" w:right="187"/>
              <w:jc w:val="center"/>
              <w:rPr>
                <w:color w:val="000000"/>
                <w:sz w:val="20"/>
                <w:szCs w:val="20"/>
              </w:rPr>
            </w:pPr>
            <w:r>
              <w:rPr>
                <w:color w:val="000000"/>
                <w:sz w:val="20"/>
                <w:szCs w:val="20"/>
              </w:rPr>
              <w:t>精钠(以糖精计)、甜蜜素(以环己基氨基磺酸计)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9" w:hRule="atLeast"/>
          <w:jc w:val="center"/>
        </w:trPr>
        <w:tc>
          <w:tcPr>
            <w:tcW w:w="596" w:type="dxa"/>
            <w:noWrap w:val="0"/>
            <w:vAlign w:val="top"/>
          </w:tcPr>
          <w:p>
            <w:pPr>
              <w:pStyle w:val="30"/>
              <w:rPr>
                <w:color w:val="000000"/>
                <w:sz w:val="20"/>
                <w:szCs w:val="20"/>
              </w:rPr>
            </w:pPr>
          </w:p>
          <w:p>
            <w:pPr>
              <w:pStyle w:val="30"/>
              <w:spacing w:before="3"/>
              <w:rPr>
                <w:color w:val="000000"/>
                <w:sz w:val="20"/>
                <w:szCs w:val="20"/>
              </w:rPr>
            </w:pPr>
          </w:p>
          <w:p>
            <w:pPr>
              <w:pStyle w:val="30"/>
              <w:ind w:left="126" w:right="126"/>
              <w:jc w:val="center"/>
              <w:rPr>
                <w:color w:val="000000"/>
                <w:sz w:val="20"/>
                <w:szCs w:val="20"/>
              </w:rPr>
            </w:pPr>
            <w:r>
              <w:rPr>
                <w:color w:val="000000"/>
                <w:sz w:val="20"/>
                <w:szCs w:val="20"/>
              </w:rPr>
              <w:t>14</w:t>
            </w:r>
          </w:p>
        </w:tc>
        <w:tc>
          <w:tcPr>
            <w:tcW w:w="567" w:type="dxa"/>
            <w:noWrap w:val="0"/>
            <w:vAlign w:val="center"/>
          </w:tcPr>
          <w:p>
            <w:pPr>
              <w:pStyle w:val="30"/>
              <w:overflowPunct w:val="0"/>
              <w:spacing w:line="240" w:lineRule="exact"/>
              <w:jc w:val="center"/>
              <w:rPr>
                <w:color w:val="000000"/>
                <w:sz w:val="20"/>
                <w:szCs w:val="20"/>
              </w:rPr>
            </w:pPr>
            <w:r>
              <w:rPr>
                <w:rFonts w:hint="eastAsia"/>
                <w:color w:val="000000"/>
                <w:sz w:val="20"/>
                <w:szCs w:val="20"/>
              </w:rPr>
              <w:t>24</w:t>
            </w:r>
          </w:p>
        </w:tc>
        <w:tc>
          <w:tcPr>
            <w:tcW w:w="1520" w:type="dxa"/>
            <w:noWrap w:val="0"/>
            <w:vAlign w:val="top"/>
          </w:tcPr>
          <w:p>
            <w:pPr>
              <w:pStyle w:val="30"/>
              <w:rPr>
                <w:color w:val="000000"/>
                <w:sz w:val="20"/>
                <w:szCs w:val="20"/>
              </w:rPr>
            </w:pPr>
          </w:p>
          <w:p>
            <w:pPr>
              <w:pStyle w:val="30"/>
              <w:spacing w:before="162" w:line="232" w:lineRule="auto"/>
              <w:ind w:left="234" w:right="150" w:hanging="99"/>
              <w:rPr>
                <w:color w:val="000000"/>
                <w:sz w:val="20"/>
                <w:szCs w:val="20"/>
              </w:rPr>
            </w:pPr>
            <w:r>
              <w:rPr>
                <w:color w:val="000000"/>
                <w:sz w:val="20"/>
                <w:szCs w:val="20"/>
              </w:rPr>
              <w:t>炒货食品及坚果制品</w:t>
            </w:r>
          </w:p>
        </w:tc>
        <w:tc>
          <w:tcPr>
            <w:tcW w:w="1279" w:type="dxa"/>
            <w:noWrap w:val="0"/>
            <w:vAlign w:val="top"/>
          </w:tcPr>
          <w:p>
            <w:pPr>
              <w:pStyle w:val="30"/>
              <w:rPr>
                <w:color w:val="000000"/>
                <w:sz w:val="20"/>
                <w:szCs w:val="20"/>
              </w:rPr>
            </w:pPr>
          </w:p>
          <w:p>
            <w:pPr>
              <w:pStyle w:val="30"/>
              <w:spacing w:before="147" w:line="252" w:lineRule="auto"/>
              <w:ind w:left="236" w:right="140" w:hanging="101"/>
              <w:rPr>
                <w:color w:val="000000"/>
                <w:sz w:val="20"/>
                <w:szCs w:val="20"/>
              </w:rPr>
            </w:pPr>
            <w:r>
              <w:rPr>
                <w:color w:val="000000"/>
                <w:sz w:val="20"/>
                <w:szCs w:val="20"/>
              </w:rPr>
              <w:t>炒货食品及坚果制品</w:t>
            </w:r>
          </w:p>
        </w:tc>
        <w:tc>
          <w:tcPr>
            <w:tcW w:w="1259" w:type="dxa"/>
            <w:noWrap w:val="0"/>
            <w:vAlign w:val="top"/>
          </w:tcPr>
          <w:p>
            <w:pPr>
              <w:pStyle w:val="30"/>
              <w:spacing w:before="23" w:line="235" w:lineRule="auto"/>
              <w:ind w:left="176" w:right="93" w:hanging="48"/>
              <w:rPr>
                <w:color w:val="000000"/>
                <w:sz w:val="20"/>
                <w:szCs w:val="20"/>
              </w:rPr>
            </w:pPr>
            <w:r>
              <w:rPr>
                <w:color w:val="000000"/>
                <w:sz w:val="20"/>
                <w:szCs w:val="20"/>
              </w:rPr>
              <w:t>炒货食品及坚果制品 ( 烘炒类、</w:t>
            </w:r>
          </w:p>
          <w:p>
            <w:pPr>
              <w:pStyle w:val="30"/>
              <w:spacing w:line="240" w:lineRule="exact"/>
              <w:ind w:left="119" w:right="119"/>
              <w:jc w:val="center"/>
              <w:rPr>
                <w:color w:val="000000"/>
                <w:sz w:val="20"/>
                <w:szCs w:val="20"/>
              </w:rPr>
            </w:pPr>
            <w:r>
              <w:rPr>
                <w:color w:val="000000"/>
                <w:sz w:val="20"/>
                <w:szCs w:val="20"/>
              </w:rPr>
              <w:t>油炸类、其</w:t>
            </w:r>
          </w:p>
          <w:p>
            <w:pPr>
              <w:pStyle w:val="30"/>
              <w:spacing w:before="12" w:line="249" w:lineRule="exact"/>
              <w:ind w:left="119" w:right="88"/>
              <w:jc w:val="center"/>
              <w:rPr>
                <w:color w:val="000000"/>
                <w:sz w:val="20"/>
                <w:szCs w:val="20"/>
              </w:rPr>
            </w:pPr>
            <w:r>
              <w:rPr>
                <w:color w:val="000000"/>
                <w:sz w:val="20"/>
                <w:szCs w:val="20"/>
              </w:rPr>
              <w:t>他类)</w:t>
            </w:r>
          </w:p>
        </w:tc>
        <w:tc>
          <w:tcPr>
            <w:tcW w:w="1289" w:type="dxa"/>
            <w:noWrap w:val="0"/>
            <w:vAlign w:val="top"/>
          </w:tcPr>
          <w:p>
            <w:pPr>
              <w:pStyle w:val="30"/>
              <w:spacing w:before="7"/>
              <w:rPr>
                <w:color w:val="000000"/>
                <w:sz w:val="20"/>
                <w:szCs w:val="20"/>
              </w:rPr>
            </w:pPr>
          </w:p>
          <w:p>
            <w:pPr>
              <w:pStyle w:val="30"/>
              <w:spacing w:line="252" w:lineRule="auto"/>
              <w:ind w:left="38" w:right="14" w:hanging="32"/>
              <w:jc w:val="center"/>
              <w:rPr>
                <w:color w:val="000000"/>
                <w:sz w:val="20"/>
                <w:szCs w:val="20"/>
              </w:rPr>
            </w:pPr>
            <w:r>
              <w:rPr>
                <w:color w:val="000000"/>
                <w:sz w:val="20"/>
                <w:szCs w:val="20"/>
              </w:rPr>
              <w:t>开心果、杏 仁、扁桃仁、松仁、瓜子</w:t>
            </w:r>
          </w:p>
        </w:tc>
        <w:tc>
          <w:tcPr>
            <w:tcW w:w="689" w:type="dxa"/>
            <w:noWrap w:val="0"/>
            <w:vAlign w:val="top"/>
          </w:tcPr>
          <w:p>
            <w:pPr>
              <w:pStyle w:val="30"/>
              <w:rPr>
                <w:color w:val="000000"/>
                <w:sz w:val="20"/>
                <w:szCs w:val="20"/>
              </w:rPr>
            </w:pPr>
          </w:p>
          <w:p>
            <w:pPr>
              <w:pStyle w:val="30"/>
              <w:spacing w:before="9"/>
              <w:rPr>
                <w:color w:val="000000"/>
                <w:sz w:val="20"/>
                <w:szCs w:val="20"/>
              </w:rPr>
            </w:pPr>
          </w:p>
          <w:p>
            <w:pPr>
              <w:pStyle w:val="30"/>
              <w:spacing w:before="1"/>
              <w:ind w:left="126" w:right="129"/>
              <w:jc w:val="center"/>
              <w:rPr>
                <w:color w:val="000000"/>
                <w:sz w:val="20"/>
                <w:szCs w:val="20"/>
              </w:rPr>
            </w:pPr>
            <w:r>
              <w:rPr>
                <w:color w:val="000000"/>
                <w:sz w:val="20"/>
                <w:szCs w:val="20"/>
              </w:rPr>
              <w:t>一般</w:t>
            </w:r>
          </w:p>
        </w:tc>
        <w:tc>
          <w:tcPr>
            <w:tcW w:w="7428" w:type="dxa"/>
            <w:noWrap w:val="0"/>
            <w:vAlign w:val="top"/>
          </w:tcPr>
          <w:p>
            <w:pPr>
              <w:pStyle w:val="30"/>
              <w:rPr>
                <w:color w:val="000000"/>
                <w:sz w:val="20"/>
                <w:szCs w:val="20"/>
              </w:rPr>
            </w:pPr>
          </w:p>
          <w:p>
            <w:pPr>
              <w:pStyle w:val="30"/>
              <w:spacing w:before="161" w:line="228" w:lineRule="auto"/>
              <w:ind w:left="510" w:right="127" w:hanging="401"/>
              <w:rPr>
                <w:color w:val="000000"/>
                <w:sz w:val="20"/>
                <w:szCs w:val="20"/>
              </w:rPr>
            </w:pPr>
            <w:r>
              <w:rPr>
                <w:color w:val="000000"/>
                <w:sz w:val="20"/>
                <w:szCs w:val="20"/>
              </w:rPr>
              <w:t>酸价(以脂肪计)、过氧化值(以脂肪计)、铅(以Pb计)、黄曲霉毒素B、糖精钠(以糖精计)、甜蜜素(以环己基氨基磺酸计)、大肠菌群、霉菌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7" w:hRule="atLeast"/>
          <w:jc w:val="center"/>
        </w:trPr>
        <w:tc>
          <w:tcPr>
            <w:tcW w:w="596" w:type="dxa"/>
            <w:noWrap w:val="0"/>
            <w:vAlign w:val="top"/>
          </w:tcPr>
          <w:p>
            <w:pPr>
              <w:pStyle w:val="30"/>
              <w:rPr>
                <w:color w:val="000000"/>
                <w:sz w:val="20"/>
                <w:szCs w:val="20"/>
              </w:rPr>
            </w:pPr>
          </w:p>
          <w:p>
            <w:pPr>
              <w:pStyle w:val="30"/>
              <w:rPr>
                <w:color w:val="000000"/>
                <w:sz w:val="20"/>
                <w:szCs w:val="20"/>
              </w:rPr>
            </w:pPr>
          </w:p>
          <w:p>
            <w:pPr>
              <w:pStyle w:val="30"/>
              <w:spacing w:before="173"/>
              <w:ind w:left="126" w:right="126"/>
              <w:jc w:val="center"/>
              <w:rPr>
                <w:color w:val="000000"/>
                <w:sz w:val="20"/>
                <w:szCs w:val="20"/>
              </w:rPr>
            </w:pPr>
            <w:r>
              <w:rPr>
                <w:color w:val="000000"/>
                <w:sz w:val="20"/>
                <w:szCs w:val="20"/>
              </w:rPr>
              <w:t>15</w:t>
            </w:r>
          </w:p>
        </w:tc>
        <w:tc>
          <w:tcPr>
            <w:tcW w:w="567" w:type="dxa"/>
            <w:noWrap w:val="0"/>
            <w:vAlign w:val="center"/>
          </w:tcPr>
          <w:p>
            <w:pPr>
              <w:pStyle w:val="30"/>
              <w:overflowPunct w:val="0"/>
              <w:spacing w:line="240" w:lineRule="exact"/>
              <w:jc w:val="center"/>
              <w:rPr>
                <w:color w:val="000000"/>
                <w:sz w:val="20"/>
                <w:szCs w:val="20"/>
              </w:rPr>
            </w:pPr>
            <w:r>
              <w:rPr>
                <w:rFonts w:hint="eastAsia"/>
                <w:color w:val="000000"/>
                <w:sz w:val="20"/>
                <w:szCs w:val="20"/>
              </w:rPr>
              <w:t>31</w:t>
            </w:r>
          </w:p>
        </w:tc>
        <w:tc>
          <w:tcPr>
            <w:tcW w:w="1520" w:type="dxa"/>
            <w:noWrap w:val="0"/>
            <w:vAlign w:val="top"/>
          </w:tcPr>
          <w:p>
            <w:pPr>
              <w:pStyle w:val="30"/>
              <w:rPr>
                <w:color w:val="000000"/>
                <w:sz w:val="20"/>
                <w:szCs w:val="20"/>
              </w:rPr>
            </w:pPr>
          </w:p>
          <w:p>
            <w:pPr>
              <w:pStyle w:val="30"/>
              <w:rPr>
                <w:color w:val="000000"/>
                <w:sz w:val="20"/>
                <w:szCs w:val="20"/>
              </w:rPr>
            </w:pPr>
          </w:p>
          <w:p>
            <w:pPr>
              <w:pStyle w:val="30"/>
              <w:spacing w:before="151"/>
              <w:ind w:left="129" w:right="127"/>
              <w:jc w:val="center"/>
              <w:rPr>
                <w:color w:val="000000"/>
                <w:sz w:val="20"/>
                <w:szCs w:val="20"/>
              </w:rPr>
            </w:pPr>
            <w:r>
              <w:rPr>
                <w:color w:val="000000"/>
                <w:sz w:val="20"/>
                <w:szCs w:val="20"/>
              </w:rPr>
              <w:t>水果制品</w:t>
            </w:r>
          </w:p>
        </w:tc>
        <w:tc>
          <w:tcPr>
            <w:tcW w:w="1279" w:type="dxa"/>
            <w:noWrap w:val="0"/>
            <w:vAlign w:val="top"/>
          </w:tcPr>
          <w:p>
            <w:pPr>
              <w:pStyle w:val="30"/>
              <w:rPr>
                <w:color w:val="000000"/>
                <w:sz w:val="20"/>
                <w:szCs w:val="20"/>
              </w:rPr>
            </w:pPr>
          </w:p>
          <w:p>
            <w:pPr>
              <w:pStyle w:val="30"/>
              <w:rPr>
                <w:color w:val="000000"/>
                <w:sz w:val="20"/>
                <w:szCs w:val="20"/>
              </w:rPr>
            </w:pPr>
          </w:p>
          <w:p>
            <w:pPr>
              <w:pStyle w:val="30"/>
              <w:spacing w:before="151"/>
              <w:ind w:left="126" w:right="109"/>
              <w:jc w:val="center"/>
              <w:rPr>
                <w:color w:val="000000"/>
                <w:sz w:val="20"/>
                <w:szCs w:val="20"/>
              </w:rPr>
            </w:pPr>
            <w:r>
              <w:rPr>
                <w:color w:val="000000"/>
                <w:sz w:val="20"/>
                <w:szCs w:val="20"/>
              </w:rPr>
              <w:t>水果制品</w:t>
            </w:r>
          </w:p>
        </w:tc>
        <w:tc>
          <w:tcPr>
            <w:tcW w:w="1259" w:type="dxa"/>
            <w:noWrap w:val="0"/>
            <w:vAlign w:val="top"/>
          </w:tcPr>
          <w:p>
            <w:pPr>
              <w:pStyle w:val="30"/>
              <w:rPr>
                <w:color w:val="000000"/>
                <w:sz w:val="20"/>
                <w:szCs w:val="20"/>
              </w:rPr>
            </w:pPr>
          </w:p>
          <w:p>
            <w:pPr>
              <w:pStyle w:val="30"/>
              <w:rPr>
                <w:color w:val="000000"/>
                <w:sz w:val="20"/>
                <w:szCs w:val="20"/>
              </w:rPr>
            </w:pPr>
          </w:p>
          <w:p>
            <w:pPr>
              <w:pStyle w:val="30"/>
              <w:spacing w:before="153"/>
              <w:ind w:left="119" w:right="113"/>
              <w:jc w:val="center"/>
              <w:rPr>
                <w:color w:val="000000"/>
                <w:sz w:val="20"/>
                <w:szCs w:val="20"/>
              </w:rPr>
            </w:pPr>
            <w:r>
              <w:rPr>
                <w:color w:val="000000"/>
                <w:sz w:val="20"/>
                <w:szCs w:val="20"/>
              </w:rPr>
              <w:t>蜜饯</w:t>
            </w:r>
          </w:p>
        </w:tc>
        <w:tc>
          <w:tcPr>
            <w:tcW w:w="1289" w:type="dxa"/>
            <w:noWrap w:val="0"/>
            <w:vAlign w:val="top"/>
          </w:tcPr>
          <w:p>
            <w:pPr>
              <w:pStyle w:val="30"/>
              <w:spacing w:before="2"/>
              <w:rPr>
                <w:color w:val="000000"/>
                <w:sz w:val="20"/>
                <w:szCs w:val="20"/>
              </w:rPr>
            </w:pPr>
          </w:p>
          <w:p>
            <w:pPr>
              <w:pStyle w:val="30"/>
              <w:spacing w:line="242" w:lineRule="auto"/>
              <w:ind w:left="38" w:right="14" w:hanging="20"/>
              <w:jc w:val="center"/>
              <w:rPr>
                <w:color w:val="000000"/>
                <w:sz w:val="20"/>
                <w:szCs w:val="20"/>
              </w:rPr>
            </w:pPr>
            <w:r>
              <w:rPr>
                <w:color w:val="000000"/>
                <w:sz w:val="20"/>
                <w:szCs w:val="20"/>
              </w:rPr>
              <w:t>蜜饯类、凉 果类、果脯 类、话化类、果糕类</w:t>
            </w:r>
          </w:p>
        </w:tc>
        <w:tc>
          <w:tcPr>
            <w:tcW w:w="689" w:type="dxa"/>
            <w:noWrap w:val="0"/>
            <w:vAlign w:val="top"/>
          </w:tcPr>
          <w:p>
            <w:pPr>
              <w:pStyle w:val="30"/>
              <w:rPr>
                <w:color w:val="000000"/>
                <w:sz w:val="20"/>
                <w:szCs w:val="20"/>
              </w:rPr>
            </w:pPr>
          </w:p>
          <w:p>
            <w:pPr>
              <w:pStyle w:val="30"/>
              <w:rPr>
                <w:color w:val="000000"/>
                <w:sz w:val="20"/>
                <w:szCs w:val="20"/>
              </w:rPr>
            </w:pPr>
          </w:p>
          <w:p>
            <w:pPr>
              <w:pStyle w:val="30"/>
              <w:spacing w:before="151"/>
              <w:ind w:left="126" w:right="129"/>
              <w:jc w:val="center"/>
              <w:rPr>
                <w:color w:val="000000"/>
                <w:sz w:val="20"/>
                <w:szCs w:val="20"/>
              </w:rPr>
            </w:pPr>
            <w:r>
              <w:rPr>
                <w:color w:val="000000"/>
                <w:sz w:val="20"/>
                <w:szCs w:val="20"/>
              </w:rPr>
              <w:t>较高</w:t>
            </w:r>
          </w:p>
        </w:tc>
        <w:tc>
          <w:tcPr>
            <w:tcW w:w="7428" w:type="dxa"/>
            <w:noWrap w:val="0"/>
            <w:vAlign w:val="top"/>
          </w:tcPr>
          <w:p>
            <w:pPr>
              <w:pStyle w:val="30"/>
              <w:spacing w:before="15"/>
              <w:ind w:left="109" w:right="60"/>
              <w:rPr>
                <w:color w:val="000000"/>
                <w:sz w:val="20"/>
                <w:szCs w:val="20"/>
              </w:rPr>
            </w:pPr>
            <w:r>
              <w:rPr>
                <w:color w:val="000000"/>
                <w:sz w:val="20"/>
                <w:szCs w:val="20"/>
              </w:rPr>
              <w:t>铅(以Pb计)、苯甲酸及其钠盐(以苯甲酸计)、山梨酸及其钾盐(以山梨酸计)、脱氢乙酸及其钠盐(以脱氢乙酸计)、防腐剂混合使用时各自用量占其最大使用量的比例之和、糖精钠(以糖精计)、甜蜜素(以环己基氨基磺酸计)、二氧化硫残留量、合成着色剂(亮蓝、柠檬黄、日落黄、苋菜红、胭脂红)、相同色泽着色剂混合使用时各自用量占其最大使用量的比例之和、乙二胺四乙</w:t>
            </w:r>
          </w:p>
          <w:p>
            <w:pPr>
              <w:pStyle w:val="30"/>
              <w:spacing w:line="231" w:lineRule="exact"/>
              <w:ind w:left="1929"/>
              <w:rPr>
                <w:color w:val="000000"/>
                <w:sz w:val="20"/>
                <w:szCs w:val="20"/>
              </w:rPr>
            </w:pPr>
            <w:r>
              <w:rPr>
                <w:color w:val="000000"/>
                <w:sz w:val="20"/>
                <w:szCs w:val="20"/>
              </w:rPr>
              <w:t>酸二钠、菌落总数、大肠菌群、霉菌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8" w:hRule="atLeast"/>
          <w:jc w:val="center"/>
        </w:trPr>
        <w:tc>
          <w:tcPr>
            <w:tcW w:w="596" w:type="dxa"/>
            <w:noWrap w:val="0"/>
            <w:vAlign w:val="top"/>
          </w:tcPr>
          <w:p>
            <w:pPr>
              <w:pStyle w:val="30"/>
              <w:rPr>
                <w:color w:val="000000"/>
                <w:sz w:val="20"/>
                <w:szCs w:val="20"/>
              </w:rPr>
            </w:pPr>
          </w:p>
          <w:p>
            <w:pPr>
              <w:pStyle w:val="30"/>
              <w:rPr>
                <w:color w:val="000000"/>
                <w:sz w:val="20"/>
                <w:szCs w:val="20"/>
              </w:rPr>
            </w:pPr>
          </w:p>
          <w:p>
            <w:pPr>
              <w:pStyle w:val="30"/>
              <w:spacing w:before="1"/>
              <w:rPr>
                <w:color w:val="000000"/>
                <w:sz w:val="20"/>
                <w:szCs w:val="20"/>
              </w:rPr>
            </w:pPr>
          </w:p>
          <w:p>
            <w:pPr>
              <w:pStyle w:val="30"/>
              <w:ind w:left="126" w:right="126"/>
              <w:jc w:val="center"/>
              <w:rPr>
                <w:color w:val="000000"/>
                <w:sz w:val="20"/>
                <w:szCs w:val="20"/>
              </w:rPr>
            </w:pPr>
            <w:r>
              <w:rPr>
                <w:color w:val="000000"/>
                <w:sz w:val="20"/>
                <w:szCs w:val="20"/>
              </w:rPr>
              <w:t>16</w:t>
            </w:r>
          </w:p>
        </w:tc>
        <w:tc>
          <w:tcPr>
            <w:tcW w:w="567" w:type="dxa"/>
            <w:noWrap w:val="0"/>
            <w:vAlign w:val="center"/>
          </w:tcPr>
          <w:p>
            <w:pPr>
              <w:pStyle w:val="30"/>
              <w:overflowPunct w:val="0"/>
              <w:spacing w:line="240" w:lineRule="exact"/>
              <w:jc w:val="center"/>
              <w:rPr>
                <w:color w:val="000000"/>
                <w:sz w:val="20"/>
                <w:szCs w:val="20"/>
              </w:rPr>
            </w:pPr>
            <w:r>
              <w:rPr>
                <w:rFonts w:hint="eastAsia"/>
                <w:color w:val="000000"/>
                <w:sz w:val="20"/>
                <w:szCs w:val="20"/>
              </w:rPr>
              <w:t>45</w:t>
            </w:r>
          </w:p>
        </w:tc>
        <w:tc>
          <w:tcPr>
            <w:tcW w:w="1520" w:type="dxa"/>
            <w:noWrap w:val="0"/>
            <w:vAlign w:val="top"/>
          </w:tcPr>
          <w:p>
            <w:pPr>
              <w:pStyle w:val="30"/>
              <w:rPr>
                <w:color w:val="000000"/>
                <w:sz w:val="20"/>
                <w:szCs w:val="20"/>
              </w:rPr>
            </w:pPr>
          </w:p>
          <w:p>
            <w:pPr>
              <w:pStyle w:val="30"/>
              <w:rPr>
                <w:color w:val="000000"/>
                <w:sz w:val="20"/>
                <w:szCs w:val="20"/>
              </w:rPr>
            </w:pPr>
          </w:p>
          <w:p>
            <w:pPr>
              <w:pStyle w:val="30"/>
              <w:spacing w:before="7"/>
              <w:rPr>
                <w:color w:val="000000"/>
                <w:sz w:val="20"/>
                <w:szCs w:val="20"/>
              </w:rPr>
            </w:pPr>
          </w:p>
          <w:p>
            <w:pPr>
              <w:pStyle w:val="30"/>
              <w:ind w:left="127" w:right="127"/>
              <w:jc w:val="center"/>
              <w:rPr>
                <w:color w:val="000000"/>
                <w:sz w:val="20"/>
                <w:szCs w:val="20"/>
              </w:rPr>
            </w:pPr>
            <w:r>
              <w:rPr>
                <w:color w:val="000000"/>
                <w:sz w:val="20"/>
                <w:szCs w:val="20"/>
              </w:rPr>
              <w:t>糕点</w:t>
            </w:r>
          </w:p>
        </w:tc>
        <w:tc>
          <w:tcPr>
            <w:tcW w:w="1279" w:type="dxa"/>
            <w:noWrap w:val="0"/>
            <w:vAlign w:val="top"/>
          </w:tcPr>
          <w:p>
            <w:pPr>
              <w:pStyle w:val="30"/>
              <w:rPr>
                <w:color w:val="000000"/>
                <w:sz w:val="20"/>
                <w:szCs w:val="20"/>
              </w:rPr>
            </w:pPr>
          </w:p>
          <w:p>
            <w:pPr>
              <w:pStyle w:val="30"/>
              <w:rPr>
                <w:color w:val="000000"/>
                <w:sz w:val="20"/>
                <w:szCs w:val="20"/>
              </w:rPr>
            </w:pPr>
          </w:p>
          <w:p>
            <w:pPr>
              <w:pStyle w:val="30"/>
              <w:spacing w:before="7"/>
              <w:rPr>
                <w:color w:val="000000"/>
                <w:sz w:val="20"/>
                <w:szCs w:val="20"/>
              </w:rPr>
            </w:pPr>
          </w:p>
          <w:p>
            <w:pPr>
              <w:pStyle w:val="30"/>
              <w:ind w:left="118" w:right="109"/>
              <w:jc w:val="center"/>
              <w:rPr>
                <w:color w:val="000000"/>
                <w:sz w:val="20"/>
                <w:szCs w:val="20"/>
              </w:rPr>
            </w:pPr>
            <w:r>
              <w:rPr>
                <w:color w:val="000000"/>
                <w:sz w:val="20"/>
                <w:szCs w:val="20"/>
              </w:rPr>
              <w:t>糕点</w:t>
            </w:r>
          </w:p>
        </w:tc>
        <w:tc>
          <w:tcPr>
            <w:tcW w:w="1259" w:type="dxa"/>
            <w:noWrap w:val="0"/>
            <w:vAlign w:val="top"/>
          </w:tcPr>
          <w:p>
            <w:pPr>
              <w:pStyle w:val="30"/>
              <w:rPr>
                <w:color w:val="000000"/>
                <w:sz w:val="20"/>
                <w:szCs w:val="20"/>
              </w:rPr>
            </w:pPr>
          </w:p>
          <w:p>
            <w:pPr>
              <w:pStyle w:val="30"/>
              <w:rPr>
                <w:color w:val="000000"/>
                <w:sz w:val="20"/>
                <w:szCs w:val="20"/>
              </w:rPr>
            </w:pPr>
          </w:p>
          <w:p>
            <w:pPr>
              <w:pStyle w:val="30"/>
              <w:spacing w:before="7"/>
              <w:rPr>
                <w:color w:val="000000"/>
                <w:sz w:val="20"/>
                <w:szCs w:val="20"/>
              </w:rPr>
            </w:pPr>
          </w:p>
          <w:p>
            <w:pPr>
              <w:pStyle w:val="30"/>
              <w:ind w:left="119" w:right="108"/>
              <w:jc w:val="center"/>
              <w:rPr>
                <w:color w:val="000000"/>
                <w:sz w:val="20"/>
                <w:szCs w:val="20"/>
              </w:rPr>
            </w:pPr>
            <w:r>
              <w:rPr>
                <w:color w:val="000000"/>
                <w:sz w:val="20"/>
                <w:szCs w:val="20"/>
              </w:rPr>
              <w:t>糕点</w:t>
            </w:r>
          </w:p>
        </w:tc>
        <w:tc>
          <w:tcPr>
            <w:tcW w:w="1289" w:type="dxa"/>
            <w:noWrap w:val="0"/>
            <w:vAlign w:val="top"/>
          </w:tcPr>
          <w:p>
            <w:pPr>
              <w:pStyle w:val="30"/>
              <w:rPr>
                <w:color w:val="000000"/>
                <w:sz w:val="20"/>
                <w:szCs w:val="20"/>
              </w:rPr>
            </w:pPr>
          </w:p>
          <w:p>
            <w:pPr>
              <w:pStyle w:val="30"/>
              <w:rPr>
                <w:color w:val="000000"/>
                <w:sz w:val="20"/>
                <w:szCs w:val="20"/>
              </w:rPr>
            </w:pPr>
          </w:p>
          <w:p>
            <w:pPr>
              <w:pStyle w:val="30"/>
              <w:spacing w:before="7"/>
              <w:rPr>
                <w:color w:val="000000"/>
                <w:sz w:val="20"/>
                <w:szCs w:val="20"/>
              </w:rPr>
            </w:pPr>
          </w:p>
          <w:p>
            <w:pPr>
              <w:pStyle w:val="30"/>
              <w:ind w:left="129" w:right="127"/>
              <w:jc w:val="center"/>
              <w:rPr>
                <w:color w:val="000000"/>
                <w:sz w:val="20"/>
                <w:szCs w:val="20"/>
              </w:rPr>
            </w:pPr>
            <w:r>
              <w:rPr>
                <w:color w:val="000000"/>
                <w:sz w:val="20"/>
                <w:szCs w:val="20"/>
              </w:rPr>
              <w:t>糕点</w:t>
            </w:r>
          </w:p>
        </w:tc>
        <w:tc>
          <w:tcPr>
            <w:tcW w:w="689" w:type="dxa"/>
            <w:noWrap w:val="0"/>
            <w:vAlign w:val="top"/>
          </w:tcPr>
          <w:p>
            <w:pPr>
              <w:pStyle w:val="30"/>
              <w:rPr>
                <w:color w:val="000000"/>
                <w:sz w:val="20"/>
                <w:szCs w:val="20"/>
              </w:rPr>
            </w:pPr>
          </w:p>
          <w:p>
            <w:pPr>
              <w:pStyle w:val="30"/>
              <w:rPr>
                <w:color w:val="000000"/>
                <w:sz w:val="20"/>
                <w:szCs w:val="20"/>
              </w:rPr>
            </w:pPr>
          </w:p>
          <w:p>
            <w:pPr>
              <w:pStyle w:val="30"/>
              <w:spacing w:before="7"/>
              <w:rPr>
                <w:color w:val="000000"/>
                <w:sz w:val="20"/>
                <w:szCs w:val="20"/>
              </w:rPr>
            </w:pPr>
          </w:p>
          <w:p>
            <w:pPr>
              <w:pStyle w:val="30"/>
              <w:ind w:left="126" w:right="129"/>
              <w:jc w:val="center"/>
              <w:rPr>
                <w:color w:val="000000"/>
                <w:sz w:val="20"/>
                <w:szCs w:val="20"/>
              </w:rPr>
            </w:pPr>
            <w:r>
              <w:rPr>
                <w:color w:val="000000"/>
                <w:sz w:val="20"/>
                <w:szCs w:val="20"/>
              </w:rPr>
              <w:t>较高</w:t>
            </w:r>
          </w:p>
        </w:tc>
        <w:tc>
          <w:tcPr>
            <w:tcW w:w="7428" w:type="dxa"/>
            <w:noWrap w:val="0"/>
            <w:vAlign w:val="top"/>
          </w:tcPr>
          <w:p>
            <w:pPr>
              <w:pStyle w:val="30"/>
              <w:spacing w:before="63" w:line="242" w:lineRule="auto"/>
              <w:ind w:left="109" w:right="80" w:hanging="47"/>
              <w:jc w:val="center"/>
              <w:rPr>
                <w:color w:val="000000"/>
                <w:sz w:val="20"/>
                <w:szCs w:val="20"/>
              </w:rPr>
            </w:pPr>
            <w:r>
              <w:rPr>
                <w:color w:val="000000"/>
                <w:sz w:val="20"/>
                <w:szCs w:val="20"/>
              </w:rPr>
              <w:t>酸价(以脂肪计)、过氧化值(以脂肪计)、铅(以Pb计)、富马酸二甲酯、苯甲酸及其钠盐(以苯甲酸计)、山梨酸及其钾盐(以山梨酸计)、糖精钠(以糖精计)、甜蜜素(以环己基氨基磺酸计)、安赛蜜、铝的残留量(干样品，以Al计)、丙酸及其钠盐、钙盐(以丙酸计)、脱氢乙酸及其钠盐(以脱氢乙酸计),纳他霉素、三氯蔗糖、丙二醇、防腐剂混合使用时各自用量占其最大使用量的比例之和、菌落总数、大肠菌群、金黄色葡萄球菌、沙门氏菌、霉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2" w:hRule="atLeast"/>
          <w:jc w:val="center"/>
        </w:trPr>
        <w:tc>
          <w:tcPr>
            <w:tcW w:w="596" w:type="dxa"/>
            <w:noWrap w:val="0"/>
            <w:vAlign w:val="top"/>
          </w:tcPr>
          <w:p>
            <w:pPr>
              <w:pStyle w:val="30"/>
              <w:rPr>
                <w:color w:val="000000"/>
                <w:sz w:val="20"/>
                <w:szCs w:val="20"/>
              </w:rPr>
            </w:pPr>
          </w:p>
          <w:p>
            <w:pPr>
              <w:pStyle w:val="30"/>
              <w:spacing w:before="7"/>
              <w:rPr>
                <w:color w:val="000000"/>
                <w:sz w:val="20"/>
                <w:szCs w:val="20"/>
              </w:rPr>
            </w:pPr>
          </w:p>
          <w:p>
            <w:pPr>
              <w:pStyle w:val="30"/>
              <w:ind w:left="126" w:right="126"/>
              <w:jc w:val="center"/>
              <w:rPr>
                <w:color w:val="000000"/>
                <w:sz w:val="20"/>
                <w:szCs w:val="20"/>
              </w:rPr>
            </w:pPr>
            <w:r>
              <w:rPr>
                <w:color w:val="000000"/>
                <w:sz w:val="20"/>
                <w:szCs w:val="20"/>
              </w:rPr>
              <w:t>17</w:t>
            </w:r>
          </w:p>
        </w:tc>
        <w:tc>
          <w:tcPr>
            <w:tcW w:w="567" w:type="dxa"/>
            <w:noWrap w:val="0"/>
            <w:vAlign w:val="center"/>
          </w:tcPr>
          <w:p>
            <w:pPr>
              <w:pStyle w:val="30"/>
              <w:overflowPunct w:val="0"/>
              <w:spacing w:line="240" w:lineRule="exact"/>
              <w:jc w:val="center"/>
              <w:rPr>
                <w:color w:val="000000"/>
                <w:sz w:val="20"/>
                <w:szCs w:val="20"/>
              </w:rPr>
            </w:pPr>
            <w:r>
              <w:rPr>
                <w:rFonts w:hint="eastAsia"/>
                <w:color w:val="000000"/>
                <w:sz w:val="20"/>
                <w:szCs w:val="20"/>
              </w:rPr>
              <w:t>26</w:t>
            </w:r>
          </w:p>
        </w:tc>
        <w:tc>
          <w:tcPr>
            <w:tcW w:w="1520" w:type="dxa"/>
            <w:noWrap w:val="0"/>
            <w:vAlign w:val="top"/>
          </w:tcPr>
          <w:p>
            <w:pPr>
              <w:pStyle w:val="30"/>
              <w:rPr>
                <w:color w:val="000000"/>
                <w:sz w:val="20"/>
                <w:szCs w:val="20"/>
              </w:rPr>
            </w:pPr>
          </w:p>
          <w:p>
            <w:pPr>
              <w:pStyle w:val="30"/>
              <w:rPr>
                <w:color w:val="000000"/>
                <w:sz w:val="20"/>
                <w:szCs w:val="20"/>
              </w:rPr>
            </w:pPr>
          </w:p>
          <w:p>
            <w:pPr>
              <w:pStyle w:val="30"/>
              <w:spacing w:before="1"/>
              <w:ind w:left="127" w:right="127"/>
              <w:jc w:val="center"/>
              <w:rPr>
                <w:color w:val="000000"/>
                <w:sz w:val="20"/>
                <w:szCs w:val="20"/>
              </w:rPr>
            </w:pPr>
            <w:r>
              <w:rPr>
                <w:color w:val="000000"/>
                <w:sz w:val="20"/>
                <w:szCs w:val="20"/>
              </w:rPr>
              <w:t>糕点</w:t>
            </w:r>
          </w:p>
        </w:tc>
        <w:tc>
          <w:tcPr>
            <w:tcW w:w="1279" w:type="dxa"/>
            <w:noWrap w:val="0"/>
            <w:vAlign w:val="top"/>
          </w:tcPr>
          <w:p>
            <w:pPr>
              <w:pStyle w:val="30"/>
              <w:rPr>
                <w:color w:val="000000"/>
                <w:sz w:val="20"/>
                <w:szCs w:val="20"/>
              </w:rPr>
            </w:pPr>
          </w:p>
          <w:p>
            <w:pPr>
              <w:pStyle w:val="30"/>
              <w:rPr>
                <w:color w:val="000000"/>
                <w:sz w:val="20"/>
                <w:szCs w:val="20"/>
              </w:rPr>
            </w:pPr>
          </w:p>
          <w:p>
            <w:pPr>
              <w:pStyle w:val="30"/>
              <w:spacing w:before="1"/>
              <w:ind w:left="118" w:right="109"/>
              <w:jc w:val="center"/>
              <w:rPr>
                <w:color w:val="000000"/>
                <w:sz w:val="20"/>
                <w:szCs w:val="20"/>
              </w:rPr>
            </w:pPr>
            <w:r>
              <w:rPr>
                <w:color w:val="000000"/>
                <w:sz w:val="20"/>
                <w:szCs w:val="20"/>
              </w:rPr>
              <w:t>糕点</w:t>
            </w:r>
          </w:p>
        </w:tc>
        <w:tc>
          <w:tcPr>
            <w:tcW w:w="1259" w:type="dxa"/>
            <w:noWrap w:val="0"/>
            <w:vAlign w:val="top"/>
          </w:tcPr>
          <w:p>
            <w:pPr>
              <w:pStyle w:val="30"/>
              <w:rPr>
                <w:color w:val="000000"/>
                <w:sz w:val="20"/>
                <w:szCs w:val="20"/>
              </w:rPr>
            </w:pPr>
          </w:p>
          <w:p>
            <w:pPr>
              <w:pStyle w:val="30"/>
              <w:rPr>
                <w:color w:val="000000"/>
                <w:sz w:val="20"/>
                <w:szCs w:val="20"/>
              </w:rPr>
            </w:pPr>
          </w:p>
          <w:p>
            <w:pPr>
              <w:pStyle w:val="30"/>
              <w:spacing w:before="1"/>
              <w:ind w:left="119" w:right="113"/>
              <w:jc w:val="center"/>
              <w:rPr>
                <w:color w:val="000000"/>
                <w:sz w:val="20"/>
                <w:szCs w:val="20"/>
              </w:rPr>
            </w:pPr>
            <w:r>
              <w:rPr>
                <w:color w:val="000000"/>
                <w:sz w:val="20"/>
                <w:szCs w:val="20"/>
              </w:rPr>
              <w:t>月饼</w:t>
            </w:r>
          </w:p>
        </w:tc>
        <w:tc>
          <w:tcPr>
            <w:tcW w:w="1289" w:type="dxa"/>
            <w:noWrap w:val="0"/>
            <w:vAlign w:val="top"/>
          </w:tcPr>
          <w:p>
            <w:pPr>
              <w:pStyle w:val="30"/>
              <w:rPr>
                <w:color w:val="000000"/>
                <w:sz w:val="20"/>
                <w:szCs w:val="20"/>
              </w:rPr>
            </w:pPr>
          </w:p>
          <w:p>
            <w:pPr>
              <w:pStyle w:val="30"/>
              <w:rPr>
                <w:color w:val="000000"/>
                <w:sz w:val="20"/>
                <w:szCs w:val="20"/>
              </w:rPr>
            </w:pPr>
          </w:p>
          <w:p>
            <w:pPr>
              <w:pStyle w:val="30"/>
              <w:spacing w:before="1"/>
              <w:ind w:left="127" w:right="127"/>
              <w:jc w:val="center"/>
              <w:rPr>
                <w:color w:val="000000"/>
                <w:sz w:val="20"/>
                <w:szCs w:val="20"/>
              </w:rPr>
            </w:pPr>
            <w:r>
              <w:rPr>
                <w:color w:val="000000"/>
                <w:sz w:val="20"/>
                <w:szCs w:val="20"/>
              </w:rPr>
              <w:t>月饼</w:t>
            </w:r>
          </w:p>
        </w:tc>
        <w:tc>
          <w:tcPr>
            <w:tcW w:w="689" w:type="dxa"/>
            <w:noWrap w:val="0"/>
            <w:vAlign w:val="top"/>
          </w:tcPr>
          <w:p>
            <w:pPr>
              <w:pStyle w:val="30"/>
              <w:rPr>
                <w:color w:val="000000"/>
                <w:sz w:val="20"/>
                <w:szCs w:val="20"/>
              </w:rPr>
            </w:pPr>
          </w:p>
          <w:p>
            <w:pPr>
              <w:pStyle w:val="30"/>
              <w:rPr>
                <w:color w:val="000000"/>
                <w:sz w:val="20"/>
                <w:szCs w:val="20"/>
              </w:rPr>
            </w:pPr>
          </w:p>
          <w:p>
            <w:pPr>
              <w:pStyle w:val="30"/>
              <w:spacing w:before="1"/>
              <w:ind w:left="126" w:right="129"/>
              <w:jc w:val="center"/>
              <w:rPr>
                <w:color w:val="000000"/>
                <w:sz w:val="20"/>
                <w:szCs w:val="20"/>
              </w:rPr>
            </w:pPr>
            <w:r>
              <w:rPr>
                <w:color w:val="000000"/>
                <w:sz w:val="20"/>
                <w:szCs w:val="20"/>
              </w:rPr>
              <w:t>较高</w:t>
            </w:r>
          </w:p>
        </w:tc>
        <w:tc>
          <w:tcPr>
            <w:tcW w:w="7428" w:type="dxa"/>
            <w:noWrap w:val="0"/>
            <w:vAlign w:val="top"/>
          </w:tcPr>
          <w:p>
            <w:pPr>
              <w:pStyle w:val="30"/>
              <w:spacing w:before="62" w:line="242" w:lineRule="auto"/>
              <w:ind w:left="109" w:right="91" w:hanging="5"/>
              <w:jc w:val="center"/>
              <w:rPr>
                <w:color w:val="000000"/>
                <w:sz w:val="20"/>
                <w:szCs w:val="20"/>
              </w:rPr>
            </w:pPr>
            <w:r>
              <w:rPr>
                <w:color w:val="000000"/>
                <w:sz w:val="20"/>
                <w:szCs w:val="20"/>
              </w:rPr>
              <w:t>酸价(以脂肪计)、过氧化值(以脂肪计)、糖精钠(以糖精计)、苯甲酸及其钠盐(以苯甲酸计)、山梨酸及其钾盐(以山梨酸计)、铝的残留量(干样品，以Al计)、丙酸及其钠盐、钙盐(以丙酸计)、脱氢乙酸及其钠盐(以脱氢乙酸计)、纳他霉素、防腐剂混合使用时各自用量占其最大使用量的比例之和、菌落总数、大肠菌群、金黄色葡萄球菌、沙门氏菌、霉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jc w:val="center"/>
        </w:trPr>
        <w:tc>
          <w:tcPr>
            <w:tcW w:w="596" w:type="dxa"/>
            <w:noWrap w:val="0"/>
            <w:vAlign w:val="center"/>
          </w:tcPr>
          <w:p>
            <w:pPr>
              <w:pStyle w:val="30"/>
              <w:overflowPunct w:val="0"/>
              <w:spacing w:line="240" w:lineRule="exact"/>
              <w:jc w:val="center"/>
              <w:rPr>
                <w:color w:val="000000"/>
                <w:sz w:val="20"/>
                <w:szCs w:val="20"/>
              </w:rPr>
            </w:pPr>
            <w:r>
              <w:rPr>
                <w:color w:val="000000"/>
                <w:sz w:val="20"/>
                <w:szCs w:val="20"/>
              </w:rPr>
              <w:t>18</w:t>
            </w:r>
          </w:p>
        </w:tc>
        <w:tc>
          <w:tcPr>
            <w:tcW w:w="567" w:type="dxa"/>
            <w:noWrap w:val="0"/>
            <w:vAlign w:val="center"/>
          </w:tcPr>
          <w:p>
            <w:pPr>
              <w:pStyle w:val="30"/>
              <w:overflowPunct w:val="0"/>
              <w:spacing w:line="240" w:lineRule="exact"/>
              <w:jc w:val="center"/>
              <w:rPr>
                <w:color w:val="000000"/>
                <w:sz w:val="20"/>
                <w:szCs w:val="20"/>
              </w:rPr>
            </w:pPr>
            <w:r>
              <w:rPr>
                <w:rFonts w:hint="eastAsia"/>
                <w:color w:val="000000"/>
                <w:sz w:val="20"/>
                <w:szCs w:val="20"/>
              </w:rPr>
              <w:t>10</w:t>
            </w:r>
          </w:p>
        </w:tc>
        <w:tc>
          <w:tcPr>
            <w:tcW w:w="1520" w:type="dxa"/>
            <w:noWrap w:val="0"/>
            <w:vAlign w:val="top"/>
          </w:tcPr>
          <w:p>
            <w:pPr>
              <w:pStyle w:val="30"/>
              <w:spacing w:before="156"/>
              <w:ind w:left="118" w:right="109"/>
              <w:jc w:val="center"/>
              <w:rPr>
                <w:color w:val="000000"/>
                <w:sz w:val="20"/>
                <w:szCs w:val="20"/>
              </w:rPr>
            </w:pPr>
            <w:r>
              <w:rPr>
                <w:color w:val="000000"/>
                <w:sz w:val="20"/>
                <w:szCs w:val="20"/>
              </w:rPr>
              <w:t>糕点</w:t>
            </w:r>
          </w:p>
        </w:tc>
        <w:tc>
          <w:tcPr>
            <w:tcW w:w="1279" w:type="dxa"/>
            <w:noWrap w:val="0"/>
            <w:vAlign w:val="top"/>
          </w:tcPr>
          <w:p>
            <w:pPr>
              <w:pStyle w:val="30"/>
              <w:spacing w:before="153"/>
              <w:ind w:left="108" w:right="109"/>
              <w:jc w:val="center"/>
              <w:rPr>
                <w:color w:val="000000"/>
                <w:sz w:val="20"/>
                <w:szCs w:val="20"/>
              </w:rPr>
            </w:pPr>
            <w:r>
              <w:rPr>
                <w:color w:val="000000"/>
                <w:sz w:val="20"/>
                <w:szCs w:val="20"/>
              </w:rPr>
              <w:t>粽子</w:t>
            </w:r>
          </w:p>
        </w:tc>
        <w:tc>
          <w:tcPr>
            <w:tcW w:w="1259" w:type="dxa"/>
            <w:noWrap w:val="0"/>
            <w:vAlign w:val="top"/>
          </w:tcPr>
          <w:p>
            <w:pPr>
              <w:pStyle w:val="30"/>
              <w:spacing w:before="153"/>
              <w:ind w:left="112" w:right="109"/>
              <w:jc w:val="center"/>
              <w:rPr>
                <w:color w:val="000000"/>
                <w:sz w:val="20"/>
                <w:szCs w:val="20"/>
              </w:rPr>
            </w:pPr>
            <w:r>
              <w:rPr>
                <w:color w:val="000000"/>
                <w:sz w:val="20"/>
                <w:szCs w:val="20"/>
              </w:rPr>
              <w:t>粽子</w:t>
            </w:r>
          </w:p>
        </w:tc>
        <w:tc>
          <w:tcPr>
            <w:tcW w:w="1289" w:type="dxa"/>
            <w:noWrap w:val="0"/>
            <w:vAlign w:val="top"/>
          </w:tcPr>
          <w:p>
            <w:pPr>
              <w:pStyle w:val="30"/>
              <w:spacing w:before="153"/>
              <w:ind w:left="15" w:right="18"/>
              <w:jc w:val="center"/>
              <w:rPr>
                <w:color w:val="000000"/>
                <w:sz w:val="20"/>
                <w:szCs w:val="20"/>
              </w:rPr>
            </w:pPr>
            <w:r>
              <w:rPr>
                <w:color w:val="000000"/>
                <w:sz w:val="20"/>
                <w:szCs w:val="20"/>
              </w:rPr>
              <w:t>粽子</w:t>
            </w:r>
          </w:p>
        </w:tc>
        <w:tc>
          <w:tcPr>
            <w:tcW w:w="689" w:type="dxa"/>
            <w:noWrap w:val="0"/>
            <w:vAlign w:val="top"/>
          </w:tcPr>
          <w:p>
            <w:pPr>
              <w:pStyle w:val="30"/>
              <w:spacing w:before="156"/>
              <w:ind w:left="136" w:right="139"/>
              <w:jc w:val="center"/>
              <w:rPr>
                <w:color w:val="000000"/>
                <w:sz w:val="20"/>
                <w:szCs w:val="20"/>
              </w:rPr>
            </w:pPr>
            <w:r>
              <w:rPr>
                <w:color w:val="000000"/>
                <w:sz w:val="20"/>
                <w:szCs w:val="20"/>
              </w:rPr>
              <w:t>较高</w:t>
            </w:r>
          </w:p>
        </w:tc>
        <w:tc>
          <w:tcPr>
            <w:tcW w:w="7428" w:type="dxa"/>
            <w:noWrap w:val="0"/>
            <w:vAlign w:val="top"/>
          </w:tcPr>
          <w:p>
            <w:pPr>
              <w:pStyle w:val="30"/>
              <w:spacing w:line="248" w:lineRule="exact"/>
              <w:ind w:hanging="862"/>
              <w:rPr>
                <w:color w:val="000000"/>
                <w:sz w:val="20"/>
                <w:szCs w:val="20"/>
              </w:rPr>
            </w:pPr>
            <w:r>
              <w:rPr>
                <w:color w:val="000000"/>
                <w:sz w:val="20"/>
                <w:szCs w:val="20"/>
              </w:rPr>
              <w:t>苯甲酸及其钠盐(以苯甲酸计)、山梨酸及其钾盐(以山梨酸计)、糖精钠(以糖精计)、安赛密、菌落总数、大肠菌群、霉菌、商业无菌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jc w:val="center"/>
        </w:trPr>
        <w:tc>
          <w:tcPr>
            <w:tcW w:w="596" w:type="dxa"/>
            <w:noWrap w:val="0"/>
            <w:vAlign w:val="center"/>
          </w:tcPr>
          <w:p>
            <w:pPr>
              <w:pStyle w:val="30"/>
              <w:overflowPunct w:val="0"/>
              <w:spacing w:line="240" w:lineRule="exact"/>
              <w:jc w:val="center"/>
              <w:rPr>
                <w:color w:val="000000"/>
                <w:sz w:val="20"/>
                <w:szCs w:val="20"/>
              </w:rPr>
            </w:pPr>
            <w:r>
              <w:rPr>
                <w:color w:val="000000"/>
                <w:sz w:val="20"/>
                <w:szCs w:val="20"/>
              </w:rPr>
              <w:t>19</w:t>
            </w:r>
          </w:p>
        </w:tc>
        <w:tc>
          <w:tcPr>
            <w:tcW w:w="567" w:type="dxa"/>
            <w:noWrap w:val="0"/>
            <w:vAlign w:val="center"/>
          </w:tcPr>
          <w:p>
            <w:pPr>
              <w:pStyle w:val="30"/>
              <w:overflowPunct w:val="0"/>
              <w:spacing w:line="240" w:lineRule="exact"/>
              <w:jc w:val="center"/>
              <w:rPr>
                <w:color w:val="000000"/>
                <w:sz w:val="20"/>
                <w:szCs w:val="20"/>
              </w:rPr>
            </w:pPr>
            <w:r>
              <w:rPr>
                <w:rFonts w:hint="eastAsia"/>
                <w:color w:val="000000"/>
                <w:sz w:val="20"/>
                <w:szCs w:val="20"/>
              </w:rPr>
              <w:t>22</w:t>
            </w:r>
          </w:p>
        </w:tc>
        <w:tc>
          <w:tcPr>
            <w:tcW w:w="1520" w:type="dxa"/>
            <w:noWrap w:val="0"/>
            <w:vAlign w:val="top"/>
          </w:tcPr>
          <w:p>
            <w:pPr>
              <w:pStyle w:val="30"/>
              <w:rPr>
                <w:color w:val="000000"/>
                <w:sz w:val="20"/>
                <w:szCs w:val="20"/>
              </w:rPr>
            </w:pPr>
          </w:p>
          <w:p>
            <w:pPr>
              <w:pStyle w:val="30"/>
              <w:spacing w:before="147"/>
              <w:ind w:left="121" w:right="109"/>
              <w:jc w:val="center"/>
              <w:rPr>
                <w:color w:val="000000"/>
                <w:sz w:val="20"/>
                <w:szCs w:val="20"/>
              </w:rPr>
            </w:pPr>
            <w:r>
              <w:rPr>
                <w:color w:val="000000"/>
                <w:sz w:val="20"/>
                <w:szCs w:val="20"/>
              </w:rPr>
              <w:t>豆制品</w:t>
            </w:r>
          </w:p>
        </w:tc>
        <w:tc>
          <w:tcPr>
            <w:tcW w:w="1279" w:type="dxa"/>
            <w:noWrap w:val="0"/>
            <w:vAlign w:val="top"/>
          </w:tcPr>
          <w:p>
            <w:pPr>
              <w:pStyle w:val="30"/>
              <w:rPr>
                <w:color w:val="000000"/>
                <w:sz w:val="20"/>
                <w:szCs w:val="20"/>
              </w:rPr>
            </w:pPr>
          </w:p>
          <w:p>
            <w:pPr>
              <w:pStyle w:val="30"/>
              <w:spacing w:before="147"/>
              <w:ind w:left="121" w:right="109"/>
              <w:jc w:val="center"/>
              <w:rPr>
                <w:color w:val="000000"/>
                <w:sz w:val="20"/>
                <w:szCs w:val="20"/>
              </w:rPr>
            </w:pPr>
            <w:r>
              <w:rPr>
                <w:color w:val="000000"/>
                <w:sz w:val="20"/>
                <w:szCs w:val="20"/>
              </w:rPr>
              <w:t>豆制品</w:t>
            </w:r>
          </w:p>
        </w:tc>
        <w:tc>
          <w:tcPr>
            <w:tcW w:w="1259" w:type="dxa"/>
            <w:noWrap w:val="0"/>
            <w:vAlign w:val="top"/>
          </w:tcPr>
          <w:p>
            <w:pPr>
              <w:pStyle w:val="30"/>
              <w:spacing w:before="7"/>
              <w:rPr>
                <w:color w:val="000000"/>
                <w:sz w:val="20"/>
                <w:szCs w:val="20"/>
              </w:rPr>
            </w:pPr>
          </w:p>
          <w:p>
            <w:pPr>
              <w:pStyle w:val="30"/>
              <w:spacing w:line="230" w:lineRule="auto"/>
              <w:ind w:left="438" w:right="125" w:hanging="300"/>
              <w:rPr>
                <w:color w:val="000000"/>
                <w:sz w:val="20"/>
                <w:szCs w:val="20"/>
              </w:rPr>
            </w:pPr>
            <w:r>
              <w:rPr>
                <w:color w:val="000000"/>
                <w:sz w:val="20"/>
                <w:szCs w:val="20"/>
              </w:rPr>
              <w:t>非发酵性豆制品</w:t>
            </w:r>
          </w:p>
        </w:tc>
        <w:tc>
          <w:tcPr>
            <w:tcW w:w="1289" w:type="dxa"/>
            <w:noWrap w:val="0"/>
            <w:vAlign w:val="top"/>
          </w:tcPr>
          <w:p>
            <w:pPr>
              <w:pStyle w:val="30"/>
              <w:spacing w:before="10"/>
              <w:rPr>
                <w:color w:val="000000"/>
                <w:sz w:val="20"/>
                <w:szCs w:val="20"/>
              </w:rPr>
            </w:pPr>
          </w:p>
          <w:p>
            <w:pPr>
              <w:pStyle w:val="30"/>
              <w:spacing w:before="1" w:line="252" w:lineRule="auto"/>
              <w:ind w:left="313" w:right="14" w:hanging="286"/>
              <w:rPr>
                <w:color w:val="000000"/>
                <w:sz w:val="20"/>
                <w:szCs w:val="20"/>
              </w:rPr>
            </w:pPr>
            <w:r>
              <w:rPr>
                <w:color w:val="000000"/>
                <w:sz w:val="20"/>
                <w:szCs w:val="20"/>
              </w:rPr>
              <w:t>豆干、豆腐、豆皮等</w:t>
            </w:r>
          </w:p>
        </w:tc>
        <w:tc>
          <w:tcPr>
            <w:tcW w:w="689" w:type="dxa"/>
            <w:noWrap w:val="0"/>
            <w:vAlign w:val="top"/>
          </w:tcPr>
          <w:p>
            <w:pPr>
              <w:pStyle w:val="30"/>
              <w:rPr>
                <w:color w:val="000000"/>
                <w:sz w:val="20"/>
                <w:szCs w:val="20"/>
              </w:rPr>
            </w:pPr>
          </w:p>
          <w:p>
            <w:pPr>
              <w:pStyle w:val="30"/>
              <w:spacing w:before="145"/>
              <w:ind w:left="136" w:right="139"/>
              <w:jc w:val="center"/>
              <w:rPr>
                <w:color w:val="000000"/>
                <w:sz w:val="20"/>
                <w:szCs w:val="20"/>
              </w:rPr>
            </w:pPr>
            <w:r>
              <w:rPr>
                <w:color w:val="000000"/>
                <w:sz w:val="20"/>
                <w:szCs w:val="20"/>
              </w:rPr>
              <w:t>较高</w:t>
            </w:r>
          </w:p>
        </w:tc>
        <w:tc>
          <w:tcPr>
            <w:tcW w:w="7428" w:type="dxa"/>
            <w:noWrap w:val="0"/>
            <w:vAlign w:val="top"/>
          </w:tcPr>
          <w:p>
            <w:pPr>
              <w:pStyle w:val="30"/>
              <w:spacing w:line="226" w:lineRule="exact"/>
              <w:rPr>
                <w:color w:val="000000"/>
                <w:sz w:val="20"/>
                <w:szCs w:val="20"/>
              </w:rPr>
            </w:pPr>
            <w:r>
              <w:rPr>
                <w:color w:val="000000"/>
                <w:sz w:val="20"/>
                <w:szCs w:val="20"/>
              </w:rPr>
              <w:t>铅(以Pb计)、苯甲酸及其钠盐(以苯甲酸计)、山梨酸及其钾盐(以山梨酸 计)、脱氢乙酸及其钠盐(以脱氢乙酸计)、丙酸及其钠盐、钙盐(以丙酸计)防腐剂混合使用时各自用量占其最大使用量的比例之和、糖精钠(以糖精计)、三氯蔗糖、铝的残留量(干样品，以Al计)、大肠菌群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5" w:hRule="atLeast"/>
          <w:jc w:val="center"/>
        </w:trPr>
        <w:tc>
          <w:tcPr>
            <w:tcW w:w="596" w:type="dxa"/>
            <w:noWrap w:val="0"/>
            <w:vAlign w:val="center"/>
          </w:tcPr>
          <w:p>
            <w:pPr>
              <w:pStyle w:val="30"/>
              <w:overflowPunct w:val="0"/>
              <w:spacing w:line="240" w:lineRule="exact"/>
              <w:jc w:val="center"/>
              <w:rPr>
                <w:color w:val="000000"/>
                <w:sz w:val="20"/>
                <w:szCs w:val="20"/>
              </w:rPr>
            </w:pPr>
            <w:r>
              <w:rPr>
                <w:color w:val="000000"/>
                <w:sz w:val="20"/>
                <w:szCs w:val="20"/>
              </w:rPr>
              <w:t>20</w:t>
            </w:r>
          </w:p>
        </w:tc>
        <w:tc>
          <w:tcPr>
            <w:tcW w:w="567" w:type="dxa"/>
            <w:noWrap w:val="0"/>
            <w:vAlign w:val="center"/>
          </w:tcPr>
          <w:p>
            <w:pPr>
              <w:pStyle w:val="30"/>
              <w:overflowPunct w:val="0"/>
              <w:spacing w:line="240" w:lineRule="exact"/>
              <w:jc w:val="center"/>
              <w:rPr>
                <w:color w:val="000000"/>
                <w:sz w:val="20"/>
                <w:szCs w:val="20"/>
              </w:rPr>
            </w:pPr>
            <w:r>
              <w:rPr>
                <w:color w:val="000000"/>
                <w:sz w:val="20"/>
                <w:szCs w:val="20"/>
              </w:rPr>
              <w:t>12</w:t>
            </w:r>
          </w:p>
        </w:tc>
        <w:tc>
          <w:tcPr>
            <w:tcW w:w="1520" w:type="dxa"/>
            <w:noWrap w:val="0"/>
            <w:vAlign w:val="top"/>
          </w:tcPr>
          <w:p>
            <w:pPr>
              <w:pStyle w:val="30"/>
              <w:rPr>
                <w:color w:val="000000"/>
                <w:sz w:val="20"/>
                <w:szCs w:val="20"/>
              </w:rPr>
            </w:pPr>
          </w:p>
          <w:p>
            <w:pPr>
              <w:pStyle w:val="30"/>
              <w:rPr>
                <w:color w:val="000000"/>
                <w:sz w:val="20"/>
                <w:szCs w:val="20"/>
              </w:rPr>
            </w:pPr>
          </w:p>
          <w:p>
            <w:pPr>
              <w:pStyle w:val="30"/>
              <w:rPr>
                <w:color w:val="000000"/>
                <w:sz w:val="20"/>
                <w:szCs w:val="20"/>
              </w:rPr>
            </w:pPr>
          </w:p>
          <w:p>
            <w:pPr>
              <w:pStyle w:val="30"/>
              <w:rPr>
                <w:color w:val="000000"/>
                <w:sz w:val="20"/>
                <w:szCs w:val="20"/>
              </w:rPr>
            </w:pPr>
          </w:p>
          <w:p>
            <w:pPr>
              <w:pStyle w:val="30"/>
              <w:spacing w:before="158"/>
              <w:ind w:left="121" w:right="109"/>
              <w:jc w:val="center"/>
              <w:rPr>
                <w:color w:val="000000"/>
                <w:sz w:val="20"/>
                <w:szCs w:val="20"/>
              </w:rPr>
            </w:pPr>
            <w:r>
              <w:rPr>
                <w:color w:val="000000"/>
                <w:sz w:val="20"/>
                <w:szCs w:val="20"/>
              </w:rPr>
              <w:t>保健食品</w:t>
            </w:r>
          </w:p>
        </w:tc>
        <w:tc>
          <w:tcPr>
            <w:tcW w:w="1279" w:type="dxa"/>
            <w:noWrap w:val="0"/>
            <w:vAlign w:val="top"/>
          </w:tcPr>
          <w:p>
            <w:pPr>
              <w:pStyle w:val="30"/>
              <w:rPr>
                <w:color w:val="000000"/>
                <w:sz w:val="20"/>
                <w:szCs w:val="20"/>
              </w:rPr>
            </w:pPr>
          </w:p>
          <w:p>
            <w:pPr>
              <w:pStyle w:val="30"/>
              <w:rPr>
                <w:color w:val="000000"/>
                <w:sz w:val="20"/>
                <w:szCs w:val="20"/>
              </w:rPr>
            </w:pPr>
          </w:p>
          <w:p>
            <w:pPr>
              <w:pStyle w:val="30"/>
              <w:rPr>
                <w:color w:val="000000"/>
                <w:sz w:val="20"/>
                <w:szCs w:val="20"/>
              </w:rPr>
            </w:pPr>
          </w:p>
          <w:p>
            <w:pPr>
              <w:pStyle w:val="30"/>
              <w:rPr>
                <w:color w:val="000000"/>
                <w:sz w:val="20"/>
                <w:szCs w:val="20"/>
              </w:rPr>
            </w:pPr>
          </w:p>
          <w:p>
            <w:pPr>
              <w:pStyle w:val="30"/>
              <w:spacing w:before="158"/>
              <w:ind w:left="126" w:right="109"/>
              <w:jc w:val="center"/>
              <w:rPr>
                <w:color w:val="000000"/>
                <w:sz w:val="20"/>
                <w:szCs w:val="20"/>
              </w:rPr>
            </w:pPr>
            <w:r>
              <w:rPr>
                <w:color w:val="000000"/>
                <w:sz w:val="20"/>
                <w:szCs w:val="20"/>
              </w:rPr>
              <w:t>保健食品</w:t>
            </w:r>
          </w:p>
        </w:tc>
        <w:tc>
          <w:tcPr>
            <w:tcW w:w="1259" w:type="dxa"/>
            <w:noWrap w:val="0"/>
            <w:vAlign w:val="top"/>
          </w:tcPr>
          <w:p>
            <w:pPr>
              <w:pStyle w:val="30"/>
              <w:rPr>
                <w:color w:val="000000"/>
                <w:sz w:val="20"/>
                <w:szCs w:val="20"/>
              </w:rPr>
            </w:pPr>
          </w:p>
          <w:p>
            <w:pPr>
              <w:pStyle w:val="30"/>
              <w:rPr>
                <w:color w:val="000000"/>
                <w:sz w:val="20"/>
                <w:szCs w:val="20"/>
              </w:rPr>
            </w:pPr>
          </w:p>
          <w:p>
            <w:pPr>
              <w:pStyle w:val="30"/>
              <w:rPr>
                <w:color w:val="000000"/>
                <w:sz w:val="20"/>
                <w:szCs w:val="20"/>
              </w:rPr>
            </w:pPr>
          </w:p>
          <w:p>
            <w:pPr>
              <w:pStyle w:val="30"/>
              <w:rPr>
                <w:color w:val="000000"/>
                <w:sz w:val="20"/>
                <w:szCs w:val="20"/>
              </w:rPr>
            </w:pPr>
          </w:p>
          <w:p>
            <w:pPr>
              <w:pStyle w:val="30"/>
              <w:spacing w:before="158"/>
              <w:ind w:left="126" w:right="109"/>
              <w:jc w:val="center"/>
              <w:rPr>
                <w:color w:val="000000"/>
                <w:sz w:val="20"/>
                <w:szCs w:val="20"/>
              </w:rPr>
            </w:pPr>
            <w:r>
              <w:rPr>
                <w:color w:val="000000"/>
                <w:sz w:val="20"/>
                <w:szCs w:val="20"/>
              </w:rPr>
              <w:t>保健食品</w:t>
            </w:r>
          </w:p>
        </w:tc>
        <w:tc>
          <w:tcPr>
            <w:tcW w:w="1289" w:type="dxa"/>
            <w:noWrap w:val="0"/>
            <w:vAlign w:val="top"/>
          </w:tcPr>
          <w:p>
            <w:pPr>
              <w:pStyle w:val="30"/>
              <w:rPr>
                <w:color w:val="000000"/>
                <w:sz w:val="20"/>
                <w:szCs w:val="20"/>
              </w:rPr>
            </w:pPr>
          </w:p>
          <w:p>
            <w:pPr>
              <w:pStyle w:val="30"/>
              <w:rPr>
                <w:color w:val="000000"/>
                <w:sz w:val="20"/>
                <w:szCs w:val="20"/>
              </w:rPr>
            </w:pPr>
          </w:p>
          <w:p>
            <w:pPr>
              <w:pStyle w:val="30"/>
              <w:rPr>
                <w:color w:val="000000"/>
                <w:sz w:val="20"/>
                <w:szCs w:val="20"/>
              </w:rPr>
            </w:pPr>
          </w:p>
          <w:p>
            <w:pPr>
              <w:pStyle w:val="30"/>
              <w:rPr>
                <w:color w:val="000000"/>
                <w:sz w:val="20"/>
                <w:szCs w:val="20"/>
              </w:rPr>
            </w:pPr>
          </w:p>
          <w:p>
            <w:pPr>
              <w:pStyle w:val="30"/>
              <w:spacing w:before="158"/>
              <w:ind w:left="15" w:right="2"/>
              <w:jc w:val="center"/>
              <w:rPr>
                <w:color w:val="000000"/>
                <w:sz w:val="20"/>
                <w:szCs w:val="20"/>
              </w:rPr>
            </w:pPr>
            <w:r>
              <w:rPr>
                <w:color w:val="000000"/>
                <w:sz w:val="20"/>
                <w:szCs w:val="20"/>
              </w:rPr>
              <w:t>保健食品</w:t>
            </w:r>
          </w:p>
        </w:tc>
        <w:tc>
          <w:tcPr>
            <w:tcW w:w="689" w:type="dxa"/>
            <w:noWrap w:val="0"/>
            <w:vAlign w:val="top"/>
          </w:tcPr>
          <w:p>
            <w:pPr>
              <w:pStyle w:val="30"/>
              <w:rPr>
                <w:color w:val="000000"/>
                <w:sz w:val="20"/>
                <w:szCs w:val="20"/>
              </w:rPr>
            </w:pPr>
          </w:p>
          <w:p>
            <w:pPr>
              <w:pStyle w:val="30"/>
              <w:rPr>
                <w:color w:val="000000"/>
                <w:sz w:val="20"/>
                <w:szCs w:val="20"/>
              </w:rPr>
            </w:pPr>
          </w:p>
          <w:p>
            <w:pPr>
              <w:pStyle w:val="30"/>
              <w:rPr>
                <w:color w:val="000000"/>
                <w:sz w:val="20"/>
                <w:szCs w:val="20"/>
              </w:rPr>
            </w:pPr>
          </w:p>
          <w:p>
            <w:pPr>
              <w:pStyle w:val="30"/>
              <w:rPr>
                <w:color w:val="000000"/>
                <w:sz w:val="20"/>
                <w:szCs w:val="20"/>
              </w:rPr>
            </w:pPr>
          </w:p>
          <w:p>
            <w:pPr>
              <w:pStyle w:val="30"/>
              <w:spacing w:before="156"/>
              <w:ind w:left="136" w:right="139"/>
              <w:jc w:val="center"/>
              <w:rPr>
                <w:color w:val="000000"/>
                <w:sz w:val="20"/>
                <w:szCs w:val="20"/>
              </w:rPr>
            </w:pPr>
            <w:r>
              <w:rPr>
                <w:color w:val="000000"/>
                <w:sz w:val="20"/>
                <w:szCs w:val="20"/>
              </w:rPr>
              <w:t>较高</w:t>
            </w:r>
          </w:p>
        </w:tc>
        <w:tc>
          <w:tcPr>
            <w:tcW w:w="7428" w:type="dxa"/>
            <w:noWrap w:val="0"/>
            <w:vAlign w:val="top"/>
          </w:tcPr>
          <w:p>
            <w:pPr>
              <w:pStyle w:val="30"/>
              <w:spacing w:line="228" w:lineRule="exact"/>
              <w:rPr>
                <w:color w:val="000000"/>
                <w:sz w:val="20"/>
                <w:szCs w:val="20"/>
              </w:rPr>
            </w:pPr>
            <w:r>
              <w:rPr>
                <w:color w:val="000000"/>
                <w:sz w:val="20"/>
                <w:szCs w:val="20"/>
              </w:rPr>
              <w:t>功效/标志性成分、水分、可溶性固形物、酸价、过氧化值、崩解时限、铅(Pb)、总砷(As)、总汞(Hg)、硬胶囊壳中的铬、西布曲明、N-单去甲基西布曲明、 N,N-双去甲基西布曲明、麻黄碱、芬氟拉明、酚酞、甲苯磺丁脲、格列苯脲、格列齐特、格列吡嗪、格列喹酮、格列美脲、马来酸罗格列酮、瑞格列奈、盐酸吡格列酮、盐酸二甲双胍、盐酸苯乙双胍、盐酸丁二胍、格列波脲、那红地那非、红地那非、伐地那非、羟基豪莫西地那非、西地那非、豪莫西地那非、氨基他达拉非、他达拉非、硫代艾地那非、伪伐地那非、那莫西地那非、阿替洛尔、盐酸可乐定、氢氯噻嗪、卡托普利、哌唑嗪、利血平、硝苯地平、氨氯地平、尼群地平、尼莫地平、尼索地平、非洛地平、菌落总数、大肠菌群、霉菌和酵母、金黄色葡萄球菌、沙门氏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596" w:type="dxa"/>
            <w:noWrap w:val="0"/>
            <w:vAlign w:val="center"/>
          </w:tcPr>
          <w:p>
            <w:pPr>
              <w:pStyle w:val="30"/>
              <w:overflowPunct w:val="0"/>
              <w:spacing w:line="240" w:lineRule="exact"/>
              <w:jc w:val="center"/>
              <w:rPr>
                <w:color w:val="000000"/>
                <w:sz w:val="20"/>
                <w:szCs w:val="20"/>
              </w:rPr>
            </w:pPr>
            <w:r>
              <w:rPr>
                <w:color w:val="000000"/>
                <w:sz w:val="20"/>
                <w:szCs w:val="20"/>
              </w:rPr>
              <w:t>21</w:t>
            </w:r>
          </w:p>
        </w:tc>
        <w:tc>
          <w:tcPr>
            <w:tcW w:w="567" w:type="dxa"/>
            <w:noWrap w:val="0"/>
            <w:vAlign w:val="center"/>
          </w:tcPr>
          <w:p>
            <w:pPr>
              <w:pStyle w:val="30"/>
              <w:overflowPunct w:val="0"/>
              <w:spacing w:line="240" w:lineRule="exact"/>
              <w:jc w:val="center"/>
              <w:rPr>
                <w:color w:val="000000"/>
                <w:sz w:val="20"/>
                <w:szCs w:val="20"/>
              </w:rPr>
            </w:pPr>
            <w:r>
              <w:rPr>
                <w:rFonts w:hint="eastAsia"/>
                <w:color w:val="000000"/>
                <w:sz w:val="20"/>
                <w:szCs w:val="20"/>
              </w:rPr>
              <w:t>38</w:t>
            </w:r>
          </w:p>
        </w:tc>
        <w:tc>
          <w:tcPr>
            <w:tcW w:w="1520" w:type="dxa"/>
            <w:vMerge w:val="restart"/>
            <w:noWrap w:val="0"/>
            <w:vAlign w:val="top"/>
          </w:tcPr>
          <w:p>
            <w:pPr>
              <w:pStyle w:val="30"/>
              <w:rPr>
                <w:color w:val="000000"/>
                <w:sz w:val="20"/>
                <w:szCs w:val="20"/>
              </w:rPr>
            </w:pPr>
          </w:p>
          <w:p>
            <w:pPr>
              <w:pStyle w:val="30"/>
              <w:spacing w:before="150"/>
              <w:ind w:left="233"/>
              <w:rPr>
                <w:color w:val="000000"/>
                <w:sz w:val="20"/>
                <w:szCs w:val="20"/>
              </w:rPr>
            </w:pPr>
            <w:r>
              <w:rPr>
                <w:color w:val="000000"/>
                <w:sz w:val="20"/>
                <w:szCs w:val="20"/>
              </w:rPr>
              <w:t>餐饮食品</w:t>
            </w:r>
          </w:p>
        </w:tc>
        <w:tc>
          <w:tcPr>
            <w:tcW w:w="1279" w:type="dxa"/>
            <w:vMerge w:val="restart"/>
            <w:noWrap w:val="0"/>
            <w:vAlign w:val="top"/>
          </w:tcPr>
          <w:p>
            <w:pPr>
              <w:pStyle w:val="30"/>
              <w:spacing w:before="2"/>
              <w:rPr>
                <w:color w:val="000000"/>
                <w:sz w:val="20"/>
                <w:szCs w:val="20"/>
              </w:rPr>
            </w:pPr>
          </w:p>
          <w:p>
            <w:pPr>
              <w:pStyle w:val="30"/>
              <w:spacing w:line="242" w:lineRule="auto"/>
              <w:ind w:left="186" w:right="169" w:firstLine="50"/>
              <w:rPr>
                <w:rFonts w:hint="eastAsia"/>
                <w:color w:val="000000"/>
                <w:sz w:val="20"/>
                <w:szCs w:val="20"/>
              </w:rPr>
            </w:pPr>
            <w:r>
              <w:rPr>
                <w:color w:val="000000"/>
                <w:sz w:val="20"/>
                <w:szCs w:val="20"/>
              </w:rPr>
              <w:t>米面及其制品(自制</w:t>
            </w:r>
            <w:r>
              <w:rPr>
                <w:rFonts w:hint="eastAsia"/>
                <w:color w:val="000000"/>
                <w:sz w:val="20"/>
                <w:szCs w:val="20"/>
              </w:rPr>
              <w:t>)</w:t>
            </w:r>
          </w:p>
        </w:tc>
        <w:tc>
          <w:tcPr>
            <w:tcW w:w="1259" w:type="dxa"/>
            <w:vMerge w:val="restart"/>
            <w:noWrap w:val="0"/>
            <w:vAlign w:val="top"/>
          </w:tcPr>
          <w:p>
            <w:pPr>
              <w:pStyle w:val="30"/>
              <w:spacing w:before="11"/>
              <w:rPr>
                <w:color w:val="000000"/>
                <w:sz w:val="20"/>
                <w:szCs w:val="20"/>
              </w:rPr>
            </w:pPr>
          </w:p>
          <w:p>
            <w:pPr>
              <w:pStyle w:val="30"/>
              <w:spacing w:before="1" w:line="223" w:lineRule="auto"/>
              <w:ind w:left="337" w:right="113" w:hanging="200"/>
              <w:rPr>
                <w:color w:val="000000"/>
                <w:sz w:val="20"/>
                <w:szCs w:val="20"/>
              </w:rPr>
            </w:pPr>
            <w:r>
              <w:rPr>
                <w:color w:val="000000"/>
                <w:sz w:val="20"/>
                <w:szCs w:val="20"/>
              </w:rPr>
              <w:t>小麦粉制品 (自制)</w:t>
            </w:r>
          </w:p>
        </w:tc>
        <w:tc>
          <w:tcPr>
            <w:tcW w:w="1289" w:type="dxa"/>
            <w:noWrap w:val="0"/>
            <w:vAlign w:val="top"/>
          </w:tcPr>
          <w:p>
            <w:pPr>
              <w:pStyle w:val="30"/>
              <w:spacing w:before="37" w:line="226" w:lineRule="exact"/>
              <w:ind w:left="328" w:right="113" w:hanging="200"/>
              <w:rPr>
                <w:color w:val="000000"/>
                <w:sz w:val="20"/>
                <w:szCs w:val="20"/>
              </w:rPr>
            </w:pPr>
            <w:r>
              <w:rPr>
                <w:color w:val="000000"/>
                <w:sz w:val="20"/>
                <w:szCs w:val="20"/>
              </w:rPr>
              <w:t>发酵面制品 (自制)</w:t>
            </w:r>
          </w:p>
        </w:tc>
        <w:tc>
          <w:tcPr>
            <w:tcW w:w="689" w:type="dxa"/>
            <w:noWrap w:val="0"/>
            <w:vAlign w:val="top"/>
          </w:tcPr>
          <w:p>
            <w:pPr>
              <w:pStyle w:val="30"/>
              <w:spacing w:before="147"/>
              <w:ind w:left="136" w:right="139"/>
              <w:jc w:val="center"/>
              <w:rPr>
                <w:color w:val="000000"/>
                <w:sz w:val="20"/>
                <w:szCs w:val="20"/>
              </w:rPr>
            </w:pPr>
            <w:r>
              <w:rPr>
                <w:color w:val="000000"/>
                <w:sz w:val="20"/>
                <w:szCs w:val="20"/>
              </w:rPr>
              <w:t>较高</w:t>
            </w:r>
          </w:p>
        </w:tc>
        <w:tc>
          <w:tcPr>
            <w:tcW w:w="7428" w:type="dxa"/>
            <w:noWrap w:val="0"/>
            <w:vAlign w:val="top"/>
          </w:tcPr>
          <w:p>
            <w:pPr>
              <w:pStyle w:val="30"/>
              <w:spacing w:before="37" w:line="226" w:lineRule="exact"/>
              <w:ind w:left="3109" w:right="109" w:hanging="2981"/>
              <w:rPr>
                <w:color w:val="000000"/>
                <w:sz w:val="20"/>
                <w:szCs w:val="20"/>
              </w:rPr>
            </w:pPr>
            <w:r>
              <w:rPr>
                <w:color w:val="000000"/>
                <w:sz w:val="20"/>
                <w:szCs w:val="20"/>
              </w:rPr>
              <w:t>苯甲酸及其钠盐(以苯甲酸计)、山梨酸及其钾盐(以山梨酸计)、糖精钠(以糖精计)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jc w:val="center"/>
        </w:trPr>
        <w:tc>
          <w:tcPr>
            <w:tcW w:w="596" w:type="dxa"/>
            <w:noWrap w:val="0"/>
            <w:vAlign w:val="center"/>
          </w:tcPr>
          <w:p>
            <w:pPr>
              <w:pStyle w:val="30"/>
              <w:overflowPunct w:val="0"/>
              <w:spacing w:line="240" w:lineRule="exact"/>
              <w:jc w:val="center"/>
              <w:rPr>
                <w:color w:val="000000"/>
                <w:sz w:val="20"/>
                <w:szCs w:val="20"/>
              </w:rPr>
            </w:pPr>
            <w:r>
              <w:rPr>
                <w:color w:val="000000"/>
                <w:sz w:val="20"/>
                <w:szCs w:val="20"/>
              </w:rPr>
              <w:t>22</w:t>
            </w:r>
          </w:p>
        </w:tc>
        <w:tc>
          <w:tcPr>
            <w:tcW w:w="567" w:type="dxa"/>
            <w:noWrap w:val="0"/>
            <w:vAlign w:val="center"/>
          </w:tcPr>
          <w:p>
            <w:pPr>
              <w:pStyle w:val="30"/>
              <w:overflowPunct w:val="0"/>
              <w:spacing w:line="240" w:lineRule="exact"/>
              <w:jc w:val="center"/>
              <w:rPr>
                <w:color w:val="000000"/>
                <w:sz w:val="20"/>
                <w:szCs w:val="20"/>
              </w:rPr>
            </w:pPr>
            <w:r>
              <w:rPr>
                <w:rFonts w:hint="eastAsia"/>
                <w:color w:val="000000"/>
                <w:sz w:val="20"/>
                <w:szCs w:val="20"/>
              </w:rPr>
              <w:t>32</w:t>
            </w:r>
          </w:p>
        </w:tc>
        <w:tc>
          <w:tcPr>
            <w:tcW w:w="1520" w:type="dxa"/>
            <w:vMerge w:val="continue"/>
            <w:tcBorders>
              <w:top w:val="nil"/>
            </w:tcBorders>
            <w:noWrap w:val="0"/>
            <w:vAlign w:val="top"/>
          </w:tcPr>
          <w:p>
            <w:pPr>
              <w:rPr>
                <w:color w:val="000000"/>
                <w:sz w:val="20"/>
                <w:szCs w:val="20"/>
              </w:rPr>
            </w:pPr>
          </w:p>
        </w:tc>
        <w:tc>
          <w:tcPr>
            <w:tcW w:w="1279" w:type="dxa"/>
            <w:vMerge w:val="continue"/>
            <w:tcBorders>
              <w:top w:val="nil"/>
            </w:tcBorders>
            <w:noWrap w:val="0"/>
            <w:vAlign w:val="top"/>
          </w:tcPr>
          <w:p>
            <w:pPr>
              <w:rPr>
                <w:color w:val="000000"/>
                <w:sz w:val="20"/>
                <w:szCs w:val="20"/>
              </w:rPr>
            </w:pPr>
          </w:p>
        </w:tc>
        <w:tc>
          <w:tcPr>
            <w:tcW w:w="1259" w:type="dxa"/>
            <w:vMerge w:val="continue"/>
            <w:tcBorders>
              <w:top w:val="nil"/>
            </w:tcBorders>
            <w:noWrap w:val="0"/>
            <w:vAlign w:val="top"/>
          </w:tcPr>
          <w:p>
            <w:pPr>
              <w:rPr>
                <w:color w:val="000000"/>
                <w:sz w:val="20"/>
                <w:szCs w:val="20"/>
              </w:rPr>
            </w:pPr>
          </w:p>
        </w:tc>
        <w:tc>
          <w:tcPr>
            <w:tcW w:w="1289" w:type="dxa"/>
            <w:noWrap w:val="0"/>
            <w:vAlign w:val="top"/>
          </w:tcPr>
          <w:p>
            <w:pPr>
              <w:pStyle w:val="30"/>
              <w:spacing w:before="27" w:line="236" w:lineRule="exact"/>
              <w:ind w:left="328" w:right="113" w:hanging="200"/>
              <w:rPr>
                <w:color w:val="000000"/>
                <w:sz w:val="20"/>
                <w:szCs w:val="20"/>
              </w:rPr>
            </w:pPr>
            <w:r>
              <w:rPr>
                <w:color w:val="000000"/>
                <w:sz w:val="20"/>
                <w:szCs w:val="20"/>
              </w:rPr>
              <w:t>油炸面制品 (自制)</w:t>
            </w:r>
          </w:p>
        </w:tc>
        <w:tc>
          <w:tcPr>
            <w:tcW w:w="689" w:type="dxa"/>
            <w:noWrap w:val="0"/>
            <w:vAlign w:val="top"/>
          </w:tcPr>
          <w:p>
            <w:pPr>
              <w:pStyle w:val="30"/>
              <w:spacing w:before="147"/>
              <w:ind w:left="136" w:right="139"/>
              <w:jc w:val="center"/>
              <w:rPr>
                <w:color w:val="000000"/>
                <w:sz w:val="20"/>
                <w:szCs w:val="20"/>
              </w:rPr>
            </w:pPr>
            <w:r>
              <w:rPr>
                <w:color w:val="000000"/>
                <w:sz w:val="20"/>
                <w:szCs w:val="20"/>
              </w:rPr>
              <w:t>较高</w:t>
            </w:r>
          </w:p>
        </w:tc>
        <w:tc>
          <w:tcPr>
            <w:tcW w:w="7428" w:type="dxa"/>
            <w:noWrap w:val="0"/>
            <w:vAlign w:val="top"/>
          </w:tcPr>
          <w:p>
            <w:pPr>
              <w:pStyle w:val="30"/>
              <w:spacing w:before="147"/>
              <w:ind w:left="1674" w:right="1742"/>
              <w:jc w:val="center"/>
              <w:rPr>
                <w:color w:val="000000"/>
                <w:sz w:val="20"/>
                <w:szCs w:val="20"/>
              </w:rPr>
            </w:pPr>
            <w:r>
              <w:rPr>
                <w:color w:val="000000"/>
                <w:sz w:val="20"/>
                <w:szCs w:val="20"/>
              </w:rPr>
              <w:t>铝的残留量(干样品，以Al计)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8" w:hRule="atLeast"/>
          <w:jc w:val="center"/>
        </w:trPr>
        <w:tc>
          <w:tcPr>
            <w:tcW w:w="596" w:type="dxa"/>
            <w:noWrap w:val="0"/>
            <w:vAlign w:val="center"/>
          </w:tcPr>
          <w:p>
            <w:pPr>
              <w:pStyle w:val="30"/>
              <w:overflowPunct w:val="0"/>
              <w:spacing w:line="240" w:lineRule="exact"/>
              <w:jc w:val="center"/>
              <w:rPr>
                <w:color w:val="000000"/>
                <w:sz w:val="20"/>
                <w:szCs w:val="20"/>
              </w:rPr>
            </w:pPr>
            <w:r>
              <w:rPr>
                <w:color w:val="000000"/>
                <w:sz w:val="20"/>
                <w:szCs w:val="20"/>
              </w:rPr>
              <w:t>23</w:t>
            </w:r>
          </w:p>
        </w:tc>
        <w:tc>
          <w:tcPr>
            <w:tcW w:w="567" w:type="dxa"/>
            <w:noWrap w:val="0"/>
            <w:vAlign w:val="center"/>
          </w:tcPr>
          <w:p>
            <w:pPr>
              <w:pStyle w:val="30"/>
              <w:overflowPunct w:val="0"/>
              <w:spacing w:line="240" w:lineRule="exact"/>
              <w:jc w:val="center"/>
              <w:rPr>
                <w:color w:val="000000"/>
                <w:sz w:val="20"/>
                <w:szCs w:val="20"/>
              </w:rPr>
            </w:pPr>
            <w:r>
              <w:rPr>
                <w:rFonts w:hint="eastAsia"/>
                <w:color w:val="000000"/>
                <w:sz w:val="20"/>
                <w:szCs w:val="20"/>
              </w:rPr>
              <w:t>36</w:t>
            </w:r>
          </w:p>
        </w:tc>
        <w:tc>
          <w:tcPr>
            <w:tcW w:w="1520" w:type="dxa"/>
            <w:noWrap w:val="0"/>
            <w:vAlign w:val="top"/>
          </w:tcPr>
          <w:p>
            <w:pPr>
              <w:pStyle w:val="30"/>
              <w:rPr>
                <w:color w:val="000000"/>
                <w:sz w:val="20"/>
                <w:szCs w:val="20"/>
              </w:rPr>
            </w:pPr>
          </w:p>
          <w:p>
            <w:pPr>
              <w:pStyle w:val="30"/>
              <w:spacing w:before="154"/>
              <w:ind w:left="121" w:right="109"/>
              <w:jc w:val="center"/>
              <w:rPr>
                <w:color w:val="000000"/>
                <w:sz w:val="20"/>
                <w:szCs w:val="20"/>
              </w:rPr>
            </w:pPr>
            <w:r>
              <w:rPr>
                <w:color w:val="000000"/>
                <w:sz w:val="20"/>
                <w:szCs w:val="20"/>
              </w:rPr>
              <w:t>蔬菜制品</w:t>
            </w:r>
          </w:p>
        </w:tc>
        <w:tc>
          <w:tcPr>
            <w:tcW w:w="1279" w:type="dxa"/>
            <w:noWrap w:val="0"/>
            <w:vAlign w:val="top"/>
          </w:tcPr>
          <w:p>
            <w:pPr>
              <w:pStyle w:val="30"/>
              <w:rPr>
                <w:color w:val="000000"/>
                <w:sz w:val="20"/>
                <w:szCs w:val="20"/>
              </w:rPr>
            </w:pPr>
          </w:p>
          <w:p>
            <w:pPr>
              <w:pStyle w:val="30"/>
              <w:spacing w:before="154"/>
              <w:ind w:left="126" w:right="109"/>
              <w:jc w:val="center"/>
              <w:rPr>
                <w:color w:val="000000"/>
                <w:sz w:val="20"/>
                <w:szCs w:val="20"/>
              </w:rPr>
            </w:pPr>
            <w:r>
              <w:rPr>
                <w:color w:val="000000"/>
                <w:sz w:val="20"/>
                <w:szCs w:val="20"/>
              </w:rPr>
              <w:t>蔬菜制品</w:t>
            </w:r>
          </w:p>
        </w:tc>
        <w:tc>
          <w:tcPr>
            <w:tcW w:w="1259" w:type="dxa"/>
            <w:noWrap w:val="0"/>
            <w:vAlign w:val="top"/>
          </w:tcPr>
          <w:p>
            <w:pPr>
              <w:pStyle w:val="30"/>
              <w:rPr>
                <w:color w:val="000000"/>
                <w:sz w:val="20"/>
                <w:szCs w:val="20"/>
              </w:rPr>
            </w:pPr>
          </w:p>
          <w:p>
            <w:pPr>
              <w:pStyle w:val="30"/>
              <w:spacing w:before="154"/>
              <w:ind w:left="108" w:right="109"/>
              <w:jc w:val="center"/>
              <w:rPr>
                <w:color w:val="000000"/>
                <w:sz w:val="20"/>
                <w:szCs w:val="20"/>
              </w:rPr>
            </w:pPr>
            <w:r>
              <w:rPr>
                <w:color w:val="000000"/>
                <w:sz w:val="20"/>
                <w:szCs w:val="20"/>
              </w:rPr>
              <w:t>酱腌菜</w:t>
            </w:r>
          </w:p>
        </w:tc>
        <w:tc>
          <w:tcPr>
            <w:tcW w:w="1289" w:type="dxa"/>
            <w:noWrap w:val="0"/>
            <w:vAlign w:val="top"/>
          </w:tcPr>
          <w:p>
            <w:pPr>
              <w:pStyle w:val="30"/>
              <w:rPr>
                <w:color w:val="000000"/>
                <w:sz w:val="20"/>
                <w:szCs w:val="20"/>
              </w:rPr>
            </w:pPr>
          </w:p>
          <w:p>
            <w:pPr>
              <w:pStyle w:val="30"/>
              <w:spacing w:before="154"/>
              <w:ind w:left="15" w:right="23"/>
              <w:jc w:val="center"/>
              <w:rPr>
                <w:color w:val="000000"/>
                <w:sz w:val="20"/>
                <w:szCs w:val="20"/>
              </w:rPr>
            </w:pPr>
            <w:r>
              <w:rPr>
                <w:color w:val="000000"/>
                <w:sz w:val="20"/>
                <w:szCs w:val="20"/>
              </w:rPr>
              <w:t>酱腌菜</w:t>
            </w:r>
          </w:p>
        </w:tc>
        <w:tc>
          <w:tcPr>
            <w:tcW w:w="689" w:type="dxa"/>
            <w:noWrap w:val="0"/>
            <w:vAlign w:val="top"/>
          </w:tcPr>
          <w:p>
            <w:pPr>
              <w:pStyle w:val="30"/>
              <w:rPr>
                <w:color w:val="000000"/>
                <w:sz w:val="20"/>
                <w:szCs w:val="20"/>
              </w:rPr>
            </w:pPr>
          </w:p>
          <w:p>
            <w:pPr>
              <w:pStyle w:val="30"/>
              <w:spacing w:before="154"/>
              <w:ind w:left="136" w:right="139"/>
              <w:jc w:val="center"/>
              <w:rPr>
                <w:color w:val="000000"/>
                <w:sz w:val="20"/>
                <w:szCs w:val="20"/>
              </w:rPr>
            </w:pPr>
            <w:r>
              <w:rPr>
                <w:color w:val="000000"/>
                <w:sz w:val="20"/>
                <w:szCs w:val="20"/>
              </w:rPr>
              <w:t>较高</w:t>
            </w:r>
          </w:p>
        </w:tc>
        <w:tc>
          <w:tcPr>
            <w:tcW w:w="7428" w:type="dxa"/>
            <w:noWrap w:val="0"/>
            <w:vAlign w:val="top"/>
          </w:tcPr>
          <w:p>
            <w:pPr>
              <w:pStyle w:val="30"/>
              <w:spacing w:before="32" w:line="235" w:lineRule="auto"/>
              <w:ind w:left="99" w:right="219"/>
              <w:jc w:val="both"/>
              <w:rPr>
                <w:color w:val="000000"/>
                <w:sz w:val="20"/>
                <w:szCs w:val="20"/>
              </w:rPr>
            </w:pPr>
            <w:r>
              <w:rPr>
                <w:color w:val="000000"/>
                <w:sz w:val="20"/>
                <w:szCs w:val="20"/>
              </w:rPr>
              <w:t>铅(以Pb计)、苯甲酸及其钠盐(以苯甲酸计)、山梨酸及其钾盐(以山梨酸计)、脱氢乙酸及其钠盐(以脱氢乙酸计)、糖精钠(以糖精计)、三氯蔗糖、甜蜜素(以环己基氨基磺酸计)、纽甜、阿斯巴甜、大肠菌群、防腐剂混合使</w:t>
            </w:r>
          </w:p>
          <w:p>
            <w:pPr>
              <w:pStyle w:val="30"/>
              <w:spacing w:line="233" w:lineRule="exact"/>
              <w:ind w:left="1710"/>
              <w:rPr>
                <w:color w:val="000000"/>
                <w:sz w:val="20"/>
                <w:szCs w:val="20"/>
              </w:rPr>
            </w:pPr>
            <w:r>
              <w:rPr>
                <w:color w:val="000000"/>
                <w:sz w:val="20"/>
                <w:szCs w:val="20"/>
              </w:rPr>
              <w:t>用时各自用量占其最大使用量的比例之和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596" w:type="dxa"/>
            <w:noWrap w:val="0"/>
            <w:vAlign w:val="center"/>
          </w:tcPr>
          <w:p>
            <w:pPr>
              <w:pStyle w:val="30"/>
              <w:overflowPunct w:val="0"/>
              <w:spacing w:line="240" w:lineRule="exact"/>
              <w:jc w:val="center"/>
              <w:rPr>
                <w:color w:val="000000"/>
                <w:sz w:val="20"/>
                <w:szCs w:val="20"/>
              </w:rPr>
            </w:pPr>
            <w:r>
              <w:rPr>
                <w:color w:val="000000"/>
                <w:sz w:val="20"/>
                <w:szCs w:val="20"/>
              </w:rPr>
              <w:t>24</w:t>
            </w:r>
          </w:p>
        </w:tc>
        <w:tc>
          <w:tcPr>
            <w:tcW w:w="567" w:type="dxa"/>
            <w:noWrap w:val="0"/>
            <w:vAlign w:val="center"/>
          </w:tcPr>
          <w:p>
            <w:pPr>
              <w:pStyle w:val="30"/>
              <w:overflowPunct w:val="0"/>
              <w:spacing w:line="240" w:lineRule="exact"/>
              <w:jc w:val="center"/>
              <w:rPr>
                <w:color w:val="000000"/>
                <w:sz w:val="20"/>
                <w:szCs w:val="20"/>
              </w:rPr>
            </w:pPr>
            <w:r>
              <w:rPr>
                <w:rFonts w:hint="eastAsia"/>
                <w:color w:val="000000"/>
                <w:sz w:val="20"/>
                <w:szCs w:val="20"/>
              </w:rPr>
              <w:t>12</w:t>
            </w:r>
          </w:p>
        </w:tc>
        <w:tc>
          <w:tcPr>
            <w:tcW w:w="1520" w:type="dxa"/>
            <w:noWrap w:val="0"/>
            <w:vAlign w:val="top"/>
          </w:tcPr>
          <w:p>
            <w:pPr>
              <w:pStyle w:val="30"/>
              <w:spacing w:before="11"/>
              <w:rPr>
                <w:color w:val="000000"/>
                <w:sz w:val="20"/>
                <w:szCs w:val="20"/>
              </w:rPr>
            </w:pPr>
          </w:p>
          <w:p>
            <w:pPr>
              <w:pStyle w:val="30"/>
              <w:ind w:left="121" w:right="109"/>
              <w:jc w:val="center"/>
              <w:rPr>
                <w:color w:val="000000"/>
                <w:sz w:val="20"/>
                <w:szCs w:val="20"/>
              </w:rPr>
            </w:pPr>
            <w:r>
              <w:rPr>
                <w:color w:val="000000"/>
                <w:sz w:val="20"/>
                <w:szCs w:val="20"/>
              </w:rPr>
              <w:t>调味品</w:t>
            </w:r>
          </w:p>
        </w:tc>
        <w:tc>
          <w:tcPr>
            <w:tcW w:w="1279" w:type="dxa"/>
            <w:noWrap w:val="0"/>
            <w:vAlign w:val="top"/>
          </w:tcPr>
          <w:p>
            <w:pPr>
              <w:pStyle w:val="30"/>
              <w:spacing w:before="11"/>
              <w:rPr>
                <w:color w:val="000000"/>
                <w:sz w:val="20"/>
                <w:szCs w:val="20"/>
              </w:rPr>
            </w:pPr>
          </w:p>
          <w:p>
            <w:pPr>
              <w:pStyle w:val="30"/>
              <w:ind w:left="107" w:right="109"/>
              <w:jc w:val="center"/>
              <w:rPr>
                <w:color w:val="000000"/>
                <w:sz w:val="20"/>
                <w:szCs w:val="20"/>
              </w:rPr>
            </w:pPr>
            <w:r>
              <w:rPr>
                <w:color w:val="000000"/>
                <w:sz w:val="20"/>
                <w:szCs w:val="20"/>
              </w:rPr>
              <w:t>香辛料类</w:t>
            </w:r>
          </w:p>
        </w:tc>
        <w:tc>
          <w:tcPr>
            <w:tcW w:w="1259" w:type="dxa"/>
            <w:noWrap w:val="0"/>
            <w:vAlign w:val="top"/>
          </w:tcPr>
          <w:p>
            <w:pPr>
              <w:pStyle w:val="30"/>
              <w:spacing w:before="11"/>
              <w:rPr>
                <w:color w:val="000000"/>
                <w:sz w:val="20"/>
                <w:szCs w:val="20"/>
              </w:rPr>
            </w:pPr>
          </w:p>
          <w:p>
            <w:pPr>
              <w:pStyle w:val="30"/>
              <w:ind w:left="108" w:right="109"/>
              <w:jc w:val="center"/>
              <w:rPr>
                <w:color w:val="000000"/>
                <w:sz w:val="20"/>
                <w:szCs w:val="20"/>
              </w:rPr>
            </w:pPr>
            <w:r>
              <w:rPr>
                <w:color w:val="000000"/>
                <w:sz w:val="20"/>
                <w:szCs w:val="20"/>
              </w:rPr>
              <w:t>香辛料类</w:t>
            </w:r>
          </w:p>
        </w:tc>
        <w:tc>
          <w:tcPr>
            <w:tcW w:w="1289" w:type="dxa"/>
            <w:noWrap w:val="0"/>
            <w:vAlign w:val="top"/>
          </w:tcPr>
          <w:p>
            <w:pPr>
              <w:pStyle w:val="30"/>
              <w:spacing w:before="38" w:line="242" w:lineRule="exact"/>
              <w:ind w:left="15" w:right="3"/>
              <w:jc w:val="center"/>
              <w:rPr>
                <w:color w:val="000000"/>
                <w:sz w:val="20"/>
                <w:szCs w:val="20"/>
              </w:rPr>
            </w:pPr>
            <w:r>
              <w:rPr>
                <w:color w:val="000000"/>
                <w:sz w:val="20"/>
                <w:szCs w:val="20"/>
              </w:rPr>
              <w:t>辣椒、花椒、</w:t>
            </w:r>
          </w:p>
          <w:p>
            <w:pPr>
              <w:pStyle w:val="30"/>
              <w:spacing w:line="244" w:lineRule="exact"/>
              <w:ind w:left="128" w:right="137"/>
              <w:jc w:val="center"/>
              <w:rPr>
                <w:color w:val="000000"/>
                <w:sz w:val="20"/>
                <w:szCs w:val="20"/>
              </w:rPr>
            </w:pPr>
            <w:r>
              <w:rPr>
                <w:color w:val="000000"/>
                <w:sz w:val="20"/>
                <w:szCs w:val="20"/>
              </w:rPr>
              <w:t>辣椒粉、花椒粉</w:t>
            </w:r>
          </w:p>
        </w:tc>
        <w:tc>
          <w:tcPr>
            <w:tcW w:w="689" w:type="dxa"/>
            <w:noWrap w:val="0"/>
            <w:vAlign w:val="top"/>
          </w:tcPr>
          <w:p>
            <w:pPr>
              <w:pStyle w:val="30"/>
              <w:spacing w:before="11"/>
              <w:rPr>
                <w:color w:val="000000"/>
                <w:sz w:val="20"/>
                <w:szCs w:val="20"/>
              </w:rPr>
            </w:pPr>
          </w:p>
          <w:p>
            <w:pPr>
              <w:pStyle w:val="30"/>
              <w:ind w:left="136" w:right="139"/>
              <w:jc w:val="center"/>
              <w:rPr>
                <w:color w:val="000000"/>
                <w:sz w:val="20"/>
                <w:szCs w:val="20"/>
              </w:rPr>
            </w:pPr>
            <w:r>
              <w:rPr>
                <w:color w:val="000000"/>
                <w:sz w:val="20"/>
                <w:szCs w:val="20"/>
              </w:rPr>
              <w:t>较高</w:t>
            </w:r>
          </w:p>
        </w:tc>
        <w:tc>
          <w:tcPr>
            <w:tcW w:w="7428" w:type="dxa"/>
            <w:noWrap w:val="0"/>
            <w:vAlign w:val="top"/>
          </w:tcPr>
          <w:p>
            <w:pPr>
              <w:pStyle w:val="30"/>
              <w:spacing w:before="11"/>
              <w:rPr>
                <w:color w:val="000000"/>
                <w:sz w:val="20"/>
                <w:szCs w:val="20"/>
              </w:rPr>
            </w:pPr>
          </w:p>
          <w:p>
            <w:pPr>
              <w:pStyle w:val="30"/>
              <w:ind w:left="1742" w:right="1742"/>
              <w:jc w:val="center"/>
              <w:rPr>
                <w:color w:val="000000"/>
                <w:sz w:val="20"/>
                <w:szCs w:val="20"/>
              </w:rPr>
            </w:pPr>
            <w:r>
              <w:rPr>
                <w:color w:val="000000"/>
                <w:sz w:val="20"/>
                <w:szCs w:val="20"/>
              </w:rPr>
              <w:t>铅( 以Pb计)、罗丹明B、苏丹红I- IY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jc w:val="center"/>
        </w:trPr>
        <w:tc>
          <w:tcPr>
            <w:tcW w:w="596" w:type="dxa"/>
            <w:noWrap w:val="0"/>
            <w:vAlign w:val="center"/>
          </w:tcPr>
          <w:p>
            <w:pPr>
              <w:pStyle w:val="30"/>
              <w:overflowPunct w:val="0"/>
              <w:spacing w:line="240" w:lineRule="exact"/>
              <w:jc w:val="center"/>
              <w:rPr>
                <w:color w:val="000000"/>
                <w:sz w:val="20"/>
                <w:szCs w:val="20"/>
              </w:rPr>
            </w:pPr>
            <w:r>
              <w:rPr>
                <w:color w:val="000000"/>
                <w:sz w:val="20"/>
                <w:szCs w:val="20"/>
              </w:rPr>
              <w:t>25</w:t>
            </w:r>
          </w:p>
        </w:tc>
        <w:tc>
          <w:tcPr>
            <w:tcW w:w="567" w:type="dxa"/>
            <w:noWrap w:val="0"/>
            <w:vAlign w:val="center"/>
          </w:tcPr>
          <w:p>
            <w:pPr>
              <w:pStyle w:val="30"/>
              <w:overflowPunct w:val="0"/>
              <w:spacing w:line="240" w:lineRule="exact"/>
              <w:jc w:val="center"/>
              <w:rPr>
                <w:color w:val="000000"/>
                <w:sz w:val="20"/>
                <w:szCs w:val="20"/>
              </w:rPr>
            </w:pPr>
            <w:r>
              <w:rPr>
                <w:color w:val="000000"/>
                <w:sz w:val="20"/>
                <w:szCs w:val="20"/>
              </w:rPr>
              <w:t>12</w:t>
            </w:r>
          </w:p>
        </w:tc>
        <w:tc>
          <w:tcPr>
            <w:tcW w:w="1520" w:type="dxa"/>
            <w:noWrap w:val="0"/>
            <w:vAlign w:val="top"/>
          </w:tcPr>
          <w:p>
            <w:pPr>
              <w:pStyle w:val="30"/>
              <w:spacing w:before="11"/>
              <w:rPr>
                <w:color w:val="000000"/>
                <w:sz w:val="20"/>
                <w:szCs w:val="20"/>
              </w:rPr>
            </w:pPr>
          </w:p>
          <w:p>
            <w:pPr>
              <w:pStyle w:val="30"/>
              <w:spacing w:before="1"/>
              <w:ind w:left="121" w:right="109"/>
              <w:jc w:val="center"/>
              <w:rPr>
                <w:color w:val="000000"/>
                <w:sz w:val="20"/>
                <w:szCs w:val="20"/>
              </w:rPr>
            </w:pPr>
            <w:r>
              <w:rPr>
                <w:color w:val="000000"/>
                <w:sz w:val="20"/>
                <w:szCs w:val="20"/>
              </w:rPr>
              <w:t>餐饮食品</w:t>
            </w:r>
          </w:p>
        </w:tc>
        <w:tc>
          <w:tcPr>
            <w:tcW w:w="1279" w:type="dxa"/>
            <w:noWrap w:val="0"/>
            <w:vAlign w:val="top"/>
          </w:tcPr>
          <w:p>
            <w:pPr>
              <w:pStyle w:val="30"/>
              <w:spacing w:before="8"/>
              <w:rPr>
                <w:color w:val="000000"/>
                <w:sz w:val="20"/>
                <w:szCs w:val="20"/>
              </w:rPr>
            </w:pPr>
          </w:p>
          <w:p>
            <w:pPr>
              <w:pStyle w:val="30"/>
              <w:spacing w:line="228" w:lineRule="auto"/>
              <w:ind w:left="334" w:right="128" w:hanging="200"/>
              <w:rPr>
                <w:color w:val="000000"/>
                <w:sz w:val="20"/>
                <w:szCs w:val="20"/>
              </w:rPr>
            </w:pPr>
            <w:r>
              <w:rPr>
                <w:color w:val="000000"/>
                <w:sz w:val="20"/>
                <w:szCs w:val="20"/>
              </w:rPr>
              <w:t>复合调味料 (自制)</w:t>
            </w:r>
          </w:p>
        </w:tc>
        <w:tc>
          <w:tcPr>
            <w:tcW w:w="1259" w:type="dxa"/>
            <w:noWrap w:val="0"/>
            <w:vAlign w:val="top"/>
          </w:tcPr>
          <w:p>
            <w:pPr>
              <w:pStyle w:val="30"/>
              <w:spacing w:before="173"/>
              <w:ind w:left="236" w:right="142" w:hanging="99"/>
              <w:rPr>
                <w:color w:val="000000"/>
                <w:sz w:val="20"/>
                <w:szCs w:val="20"/>
              </w:rPr>
            </w:pPr>
            <w:r>
              <w:rPr>
                <w:color w:val="000000"/>
                <w:sz w:val="20"/>
                <w:szCs w:val="20"/>
              </w:rPr>
              <w:t>半固态调味料(自制)</w:t>
            </w:r>
          </w:p>
        </w:tc>
        <w:tc>
          <w:tcPr>
            <w:tcW w:w="1289" w:type="dxa"/>
            <w:noWrap w:val="0"/>
            <w:vAlign w:val="top"/>
          </w:tcPr>
          <w:p>
            <w:pPr>
              <w:pStyle w:val="30"/>
              <w:spacing w:before="58" w:line="225" w:lineRule="auto"/>
              <w:ind w:left="176" w:right="132" w:hanging="48"/>
              <w:rPr>
                <w:color w:val="000000"/>
                <w:sz w:val="20"/>
                <w:szCs w:val="20"/>
              </w:rPr>
            </w:pPr>
            <w:r>
              <w:rPr>
                <w:color w:val="000000"/>
                <w:sz w:val="20"/>
                <w:szCs w:val="20"/>
              </w:rPr>
              <w:t>火锅调味料 (底料、蘸</w:t>
            </w:r>
          </w:p>
          <w:p>
            <w:pPr>
              <w:pStyle w:val="30"/>
              <w:spacing w:line="224" w:lineRule="exact"/>
              <w:ind w:left="176"/>
              <w:rPr>
                <w:color w:val="000000"/>
                <w:sz w:val="20"/>
                <w:szCs w:val="20"/>
              </w:rPr>
            </w:pPr>
            <w:r>
              <w:rPr>
                <w:color w:val="000000"/>
                <w:sz w:val="20"/>
                <w:szCs w:val="20"/>
              </w:rPr>
              <w:t>料)(自制)</w:t>
            </w:r>
          </w:p>
        </w:tc>
        <w:tc>
          <w:tcPr>
            <w:tcW w:w="689" w:type="dxa"/>
            <w:noWrap w:val="0"/>
            <w:vAlign w:val="top"/>
          </w:tcPr>
          <w:p>
            <w:pPr>
              <w:pStyle w:val="30"/>
              <w:spacing w:before="11"/>
              <w:rPr>
                <w:color w:val="000000"/>
                <w:sz w:val="20"/>
                <w:szCs w:val="20"/>
              </w:rPr>
            </w:pPr>
          </w:p>
          <w:p>
            <w:pPr>
              <w:pStyle w:val="30"/>
              <w:spacing w:before="1"/>
              <w:ind w:left="136" w:right="139"/>
              <w:jc w:val="center"/>
              <w:rPr>
                <w:color w:val="000000"/>
                <w:sz w:val="20"/>
                <w:szCs w:val="20"/>
              </w:rPr>
            </w:pPr>
            <w:r>
              <w:rPr>
                <w:color w:val="000000"/>
                <w:sz w:val="20"/>
                <w:szCs w:val="20"/>
              </w:rPr>
              <w:t>较高</w:t>
            </w:r>
          </w:p>
        </w:tc>
        <w:tc>
          <w:tcPr>
            <w:tcW w:w="7428" w:type="dxa"/>
            <w:noWrap w:val="0"/>
            <w:vAlign w:val="top"/>
          </w:tcPr>
          <w:p>
            <w:pPr>
              <w:pStyle w:val="30"/>
              <w:spacing w:before="9"/>
              <w:rPr>
                <w:color w:val="000000"/>
                <w:sz w:val="20"/>
                <w:szCs w:val="20"/>
              </w:rPr>
            </w:pPr>
          </w:p>
          <w:p>
            <w:pPr>
              <w:pStyle w:val="30"/>
              <w:ind w:left="1742" w:right="1737"/>
              <w:jc w:val="center"/>
              <w:rPr>
                <w:color w:val="000000"/>
                <w:sz w:val="20"/>
                <w:szCs w:val="20"/>
              </w:rPr>
            </w:pPr>
            <w:r>
              <w:rPr>
                <w:color w:val="000000"/>
                <w:sz w:val="20"/>
                <w:szCs w:val="20"/>
              </w:rPr>
              <w:t>罂粟碱、吗啡、可待因、那可丁</w:t>
            </w:r>
          </w:p>
        </w:tc>
      </w:tr>
    </w:tbl>
    <w:p>
      <w:pPr>
        <w:spacing w:before="49"/>
        <w:rPr>
          <w:rFonts w:hint="eastAsia" w:ascii="黑体" w:eastAsia="黑体"/>
          <w:b/>
          <w:sz w:val="28"/>
          <w:szCs w:val="28"/>
        </w:rPr>
      </w:pPr>
      <w:r>
        <w:rPr>
          <w:rFonts w:hint="eastAsia" w:ascii="黑体" w:eastAsia="黑体"/>
          <w:b/>
          <w:spacing w:val="-12"/>
          <w:sz w:val="28"/>
          <w:szCs w:val="28"/>
        </w:rPr>
        <w:t>附件2</w:t>
      </w:r>
    </w:p>
    <w:p>
      <w:pPr>
        <w:spacing w:before="8"/>
        <w:jc w:val="center"/>
        <w:rPr>
          <w:rFonts w:hint="eastAsia" w:ascii="方正小标宋简体" w:eastAsia="方正小标宋简体"/>
          <w:sz w:val="44"/>
          <w:szCs w:val="44"/>
        </w:rPr>
      </w:pPr>
      <w:r>
        <w:rPr>
          <w:rFonts w:hint="eastAsia" w:ascii="方正小标宋简体" w:eastAsia="方正小标宋简体"/>
          <w:sz w:val="44"/>
          <w:szCs w:val="44"/>
        </w:rPr>
        <w:t>淅川县2024年食用农产品抽检计划表</w:t>
      </w:r>
    </w:p>
    <w:p>
      <w:pPr>
        <w:spacing w:before="11"/>
        <w:rPr>
          <w:b/>
          <w:sz w:val="12"/>
        </w:rPr>
      </w:pPr>
    </w:p>
    <w:tbl>
      <w:tblPr>
        <w:tblStyle w:val="14"/>
        <w:tblW w:w="14050" w:type="dxa"/>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969"/>
        <w:gridCol w:w="1037"/>
        <w:gridCol w:w="993"/>
        <w:gridCol w:w="708"/>
        <w:gridCol w:w="2748"/>
        <w:gridCol w:w="6041"/>
        <w:gridCol w:w="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04" w:type="dxa"/>
            <w:noWrap w:val="0"/>
            <w:vAlign w:val="top"/>
          </w:tcPr>
          <w:p>
            <w:pPr>
              <w:pStyle w:val="30"/>
              <w:spacing w:before="5"/>
              <w:rPr>
                <w:b/>
                <w:sz w:val="26"/>
              </w:rPr>
            </w:pPr>
          </w:p>
          <w:p>
            <w:pPr>
              <w:pStyle w:val="30"/>
              <w:spacing w:before="1"/>
              <w:ind w:left="160"/>
              <w:rPr>
                <w:sz w:val="20"/>
              </w:rPr>
            </w:pPr>
            <w:r>
              <w:rPr>
                <w:spacing w:val="-5"/>
                <w:sz w:val="20"/>
              </w:rPr>
              <w:t>序列</w:t>
            </w:r>
          </w:p>
        </w:tc>
        <w:tc>
          <w:tcPr>
            <w:tcW w:w="969" w:type="dxa"/>
            <w:noWrap w:val="0"/>
            <w:vAlign w:val="center"/>
          </w:tcPr>
          <w:p>
            <w:pPr>
              <w:pStyle w:val="30"/>
              <w:spacing w:line="240" w:lineRule="exact"/>
              <w:jc w:val="center"/>
              <w:rPr>
                <w:sz w:val="20"/>
              </w:rPr>
            </w:pPr>
            <w:r>
              <w:rPr>
                <w:spacing w:val="-4"/>
                <w:sz w:val="20"/>
              </w:rPr>
              <w:t xml:space="preserve">食品亚类 </w:t>
            </w:r>
            <w:r>
              <w:rPr>
                <w:spacing w:val="1"/>
                <w:sz w:val="20"/>
              </w:rPr>
              <w:t>(二级)</w:t>
            </w:r>
          </w:p>
        </w:tc>
        <w:tc>
          <w:tcPr>
            <w:tcW w:w="1037" w:type="dxa"/>
            <w:noWrap w:val="0"/>
            <w:vAlign w:val="center"/>
          </w:tcPr>
          <w:p>
            <w:pPr>
              <w:pStyle w:val="30"/>
              <w:spacing w:line="240" w:lineRule="exact"/>
              <w:jc w:val="center"/>
              <w:rPr>
                <w:sz w:val="20"/>
              </w:rPr>
            </w:pPr>
            <w:r>
              <w:rPr>
                <w:spacing w:val="-4"/>
                <w:sz w:val="20"/>
              </w:rPr>
              <w:t xml:space="preserve">食品品种 </w:t>
            </w:r>
            <w:r>
              <w:rPr>
                <w:spacing w:val="2"/>
                <w:sz w:val="20"/>
              </w:rPr>
              <w:t>(三级)</w:t>
            </w:r>
          </w:p>
        </w:tc>
        <w:tc>
          <w:tcPr>
            <w:tcW w:w="993" w:type="dxa"/>
            <w:noWrap w:val="0"/>
            <w:vAlign w:val="center"/>
          </w:tcPr>
          <w:p>
            <w:pPr>
              <w:pStyle w:val="30"/>
              <w:spacing w:line="240" w:lineRule="exact"/>
              <w:jc w:val="center"/>
              <w:rPr>
                <w:rFonts w:hint="eastAsia"/>
                <w:spacing w:val="-4"/>
                <w:sz w:val="20"/>
              </w:rPr>
            </w:pPr>
            <w:r>
              <w:rPr>
                <w:spacing w:val="-4"/>
                <w:sz w:val="20"/>
              </w:rPr>
              <w:t xml:space="preserve">食品细类 </w:t>
            </w:r>
          </w:p>
          <w:p>
            <w:pPr>
              <w:pStyle w:val="30"/>
              <w:spacing w:line="240" w:lineRule="exact"/>
              <w:jc w:val="center"/>
              <w:rPr>
                <w:sz w:val="20"/>
              </w:rPr>
            </w:pPr>
            <w:r>
              <w:rPr>
                <w:spacing w:val="1"/>
                <w:sz w:val="20"/>
              </w:rPr>
              <w:t>(四级)</w:t>
            </w:r>
          </w:p>
        </w:tc>
        <w:tc>
          <w:tcPr>
            <w:tcW w:w="708" w:type="dxa"/>
            <w:noWrap w:val="0"/>
            <w:vAlign w:val="center"/>
          </w:tcPr>
          <w:p>
            <w:pPr>
              <w:pStyle w:val="30"/>
              <w:spacing w:line="240" w:lineRule="exact"/>
              <w:jc w:val="center"/>
              <w:rPr>
                <w:rFonts w:hint="eastAsia"/>
                <w:spacing w:val="-7"/>
                <w:sz w:val="20"/>
              </w:rPr>
            </w:pPr>
            <w:r>
              <w:rPr>
                <w:spacing w:val="-7"/>
                <w:sz w:val="20"/>
              </w:rPr>
              <w:t>抽检</w:t>
            </w:r>
          </w:p>
          <w:p>
            <w:pPr>
              <w:pStyle w:val="30"/>
              <w:spacing w:line="240" w:lineRule="exact"/>
              <w:jc w:val="center"/>
              <w:rPr>
                <w:sz w:val="20"/>
              </w:rPr>
            </w:pPr>
            <w:r>
              <w:rPr>
                <w:spacing w:val="-7"/>
                <w:sz w:val="20"/>
              </w:rPr>
              <w:t>批次</w:t>
            </w:r>
          </w:p>
        </w:tc>
        <w:tc>
          <w:tcPr>
            <w:tcW w:w="2748" w:type="dxa"/>
            <w:noWrap w:val="0"/>
            <w:vAlign w:val="center"/>
          </w:tcPr>
          <w:p>
            <w:pPr>
              <w:pStyle w:val="30"/>
              <w:spacing w:line="240" w:lineRule="exact"/>
              <w:jc w:val="center"/>
              <w:rPr>
                <w:sz w:val="20"/>
              </w:rPr>
            </w:pPr>
            <w:r>
              <w:rPr>
                <w:spacing w:val="6"/>
                <w:sz w:val="20"/>
              </w:rPr>
              <w:t>必检项目</w:t>
            </w:r>
          </w:p>
        </w:tc>
        <w:tc>
          <w:tcPr>
            <w:tcW w:w="6041" w:type="dxa"/>
            <w:noWrap w:val="0"/>
            <w:vAlign w:val="center"/>
          </w:tcPr>
          <w:p>
            <w:pPr>
              <w:pStyle w:val="30"/>
              <w:jc w:val="center"/>
              <w:rPr>
                <w:sz w:val="20"/>
              </w:rPr>
            </w:pPr>
            <w:r>
              <w:rPr>
                <w:spacing w:val="-3"/>
                <w:sz w:val="20"/>
              </w:rPr>
              <w:t>自选项目</w:t>
            </w:r>
          </w:p>
        </w:tc>
        <w:tc>
          <w:tcPr>
            <w:tcW w:w="850" w:type="dxa"/>
            <w:noWrap w:val="0"/>
            <w:vAlign w:val="center"/>
          </w:tcPr>
          <w:p>
            <w:pPr>
              <w:pStyle w:val="30"/>
              <w:spacing w:before="1"/>
              <w:jc w:val="center"/>
              <w:rPr>
                <w:sz w:val="20"/>
              </w:rPr>
            </w:pPr>
            <w:r>
              <w:rPr>
                <w:spacing w:val="-6"/>
                <w:sz w:val="2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704" w:type="dxa"/>
            <w:vMerge w:val="restart"/>
            <w:noWrap w:val="0"/>
            <w:vAlign w:val="center"/>
          </w:tcPr>
          <w:p>
            <w:pPr>
              <w:pStyle w:val="30"/>
              <w:ind w:left="5"/>
              <w:jc w:val="center"/>
              <w:rPr>
                <w:sz w:val="20"/>
              </w:rPr>
            </w:pPr>
            <w:r>
              <w:rPr>
                <w:w w:val="99"/>
                <w:sz w:val="20"/>
              </w:rPr>
              <w:t>1</w:t>
            </w:r>
          </w:p>
        </w:tc>
        <w:tc>
          <w:tcPr>
            <w:tcW w:w="969" w:type="dxa"/>
            <w:vMerge w:val="restart"/>
            <w:noWrap w:val="0"/>
            <w:vAlign w:val="center"/>
          </w:tcPr>
          <w:p>
            <w:pPr>
              <w:pStyle w:val="30"/>
              <w:spacing w:line="271" w:lineRule="auto"/>
              <w:ind w:left="195" w:right="58" w:hanging="101"/>
              <w:jc w:val="center"/>
              <w:rPr>
                <w:sz w:val="20"/>
              </w:rPr>
            </w:pPr>
            <w:r>
              <w:rPr>
                <w:spacing w:val="-4"/>
                <w:sz w:val="20"/>
              </w:rPr>
              <w:t>畜禽肉及副产品</w:t>
            </w:r>
          </w:p>
        </w:tc>
        <w:tc>
          <w:tcPr>
            <w:tcW w:w="1037" w:type="dxa"/>
            <w:vMerge w:val="restart"/>
            <w:noWrap w:val="0"/>
            <w:vAlign w:val="center"/>
          </w:tcPr>
          <w:p>
            <w:pPr>
              <w:pStyle w:val="30"/>
              <w:spacing w:before="135"/>
              <w:jc w:val="center"/>
              <w:rPr>
                <w:sz w:val="20"/>
              </w:rPr>
            </w:pPr>
            <w:r>
              <w:rPr>
                <w:spacing w:val="-5"/>
                <w:sz w:val="20"/>
              </w:rPr>
              <w:t>畜肉</w:t>
            </w:r>
          </w:p>
        </w:tc>
        <w:tc>
          <w:tcPr>
            <w:tcW w:w="993" w:type="dxa"/>
            <w:noWrap w:val="0"/>
            <w:vAlign w:val="center"/>
          </w:tcPr>
          <w:p>
            <w:pPr>
              <w:pStyle w:val="30"/>
              <w:spacing w:line="260" w:lineRule="exact"/>
              <w:jc w:val="center"/>
              <w:rPr>
                <w:sz w:val="20"/>
              </w:rPr>
            </w:pPr>
            <w:r>
              <w:rPr>
                <w:spacing w:val="-5"/>
                <w:sz w:val="20"/>
              </w:rPr>
              <w:t>猪肉</w:t>
            </w:r>
          </w:p>
        </w:tc>
        <w:tc>
          <w:tcPr>
            <w:tcW w:w="708" w:type="dxa"/>
            <w:noWrap w:val="0"/>
            <w:vAlign w:val="center"/>
          </w:tcPr>
          <w:p>
            <w:pPr>
              <w:pStyle w:val="30"/>
              <w:spacing w:before="1"/>
              <w:ind w:right="89"/>
              <w:jc w:val="center"/>
              <w:rPr>
                <w:sz w:val="20"/>
              </w:rPr>
            </w:pPr>
            <w:r>
              <w:rPr>
                <w:rFonts w:hint="eastAsia"/>
                <w:spacing w:val="-5"/>
                <w:sz w:val="20"/>
              </w:rPr>
              <w:t>42</w:t>
            </w:r>
          </w:p>
        </w:tc>
        <w:tc>
          <w:tcPr>
            <w:tcW w:w="2748" w:type="dxa"/>
            <w:noWrap w:val="0"/>
            <w:vAlign w:val="center"/>
          </w:tcPr>
          <w:p>
            <w:pPr>
              <w:pStyle w:val="30"/>
              <w:spacing w:before="1" w:line="223" w:lineRule="auto"/>
              <w:ind w:right="103"/>
              <w:jc w:val="both"/>
              <w:rPr>
                <w:sz w:val="20"/>
              </w:rPr>
            </w:pPr>
            <w:r>
              <w:rPr>
                <w:sz w:val="20"/>
              </w:rPr>
              <w:t>五氯酚酸钠(以五</w:t>
            </w:r>
            <w:r>
              <w:rPr>
                <w:spacing w:val="2"/>
                <w:sz w:val="20"/>
              </w:rPr>
              <w:t>氯酚计) 、</w:t>
            </w:r>
            <w:r>
              <w:rPr>
                <w:rFonts w:hint="eastAsia"/>
                <w:spacing w:val="2"/>
                <w:sz w:val="20"/>
              </w:rPr>
              <w:t>恩诺沙星、</w:t>
            </w:r>
            <w:r>
              <w:rPr>
                <w:spacing w:val="2"/>
                <w:sz w:val="20"/>
              </w:rPr>
              <w:t>磺胺类</w:t>
            </w:r>
            <w:r>
              <w:rPr>
                <w:sz w:val="20"/>
              </w:rPr>
              <w:t xml:space="preserve"> </w:t>
            </w:r>
            <w:r>
              <w:rPr>
                <w:spacing w:val="-8"/>
                <w:sz w:val="20"/>
              </w:rPr>
              <w:t xml:space="preserve">( 总量) </w:t>
            </w:r>
          </w:p>
        </w:tc>
        <w:tc>
          <w:tcPr>
            <w:tcW w:w="6041" w:type="dxa"/>
            <w:noWrap w:val="0"/>
            <w:vAlign w:val="center"/>
          </w:tcPr>
          <w:p>
            <w:pPr>
              <w:pStyle w:val="30"/>
              <w:spacing w:line="259" w:lineRule="auto"/>
              <w:ind w:right="188"/>
              <w:jc w:val="both"/>
              <w:rPr>
                <w:sz w:val="20"/>
              </w:rPr>
            </w:pPr>
            <w:r>
              <w:rPr>
                <w:spacing w:val="7"/>
                <w:sz w:val="20"/>
              </w:rPr>
              <w:t>挥发性盐基氮、呋喃西林代谢物、呋喃唑酮代谢物、</w:t>
            </w:r>
            <w:r>
              <w:rPr>
                <w:spacing w:val="9"/>
                <w:sz w:val="20"/>
              </w:rPr>
              <w:t>克伦特罗、 莱克多巴胺、氯霉素、沙丁胺醇</w:t>
            </w:r>
          </w:p>
        </w:tc>
        <w:tc>
          <w:tcPr>
            <w:tcW w:w="850" w:type="dxa"/>
            <w:noWrap w:val="0"/>
            <w:vAlign w:val="top"/>
          </w:tcPr>
          <w:p>
            <w:pPr>
              <w:pStyle w:val="30"/>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04" w:type="dxa"/>
            <w:vMerge w:val="continue"/>
            <w:tcBorders>
              <w:top w:val="nil"/>
            </w:tcBorders>
            <w:noWrap w:val="0"/>
            <w:vAlign w:val="top"/>
          </w:tcPr>
          <w:p>
            <w:pPr>
              <w:rPr>
                <w:sz w:val="2"/>
                <w:szCs w:val="2"/>
              </w:rPr>
            </w:pPr>
          </w:p>
        </w:tc>
        <w:tc>
          <w:tcPr>
            <w:tcW w:w="969" w:type="dxa"/>
            <w:vMerge w:val="continue"/>
            <w:tcBorders>
              <w:top w:val="nil"/>
            </w:tcBorders>
            <w:noWrap w:val="0"/>
            <w:vAlign w:val="top"/>
          </w:tcPr>
          <w:p>
            <w:pPr>
              <w:rPr>
                <w:sz w:val="2"/>
                <w:szCs w:val="2"/>
              </w:rPr>
            </w:pPr>
          </w:p>
        </w:tc>
        <w:tc>
          <w:tcPr>
            <w:tcW w:w="1037" w:type="dxa"/>
            <w:vMerge w:val="continue"/>
            <w:tcBorders>
              <w:top w:val="nil"/>
            </w:tcBorders>
            <w:noWrap w:val="0"/>
            <w:vAlign w:val="top"/>
          </w:tcPr>
          <w:p>
            <w:pPr>
              <w:rPr>
                <w:sz w:val="2"/>
                <w:szCs w:val="2"/>
              </w:rPr>
            </w:pPr>
          </w:p>
        </w:tc>
        <w:tc>
          <w:tcPr>
            <w:tcW w:w="993" w:type="dxa"/>
            <w:noWrap w:val="0"/>
            <w:vAlign w:val="center"/>
          </w:tcPr>
          <w:p>
            <w:pPr>
              <w:pStyle w:val="30"/>
              <w:spacing w:line="260" w:lineRule="exact"/>
              <w:jc w:val="center"/>
              <w:rPr>
                <w:sz w:val="20"/>
              </w:rPr>
            </w:pPr>
            <w:r>
              <w:rPr>
                <w:spacing w:val="-5"/>
                <w:sz w:val="20"/>
              </w:rPr>
              <w:t>牛肉</w:t>
            </w:r>
          </w:p>
        </w:tc>
        <w:tc>
          <w:tcPr>
            <w:tcW w:w="708" w:type="dxa"/>
            <w:noWrap w:val="0"/>
            <w:vAlign w:val="center"/>
          </w:tcPr>
          <w:p>
            <w:pPr>
              <w:pStyle w:val="30"/>
              <w:ind w:right="89"/>
              <w:jc w:val="center"/>
              <w:rPr>
                <w:sz w:val="20"/>
              </w:rPr>
            </w:pPr>
            <w:r>
              <w:rPr>
                <w:rFonts w:hint="eastAsia"/>
                <w:spacing w:val="-5"/>
                <w:sz w:val="20"/>
              </w:rPr>
              <w:t>15</w:t>
            </w:r>
          </w:p>
        </w:tc>
        <w:tc>
          <w:tcPr>
            <w:tcW w:w="2748" w:type="dxa"/>
            <w:noWrap w:val="0"/>
            <w:vAlign w:val="center"/>
          </w:tcPr>
          <w:p>
            <w:pPr>
              <w:pStyle w:val="30"/>
              <w:spacing w:before="1" w:line="223" w:lineRule="auto"/>
              <w:ind w:right="103"/>
              <w:jc w:val="both"/>
              <w:rPr>
                <w:sz w:val="20"/>
              </w:rPr>
            </w:pPr>
            <w:r>
              <w:rPr>
                <w:sz w:val="20"/>
              </w:rPr>
              <w:t>五氯酚酸钠(以五氯酚计) 、克伦特罗</w:t>
            </w:r>
          </w:p>
        </w:tc>
        <w:tc>
          <w:tcPr>
            <w:tcW w:w="6041" w:type="dxa"/>
            <w:noWrap w:val="0"/>
            <w:vAlign w:val="center"/>
          </w:tcPr>
          <w:p>
            <w:pPr>
              <w:pStyle w:val="30"/>
              <w:spacing w:before="1" w:line="223" w:lineRule="auto"/>
              <w:ind w:right="103"/>
              <w:jc w:val="both"/>
              <w:rPr>
                <w:sz w:val="20"/>
              </w:rPr>
            </w:pPr>
            <w:r>
              <w:rPr>
                <w:sz w:val="20"/>
              </w:rPr>
              <w:t>莱克多巴胺、呋喃西林代谢物、呋喃唑酮代谢物、挥发性盐基 氮、沙丁胺醇、恩诺沙星</w:t>
            </w:r>
          </w:p>
        </w:tc>
        <w:tc>
          <w:tcPr>
            <w:tcW w:w="850" w:type="dxa"/>
            <w:noWrap w:val="0"/>
            <w:vAlign w:val="top"/>
          </w:tcPr>
          <w:p>
            <w:pPr>
              <w:pStyle w:val="30"/>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704" w:type="dxa"/>
            <w:vMerge w:val="continue"/>
            <w:tcBorders>
              <w:top w:val="nil"/>
            </w:tcBorders>
            <w:noWrap w:val="0"/>
            <w:vAlign w:val="top"/>
          </w:tcPr>
          <w:p>
            <w:pPr>
              <w:rPr>
                <w:sz w:val="2"/>
                <w:szCs w:val="2"/>
              </w:rPr>
            </w:pPr>
          </w:p>
        </w:tc>
        <w:tc>
          <w:tcPr>
            <w:tcW w:w="969" w:type="dxa"/>
            <w:vMerge w:val="continue"/>
            <w:tcBorders>
              <w:top w:val="nil"/>
            </w:tcBorders>
            <w:noWrap w:val="0"/>
            <w:vAlign w:val="top"/>
          </w:tcPr>
          <w:p>
            <w:pPr>
              <w:rPr>
                <w:sz w:val="2"/>
                <w:szCs w:val="2"/>
              </w:rPr>
            </w:pPr>
          </w:p>
        </w:tc>
        <w:tc>
          <w:tcPr>
            <w:tcW w:w="1037" w:type="dxa"/>
            <w:vMerge w:val="continue"/>
            <w:tcBorders>
              <w:top w:val="nil"/>
            </w:tcBorders>
            <w:noWrap w:val="0"/>
            <w:vAlign w:val="top"/>
          </w:tcPr>
          <w:p>
            <w:pPr>
              <w:rPr>
                <w:sz w:val="2"/>
                <w:szCs w:val="2"/>
              </w:rPr>
            </w:pPr>
          </w:p>
        </w:tc>
        <w:tc>
          <w:tcPr>
            <w:tcW w:w="993" w:type="dxa"/>
            <w:noWrap w:val="0"/>
            <w:vAlign w:val="center"/>
          </w:tcPr>
          <w:p>
            <w:pPr>
              <w:pStyle w:val="30"/>
              <w:spacing w:line="260" w:lineRule="exact"/>
              <w:jc w:val="center"/>
              <w:rPr>
                <w:sz w:val="20"/>
              </w:rPr>
            </w:pPr>
            <w:r>
              <w:rPr>
                <w:spacing w:val="-5"/>
                <w:sz w:val="20"/>
              </w:rPr>
              <w:t>羊肉</w:t>
            </w:r>
          </w:p>
        </w:tc>
        <w:tc>
          <w:tcPr>
            <w:tcW w:w="708" w:type="dxa"/>
            <w:noWrap w:val="0"/>
            <w:vAlign w:val="center"/>
          </w:tcPr>
          <w:p>
            <w:pPr>
              <w:pStyle w:val="30"/>
              <w:spacing w:before="1"/>
              <w:ind w:right="89"/>
              <w:jc w:val="center"/>
              <w:rPr>
                <w:sz w:val="20"/>
              </w:rPr>
            </w:pPr>
            <w:r>
              <w:rPr>
                <w:rFonts w:hint="eastAsia"/>
                <w:spacing w:val="-5"/>
                <w:sz w:val="20"/>
              </w:rPr>
              <w:t>13</w:t>
            </w:r>
          </w:p>
        </w:tc>
        <w:tc>
          <w:tcPr>
            <w:tcW w:w="2748" w:type="dxa"/>
            <w:noWrap w:val="0"/>
            <w:vAlign w:val="center"/>
          </w:tcPr>
          <w:p>
            <w:pPr>
              <w:pStyle w:val="30"/>
              <w:spacing w:before="1" w:line="223" w:lineRule="auto"/>
              <w:ind w:right="103"/>
              <w:jc w:val="both"/>
              <w:rPr>
                <w:rFonts w:hint="eastAsia"/>
                <w:sz w:val="20"/>
              </w:rPr>
            </w:pPr>
            <w:r>
              <w:rPr>
                <w:sz w:val="20"/>
              </w:rPr>
              <w:t>磺胺类( 总量)、</w:t>
            </w:r>
            <w:r>
              <w:rPr>
                <w:rFonts w:hint="eastAsia"/>
                <w:sz w:val="20"/>
              </w:rPr>
              <w:t>克伦特罗</w:t>
            </w:r>
          </w:p>
        </w:tc>
        <w:tc>
          <w:tcPr>
            <w:tcW w:w="6041" w:type="dxa"/>
            <w:noWrap w:val="0"/>
            <w:vAlign w:val="center"/>
          </w:tcPr>
          <w:p>
            <w:pPr>
              <w:pStyle w:val="30"/>
              <w:spacing w:before="1" w:line="223" w:lineRule="auto"/>
              <w:ind w:right="103"/>
              <w:jc w:val="both"/>
              <w:rPr>
                <w:sz w:val="20"/>
              </w:rPr>
            </w:pPr>
            <w:r>
              <w:rPr>
                <w:sz w:val="20"/>
              </w:rPr>
              <w:t>莱克多巴胺、沙丁胺醇、呋喃西林代谢物、呋喃唑酮代谢物， 氯霉素</w:t>
            </w:r>
          </w:p>
        </w:tc>
        <w:tc>
          <w:tcPr>
            <w:tcW w:w="850" w:type="dxa"/>
            <w:noWrap w:val="0"/>
            <w:vAlign w:val="top"/>
          </w:tcPr>
          <w:p>
            <w:pPr>
              <w:pStyle w:val="30"/>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04" w:type="dxa"/>
            <w:vMerge w:val="continue"/>
            <w:tcBorders>
              <w:top w:val="nil"/>
              <w:bottom w:val="single" w:color="auto" w:sz="4" w:space="0"/>
            </w:tcBorders>
            <w:noWrap w:val="0"/>
            <w:vAlign w:val="top"/>
          </w:tcPr>
          <w:p>
            <w:pPr>
              <w:rPr>
                <w:sz w:val="2"/>
                <w:szCs w:val="2"/>
              </w:rPr>
            </w:pPr>
          </w:p>
        </w:tc>
        <w:tc>
          <w:tcPr>
            <w:tcW w:w="969" w:type="dxa"/>
            <w:vMerge w:val="continue"/>
            <w:tcBorders>
              <w:top w:val="nil"/>
              <w:bottom w:val="single" w:color="auto" w:sz="4" w:space="0"/>
            </w:tcBorders>
            <w:noWrap w:val="0"/>
            <w:vAlign w:val="top"/>
          </w:tcPr>
          <w:p>
            <w:pPr>
              <w:rPr>
                <w:sz w:val="2"/>
                <w:szCs w:val="2"/>
              </w:rPr>
            </w:pPr>
          </w:p>
        </w:tc>
        <w:tc>
          <w:tcPr>
            <w:tcW w:w="1037" w:type="dxa"/>
            <w:noWrap w:val="0"/>
            <w:vAlign w:val="center"/>
          </w:tcPr>
          <w:p>
            <w:pPr>
              <w:pStyle w:val="30"/>
              <w:overflowPunct w:val="0"/>
              <w:jc w:val="center"/>
              <w:rPr>
                <w:sz w:val="20"/>
              </w:rPr>
            </w:pPr>
            <w:r>
              <w:rPr>
                <w:spacing w:val="-5"/>
                <w:sz w:val="20"/>
              </w:rPr>
              <w:t>禽肉</w:t>
            </w:r>
          </w:p>
        </w:tc>
        <w:tc>
          <w:tcPr>
            <w:tcW w:w="993" w:type="dxa"/>
            <w:noWrap w:val="0"/>
            <w:vAlign w:val="center"/>
          </w:tcPr>
          <w:p>
            <w:pPr>
              <w:pStyle w:val="30"/>
              <w:spacing w:line="260" w:lineRule="exact"/>
              <w:jc w:val="center"/>
              <w:rPr>
                <w:sz w:val="20"/>
              </w:rPr>
            </w:pPr>
            <w:r>
              <w:rPr>
                <w:spacing w:val="-5"/>
                <w:sz w:val="20"/>
              </w:rPr>
              <w:t>鸡肉</w:t>
            </w:r>
          </w:p>
        </w:tc>
        <w:tc>
          <w:tcPr>
            <w:tcW w:w="708" w:type="dxa"/>
            <w:noWrap w:val="0"/>
            <w:vAlign w:val="center"/>
          </w:tcPr>
          <w:p>
            <w:pPr>
              <w:pStyle w:val="30"/>
              <w:ind w:right="89"/>
              <w:jc w:val="center"/>
              <w:rPr>
                <w:rFonts w:hint="eastAsia"/>
                <w:sz w:val="20"/>
              </w:rPr>
            </w:pPr>
            <w:r>
              <w:rPr>
                <w:spacing w:val="-5"/>
                <w:sz w:val="20"/>
              </w:rPr>
              <w:t>3</w:t>
            </w:r>
            <w:r>
              <w:rPr>
                <w:rFonts w:hint="eastAsia"/>
                <w:spacing w:val="-5"/>
                <w:sz w:val="20"/>
              </w:rPr>
              <w:t>0</w:t>
            </w:r>
          </w:p>
        </w:tc>
        <w:tc>
          <w:tcPr>
            <w:tcW w:w="2748" w:type="dxa"/>
            <w:noWrap w:val="0"/>
            <w:vAlign w:val="center"/>
          </w:tcPr>
          <w:p>
            <w:pPr>
              <w:pStyle w:val="30"/>
              <w:spacing w:line="241" w:lineRule="exact"/>
              <w:ind w:left="4"/>
              <w:jc w:val="both"/>
              <w:rPr>
                <w:rFonts w:hint="eastAsia"/>
                <w:sz w:val="20"/>
              </w:rPr>
            </w:pPr>
            <w:r>
              <w:rPr>
                <w:spacing w:val="2"/>
                <w:sz w:val="20"/>
              </w:rPr>
              <w:t>五氯酚酸钠( 以五</w:t>
            </w:r>
            <w:r>
              <w:rPr>
                <w:spacing w:val="8"/>
                <w:sz w:val="20"/>
              </w:rPr>
              <w:t>氯酚 计)、</w:t>
            </w:r>
            <w:r>
              <w:rPr>
                <w:rFonts w:hint="eastAsia"/>
                <w:spacing w:val="8"/>
                <w:sz w:val="20"/>
              </w:rPr>
              <w:t>氧氟沙星</w:t>
            </w:r>
          </w:p>
        </w:tc>
        <w:tc>
          <w:tcPr>
            <w:tcW w:w="6041" w:type="dxa"/>
            <w:noWrap w:val="0"/>
            <w:vAlign w:val="center"/>
          </w:tcPr>
          <w:p>
            <w:pPr>
              <w:pStyle w:val="30"/>
              <w:spacing w:line="283" w:lineRule="auto"/>
              <w:ind w:right="178"/>
              <w:jc w:val="both"/>
              <w:rPr>
                <w:sz w:val="20"/>
              </w:rPr>
            </w:pPr>
            <w:r>
              <w:rPr>
                <w:spacing w:val="7"/>
                <w:sz w:val="20"/>
              </w:rPr>
              <w:t>尼卡巴嗪、挥发性盐基氮、呋喃西林代谢物、呋喃唑</w:t>
            </w:r>
            <w:r>
              <w:rPr>
                <w:spacing w:val="9"/>
                <w:sz w:val="20"/>
              </w:rPr>
              <w:t>酮代谢物、 替米考星、沙拉沙星、甲硝唑</w:t>
            </w:r>
          </w:p>
        </w:tc>
        <w:tc>
          <w:tcPr>
            <w:tcW w:w="850" w:type="dxa"/>
            <w:noWrap w:val="0"/>
            <w:vAlign w:val="top"/>
          </w:tcPr>
          <w:p>
            <w:pPr>
              <w:pStyle w:val="30"/>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704" w:type="dxa"/>
            <w:vMerge w:val="restart"/>
            <w:tcBorders>
              <w:top w:val="single" w:color="auto" w:sz="4" w:space="0"/>
            </w:tcBorders>
            <w:noWrap w:val="0"/>
            <w:vAlign w:val="center"/>
          </w:tcPr>
          <w:p>
            <w:pPr>
              <w:spacing w:line="240" w:lineRule="exact"/>
              <w:jc w:val="center"/>
              <w:rPr>
                <w:sz w:val="20"/>
                <w:szCs w:val="20"/>
              </w:rPr>
            </w:pPr>
            <w:r>
              <w:rPr>
                <w:rFonts w:hint="eastAsia"/>
                <w:b/>
                <w:sz w:val="20"/>
              </w:rPr>
              <w:t>2</w:t>
            </w:r>
          </w:p>
        </w:tc>
        <w:tc>
          <w:tcPr>
            <w:tcW w:w="969" w:type="dxa"/>
            <w:vMerge w:val="restart"/>
            <w:tcBorders>
              <w:top w:val="single" w:color="auto" w:sz="4" w:space="0"/>
            </w:tcBorders>
            <w:noWrap w:val="0"/>
            <w:vAlign w:val="center"/>
          </w:tcPr>
          <w:p>
            <w:pPr>
              <w:pStyle w:val="30"/>
              <w:jc w:val="center"/>
              <w:rPr>
                <w:sz w:val="20"/>
              </w:rPr>
            </w:pPr>
            <w:r>
              <w:rPr>
                <w:rFonts w:hint="eastAsia"/>
                <w:sz w:val="20"/>
              </w:rPr>
              <w:t>蔬菜</w:t>
            </w:r>
          </w:p>
        </w:tc>
        <w:tc>
          <w:tcPr>
            <w:tcW w:w="1037" w:type="dxa"/>
            <w:noWrap w:val="0"/>
            <w:vAlign w:val="center"/>
          </w:tcPr>
          <w:p>
            <w:pPr>
              <w:pStyle w:val="30"/>
              <w:jc w:val="center"/>
              <w:rPr>
                <w:sz w:val="20"/>
              </w:rPr>
            </w:pPr>
            <w:r>
              <w:rPr>
                <w:sz w:val="20"/>
              </w:rPr>
              <w:t>豆芽</w:t>
            </w:r>
          </w:p>
        </w:tc>
        <w:tc>
          <w:tcPr>
            <w:tcW w:w="993" w:type="dxa"/>
            <w:noWrap w:val="0"/>
            <w:vAlign w:val="center"/>
          </w:tcPr>
          <w:p>
            <w:pPr>
              <w:pStyle w:val="30"/>
              <w:jc w:val="center"/>
              <w:rPr>
                <w:sz w:val="20"/>
              </w:rPr>
            </w:pPr>
            <w:r>
              <w:rPr>
                <w:sz w:val="20"/>
              </w:rPr>
              <w:t>豆芽</w:t>
            </w:r>
          </w:p>
        </w:tc>
        <w:tc>
          <w:tcPr>
            <w:tcW w:w="708" w:type="dxa"/>
            <w:noWrap w:val="0"/>
            <w:vAlign w:val="center"/>
          </w:tcPr>
          <w:p>
            <w:pPr>
              <w:pStyle w:val="30"/>
              <w:jc w:val="center"/>
              <w:rPr>
                <w:sz w:val="20"/>
              </w:rPr>
            </w:pPr>
            <w:r>
              <w:rPr>
                <w:sz w:val="20"/>
              </w:rPr>
              <w:t>10</w:t>
            </w:r>
          </w:p>
        </w:tc>
        <w:tc>
          <w:tcPr>
            <w:tcW w:w="2748" w:type="dxa"/>
            <w:noWrap w:val="0"/>
            <w:vAlign w:val="top"/>
          </w:tcPr>
          <w:p>
            <w:pPr>
              <w:pStyle w:val="30"/>
              <w:rPr>
                <w:rFonts w:hint="eastAsia"/>
                <w:sz w:val="20"/>
              </w:rPr>
            </w:pPr>
            <w:r>
              <w:rPr>
                <w:sz w:val="20"/>
              </w:rPr>
              <w:t>4-氯苯氧乙酸钠(以4-氯苯氧乙酸计</w:t>
            </w:r>
            <w:r>
              <w:rPr>
                <w:rFonts w:hint="eastAsia"/>
                <w:sz w:val="20"/>
              </w:rPr>
              <w:t>)</w:t>
            </w:r>
            <w:r>
              <w:rPr>
                <w:sz w:val="20"/>
              </w:rPr>
              <w:t xml:space="preserve"> </w:t>
            </w:r>
          </w:p>
          <w:p>
            <w:pPr>
              <w:pStyle w:val="30"/>
              <w:rPr>
                <w:sz w:val="20"/>
              </w:rPr>
            </w:pPr>
            <w:r>
              <w:rPr>
                <w:sz w:val="20"/>
              </w:rPr>
              <w:t>6-苄基腺嘌呤</w:t>
            </w:r>
          </w:p>
          <w:p>
            <w:pPr>
              <w:pStyle w:val="30"/>
              <w:rPr>
                <w:rFonts w:hint="eastAsia"/>
                <w:sz w:val="20"/>
              </w:rPr>
            </w:pPr>
            <w:r>
              <w:rPr>
                <w:sz w:val="20"/>
              </w:rPr>
              <w:t>(6 - BA)</w:t>
            </w:r>
          </w:p>
        </w:tc>
        <w:tc>
          <w:tcPr>
            <w:tcW w:w="6041" w:type="dxa"/>
            <w:noWrap w:val="0"/>
            <w:vAlign w:val="top"/>
          </w:tcPr>
          <w:p>
            <w:pPr>
              <w:pStyle w:val="30"/>
              <w:rPr>
                <w:sz w:val="20"/>
              </w:rPr>
            </w:pPr>
            <w:r>
              <w:rPr>
                <w:sz w:val="20"/>
              </w:rPr>
              <w:t>铅( 以Pb计) 、亚硫酸盐( 以SO₂ 计) 、总汞( 以Hg计)</w:t>
            </w:r>
          </w:p>
        </w:tc>
        <w:tc>
          <w:tcPr>
            <w:tcW w:w="850" w:type="dxa"/>
            <w:noWrap w:val="0"/>
            <w:vAlign w:val="center"/>
          </w:tcPr>
          <w:p>
            <w:pPr>
              <w:pStyle w:val="30"/>
              <w:spacing w:line="240" w:lineRule="exact"/>
              <w:jc w:val="cente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704" w:type="dxa"/>
            <w:vMerge w:val="continue"/>
            <w:noWrap w:val="0"/>
            <w:vAlign w:val="center"/>
          </w:tcPr>
          <w:p>
            <w:pPr>
              <w:spacing w:line="240" w:lineRule="exact"/>
              <w:jc w:val="center"/>
              <w:rPr>
                <w:sz w:val="20"/>
                <w:szCs w:val="20"/>
              </w:rPr>
            </w:pPr>
          </w:p>
        </w:tc>
        <w:tc>
          <w:tcPr>
            <w:tcW w:w="969" w:type="dxa"/>
            <w:vMerge w:val="continue"/>
            <w:noWrap w:val="0"/>
            <w:vAlign w:val="top"/>
          </w:tcPr>
          <w:p>
            <w:pPr>
              <w:spacing w:line="240" w:lineRule="exact"/>
              <w:jc w:val="center"/>
              <w:rPr>
                <w:sz w:val="20"/>
                <w:szCs w:val="20"/>
              </w:rPr>
            </w:pPr>
          </w:p>
        </w:tc>
        <w:tc>
          <w:tcPr>
            <w:tcW w:w="1037" w:type="dxa"/>
            <w:vMerge w:val="restart"/>
            <w:noWrap w:val="0"/>
            <w:vAlign w:val="center"/>
          </w:tcPr>
          <w:p>
            <w:pPr>
              <w:pStyle w:val="30"/>
              <w:jc w:val="center"/>
              <w:rPr>
                <w:sz w:val="20"/>
              </w:rPr>
            </w:pPr>
            <w:r>
              <w:rPr>
                <w:rFonts w:hint="eastAsia"/>
                <w:sz w:val="20"/>
              </w:rPr>
              <w:t>鳞茎类蔬菜</w:t>
            </w:r>
          </w:p>
        </w:tc>
        <w:tc>
          <w:tcPr>
            <w:tcW w:w="993" w:type="dxa"/>
            <w:noWrap w:val="0"/>
            <w:vAlign w:val="center"/>
          </w:tcPr>
          <w:p>
            <w:pPr>
              <w:pStyle w:val="30"/>
              <w:jc w:val="center"/>
              <w:rPr>
                <w:sz w:val="20"/>
              </w:rPr>
            </w:pPr>
            <w:r>
              <w:rPr>
                <w:sz w:val="20"/>
              </w:rPr>
              <w:t>葱</w:t>
            </w:r>
          </w:p>
        </w:tc>
        <w:tc>
          <w:tcPr>
            <w:tcW w:w="708" w:type="dxa"/>
            <w:noWrap w:val="0"/>
            <w:vAlign w:val="center"/>
          </w:tcPr>
          <w:p>
            <w:pPr>
              <w:pStyle w:val="30"/>
              <w:jc w:val="center"/>
              <w:rPr>
                <w:sz w:val="20"/>
              </w:rPr>
            </w:pPr>
            <w:r>
              <w:rPr>
                <w:sz w:val="20"/>
              </w:rPr>
              <w:t>10</w:t>
            </w:r>
          </w:p>
        </w:tc>
        <w:tc>
          <w:tcPr>
            <w:tcW w:w="2748" w:type="dxa"/>
            <w:noWrap w:val="0"/>
            <w:vAlign w:val="center"/>
          </w:tcPr>
          <w:p>
            <w:pPr>
              <w:pStyle w:val="30"/>
              <w:ind w:firstLine="100" w:firstLineChars="50"/>
              <w:jc w:val="center"/>
              <w:rPr>
                <w:sz w:val="20"/>
              </w:rPr>
            </w:pPr>
            <w:r>
              <w:rPr>
                <w:sz w:val="20"/>
              </w:rPr>
              <w:t>噻虫嗪</w:t>
            </w:r>
          </w:p>
        </w:tc>
        <w:tc>
          <w:tcPr>
            <w:tcW w:w="6041" w:type="dxa"/>
            <w:noWrap w:val="0"/>
            <w:vAlign w:val="top"/>
          </w:tcPr>
          <w:p>
            <w:pPr>
              <w:pStyle w:val="30"/>
              <w:rPr>
                <w:sz w:val="20"/>
              </w:rPr>
            </w:pPr>
            <w:r>
              <w:rPr>
                <w:sz w:val="20"/>
              </w:rPr>
              <w:t>毒死蜱、镉( 以Cd计)、甲基异柳磷、克百威、氯氟氰菊酯和高效 氯氟氰菊酯、铅(以Pb计)、三唑磷、水胺硫磷、戊唑醇、氧乐果、</w:t>
            </w:r>
          </w:p>
        </w:tc>
        <w:tc>
          <w:tcPr>
            <w:tcW w:w="850" w:type="dxa"/>
            <w:noWrap w:val="0"/>
            <w:vAlign w:val="center"/>
          </w:tcPr>
          <w:p>
            <w:pPr>
              <w:pStyle w:val="30"/>
              <w:spacing w:line="240" w:lineRule="exact"/>
              <w:jc w:val="cente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704" w:type="dxa"/>
            <w:vMerge w:val="continue"/>
            <w:noWrap w:val="0"/>
            <w:vAlign w:val="center"/>
          </w:tcPr>
          <w:p>
            <w:pPr>
              <w:spacing w:line="240" w:lineRule="exact"/>
              <w:jc w:val="center"/>
              <w:rPr>
                <w:sz w:val="20"/>
                <w:szCs w:val="20"/>
              </w:rPr>
            </w:pPr>
          </w:p>
        </w:tc>
        <w:tc>
          <w:tcPr>
            <w:tcW w:w="969" w:type="dxa"/>
            <w:vMerge w:val="continue"/>
            <w:noWrap w:val="0"/>
            <w:vAlign w:val="center"/>
          </w:tcPr>
          <w:p>
            <w:pPr>
              <w:spacing w:line="240" w:lineRule="exact"/>
              <w:jc w:val="center"/>
              <w:rPr>
                <w:sz w:val="20"/>
                <w:szCs w:val="20"/>
              </w:rPr>
            </w:pPr>
          </w:p>
        </w:tc>
        <w:tc>
          <w:tcPr>
            <w:tcW w:w="1037" w:type="dxa"/>
            <w:vMerge w:val="continue"/>
            <w:noWrap w:val="0"/>
            <w:vAlign w:val="top"/>
          </w:tcPr>
          <w:p>
            <w:pPr>
              <w:pStyle w:val="30"/>
              <w:overflowPunct w:val="0"/>
              <w:spacing w:line="240" w:lineRule="exact"/>
              <w:jc w:val="center"/>
              <w:rPr>
                <w:spacing w:val="-5"/>
                <w:sz w:val="20"/>
                <w:szCs w:val="20"/>
              </w:rPr>
            </w:pPr>
          </w:p>
        </w:tc>
        <w:tc>
          <w:tcPr>
            <w:tcW w:w="993" w:type="dxa"/>
            <w:noWrap w:val="0"/>
            <w:vAlign w:val="center"/>
          </w:tcPr>
          <w:p>
            <w:pPr>
              <w:pStyle w:val="30"/>
              <w:jc w:val="center"/>
              <w:rPr>
                <w:sz w:val="20"/>
              </w:rPr>
            </w:pPr>
            <w:r>
              <w:rPr>
                <w:sz w:val="20"/>
              </w:rPr>
              <w:t>韭菜</w:t>
            </w:r>
          </w:p>
        </w:tc>
        <w:tc>
          <w:tcPr>
            <w:tcW w:w="708" w:type="dxa"/>
            <w:noWrap w:val="0"/>
            <w:vAlign w:val="center"/>
          </w:tcPr>
          <w:p>
            <w:pPr>
              <w:pStyle w:val="30"/>
              <w:jc w:val="center"/>
              <w:rPr>
                <w:sz w:val="20"/>
              </w:rPr>
            </w:pPr>
            <w:r>
              <w:rPr>
                <w:sz w:val="20"/>
              </w:rPr>
              <w:t>42</w:t>
            </w:r>
          </w:p>
        </w:tc>
        <w:tc>
          <w:tcPr>
            <w:tcW w:w="2748" w:type="dxa"/>
            <w:noWrap w:val="0"/>
            <w:vAlign w:val="center"/>
          </w:tcPr>
          <w:p>
            <w:pPr>
              <w:pStyle w:val="30"/>
              <w:jc w:val="center"/>
              <w:rPr>
                <w:sz w:val="20"/>
              </w:rPr>
            </w:pPr>
            <w:r>
              <w:rPr>
                <w:sz w:val="20"/>
              </w:rPr>
              <w:t>镉( 以Cd计)、 毒死蜱</w:t>
            </w:r>
          </w:p>
        </w:tc>
        <w:tc>
          <w:tcPr>
            <w:tcW w:w="6041" w:type="dxa"/>
            <w:noWrap w:val="0"/>
            <w:vAlign w:val="top"/>
          </w:tcPr>
          <w:p>
            <w:pPr>
              <w:pStyle w:val="30"/>
              <w:rPr>
                <w:sz w:val="20"/>
              </w:rPr>
            </w:pPr>
            <w:r>
              <w:rPr>
                <w:sz w:val="20"/>
              </w:rPr>
              <w:t>克百威、水胺硫磷、氟虫腈、多菌灵、六六六、甲胺磷、乐果</w:t>
            </w:r>
          </w:p>
        </w:tc>
        <w:tc>
          <w:tcPr>
            <w:tcW w:w="850" w:type="dxa"/>
            <w:noWrap w:val="0"/>
            <w:vAlign w:val="center"/>
          </w:tcPr>
          <w:p>
            <w:pPr>
              <w:pStyle w:val="30"/>
              <w:spacing w:line="240" w:lineRule="exact"/>
              <w:jc w:val="cente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704" w:type="dxa"/>
            <w:vMerge w:val="continue"/>
            <w:noWrap w:val="0"/>
            <w:vAlign w:val="center"/>
          </w:tcPr>
          <w:p>
            <w:pPr>
              <w:spacing w:line="240" w:lineRule="exact"/>
              <w:jc w:val="center"/>
              <w:rPr>
                <w:sz w:val="20"/>
                <w:szCs w:val="20"/>
              </w:rPr>
            </w:pPr>
          </w:p>
        </w:tc>
        <w:tc>
          <w:tcPr>
            <w:tcW w:w="969" w:type="dxa"/>
            <w:vMerge w:val="continue"/>
            <w:noWrap w:val="0"/>
            <w:vAlign w:val="top"/>
          </w:tcPr>
          <w:p>
            <w:pPr>
              <w:spacing w:line="240" w:lineRule="exact"/>
              <w:jc w:val="center"/>
              <w:rPr>
                <w:sz w:val="20"/>
                <w:szCs w:val="20"/>
              </w:rPr>
            </w:pPr>
          </w:p>
        </w:tc>
        <w:tc>
          <w:tcPr>
            <w:tcW w:w="1037" w:type="dxa"/>
            <w:vMerge w:val="restart"/>
            <w:noWrap w:val="0"/>
            <w:vAlign w:val="center"/>
          </w:tcPr>
          <w:p>
            <w:pPr>
              <w:pStyle w:val="30"/>
              <w:jc w:val="center"/>
              <w:rPr>
                <w:sz w:val="20"/>
              </w:rPr>
            </w:pPr>
            <w:r>
              <w:rPr>
                <w:sz w:val="20"/>
              </w:rPr>
              <w:t>叶菜类蔬菜</w:t>
            </w:r>
          </w:p>
        </w:tc>
        <w:tc>
          <w:tcPr>
            <w:tcW w:w="993" w:type="dxa"/>
            <w:noWrap w:val="0"/>
            <w:vAlign w:val="center"/>
          </w:tcPr>
          <w:p>
            <w:pPr>
              <w:pStyle w:val="30"/>
              <w:jc w:val="center"/>
              <w:rPr>
                <w:sz w:val="20"/>
              </w:rPr>
            </w:pPr>
            <w:r>
              <w:rPr>
                <w:sz w:val="20"/>
              </w:rPr>
              <w:t>芹菜</w:t>
            </w:r>
          </w:p>
        </w:tc>
        <w:tc>
          <w:tcPr>
            <w:tcW w:w="708" w:type="dxa"/>
            <w:noWrap w:val="0"/>
            <w:vAlign w:val="center"/>
          </w:tcPr>
          <w:p>
            <w:pPr>
              <w:pStyle w:val="30"/>
              <w:jc w:val="center"/>
              <w:rPr>
                <w:sz w:val="20"/>
              </w:rPr>
            </w:pPr>
            <w:r>
              <w:rPr>
                <w:sz w:val="20"/>
              </w:rPr>
              <w:t>42</w:t>
            </w:r>
          </w:p>
        </w:tc>
        <w:tc>
          <w:tcPr>
            <w:tcW w:w="2748" w:type="dxa"/>
            <w:noWrap w:val="0"/>
            <w:vAlign w:val="center"/>
          </w:tcPr>
          <w:p>
            <w:pPr>
              <w:pStyle w:val="30"/>
              <w:jc w:val="center"/>
              <w:rPr>
                <w:rFonts w:hint="eastAsia"/>
                <w:sz w:val="20"/>
              </w:rPr>
            </w:pPr>
            <w:r>
              <w:rPr>
                <w:sz w:val="20"/>
              </w:rPr>
              <w:t>毒死蜱、噻虫胺、甲拌</w:t>
            </w:r>
            <w:r>
              <w:rPr>
                <w:rFonts w:hint="eastAsia"/>
                <w:sz w:val="20"/>
              </w:rPr>
              <w:t>磷</w:t>
            </w:r>
          </w:p>
        </w:tc>
        <w:tc>
          <w:tcPr>
            <w:tcW w:w="6041" w:type="dxa"/>
            <w:noWrap w:val="0"/>
            <w:vAlign w:val="top"/>
          </w:tcPr>
          <w:p>
            <w:pPr>
              <w:pStyle w:val="30"/>
              <w:rPr>
                <w:sz w:val="20"/>
              </w:rPr>
            </w:pPr>
            <w:r>
              <w:rPr>
                <w:sz w:val="20"/>
              </w:rPr>
              <w:t>阿维菌素、百菌清、敌敌畏、氟虫腈、水胺硫磷、乐果、噻虫 嗪</w:t>
            </w:r>
          </w:p>
        </w:tc>
        <w:tc>
          <w:tcPr>
            <w:tcW w:w="850" w:type="dxa"/>
            <w:noWrap w:val="0"/>
            <w:vAlign w:val="center"/>
          </w:tcPr>
          <w:p>
            <w:pPr>
              <w:pStyle w:val="30"/>
              <w:spacing w:line="240" w:lineRule="exact"/>
              <w:jc w:val="cente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704" w:type="dxa"/>
            <w:vMerge w:val="continue"/>
            <w:tcBorders>
              <w:bottom w:val="single" w:color="auto" w:sz="4" w:space="0"/>
            </w:tcBorders>
            <w:noWrap w:val="0"/>
            <w:vAlign w:val="center"/>
          </w:tcPr>
          <w:p>
            <w:pPr>
              <w:spacing w:line="240" w:lineRule="exact"/>
              <w:jc w:val="center"/>
              <w:rPr>
                <w:sz w:val="20"/>
                <w:szCs w:val="20"/>
              </w:rPr>
            </w:pPr>
          </w:p>
        </w:tc>
        <w:tc>
          <w:tcPr>
            <w:tcW w:w="969" w:type="dxa"/>
            <w:vMerge w:val="continue"/>
            <w:tcBorders>
              <w:bottom w:val="single" w:color="auto" w:sz="4" w:space="0"/>
            </w:tcBorders>
            <w:noWrap w:val="0"/>
            <w:vAlign w:val="top"/>
          </w:tcPr>
          <w:p>
            <w:pPr>
              <w:spacing w:line="240" w:lineRule="exact"/>
              <w:jc w:val="center"/>
              <w:rPr>
                <w:sz w:val="20"/>
                <w:szCs w:val="20"/>
              </w:rPr>
            </w:pPr>
          </w:p>
        </w:tc>
        <w:tc>
          <w:tcPr>
            <w:tcW w:w="1037" w:type="dxa"/>
            <w:vMerge w:val="continue"/>
            <w:noWrap w:val="0"/>
            <w:vAlign w:val="center"/>
          </w:tcPr>
          <w:p>
            <w:pPr>
              <w:pStyle w:val="30"/>
              <w:overflowPunct w:val="0"/>
              <w:spacing w:line="240" w:lineRule="exact"/>
              <w:jc w:val="center"/>
              <w:rPr>
                <w:spacing w:val="-5"/>
                <w:sz w:val="20"/>
                <w:szCs w:val="20"/>
              </w:rPr>
            </w:pPr>
          </w:p>
        </w:tc>
        <w:tc>
          <w:tcPr>
            <w:tcW w:w="993" w:type="dxa"/>
            <w:noWrap w:val="0"/>
            <w:vAlign w:val="center"/>
          </w:tcPr>
          <w:p>
            <w:pPr>
              <w:pStyle w:val="30"/>
              <w:jc w:val="center"/>
              <w:rPr>
                <w:sz w:val="20"/>
              </w:rPr>
            </w:pPr>
            <w:r>
              <w:rPr>
                <w:sz w:val="20"/>
              </w:rPr>
              <w:t>菠菜</w:t>
            </w:r>
          </w:p>
        </w:tc>
        <w:tc>
          <w:tcPr>
            <w:tcW w:w="708" w:type="dxa"/>
            <w:noWrap w:val="0"/>
            <w:vAlign w:val="center"/>
          </w:tcPr>
          <w:p>
            <w:pPr>
              <w:pStyle w:val="30"/>
              <w:jc w:val="center"/>
              <w:rPr>
                <w:sz w:val="20"/>
              </w:rPr>
            </w:pPr>
            <w:r>
              <w:rPr>
                <w:sz w:val="20"/>
              </w:rPr>
              <w:t>42</w:t>
            </w:r>
          </w:p>
        </w:tc>
        <w:tc>
          <w:tcPr>
            <w:tcW w:w="2748" w:type="dxa"/>
            <w:noWrap w:val="0"/>
            <w:vAlign w:val="center"/>
          </w:tcPr>
          <w:p>
            <w:pPr>
              <w:pStyle w:val="30"/>
              <w:jc w:val="center"/>
              <w:rPr>
                <w:rFonts w:hint="eastAsia"/>
                <w:sz w:val="20"/>
              </w:rPr>
            </w:pPr>
            <w:r>
              <w:rPr>
                <w:sz w:val="20"/>
              </w:rPr>
              <w:t>毒死蜱</w:t>
            </w:r>
            <w:r>
              <w:rPr>
                <w:rFonts w:hint="eastAsia"/>
                <w:sz w:val="20"/>
              </w:rPr>
              <w:t>、</w:t>
            </w:r>
            <w:r>
              <w:rPr>
                <w:sz w:val="20"/>
              </w:rPr>
              <w:t xml:space="preserve">铬 </w:t>
            </w:r>
            <w:r>
              <w:rPr>
                <w:rFonts w:hint="eastAsia"/>
                <w:sz w:val="20"/>
              </w:rPr>
              <w:t>(以 Cr计)</w:t>
            </w:r>
          </w:p>
        </w:tc>
        <w:tc>
          <w:tcPr>
            <w:tcW w:w="6041" w:type="dxa"/>
            <w:noWrap w:val="0"/>
            <w:vAlign w:val="top"/>
          </w:tcPr>
          <w:p>
            <w:pPr>
              <w:pStyle w:val="30"/>
              <w:rPr>
                <w:sz w:val="20"/>
              </w:rPr>
            </w:pPr>
          </w:p>
          <w:p>
            <w:pPr>
              <w:pStyle w:val="30"/>
              <w:rPr>
                <w:sz w:val="20"/>
              </w:rPr>
            </w:pPr>
            <w:r>
              <w:rPr>
                <w:sz w:val="20"/>
              </w:rPr>
              <w:t>阿维菌素、氧乐果、甲拌磷、克百威、氯氟氰菊酯和高效氯氟</w:t>
            </w:r>
            <w:r>
              <w:rPr>
                <w:rFonts w:hint="eastAsia"/>
                <w:sz w:val="20"/>
              </w:rPr>
              <w:t>、</w:t>
            </w:r>
            <w:r>
              <w:rPr>
                <w:sz w:val="20"/>
              </w:rPr>
              <w:t>氰菊酯、六六六、腐霉利、水胺硫磷</w:t>
            </w:r>
          </w:p>
        </w:tc>
        <w:tc>
          <w:tcPr>
            <w:tcW w:w="850" w:type="dxa"/>
            <w:noWrap w:val="0"/>
            <w:vAlign w:val="center"/>
          </w:tcPr>
          <w:p>
            <w:pPr>
              <w:pStyle w:val="30"/>
              <w:spacing w:line="240" w:lineRule="exact"/>
              <w:jc w:val="center"/>
              <w:rPr>
                <w:sz w:val="20"/>
                <w:szCs w:val="20"/>
              </w:rPr>
            </w:pPr>
          </w:p>
        </w:tc>
      </w:tr>
    </w:tbl>
    <w:p>
      <w:pPr>
        <w:rPr>
          <w:rFonts w:ascii="Times New Roman"/>
          <w:sz w:val="20"/>
        </w:rPr>
      </w:pPr>
    </w:p>
    <w:tbl>
      <w:tblPr>
        <w:tblStyle w:val="14"/>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1"/>
        <w:gridCol w:w="951"/>
        <w:gridCol w:w="1159"/>
        <w:gridCol w:w="1519"/>
        <w:gridCol w:w="951"/>
        <w:gridCol w:w="1852"/>
        <w:gridCol w:w="5387"/>
        <w:gridCol w:w="8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681" w:type="dxa"/>
            <w:tcBorders>
              <w:bottom w:val="nil"/>
            </w:tcBorders>
            <w:noWrap w:val="0"/>
            <w:vAlign w:val="top"/>
          </w:tcPr>
          <w:p>
            <w:pPr>
              <w:pStyle w:val="30"/>
              <w:spacing w:before="11"/>
              <w:rPr>
                <w:b/>
                <w:sz w:val="24"/>
              </w:rPr>
            </w:pPr>
          </w:p>
          <w:p>
            <w:pPr>
              <w:pStyle w:val="30"/>
              <w:ind w:left="147" w:right="88"/>
              <w:jc w:val="center"/>
              <w:rPr>
                <w:rFonts w:ascii="Times New Roman"/>
                <w:b/>
                <w:bCs/>
                <w:sz w:val="18"/>
              </w:rPr>
            </w:pPr>
            <w:r>
              <w:rPr>
                <w:spacing w:val="-5"/>
                <w:sz w:val="20"/>
              </w:rPr>
              <w:t>序列</w:t>
            </w:r>
          </w:p>
        </w:tc>
        <w:tc>
          <w:tcPr>
            <w:tcW w:w="951" w:type="dxa"/>
            <w:tcBorders>
              <w:bottom w:val="nil"/>
            </w:tcBorders>
            <w:noWrap w:val="0"/>
            <w:vAlign w:val="top"/>
          </w:tcPr>
          <w:p>
            <w:pPr>
              <w:pStyle w:val="30"/>
              <w:spacing w:before="11"/>
              <w:rPr>
                <w:b/>
                <w:sz w:val="15"/>
              </w:rPr>
            </w:pPr>
          </w:p>
          <w:p>
            <w:pPr>
              <w:pStyle w:val="30"/>
              <w:spacing w:before="1" w:line="242" w:lineRule="auto"/>
              <w:ind w:left="174" w:right="156" w:hanging="101"/>
              <w:rPr>
                <w:sz w:val="20"/>
              </w:rPr>
            </w:pPr>
            <w:r>
              <w:rPr>
                <w:spacing w:val="-4"/>
                <w:sz w:val="20"/>
              </w:rPr>
              <w:t>食品亚</w:t>
            </w:r>
            <w:r>
              <w:rPr>
                <w:spacing w:val="-3"/>
                <w:sz w:val="20"/>
              </w:rPr>
              <w:t>类 (二</w:t>
            </w:r>
          </w:p>
          <w:p>
            <w:pPr>
              <w:pStyle w:val="30"/>
              <w:spacing w:before="3" w:line="239" w:lineRule="exact"/>
              <w:ind w:left="174"/>
              <w:rPr>
                <w:b/>
                <w:bCs/>
                <w:sz w:val="20"/>
              </w:rPr>
            </w:pPr>
            <w:r>
              <w:rPr>
                <w:spacing w:val="-5"/>
                <w:sz w:val="20"/>
              </w:rPr>
              <w:t>级)</w:t>
            </w:r>
          </w:p>
        </w:tc>
        <w:tc>
          <w:tcPr>
            <w:tcW w:w="1159" w:type="dxa"/>
            <w:tcBorders>
              <w:bottom w:val="nil"/>
            </w:tcBorders>
            <w:noWrap w:val="0"/>
            <w:vAlign w:val="top"/>
          </w:tcPr>
          <w:p>
            <w:pPr>
              <w:pStyle w:val="30"/>
              <w:spacing w:before="2"/>
              <w:rPr>
                <w:b/>
                <w:sz w:val="15"/>
              </w:rPr>
            </w:pPr>
          </w:p>
          <w:p>
            <w:pPr>
              <w:pStyle w:val="30"/>
              <w:spacing w:line="242" w:lineRule="auto"/>
              <w:ind w:left="235" w:right="163" w:hanging="70"/>
              <w:rPr>
                <w:b/>
                <w:bCs/>
                <w:sz w:val="20"/>
              </w:rPr>
            </w:pPr>
            <w:r>
              <w:rPr>
                <w:spacing w:val="-4"/>
                <w:sz w:val="20"/>
              </w:rPr>
              <w:t xml:space="preserve">食品品种 </w:t>
            </w:r>
            <w:r>
              <w:rPr>
                <w:spacing w:val="2"/>
                <w:sz w:val="20"/>
              </w:rPr>
              <w:t>(三级)</w:t>
            </w:r>
          </w:p>
        </w:tc>
        <w:tc>
          <w:tcPr>
            <w:tcW w:w="1519" w:type="dxa"/>
            <w:tcBorders>
              <w:bottom w:val="nil"/>
            </w:tcBorders>
            <w:noWrap w:val="0"/>
            <w:vAlign w:val="top"/>
          </w:tcPr>
          <w:p>
            <w:pPr>
              <w:pStyle w:val="30"/>
              <w:spacing w:before="156" w:line="285" w:lineRule="auto"/>
              <w:ind w:left="436" w:right="383" w:hanging="99"/>
              <w:rPr>
                <w:b/>
                <w:bCs/>
                <w:sz w:val="20"/>
              </w:rPr>
            </w:pPr>
            <w:r>
              <w:rPr>
                <w:spacing w:val="-4"/>
                <w:sz w:val="20"/>
              </w:rPr>
              <w:t xml:space="preserve">食品细类 </w:t>
            </w:r>
            <w:r>
              <w:rPr>
                <w:spacing w:val="2"/>
                <w:sz w:val="20"/>
              </w:rPr>
              <w:t>(四级)</w:t>
            </w:r>
          </w:p>
        </w:tc>
        <w:tc>
          <w:tcPr>
            <w:tcW w:w="951" w:type="dxa"/>
            <w:tcBorders>
              <w:bottom w:val="nil"/>
            </w:tcBorders>
            <w:noWrap w:val="0"/>
            <w:vAlign w:val="center"/>
          </w:tcPr>
          <w:p>
            <w:pPr>
              <w:pStyle w:val="30"/>
              <w:spacing w:before="6"/>
              <w:jc w:val="center"/>
              <w:rPr>
                <w:b/>
                <w:sz w:val="24"/>
              </w:rPr>
            </w:pPr>
          </w:p>
          <w:p>
            <w:pPr>
              <w:pStyle w:val="30"/>
              <w:spacing w:before="1"/>
              <w:ind w:left="108" w:right="20"/>
              <w:jc w:val="center"/>
              <w:rPr>
                <w:b/>
                <w:bCs/>
                <w:sz w:val="20"/>
              </w:rPr>
            </w:pPr>
            <w:r>
              <w:rPr>
                <w:spacing w:val="-7"/>
                <w:sz w:val="20"/>
              </w:rPr>
              <w:t>抽检批次</w:t>
            </w:r>
          </w:p>
        </w:tc>
        <w:tc>
          <w:tcPr>
            <w:tcW w:w="1852" w:type="dxa"/>
            <w:tcBorders>
              <w:bottom w:val="nil"/>
            </w:tcBorders>
            <w:noWrap w:val="0"/>
            <w:vAlign w:val="top"/>
          </w:tcPr>
          <w:p>
            <w:pPr>
              <w:pStyle w:val="30"/>
              <w:spacing w:before="6"/>
              <w:rPr>
                <w:b/>
                <w:sz w:val="24"/>
              </w:rPr>
            </w:pPr>
          </w:p>
          <w:p>
            <w:pPr>
              <w:pStyle w:val="30"/>
              <w:spacing w:before="1"/>
              <w:ind w:left="558"/>
              <w:rPr>
                <w:b/>
                <w:bCs/>
                <w:sz w:val="20"/>
              </w:rPr>
            </w:pPr>
            <w:r>
              <w:rPr>
                <w:spacing w:val="-3"/>
                <w:sz w:val="20"/>
              </w:rPr>
              <w:t>必检项目</w:t>
            </w:r>
          </w:p>
        </w:tc>
        <w:tc>
          <w:tcPr>
            <w:tcW w:w="5387" w:type="dxa"/>
            <w:tcBorders>
              <w:bottom w:val="nil"/>
            </w:tcBorders>
            <w:noWrap w:val="0"/>
            <w:vAlign w:val="top"/>
          </w:tcPr>
          <w:p>
            <w:pPr>
              <w:pStyle w:val="30"/>
              <w:spacing w:before="6"/>
              <w:rPr>
                <w:b/>
                <w:sz w:val="24"/>
              </w:rPr>
            </w:pPr>
          </w:p>
          <w:p>
            <w:pPr>
              <w:pStyle w:val="30"/>
              <w:spacing w:before="1"/>
              <w:ind w:left="2346" w:right="1861"/>
              <w:jc w:val="center"/>
              <w:rPr>
                <w:b/>
                <w:bCs/>
                <w:sz w:val="20"/>
              </w:rPr>
            </w:pPr>
            <w:r>
              <w:rPr>
                <w:b/>
                <w:spacing w:val="-3"/>
                <w:sz w:val="20"/>
              </w:rPr>
              <w:t>自选项目</w:t>
            </w:r>
          </w:p>
        </w:tc>
        <w:tc>
          <w:tcPr>
            <w:tcW w:w="875" w:type="dxa"/>
            <w:noWrap w:val="0"/>
            <w:vAlign w:val="top"/>
          </w:tcPr>
          <w:p>
            <w:pPr>
              <w:pStyle w:val="30"/>
              <w:rPr>
                <w:b/>
                <w:bCs/>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681" w:type="dxa"/>
            <w:vMerge w:val="restart"/>
            <w:noWrap w:val="0"/>
            <w:vAlign w:val="center"/>
          </w:tcPr>
          <w:p>
            <w:pPr>
              <w:pStyle w:val="30"/>
              <w:jc w:val="center"/>
              <w:rPr>
                <w:rFonts w:hint="eastAsia" w:ascii="Times New Roman"/>
                <w:b/>
                <w:bCs/>
                <w:sz w:val="18"/>
              </w:rPr>
            </w:pPr>
            <w:r>
              <w:rPr>
                <w:rFonts w:hint="eastAsia" w:ascii="Times New Roman"/>
                <w:b/>
                <w:bCs/>
                <w:sz w:val="18"/>
              </w:rPr>
              <w:t>2</w:t>
            </w:r>
          </w:p>
        </w:tc>
        <w:tc>
          <w:tcPr>
            <w:tcW w:w="951" w:type="dxa"/>
            <w:vMerge w:val="restart"/>
            <w:noWrap w:val="0"/>
            <w:vAlign w:val="center"/>
          </w:tcPr>
          <w:p>
            <w:pPr>
              <w:pStyle w:val="30"/>
              <w:jc w:val="center"/>
              <w:rPr>
                <w:sz w:val="20"/>
              </w:rPr>
            </w:pPr>
            <w:r>
              <w:rPr>
                <w:sz w:val="20"/>
              </w:rPr>
              <w:t>蔬菜</w:t>
            </w:r>
          </w:p>
        </w:tc>
        <w:tc>
          <w:tcPr>
            <w:tcW w:w="1159" w:type="dxa"/>
            <w:vMerge w:val="restart"/>
            <w:noWrap w:val="0"/>
            <w:vAlign w:val="center"/>
          </w:tcPr>
          <w:p>
            <w:pPr>
              <w:pStyle w:val="30"/>
              <w:jc w:val="center"/>
              <w:rPr>
                <w:sz w:val="20"/>
              </w:rPr>
            </w:pPr>
            <w:r>
              <w:rPr>
                <w:sz w:val="20"/>
              </w:rPr>
              <w:t>茄果类蔬菜</w:t>
            </w:r>
          </w:p>
        </w:tc>
        <w:tc>
          <w:tcPr>
            <w:tcW w:w="1519" w:type="dxa"/>
            <w:vMerge w:val="restart"/>
            <w:noWrap w:val="0"/>
            <w:vAlign w:val="top"/>
          </w:tcPr>
          <w:p>
            <w:pPr>
              <w:pStyle w:val="30"/>
              <w:rPr>
                <w:sz w:val="20"/>
              </w:rPr>
            </w:pPr>
            <w:r>
              <w:rPr>
                <w:sz w:val="20"/>
              </w:rPr>
              <w:t>辣椒</w:t>
            </w:r>
          </w:p>
        </w:tc>
        <w:tc>
          <w:tcPr>
            <w:tcW w:w="951" w:type="dxa"/>
            <w:tcBorders>
              <w:bottom w:val="nil"/>
            </w:tcBorders>
            <w:noWrap w:val="0"/>
            <w:vAlign w:val="top"/>
          </w:tcPr>
          <w:p>
            <w:pPr>
              <w:pStyle w:val="30"/>
              <w:rPr>
                <w:sz w:val="20"/>
              </w:rPr>
            </w:pPr>
            <w:r>
              <w:rPr>
                <w:sz w:val="20"/>
              </w:rPr>
              <w:t>42</w:t>
            </w:r>
          </w:p>
        </w:tc>
        <w:tc>
          <w:tcPr>
            <w:tcW w:w="1852" w:type="dxa"/>
            <w:tcBorders>
              <w:bottom w:val="nil"/>
            </w:tcBorders>
            <w:noWrap w:val="0"/>
            <w:vAlign w:val="top"/>
          </w:tcPr>
          <w:p>
            <w:pPr>
              <w:pStyle w:val="30"/>
              <w:rPr>
                <w:sz w:val="20"/>
              </w:rPr>
            </w:pPr>
          </w:p>
          <w:p>
            <w:pPr>
              <w:pStyle w:val="30"/>
              <w:rPr>
                <w:sz w:val="20"/>
              </w:rPr>
            </w:pPr>
            <w:r>
              <w:rPr>
                <w:sz w:val="20"/>
              </w:rPr>
              <w:t>毒死蜱、镉( 以Cd计</w:t>
            </w:r>
          </w:p>
        </w:tc>
        <w:tc>
          <w:tcPr>
            <w:tcW w:w="5387" w:type="dxa"/>
            <w:tcBorders>
              <w:bottom w:val="nil"/>
            </w:tcBorders>
            <w:noWrap w:val="0"/>
            <w:vAlign w:val="top"/>
          </w:tcPr>
          <w:p>
            <w:pPr>
              <w:pStyle w:val="30"/>
              <w:rPr>
                <w:sz w:val="20"/>
              </w:rPr>
            </w:pPr>
          </w:p>
          <w:p>
            <w:pPr>
              <w:pStyle w:val="30"/>
              <w:rPr>
                <w:sz w:val="20"/>
              </w:rPr>
            </w:pPr>
            <w:r>
              <w:rPr>
                <w:sz w:val="20"/>
              </w:rPr>
              <w:t>氧乐果、克百威、联苯菊酯、甲氨基阿维菌素苯甲酸盐</w:t>
            </w:r>
          </w:p>
        </w:tc>
        <w:tc>
          <w:tcPr>
            <w:tcW w:w="875" w:type="dxa"/>
            <w:vMerge w:val="restart"/>
            <w:noWrap w:val="0"/>
            <w:vAlign w:val="top"/>
          </w:tcPr>
          <w:p>
            <w:pPr>
              <w:pStyle w:val="30"/>
              <w:rPr>
                <w:b/>
                <w:bCs/>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trPr>
        <w:tc>
          <w:tcPr>
            <w:tcW w:w="681" w:type="dxa"/>
            <w:vMerge w:val="continue"/>
            <w:noWrap w:val="0"/>
            <w:vAlign w:val="top"/>
          </w:tcPr>
          <w:p>
            <w:pPr>
              <w:pStyle w:val="30"/>
              <w:rPr>
                <w:rFonts w:ascii="Times New Roman"/>
                <w:b/>
                <w:bCs/>
                <w:sz w:val="18"/>
              </w:rPr>
            </w:pPr>
          </w:p>
        </w:tc>
        <w:tc>
          <w:tcPr>
            <w:tcW w:w="951" w:type="dxa"/>
            <w:vMerge w:val="continue"/>
            <w:noWrap w:val="0"/>
            <w:vAlign w:val="top"/>
          </w:tcPr>
          <w:p>
            <w:pPr>
              <w:pStyle w:val="30"/>
              <w:rPr>
                <w:sz w:val="20"/>
              </w:rPr>
            </w:pPr>
          </w:p>
        </w:tc>
        <w:tc>
          <w:tcPr>
            <w:tcW w:w="1159" w:type="dxa"/>
            <w:vMerge w:val="continue"/>
            <w:noWrap w:val="0"/>
            <w:vAlign w:val="top"/>
          </w:tcPr>
          <w:p>
            <w:pPr>
              <w:pStyle w:val="30"/>
              <w:jc w:val="center"/>
              <w:rPr>
                <w:sz w:val="20"/>
              </w:rPr>
            </w:pPr>
          </w:p>
        </w:tc>
        <w:tc>
          <w:tcPr>
            <w:tcW w:w="1519" w:type="dxa"/>
            <w:vMerge w:val="continue"/>
            <w:tcBorders>
              <w:bottom w:val="nil"/>
            </w:tcBorders>
            <w:noWrap w:val="0"/>
            <w:vAlign w:val="top"/>
          </w:tcPr>
          <w:p>
            <w:pPr>
              <w:pStyle w:val="30"/>
              <w:ind w:firstLine="400" w:firstLineChars="200"/>
              <w:rPr>
                <w:sz w:val="20"/>
              </w:rPr>
            </w:pPr>
          </w:p>
        </w:tc>
        <w:tc>
          <w:tcPr>
            <w:tcW w:w="951" w:type="dxa"/>
            <w:tcBorders>
              <w:top w:val="nil"/>
              <w:bottom w:val="nil"/>
            </w:tcBorders>
            <w:noWrap w:val="0"/>
            <w:vAlign w:val="top"/>
          </w:tcPr>
          <w:p>
            <w:pPr>
              <w:pStyle w:val="30"/>
              <w:ind w:firstLine="300" w:firstLineChars="150"/>
              <w:rPr>
                <w:sz w:val="20"/>
              </w:rPr>
            </w:pPr>
          </w:p>
        </w:tc>
        <w:tc>
          <w:tcPr>
            <w:tcW w:w="1852" w:type="dxa"/>
            <w:tcBorders>
              <w:top w:val="nil"/>
              <w:bottom w:val="nil"/>
            </w:tcBorders>
            <w:noWrap w:val="0"/>
            <w:vAlign w:val="top"/>
          </w:tcPr>
          <w:p>
            <w:pPr>
              <w:pStyle w:val="30"/>
              <w:rPr>
                <w:sz w:val="20"/>
              </w:rPr>
            </w:pPr>
            <w:r>
              <w:rPr>
                <w:sz w:val="20"/>
              </w:rPr>
              <w:t>)、 噻虫胺</w:t>
            </w:r>
            <w:r>
              <w:rPr>
                <w:rFonts w:hint="eastAsia"/>
                <w:sz w:val="20"/>
              </w:rPr>
              <w:t>、</w:t>
            </w:r>
            <w:r>
              <w:rPr>
                <w:sz w:val="20"/>
              </w:rPr>
              <w:t xml:space="preserve">啶虫脒 </w:t>
            </w:r>
          </w:p>
          <w:p>
            <w:pPr>
              <w:pStyle w:val="30"/>
              <w:rPr>
                <w:rFonts w:hint="eastAsia"/>
                <w:sz w:val="20"/>
              </w:rPr>
            </w:pPr>
          </w:p>
        </w:tc>
        <w:tc>
          <w:tcPr>
            <w:tcW w:w="5387" w:type="dxa"/>
            <w:tcBorders>
              <w:top w:val="nil"/>
              <w:bottom w:val="nil"/>
            </w:tcBorders>
            <w:noWrap w:val="0"/>
            <w:vAlign w:val="top"/>
          </w:tcPr>
          <w:p>
            <w:pPr>
              <w:pStyle w:val="30"/>
              <w:rPr>
                <w:sz w:val="20"/>
              </w:rPr>
            </w:pPr>
          </w:p>
        </w:tc>
        <w:tc>
          <w:tcPr>
            <w:tcW w:w="875" w:type="dxa"/>
            <w:vMerge w:val="continue"/>
            <w:tcBorders>
              <w:top w:val="nil"/>
            </w:tcBorders>
            <w:noWrap w:val="0"/>
            <w:vAlign w:val="top"/>
          </w:tcPr>
          <w:p>
            <w:pPr>
              <w:pStyle w:val="30"/>
              <w:rPr>
                <w:b/>
                <w:bCs/>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681" w:type="dxa"/>
            <w:vMerge w:val="continue"/>
            <w:noWrap w:val="0"/>
            <w:vAlign w:val="top"/>
          </w:tcPr>
          <w:p>
            <w:pPr>
              <w:rPr>
                <w:b/>
                <w:bCs/>
                <w:sz w:val="2"/>
                <w:szCs w:val="2"/>
              </w:rPr>
            </w:pPr>
          </w:p>
        </w:tc>
        <w:tc>
          <w:tcPr>
            <w:tcW w:w="951" w:type="dxa"/>
            <w:vMerge w:val="continue"/>
            <w:noWrap w:val="0"/>
            <w:vAlign w:val="top"/>
          </w:tcPr>
          <w:p>
            <w:pPr>
              <w:pStyle w:val="30"/>
              <w:rPr>
                <w:sz w:val="20"/>
              </w:rPr>
            </w:pPr>
          </w:p>
        </w:tc>
        <w:tc>
          <w:tcPr>
            <w:tcW w:w="1159" w:type="dxa"/>
            <w:vMerge w:val="continue"/>
            <w:noWrap w:val="0"/>
            <w:vAlign w:val="top"/>
          </w:tcPr>
          <w:p>
            <w:pPr>
              <w:pStyle w:val="30"/>
              <w:rPr>
                <w:sz w:val="20"/>
              </w:rPr>
            </w:pPr>
          </w:p>
        </w:tc>
        <w:tc>
          <w:tcPr>
            <w:tcW w:w="1519" w:type="dxa"/>
            <w:noWrap w:val="0"/>
            <w:vAlign w:val="top"/>
          </w:tcPr>
          <w:p>
            <w:pPr>
              <w:pStyle w:val="30"/>
              <w:ind w:firstLine="400" w:firstLineChars="200"/>
              <w:rPr>
                <w:sz w:val="20"/>
              </w:rPr>
            </w:pPr>
            <w:r>
              <w:rPr>
                <w:sz w:val="20"/>
              </w:rPr>
              <w:t>甜椒</w:t>
            </w:r>
          </w:p>
        </w:tc>
        <w:tc>
          <w:tcPr>
            <w:tcW w:w="951" w:type="dxa"/>
            <w:noWrap w:val="0"/>
            <w:vAlign w:val="top"/>
          </w:tcPr>
          <w:p>
            <w:pPr>
              <w:pStyle w:val="30"/>
              <w:ind w:firstLine="300" w:firstLineChars="150"/>
              <w:rPr>
                <w:sz w:val="20"/>
              </w:rPr>
            </w:pPr>
            <w:r>
              <w:rPr>
                <w:sz w:val="20"/>
              </w:rPr>
              <w:t>4</w:t>
            </w:r>
          </w:p>
        </w:tc>
        <w:tc>
          <w:tcPr>
            <w:tcW w:w="1852" w:type="dxa"/>
            <w:noWrap w:val="0"/>
            <w:vAlign w:val="top"/>
          </w:tcPr>
          <w:p>
            <w:pPr>
              <w:pStyle w:val="30"/>
              <w:ind w:firstLine="100" w:firstLineChars="50"/>
              <w:rPr>
                <w:sz w:val="20"/>
              </w:rPr>
            </w:pPr>
            <w:r>
              <w:rPr>
                <w:sz w:val="20"/>
              </w:rPr>
              <w:t>噻虫胺</w:t>
            </w:r>
          </w:p>
        </w:tc>
        <w:tc>
          <w:tcPr>
            <w:tcW w:w="5387" w:type="dxa"/>
            <w:noWrap w:val="0"/>
            <w:vAlign w:val="top"/>
          </w:tcPr>
          <w:p>
            <w:pPr>
              <w:pStyle w:val="30"/>
              <w:rPr>
                <w:sz w:val="20"/>
              </w:rPr>
            </w:pPr>
            <w:r>
              <w:rPr>
                <w:sz w:val="20"/>
              </w:rPr>
              <w:t>阿维菌素、倍硫磷、吡虫啉</w:t>
            </w:r>
          </w:p>
        </w:tc>
        <w:tc>
          <w:tcPr>
            <w:tcW w:w="875" w:type="dxa"/>
            <w:noWrap w:val="0"/>
            <w:vAlign w:val="top"/>
          </w:tcPr>
          <w:p>
            <w:pPr>
              <w:pStyle w:val="30"/>
              <w:rPr>
                <w:b/>
                <w:bCs/>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89" w:hRule="atLeast"/>
        </w:trPr>
        <w:tc>
          <w:tcPr>
            <w:tcW w:w="681" w:type="dxa"/>
            <w:vMerge w:val="continue"/>
            <w:noWrap w:val="0"/>
            <w:vAlign w:val="top"/>
          </w:tcPr>
          <w:p>
            <w:pPr>
              <w:pStyle w:val="30"/>
              <w:rPr>
                <w:rFonts w:ascii="Times New Roman"/>
                <w:b/>
                <w:bCs/>
                <w:sz w:val="18"/>
              </w:rPr>
            </w:pPr>
          </w:p>
        </w:tc>
        <w:tc>
          <w:tcPr>
            <w:tcW w:w="951" w:type="dxa"/>
            <w:vMerge w:val="continue"/>
            <w:noWrap w:val="0"/>
            <w:vAlign w:val="top"/>
          </w:tcPr>
          <w:p>
            <w:pPr>
              <w:pStyle w:val="30"/>
              <w:rPr>
                <w:sz w:val="20"/>
              </w:rPr>
            </w:pPr>
          </w:p>
        </w:tc>
        <w:tc>
          <w:tcPr>
            <w:tcW w:w="1159" w:type="dxa"/>
            <w:vMerge w:val="continue"/>
            <w:noWrap w:val="0"/>
            <w:vAlign w:val="top"/>
          </w:tcPr>
          <w:p>
            <w:pPr>
              <w:pStyle w:val="30"/>
              <w:rPr>
                <w:sz w:val="20"/>
              </w:rPr>
            </w:pPr>
          </w:p>
        </w:tc>
        <w:tc>
          <w:tcPr>
            <w:tcW w:w="1519" w:type="dxa"/>
            <w:noWrap w:val="0"/>
            <w:vAlign w:val="top"/>
          </w:tcPr>
          <w:p>
            <w:pPr>
              <w:pStyle w:val="30"/>
              <w:rPr>
                <w:sz w:val="20"/>
              </w:rPr>
            </w:pPr>
          </w:p>
          <w:p>
            <w:pPr>
              <w:pStyle w:val="30"/>
              <w:ind w:firstLine="400" w:firstLineChars="200"/>
              <w:rPr>
                <w:sz w:val="20"/>
              </w:rPr>
            </w:pPr>
            <w:r>
              <w:rPr>
                <w:sz w:val="20"/>
              </w:rPr>
              <w:t>茄子</w:t>
            </w:r>
          </w:p>
        </w:tc>
        <w:tc>
          <w:tcPr>
            <w:tcW w:w="951" w:type="dxa"/>
            <w:noWrap w:val="0"/>
            <w:vAlign w:val="top"/>
          </w:tcPr>
          <w:p>
            <w:pPr>
              <w:pStyle w:val="30"/>
              <w:rPr>
                <w:sz w:val="20"/>
              </w:rPr>
            </w:pPr>
          </w:p>
          <w:p>
            <w:pPr>
              <w:pStyle w:val="30"/>
              <w:ind w:firstLine="300" w:firstLineChars="150"/>
              <w:rPr>
                <w:sz w:val="20"/>
              </w:rPr>
            </w:pPr>
            <w:r>
              <w:rPr>
                <w:sz w:val="20"/>
              </w:rPr>
              <w:t>36</w:t>
            </w:r>
          </w:p>
        </w:tc>
        <w:tc>
          <w:tcPr>
            <w:tcW w:w="1852" w:type="dxa"/>
            <w:noWrap w:val="0"/>
            <w:vAlign w:val="top"/>
          </w:tcPr>
          <w:p>
            <w:pPr>
              <w:pStyle w:val="30"/>
              <w:rPr>
                <w:sz w:val="20"/>
              </w:rPr>
            </w:pPr>
          </w:p>
          <w:p>
            <w:pPr>
              <w:pStyle w:val="30"/>
              <w:rPr>
                <w:sz w:val="20"/>
              </w:rPr>
            </w:pPr>
            <w:r>
              <w:rPr>
                <w:sz w:val="20"/>
              </w:rPr>
              <w:t>镉( 以Cd计)</w:t>
            </w:r>
            <w:r>
              <w:rPr>
                <w:rFonts w:hint="eastAsia"/>
                <w:sz w:val="20"/>
              </w:rPr>
              <w:t>、</w:t>
            </w:r>
            <w:r>
              <w:rPr>
                <w:sz w:val="20"/>
              </w:rPr>
              <w:t>噻虫胺、</w:t>
            </w:r>
          </w:p>
        </w:tc>
        <w:tc>
          <w:tcPr>
            <w:tcW w:w="5387" w:type="dxa"/>
            <w:noWrap w:val="0"/>
            <w:vAlign w:val="top"/>
          </w:tcPr>
          <w:p>
            <w:pPr>
              <w:pStyle w:val="30"/>
              <w:rPr>
                <w:sz w:val="20"/>
              </w:rPr>
            </w:pPr>
          </w:p>
          <w:p>
            <w:pPr>
              <w:pStyle w:val="30"/>
              <w:rPr>
                <w:sz w:val="20"/>
              </w:rPr>
            </w:pPr>
            <w:r>
              <w:rPr>
                <w:sz w:val="20"/>
              </w:rPr>
              <w:t>噻虫嗪、戊唑醇、杀扑磷、氟虫腈</w:t>
            </w:r>
          </w:p>
        </w:tc>
        <w:tc>
          <w:tcPr>
            <w:tcW w:w="875" w:type="dxa"/>
            <w:noWrap w:val="0"/>
            <w:vAlign w:val="top"/>
          </w:tcPr>
          <w:p>
            <w:pPr>
              <w:pStyle w:val="30"/>
              <w:rPr>
                <w:b/>
                <w:bCs/>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681" w:type="dxa"/>
            <w:vMerge w:val="continue"/>
            <w:noWrap w:val="0"/>
            <w:vAlign w:val="top"/>
          </w:tcPr>
          <w:p>
            <w:pPr>
              <w:pStyle w:val="30"/>
              <w:rPr>
                <w:rFonts w:ascii="Times New Roman"/>
                <w:b/>
                <w:bCs/>
                <w:sz w:val="18"/>
              </w:rPr>
            </w:pPr>
          </w:p>
        </w:tc>
        <w:tc>
          <w:tcPr>
            <w:tcW w:w="951" w:type="dxa"/>
            <w:vMerge w:val="continue"/>
            <w:noWrap w:val="0"/>
            <w:vAlign w:val="top"/>
          </w:tcPr>
          <w:p>
            <w:pPr>
              <w:pStyle w:val="30"/>
              <w:rPr>
                <w:sz w:val="20"/>
              </w:rPr>
            </w:pPr>
          </w:p>
        </w:tc>
        <w:tc>
          <w:tcPr>
            <w:tcW w:w="1159" w:type="dxa"/>
            <w:vMerge w:val="restart"/>
            <w:noWrap w:val="0"/>
            <w:vAlign w:val="center"/>
          </w:tcPr>
          <w:p>
            <w:pPr>
              <w:pStyle w:val="30"/>
              <w:jc w:val="center"/>
              <w:rPr>
                <w:sz w:val="20"/>
              </w:rPr>
            </w:pPr>
            <w:r>
              <w:rPr>
                <w:sz w:val="20"/>
              </w:rPr>
              <w:t>豆类蔬菜</w:t>
            </w:r>
          </w:p>
        </w:tc>
        <w:tc>
          <w:tcPr>
            <w:tcW w:w="1519" w:type="dxa"/>
            <w:tcBorders>
              <w:bottom w:val="nil"/>
            </w:tcBorders>
            <w:noWrap w:val="0"/>
            <w:vAlign w:val="top"/>
          </w:tcPr>
          <w:p>
            <w:pPr>
              <w:pStyle w:val="30"/>
              <w:rPr>
                <w:sz w:val="20"/>
              </w:rPr>
            </w:pPr>
          </w:p>
        </w:tc>
        <w:tc>
          <w:tcPr>
            <w:tcW w:w="951" w:type="dxa"/>
            <w:tcBorders>
              <w:bottom w:val="nil"/>
            </w:tcBorders>
            <w:noWrap w:val="0"/>
            <w:vAlign w:val="top"/>
          </w:tcPr>
          <w:p>
            <w:pPr>
              <w:pStyle w:val="30"/>
              <w:rPr>
                <w:sz w:val="20"/>
              </w:rPr>
            </w:pPr>
          </w:p>
        </w:tc>
        <w:tc>
          <w:tcPr>
            <w:tcW w:w="1852" w:type="dxa"/>
            <w:tcBorders>
              <w:bottom w:val="nil"/>
            </w:tcBorders>
            <w:noWrap w:val="0"/>
            <w:vAlign w:val="top"/>
          </w:tcPr>
          <w:p>
            <w:pPr>
              <w:pStyle w:val="30"/>
              <w:rPr>
                <w:sz w:val="20"/>
              </w:rPr>
            </w:pPr>
          </w:p>
        </w:tc>
        <w:tc>
          <w:tcPr>
            <w:tcW w:w="5387" w:type="dxa"/>
            <w:tcBorders>
              <w:bottom w:val="nil"/>
            </w:tcBorders>
            <w:noWrap w:val="0"/>
            <w:vAlign w:val="top"/>
          </w:tcPr>
          <w:p>
            <w:pPr>
              <w:pStyle w:val="30"/>
              <w:rPr>
                <w:sz w:val="20"/>
              </w:rPr>
            </w:pPr>
            <w:r>
              <w:rPr>
                <w:sz w:val="20"/>
              </w:rPr>
              <w:t>吡虫啉、毒死蜱、多菌灵、甲胺磷、克百威、氯氟氰</w:t>
            </w:r>
          </w:p>
        </w:tc>
        <w:tc>
          <w:tcPr>
            <w:tcW w:w="875" w:type="dxa"/>
            <w:vMerge w:val="restart"/>
            <w:noWrap w:val="0"/>
            <w:vAlign w:val="top"/>
          </w:tcPr>
          <w:p>
            <w:pPr>
              <w:pStyle w:val="30"/>
              <w:rPr>
                <w:b/>
                <w:bCs/>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681" w:type="dxa"/>
            <w:vMerge w:val="continue"/>
            <w:noWrap w:val="0"/>
            <w:vAlign w:val="top"/>
          </w:tcPr>
          <w:p>
            <w:pPr>
              <w:pStyle w:val="30"/>
              <w:rPr>
                <w:rFonts w:ascii="Times New Roman"/>
                <w:b/>
                <w:bCs/>
                <w:sz w:val="18"/>
              </w:rPr>
            </w:pPr>
          </w:p>
        </w:tc>
        <w:tc>
          <w:tcPr>
            <w:tcW w:w="951" w:type="dxa"/>
            <w:vMerge w:val="continue"/>
            <w:noWrap w:val="0"/>
            <w:vAlign w:val="top"/>
          </w:tcPr>
          <w:p>
            <w:pPr>
              <w:pStyle w:val="30"/>
              <w:rPr>
                <w:sz w:val="20"/>
              </w:rPr>
            </w:pPr>
          </w:p>
        </w:tc>
        <w:tc>
          <w:tcPr>
            <w:tcW w:w="1159" w:type="dxa"/>
            <w:vMerge w:val="continue"/>
            <w:noWrap w:val="0"/>
            <w:vAlign w:val="top"/>
          </w:tcPr>
          <w:p>
            <w:pPr>
              <w:pStyle w:val="30"/>
              <w:rPr>
                <w:sz w:val="20"/>
              </w:rPr>
            </w:pPr>
          </w:p>
        </w:tc>
        <w:tc>
          <w:tcPr>
            <w:tcW w:w="1519" w:type="dxa"/>
            <w:tcBorders>
              <w:top w:val="nil"/>
              <w:bottom w:val="nil"/>
            </w:tcBorders>
            <w:noWrap w:val="0"/>
            <w:vAlign w:val="top"/>
          </w:tcPr>
          <w:p>
            <w:pPr>
              <w:pStyle w:val="30"/>
              <w:rPr>
                <w:sz w:val="20"/>
              </w:rPr>
            </w:pPr>
          </w:p>
        </w:tc>
        <w:tc>
          <w:tcPr>
            <w:tcW w:w="951" w:type="dxa"/>
            <w:tcBorders>
              <w:top w:val="nil"/>
              <w:bottom w:val="nil"/>
            </w:tcBorders>
            <w:noWrap w:val="0"/>
            <w:vAlign w:val="top"/>
          </w:tcPr>
          <w:p>
            <w:pPr>
              <w:pStyle w:val="30"/>
              <w:rPr>
                <w:sz w:val="20"/>
              </w:rPr>
            </w:pPr>
          </w:p>
        </w:tc>
        <w:tc>
          <w:tcPr>
            <w:tcW w:w="1852" w:type="dxa"/>
            <w:tcBorders>
              <w:top w:val="nil"/>
              <w:bottom w:val="nil"/>
            </w:tcBorders>
            <w:noWrap w:val="0"/>
            <w:vAlign w:val="top"/>
          </w:tcPr>
          <w:p>
            <w:pPr>
              <w:pStyle w:val="30"/>
              <w:rPr>
                <w:sz w:val="20"/>
              </w:rPr>
            </w:pPr>
          </w:p>
        </w:tc>
        <w:tc>
          <w:tcPr>
            <w:tcW w:w="5387" w:type="dxa"/>
            <w:tcBorders>
              <w:top w:val="nil"/>
              <w:bottom w:val="nil"/>
            </w:tcBorders>
            <w:noWrap w:val="0"/>
            <w:vAlign w:val="top"/>
          </w:tcPr>
          <w:p>
            <w:pPr>
              <w:pStyle w:val="30"/>
              <w:rPr>
                <w:sz w:val="20"/>
              </w:rPr>
            </w:pPr>
            <w:r>
              <w:rPr>
                <w:sz w:val="20"/>
              </w:rPr>
              <w:t>菊酯和高效氯氟 氰菊酯、灭蝇胺、水胺硫磷、溴氰菊</w:t>
            </w:r>
          </w:p>
        </w:tc>
        <w:tc>
          <w:tcPr>
            <w:tcW w:w="875" w:type="dxa"/>
            <w:vMerge w:val="continue"/>
            <w:tcBorders>
              <w:top w:val="nil"/>
            </w:tcBorders>
            <w:noWrap w:val="0"/>
            <w:vAlign w:val="top"/>
          </w:tcPr>
          <w:p>
            <w:pPr>
              <w:pStyle w:val="30"/>
              <w:rPr>
                <w:b/>
                <w:bCs/>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681" w:type="dxa"/>
            <w:vMerge w:val="continue"/>
            <w:noWrap w:val="0"/>
            <w:vAlign w:val="top"/>
          </w:tcPr>
          <w:p>
            <w:pPr>
              <w:pStyle w:val="30"/>
              <w:rPr>
                <w:rFonts w:ascii="Times New Roman"/>
                <w:b/>
                <w:bCs/>
                <w:sz w:val="18"/>
              </w:rPr>
            </w:pPr>
          </w:p>
        </w:tc>
        <w:tc>
          <w:tcPr>
            <w:tcW w:w="951" w:type="dxa"/>
            <w:vMerge w:val="continue"/>
            <w:noWrap w:val="0"/>
            <w:vAlign w:val="top"/>
          </w:tcPr>
          <w:p>
            <w:pPr>
              <w:pStyle w:val="30"/>
              <w:rPr>
                <w:sz w:val="20"/>
              </w:rPr>
            </w:pPr>
          </w:p>
        </w:tc>
        <w:tc>
          <w:tcPr>
            <w:tcW w:w="1159" w:type="dxa"/>
            <w:vMerge w:val="continue"/>
            <w:noWrap w:val="0"/>
            <w:vAlign w:val="top"/>
          </w:tcPr>
          <w:p>
            <w:pPr>
              <w:pStyle w:val="30"/>
              <w:rPr>
                <w:sz w:val="20"/>
              </w:rPr>
            </w:pPr>
          </w:p>
        </w:tc>
        <w:tc>
          <w:tcPr>
            <w:tcW w:w="1519" w:type="dxa"/>
            <w:tcBorders>
              <w:top w:val="nil"/>
            </w:tcBorders>
            <w:noWrap w:val="0"/>
            <w:vAlign w:val="top"/>
          </w:tcPr>
          <w:p>
            <w:pPr>
              <w:pStyle w:val="30"/>
              <w:ind w:firstLine="400" w:firstLineChars="200"/>
              <w:rPr>
                <w:sz w:val="20"/>
              </w:rPr>
            </w:pPr>
            <w:r>
              <w:rPr>
                <w:sz w:val="20"/>
              </w:rPr>
              <w:t>菜豆</w:t>
            </w:r>
          </w:p>
        </w:tc>
        <w:tc>
          <w:tcPr>
            <w:tcW w:w="951" w:type="dxa"/>
            <w:tcBorders>
              <w:top w:val="nil"/>
            </w:tcBorders>
            <w:noWrap w:val="0"/>
            <w:vAlign w:val="top"/>
          </w:tcPr>
          <w:p>
            <w:pPr>
              <w:pStyle w:val="30"/>
              <w:ind w:firstLine="300" w:firstLineChars="150"/>
              <w:rPr>
                <w:sz w:val="20"/>
              </w:rPr>
            </w:pPr>
            <w:r>
              <w:rPr>
                <w:sz w:val="20"/>
              </w:rPr>
              <w:t>36</w:t>
            </w:r>
          </w:p>
        </w:tc>
        <w:tc>
          <w:tcPr>
            <w:tcW w:w="1852" w:type="dxa"/>
            <w:tcBorders>
              <w:top w:val="nil"/>
            </w:tcBorders>
            <w:noWrap w:val="0"/>
            <w:vAlign w:val="top"/>
          </w:tcPr>
          <w:p>
            <w:pPr>
              <w:pStyle w:val="30"/>
              <w:rPr>
                <w:sz w:val="20"/>
              </w:rPr>
            </w:pPr>
            <w:r>
              <w:rPr>
                <w:sz w:val="20"/>
              </w:rPr>
              <w:t>噻虫胺</w:t>
            </w:r>
          </w:p>
        </w:tc>
        <w:tc>
          <w:tcPr>
            <w:tcW w:w="5387" w:type="dxa"/>
            <w:tcBorders>
              <w:top w:val="nil"/>
            </w:tcBorders>
            <w:noWrap w:val="0"/>
            <w:vAlign w:val="top"/>
          </w:tcPr>
          <w:p>
            <w:pPr>
              <w:pStyle w:val="30"/>
              <w:rPr>
                <w:sz w:val="20"/>
              </w:rPr>
            </w:pPr>
            <w:r>
              <w:rPr>
                <w:sz w:val="20"/>
              </w:rPr>
              <w:t>酯、氧乐果、乙酰甲胺磷、甲氨 基阿维菌素苯甲酸盐</w:t>
            </w:r>
          </w:p>
          <w:p>
            <w:pPr>
              <w:pStyle w:val="30"/>
              <w:rPr>
                <w:sz w:val="20"/>
              </w:rPr>
            </w:pPr>
            <w:r>
              <w:rPr>
                <w:sz w:val="20"/>
              </w:rPr>
              <w:t>、三唑磷</w:t>
            </w:r>
          </w:p>
        </w:tc>
        <w:tc>
          <w:tcPr>
            <w:tcW w:w="875" w:type="dxa"/>
            <w:vMerge w:val="continue"/>
            <w:tcBorders>
              <w:top w:val="nil"/>
            </w:tcBorders>
            <w:noWrap w:val="0"/>
            <w:vAlign w:val="top"/>
          </w:tcPr>
          <w:p>
            <w:pPr>
              <w:pStyle w:val="30"/>
              <w:rPr>
                <w:b/>
                <w:bCs/>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681" w:type="dxa"/>
            <w:vMerge w:val="continue"/>
            <w:noWrap w:val="0"/>
            <w:vAlign w:val="top"/>
          </w:tcPr>
          <w:p>
            <w:pPr>
              <w:pStyle w:val="30"/>
              <w:rPr>
                <w:rFonts w:ascii="Times New Roman"/>
                <w:b/>
                <w:bCs/>
                <w:sz w:val="18"/>
              </w:rPr>
            </w:pPr>
          </w:p>
        </w:tc>
        <w:tc>
          <w:tcPr>
            <w:tcW w:w="951" w:type="dxa"/>
            <w:vMerge w:val="continue"/>
            <w:noWrap w:val="0"/>
            <w:vAlign w:val="top"/>
          </w:tcPr>
          <w:p>
            <w:pPr>
              <w:pStyle w:val="30"/>
              <w:rPr>
                <w:sz w:val="20"/>
              </w:rPr>
            </w:pPr>
          </w:p>
        </w:tc>
        <w:tc>
          <w:tcPr>
            <w:tcW w:w="1159" w:type="dxa"/>
            <w:vMerge w:val="continue"/>
            <w:noWrap w:val="0"/>
            <w:vAlign w:val="top"/>
          </w:tcPr>
          <w:p>
            <w:pPr>
              <w:pStyle w:val="30"/>
              <w:rPr>
                <w:sz w:val="20"/>
              </w:rPr>
            </w:pPr>
          </w:p>
        </w:tc>
        <w:tc>
          <w:tcPr>
            <w:tcW w:w="1519" w:type="dxa"/>
            <w:tcBorders>
              <w:bottom w:val="nil"/>
            </w:tcBorders>
            <w:noWrap w:val="0"/>
            <w:vAlign w:val="top"/>
          </w:tcPr>
          <w:p>
            <w:pPr>
              <w:pStyle w:val="30"/>
              <w:rPr>
                <w:sz w:val="20"/>
              </w:rPr>
            </w:pPr>
          </w:p>
        </w:tc>
        <w:tc>
          <w:tcPr>
            <w:tcW w:w="951" w:type="dxa"/>
            <w:tcBorders>
              <w:bottom w:val="nil"/>
            </w:tcBorders>
            <w:noWrap w:val="0"/>
            <w:vAlign w:val="top"/>
          </w:tcPr>
          <w:p>
            <w:pPr>
              <w:pStyle w:val="30"/>
              <w:rPr>
                <w:sz w:val="20"/>
              </w:rPr>
            </w:pPr>
          </w:p>
        </w:tc>
        <w:tc>
          <w:tcPr>
            <w:tcW w:w="1852" w:type="dxa"/>
            <w:tcBorders>
              <w:bottom w:val="nil"/>
            </w:tcBorders>
            <w:noWrap w:val="0"/>
            <w:vAlign w:val="top"/>
          </w:tcPr>
          <w:p>
            <w:pPr>
              <w:pStyle w:val="30"/>
              <w:rPr>
                <w:sz w:val="20"/>
              </w:rPr>
            </w:pPr>
            <w:r>
              <w:rPr>
                <w:sz w:val="20"/>
              </w:rPr>
              <w:t>倍硫磷、灭蝇胺、噻虫嗪、噻虫胺</w:t>
            </w:r>
          </w:p>
        </w:tc>
        <w:tc>
          <w:tcPr>
            <w:tcW w:w="5387" w:type="dxa"/>
            <w:tcBorders>
              <w:bottom w:val="nil"/>
            </w:tcBorders>
            <w:noWrap w:val="0"/>
            <w:vAlign w:val="top"/>
          </w:tcPr>
          <w:p>
            <w:pPr>
              <w:pStyle w:val="30"/>
              <w:rPr>
                <w:sz w:val="20"/>
              </w:rPr>
            </w:pPr>
          </w:p>
          <w:p>
            <w:pPr>
              <w:pStyle w:val="30"/>
              <w:rPr>
                <w:sz w:val="20"/>
              </w:rPr>
            </w:pPr>
            <w:r>
              <w:rPr>
                <w:sz w:val="20"/>
              </w:rPr>
              <w:t>阿维菌素、啶虫脒、氟虫腈、甲胺磷、甲拌磷、甲基异柳磷、乐果、 氯氟氰菊酯和高效氯氟氰菊酯、氯氰菊</w:t>
            </w:r>
          </w:p>
        </w:tc>
        <w:tc>
          <w:tcPr>
            <w:tcW w:w="875" w:type="dxa"/>
            <w:vMerge w:val="restart"/>
            <w:noWrap w:val="0"/>
            <w:vAlign w:val="top"/>
          </w:tcPr>
          <w:p>
            <w:pPr>
              <w:pStyle w:val="30"/>
              <w:rPr>
                <w:b/>
                <w:bCs/>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 w:hRule="atLeast"/>
        </w:trPr>
        <w:tc>
          <w:tcPr>
            <w:tcW w:w="681" w:type="dxa"/>
            <w:vMerge w:val="continue"/>
            <w:noWrap w:val="0"/>
            <w:vAlign w:val="top"/>
          </w:tcPr>
          <w:p>
            <w:pPr>
              <w:pStyle w:val="30"/>
              <w:rPr>
                <w:rFonts w:ascii="Times New Roman"/>
                <w:b/>
                <w:bCs/>
                <w:sz w:val="16"/>
              </w:rPr>
            </w:pPr>
          </w:p>
        </w:tc>
        <w:tc>
          <w:tcPr>
            <w:tcW w:w="951" w:type="dxa"/>
            <w:vMerge w:val="continue"/>
            <w:noWrap w:val="0"/>
            <w:vAlign w:val="top"/>
          </w:tcPr>
          <w:p>
            <w:pPr>
              <w:pStyle w:val="30"/>
              <w:rPr>
                <w:sz w:val="20"/>
              </w:rPr>
            </w:pPr>
          </w:p>
        </w:tc>
        <w:tc>
          <w:tcPr>
            <w:tcW w:w="1159" w:type="dxa"/>
            <w:vMerge w:val="continue"/>
            <w:noWrap w:val="0"/>
            <w:vAlign w:val="top"/>
          </w:tcPr>
          <w:p>
            <w:pPr>
              <w:pStyle w:val="30"/>
              <w:rPr>
                <w:sz w:val="20"/>
              </w:rPr>
            </w:pPr>
          </w:p>
        </w:tc>
        <w:tc>
          <w:tcPr>
            <w:tcW w:w="1519" w:type="dxa"/>
            <w:tcBorders>
              <w:top w:val="nil"/>
              <w:bottom w:val="nil"/>
            </w:tcBorders>
            <w:noWrap w:val="0"/>
            <w:vAlign w:val="top"/>
          </w:tcPr>
          <w:p>
            <w:pPr>
              <w:pStyle w:val="30"/>
              <w:ind w:firstLine="400" w:firstLineChars="200"/>
              <w:rPr>
                <w:sz w:val="20"/>
              </w:rPr>
            </w:pPr>
            <w:r>
              <w:rPr>
                <w:sz w:val="20"/>
              </w:rPr>
              <w:t>豇豆</w:t>
            </w:r>
          </w:p>
        </w:tc>
        <w:tc>
          <w:tcPr>
            <w:tcW w:w="951" w:type="dxa"/>
            <w:tcBorders>
              <w:top w:val="nil"/>
              <w:bottom w:val="nil"/>
            </w:tcBorders>
            <w:noWrap w:val="0"/>
            <w:vAlign w:val="top"/>
          </w:tcPr>
          <w:p>
            <w:pPr>
              <w:pStyle w:val="30"/>
              <w:ind w:firstLine="300" w:firstLineChars="150"/>
              <w:rPr>
                <w:sz w:val="20"/>
              </w:rPr>
            </w:pPr>
            <w:r>
              <w:rPr>
                <w:sz w:val="20"/>
              </w:rPr>
              <w:t>30</w:t>
            </w:r>
          </w:p>
        </w:tc>
        <w:tc>
          <w:tcPr>
            <w:tcW w:w="1852" w:type="dxa"/>
            <w:tcBorders>
              <w:top w:val="nil"/>
              <w:bottom w:val="nil"/>
            </w:tcBorders>
            <w:noWrap w:val="0"/>
            <w:vAlign w:val="top"/>
          </w:tcPr>
          <w:p>
            <w:pPr>
              <w:pStyle w:val="30"/>
              <w:rPr>
                <w:sz w:val="20"/>
              </w:rPr>
            </w:pPr>
          </w:p>
        </w:tc>
        <w:tc>
          <w:tcPr>
            <w:tcW w:w="5387" w:type="dxa"/>
            <w:tcBorders>
              <w:top w:val="nil"/>
              <w:bottom w:val="nil"/>
            </w:tcBorders>
            <w:noWrap w:val="0"/>
            <w:vAlign w:val="top"/>
          </w:tcPr>
          <w:p>
            <w:pPr>
              <w:pStyle w:val="30"/>
              <w:rPr>
                <w:sz w:val="20"/>
              </w:rPr>
            </w:pPr>
            <w:r>
              <w:rPr>
                <w:sz w:val="20"/>
              </w:rPr>
              <w:t>酯和高效氯氰菊酯、氯唑磷、 灭多威、三唑磷、水胺</w:t>
            </w:r>
          </w:p>
        </w:tc>
        <w:tc>
          <w:tcPr>
            <w:tcW w:w="875" w:type="dxa"/>
            <w:vMerge w:val="continue"/>
            <w:tcBorders>
              <w:top w:val="nil"/>
            </w:tcBorders>
            <w:noWrap w:val="0"/>
            <w:vAlign w:val="top"/>
          </w:tcPr>
          <w:p>
            <w:pPr>
              <w:pStyle w:val="30"/>
              <w:rPr>
                <w:b/>
                <w:bCs/>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81" w:type="dxa"/>
            <w:vMerge w:val="continue"/>
            <w:noWrap w:val="0"/>
            <w:vAlign w:val="top"/>
          </w:tcPr>
          <w:p>
            <w:pPr>
              <w:pStyle w:val="30"/>
              <w:rPr>
                <w:rFonts w:ascii="Times New Roman"/>
                <w:b/>
                <w:bCs/>
                <w:sz w:val="18"/>
              </w:rPr>
            </w:pPr>
          </w:p>
        </w:tc>
        <w:tc>
          <w:tcPr>
            <w:tcW w:w="951" w:type="dxa"/>
            <w:vMerge w:val="continue"/>
            <w:noWrap w:val="0"/>
            <w:vAlign w:val="top"/>
          </w:tcPr>
          <w:p>
            <w:pPr>
              <w:pStyle w:val="30"/>
              <w:rPr>
                <w:sz w:val="20"/>
              </w:rPr>
            </w:pPr>
          </w:p>
        </w:tc>
        <w:tc>
          <w:tcPr>
            <w:tcW w:w="1159" w:type="dxa"/>
            <w:vMerge w:val="continue"/>
            <w:noWrap w:val="0"/>
            <w:vAlign w:val="top"/>
          </w:tcPr>
          <w:p>
            <w:pPr>
              <w:pStyle w:val="30"/>
              <w:rPr>
                <w:sz w:val="20"/>
              </w:rPr>
            </w:pPr>
          </w:p>
        </w:tc>
        <w:tc>
          <w:tcPr>
            <w:tcW w:w="1519" w:type="dxa"/>
            <w:tcBorders>
              <w:top w:val="nil"/>
            </w:tcBorders>
            <w:noWrap w:val="0"/>
            <w:vAlign w:val="top"/>
          </w:tcPr>
          <w:p>
            <w:pPr>
              <w:pStyle w:val="30"/>
              <w:rPr>
                <w:sz w:val="20"/>
              </w:rPr>
            </w:pPr>
          </w:p>
        </w:tc>
        <w:tc>
          <w:tcPr>
            <w:tcW w:w="951" w:type="dxa"/>
            <w:tcBorders>
              <w:top w:val="nil"/>
            </w:tcBorders>
            <w:noWrap w:val="0"/>
            <w:vAlign w:val="top"/>
          </w:tcPr>
          <w:p>
            <w:pPr>
              <w:pStyle w:val="30"/>
              <w:rPr>
                <w:sz w:val="20"/>
              </w:rPr>
            </w:pPr>
          </w:p>
        </w:tc>
        <w:tc>
          <w:tcPr>
            <w:tcW w:w="1852" w:type="dxa"/>
            <w:tcBorders>
              <w:top w:val="nil"/>
            </w:tcBorders>
            <w:noWrap w:val="0"/>
            <w:vAlign w:val="top"/>
          </w:tcPr>
          <w:p>
            <w:pPr>
              <w:pStyle w:val="30"/>
              <w:rPr>
                <w:sz w:val="20"/>
              </w:rPr>
            </w:pPr>
          </w:p>
        </w:tc>
        <w:tc>
          <w:tcPr>
            <w:tcW w:w="5387" w:type="dxa"/>
            <w:tcBorders>
              <w:top w:val="nil"/>
            </w:tcBorders>
            <w:noWrap w:val="0"/>
            <w:vAlign w:val="top"/>
          </w:tcPr>
          <w:p>
            <w:pPr>
              <w:pStyle w:val="30"/>
              <w:rPr>
                <w:sz w:val="20"/>
              </w:rPr>
            </w:pPr>
            <w:r>
              <w:rPr>
                <w:sz w:val="20"/>
              </w:rPr>
              <w:t>硫磷、氧乐果、乙酰甲胺磷</w:t>
            </w:r>
          </w:p>
        </w:tc>
        <w:tc>
          <w:tcPr>
            <w:tcW w:w="875" w:type="dxa"/>
            <w:vMerge w:val="continue"/>
            <w:tcBorders>
              <w:top w:val="nil"/>
            </w:tcBorders>
            <w:noWrap w:val="0"/>
            <w:vAlign w:val="top"/>
          </w:tcPr>
          <w:p>
            <w:pPr>
              <w:pStyle w:val="30"/>
              <w:rPr>
                <w:b/>
                <w:bCs/>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681" w:type="dxa"/>
            <w:vMerge w:val="continue"/>
            <w:noWrap w:val="0"/>
            <w:vAlign w:val="top"/>
          </w:tcPr>
          <w:p>
            <w:pPr>
              <w:pStyle w:val="30"/>
              <w:rPr>
                <w:rFonts w:ascii="Times New Roman"/>
                <w:b/>
                <w:bCs/>
                <w:sz w:val="18"/>
              </w:rPr>
            </w:pPr>
          </w:p>
        </w:tc>
        <w:tc>
          <w:tcPr>
            <w:tcW w:w="951" w:type="dxa"/>
            <w:vMerge w:val="continue"/>
            <w:noWrap w:val="0"/>
            <w:vAlign w:val="top"/>
          </w:tcPr>
          <w:p>
            <w:pPr>
              <w:pStyle w:val="30"/>
              <w:rPr>
                <w:sz w:val="20"/>
              </w:rPr>
            </w:pPr>
          </w:p>
        </w:tc>
        <w:tc>
          <w:tcPr>
            <w:tcW w:w="1159" w:type="dxa"/>
            <w:vMerge w:val="restart"/>
            <w:noWrap w:val="0"/>
            <w:vAlign w:val="center"/>
          </w:tcPr>
          <w:p>
            <w:pPr>
              <w:pStyle w:val="30"/>
              <w:jc w:val="center"/>
              <w:rPr>
                <w:sz w:val="20"/>
              </w:rPr>
            </w:pPr>
            <w:r>
              <w:rPr>
                <w:sz w:val="20"/>
              </w:rPr>
              <w:t>根茎类和薯芋类蔬菜</w:t>
            </w:r>
          </w:p>
        </w:tc>
        <w:tc>
          <w:tcPr>
            <w:tcW w:w="1519" w:type="dxa"/>
            <w:tcBorders>
              <w:bottom w:val="nil"/>
            </w:tcBorders>
            <w:noWrap w:val="0"/>
            <w:vAlign w:val="top"/>
          </w:tcPr>
          <w:p>
            <w:pPr>
              <w:pStyle w:val="30"/>
              <w:rPr>
                <w:sz w:val="20"/>
              </w:rPr>
            </w:pPr>
          </w:p>
        </w:tc>
        <w:tc>
          <w:tcPr>
            <w:tcW w:w="951" w:type="dxa"/>
            <w:tcBorders>
              <w:bottom w:val="nil"/>
            </w:tcBorders>
            <w:noWrap w:val="0"/>
            <w:vAlign w:val="top"/>
          </w:tcPr>
          <w:p>
            <w:pPr>
              <w:pStyle w:val="30"/>
              <w:rPr>
                <w:sz w:val="20"/>
              </w:rPr>
            </w:pPr>
          </w:p>
        </w:tc>
        <w:tc>
          <w:tcPr>
            <w:tcW w:w="1852" w:type="dxa"/>
            <w:vMerge w:val="restart"/>
            <w:noWrap w:val="0"/>
            <w:vAlign w:val="top"/>
          </w:tcPr>
          <w:p>
            <w:pPr>
              <w:pStyle w:val="30"/>
              <w:rPr>
                <w:sz w:val="20"/>
              </w:rPr>
            </w:pPr>
          </w:p>
          <w:p>
            <w:pPr>
              <w:pStyle w:val="30"/>
              <w:rPr>
                <w:sz w:val="20"/>
              </w:rPr>
            </w:pPr>
            <w:r>
              <w:rPr>
                <w:sz w:val="20"/>
              </w:rPr>
              <w:t>噻虫胺、铅( 以Pb</w:t>
            </w:r>
          </w:p>
          <w:p>
            <w:pPr>
              <w:pStyle w:val="30"/>
              <w:rPr>
                <w:sz w:val="20"/>
              </w:rPr>
            </w:pPr>
            <w:r>
              <w:rPr>
                <w:sz w:val="20"/>
              </w:rPr>
              <w:t>计)、 噻虫嗪</w:t>
            </w:r>
            <w:r>
              <w:rPr>
                <w:rFonts w:hint="eastAsia"/>
                <w:sz w:val="20"/>
              </w:rPr>
              <w:t>、毒死蜱</w:t>
            </w:r>
          </w:p>
        </w:tc>
        <w:tc>
          <w:tcPr>
            <w:tcW w:w="5387" w:type="dxa"/>
            <w:tcBorders>
              <w:bottom w:val="nil"/>
            </w:tcBorders>
            <w:noWrap w:val="0"/>
            <w:vAlign w:val="top"/>
          </w:tcPr>
          <w:p>
            <w:pPr>
              <w:pStyle w:val="30"/>
              <w:rPr>
                <w:sz w:val="20"/>
              </w:rPr>
            </w:pPr>
            <w:r>
              <w:rPr>
                <w:sz w:val="20"/>
              </w:rPr>
              <w:t>吡虫啉、毒死蜱、敌敌畏、镉( 以Cd计) 、甲拌磷、</w:t>
            </w:r>
          </w:p>
        </w:tc>
        <w:tc>
          <w:tcPr>
            <w:tcW w:w="875" w:type="dxa"/>
            <w:vMerge w:val="restart"/>
            <w:noWrap w:val="0"/>
            <w:vAlign w:val="top"/>
          </w:tcPr>
          <w:p>
            <w:pPr>
              <w:pStyle w:val="30"/>
              <w:rPr>
                <w:b/>
                <w:bCs/>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681" w:type="dxa"/>
            <w:vMerge w:val="continue"/>
            <w:noWrap w:val="0"/>
            <w:vAlign w:val="top"/>
          </w:tcPr>
          <w:p>
            <w:pPr>
              <w:pStyle w:val="30"/>
              <w:rPr>
                <w:rFonts w:ascii="Times New Roman"/>
                <w:b/>
                <w:bCs/>
                <w:sz w:val="18"/>
              </w:rPr>
            </w:pPr>
          </w:p>
        </w:tc>
        <w:tc>
          <w:tcPr>
            <w:tcW w:w="951" w:type="dxa"/>
            <w:vMerge w:val="continue"/>
            <w:noWrap w:val="0"/>
            <w:vAlign w:val="top"/>
          </w:tcPr>
          <w:p>
            <w:pPr>
              <w:pStyle w:val="30"/>
              <w:rPr>
                <w:sz w:val="20"/>
              </w:rPr>
            </w:pPr>
          </w:p>
        </w:tc>
        <w:tc>
          <w:tcPr>
            <w:tcW w:w="1159" w:type="dxa"/>
            <w:vMerge w:val="continue"/>
            <w:noWrap w:val="0"/>
            <w:vAlign w:val="center"/>
          </w:tcPr>
          <w:p>
            <w:pPr>
              <w:pStyle w:val="30"/>
              <w:jc w:val="center"/>
              <w:rPr>
                <w:sz w:val="20"/>
              </w:rPr>
            </w:pPr>
          </w:p>
        </w:tc>
        <w:tc>
          <w:tcPr>
            <w:tcW w:w="1519" w:type="dxa"/>
            <w:tcBorders>
              <w:top w:val="nil"/>
              <w:bottom w:val="single" w:color="auto" w:sz="4" w:space="0"/>
            </w:tcBorders>
            <w:noWrap w:val="0"/>
            <w:vAlign w:val="top"/>
          </w:tcPr>
          <w:p>
            <w:pPr>
              <w:pStyle w:val="30"/>
              <w:ind w:firstLine="400" w:firstLineChars="200"/>
              <w:rPr>
                <w:sz w:val="20"/>
              </w:rPr>
            </w:pPr>
            <w:r>
              <w:rPr>
                <w:sz w:val="20"/>
              </w:rPr>
              <w:t>姜</w:t>
            </w:r>
          </w:p>
        </w:tc>
        <w:tc>
          <w:tcPr>
            <w:tcW w:w="951" w:type="dxa"/>
            <w:tcBorders>
              <w:top w:val="nil"/>
              <w:bottom w:val="single" w:color="auto" w:sz="4" w:space="0"/>
            </w:tcBorders>
            <w:noWrap w:val="0"/>
            <w:vAlign w:val="top"/>
          </w:tcPr>
          <w:p>
            <w:pPr>
              <w:pStyle w:val="30"/>
              <w:ind w:firstLine="300" w:firstLineChars="150"/>
              <w:rPr>
                <w:sz w:val="20"/>
              </w:rPr>
            </w:pPr>
            <w:r>
              <w:rPr>
                <w:rFonts w:hint="eastAsia"/>
                <w:sz w:val="20"/>
              </w:rPr>
              <w:t>27</w:t>
            </w:r>
          </w:p>
        </w:tc>
        <w:tc>
          <w:tcPr>
            <w:tcW w:w="1852" w:type="dxa"/>
            <w:vMerge w:val="continue"/>
            <w:tcBorders>
              <w:top w:val="nil"/>
              <w:bottom w:val="single" w:color="auto" w:sz="4" w:space="0"/>
            </w:tcBorders>
            <w:noWrap w:val="0"/>
            <w:vAlign w:val="top"/>
          </w:tcPr>
          <w:p>
            <w:pPr>
              <w:pStyle w:val="30"/>
              <w:rPr>
                <w:sz w:val="20"/>
              </w:rPr>
            </w:pPr>
          </w:p>
        </w:tc>
        <w:tc>
          <w:tcPr>
            <w:tcW w:w="5387" w:type="dxa"/>
            <w:tcBorders>
              <w:top w:val="nil"/>
              <w:bottom w:val="single" w:color="auto" w:sz="4" w:space="0"/>
            </w:tcBorders>
            <w:noWrap w:val="0"/>
            <w:vAlign w:val="top"/>
          </w:tcPr>
          <w:p>
            <w:pPr>
              <w:pStyle w:val="30"/>
              <w:rPr>
                <w:sz w:val="20"/>
              </w:rPr>
            </w:pPr>
            <w:r>
              <w:rPr>
                <w:sz w:val="20"/>
              </w:rPr>
              <w:t>克百威、六六 六、氯氟氰菊酯和高效氯氟菊酯、氯氰菊酯和高效氯氰菊酯、氯唑磷、 水胺硫磷、氧乐果、</w:t>
            </w:r>
          </w:p>
        </w:tc>
        <w:tc>
          <w:tcPr>
            <w:tcW w:w="875" w:type="dxa"/>
            <w:vMerge w:val="continue"/>
            <w:tcBorders>
              <w:top w:val="nil"/>
              <w:bottom w:val="single" w:color="auto" w:sz="4" w:space="0"/>
            </w:tcBorders>
            <w:noWrap w:val="0"/>
            <w:vAlign w:val="top"/>
          </w:tcPr>
          <w:p>
            <w:pPr>
              <w:pStyle w:val="30"/>
              <w:rPr>
                <w:b/>
                <w:bCs/>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681" w:type="dxa"/>
            <w:vMerge w:val="continue"/>
            <w:noWrap w:val="0"/>
            <w:vAlign w:val="top"/>
          </w:tcPr>
          <w:p>
            <w:pPr>
              <w:pStyle w:val="30"/>
              <w:rPr>
                <w:rFonts w:ascii="Times New Roman"/>
                <w:b/>
                <w:bCs/>
                <w:sz w:val="18"/>
              </w:rPr>
            </w:pPr>
          </w:p>
        </w:tc>
        <w:tc>
          <w:tcPr>
            <w:tcW w:w="951" w:type="dxa"/>
            <w:vMerge w:val="continue"/>
            <w:noWrap w:val="0"/>
            <w:vAlign w:val="top"/>
          </w:tcPr>
          <w:p>
            <w:pPr>
              <w:pStyle w:val="30"/>
              <w:rPr>
                <w:sz w:val="20"/>
              </w:rPr>
            </w:pPr>
          </w:p>
        </w:tc>
        <w:tc>
          <w:tcPr>
            <w:tcW w:w="1159" w:type="dxa"/>
            <w:vMerge w:val="continue"/>
            <w:noWrap w:val="0"/>
            <w:vAlign w:val="top"/>
          </w:tcPr>
          <w:p>
            <w:pPr>
              <w:pStyle w:val="30"/>
              <w:rPr>
                <w:sz w:val="20"/>
              </w:rPr>
            </w:pPr>
          </w:p>
        </w:tc>
        <w:tc>
          <w:tcPr>
            <w:tcW w:w="1519" w:type="dxa"/>
            <w:tcBorders>
              <w:top w:val="single" w:color="auto" w:sz="4" w:space="0"/>
              <w:bottom w:val="single" w:color="auto" w:sz="4" w:space="0"/>
              <w:right w:val="single" w:color="auto" w:sz="4" w:space="0"/>
            </w:tcBorders>
            <w:noWrap w:val="0"/>
            <w:vAlign w:val="top"/>
          </w:tcPr>
          <w:p>
            <w:pPr>
              <w:pStyle w:val="30"/>
              <w:ind w:firstLine="400" w:firstLineChars="200"/>
              <w:rPr>
                <w:sz w:val="20"/>
              </w:rPr>
            </w:pPr>
            <w:r>
              <w:rPr>
                <w:rFonts w:hint="eastAsia"/>
                <w:sz w:val="20"/>
              </w:rPr>
              <w:t>山药</w:t>
            </w:r>
          </w:p>
        </w:tc>
        <w:tc>
          <w:tcPr>
            <w:tcW w:w="951" w:type="dxa"/>
            <w:tcBorders>
              <w:top w:val="single" w:color="auto" w:sz="4" w:space="0"/>
              <w:left w:val="single" w:color="auto" w:sz="4" w:space="0"/>
              <w:bottom w:val="single" w:color="auto" w:sz="4" w:space="0"/>
              <w:right w:val="single" w:color="auto" w:sz="4" w:space="0"/>
            </w:tcBorders>
            <w:noWrap w:val="0"/>
            <w:vAlign w:val="top"/>
          </w:tcPr>
          <w:p>
            <w:pPr>
              <w:pStyle w:val="30"/>
              <w:ind w:firstLine="300" w:firstLineChars="150"/>
              <w:rPr>
                <w:rFonts w:hint="eastAsia"/>
                <w:sz w:val="20"/>
              </w:rPr>
            </w:pPr>
            <w:r>
              <w:rPr>
                <w:rFonts w:hint="eastAsia"/>
                <w:sz w:val="20"/>
              </w:rPr>
              <w:t>5</w:t>
            </w:r>
          </w:p>
        </w:tc>
        <w:tc>
          <w:tcPr>
            <w:tcW w:w="1852" w:type="dxa"/>
            <w:tcBorders>
              <w:top w:val="single" w:color="auto" w:sz="4" w:space="0"/>
              <w:left w:val="single" w:color="auto" w:sz="4" w:space="0"/>
              <w:bottom w:val="single" w:color="auto" w:sz="4" w:space="0"/>
              <w:right w:val="single" w:color="auto" w:sz="4" w:space="0"/>
            </w:tcBorders>
            <w:noWrap w:val="0"/>
            <w:vAlign w:val="top"/>
          </w:tcPr>
          <w:p>
            <w:pPr>
              <w:pStyle w:val="30"/>
              <w:rPr>
                <w:sz w:val="20"/>
              </w:rPr>
            </w:pPr>
            <w:r>
              <w:rPr>
                <w:sz w:val="20"/>
              </w:rPr>
              <w:t>咪鲜胺和咪鲜胺锰盐</w:t>
            </w:r>
          </w:p>
          <w:p>
            <w:pPr>
              <w:pStyle w:val="30"/>
              <w:rPr>
                <w:sz w:val="20"/>
              </w:rPr>
            </w:pPr>
          </w:p>
        </w:tc>
        <w:tc>
          <w:tcPr>
            <w:tcW w:w="5387" w:type="dxa"/>
            <w:tcBorders>
              <w:top w:val="single" w:color="auto" w:sz="4" w:space="0"/>
              <w:left w:val="single" w:color="auto" w:sz="4" w:space="0"/>
              <w:bottom w:val="single" w:color="auto" w:sz="4" w:space="0"/>
              <w:right w:val="single" w:color="auto" w:sz="4" w:space="0"/>
            </w:tcBorders>
            <w:noWrap w:val="0"/>
            <w:vAlign w:val="top"/>
          </w:tcPr>
          <w:p>
            <w:pPr>
              <w:pStyle w:val="30"/>
              <w:rPr>
                <w:sz w:val="20"/>
              </w:rPr>
            </w:pPr>
            <w:r>
              <w:rPr>
                <w:sz w:val="20"/>
              </w:rPr>
              <w:t xml:space="preserve">毒死蜱、 </w:t>
            </w:r>
            <w:r>
              <w:rPr>
                <w:rFonts w:hint="eastAsia"/>
                <w:sz w:val="20"/>
              </w:rPr>
              <w:t xml:space="preserve">克百威、 涕灭威 </w:t>
            </w:r>
          </w:p>
          <w:p>
            <w:pPr>
              <w:pStyle w:val="30"/>
              <w:rPr>
                <w:sz w:val="20"/>
              </w:rPr>
            </w:pPr>
          </w:p>
        </w:tc>
        <w:tc>
          <w:tcPr>
            <w:tcW w:w="875" w:type="dxa"/>
            <w:tcBorders>
              <w:top w:val="single" w:color="auto" w:sz="4" w:space="0"/>
              <w:left w:val="single" w:color="auto" w:sz="4" w:space="0"/>
              <w:bottom w:val="single" w:color="auto" w:sz="4" w:space="0"/>
              <w:right w:val="single" w:color="auto" w:sz="4" w:space="0"/>
            </w:tcBorders>
            <w:noWrap w:val="0"/>
            <w:vAlign w:val="top"/>
          </w:tcPr>
          <w:p>
            <w:pPr>
              <w:pStyle w:val="30"/>
              <w:rPr>
                <w:b/>
                <w:bCs/>
                <w:sz w:val="20"/>
              </w:rPr>
            </w:pPr>
          </w:p>
        </w:tc>
      </w:tr>
    </w:tbl>
    <w:p>
      <w:pPr>
        <w:rPr>
          <w:b/>
          <w:bCs/>
          <w:sz w:val="2"/>
          <w:szCs w:val="2"/>
        </w:rPr>
      </w:pPr>
    </w:p>
    <w:p>
      <w:pPr>
        <w:rPr>
          <w:sz w:val="2"/>
          <w:szCs w:val="2"/>
        </w:rPr>
        <w:sectPr>
          <w:headerReference r:id="rId4" w:type="default"/>
          <w:type w:val="nextColumn"/>
          <w:pgSz w:w="16840" w:h="11907" w:orient="landscape"/>
          <w:pgMar w:top="1418" w:right="1418" w:bottom="1134" w:left="1418" w:header="720" w:footer="720" w:gutter="0"/>
          <w:cols w:space="720" w:num="1"/>
        </w:sectPr>
      </w:pPr>
    </w:p>
    <w:tbl>
      <w:tblPr>
        <w:tblStyle w:val="14"/>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5"/>
        <w:gridCol w:w="950"/>
        <w:gridCol w:w="1150"/>
        <w:gridCol w:w="1475"/>
        <w:gridCol w:w="1000"/>
        <w:gridCol w:w="1825"/>
        <w:gridCol w:w="5450"/>
        <w:gridCol w:w="11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625" w:type="dxa"/>
            <w:noWrap w:val="0"/>
            <w:vAlign w:val="top"/>
          </w:tcPr>
          <w:p>
            <w:pPr>
              <w:pStyle w:val="30"/>
              <w:spacing w:before="10"/>
              <w:rPr>
                <w:b/>
                <w:sz w:val="24"/>
              </w:rPr>
            </w:pPr>
          </w:p>
          <w:p>
            <w:pPr>
              <w:pStyle w:val="30"/>
              <w:ind w:left="136" w:right="48"/>
              <w:jc w:val="center"/>
              <w:rPr>
                <w:sz w:val="20"/>
              </w:rPr>
            </w:pPr>
            <w:r>
              <w:rPr>
                <w:spacing w:val="-5"/>
                <w:sz w:val="20"/>
              </w:rPr>
              <w:t>序列</w:t>
            </w:r>
          </w:p>
        </w:tc>
        <w:tc>
          <w:tcPr>
            <w:tcW w:w="950" w:type="dxa"/>
            <w:noWrap w:val="0"/>
            <w:vAlign w:val="top"/>
          </w:tcPr>
          <w:p>
            <w:pPr>
              <w:pStyle w:val="30"/>
              <w:spacing w:before="176" w:line="273" w:lineRule="auto"/>
              <w:ind w:left="185" w:right="61" w:hanging="101"/>
              <w:rPr>
                <w:sz w:val="20"/>
              </w:rPr>
            </w:pPr>
            <w:r>
              <w:rPr>
                <w:spacing w:val="-4"/>
                <w:sz w:val="20"/>
              </w:rPr>
              <w:t xml:space="preserve">食品亚类 </w:t>
            </w:r>
            <w:r>
              <w:rPr>
                <w:spacing w:val="1"/>
                <w:sz w:val="20"/>
              </w:rPr>
              <w:t>(二级)</w:t>
            </w:r>
          </w:p>
        </w:tc>
        <w:tc>
          <w:tcPr>
            <w:tcW w:w="1150" w:type="dxa"/>
            <w:noWrap w:val="0"/>
            <w:vAlign w:val="top"/>
          </w:tcPr>
          <w:p>
            <w:pPr>
              <w:pStyle w:val="30"/>
              <w:spacing w:before="8"/>
              <w:rPr>
                <w:sz w:val="14"/>
              </w:rPr>
            </w:pPr>
          </w:p>
          <w:p>
            <w:pPr>
              <w:pStyle w:val="30"/>
              <w:spacing w:line="271" w:lineRule="auto"/>
              <w:ind w:left="245" w:right="182" w:hanging="99"/>
              <w:rPr>
                <w:sz w:val="20"/>
              </w:rPr>
            </w:pPr>
            <w:r>
              <w:rPr>
                <w:spacing w:val="-4"/>
                <w:sz w:val="20"/>
              </w:rPr>
              <w:t xml:space="preserve">食品品种 </w:t>
            </w:r>
            <w:r>
              <w:rPr>
                <w:spacing w:val="2"/>
                <w:sz w:val="20"/>
              </w:rPr>
              <w:t>(三级)</w:t>
            </w:r>
          </w:p>
        </w:tc>
        <w:tc>
          <w:tcPr>
            <w:tcW w:w="1475" w:type="dxa"/>
            <w:noWrap w:val="0"/>
            <w:vAlign w:val="top"/>
          </w:tcPr>
          <w:p>
            <w:pPr>
              <w:pStyle w:val="30"/>
              <w:spacing w:before="6"/>
              <w:rPr>
                <w:sz w:val="14"/>
              </w:rPr>
            </w:pPr>
          </w:p>
          <w:p>
            <w:pPr>
              <w:pStyle w:val="30"/>
              <w:spacing w:line="266" w:lineRule="auto"/>
              <w:ind w:left="437" w:right="334" w:hanging="101"/>
              <w:rPr>
                <w:sz w:val="20"/>
              </w:rPr>
            </w:pPr>
            <w:r>
              <w:rPr>
                <w:spacing w:val="-4"/>
                <w:sz w:val="20"/>
              </w:rPr>
              <w:t xml:space="preserve">食品细类 </w:t>
            </w:r>
            <w:r>
              <w:rPr>
                <w:spacing w:val="1"/>
                <w:sz w:val="20"/>
              </w:rPr>
              <w:t>(四级)</w:t>
            </w:r>
          </w:p>
        </w:tc>
        <w:tc>
          <w:tcPr>
            <w:tcW w:w="1000" w:type="dxa"/>
            <w:noWrap w:val="0"/>
            <w:vAlign w:val="top"/>
          </w:tcPr>
          <w:p>
            <w:pPr>
              <w:pStyle w:val="30"/>
              <w:spacing w:before="7"/>
              <w:rPr>
                <w:sz w:val="24"/>
              </w:rPr>
            </w:pPr>
          </w:p>
          <w:p>
            <w:pPr>
              <w:pStyle w:val="30"/>
              <w:ind w:left="107" w:right="67"/>
              <w:jc w:val="center"/>
              <w:rPr>
                <w:sz w:val="20"/>
              </w:rPr>
            </w:pPr>
            <w:r>
              <w:rPr>
                <w:spacing w:val="-7"/>
                <w:sz w:val="20"/>
              </w:rPr>
              <w:t>抽检批次</w:t>
            </w:r>
          </w:p>
        </w:tc>
        <w:tc>
          <w:tcPr>
            <w:tcW w:w="1825" w:type="dxa"/>
            <w:noWrap w:val="0"/>
            <w:vAlign w:val="top"/>
          </w:tcPr>
          <w:p>
            <w:pPr>
              <w:pStyle w:val="30"/>
              <w:spacing w:before="5"/>
              <w:rPr>
                <w:sz w:val="24"/>
              </w:rPr>
            </w:pPr>
          </w:p>
          <w:p>
            <w:pPr>
              <w:pStyle w:val="30"/>
              <w:ind w:right="462"/>
              <w:jc w:val="right"/>
              <w:rPr>
                <w:sz w:val="20"/>
              </w:rPr>
            </w:pPr>
            <w:r>
              <w:rPr>
                <w:spacing w:val="-3"/>
                <w:sz w:val="20"/>
              </w:rPr>
              <w:t>必检项目</w:t>
            </w:r>
          </w:p>
        </w:tc>
        <w:tc>
          <w:tcPr>
            <w:tcW w:w="5450" w:type="dxa"/>
            <w:noWrap w:val="0"/>
            <w:vAlign w:val="top"/>
          </w:tcPr>
          <w:p>
            <w:pPr>
              <w:pStyle w:val="30"/>
              <w:spacing w:before="7"/>
              <w:rPr>
                <w:sz w:val="24"/>
              </w:rPr>
            </w:pPr>
          </w:p>
          <w:p>
            <w:pPr>
              <w:pStyle w:val="30"/>
              <w:ind w:left="2336" w:right="1921"/>
              <w:jc w:val="center"/>
              <w:rPr>
                <w:sz w:val="20"/>
              </w:rPr>
            </w:pPr>
            <w:r>
              <w:rPr>
                <w:spacing w:val="-3"/>
                <w:sz w:val="20"/>
              </w:rPr>
              <w:t>自选项目</w:t>
            </w:r>
          </w:p>
        </w:tc>
        <w:tc>
          <w:tcPr>
            <w:tcW w:w="1100" w:type="dxa"/>
            <w:noWrap w:val="0"/>
            <w:vAlign w:val="top"/>
          </w:tcPr>
          <w:p>
            <w:pPr>
              <w:pStyle w:val="30"/>
              <w:spacing w:before="8"/>
              <w:rPr>
                <w:sz w:val="23"/>
              </w:rPr>
            </w:pPr>
          </w:p>
          <w:p>
            <w:pPr>
              <w:pStyle w:val="30"/>
              <w:ind w:left="349"/>
              <w:rPr>
                <w:sz w:val="20"/>
              </w:rPr>
            </w:pPr>
            <w:r>
              <w:rPr>
                <w:spacing w:val="-6"/>
                <w:sz w:val="2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1" w:hRule="atLeast"/>
        </w:trPr>
        <w:tc>
          <w:tcPr>
            <w:tcW w:w="625" w:type="dxa"/>
            <w:vMerge w:val="restart"/>
            <w:noWrap w:val="0"/>
            <w:vAlign w:val="center"/>
          </w:tcPr>
          <w:p>
            <w:pPr>
              <w:pStyle w:val="30"/>
              <w:jc w:val="center"/>
              <w:rPr>
                <w:b/>
                <w:sz w:val="20"/>
              </w:rPr>
            </w:pPr>
            <w:r>
              <w:rPr>
                <w:b/>
                <w:sz w:val="20"/>
              </w:rPr>
              <w:t>3</w:t>
            </w:r>
          </w:p>
        </w:tc>
        <w:tc>
          <w:tcPr>
            <w:tcW w:w="950" w:type="dxa"/>
            <w:tcBorders>
              <w:bottom w:val="nil"/>
            </w:tcBorders>
            <w:noWrap w:val="0"/>
            <w:vAlign w:val="top"/>
          </w:tcPr>
          <w:p>
            <w:pPr>
              <w:pStyle w:val="30"/>
              <w:rPr>
                <w:sz w:val="20"/>
              </w:rPr>
            </w:pPr>
          </w:p>
          <w:p>
            <w:pPr>
              <w:pStyle w:val="30"/>
              <w:rPr>
                <w:sz w:val="20"/>
              </w:rPr>
            </w:pPr>
          </w:p>
          <w:p>
            <w:pPr>
              <w:pStyle w:val="30"/>
              <w:rPr>
                <w:sz w:val="20"/>
              </w:rPr>
            </w:pPr>
          </w:p>
          <w:p>
            <w:pPr>
              <w:pStyle w:val="30"/>
              <w:rPr>
                <w:sz w:val="20"/>
              </w:rPr>
            </w:pPr>
          </w:p>
        </w:tc>
        <w:tc>
          <w:tcPr>
            <w:tcW w:w="1150" w:type="dxa"/>
            <w:tcBorders>
              <w:bottom w:val="nil"/>
            </w:tcBorders>
            <w:noWrap w:val="0"/>
            <w:vAlign w:val="top"/>
          </w:tcPr>
          <w:p>
            <w:pPr>
              <w:pStyle w:val="30"/>
              <w:rPr>
                <w:sz w:val="20"/>
              </w:rPr>
            </w:pPr>
          </w:p>
        </w:tc>
        <w:tc>
          <w:tcPr>
            <w:tcW w:w="1475" w:type="dxa"/>
            <w:tcBorders>
              <w:bottom w:val="nil"/>
            </w:tcBorders>
            <w:noWrap w:val="0"/>
            <w:vAlign w:val="top"/>
          </w:tcPr>
          <w:p>
            <w:pPr>
              <w:pStyle w:val="30"/>
              <w:rPr>
                <w:sz w:val="20"/>
              </w:rPr>
            </w:pPr>
          </w:p>
          <w:p>
            <w:pPr>
              <w:pStyle w:val="30"/>
              <w:rPr>
                <w:sz w:val="20"/>
              </w:rPr>
            </w:pPr>
          </w:p>
          <w:p>
            <w:pPr>
              <w:pStyle w:val="30"/>
              <w:rPr>
                <w:sz w:val="20"/>
              </w:rPr>
            </w:pPr>
          </w:p>
          <w:p>
            <w:pPr>
              <w:pStyle w:val="30"/>
              <w:ind w:firstLine="400" w:firstLineChars="200"/>
              <w:rPr>
                <w:sz w:val="20"/>
              </w:rPr>
            </w:pPr>
            <w:r>
              <w:rPr>
                <w:sz w:val="20"/>
              </w:rPr>
              <w:t>淡水鱼</w:t>
            </w:r>
          </w:p>
        </w:tc>
        <w:tc>
          <w:tcPr>
            <w:tcW w:w="1000" w:type="dxa"/>
            <w:tcBorders>
              <w:bottom w:val="nil"/>
            </w:tcBorders>
            <w:noWrap w:val="0"/>
            <w:vAlign w:val="top"/>
          </w:tcPr>
          <w:p>
            <w:pPr>
              <w:pStyle w:val="30"/>
              <w:rPr>
                <w:sz w:val="20"/>
              </w:rPr>
            </w:pPr>
          </w:p>
          <w:p>
            <w:pPr>
              <w:pStyle w:val="30"/>
              <w:rPr>
                <w:sz w:val="20"/>
              </w:rPr>
            </w:pPr>
          </w:p>
          <w:p>
            <w:pPr>
              <w:pStyle w:val="30"/>
              <w:rPr>
                <w:sz w:val="20"/>
              </w:rPr>
            </w:pPr>
          </w:p>
          <w:p>
            <w:pPr>
              <w:pStyle w:val="30"/>
              <w:ind w:firstLine="300" w:firstLineChars="150"/>
              <w:rPr>
                <w:sz w:val="20"/>
              </w:rPr>
            </w:pPr>
            <w:r>
              <w:rPr>
                <w:rFonts w:hint="eastAsia"/>
                <w:sz w:val="20"/>
              </w:rPr>
              <w:t>28</w:t>
            </w:r>
          </w:p>
        </w:tc>
        <w:tc>
          <w:tcPr>
            <w:tcW w:w="1825" w:type="dxa"/>
            <w:tcBorders>
              <w:bottom w:val="nil"/>
            </w:tcBorders>
            <w:noWrap w:val="0"/>
            <w:vAlign w:val="top"/>
          </w:tcPr>
          <w:p>
            <w:pPr>
              <w:pStyle w:val="30"/>
              <w:rPr>
                <w:sz w:val="20"/>
              </w:rPr>
            </w:pPr>
            <w:r>
              <w:rPr>
                <w:sz w:val="20"/>
              </w:rPr>
              <w:t>恩诺沙星、孔雀石绿、地西泮</w:t>
            </w:r>
          </w:p>
        </w:tc>
        <w:tc>
          <w:tcPr>
            <w:tcW w:w="5450" w:type="dxa"/>
            <w:tcBorders>
              <w:bottom w:val="nil"/>
            </w:tcBorders>
            <w:noWrap w:val="0"/>
            <w:vAlign w:val="top"/>
          </w:tcPr>
          <w:p>
            <w:pPr>
              <w:pStyle w:val="30"/>
              <w:rPr>
                <w:sz w:val="20"/>
              </w:rPr>
            </w:pPr>
            <w:r>
              <w:rPr>
                <w:sz w:val="20"/>
              </w:rPr>
              <w:t>挥发性盐基氮、多氯联苯、氯霉素、氟苯尼考、呋喃唑酮代谢物、呋 喃西林代谢物、呋喃妥因代谢物、磺胺类(总量)、甲氧苄啶、甲硝 唑、氧氟沙星、诺氟沙星</w:t>
            </w:r>
          </w:p>
          <w:p>
            <w:pPr>
              <w:pStyle w:val="30"/>
              <w:rPr>
                <w:sz w:val="20"/>
              </w:rPr>
            </w:pPr>
            <w:r>
              <w:rPr>
                <w:sz w:val="20"/>
              </w:rPr>
              <w:t>、培氟沙星</w:t>
            </w:r>
          </w:p>
        </w:tc>
        <w:tc>
          <w:tcPr>
            <w:tcW w:w="1100" w:type="dxa"/>
            <w:noWrap w:val="0"/>
            <w:vAlign w:val="top"/>
          </w:tcPr>
          <w:p>
            <w:pPr>
              <w:pStyle w:val="3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625" w:type="dxa"/>
            <w:vMerge w:val="continue"/>
            <w:noWrap w:val="0"/>
            <w:vAlign w:val="top"/>
          </w:tcPr>
          <w:p>
            <w:pPr>
              <w:pStyle w:val="30"/>
              <w:rPr>
                <w:b/>
                <w:sz w:val="20"/>
              </w:rPr>
            </w:pPr>
          </w:p>
        </w:tc>
        <w:tc>
          <w:tcPr>
            <w:tcW w:w="950" w:type="dxa"/>
            <w:tcBorders>
              <w:top w:val="nil"/>
              <w:bottom w:val="nil"/>
            </w:tcBorders>
            <w:noWrap w:val="0"/>
            <w:vAlign w:val="top"/>
          </w:tcPr>
          <w:p>
            <w:pPr>
              <w:pStyle w:val="30"/>
              <w:jc w:val="center"/>
              <w:rPr>
                <w:sz w:val="20"/>
              </w:rPr>
            </w:pPr>
            <w:r>
              <w:rPr>
                <w:sz w:val="20"/>
              </w:rPr>
              <w:t>水产品</w:t>
            </w:r>
          </w:p>
        </w:tc>
        <w:tc>
          <w:tcPr>
            <w:tcW w:w="1150" w:type="dxa"/>
            <w:tcBorders>
              <w:top w:val="nil"/>
              <w:bottom w:val="nil"/>
            </w:tcBorders>
            <w:noWrap w:val="0"/>
            <w:vAlign w:val="top"/>
          </w:tcPr>
          <w:p>
            <w:pPr>
              <w:pStyle w:val="30"/>
              <w:rPr>
                <w:sz w:val="20"/>
              </w:rPr>
            </w:pPr>
          </w:p>
        </w:tc>
        <w:tc>
          <w:tcPr>
            <w:tcW w:w="1475" w:type="dxa"/>
            <w:tcBorders>
              <w:bottom w:val="nil"/>
            </w:tcBorders>
            <w:noWrap w:val="0"/>
            <w:vAlign w:val="top"/>
          </w:tcPr>
          <w:p>
            <w:pPr>
              <w:pStyle w:val="30"/>
              <w:rPr>
                <w:sz w:val="20"/>
              </w:rPr>
            </w:pPr>
          </w:p>
        </w:tc>
        <w:tc>
          <w:tcPr>
            <w:tcW w:w="1000" w:type="dxa"/>
            <w:tcBorders>
              <w:bottom w:val="nil"/>
            </w:tcBorders>
            <w:noWrap w:val="0"/>
            <w:vAlign w:val="top"/>
          </w:tcPr>
          <w:p>
            <w:pPr>
              <w:pStyle w:val="30"/>
              <w:rPr>
                <w:sz w:val="20"/>
              </w:rPr>
            </w:pPr>
          </w:p>
        </w:tc>
        <w:tc>
          <w:tcPr>
            <w:tcW w:w="1825" w:type="dxa"/>
            <w:tcBorders>
              <w:bottom w:val="nil"/>
            </w:tcBorders>
            <w:noWrap w:val="0"/>
            <w:vAlign w:val="top"/>
          </w:tcPr>
          <w:p>
            <w:pPr>
              <w:pStyle w:val="30"/>
              <w:rPr>
                <w:sz w:val="20"/>
              </w:rPr>
            </w:pPr>
          </w:p>
        </w:tc>
        <w:tc>
          <w:tcPr>
            <w:tcW w:w="5450" w:type="dxa"/>
            <w:tcBorders>
              <w:bottom w:val="nil"/>
            </w:tcBorders>
            <w:noWrap w:val="0"/>
            <w:vAlign w:val="top"/>
          </w:tcPr>
          <w:p>
            <w:pPr>
              <w:pStyle w:val="30"/>
              <w:rPr>
                <w:sz w:val="20"/>
              </w:rPr>
            </w:pPr>
            <w:r>
              <w:rPr>
                <w:sz w:val="20"/>
              </w:rPr>
              <w:t>镉( 以Cd计) 、孔雀石绿、氯霉素、呋喃唑酮代谢物</w:t>
            </w:r>
          </w:p>
        </w:tc>
        <w:tc>
          <w:tcPr>
            <w:tcW w:w="1100" w:type="dxa"/>
            <w:vMerge w:val="restart"/>
            <w:noWrap w:val="0"/>
            <w:vAlign w:val="top"/>
          </w:tcPr>
          <w:p>
            <w:pPr>
              <w:pStyle w:val="3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25" w:type="dxa"/>
            <w:vMerge w:val="continue"/>
            <w:noWrap w:val="0"/>
            <w:vAlign w:val="top"/>
          </w:tcPr>
          <w:p>
            <w:pPr>
              <w:pStyle w:val="30"/>
              <w:rPr>
                <w:b/>
                <w:sz w:val="20"/>
              </w:rPr>
            </w:pPr>
          </w:p>
        </w:tc>
        <w:tc>
          <w:tcPr>
            <w:tcW w:w="950" w:type="dxa"/>
            <w:tcBorders>
              <w:top w:val="nil"/>
              <w:bottom w:val="nil"/>
            </w:tcBorders>
            <w:noWrap w:val="0"/>
            <w:vAlign w:val="top"/>
          </w:tcPr>
          <w:p>
            <w:pPr>
              <w:pStyle w:val="30"/>
              <w:rPr>
                <w:sz w:val="20"/>
              </w:rPr>
            </w:pPr>
          </w:p>
        </w:tc>
        <w:tc>
          <w:tcPr>
            <w:tcW w:w="1150" w:type="dxa"/>
            <w:tcBorders>
              <w:top w:val="nil"/>
              <w:bottom w:val="nil"/>
            </w:tcBorders>
            <w:noWrap w:val="0"/>
            <w:vAlign w:val="top"/>
          </w:tcPr>
          <w:p>
            <w:pPr>
              <w:pStyle w:val="30"/>
              <w:rPr>
                <w:sz w:val="20"/>
              </w:rPr>
            </w:pPr>
          </w:p>
        </w:tc>
        <w:tc>
          <w:tcPr>
            <w:tcW w:w="1475" w:type="dxa"/>
            <w:tcBorders>
              <w:top w:val="nil"/>
              <w:bottom w:val="nil"/>
            </w:tcBorders>
            <w:noWrap w:val="0"/>
            <w:vAlign w:val="top"/>
          </w:tcPr>
          <w:p>
            <w:pPr>
              <w:pStyle w:val="30"/>
              <w:rPr>
                <w:sz w:val="20"/>
              </w:rPr>
            </w:pPr>
          </w:p>
        </w:tc>
        <w:tc>
          <w:tcPr>
            <w:tcW w:w="1000" w:type="dxa"/>
            <w:tcBorders>
              <w:top w:val="nil"/>
              <w:bottom w:val="nil"/>
            </w:tcBorders>
            <w:noWrap w:val="0"/>
            <w:vAlign w:val="top"/>
          </w:tcPr>
          <w:p>
            <w:pPr>
              <w:pStyle w:val="30"/>
              <w:rPr>
                <w:sz w:val="20"/>
              </w:rPr>
            </w:pPr>
          </w:p>
        </w:tc>
        <w:tc>
          <w:tcPr>
            <w:tcW w:w="1825" w:type="dxa"/>
            <w:tcBorders>
              <w:top w:val="nil"/>
              <w:bottom w:val="nil"/>
            </w:tcBorders>
            <w:noWrap w:val="0"/>
            <w:vAlign w:val="top"/>
          </w:tcPr>
          <w:p>
            <w:pPr>
              <w:pStyle w:val="30"/>
              <w:rPr>
                <w:sz w:val="20"/>
              </w:rPr>
            </w:pPr>
          </w:p>
        </w:tc>
        <w:tc>
          <w:tcPr>
            <w:tcW w:w="5450" w:type="dxa"/>
            <w:tcBorders>
              <w:top w:val="nil"/>
              <w:bottom w:val="nil"/>
            </w:tcBorders>
            <w:noWrap w:val="0"/>
            <w:vAlign w:val="top"/>
          </w:tcPr>
          <w:p>
            <w:pPr>
              <w:pStyle w:val="30"/>
              <w:rPr>
                <w:sz w:val="20"/>
              </w:rPr>
            </w:pPr>
            <w:r>
              <w:rPr>
                <w:sz w:val="20"/>
              </w:rPr>
              <w:t>、呋喃妥因代 谢物、土霉素/ 金霉素/ 四环素( 组合</w:t>
            </w:r>
          </w:p>
        </w:tc>
        <w:tc>
          <w:tcPr>
            <w:tcW w:w="1100" w:type="dxa"/>
            <w:vMerge w:val="continue"/>
            <w:tcBorders>
              <w:top w:val="nil"/>
            </w:tcBorders>
            <w:noWrap w:val="0"/>
            <w:vAlign w:val="top"/>
          </w:tcPr>
          <w:p>
            <w:pPr>
              <w:pStyle w:val="3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2" w:hRule="atLeast"/>
        </w:trPr>
        <w:tc>
          <w:tcPr>
            <w:tcW w:w="625" w:type="dxa"/>
            <w:vMerge w:val="continue"/>
            <w:noWrap w:val="0"/>
            <w:vAlign w:val="top"/>
          </w:tcPr>
          <w:p>
            <w:pPr>
              <w:pStyle w:val="30"/>
              <w:rPr>
                <w:b/>
                <w:sz w:val="20"/>
              </w:rPr>
            </w:pPr>
          </w:p>
        </w:tc>
        <w:tc>
          <w:tcPr>
            <w:tcW w:w="950" w:type="dxa"/>
            <w:tcBorders>
              <w:top w:val="nil"/>
              <w:bottom w:val="nil"/>
            </w:tcBorders>
            <w:noWrap w:val="0"/>
            <w:vAlign w:val="top"/>
          </w:tcPr>
          <w:p>
            <w:pPr>
              <w:pStyle w:val="30"/>
              <w:rPr>
                <w:sz w:val="20"/>
              </w:rPr>
            </w:pPr>
          </w:p>
        </w:tc>
        <w:tc>
          <w:tcPr>
            <w:tcW w:w="1150" w:type="dxa"/>
            <w:tcBorders>
              <w:top w:val="nil"/>
            </w:tcBorders>
            <w:noWrap w:val="0"/>
            <w:vAlign w:val="top"/>
          </w:tcPr>
          <w:p>
            <w:pPr>
              <w:pStyle w:val="30"/>
              <w:rPr>
                <w:sz w:val="20"/>
              </w:rPr>
            </w:pPr>
          </w:p>
        </w:tc>
        <w:tc>
          <w:tcPr>
            <w:tcW w:w="1475" w:type="dxa"/>
            <w:tcBorders>
              <w:top w:val="nil"/>
            </w:tcBorders>
            <w:noWrap w:val="0"/>
            <w:vAlign w:val="top"/>
          </w:tcPr>
          <w:p>
            <w:pPr>
              <w:pStyle w:val="30"/>
              <w:rPr>
                <w:sz w:val="20"/>
              </w:rPr>
            </w:pPr>
          </w:p>
          <w:p>
            <w:pPr>
              <w:pStyle w:val="30"/>
              <w:ind w:firstLine="400" w:firstLineChars="200"/>
              <w:rPr>
                <w:sz w:val="20"/>
              </w:rPr>
            </w:pPr>
            <w:r>
              <w:rPr>
                <w:sz w:val="20"/>
              </w:rPr>
              <w:t>淡水虾</w:t>
            </w:r>
          </w:p>
        </w:tc>
        <w:tc>
          <w:tcPr>
            <w:tcW w:w="1000" w:type="dxa"/>
            <w:tcBorders>
              <w:top w:val="nil"/>
            </w:tcBorders>
            <w:noWrap w:val="0"/>
            <w:vAlign w:val="top"/>
          </w:tcPr>
          <w:p>
            <w:pPr>
              <w:pStyle w:val="30"/>
              <w:rPr>
                <w:sz w:val="20"/>
              </w:rPr>
            </w:pPr>
          </w:p>
          <w:p>
            <w:pPr>
              <w:pStyle w:val="30"/>
              <w:ind w:firstLine="300" w:firstLineChars="150"/>
              <w:rPr>
                <w:sz w:val="20"/>
              </w:rPr>
            </w:pPr>
            <w:r>
              <w:rPr>
                <w:sz w:val="20"/>
              </w:rPr>
              <w:t>18</w:t>
            </w:r>
          </w:p>
        </w:tc>
        <w:tc>
          <w:tcPr>
            <w:tcW w:w="1825" w:type="dxa"/>
            <w:tcBorders>
              <w:top w:val="nil"/>
            </w:tcBorders>
            <w:noWrap w:val="0"/>
            <w:vAlign w:val="top"/>
          </w:tcPr>
          <w:p>
            <w:pPr>
              <w:pStyle w:val="30"/>
              <w:rPr>
                <w:sz w:val="20"/>
              </w:rPr>
            </w:pPr>
            <w:r>
              <w:rPr>
                <w:sz w:val="20"/>
              </w:rPr>
              <w:t>恩诺沙星</w:t>
            </w:r>
          </w:p>
        </w:tc>
        <w:tc>
          <w:tcPr>
            <w:tcW w:w="5450" w:type="dxa"/>
            <w:tcBorders>
              <w:top w:val="nil"/>
            </w:tcBorders>
            <w:noWrap w:val="0"/>
            <w:vAlign w:val="top"/>
          </w:tcPr>
          <w:p>
            <w:pPr>
              <w:pStyle w:val="30"/>
              <w:rPr>
                <w:sz w:val="20"/>
              </w:rPr>
            </w:pPr>
            <w:r>
              <w:rPr>
                <w:sz w:val="20"/>
              </w:rPr>
              <w:t>含量)、五氯酚酸钠( 以五氯酚 计)、氧氟沙星、诺氟沙星</w:t>
            </w:r>
          </w:p>
        </w:tc>
        <w:tc>
          <w:tcPr>
            <w:tcW w:w="1100" w:type="dxa"/>
            <w:vMerge w:val="continue"/>
            <w:tcBorders>
              <w:top w:val="nil"/>
            </w:tcBorders>
            <w:noWrap w:val="0"/>
            <w:vAlign w:val="top"/>
          </w:tcPr>
          <w:p>
            <w:pPr>
              <w:pStyle w:val="3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625" w:type="dxa"/>
            <w:vMerge w:val="continue"/>
            <w:noWrap w:val="0"/>
            <w:vAlign w:val="top"/>
          </w:tcPr>
          <w:p>
            <w:pPr>
              <w:pStyle w:val="30"/>
              <w:rPr>
                <w:b/>
                <w:sz w:val="20"/>
              </w:rPr>
            </w:pPr>
          </w:p>
        </w:tc>
        <w:tc>
          <w:tcPr>
            <w:tcW w:w="950" w:type="dxa"/>
            <w:tcBorders>
              <w:top w:val="nil"/>
              <w:bottom w:val="nil"/>
            </w:tcBorders>
            <w:noWrap w:val="0"/>
            <w:vAlign w:val="top"/>
          </w:tcPr>
          <w:p>
            <w:pPr>
              <w:pStyle w:val="30"/>
              <w:rPr>
                <w:sz w:val="20"/>
              </w:rPr>
            </w:pPr>
          </w:p>
        </w:tc>
        <w:tc>
          <w:tcPr>
            <w:tcW w:w="1150" w:type="dxa"/>
            <w:tcBorders>
              <w:bottom w:val="nil"/>
            </w:tcBorders>
            <w:noWrap w:val="0"/>
            <w:vAlign w:val="top"/>
          </w:tcPr>
          <w:p>
            <w:pPr>
              <w:pStyle w:val="30"/>
              <w:rPr>
                <w:sz w:val="20"/>
              </w:rPr>
            </w:pPr>
          </w:p>
        </w:tc>
        <w:tc>
          <w:tcPr>
            <w:tcW w:w="1475" w:type="dxa"/>
            <w:tcBorders>
              <w:bottom w:val="nil"/>
            </w:tcBorders>
            <w:noWrap w:val="0"/>
            <w:vAlign w:val="top"/>
          </w:tcPr>
          <w:p>
            <w:pPr>
              <w:pStyle w:val="30"/>
              <w:rPr>
                <w:sz w:val="20"/>
              </w:rPr>
            </w:pPr>
          </w:p>
        </w:tc>
        <w:tc>
          <w:tcPr>
            <w:tcW w:w="1000" w:type="dxa"/>
            <w:tcBorders>
              <w:bottom w:val="nil"/>
            </w:tcBorders>
            <w:noWrap w:val="0"/>
            <w:vAlign w:val="top"/>
          </w:tcPr>
          <w:p>
            <w:pPr>
              <w:pStyle w:val="30"/>
              <w:rPr>
                <w:sz w:val="20"/>
              </w:rPr>
            </w:pPr>
          </w:p>
        </w:tc>
        <w:tc>
          <w:tcPr>
            <w:tcW w:w="1825" w:type="dxa"/>
            <w:tcBorders>
              <w:bottom w:val="nil"/>
            </w:tcBorders>
            <w:noWrap w:val="0"/>
            <w:vAlign w:val="top"/>
          </w:tcPr>
          <w:p>
            <w:pPr>
              <w:pStyle w:val="30"/>
              <w:rPr>
                <w:sz w:val="20"/>
              </w:rPr>
            </w:pPr>
          </w:p>
        </w:tc>
        <w:tc>
          <w:tcPr>
            <w:tcW w:w="5450" w:type="dxa"/>
            <w:tcBorders>
              <w:bottom w:val="nil"/>
            </w:tcBorders>
            <w:noWrap w:val="0"/>
            <w:vAlign w:val="top"/>
          </w:tcPr>
          <w:p>
            <w:pPr>
              <w:pStyle w:val="30"/>
              <w:rPr>
                <w:sz w:val="20"/>
              </w:rPr>
            </w:pPr>
            <w:r>
              <w:rPr>
                <w:sz w:val="20"/>
              </w:rPr>
              <w:t>挥发性盐基氮、磺胺类(总量)、呋喃唑酮代谢物、氯霉</w:t>
            </w:r>
          </w:p>
        </w:tc>
        <w:tc>
          <w:tcPr>
            <w:tcW w:w="1100" w:type="dxa"/>
            <w:vMerge w:val="restart"/>
            <w:noWrap w:val="0"/>
            <w:vAlign w:val="top"/>
          </w:tcPr>
          <w:p>
            <w:pPr>
              <w:pStyle w:val="3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625" w:type="dxa"/>
            <w:vMerge w:val="continue"/>
            <w:noWrap w:val="0"/>
            <w:vAlign w:val="top"/>
          </w:tcPr>
          <w:p>
            <w:pPr>
              <w:pStyle w:val="30"/>
              <w:rPr>
                <w:b/>
                <w:sz w:val="20"/>
              </w:rPr>
            </w:pPr>
          </w:p>
        </w:tc>
        <w:tc>
          <w:tcPr>
            <w:tcW w:w="950" w:type="dxa"/>
            <w:tcBorders>
              <w:top w:val="nil"/>
              <w:bottom w:val="nil"/>
            </w:tcBorders>
            <w:noWrap w:val="0"/>
            <w:vAlign w:val="top"/>
          </w:tcPr>
          <w:p>
            <w:pPr>
              <w:pStyle w:val="30"/>
              <w:rPr>
                <w:sz w:val="20"/>
              </w:rPr>
            </w:pPr>
          </w:p>
        </w:tc>
        <w:tc>
          <w:tcPr>
            <w:tcW w:w="1150" w:type="dxa"/>
            <w:tcBorders>
              <w:top w:val="nil"/>
              <w:bottom w:val="single" w:color="000000" w:sz="4" w:space="0"/>
            </w:tcBorders>
            <w:noWrap w:val="0"/>
            <w:vAlign w:val="top"/>
          </w:tcPr>
          <w:p>
            <w:pPr>
              <w:pStyle w:val="30"/>
              <w:rPr>
                <w:sz w:val="20"/>
              </w:rPr>
            </w:pPr>
            <w:r>
              <w:rPr>
                <w:sz w:val="20"/>
              </w:rPr>
              <w:t>海水产品</w:t>
            </w:r>
          </w:p>
        </w:tc>
        <w:tc>
          <w:tcPr>
            <w:tcW w:w="1475" w:type="dxa"/>
            <w:tcBorders>
              <w:top w:val="nil"/>
              <w:bottom w:val="single" w:color="000000" w:sz="4" w:space="0"/>
            </w:tcBorders>
            <w:noWrap w:val="0"/>
            <w:vAlign w:val="top"/>
          </w:tcPr>
          <w:p>
            <w:pPr>
              <w:pStyle w:val="30"/>
              <w:ind w:firstLine="400" w:firstLineChars="200"/>
              <w:rPr>
                <w:sz w:val="20"/>
              </w:rPr>
            </w:pPr>
            <w:r>
              <w:rPr>
                <w:sz w:val="20"/>
              </w:rPr>
              <w:t>海水鱼</w:t>
            </w:r>
          </w:p>
        </w:tc>
        <w:tc>
          <w:tcPr>
            <w:tcW w:w="1000" w:type="dxa"/>
            <w:tcBorders>
              <w:top w:val="nil"/>
              <w:bottom w:val="single" w:color="000000" w:sz="4" w:space="0"/>
            </w:tcBorders>
            <w:noWrap w:val="0"/>
            <w:vAlign w:val="top"/>
          </w:tcPr>
          <w:p>
            <w:pPr>
              <w:pStyle w:val="30"/>
              <w:ind w:firstLine="300" w:firstLineChars="150"/>
              <w:rPr>
                <w:sz w:val="20"/>
              </w:rPr>
            </w:pPr>
            <w:r>
              <w:rPr>
                <w:sz w:val="20"/>
              </w:rPr>
              <w:t>3</w:t>
            </w:r>
          </w:p>
        </w:tc>
        <w:tc>
          <w:tcPr>
            <w:tcW w:w="1825" w:type="dxa"/>
            <w:tcBorders>
              <w:top w:val="nil"/>
              <w:bottom w:val="single" w:color="000000" w:sz="4" w:space="0"/>
            </w:tcBorders>
            <w:noWrap w:val="0"/>
            <w:vAlign w:val="top"/>
          </w:tcPr>
          <w:p>
            <w:pPr>
              <w:pStyle w:val="30"/>
              <w:rPr>
                <w:sz w:val="20"/>
              </w:rPr>
            </w:pPr>
            <w:r>
              <w:rPr>
                <w:sz w:val="20"/>
              </w:rPr>
              <w:t>恩诺沙星</w:t>
            </w:r>
          </w:p>
        </w:tc>
        <w:tc>
          <w:tcPr>
            <w:tcW w:w="5450" w:type="dxa"/>
            <w:tcBorders>
              <w:top w:val="nil"/>
              <w:bottom w:val="single" w:color="000000" w:sz="4" w:space="0"/>
            </w:tcBorders>
            <w:noWrap w:val="0"/>
            <w:vAlign w:val="top"/>
          </w:tcPr>
          <w:p>
            <w:pPr>
              <w:pStyle w:val="30"/>
              <w:rPr>
                <w:sz w:val="20"/>
              </w:rPr>
            </w:pPr>
            <w:r>
              <w:rPr>
                <w:sz w:val="20"/>
              </w:rPr>
              <w:t>素</w:t>
            </w:r>
          </w:p>
        </w:tc>
        <w:tc>
          <w:tcPr>
            <w:tcW w:w="1100" w:type="dxa"/>
            <w:vMerge w:val="continue"/>
            <w:tcBorders>
              <w:top w:val="nil"/>
              <w:bottom w:val="single" w:color="000000" w:sz="4" w:space="0"/>
            </w:tcBorders>
            <w:noWrap w:val="0"/>
            <w:vAlign w:val="top"/>
          </w:tcPr>
          <w:p>
            <w:pPr>
              <w:pStyle w:val="3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625" w:type="dxa"/>
            <w:vMerge w:val="continue"/>
            <w:noWrap w:val="0"/>
            <w:vAlign w:val="top"/>
          </w:tcPr>
          <w:p>
            <w:pPr>
              <w:pStyle w:val="30"/>
              <w:rPr>
                <w:b/>
                <w:sz w:val="20"/>
              </w:rPr>
            </w:pPr>
          </w:p>
        </w:tc>
        <w:tc>
          <w:tcPr>
            <w:tcW w:w="950" w:type="dxa"/>
            <w:tcBorders>
              <w:top w:val="nil"/>
            </w:tcBorders>
            <w:noWrap w:val="0"/>
            <w:vAlign w:val="top"/>
          </w:tcPr>
          <w:p>
            <w:pPr>
              <w:pStyle w:val="30"/>
              <w:rPr>
                <w:sz w:val="20"/>
              </w:rPr>
            </w:pPr>
          </w:p>
        </w:tc>
        <w:tc>
          <w:tcPr>
            <w:tcW w:w="1150" w:type="dxa"/>
            <w:tcBorders>
              <w:top w:val="single" w:color="000000" w:sz="4" w:space="0"/>
            </w:tcBorders>
            <w:noWrap w:val="0"/>
            <w:vAlign w:val="top"/>
          </w:tcPr>
          <w:p>
            <w:pPr>
              <w:pStyle w:val="30"/>
              <w:rPr>
                <w:sz w:val="20"/>
              </w:rPr>
            </w:pPr>
          </w:p>
          <w:p>
            <w:pPr>
              <w:pStyle w:val="30"/>
              <w:rPr>
                <w:sz w:val="20"/>
              </w:rPr>
            </w:pPr>
            <w:r>
              <w:rPr>
                <w:sz w:val="20"/>
              </w:rPr>
              <w:t>其他水产品</w:t>
            </w:r>
          </w:p>
        </w:tc>
        <w:tc>
          <w:tcPr>
            <w:tcW w:w="1475" w:type="dxa"/>
            <w:tcBorders>
              <w:top w:val="single" w:color="000000" w:sz="4" w:space="0"/>
            </w:tcBorders>
            <w:noWrap w:val="0"/>
            <w:vAlign w:val="top"/>
          </w:tcPr>
          <w:p>
            <w:pPr>
              <w:pStyle w:val="30"/>
              <w:rPr>
                <w:sz w:val="20"/>
              </w:rPr>
            </w:pPr>
            <w:r>
              <w:rPr>
                <w:sz w:val="20"/>
              </w:rPr>
              <w:t>其他水产品(重点品种：牛蛙)</w:t>
            </w:r>
          </w:p>
        </w:tc>
        <w:tc>
          <w:tcPr>
            <w:tcW w:w="1000" w:type="dxa"/>
            <w:tcBorders>
              <w:top w:val="single" w:color="000000" w:sz="4" w:space="0"/>
            </w:tcBorders>
            <w:noWrap w:val="0"/>
            <w:vAlign w:val="top"/>
          </w:tcPr>
          <w:p>
            <w:pPr>
              <w:pStyle w:val="30"/>
              <w:rPr>
                <w:sz w:val="20"/>
              </w:rPr>
            </w:pPr>
          </w:p>
          <w:p>
            <w:pPr>
              <w:pStyle w:val="30"/>
              <w:ind w:firstLine="300" w:firstLineChars="150"/>
              <w:rPr>
                <w:sz w:val="20"/>
              </w:rPr>
            </w:pPr>
            <w:r>
              <w:rPr>
                <w:sz w:val="20"/>
              </w:rPr>
              <w:t>3</w:t>
            </w:r>
          </w:p>
        </w:tc>
        <w:tc>
          <w:tcPr>
            <w:tcW w:w="1825" w:type="dxa"/>
            <w:tcBorders>
              <w:top w:val="single" w:color="000000" w:sz="4" w:space="0"/>
            </w:tcBorders>
            <w:noWrap w:val="0"/>
            <w:vAlign w:val="top"/>
          </w:tcPr>
          <w:p>
            <w:pPr>
              <w:pStyle w:val="30"/>
              <w:rPr>
                <w:sz w:val="20"/>
              </w:rPr>
            </w:pPr>
            <w:r>
              <w:rPr>
                <w:sz w:val="20"/>
              </w:rPr>
              <w:t>恩诺沙星"、呋喃唑酮代 谢物、呋喃西林代谢物</w:t>
            </w:r>
          </w:p>
        </w:tc>
        <w:tc>
          <w:tcPr>
            <w:tcW w:w="5450" w:type="dxa"/>
            <w:tcBorders>
              <w:top w:val="single" w:color="000000" w:sz="4" w:space="0"/>
            </w:tcBorders>
            <w:noWrap w:val="0"/>
            <w:vAlign w:val="top"/>
          </w:tcPr>
          <w:p>
            <w:pPr>
              <w:pStyle w:val="30"/>
              <w:rPr>
                <w:sz w:val="20"/>
              </w:rPr>
            </w:pPr>
            <w:r>
              <w:rPr>
                <w:sz w:val="20"/>
              </w:rPr>
              <w:t>镉( 以Cd计)”、孔雀石绿、氯霉素、呋喃妥因代谢物、磺胺类( 总 量)、氧氟沙星、诺氟沙星</w:t>
            </w:r>
          </w:p>
        </w:tc>
        <w:tc>
          <w:tcPr>
            <w:tcW w:w="1100" w:type="dxa"/>
            <w:tcBorders>
              <w:top w:val="single" w:color="000000" w:sz="4" w:space="0"/>
            </w:tcBorders>
            <w:noWrap w:val="0"/>
            <w:vAlign w:val="top"/>
          </w:tcPr>
          <w:p>
            <w:pPr>
              <w:pStyle w:val="30"/>
              <w:rPr>
                <w:sz w:val="20"/>
              </w:rPr>
            </w:pPr>
            <w:r>
              <w:rPr>
                <w:sz w:val="20"/>
              </w:rPr>
              <w:t>仅蛙科、鳖 科食品动物检 测</w:t>
            </w:r>
          </w:p>
          <w:p>
            <w:pPr>
              <w:pStyle w:val="30"/>
              <w:rPr>
                <w:sz w:val="20"/>
              </w:rPr>
            </w:pPr>
            <w:r>
              <w:rPr>
                <w:rFonts w:hint="eastAsia"/>
                <w:sz w:val="20"/>
              </w:rPr>
              <w:t>b.</w:t>
            </w:r>
            <w:r>
              <w:rPr>
                <w:sz w:val="20"/>
              </w:rPr>
              <w:t>限头足类。 腹足类、棘皮 类检测。</w:t>
            </w:r>
          </w:p>
        </w:tc>
      </w:tr>
    </w:tbl>
    <w:p>
      <w:pPr>
        <w:rPr>
          <w:sz w:val="2"/>
          <w:szCs w:val="2"/>
        </w:rPr>
        <w:sectPr>
          <w:type w:val="nextColumn"/>
          <w:pgSz w:w="16840" w:h="11907" w:orient="landscape"/>
          <w:pgMar w:top="1418" w:right="1418" w:bottom="1134" w:left="1418" w:header="720" w:footer="720" w:gutter="0"/>
          <w:cols w:space="720" w:num="1"/>
        </w:sectPr>
      </w:pPr>
    </w:p>
    <w:p>
      <w:pPr>
        <w:spacing w:before="6"/>
        <w:rPr>
          <w:b/>
          <w:sz w:val="17"/>
        </w:rPr>
      </w:pPr>
    </w:p>
    <w:tbl>
      <w:tblPr>
        <w:tblStyle w:val="14"/>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959"/>
        <w:gridCol w:w="1109"/>
        <w:gridCol w:w="1499"/>
        <w:gridCol w:w="1039"/>
        <w:gridCol w:w="1848"/>
        <w:gridCol w:w="5053"/>
        <w:gridCol w:w="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704" w:type="dxa"/>
            <w:noWrap w:val="0"/>
            <w:vAlign w:val="top"/>
          </w:tcPr>
          <w:p>
            <w:pPr>
              <w:pStyle w:val="30"/>
              <w:spacing w:before="10"/>
              <w:rPr>
                <w:b/>
                <w:sz w:val="24"/>
              </w:rPr>
            </w:pPr>
          </w:p>
          <w:p>
            <w:pPr>
              <w:pStyle w:val="30"/>
              <w:ind w:left="135" w:right="123"/>
              <w:jc w:val="center"/>
              <w:rPr>
                <w:sz w:val="20"/>
              </w:rPr>
            </w:pPr>
            <w:r>
              <w:rPr>
                <w:spacing w:val="-5"/>
                <w:sz w:val="20"/>
              </w:rPr>
              <w:t>序列</w:t>
            </w:r>
          </w:p>
        </w:tc>
        <w:tc>
          <w:tcPr>
            <w:tcW w:w="959" w:type="dxa"/>
            <w:noWrap w:val="0"/>
            <w:vAlign w:val="top"/>
          </w:tcPr>
          <w:p>
            <w:pPr>
              <w:pStyle w:val="30"/>
              <w:spacing w:before="176" w:line="283" w:lineRule="auto"/>
              <w:ind w:left="174" w:right="78" w:hanging="99"/>
              <w:rPr>
                <w:sz w:val="20"/>
              </w:rPr>
            </w:pPr>
            <w:r>
              <w:rPr>
                <w:spacing w:val="-4"/>
                <w:sz w:val="20"/>
              </w:rPr>
              <w:t xml:space="preserve">食品亚类 </w:t>
            </w:r>
            <w:r>
              <w:rPr>
                <w:spacing w:val="2"/>
                <w:sz w:val="20"/>
              </w:rPr>
              <w:t>(二级)</w:t>
            </w:r>
          </w:p>
        </w:tc>
        <w:tc>
          <w:tcPr>
            <w:tcW w:w="1109" w:type="dxa"/>
            <w:noWrap w:val="0"/>
            <w:vAlign w:val="top"/>
          </w:tcPr>
          <w:p>
            <w:pPr>
              <w:pStyle w:val="30"/>
              <w:spacing w:before="176" w:line="283" w:lineRule="auto"/>
              <w:ind w:left="247" w:right="141" w:hanging="101"/>
              <w:rPr>
                <w:sz w:val="20"/>
              </w:rPr>
            </w:pPr>
            <w:r>
              <w:rPr>
                <w:spacing w:val="-4"/>
                <w:sz w:val="20"/>
              </w:rPr>
              <w:t xml:space="preserve">食品品种 </w:t>
            </w:r>
            <w:r>
              <w:rPr>
                <w:sz w:val="20"/>
              </w:rPr>
              <w:t>(三级)</w:t>
            </w:r>
          </w:p>
        </w:tc>
        <w:tc>
          <w:tcPr>
            <w:tcW w:w="1499" w:type="dxa"/>
            <w:noWrap w:val="0"/>
            <w:vAlign w:val="top"/>
          </w:tcPr>
          <w:p>
            <w:pPr>
              <w:pStyle w:val="30"/>
              <w:spacing w:before="178" w:line="273" w:lineRule="auto"/>
              <w:ind w:left="446" w:right="349" w:hanging="101"/>
              <w:rPr>
                <w:sz w:val="20"/>
              </w:rPr>
            </w:pPr>
            <w:r>
              <w:rPr>
                <w:spacing w:val="-4"/>
                <w:sz w:val="20"/>
              </w:rPr>
              <w:t xml:space="preserve">食品细类 </w:t>
            </w:r>
            <w:r>
              <w:rPr>
                <w:spacing w:val="1"/>
                <w:sz w:val="20"/>
              </w:rPr>
              <w:t>(四级)</w:t>
            </w:r>
          </w:p>
        </w:tc>
        <w:tc>
          <w:tcPr>
            <w:tcW w:w="1039" w:type="dxa"/>
            <w:noWrap w:val="0"/>
            <w:vAlign w:val="top"/>
          </w:tcPr>
          <w:p>
            <w:pPr>
              <w:pStyle w:val="30"/>
              <w:spacing w:before="7"/>
              <w:rPr>
                <w:sz w:val="24"/>
              </w:rPr>
            </w:pPr>
          </w:p>
          <w:p>
            <w:pPr>
              <w:pStyle w:val="30"/>
              <w:ind w:left="89" w:right="89"/>
              <w:jc w:val="center"/>
              <w:rPr>
                <w:sz w:val="20"/>
              </w:rPr>
            </w:pPr>
            <w:r>
              <w:rPr>
                <w:spacing w:val="-7"/>
                <w:sz w:val="20"/>
              </w:rPr>
              <w:t>抽检批次</w:t>
            </w:r>
          </w:p>
        </w:tc>
        <w:tc>
          <w:tcPr>
            <w:tcW w:w="1848" w:type="dxa"/>
            <w:noWrap w:val="0"/>
            <w:vAlign w:val="top"/>
          </w:tcPr>
          <w:p>
            <w:pPr>
              <w:pStyle w:val="30"/>
              <w:spacing w:before="5"/>
              <w:rPr>
                <w:sz w:val="24"/>
              </w:rPr>
            </w:pPr>
          </w:p>
          <w:p>
            <w:pPr>
              <w:pStyle w:val="30"/>
              <w:ind w:left="541"/>
              <w:rPr>
                <w:sz w:val="20"/>
              </w:rPr>
            </w:pPr>
            <w:r>
              <w:rPr>
                <w:spacing w:val="-3"/>
                <w:sz w:val="20"/>
              </w:rPr>
              <w:t>必检项目</w:t>
            </w:r>
          </w:p>
        </w:tc>
        <w:tc>
          <w:tcPr>
            <w:tcW w:w="5053" w:type="dxa"/>
            <w:noWrap w:val="0"/>
            <w:vAlign w:val="top"/>
          </w:tcPr>
          <w:p>
            <w:pPr>
              <w:pStyle w:val="30"/>
              <w:spacing w:before="10"/>
              <w:rPr>
                <w:sz w:val="24"/>
              </w:rPr>
            </w:pPr>
          </w:p>
          <w:p>
            <w:pPr>
              <w:pStyle w:val="30"/>
              <w:ind w:left="2330" w:right="1654"/>
              <w:jc w:val="center"/>
              <w:rPr>
                <w:sz w:val="20"/>
              </w:rPr>
            </w:pPr>
            <w:r>
              <w:rPr>
                <w:spacing w:val="-3"/>
                <w:sz w:val="20"/>
              </w:rPr>
              <w:t>自选项目</w:t>
            </w:r>
          </w:p>
        </w:tc>
        <w:tc>
          <w:tcPr>
            <w:tcW w:w="900" w:type="dxa"/>
            <w:noWrap w:val="0"/>
            <w:vAlign w:val="top"/>
          </w:tcPr>
          <w:p>
            <w:pPr>
              <w:pStyle w:val="30"/>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3" w:hRule="atLeast"/>
        </w:trPr>
        <w:tc>
          <w:tcPr>
            <w:tcW w:w="704" w:type="dxa"/>
            <w:vMerge w:val="restart"/>
            <w:noWrap w:val="0"/>
            <w:vAlign w:val="center"/>
          </w:tcPr>
          <w:p>
            <w:pPr>
              <w:pStyle w:val="30"/>
              <w:jc w:val="center"/>
              <w:rPr>
                <w:b/>
                <w:sz w:val="20"/>
              </w:rPr>
            </w:pPr>
            <w:r>
              <w:rPr>
                <w:b/>
                <w:sz w:val="20"/>
              </w:rPr>
              <w:t>4</w:t>
            </w:r>
          </w:p>
        </w:tc>
        <w:tc>
          <w:tcPr>
            <w:tcW w:w="959" w:type="dxa"/>
            <w:vMerge w:val="restart"/>
            <w:noWrap w:val="0"/>
            <w:vAlign w:val="top"/>
          </w:tcPr>
          <w:p>
            <w:pPr>
              <w:pStyle w:val="30"/>
              <w:rPr>
                <w:sz w:val="20"/>
              </w:rPr>
            </w:pPr>
          </w:p>
          <w:p>
            <w:pPr>
              <w:pStyle w:val="30"/>
              <w:rPr>
                <w:sz w:val="20"/>
              </w:rPr>
            </w:pPr>
          </w:p>
          <w:p>
            <w:pPr>
              <w:pStyle w:val="30"/>
              <w:rPr>
                <w:sz w:val="20"/>
              </w:rPr>
            </w:pPr>
          </w:p>
          <w:p>
            <w:pPr>
              <w:pStyle w:val="30"/>
              <w:rPr>
                <w:sz w:val="20"/>
              </w:rPr>
            </w:pPr>
          </w:p>
          <w:p>
            <w:pPr>
              <w:pStyle w:val="30"/>
              <w:rPr>
                <w:sz w:val="20"/>
              </w:rPr>
            </w:pPr>
            <w:r>
              <w:rPr>
                <w:sz w:val="20"/>
              </w:rPr>
              <w:t>水果类</w:t>
            </w:r>
          </w:p>
        </w:tc>
        <w:tc>
          <w:tcPr>
            <w:tcW w:w="1109" w:type="dxa"/>
            <w:vMerge w:val="restart"/>
            <w:noWrap w:val="0"/>
            <w:vAlign w:val="top"/>
          </w:tcPr>
          <w:p>
            <w:pPr>
              <w:pStyle w:val="30"/>
              <w:rPr>
                <w:sz w:val="20"/>
              </w:rPr>
            </w:pPr>
            <w:r>
              <w:rPr>
                <w:sz w:val="20"/>
              </w:rPr>
              <w:t>热带和亚热带水果</w:t>
            </w:r>
          </w:p>
        </w:tc>
        <w:tc>
          <w:tcPr>
            <w:tcW w:w="1499" w:type="dxa"/>
            <w:noWrap w:val="0"/>
            <w:vAlign w:val="top"/>
          </w:tcPr>
          <w:p>
            <w:pPr>
              <w:pStyle w:val="30"/>
              <w:rPr>
                <w:sz w:val="20"/>
              </w:rPr>
            </w:pPr>
          </w:p>
          <w:p>
            <w:pPr>
              <w:pStyle w:val="30"/>
              <w:ind w:firstLine="400" w:firstLineChars="200"/>
              <w:rPr>
                <w:sz w:val="20"/>
              </w:rPr>
            </w:pPr>
            <w:r>
              <w:rPr>
                <w:sz w:val="20"/>
              </w:rPr>
              <w:t>香蕉</w:t>
            </w:r>
          </w:p>
        </w:tc>
        <w:tc>
          <w:tcPr>
            <w:tcW w:w="1039" w:type="dxa"/>
            <w:noWrap w:val="0"/>
            <w:vAlign w:val="top"/>
          </w:tcPr>
          <w:p>
            <w:pPr>
              <w:pStyle w:val="30"/>
              <w:rPr>
                <w:sz w:val="20"/>
              </w:rPr>
            </w:pPr>
          </w:p>
          <w:p>
            <w:pPr>
              <w:pStyle w:val="30"/>
              <w:ind w:firstLine="400" w:firstLineChars="200"/>
              <w:rPr>
                <w:sz w:val="20"/>
              </w:rPr>
            </w:pPr>
            <w:r>
              <w:rPr>
                <w:sz w:val="20"/>
              </w:rPr>
              <w:t>42</w:t>
            </w:r>
          </w:p>
        </w:tc>
        <w:tc>
          <w:tcPr>
            <w:tcW w:w="1848" w:type="dxa"/>
            <w:noWrap w:val="0"/>
            <w:vAlign w:val="top"/>
          </w:tcPr>
          <w:p>
            <w:pPr>
              <w:pStyle w:val="30"/>
              <w:rPr>
                <w:sz w:val="20"/>
              </w:rPr>
            </w:pPr>
            <w:r>
              <w:rPr>
                <w:sz w:val="20"/>
              </w:rPr>
              <w:t>吡虫啉、噻虫嗪、噻</w:t>
            </w:r>
          </w:p>
          <w:p>
            <w:pPr>
              <w:pStyle w:val="30"/>
              <w:rPr>
                <w:sz w:val="20"/>
              </w:rPr>
            </w:pPr>
            <w:r>
              <w:rPr>
                <w:sz w:val="20"/>
              </w:rPr>
              <w:t>虫胺、 腈</w:t>
            </w:r>
          </w:p>
          <w:p>
            <w:pPr>
              <w:pStyle w:val="30"/>
              <w:rPr>
                <w:sz w:val="20"/>
              </w:rPr>
            </w:pPr>
            <w:r>
              <w:rPr>
                <w:sz w:val="20"/>
              </w:rPr>
              <w:t>苯唑</w:t>
            </w:r>
          </w:p>
        </w:tc>
        <w:tc>
          <w:tcPr>
            <w:tcW w:w="5053" w:type="dxa"/>
            <w:noWrap w:val="0"/>
            <w:vAlign w:val="top"/>
          </w:tcPr>
          <w:p>
            <w:pPr>
              <w:pStyle w:val="30"/>
              <w:rPr>
                <w:sz w:val="20"/>
              </w:rPr>
            </w:pPr>
            <w:r>
              <w:rPr>
                <w:sz w:val="20"/>
              </w:rPr>
              <w:t>苯醚甲环唑、氟虫腈、吡唑醚菌酯、多菌灵、甲拌磷、氟环唑、联苯 菊酯、烯唑醇、百菌清、噻唑膦</w:t>
            </w:r>
          </w:p>
          <w:p>
            <w:pPr>
              <w:pStyle w:val="30"/>
              <w:rPr>
                <w:sz w:val="20"/>
              </w:rPr>
            </w:pPr>
            <w:r>
              <w:rPr>
                <w:sz w:val="20"/>
              </w:rPr>
              <w:t>、狄氏剂</w:t>
            </w:r>
          </w:p>
        </w:tc>
        <w:tc>
          <w:tcPr>
            <w:tcW w:w="900" w:type="dxa"/>
            <w:noWrap w:val="0"/>
            <w:vAlign w:val="top"/>
          </w:tcPr>
          <w:p>
            <w:pPr>
              <w:pStyle w:val="30"/>
              <w:rPr>
                <w:b/>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704" w:type="dxa"/>
            <w:vMerge w:val="continue"/>
            <w:noWrap w:val="0"/>
            <w:vAlign w:val="top"/>
          </w:tcPr>
          <w:p>
            <w:pPr>
              <w:pStyle w:val="30"/>
              <w:rPr>
                <w:b/>
                <w:sz w:val="20"/>
              </w:rPr>
            </w:pPr>
          </w:p>
        </w:tc>
        <w:tc>
          <w:tcPr>
            <w:tcW w:w="959" w:type="dxa"/>
            <w:vMerge w:val="continue"/>
            <w:noWrap w:val="0"/>
            <w:vAlign w:val="top"/>
          </w:tcPr>
          <w:p>
            <w:pPr>
              <w:pStyle w:val="30"/>
              <w:rPr>
                <w:sz w:val="20"/>
              </w:rPr>
            </w:pPr>
          </w:p>
        </w:tc>
        <w:tc>
          <w:tcPr>
            <w:tcW w:w="1109" w:type="dxa"/>
            <w:vMerge w:val="continue"/>
            <w:noWrap w:val="0"/>
            <w:vAlign w:val="top"/>
          </w:tcPr>
          <w:p>
            <w:pPr>
              <w:pStyle w:val="30"/>
              <w:rPr>
                <w:sz w:val="20"/>
              </w:rPr>
            </w:pPr>
          </w:p>
        </w:tc>
        <w:tc>
          <w:tcPr>
            <w:tcW w:w="1499" w:type="dxa"/>
            <w:noWrap w:val="0"/>
            <w:vAlign w:val="top"/>
          </w:tcPr>
          <w:p>
            <w:pPr>
              <w:pStyle w:val="30"/>
              <w:rPr>
                <w:sz w:val="20"/>
              </w:rPr>
            </w:pPr>
          </w:p>
          <w:p>
            <w:pPr>
              <w:pStyle w:val="30"/>
              <w:ind w:firstLine="400" w:firstLineChars="200"/>
              <w:rPr>
                <w:sz w:val="20"/>
              </w:rPr>
            </w:pPr>
            <w:r>
              <w:rPr>
                <w:sz w:val="20"/>
              </w:rPr>
              <w:t>芒果</w:t>
            </w:r>
          </w:p>
        </w:tc>
        <w:tc>
          <w:tcPr>
            <w:tcW w:w="1039" w:type="dxa"/>
            <w:noWrap w:val="0"/>
            <w:vAlign w:val="top"/>
          </w:tcPr>
          <w:p>
            <w:pPr>
              <w:pStyle w:val="30"/>
              <w:rPr>
                <w:sz w:val="20"/>
              </w:rPr>
            </w:pPr>
          </w:p>
          <w:p>
            <w:pPr>
              <w:pStyle w:val="30"/>
              <w:ind w:firstLine="400" w:firstLineChars="200"/>
              <w:rPr>
                <w:sz w:val="20"/>
              </w:rPr>
            </w:pPr>
            <w:r>
              <w:rPr>
                <w:sz w:val="20"/>
              </w:rPr>
              <w:t>6</w:t>
            </w:r>
          </w:p>
        </w:tc>
        <w:tc>
          <w:tcPr>
            <w:tcW w:w="1848" w:type="dxa"/>
            <w:noWrap w:val="0"/>
            <w:vAlign w:val="top"/>
          </w:tcPr>
          <w:p>
            <w:pPr>
              <w:pStyle w:val="30"/>
              <w:rPr>
                <w:sz w:val="20"/>
              </w:rPr>
            </w:pPr>
          </w:p>
          <w:p>
            <w:pPr>
              <w:pStyle w:val="30"/>
              <w:rPr>
                <w:sz w:val="20"/>
              </w:rPr>
            </w:pPr>
            <w:r>
              <w:rPr>
                <w:sz w:val="20"/>
              </w:rPr>
              <w:t>吡唑醚菌酯、噻虫胺</w:t>
            </w:r>
          </w:p>
        </w:tc>
        <w:tc>
          <w:tcPr>
            <w:tcW w:w="5053" w:type="dxa"/>
            <w:noWrap w:val="0"/>
            <w:vAlign w:val="top"/>
          </w:tcPr>
          <w:p>
            <w:pPr>
              <w:pStyle w:val="30"/>
              <w:rPr>
                <w:sz w:val="20"/>
              </w:rPr>
            </w:pPr>
            <w:r>
              <w:rPr>
                <w:sz w:val="20"/>
              </w:rPr>
              <w:t>苯醚甲环唑、戊唑醇、多菌灵、嘧菌酯、氧乐果、乙酰甲胺磷、吡虫 啉</w:t>
            </w:r>
          </w:p>
        </w:tc>
        <w:tc>
          <w:tcPr>
            <w:tcW w:w="900" w:type="dxa"/>
            <w:noWrap w:val="0"/>
            <w:vAlign w:val="top"/>
          </w:tcPr>
          <w:p>
            <w:pPr>
              <w:pStyle w:val="30"/>
              <w:rPr>
                <w:b/>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704" w:type="dxa"/>
            <w:vMerge w:val="continue"/>
            <w:noWrap w:val="0"/>
            <w:vAlign w:val="top"/>
          </w:tcPr>
          <w:p>
            <w:pPr>
              <w:pStyle w:val="30"/>
              <w:rPr>
                <w:b/>
                <w:sz w:val="20"/>
              </w:rPr>
            </w:pPr>
          </w:p>
        </w:tc>
        <w:tc>
          <w:tcPr>
            <w:tcW w:w="959" w:type="dxa"/>
            <w:vMerge w:val="continue"/>
            <w:noWrap w:val="0"/>
            <w:vAlign w:val="top"/>
          </w:tcPr>
          <w:p>
            <w:pPr>
              <w:pStyle w:val="30"/>
              <w:rPr>
                <w:sz w:val="20"/>
              </w:rPr>
            </w:pPr>
          </w:p>
        </w:tc>
        <w:tc>
          <w:tcPr>
            <w:tcW w:w="1109" w:type="dxa"/>
            <w:vMerge w:val="continue"/>
            <w:noWrap w:val="0"/>
            <w:vAlign w:val="top"/>
          </w:tcPr>
          <w:p>
            <w:pPr>
              <w:pStyle w:val="30"/>
              <w:rPr>
                <w:sz w:val="20"/>
              </w:rPr>
            </w:pPr>
          </w:p>
        </w:tc>
        <w:tc>
          <w:tcPr>
            <w:tcW w:w="1499" w:type="dxa"/>
            <w:noWrap w:val="0"/>
            <w:vAlign w:val="top"/>
          </w:tcPr>
          <w:p>
            <w:pPr>
              <w:pStyle w:val="30"/>
              <w:rPr>
                <w:sz w:val="20"/>
              </w:rPr>
            </w:pPr>
          </w:p>
          <w:p>
            <w:pPr>
              <w:pStyle w:val="30"/>
              <w:ind w:firstLine="400" w:firstLineChars="200"/>
              <w:rPr>
                <w:sz w:val="20"/>
              </w:rPr>
            </w:pPr>
            <w:r>
              <w:rPr>
                <w:sz w:val="20"/>
              </w:rPr>
              <w:t>荔枝</w:t>
            </w:r>
          </w:p>
        </w:tc>
        <w:tc>
          <w:tcPr>
            <w:tcW w:w="1039" w:type="dxa"/>
            <w:noWrap w:val="0"/>
            <w:vAlign w:val="top"/>
          </w:tcPr>
          <w:p>
            <w:pPr>
              <w:pStyle w:val="30"/>
              <w:rPr>
                <w:sz w:val="20"/>
              </w:rPr>
            </w:pPr>
          </w:p>
          <w:p>
            <w:pPr>
              <w:pStyle w:val="30"/>
              <w:ind w:firstLine="400" w:firstLineChars="200"/>
              <w:rPr>
                <w:sz w:val="20"/>
              </w:rPr>
            </w:pPr>
            <w:r>
              <w:rPr>
                <w:sz w:val="20"/>
              </w:rPr>
              <w:t>6</w:t>
            </w:r>
          </w:p>
        </w:tc>
        <w:tc>
          <w:tcPr>
            <w:tcW w:w="1848" w:type="dxa"/>
            <w:noWrap w:val="0"/>
            <w:vAlign w:val="top"/>
          </w:tcPr>
          <w:p>
            <w:pPr>
              <w:pStyle w:val="30"/>
              <w:rPr>
                <w:sz w:val="20"/>
              </w:rPr>
            </w:pPr>
            <w:r>
              <w:rPr>
                <w:sz w:val="20"/>
              </w:rPr>
              <w:t>吡唑醚菌酯、氯</w:t>
            </w:r>
            <w:r>
              <w:rPr>
                <w:rFonts w:hint="eastAsia"/>
                <w:sz w:val="20"/>
              </w:rPr>
              <w:t>氟</w:t>
            </w:r>
            <w:r>
              <w:rPr>
                <w:sz w:val="20"/>
              </w:rPr>
              <w:t xml:space="preserve">氰 </w:t>
            </w:r>
          </w:p>
          <w:p>
            <w:pPr>
              <w:pStyle w:val="30"/>
              <w:rPr>
                <w:sz w:val="20"/>
              </w:rPr>
            </w:pPr>
            <w:r>
              <w:rPr>
                <w:rFonts w:hint="eastAsia"/>
                <w:sz w:val="20"/>
              </w:rPr>
              <w:t>菊酯和高效</w:t>
            </w:r>
            <w:r>
              <w:rPr>
                <w:sz w:val="20"/>
              </w:rPr>
              <w:t>氯</w:t>
            </w:r>
            <w:r>
              <w:rPr>
                <w:rFonts w:hint="eastAsia"/>
                <w:sz w:val="20"/>
              </w:rPr>
              <w:t>氟</w:t>
            </w:r>
            <w:r>
              <w:rPr>
                <w:sz w:val="20"/>
              </w:rPr>
              <w:t xml:space="preserve">氰 </w:t>
            </w:r>
          </w:p>
          <w:p>
            <w:pPr>
              <w:pStyle w:val="30"/>
              <w:rPr>
                <w:sz w:val="20"/>
              </w:rPr>
            </w:pPr>
            <w:r>
              <w:rPr>
                <w:rFonts w:hint="eastAsia"/>
                <w:sz w:val="20"/>
              </w:rPr>
              <w:t>菊酯</w:t>
            </w:r>
          </w:p>
        </w:tc>
        <w:tc>
          <w:tcPr>
            <w:tcW w:w="5053" w:type="dxa"/>
            <w:noWrap w:val="0"/>
            <w:vAlign w:val="top"/>
          </w:tcPr>
          <w:p>
            <w:pPr>
              <w:pStyle w:val="30"/>
              <w:rPr>
                <w:sz w:val="20"/>
              </w:rPr>
            </w:pPr>
            <w:r>
              <w:rPr>
                <w:sz w:val="20"/>
              </w:rPr>
              <w:t>氧乐果、</w:t>
            </w:r>
          </w:p>
          <w:p>
            <w:pPr>
              <w:pStyle w:val="30"/>
              <w:rPr>
                <w:sz w:val="20"/>
              </w:rPr>
            </w:pPr>
            <w:r>
              <w:rPr>
                <w:sz w:val="20"/>
              </w:rPr>
              <w:t>毒死蜱、多菌灵、 吡唑醚菌酯、除虫尿、氰霜唑、氟吗啉</w:t>
            </w:r>
          </w:p>
        </w:tc>
        <w:tc>
          <w:tcPr>
            <w:tcW w:w="900" w:type="dxa"/>
            <w:noWrap w:val="0"/>
            <w:vAlign w:val="top"/>
          </w:tcPr>
          <w:p>
            <w:pPr>
              <w:pStyle w:val="30"/>
              <w:rPr>
                <w:b/>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04" w:type="dxa"/>
            <w:vMerge w:val="continue"/>
            <w:noWrap w:val="0"/>
            <w:vAlign w:val="top"/>
          </w:tcPr>
          <w:p>
            <w:pPr>
              <w:pStyle w:val="30"/>
              <w:rPr>
                <w:b/>
                <w:sz w:val="20"/>
              </w:rPr>
            </w:pPr>
          </w:p>
        </w:tc>
        <w:tc>
          <w:tcPr>
            <w:tcW w:w="959" w:type="dxa"/>
            <w:vMerge w:val="continue"/>
            <w:noWrap w:val="0"/>
            <w:vAlign w:val="top"/>
          </w:tcPr>
          <w:p>
            <w:pPr>
              <w:pStyle w:val="30"/>
              <w:rPr>
                <w:sz w:val="20"/>
              </w:rPr>
            </w:pPr>
          </w:p>
        </w:tc>
        <w:tc>
          <w:tcPr>
            <w:tcW w:w="1109" w:type="dxa"/>
            <w:vMerge w:val="continue"/>
            <w:noWrap w:val="0"/>
            <w:vAlign w:val="top"/>
          </w:tcPr>
          <w:p>
            <w:pPr>
              <w:pStyle w:val="30"/>
              <w:rPr>
                <w:sz w:val="20"/>
              </w:rPr>
            </w:pPr>
          </w:p>
        </w:tc>
        <w:tc>
          <w:tcPr>
            <w:tcW w:w="1499" w:type="dxa"/>
            <w:noWrap w:val="0"/>
            <w:vAlign w:val="top"/>
          </w:tcPr>
          <w:p>
            <w:pPr>
              <w:pStyle w:val="30"/>
              <w:ind w:firstLine="400" w:firstLineChars="200"/>
              <w:rPr>
                <w:rFonts w:hint="eastAsia"/>
                <w:sz w:val="20"/>
              </w:rPr>
            </w:pPr>
            <w:r>
              <w:rPr>
                <w:rFonts w:hint="eastAsia"/>
                <w:sz w:val="20"/>
              </w:rPr>
              <w:t>杨梅</w:t>
            </w:r>
          </w:p>
        </w:tc>
        <w:tc>
          <w:tcPr>
            <w:tcW w:w="1039" w:type="dxa"/>
            <w:noWrap w:val="0"/>
            <w:vAlign w:val="top"/>
          </w:tcPr>
          <w:p>
            <w:pPr>
              <w:pStyle w:val="30"/>
              <w:ind w:firstLine="400" w:firstLineChars="200"/>
              <w:rPr>
                <w:sz w:val="20"/>
              </w:rPr>
            </w:pPr>
            <w:r>
              <w:rPr>
                <w:rFonts w:hint="eastAsia"/>
                <w:sz w:val="20"/>
              </w:rPr>
              <w:t>3</w:t>
            </w:r>
          </w:p>
        </w:tc>
        <w:tc>
          <w:tcPr>
            <w:tcW w:w="1848" w:type="dxa"/>
            <w:noWrap w:val="0"/>
            <w:vAlign w:val="top"/>
          </w:tcPr>
          <w:p>
            <w:pPr>
              <w:pStyle w:val="30"/>
              <w:rPr>
                <w:sz w:val="20"/>
              </w:rPr>
            </w:pPr>
            <w:r>
              <w:rPr>
                <w:sz w:val="20"/>
              </w:rPr>
              <w:t xml:space="preserve">脱 氢 乙酸及其钠 盐 </w:t>
            </w:r>
            <w:r>
              <w:rPr>
                <w:rFonts w:hint="eastAsia"/>
                <w:sz w:val="20"/>
              </w:rPr>
              <w:t>(以 脱氢乙酸计)、 糖精钠 (以 糖精计)</w:t>
            </w:r>
          </w:p>
          <w:p>
            <w:pPr>
              <w:pStyle w:val="30"/>
              <w:rPr>
                <w:rFonts w:hint="eastAsia"/>
                <w:sz w:val="20"/>
              </w:rPr>
            </w:pPr>
          </w:p>
        </w:tc>
        <w:tc>
          <w:tcPr>
            <w:tcW w:w="5053" w:type="dxa"/>
            <w:noWrap w:val="0"/>
            <w:vAlign w:val="top"/>
          </w:tcPr>
          <w:p>
            <w:pPr>
              <w:pStyle w:val="30"/>
              <w:rPr>
                <w:sz w:val="20"/>
              </w:rPr>
            </w:pPr>
            <w:r>
              <w:rPr>
                <w:sz w:val="20"/>
              </w:rPr>
              <w:t>苯甲酸及</w:t>
            </w:r>
            <w:r>
              <w:rPr>
                <w:rFonts w:hint="eastAsia"/>
                <w:sz w:val="20"/>
              </w:rPr>
              <w:t>其钠盐（以苯甲酸计）、敌敌畏、氧乐果</w:t>
            </w:r>
          </w:p>
        </w:tc>
        <w:tc>
          <w:tcPr>
            <w:tcW w:w="900" w:type="dxa"/>
            <w:noWrap w:val="0"/>
            <w:vAlign w:val="top"/>
          </w:tcPr>
          <w:p>
            <w:pPr>
              <w:pStyle w:val="30"/>
              <w:rPr>
                <w:b/>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7" w:hRule="atLeast"/>
        </w:trPr>
        <w:tc>
          <w:tcPr>
            <w:tcW w:w="704" w:type="dxa"/>
            <w:vMerge w:val="continue"/>
            <w:noWrap w:val="0"/>
            <w:vAlign w:val="top"/>
          </w:tcPr>
          <w:p>
            <w:pPr>
              <w:pStyle w:val="30"/>
              <w:rPr>
                <w:b/>
                <w:sz w:val="20"/>
              </w:rPr>
            </w:pPr>
          </w:p>
        </w:tc>
        <w:tc>
          <w:tcPr>
            <w:tcW w:w="959" w:type="dxa"/>
            <w:vMerge w:val="continue"/>
            <w:noWrap w:val="0"/>
            <w:vAlign w:val="top"/>
          </w:tcPr>
          <w:p>
            <w:pPr>
              <w:pStyle w:val="30"/>
              <w:rPr>
                <w:sz w:val="20"/>
              </w:rPr>
            </w:pPr>
          </w:p>
        </w:tc>
        <w:tc>
          <w:tcPr>
            <w:tcW w:w="1109" w:type="dxa"/>
            <w:noWrap w:val="0"/>
            <w:vAlign w:val="top"/>
          </w:tcPr>
          <w:p>
            <w:pPr>
              <w:pStyle w:val="30"/>
              <w:rPr>
                <w:sz w:val="20"/>
              </w:rPr>
            </w:pPr>
          </w:p>
          <w:p>
            <w:pPr>
              <w:pStyle w:val="30"/>
              <w:rPr>
                <w:sz w:val="20"/>
              </w:rPr>
            </w:pPr>
            <w:r>
              <w:rPr>
                <w:sz w:val="20"/>
              </w:rPr>
              <w:t>柑橘类水果</w:t>
            </w:r>
          </w:p>
        </w:tc>
        <w:tc>
          <w:tcPr>
            <w:tcW w:w="1499" w:type="dxa"/>
            <w:noWrap w:val="0"/>
            <w:vAlign w:val="top"/>
          </w:tcPr>
          <w:p>
            <w:pPr>
              <w:pStyle w:val="30"/>
              <w:rPr>
                <w:sz w:val="20"/>
              </w:rPr>
            </w:pPr>
          </w:p>
          <w:p>
            <w:pPr>
              <w:pStyle w:val="30"/>
              <w:ind w:firstLine="400" w:firstLineChars="200"/>
              <w:rPr>
                <w:sz w:val="20"/>
              </w:rPr>
            </w:pPr>
            <w:r>
              <w:rPr>
                <w:sz w:val="20"/>
              </w:rPr>
              <w:t>柑、橘</w:t>
            </w:r>
          </w:p>
        </w:tc>
        <w:tc>
          <w:tcPr>
            <w:tcW w:w="1039" w:type="dxa"/>
            <w:noWrap w:val="0"/>
            <w:vAlign w:val="top"/>
          </w:tcPr>
          <w:p>
            <w:pPr>
              <w:pStyle w:val="30"/>
              <w:rPr>
                <w:sz w:val="20"/>
              </w:rPr>
            </w:pPr>
          </w:p>
          <w:p>
            <w:pPr>
              <w:pStyle w:val="30"/>
              <w:rPr>
                <w:sz w:val="20"/>
              </w:rPr>
            </w:pPr>
          </w:p>
          <w:p>
            <w:pPr>
              <w:pStyle w:val="30"/>
              <w:ind w:firstLine="400" w:firstLineChars="200"/>
              <w:rPr>
                <w:sz w:val="20"/>
              </w:rPr>
            </w:pPr>
            <w:r>
              <w:rPr>
                <w:sz w:val="20"/>
              </w:rPr>
              <w:t>48</w:t>
            </w:r>
          </w:p>
        </w:tc>
        <w:tc>
          <w:tcPr>
            <w:tcW w:w="1848" w:type="dxa"/>
            <w:noWrap w:val="0"/>
            <w:vAlign w:val="top"/>
          </w:tcPr>
          <w:p>
            <w:pPr>
              <w:pStyle w:val="30"/>
              <w:rPr>
                <w:sz w:val="20"/>
              </w:rPr>
            </w:pPr>
          </w:p>
          <w:p>
            <w:pPr>
              <w:pStyle w:val="30"/>
              <w:rPr>
                <w:sz w:val="20"/>
              </w:rPr>
            </w:pPr>
            <w:r>
              <w:rPr>
                <w:sz w:val="20"/>
              </w:rPr>
              <w:t>丙溴磷、苯醚甲环</w:t>
            </w:r>
          </w:p>
          <w:p>
            <w:pPr>
              <w:pStyle w:val="30"/>
              <w:rPr>
                <w:sz w:val="20"/>
              </w:rPr>
            </w:pPr>
            <w:r>
              <w:rPr>
                <w:sz w:val="20"/>
              </w:rPr>
              <w:t>唑、联苯菊酯</w:t>
            </w:r>
          </w:p>
        </w:tc>
        <w:tc>
          <w:tcPr>
            <w:tcW w:w="5053" w:type="dxa"/>
            <w:noWrap w:val="0"/>
            <w:vAlign w:val="top"/>
          </w:tcPr>
          <w:p>
            <w:pPr>
              <w:pStyle w:val="30"/>
              <w:rPr>
                <w:sz w:val="20"/>
              </w:rPr>
            </w:pPr>
            <w:r>
              <w:rPr>
                <w:sz w:val="20"/>
              </w:rPr>
              <w:t>氯氟氰菊酯和高效氯氟氰菊酯、2,4- 滴和2,4- 滴钠盐、狄氏剂、氯 唑磷、三唑磷、克百威、水胺硫磷</w:t>
            </w:r>
          </w:p>
          <w:p>
            <w:pPr>
              <w:pStyle w:val="30"/>
              <w:rPr>
                <w:sz w:val="20"/>
              </w:rPr>
            </w:pPr>
            <w:r>
              <w:rPr>
                <w:sz w:val="20"/>
              </w:rPr>
              <w:t>、氧乐果、甲拌磷、毒死蜱、杀扑 磷</w:t>
            </w:r>
          </w:p>
        </w:tc>
        <w:tc>
          <w:tcPr>
            <w:tcW w:w="900" w:type="dxa"/>
            <w:noWrap w:val="0"/>
            <w:vAlign w:val="top"/>
          </w:tcPr>
          <w:p>
            <w:pPr>
              <w:pStyle w:val="30"/>
              <w:rPr>
                <w:b/>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trPr>
        <w:tc>
          <w:tcPr>
            <w:tcW w:w="704" w:type="dxa"/>
            <w:vMerge w:val="continue"/>
            <w:noWrap w:val="0"/>
            <w:vAlign w:val="top"/>
          </w:tcPr>
          <w:p>
            <w:pPr>
              <w:pStyle w:val="30"/>
              <w:rPr>
                <w:b/>
                <w:sz w:val="20"/>
              </w:rPr>
            </w:pPr>
          </w:p>
        </w:tc>
        <w:tc>
          <w:tcPr>
            <w:tcW w:w="959" w:type="dxa"/>
            <w:vMerge w:val="continue"/>
            <w:noWrap w:val="0"/>
            <w:vAlign w:val="top"/>
          </w:tcPr>
          <w:p>
            <w:pPr>
              <w:pStyle w:val="30"/>
              <w:rPr>
                <w:sz w:val="20"/>
              </w:rPr>
            </w:pPr>
          </w:p>
        </w:tc>
        <w:tc>
          <w:tcPr>
            <w:tcW w:w="1109" w:type="dxa"/>
            <w:vMerge w:val="restart"/>
            <w:noWrap w:val="0"/>
            <w:vAlign w:val="top"/>
          </w:tcPr>
          <w:p>
            <w:pPr>
              <w:pStyle w:val="30"/>
              <w:rPr>
                <w:sz w:val="20"/>
              </w:rPr>
            </w:pPr>
            <w:r>
              <w:rPr>
                <w:sz w:val="20"/>
              </w:rPr>
              <w:t>浆果和其他小型水果</w:t>
            </w:r>
          </w:p>
        </w:tc>
        <w:tc>
          <w:tcPr>
            <w:tcW w:w="1499" w:type="dxa"/>
            <w:noWrap w:val="0"/>
            <w:vAlign w:val="top"/>
          </w:tcPr>
          <w:p>
            <w:pPr>
              <w:pStyle w:val="30"/>
              <w:rPr>
                <w:sz w:val="20"/>
              </w:rPr>
            </w:pPr>
          </w:p>
          <w:p>
            <w:pPr>
              <w:pStyle w:val="30"/>
              <w:ind w:firstLine="400" w:firstLineChars="200"/>
              <w:rPr>
                <w:sz w:val="20"/>
              </w:rPr>
            </w:pPr>
            <w:r>
              <w:rPr>
                <w:sz w:val="20"/>
              </w:rPr>
              <w:t>猕猴桃</w:t>
            </w:r>
          </w:p>
        </w:tc>
        <w:tc>
          <w:tcPr>
            <w:tcW w:w="1039" w:type="dxa"/>
            <w:noWrap w:val="0"/>
            <w:vAlign w:val="top"/>
          </w:tcPr>
          <w:p>
            <w:pPr>
              <w:pStyle w:val="30"/>
              <w:rPr>
                <w:sz w:val="20"/>
              </w:rPr>
            </w:pPr>
          </w:p>
          <w:p>
            <w:pPr>
              <w:pStyle w:val="30"/>
              <w:ind w:firstLine="400" w:firstLineChars="200"/>
              <w:rPr>
                <w:sz w:val="20"/>
              </w:rPr>
            </w:pPr>
            <w:r>
              <w:rPr>
                <w:sz w:val="20"/>
              </w:rPr>
              <w:t>30</w:t>
            </w:r>
          </w:p>
        </w:tc>
        <w:tc>
          <w:tcPr>
            <w:tcW w:w="1848" w:type="dxa"/>
            <w:noWrap w:val="0"/>
            <w:vAlign w:val="top"/>
          </w:tcPr>
          <w:p>
            <w:pPr>
              <w:pStyle w:val="30"/>
              <w:rPr>
                <w:sz w:val="20"/>
              </w:rPr>
            </w:pPr>
          </w:p>
          <w:p>
            <w:pPr>
              <w:pStyle w:val="30"/>
              <w:rPr>
                <w:sz w:val="20"/>
              </w:rPr>
            </w:pPr>
            <w:r>
              <w:rPr>
                <w:sz w:val="20"/>
              </w:rPr>
              <w:t>氯吡脲</w:t>
            </w:r>
          </w:p>
        </w:tc>
        <w:tc>
          <w:tcPr>
            <w:tcW w:w="5053" w:type="dxa"/>
            <w:noWrap w:val="0"/>
            <w:vAlign w:val="top"/>
          </w:tcPr>
          <w:p>
            <w:pPr>
              <w:pStyle w:val="30"/>
              <w:rPr>
                <w:sz w:val="20"/>
              </w:rPr>
            </w:pPr>
          </w:p>
          <w:p>
            <w:pPr>
              <w:pStyle w:val="30"/>
              <w:rPr>
                <w:sz w:val="20"/>
              </w:rPr>
            </w:pPr>
            <w:r>
              <w:rPr>
                <w:sz w:val="20"/>
              </w:rPr>
              <w:t>多菌灵、敌敌畏、氧乐果</w:t>
            </w:r>
          </w:p>
        </w:tc>
        <w:tc>
          <w:tcPr>
            <w:tcW w:w="900" w:type="dxa"/>
            <w:noWrap w:val="0"/>
            <w:vAlign w:val="top"/>
          </w:tcPr>
          <w:p>
            <w:pPr>
              <w:pStyle w:val="30"/>
              <w:rPr>
                <w:b/>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trPr>
        <w:tc>
          <w:tcPr>
            <w:tcW w:w="704" w:type="dxa"/>
            <w:vMerge w:val="continue"/>
            <w:noWrap w:val="0"/>
            <w:vAlign w:val="top"/>
          </w:tcPr>
          <w:p>
            <w:pPr>
              <w:pStyle w:val="30"/>
              <w:rPr>
                <w:b/>
                <w:sz w:val="20"/>
              </w:rPr>
            </w:pPr>
          </w:p>
        </w:tc>
        <w:tc>
          <w:tcPr>
            <w:tcW w:w="959" w:type="dxa"/>
            <w:vMerge w:val="continue"/>
            <w:noWrap w:val="0"/>
            <w:vAlign w:val="top"/>
          </w:tcPr>
          <w:p>
            <w:pPr>
              <w:pStyle w:val="30"/>
              <w:rPr>
                <w:sz w:val="20"/>
              </w:rPr>
            </w:pPr>
          </w:p>
        </w:tc>
        <w:tc>
          <w:tcPr>
            <w:tcW w:w="1109" w:type="dxa"/>
            <w:vMerge w:val="continue"/>
            <w:noWrap w:val="0"/>
            <w:vAlign w:val="top"/>
          </w:tcPr>
          <w:p>
            <w:pPr>
              <w:pStyle w:val="30"/>
              <w:rPr>
                <w:sz w:val="20"/>
              </w:rPr>
            </w:pPr>
          </w:p>
        </w:tc>
        <w:tc>
          <w:tcPr>
            <w:tcW w:w="1499" w:type="dxa"/>
            <w:noWrap w:val="0"/>
            <w:vAlign w:val="top"/>
          </w:tcPr>
          <w:p>
            <w:pPr>
              <w:pStyle w:val="30"/>
              <w:ind w:firstLine="400" w:firstLineChars="200"/>
              <w:rPr>
                <w:rFonts w:hint="eastAsia"/>
                <w:sz w:val="20"/>
              </w:rPr>
            </w:pPr>
            <w:r>
              <w:rPr>
                <w:rFonts w:hint="eastAsia"/>
                <w:sz w:val="20"/>
              </w:rPr>
              <w:t>草莓</w:t>
            </w:r>
          </w:p>
        </w:tc>
        <w:tc>
          <w:tcPr>
            <w:tcW w:w="1039" w:type="dxa"/>
            <w:noWrap w:val="0"/>
            <w:vAlign w:val="top"/>
          </w:tcPr>
          <w:p>
            <w:pPr>
              <w:pStyle w:val="30"/>
              <w:ind w:firstLine="400" w:firstLineChars="200"/>
              <w:rPr>
                <w:sz w:val="20"/>
              </w:rPr>
            </w:pPr>
            <w:r>
              <w:rPr>
                <w:rFonts w:hint="eastAsia"/>
                <w:sz w:val="20"/>
              </w:rPr>
              <w:t>15</w:t>
            </w:r>
          </w:p>
        </w:tc>
        <w:tc>
          <w:tcPr>
            <w:tcW w:w="1848" w:type="dxa"/>
            <w:noWrap w:val="0"/>
            <w:vAlign w:val="top"/>
          </w:tcPr>
          <w:p>
            <w:pPr>
              <w:pStyle w:val="30"/>
              <w:rPr>
                <w:rFonts w:hint="eastAsia"/>
                <w:sz w:val="20"/>
              </w:rPr>
            </w:pPr>
            <w:r>
              <w:rPr>
                <w:rFonts w:hint="eastAsia"/>
                <w:sz w:val="20"/>
              </w:rPr>
              <w:t>烯酰吗啉</w:t>
            </w:r>
          </w:p>
        </w:tc>
        <w:tc>
          <w:tcPr>
            <w:tcW w:w="5053" w:type="dxa"/>
            <w:noWrap w:val="0"/>
            <w:vAlign w:val="top"/>
          </w:tcPr>
          <w:p>
            <w:pPr>
              <w:pStyle w:val="30"/>
              <w:rPr>
                <w:sz w:val="20"/>
              </w:rPr>
            </w:pPr>
            <w:r>
              <w:rPr>
                <w:rFonts w:hint="eastAsia"/>
                <w:sz w:val="20"/>
              </w:rPr>
              <w:t>阿维菌素、敌敌畏、多菌灵</w:t>
            </w:r>
          </w:p>
        </w:tc>
        <w:tc>
          <w:tcPr>
            <w:tcW w:w="900" w:type="dxa"/>
            <w:noWrap w:val="0"/>
            <w:vAlign w:val="top"/>
          </w:tcPr>
          <w:p>
            <w:pPr>
              <w:pStyle w:val="30"/>
              <w:rPr>
                <w:b/>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trPr>
        <w:tc>
          <w:tcPr>
            <w:tcW w:w="704" w:type="dxa"/>
            <w:vMerge w:val="continue"/>
            <w:noWrap w:val="0"/>
            <w:vAlign w:val="top"/>
          </w:tcPr>
          <w:p>
            <w:pPr>
              <w:pStyle w:val="30"/>
              <w:rPr>
                <w:b/>
                <w:sz w:val="20"/>
              </w:rPr>
            </w:pPr>
          </w:p>
        </w:tc>
        <w:tc>
          <w:tcPr>
            <w:tcW w:w="959" w:type="dxa"/>
            <w:vMerge w:val="continue"/>
            <w:noWrap w:val="0"/>
            <w:vAlign w:val="top"/>
          </w:tcPr>
          <w:p>
            <w:pPr>
              <w:pStyle w:val="30"/>
              <w:rPr>
                <w:sz w:val="20"/>
              </w:rPr>
            </w:pPr>
          </w:p>
        </w:tc>
        <w:tc>
          <w:tcPr>
            <w:tcW w:w="1109" w:type="dxa"/>
            <w:vMerge w:val="continue"/>
            <w:noWrap w:val="0"/>
            <w:vAlign w:val="top"/>
          </w:tcPr>
          <w:p>
            <w:pPr>
              <w:pStyle w:val="30"/>
              <w:rPr>
                <w:sz w:val="20"/>
              </w:rPr>
            </w:pPr>
          </w:p>
        </w:tc>
        <w:tc>
          <w:tcPr>
            <w:tcW w:w="1499" w:type="dxa"/>
            <w:noWrap w:val="0"/>
            <w:vAlign w:val="top"/>
          </w:tcPr>
          <w:p>
            <w:pPr>
              <w:pStyle w:val="30"/>
              <w:ind w:firstLine="400" w:firstLineChars="200"/>
              <w:rPr>
                <w:sz w:val="20"/>
              </w:rPr>
            </w:pPr>
            <w:r>
              <w:rPr>
                <w:rFonts w:hint="eastAsia"/>
                <w:sz w:val="20"/>
              </w:rPr>
              <w:t>桑葚</w:t>
            </w:r>
          </w:p>
        </w:tc>
        <w:tc>
          <w:tcPr>
            <w:tcW w:w="1039" w:type="dxa"/>
            <w:noWrap w:val="0"/>
            <w:vAlign w:val="top"/>
          </w:tcPr>
          <w:p>
            <w:pPr>
              <w:pStyle w:val="30"/>
              <w:ind w:firstLine="400" w:firstLineChars="200"/>
              <w:rPr>
                <w:rFonts w:hint="eastAsia"/>
                <w:sz w:val="20"/>
              </w:rPr>
            </w:pPr>
            <w:r>
              <w:rPr>
                <w:rFonts w:hint="eastAsia"/>
                <w:sz w:val="20"/>
              </w:rPr>
              <w:t>8</w:t>
            </w:r>
          </w:p>
        </w:tc>
        <w:tc>
          <w:tcPr>
            <w:tcW w:w="1848" w:type="dxa"/>
            <w:noWrap w:val="0"/>
            <w:vAlign w:val="top"/>
          </w:tcPr>
          <w:p>
            <w:pPr>
              <w:pStyle w:val="30"/>
              <w:rPr>
                <w:sz w:val="20"/>
              </w:rPr>
            </w:pPr>
            <w:r>
              <w:rPr>
                <w:sz w:val="20"/>
              </w:rPr>
              <w:t xml:space="preserve">脱氢乙酸及其钠盐 </w:t>
            </w:r>
          </w:p>
          <w:p>
            <w:pPr>
              <w:pStyle w:val="30"/>
              <w:rPr>
                <w:sz w:val="20"/>
              </w:rPr>
            </w:pPr>
            <w:r>
              <w:rPr>
                <w:rFonts w:hint="eastAsia"/>
                <w:sz w:val="20"/>
              </w:rPr>
              <w:t xml:space="preserve">(以脱氢乙酸计)、 糖精钠 (以糖精计) </w:t>
            </w:r>
          </w:p>
          <w:p>
            <w:pPr>
              <w:pStyle w:val="30"/>
              <w:rPr>
                <w:rFonts w:hint="eastAsia"/>
                <w:sz w:val="20"/>
              </w:rPr>
            </w:pPr>
          </w:p>
        </w:tc>
        <w:tc>
          <w:tcPr>
            <w:tcW w:w="5053" w:type="dxa"/>
            <w:noWrap w:val="0"/>
            <w:vAlign w:val="top"/>
          </w:tcPr>
          <w:p>
            <w:pPr>
              <w:pStyle w:val="30"/>
              <w:rPr>
                <w:sz w:val="20"/>
              </w:rPr>
            </w:pPr>
            <w:r>
              <w:rPr>
                <w:sz w:val="20"/>
              </w:rPr>
              <w:t>苯甲酸及</w:t>
            </w:r>
            <w:r>
              <w:rPr>
                <w:rFonts w:hint="eastAsia"/>
                <w:sz w:val="20"/>
              </w:rPr>
              <w:t xml:space="preserve">其钠盐（以苯甲酸计）、 多茵灵 </w:t>
            </w:r>
          </w:p>
          <w:p>
            <w:pPr>
              <w:pStyle w:val="30"/>
              <w:rPr>
                <w:rFonts w:hint="eastAsia"/>
                <w:sz w:val="20"/>
              </w:rPr>
            </w:pPr>
          </w:p>
        </w:tc>
        <w:tc>
          <w:tcPr>
            <w:tcW w:w="900" w:type="dxa"/>
            <w:noWrap w:val="0"/>
            <w:vAlign w:val="top"/>
          </w:tcPr>
          <w:p>
            <w:pPr>
              <w:pStyle w:val="30"/>
              <w:rPr>
                <w:b/>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3" w:hRule="atLeast"/>
        </w:trPr>
        <w:tc>
          <w:tcPr>
            <w:tcW w:w="704" w:type="dxa"/>
            <w:noWrap w:val="0"/>
            <w:vAlign w:val="top"/>
          </w:tcPr>
          <w:p>
            <w:pPr>
              <w:pStyle w:val="30"/>
              <w:spacing w:before="10"/>
              <w:rPr>
                <w:b/>
                <w:sz w:val="24"/>
              </w:rPr>
            </w:pPr>
          </w:p>
          <w:p>
            <w:pPr>
              <w:pStyle w:val="30"/>
              <w:ind w:left="135" w:right="123"/>
              <w:jc w:val="center"/>
              <w:rPr>
                <w:b/>
                <w:sz w:val="20"/>
              </w:rPr>
            </w:pPr>
            <w:r>
              <w:rPr>
                <w:spacing w:val="-5"/>
                <w:sz w:val="20"/>
              </w:rPr>
              <w:t>序列</w:t>
            </w:r>
          </w:p>
        </w:tc>
        <w:tc>
          <w:tcPr>
            <w:tcW w:w="959" w:type="dxa"/>
            <w:noWrap w:val="0"/>
            <w:vAlign w:val="top"/>
          </w:tcPr>
          <w:p>
            <w:pPr>
              <w:pStyle w:val="30"/>
              <w:spacing w:before="176" w:line="283" w:lineRule="auto"/>
              <w:ind w:left="174" w:right="78" w:hanging="99"/>
              <w:rPr>
                <w:sz w:val="20"/>
              </w:rPr>
            </w:pPr>
            <w:r>
              <w:rPr>
                <w:spacing w:val="-4"/>
                <w:sz w:val="20"/>
              </w:rPr>
              <w:t xml:space="preserve">食品亚类 </w:t>
            </w:r>
            <w:r>
              <w:rPr>
                <w:spacing w:val="2"/>
                <w:sz w:val="20"/>
              </w:rPr>
              <w:t>(二级)</w:t>
            </w:r>
          </w:p>
        </w:tc>
        <w:tc>
          <w:tcPr>
            <w:tcW w:w="1109" w:type="dxa"/>
            <w:noWrap w:val="0"/>
            <w:vAlign w:val="top"/>
          </w:tcPr>
          <w:p>
            <w:pPr>
              <w:pStyle w:val="30"/>
              <w:spacing w:before="176" w:line="283" w:lineRule="auto"/>
              <w:ind w:left="247" w:right="141" w:hanging="101"/>
              <w:rPr>
                <w:sz w:val="20"/>
              </w:rPr>
            </w:pPr>
            <w:r>
              <w:rPr>
                <w:spacing w:val="-4"/>
                <w:sz w:val="20"/>
              </w:rPr>
              <w:t xml:space="preserve">食品品种 </w:t>
            </w:r>
            <w:r>
              <w:rPr>
                <w:sz w:val="20"/>
              </w:rPr>
              <w:t>(三级)</w:t>
            </w:r>
          </w:p>
        </w:tc>
        <w:tc>
          <w:tcPr>
            <w:tcW w:w="1499" w:type="dxa"/>
            <w:noWrap w:val="0"/>
            <w:vAlign w:val="top"/>
          </w:tcPr>
          <w:p>
            <w:pPr>
              <w:pStyle w:val="30"/>
              <w:spacing w:before="178" w:line="273" w:lineRule="auto"/>
              <w:ind w:left="446" w:right="349" w:hanging="101"/>
              <w:rPr>
                <w:sz w:val="20"/>
              </w:rPr>
            </w:pPr>
            <w:r>
              <w:rPr>
                <w:spacing w:val="-4"/>
                <w:sz w:val="20"/>
              </w:rPr>
              <w:t xml:space="preserve">食品细类 </w:t>
            </w:r>
            <w:r>
              <w:rPr>
                <w:spacing w:val="1"/>
                <w:sz w:val="20"/>
              </w:rPr>
              <w:t>(四级)</w:t>
            </w:r>
          </w:p>
        </w:tc>
        <w:tc>
          <w:tcPr>
            <w:tcW w:w="1039" w:type="dxa"/>
            <w:noWrap w:val="0"/>
            <w:vAlign w:val="top"/>
          </w:tcPr>
          <w:p>
            <w:pPr>
              <w:pStyle w:val="30"/>
              <w:spacing w:before="7"/>
              <w:rPr>
                <w:sz w:val="24"/>
              </w:rPr>
            </w:pPr>
          </w:p>
          <w:p>
            <w:pPr>
              <w:pStyle w:val="30"/>
              <w:ind w:left="89" w:right="89"/>
              <w:jc w:val="center"/>
              <w:rPr>
                <w:sz w:val="20"/>
              </w:rPr>
            </w:pPr>
            <w:r>
              <w:rPr>
                <w:spacing w:val="-7"/>
                <w:sz w:val="20"/>
              </w:rPr>
              <w:t>抽检批次</w:t>
            </w:r>
          </w:p>
        </w:tc>
        <w:tc>
          <w:tcPr>
            <w:tcW w:w="1848" w:type="dxa"/>
            <w:noWrap w:val="0"/>
            <w:vAlign w:val="top"/>
          </w:tcPr>
          <w:p>
            <w:pPr>
              <w:pStyle w:val="30"/>
              <w:spacing w:before="5"/>
              <w:rPr>
                <w:sz w:val="24"/>
              </w:rPr>
            </w:pPr>
          </w:p>
          <w:p>
            <w:pPr>
              <w:pStyle w:val="30"/>
              <w:ind w:left="541"/>
              <w:rPr>
                <w:sz w:val="20"/>
              </w:rPr>
            </w:pPr>
            <w:r>
              <w:rPr>
                <w:spacing w:val="-3"/>
                <w:sz w:val="20"/>
              </w:rPr>
              <w:t>必检项目</w:t>
            </w:r>
          </w:p>
        </w:tc>
        <w:tc>
          <w:tcPr>
            <w:tcW w:w="5053" w:type="dxa"/>
            <w:noWrap w:val="0"/>
            <w:vAlign w:val="top"/>
          </w:tcPr>
          <w:p>
            <w:pPr>
              <w:pStyle w:val="30"/>
              <w:spacing w:before="10"/>
              <w:rPr>
                <w:sz w:val="24"/>
              </w:rPr>
            </w:pPr>
          </w:p>
          <w:p>
            <w:pPr>
              <w:pStyle w:val="30"/>
              <w:ind w:left="2330" w:right="1654"/>
              <w:jc w:val="center"/>
              <w:rPr>
                <w:sz w:val="20"/>
              </w:rPr>
            </w:pPr>
            <w:r>
              <w:rPr>
                <w:spacing w:val="-3"/>
                <w:sz w:val="20"/>
              </w:rPr>
              <w:t>自选项目</w:t>
            </w:r>
          </w:p>
        </w:tc>
        <w:tc>
          <w:tcPr>
            <w:tcW w:w="900" w:type="dxa"/>
            <w:noWrap w:val="0"/>
            <w:vAlign w:val="top"/>
          </w:tcPr>
          <w:p>
            <w:pPr>
              <w:pStyle w:val="30"/>
              <w:rPr>
                <w:rFonts w:hint="eastAsia"/>
                <w:sz w:val="20"/>
              </w:rPr>
            </w:pPr>
          </w:p>
          <w:p>
            <w:pPr>
              <w:pStyle w:val="30"/>
              <w:rPr>
                <w:rFonts w:hint="eastAsia"/>
                <w:sz w:val="20"/>
              </w:rPr>
            </w:pPr>
            <w:r>
              <w:rPr>
                <w:rFonts w:hint="eastAsia"/>
                <w:sz w:val="2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3" w:hRule="atLeast"/>
        </w:trPr>
        <w:tc>
          <w:tcPr>
            <w:tcW w:w="704" w:type="dxa"/>
            <w:noWrap w:val="0"/>
            <w:vAlign w:val="center"/>
          </w:tcPr>
          <w:p>
            <w:pPr>
              <w:pStyle w:val="30"/>
              <w:jc w:val="center"/>
              <w:rPr>
                <w:b/>
                <w:sz w:val="20"/>
              </w:rPr>
            </w:pPr>
            <w:r>
              <w:rPr>
                <w:b/>
                <w:sz w:val="20"/>
              </w:rPr>
              <w:t>5</w:t>
            </w:r>
          </w:p>
        </w:tc>
        <w:tc>
          <w:tcPr>
            <w:tcW w:w="959" w:type="dxa"/>
            <w:noWrap w:val="0"/>
            <w:vAlign w:val="top"/>
          </w:tcPr>
          <w:p>
            <w:pPr>
              <w:pStyle w:val="30"/>
              <w:rPr>
                <w:sz w:val="20"/>
              </w:rPr>
            </w:pPr>
          </w:p>
          <w:p>
            <w:pPr>
              <w:pStyle w:val="30"/>
              <w:rPr>
                <w:sz w:val="20"/>
              </w:rPr>
            </w:pPr>
            <w:r>
              <w:rPr>
                <w:sz w:val="20"/>
              </w:rPr>
              <w:t>鲜蛋</w:t>
            </w:r>
          </w:p>
        </w:tc>
        <w:tc>
          <w:tcPr>
            <w:tcW w:w="1109" w:type="dxa"/>
            <w:noWrap w:val="0"/>
            <w:vAlign w:val="top"/>
          </w:tcPr>
          <w:p>
            <w:pPr>
              <w:pStyle w:val="30"/>
              <w:rPr>
                <w:sz w:val="20"/>
              </w:rPr>
            </w:pPr>
          </w:p>
          <w:p>
            <w:pPr>
              <w:pStyle w:val="30"/>
              <w:rPr>
                <w:sz w:val="20"/>
              </w:rPr>
            </w:pPr>
            <w:r>
              <w:rPr>
                <w:sz w:val="20"/>
              </w:rPr>
              <w:t>鲜蛋</w:t>
            </w:r>
          </w:p>
        </w:tc>
        <w:tc>
          <w:tcPr>
            <w:tcW w:w="1499" w:type="dxa"/>
            <w:noWrap w:val="0"/>
            <w:vAlign w:val="top"/>
          </w:tcPr>
          <w:p>
            <w:pPr>
              <w:pStyle w:val="30"/>
              <w:rPr>
                <w:sz w:val="20"/>
              </w:rPr>
            </w:pPr>
          </w:p>
          <w:p>
            <w:pPr>
              <w:pStyle w:val="30"/>
              <w:ind w:firstLine="400" w:firstLineChars="200"/>
              <w:rPr>
                <w:sz w:val="20"/>
              </w:rPr>
            </w:pPr>
            <w:r>
              <w:rPr>
                <w:sz w:val="20"/>
              </w:rPr>
              <w:t>鸡蛋</w:t>
            </w:r>
          </w:p>
        </w:tc>
        <w:tc>
          <w:tcPr>
            <w:tcW w:w="1039" w:type="dxa"/>
            <w:noWrap w:val="0"/>
            <w:vAlign w:val="top"/>
          </w:tcPr>
          <w:p>
            <w:pPr>
              <w:pStyle w:val="30"/>
              <w:rPr>
                <w:sz w:val="20"/>
              </w:rPr>
            </w:pPr>
          </w:p>
          <w:p>
            <w:pPr>
              <w:pStyle w:val="30"/>
              <w:ind w:firstLine="400" w:firstLineChars="200"/>
              <w:rPr>
                <w:sz w:val="20"/>
              </w:rPr>
            </w:pPr>
            <w:r>
              <w:rPr>
                <w:sz w:val="20"/>
              </w:rPr>
              <w:t>49</w:t>
            </w:r>
          </w:p>
        </w:tc>
        <w:tc>
          <w:tcPr>
            <w:tcW w:w="1848" w:type="dxa"/>
            <w:noWrap w:val="0"/>
            <w:vAlign w:val="top"/>
          </w:tcPr>
          <w:p>
            <w:pPr>
              <w:pStyle w:val="30"/>
              <w:rPr>
                <w:sz w:val="20"/>
              </w:rPr>
            </w:pPr>
          </w:p>
          <w:p>
            <w:pPr>
              <w:pStyle w:val="30"/>
              <w:rPr>
                <w:sz w:val="20"/>
              </w:rPr>
            </w:pPr>
            <w:r>
              <w:rPr>
                <w:sz w:val="20"/>
              </w:rPr>
              <w:t xml:space="preserve">甲硝唑、甲氧苄啶、多西环素 </w:t>
            </w:r>
          </w:p>
          <w:p>
            <w:pPr>
              <w:pStyle w:val="30"/>
              <w:rPr>
                <w:sz w:val="20"/>
              </w:rPr>
            </w:pPr>
          </w:p>
          <w:p>
            <w:pPr>
              <w:pStyle w:val="30"/>
              <w:rPr>
                <w:sz w:val="20"/>
              </w:rPr>
            </w:pPr>
          </w:p>
        </w:tc>
        <w:tc>
          <w:tcPr>
            <w:tcW w:w="5053" w:type="dxa"/>
            <w:noWrap w:val="0"/>
            <w:vAlign w:val="top"/>
          </w:tcPr>
          <w:p>
            <w:pPr>
              <w:pStyle w:val="30"/>
              <w:rPr>
                <w:sz w:val="20"/>
              </w:rPr>
            </w:pPr>
            <w:r>
              <w:rPr>
                <w:sz w:val="20"/>
              </w:rPr>
              <w:t>氯霉素、恩诺沙星、沙拉沙星、氧氟沙星、多西环素、氟苯尼考、甲 砜霉素、甲氧苄啶、磺胺类( 总量)、呋喃唑酮代谢物、氟虫腈</w:t>
            </w:r>
          </w:p>
        </w:tc>
        <w:tc>
          <w:tcPr>
            <w:tcW w:w="900" w:type="dxa"/>
            <w:noWrap w:val="0"/>
            <w:vAlign w:val="top"/>
          </w:tcPr>
          <w:p>
            <w:pPr>
              <w:pStyle w:val="30"/>
              <w:rPr>
                <w:b/>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3" w:hRule="atLeast"/>
        </w:trPr>
        <w:tc>
          <w:tcPr>
            <w:tcW w:w="704" w:type="dxa"/>
            <w:noWrap w:val="0"/>
            <w:vAlign w:val="center"/>
          </w:tcPr>
          <w:p>
            <w:pPr>
              <w:pStyle w:val="30"/>
              <w:jc w:val="center"/>
              <w:rPr>
                <w:b/>
                <w:sz w:val="20"/>
              </w:rPr>
            </w:pPr>
            <w:r>
              <w:rPr>
                <w:b/>
                <w:sz w:val="20"/>
              </w:rPr>
              <w:t>6</w:t>
            </w:r>
          </w:p>
        </w:tc>
        <w:tc>
          <w:tcPr>
            <w:tcW w:w="959" w:type="dxa"/>
            <w:noWrap w:val="0"/>
            <w:vAlign w:val="top"/>
          </w:tcPr>
          <w:p>
            <w:pPr>
              <w:pStyle w:val="30"/>
              <w:rPr>
                <w:sz w:val="20"/>
              </w:rPr>
            </w:pPr>
          </w:p>
          <w:p>
            <w:pPr>
              <w:pStyle w:val="30"/>
              <w:rPr>
                <w:sz w:val="20"/>
              </w:rPr>
            </w:pPr>
            <w:r>
              <w:rPr>
                <w:sz w:val="20"/>
              </w:rPr>
              <w:t>生干坚果与籽类食品</w:t>
            </w:r>
          </w:p>
        </w:tc>
        <w:tc>
          <w:tcPr>
            <w:tcW w:w="1109" w:type="dxa"/>
            <w:noWrap w:val="0"/>
            <w:vAlign w:val="top"/>
          </w:tcPr>
          <w:p>
            <w:pPr>
              <w:pStyle w:val="30"/>
              <w:rPr>
                <w:sz w:val="20"/>
              </w:rPr>
            </w:pPr>
          </w:p>
          <w:p>
            <w:pPr>
              <w:pStyle w:val="30"/>
              <w:rPr>
                <w:sz w:val="20"/>
              </w:rPr>
            </w:pPr>
          </w:p>
          <w:p>
            <w:pPr>
              <w:pStyle w:val="30"/>
              <w:rPr>
                <w:sz w:val="20"/>
              </w:rPr>
            </w:pPr>
            <w:r>
              <w:rPr>
                <w:sz w:val="20"/>
              </w:rPr>
              <w:t>生干籽类</w:t>
            </w:r>
          </w:p>
        </w:tc>
        <w:tc>
          <w:tcPr>
            <w:tcW w:w="1499" w:type="dxa"/>
            <w:noWrap w:val="0"/>
            <w:vAlign w:val="top"/>
          </w:tcPr>
          <w:p>
            <w:pPr>
              <w:pStyle w:val="30"/>
              <w:rPr>
                <w:sz w:val="20"/>
              </w:rPr>
            </w:pPr>
          </w:p>
          <w:p>
            <w:pPr>
              <w:pStyle w:val="30"/>
              <w:rPr>
                <w:sz w:val="20"/>
              </w:rPr>
            </w:pPr>
            <w:r>
              <w:rPr>
                <w:sz w:val="20"/>
              </w:rPr>
              <w:t>生干籽类(重点品种：芝麻、花生 )</w:t>
            </w:r>
          </w:p>
        </w:tc>
        <w:tc>
          <w:tcPr>
            <w:tcW w:w="1039" w:type="dxa"/>
            <w:noWrap w:val="0"/>
            <w:vAlign w:val="top"/>
          </w:tcPr>
          <w:p>
            <w:pPr>
              <w:pStyle w:val="30"/>
              <w:rPr>
                <w:sz w:val="20"/>
              </w:rPr>
            </w:pPr>
          </w:p>
          <w:p>
            <w:pPr>
              <w:pStyle w:val="30"/>
              <w:rPr>
                <w:sz w:val="20"/>
              </w:rPr>
            </w:pPr>
          </w:p>
          <w:p>
            <w:pPr>
              <w:pStyle w:val="30"/>
              <w:ind w:firstLine="400" w:firstLineChars="200"/>
              <w:rPr>
                <w:sz w:val="20"/>
              </w:rPr>
            </w:pPr>
            <w:r>
              <w:rPr>
                <w:sz w:val="20"/>
              </w:rPr>
              <w:t>15</w:t>
            </w:r>
          </w:p>
        </w:tc>
        <w:tc>
          <w:tcPr>
            <w:tcW w:w="1848" w:type="dxa"/>
            <w:noWrap w:val="0"/>
            <w:vAlign w:val="top"/>
          </w:tcPr>
          <w:p>
            <w:pPr>
              <w:pStyle w:val="30"/>
              <w:rPr>
                <w:sz w:val="20"/>
              </w:rPr>
            </w:pPr>
            <w:r>
              <w:rPr>
                <w:sz w:val="20"/>
              </w:rPr>
              <w:t>酸价(以脂肪计</w:t>
            </w:r>
          </w:p>
          <w:p>
            <w:pPr>
              <w:pStyle w:val="30"/>
              <w:rPr>
                <w:sz w:val="20"/>
              </w:rPr>
            </w:pPr>
            <w:r>
              <w:rPr>
                <w:sz w:val="20"/>
              </w:rPr>
              <w:t>)(KOH)、</w:t>
            </w:r>
          </w:p>
          <w:p>
            <w:pPr>
              <w:pStyle w:val="30"/>
              <w:rPr>
                <w:sz w:val="20"/>
              </w:rPr>
            </w:pPr>
            <w:r>
              <w:rPr>
                <w:sz w:val="20"/>
              </w:rPr>
              <w:t>黄曲霉毒素B,(重点</w:t>
            </w:r>
          </w:p>
          <w:p>
            <w:pPr>
              <w:pStyle w:val="30"/>
              <w:rPr>
                <w:sz w:val="20"/>
              </w:rPr>
            </w:pPr>
            <w:r>
              <w:rPr>
                <w:sz w:val="20"/>
              </w:rPr>
              <w:t>品种： 花生)</w:t>
            </w:r>
          </w:p>
        </w:tc>
        <w:tc>
          <w:tcPr>
            <w:tcW w:w="5053" w:type="dxa"/>
            <w:noWrap w:val="0"/>
            <w:vAlign w:val="top"/>
          </w:tcPr>
          <w:p>
            <w:pPr>
              <w:pStyle w:val="30"/>
              <w:rPr>
                <w:sz w:val="20"/>
              </w:rPr>
            </w:pPr>
          </w:p>
          <w:p>
            <w:pPr>
              <w:pStyle w:val="30"/>
              <w:rPr>
                <w:sz w:val="20"/>
              </w:rPr>
            </w:pPr>
            <w:r>
              <w:rPr>
                <w:sz w:val="20"/>
              </w:rPr>
              <w:t>过氧化值( 以脂肪计) 、镉( 以Cd计) 、嘧菌酯</w:t>
            </w:r>
          </w:p>
        </w:tc>
        <w:tc>
          <w:tcPr>
            <w:tcW w:w="900" w:type="dxa"/>
            <w:noWrap w:val="0"/>
            <w:vAlign w:val="top"/>
          </w:tcPr>
          <w:p>
            <w:pPr>
              <w:pStyle w:val="30"/>
              <w:rPr>
                <w:sz w:val="20"/>
              </w:rPr>
            </w:pPr>
            <w:r>
              <w:rPr>
                <w:sz w:val="20"/>
              </w:rPr>
              <w:t>仅花生检测黄曲霉毒素B₁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3" w:hRule="atLeast"/>
        </w:trPr>
        <w:tc>
          <w:tcPr>
            <w:tcW w:w="13111" w:type="dxa"/>
            <w:gridSpan w:val="8"/>
            <w:noWrap w:val="0"/>
            <w:vAlign w:val="top"/>
          </w:tcPr>
          <w:p>
            <w:pPr>
              <w:pStyle w:val="30"/>
              <w:spacing w:line="247" w:lineRule="auto"/>
              <w:ind w:left="60" w:right="151"/>
              <w:rPr>
                <w:color w:val="000000"/>
                <w:sz w:val="20"/>
              </w:rPr>
            </w:pPr>
            <w:r>
              <w:rPr>
                <w:color w:val="000000"/>
                <w:spacing w:val="5"/>
                <w:sz w:val="20"/>
              </w:rPr>
              <w:t>注：</w:t>
            </w:r>
            <w:r>
              <w:rPr>
                <w:color w:val="000000"/>
                <w:spacing w:val="10"/>
                <w:sz w:val="20"/>
              </w:rPr>
              <w:t>1</w:t>
            </w:r>
            <w:r>
              <w:rPr>
                <w:color w:val="000000"/>
                <w:sz w:val="20"/>
              </w:rPr>
              <w:t>.部分项目检测结果说明：恩诺沙星检验结果以恩诺沙星与环丙沙星之和计：孔雀石绿检验结果以孔雀石绿与隐色孔雀石绿之和计，以 孔雀</w:t>
            </w:r>
            <w:r>
              <w:rPr>
                <w:color w:val="000000"/>
                <w:spacing w:val="14"/>
                <w:sz w:val="20"/>
              </w:rPr>
              <w:t>石绿表示：磺胺类(总量)包含的具体磺胺药物按国家食品安全监督抽检实施细则(</w:t>
            </w:r>
            <w:r>
              <w:rPr>
                <w:color w:val="000000"/>
                <w:spacing w:val="11"/>
                <w:sz w:val="20"/>
              </w:rPr>
              <w:t>2023</w:t>
            </w:r>
            <w:r>
              <w:rPr>
                <w:color w:val="000000"/>
                <w:spacing w:val="5"/>
                <w:sz w:val="20"/>
              </w:rPr>
              <w:t>年版)中相应食品类别要求检验。</w:t>
            </w:r>
          </w:p>
          <w:p>
            <w:pPr>
              <w:pStyle w:val="30"/>
              <w:spacing w:line="247" w:lineRule="auto"/>
              <w:ind w:right="151" w:firstLine="420" w:firstLineChars="200"/>
              <w:rPr>
                <w:color w:val="000000"/>
                <w:sz w:val="20"/>
              </w:rPr>
            </w:pPr>
            <w:r>
              <w:rPr>
                <w:color w:val="000000"/>
                <w:sz w:val="21"/>
              </w:rPr>
              <w:t>2.酸</w:t>
            </w:r>
            <w:r>
              <w:rPr>
                <w:color w:val="000000"/>
                <w:sz w:val="20"/>
              </w:rPr>
              <w:t>价、过氧化值依据GB19300判定时，样品前处理按该标准附录B规定；脂肪含量低的莲子、板栗类等食品，其酸价、过氧化值不作 要求</w:t>
            </w:r>
          </w:p>
          <w:p>
            <w:pPr>
              <w:pStyle w:val="30"/>
              <w:spacing w:line="247" w:lineRule="auto"/>
              <w:ind w:left="60" w:right="151"/>
              <w:rPr>
                <w:color w:val="000000"/>
                <w:sz w:val="20"/>
              </w:rPr>
            </w:pPr>
            <w:r>
              <w:rPr>
                <w:color w:val="000000"/>
                <w:sz w:val="20"/>
              </w:rPr>
              <w:t>；其中芝麻的酸价不纳入202</w:t>
            </w:r>
            <w:r>
              <w:rPr>
                <w:rFonts w:hint="eastAsia"/>
                <w:color w:val="000000"/>
                <w:sz w:val="20"/>
              </w:rPr>
              <w:t>4</w:t>
            </w:r>
            <w:r>
              <w:rPr>
                <w:color w:val="000000"/>
                <w:sz w:val="20"/>
              </w:rPr>
              <w:t>年监督抽检。</w:t>
            </w:r>
          </w:p>
          <w:p>
            <w:pPr>
              <w:widowControl/>
              <w:ind w:firstLine="400" w:firstLineChars="200"/>
              <w:rPr>
                <w:color w:val="000000"/>
                <w:sz w:val="20"/>
              </w:rPr>
            </w:pPr>
            <w:r>
              <w:rPr>
                <w:color w:val="000000"/>
                <w:sz w:val="20"/>
              </w:rPr>
              <w:t>3.海</w:t>
            </w:r>
            <w:r>
              <w:rPr>
                <w:rFonts w:hint="eastAsia"/>
                <w:color w:val="000000"/>
                <w:sz w:val="20"/>
              </w:rPr>
              <w:t>水蟹、虾蛄中镉 (以 Cd计)仅限生产日期在 2023年 6月 30日 (含)之后的产品检测。</w:t>
            </w:r>
          </w:p>
          <w:p>
            <w:pPr>
              <w:pStyle w:val="30"/>
              <w:spacing w:line="247" w:lineRule="auto"/>
              <w:ind w:left="60" w:right="151" w:firstLine="420" w:firstLineChars="200"/>
              <w:rPr>
                <w:color w:val="000000"/>
                <w:spacing w:val="14"/>
                <w:sz w:val="20"/>
              </w:rPr>
            </w:pPr>
            <w:r>
              <w:rPr>
                <w:rFonts w:hint="eastAsia"/>
                <w:color w:val="000000"/>
                <w:sz w:val="21"/>
              </w:rPr>
              <w:t>4</w:t>
            </w:r>
            <w:r>
              <w:rPr>
                <w:color w:val="000000"/>
                <w:spacing w:val="14"/>
                <w:sz w:val="20"/>
              </w:rPr>
              <w:t>.选检项目选择原则：</w:t>
            </w:r>
          </w:p>
          <w:p>
            <w:pPr>
              <w:pStyle w:val="30"/>
              <w:spacing w:line="247" w:lineRule="auto"/>
              <w:ind w:left="60" w:right="151" w:firstLine="456" w:firstLineChars="200"/>
              <w:rPr>
                <w:color w:val="000000"/>
                <w:spacing w:val="14"/>
                <w:sz w:val="20"/>
              </w:rPr>
            </w:pPr>
            <w:r>
              <w:rPr>
                <w:rFonts w:hint="eastAsia"/>
                <w:color w:val="000000"/>
                <w:spacing w:val="14"/>
                <w:sz w:val="20"/>
              </w:rPr>
              <w:t>①</w:t>
            </w:r>
            <w:r>
              <w:rPr>
                <w:color w:val="000000"/>
                <w:spacing w:val="14"/>
                <w:sz w:val="20"/>
              </w:rPr>
              <w:t>金刚烷胺、利巴韦 林等药物在相关限量标准发布实施前不得纳入监督抽检：鉴于检测方法等问题，虾、蟹中呋喃西林代谢物不得纳入监督抽检。</w:t>
            </w:r>
          </w:p>
          <w:p>
            <w:pPr>
              <w:pStyle w:val="30"/>
              <w:spacing w:line="247" w:lineRule="auto"/>
              <w:ind w:left="60" w:right="151" w:firstLine="456" w:firstLineChars="200"/>
              <w:rPr>
                <w:color w:val="000000"/>
                <w:spacing w:val="14"/>
                <w:sz w:val="20"/>
              </w:rPr>
            </w:pPr>
            <w:r>
              <w:rPr>
                <w:rFonts w:hint="eastAsia"/>
                <w:color w:val="000000"/>
                <w:spacing w:val="14"/>
                <w:sz w:val="20"/>
              </w:rPr>
              <w:t>②</w:t>
            </w:r>
            <w:r>
              <w:rPr>
                <w:color w:val="000000"/>
                <w:spacing w:val="14"/>
                <w:sz w:val="20"/>
              </w:rPr>
              <w:t>选检项目应根据当地农业投入品使用情况及既往抽检不合格、当地舆情情况选择，如在本表选检项目之外确定检测项目时，应注意； 农药残留项目在GB 2763-2021标准中有该品种最大允许残留限量及相应指定检测方法；兽药项目在GB 31650-2019、GB 31650.1-2022有该 动物类别 相应组织部位的允许限量，或农业农村部公告250 号有禁用要求，且有适用检测方法(检测范围应包含该动物相应组织部位), 符 合上述要求的农兽药项目方可纳入监督抽检。</w:t>
            </w:r>
          </w:p>
          <w:p>
            <w:pPr>
              <w:pStyle w:val="30"/>
              <w:spacing w:line="247" w:lineRule="auto"/>
              <w:ind w:left="60" w:right="151" w:firstLine="456" w:firstLineChars="200"/>
              <w:rPr>
                <w:color w:val="000000"/>
                <w:spacing w:val="14"/>
                <w:sz w:val="20"/>
              </w:rPr>
            </w:pPr>
            <w:r>
              <w:rPr>
                <w:rFonts w:hint="eastAsia"/>
                <w:color w:val="000000"/>
                <w:spacing w:val="14"/>
                <w:sz w:val="20"/>
              </w:rPr>
              <w:t>5、</w:t>
            </w:r>
            <w:r>
              <w:rPr>
                <w:color w:val="000000"/>
                <w:spacing w:val="14"/>
                <w:sz w:val="20"/>
              </w:rPr>
              <w:t>因生干籽类细类中包含除重点品种花生外的其他生干籽类产品，其他水产品中包含除重点品种牛蛙、鱿鱼外的其他水产品，因此”国抽信息系统”不作必检项限制，但各承检机构应按承检区域必检项目要求实施检验，不得漏检漏报。</w:t>
            </w:r>
          </w:p>
          <w:p>
            <w:pPr>
              <w:pStyle w:val="30"/>
              <w:spacing w:line="247" w:lineRule="auto"/>
              <w:ind w:left="60" w:right="151" w:firstLine="456" w:firstLineChars="200"/>
              <w:rPr>
                <w:color w:val="000000"/>
                <w:spacing w:val="14"/>
                <w:sz w:val="20"/>
              </w:rPr>
            </w:pPr>
            <w:r>
              <w:rPr>
                <w:rFonts w:hint="eastAsia"/>
                <w:color w:val="000000"/>
                <w:spacing w:val="14"/>
                <w:sz w:val="20"/>
              </w:rPr>
              <w:t>6、</w:t>
            </w:r>
            <w:r>
              <w:rPr>
                <w:color w:val="000000"/>
                <w:spacing w:val="14"/>
                <w:sz w:val="20"/>
              </w:rPr>
              <w:t xml:space="preserve">.2024年 </w:t>
            </w:r>
            <w:r>
              <w:rPr>
                <w:rFonts w:hint="eastAsia"/>
                <w:color w:val="000000"/>
                <w:spacing w:val="14"/>
                <w:sz w:val="20"/>
              </w:rPr>
              <w:t>3月 6日 (含)起 ,铅 (以 Pb计)应 采用 GB 5009.12-2023检 测,镉(以 Cd计)应 采用 CB 5009.15-2023检 测,铬 (以 Cr计)应 采用 GB 5009.123-2023 检测,过 氧化值(以 脂肪计)应 采用 GB 5009,227-2023检 测,三氯蔗糖应采用 GB 5009.298-2023检测,甜蜜素(以环已基氨基磺酸计)限 2024年 3月 6日 (含)之后检测。</w:t>
            </w:r>
          </w:p>
          <w:p>
            <w:pPr>
              <w:pStyle w:val="30"/>
              <w:rPr>
                <w:b/>
                <w:sz w:val="20"/>
              </w:rPr>
            </w:pPr>
          </w:p>
        </w:tc>
      </w:tr>
    </w:tbl>
    <w:p>
      <w:pPr>
        <w:spacing w:line="220" w:lineRule="auto"/>
        <w:rPr>
          <w:rFonts w:ascii="Segoe UI" w:hAnsi="Segoe UI" w:eastAsia="Segoe UI"/>
          <w:sz w:val="20"/>
        </w:rPr>
        <w:sectPr>
          <w:type w:val="nextColumn"/>
          <w:pgSz w:w="16840" w:h="11907" w:orient="landscape"/>
          <w:pgMar w:top="1418" w:right="1418" w:bottom="1134" w:left="1418" w:header="720" w:footer="720" w:gutter="0"/>
          <w:cols w:space="720" w:num="1"/>
        </w:sectPr>
      </w:pPr>
    </w:p>
    <w:p>
      <w:pPr>
        <w:spacing w:before="21"/>
        <w:ind w:left="123"/>
        <w:rPr>
          <w:rFonts w:hint="eastAsia" w:ascii="黑体" w:eastAsia="黑体"/>
          <w:b/>
          <w:sz w:val="35"/>
        </w:rPr>
      </w:pPr>
      <w:r>
        <w:rPr>
          <w:rFonts w:hint="eastAsia" w:ascii="黑体" w:eastAsia="黑体"/>
          <w:b/>
          <w:spacing w:val="-10"/>
          <w:sz w:val="35"/>
        </w:rPr>
        <w:t>附件3</w:t>
      </w:r>
    </w:p>
    <w:p>
      <w:pPr>
        <w:pStyle w:val="3"/>
        <w:kinsoku/>
        <w:wordWrap w:val="0"/>
        <w:spacing w:line="360" w:lineRule="auto"/>
        <w:ind w:firstLine="731" w:firstLineChars="200"/>
        <w:jc w:val="center"/>
        <w:rPr>
          <w:rFonts w:hint="eastAsia" w:asciiTheme="minorEastAsia" w:hAnsiTheme="minorEastAsia" w:eastAsiaTheme="minorEastAsia" w:cstheme="minorEastAsia"/>
          <w:b/>
          <w:bCs/>
          <w:spacing w:val="2"/>
          <w:sz w:val="36"/>
          <w:szCs w:val="36"/>
        </w:rPr>
      </w:pPr>
      <w:r>
        <w:rPr>
          <w:rFonts w:hint="eastAsia" w:asciiTheme="minorEastAsia" w:hAnsiTheme="minorEastAsia" w:eastAsiaTheme="minorEastAsia" w:cstheme="minorEastAsia"/>
          <w:b/>
          <w:bCs/>
          <w:spacing w:val="2"/>
          <w:sz w:val="36"/>
          <w:szCs w:val="36"/>
        </w:rPr>
        <w:t>2024年食用农产品监督抽检工作要求</w:t>
      </w:r>
    </w:p>
    <w:p>
      <w:pPr>
        <w:pStyle w:val="3"/>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p>
    <w:p>
      <w:pPr>
        <w:pStyle w:val="3"/>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为规范食用农产品监督抽检工作，落实检管结合、溯源信息填报、均衡抽检等工作要求，提升食用农产品监督抽检工作质量，现就有关事项明确如下：</w:t>
      </w:r>
      <w:bookmarkStart w:id="2" w:name="一、监管人员陪同抽样"/>
      <w:bookmarkEnd w:id="2"/>
    </w:p>
    <w:p>
      <w:pPr>
        <w:pStyle w:val="3"/>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一、监管人员陪同抽样</w:t>
      </w:r>
    </w:p>
    <w:p>
      <w:pPr>
        <w:pStyle w:val="3"/>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食用农产品抽样可由任务下达市场监管部门自行抽样或委托承检机构抽样。委托抽样的，应由被抽样单位所在地辖区市场监管部门2名监管人员、抽样机构2名抽样人员共同抽样；抽样前，承检机构应与相关市场监管部门联系，明确拟抽样场所及日期，属地市场监管部门应及时协调并安排监管人员陪同抽样。抽样人员选定样品后，监管人员应对被抽样单位和个人依法经营、索证索票等进行现场检查，发现违反有关法律法规的行为应记录和取证并依法处罚。对符合抽检要求的，抽样人员和现场监管人员应共同在抽样单上签字，并在国家食品安全抽样检验信息系统 (以下简称“国抽信息系统”)中输入抽样人员和监管人员姓名。</w:t>
      </w:r>
      <w:bookmarkStart w:id="3" w:name="二、 食用农产品溯源信息填报"/>
      <w:bookmarkEnd w:id="3"/>
    </w:p>
    <w:p>
      <w:pPr>
        <w:pStyle w:val="3"/>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二、 食用农产品溯源信息填报</w:t>
      </w:r>
    </w:p>
    <w:p>
      <w:pPr>
        <w:pStyle w:val="3"/>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食用农产品抽样应填写产地溯源信息，主要包括以下内容：</w:t>
      </w:r>
    </w:p>
    <w:p>
      <w:pPr>
        <w:pStyle w:val="3"/>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一)食用农产品抽样溯源信息，包括抽检样品的供应商名称、地址、电话或生产者名称、地址等。主要从样品标签，被抽样单位提供样品的动物检疫合格证明、肉品品质检验合格证、动物产品检疫验讫二维码、承诺达标合格证、入境货物检验检疫证明、进货票据等凭证获取。</w:t>
      </w:r>
    </w:p>
    <w:p>
      <w:pPr>
        <w:pStyle w:val="3"/>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二)抽样人员应严格按现场提供或确认的信息填写抽样单。有关溯源信息凭证应拍照并上传国抽信息系统。当溯源信息仅有生产者、供应商名称或证照编号(统一社会信用代码或注册号)时，可通过“国家企业信用公示系统”等平台查询缺失信息，并按实际情形备注说明。溯源信息不全时，被抽样单位至少要提供供应商姓名和联系电话。</w:t>
      </w:r>
    </w:p>
    <w:p>
      <w:pPr>
        <w:pStyle w:val="3"/>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三)案件稽查、事故调查、应急处置或在抽样现场发现有明显问题的食用农产品，可不受抽样数量、抽样地点、被抽样单位是否具备合法资质、销售产品是否提供溯源信息等限制；对需要开展不合格食用农产品跟踪抽检的，抽样单备注栏填写“此样品为跟踪抽检”。</w:t>
      </w:r>
      <w:bookmarkStart w:id="4" w:name="三、 必检和自选品种及检验项目"/>
      <w:bookmarkEnd w:id="4"/>
    </w:p>
    <w:p>
      <w:pPr>
        <w:pStyle w:val="3"/>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三、 必检和自选品种及检验项目</w:t>
      </w:r>
    </w:p>
    <w:p>
      <w:pPr>
        <w:pStyle w:val="3"/>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在抽样品种上，应结合季节供应特点、当地食用习惯合理确定。应合理确定各类食用农产品的抽检比例和批次，杜绝对同一食用农产品反复抽检。在自选检验项目上，应根据当地既往抽检情况、食品安全标准要求、舆情信息、农兽药使用情况等进行确定。</w:t>
      </w:r>
      <w:bookmarkStart w:id="5" w:name="四、 推进均衡抽检"/>
      <w:bookmarkEnd w:id="5"/>
    </w:p>
    <w:p>
      <w:pPr>
        <w:pStyle w:val="3"/>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四、 推进均衡抽检</w:t>
      </w:r>
    </w:p>
    <w:p>
      <w:pPr>
        <w:pStyle w:val="3"/>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各级市场监管部门应根据本行政区域食用农产品生产销售的季节特点安排监督抽检任务，应重点抽取当季食用农产品，对不合格较多的食用农产品适当增加抽检频次。对食用农产品集中交易市场的经营者尽可能抽检全覆盖。</w:t>
      </w:r>
    </w:p>
    <w:p>
      <w:pPr>
        <w:pStyle w:val="2"/>
        <w:rPr>
          <w:sz w:val="28"/>
          <w:szCs w:val="28"/>
        </w:rPr>
      </w:pPr>
    </w:p>
    <w:p>
      <w:pPr>
        <w:pStyle w:val="2"/>
      </w:pPr>
    </w:p>
    <w:p>
      <w:pPr>
        <w:pStyle w:val="5"/>
      </w:pPr>
    </w:p>
    <w:p/>
    <w:p>
      <w:pPr>
        <w:pStyle w:val="2"/>
      </w:pPr>
    </w:p>
    <w:p>
      <w:pPr>
        <w:pStyle w:val="5"/>
      </w:pPr>
    </w:p>
    <w:p/>
    <w:p>
      <w:pPr>
        <w:pStyle w:val="2"/>
      </w:pPr>
    </w:p>
    <w:p>
      <w:pPr>
        <w:pStyle w:val="5"/>
      </w:pPr>
    </w:p>
    <w:p/>
    <w:p>
      <w:pPr>
        <w:pStyle w:val="2"/>
      </w:pPr>
    </w:p>
    <w:p>
      <w:pPr>
        <w:pStyle w:val="5"/>
      </w:pPr>
    </w:p>
    <w:p/>
    <w:p>
      <w:pPr>
        <w:pStyle w:val="2"/>
      </w:pPr>
    </w:p>
    <w:p>
      <w:pPr>
        <w:pStyle w:val="5"/>
      </w:pPr>
    </w:p>
    <w:p/>
    <w:p>
      <w:pPr>
        <w:pStyle w:val="2"/>
      </w:pPr>
    </w:p>
    <w:p>
      <w:pPr>
        <w:pStyle w:val="5"/>
      </w:pPr>
    </w:p>
    <w:p/>
    <w:p>
      <w:pPr>
        <w:pStyle w:val="2"/>
      </w:pPr>
    </w:p>
    <w:p>
      <w:pPr>
        <w:pStyle w:val="5"/>
      </w:pPr>
    </w:p>
    <w:p/>
    <w:p>
      <w:pPr>
        <w:pStyle w:val="2"/>
      </w:pPr>
    </w:p>
    <w:p>
      <w:pPr>
        <w:pStyle w:val="5"/>
      </w:pPr>
    </w:p>
    <w:p/>
    <w:p>
      <w:pPr>
        <w:pStyle w:val="5"/>
        <w:ind w:left="0" w:leftChars="0" w:firstLine="0" w:firstLineChars="0"/>
      </w:pPr>
    </w:p>
    <w:p>
      <w:pPr>
        <w:pStyle w:val="3"/>
        <w:kinsoku/>
        <w:wordWrap w:val="0"/>
        <w:spacing w:line="360" w:lineRule="auto"/>
        <w:jc w:val="center"/>
        <w:rPr>
          <w:rFonts w:asciiTheme="minorEastAsia" w:hAnsiTheme="minorEastAsia" w:eastAsiaTheme="minorEastAsia" w:cstheme="minorEastAsia"/>
          <w:spacing w:val="-1"/>
          <w:sz w:val="36"/>
          <w:szCs w:val="36"/>
        </w:rPr>
      </w:pPr>
      <w:r>
        <w:rPr>
          <w:rFonts w:hint="eastAsia" w:asciiTheme="minorEastAsia" w:hAnsiTheme="minorEastAsia" w:eastAsiaTheme="minorEastAsia" w:cstheme="minorEastAsia"/>
          <w:spacing w:val="-1"/>
          <w:sz w:val="36"/>
          <w:szCs w:val="36"/>
        </w:rPr>
        <w:t>第</w:t>
      </w:r>
      <w:r>
        <w:rPr>
          <w:rFonts w:hint="eastAsia" w:asciiTheme="minorEastAsia" w:hAnsiTheme="minorEastAsia" w:eastAsiaTheme="minorEastAsia" w:cstheme="minorEastAsia"/>
          <w:spacing w:val="-1"/>
          <w:sz w:val="36"/>
          <w:szCs w:val="36"/>
          <w:lang w:eastAsia="zh-CN"/>
        </w:rPr>
        <w:t>三</w:t>
      </w:r>
      <w:r>
        <w:rPr>
          <w:rFonts w:hint="eastAsia" w:asciiTheme="minorEastAsia" w:hAnsiTheme="minorEastAsia" w:eastAsiaTheme="minorEastAsia" w:cstheme="minorEastAsia"/>
          <w:spacing w:val="-1"/>
          <w:sz w:val="36"/>
          <w:szCs w:val="36"/>
        </w:rPr>
        <w:t>章供应商须知</w:t>
      </w:r>
    </w:p>
    <w:p>
      <w:pPr>
        <w:pStyle w:val="3"/>
        <w:kinsoku/>
        <w:wordWrap w:val="0"/>
        <w:spacing w:line="220" w:lineRule="auto"/>
        <w:jc w:val="center"/>
        <w:rPr>
          <w:spacing w:val="-1"/>
          <w:sz w:val="28"/>
          <w:szCs w:val="28"/>
        </w:rPr>
      </w:pPr>
      <w:r>
        <w:rPr>
          <w:spacing w:val="-1"/>
          <w:sz w:val="28"/>
          <w:szCs w:val="28"/>
        </w:rPr>
        <w:t>供应商须知表</w:t>
      </w: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ign w:val="center"/>
          </w:tcPr>
          <w:p>
            <w:pPr>
              <w:kinsoku/>
              <w:wordWrap w:val="0"/>
              <w:spacing w:line="240" w:lineRule="atLeast"/>
              <w:ind w:left="1080" w:leftChars="257" w:hanging="540"/>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21"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29"/>
              <w:kinsoku/>
              <w:wordWrap w:val="0"/>
              <w:spacing w:line="220"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pPr>
              <w:pStyle w:val="29"/>
              <w:kinsoku/>
              <w:wordWrap w:val="0"/>
              <w:spacing w:before="25" w:line="207" w:lineRule="auto"/>
              <w:ind w:left="126"/>
              <w:jc w:val="both"/>
              <w:rPr>
                <w:rFonts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货物</w:t>
            </w:r>
          </w:p>
          <w:p>
            <w:pPr>
              <w:pStyle w:val="29"/>
              <w:kinsoku/>
              <w:wordWrap w:val="0"/>
              <w:spacing w:before="25" w:line="207" w:lineRule="auto"/>
              <w:ind w:left="126"/>
              <w:jc w:val="both"/>
              <w:rPr>
                <w:rFonts w:asciiTheme="minorEastAsia" w:hAnsiTheme="minorEastAsia" w:eastAsiaTheme="minorEastAsia" w:cstheme="minorEastAsia"/>
                <w:spacing w:val="19"/>
                <w:sz w:val="24"/>
                <w:szCs w:val="24"/>
                <w:lang w:eastAsia="zh-CN"/>
              </w:rPr>
            </w:pP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19"/>
                <w:sz w:val="24"/>
                <w:szCs w:val="24"/>
                <w:lang w:eastAsia="zh-CN"/>
              </w:rPr>
              <w:t>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tcPr>
          <w:p>
            <w:pPr>
              <w:kinsoku/>
              <w:wordWrap w:val="0"/>
              <w:spacing w:before="37" w:line="238"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9"/>
              <w:kinsoku/>
              <w:wordWrap w:val="0"/>
              <w:spacing w:line="223"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pPr>
              <w:pStyle w:val="29"/>
              <w:kinsoku/>
              <w:wordWrap w:val="0"/>
              <w:spacing w:before="21" w:line="207"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29"/>
              <w:kinsoku/>
              <w:wordWrap w:val="0"/>
              <w:jc w:val="both"/>
              <w:rPr>
                <w:rFonts w:asciiTheme="minorEastAsia" w:hAnsiTheme="minorEastAsia" w:eastAsiaTheme="minorEastAsia" w:cstheme="minorEastAsia"/>
              </w:rPr>
            </w:pPr>
          </w:p>
          <w:p>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tcPr>
          <w:p>
            <w:pPr>
              <w:pStyle w:val="29"/>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pStyle w:val="29"/>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□组织，考察时间：年月日点分</w:t>
            </w:r>
          </w:p>
          <w:p>
            <w:pPr>
              <w:kinsoku/>
              <w:wordWrap w:val="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tcPr>
          <w:p>
            <w:pPr>
              <w:pStyle w:val="29"/>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pStyle w:val="29"/>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□召开，召开时间：年月日点分</w:t>
            </w:r>
          </w:p>
          <w:p>
            <w:pPr>
              <w:kinsoku/>
              <w:wordWrap w:val="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29"/>
              <w:kinsoku/>
              <w:wordWrap w:val="0"/>
              <w:jc w:val="both"/>
              <w:rPr>
                <w:rFonts w:hint="default" w:asciiTheme="minorEastAsia" w:hAnsiTheme="minorEastAsia" w:eastAsiaTheme="minorEastAsia" w:cstheme="minorEastAsia"/>
                <w:spacing w:val="14"/>
                <w:sz w:val="24"/>
                <w:szCs w:val="24"/>
                <w:lang w:val="en-US" w:eastAsia="zh-CN"/>
              </w:rPr>
            </w:pPr>
            <w:r>
              <w:rPr>
                <w:rFonts w:hint="eastAsia" w:asciiTheme="minorEastAsia" w:hAnsiTheme="minorEastAsia" w:eastAsiaTheme="minorEastAsia" w:cstheme="minorEastAsia"/>
                <w:spacing w:val="14"/>
                <w:sz w:val="24"/>
                <w:szCs w:val="24"/>
                <w:lang w:eastAsia="zh-CN"/>
              </w:rPr>
              <w:t>1、本项目采购标的按照中小企业划分标准属于：</w:t>
            </w:r>
            <w:r>
              <w:rPr>
                <w:rFonts w:hint="eastAsia" w:asciiTheme="minorEastAsia" w:hAnsiTheme="minorEastAsia" w:eastAsiaTheme="minorEastAsia" w:cstheme="minorEastAsia"/>
                <w:spacing w:val="14"/>
                <w:sz w:val="24"/>
                <w:szCs w:val="24"/>
                <w:u w:val="single"/>
                <w:lang w:val="en-US" w:eastAsia="zh-CN"/>
              </w:rPr>
              <w:t>农业</w:t>
            </w:r>
          </w:p>
          <w:p>
            <w:pPr>
              <w:pStyle w:val="29"/>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☑本项目专门面向中小企业采购。</w:t>
            </w:r>
          </w:p>
          <w:p>
            <w:pPr>
              <w:kinsoku/>
              <w:wordWrap w:val="0"/>
              <w:autoSpaceDE/>
              <w:autoSpaceDN/>
              <w:adjustRightInd/>
              <w:snapToGrid/>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29"/>
                <w:sz w:val="24"/>
                <w:szCs w:val="24"/>
                <w:lang w:eastAsia="zh-CN"/>
              </w:rPr>
              <w:t>本项目小微企业价格折扣比例%。</w:t>
            </w:r>
          </w:p>
          <w:p>
            <w:pPr>
              <w:kinsoku/>
              <w:wordWrap w:val="0"/>
              <w:autoSpaceDE/>
              <w:autoSpaceDN/>
              <w:adjustRightInd/>
              <w:snapToGrid/>
              <w:jc w:val="both"/>
              <w:textAlignment w:val="auto"/>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pacing w:val="14"/>
                <w:sz w:val="24"/>
                <w:szCs w:val="24"/>
                <w:lang w:eastAsia="zh-CN"/>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29"/>
              <w:kinsoku/>
              <w:wordWrap w:val="0"/>
              <w:spacing w:line="269" w:lineRule="auto"/>
              <w:jc w:val="both"/>
              <w:rPr>
                <w:rFonts w:asciiTheme="minorEastAsia" w:hAnsiTheme="minorEastAsia" w:eastAsiaTheme="minorEastAsia" w:cstheme="minorEastAsia"/>
              </w:rPr>
            </w:pPr>
          </w:p>
          <w:p>
            <w:pPr>
              <w:kinsoku/>
              <w:wordWrap w:val="0"/>
              <w:spacing w:before="78" w:line="219" w:lineRule="auto"/>
              <w:ind w:left="37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tcPr>
          <w:p>
            <w:pPr>
              <w:kinsoku/>
              <w:wordWrap w:val="0"/>
              <w:spacing w:before="40"/>
              <w:ind w:left="11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eastAsia="zh-CN"/>
              </w:rPr>
              <w:t>磋商</w:t>
            </w:r>
            <w:r>
              <w:rPr>
                <w:rFonts w:hint="eastAsia" w:asciiTheme="minorEastAsia" w:hAnsiTheme="minorEastAsia" w:eastAsiaTheme="minorEastAsia" w:cstheme="minorEastAsia"/>
                <w:spacing w:val="-7"/>
                <w:sz w:val="24"/>
                <w:szCs w:val="24"/>
              </w:rPr>
              <w:t>报价的特殊规定：</w:t>
            </w:r>
          </w:p>
          <w:p>
            <w:pPr>
              <w:pStyle w:val="29"/>
              <w:kinsoku/>
              <w:wordWrap w:val="0"/>
              <w:spacing w:before="1" w:line="220"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pPr>
              <w:pStyle w:val="29"/>
              <w:kinsoku/>
              <w:wordWrap w:val="0"/>
              <w:spacing w:before="23" w:line="189"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pPr>
              <w:pStyle w:val="29"/>
              <w:kinsoku/>
              <w:wordWrap w:val="0"/>
              <w:spacing w:line="19" w:lineRule="exact"/>
              <w:ind w:left="2008"/>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eastAsia" w:asciiTheme="minorEastAsia" w:hAnsiTheme="minorEastAsia" w:eastAsiaTheme="minorEastAsia" w:cstheme="minorEastAsia"/>
                <w:bCs/>
                <w:sz w:val="24"/>
                <w:szCs w:val="24"/>
                <w:lang w:val="en-US" w:eastAsia="zh-CN"/>
              </w:rPr>
            </w:pPr>
            <w:r>
              <w:rPr>
                <w:rFonts w:hint="eastAsia" w:ascii="宋体" w:hAnsi="宋体" w:eastAsia="宋体" w:cs="宋体"/>
                <w:spacing w:val="-4"/>
                <w:sz w:val="22"/>
                <w:szCs w:val="22"/>
                <w:lang w:val="en-US" w:eastAsia="zh-CN"/>
              </w:rPr>
              <w:t>609600</w:t>
            </w:r>
            <w:r>
              <w:rPr>
                <w:rFonts w:hint="eastAsia" w:asciiTheme="minorEastAsia" w:hAnsiTheme="minorEastAsia" w:eastAsiaTheme="minorEastAsia" w:cstheme="minorEastAsia"/>
                <w:bCs/>
                <w:sz w:val="24"/>
                <w:szCs w:val="24"/>
                <w:lang w:eastAsia="zh-CN"/>
              </w:rPr>
              <w:t>元；</w:t>
            </w:r>
            <w:r>
              <w:rPr>
                <w:rFonts w:hint="eastAsia" w:asciiTheme="minorEastAsia" w:hAnsiTheme="minorEastAsia" w:eastAsiaTheme="minorEastAsia" w:cstheme="minorEastAsia"/>
                <w:bCs/>
                <w:sz w:val="24"/>
                <w:szCs w:val="24"/>
                <w:lang w:val="en-US" w:eastAsia="zh-CN"/>
              </w:rPr>
              <w:t>其中：</w:t>
            </w:r>
          </w:p>
          <w:p>
            <w:pPr>
              <w:pStyle w:val="2"/>
              <w:ind w:left="0" w:leftChars="0" w:firstLine="0" w:firstLineChars="0"/>
              <w:rPr>
                <w:rFonts w:hint="eastAsia" w:cs="宋体"/>
                <w:color w:val="auto"/>
                <w:spacing w:val="-6"/>
                <w:sz w:val="22"/>
                <w:szCs w:val="22"/>
                <w:lang w:val="en-US" w:eastAsia="zh-CN"/>
              </w:rPr>
            </w:pPr>
            <w:r>
              <w:rPr>
                <w:rFonts w:hint="eastAsia" w:asciiTheme="minorEastAsia" w:hAnsiTheme="minorEastAsia" w:eastAsiaTheme="minorEastAsia" w:cstheme="minorEastAsia"/>
                <w:bCs/>
                <w:color w:val="auto"/>
                <w:sz w:val="24"/>
                <w:szCs w:val="24"/>
                <w:lang w:val="en-US" w:eastAsia="zh-CN"/>
              </w:rPr>
              <w:t>第1标段：</w:t>
            </w:r>
            <w:r>
              <w:rPr>
                <w:rFonts w:hint="eastAsia" w:ascii="宋体" w:hAnsi="宋体" w:eastAsia="宋体" w:cs="宋体"/>
                <w:color w:val="auto"/>
                <w:spacing w:val="-6"/>
                <w:sz w:val="22"/>
                <w:szCs w:val="22"/>
                <w:lang w:val="en-US" w:eastAsia="zh-CN"/>
              </w:rPr>
              <w:t>177800.00</w:t>
            </w:r>
            <w:r>
              <w:rPr>
                <w:rFonts w:hint="eastAsia" w:cs="宋体"/>
                <w:color w:val="auto"/>
                <w:spacing w:val="-6"/>
                <w:sz w:val="22"/>
                <w:szCs w:val="22"/>
                <w:lang w:val="en-US" w:eastAsia="zh-CN"/>
              </w:rPr>
              <w:t>元；</w:t>
            </w:r>
          </w:p>
          <w:p>
            <w:pPr>
              <w:pStyle w:val="2"/>
              <w:ind w:left="0" w:leftChars="0" w:firstLine="0" w:firstLineChars="0"/>
              <w:rPr>
                <w:rFonts w:hint="eastAsia" w:cs="宋体"/>
                <w:color w:val="auto"/>
                <w:spacing w:val="-6"/>
                <w:sz w:val="22"/>
                <w:szCs w:val="22"/>
                <w:lang w:val="en-US" w:eastAsia="zh-CN"/>
              </w:rPr>
            </w:pPr>
            <w:r>
              <w:rPr>
                <w:rFonts w:hint="eastAsia" w:cs="宋体"/>
                <w:color w:val="auto"/>
                <w:spacing w:val="-6"/>
                <w:sz w:val="22"/>
                <w:szCs w:val="22"/>
                <w:lang w:val="en-US" w:eastAsia="zh-CN"/>
              </w:rPr>
              <w:t>第2标段</w:t>
            </w:r>
            <w:r>
              <w:rPr>
                <w:rFonts w:hint="eastAsia" w:ascii="宋体" w:hAnsi="宋体" w:eastAsia="宋体" w:cs="宋体"/>
                <w:color w:val="auto"/>
                <w:spacing w:val="-6"/>
                <w:sz w:val="22"/>
                <w:szCs w:val="22"/>
                <w:lang w:val="en-US" w:eastAsia="zh-CN"/>
              </w:rPr>
              <w:t>177800.00</w:t>
            </w:r>
            <w:r>
              <w:rPr>
                <w:rFonts w:hint="eastAsia" w:cs="宋体"/>
                <w:color w:val="auto"/>
                <w:spacing w:val="-6"/>
                <w:sz w:val="22"/>
                <w:szCs w:val="22"/>
                <w:lang w:val="en-US" w:eastAsia="zh-CN"/>
              </w:rPr>
              <w:t>元；</w:t>
            </w:r>
          </w:p>
          <w:p>
            <w:pPr>
              <w:pStyle w:val="2"/>
              <w:ind w:left="0" w:leftChars="0" w:firstLine="0" w:firstLineChars="0"/>
              <w:rPr>
                <w:rFonts w:hint="eastAsia" w:cs="宋体"/>
                <w:color w:val="auto"/>
                <w:spacing w:val="-6"/>
                <w:sz w:val="22"/>
                <w:szCs w:val="22"/>
                <w:lang w:val="en-US" w:eastAsia="zh-CN"/>
              </w:rPr>
            </w:pPr>
            <w:r>
              <w:rPr>
                <w:rFonts w:hint="eastAsia" w:cs="宋体"/>
                <w:color w:val="auto"/>
                <w:spacing w:val="-6"/>
                <w:sz w:val="22"/>
                <w:szCs w:val="22"/>
                <w:lang w:val="en-US" w:eastAsia="zh-CN"/>
              </w:rPr>
              <w:t>第3标段</w:t>
            </w:r>
            <w:r>
              <w:rPr>
                <w:rFonts w:hint="eastAsia" w:ascii="宋体" w:hAnsi="宋体" w:eastAsia="宋体" w:cs="宋体"/>
                <w:color w:val="auto"/>
                <w:spacing w:val="-6"/>
                <w:sz w:val="22"/>
                <w:szCs w:val="22"/>
                <w:lang w:val="en-US" w:eastAsia="zh-CN"/>
              </w:rPr>
              <w:t>127000.00</w:t>
            </w:r>
            <w:r>
              <w:rPr>
                <w:rFonts w:hint="eastAsia" w:cs="宋体"/>
                <w:color w:val="auto"/>
                <w:spacing w:val="-6"/>
                <w:sz w:val="22"/>
                <w:szCs w:val="22"/>
                <w:lang w:val="en-US" w:eastAsia="zh-CN"/>
              </w:rPr>
              <w:t>元；</w:t>
            </w:r>
          </w:p>
          <w:p>
            <w:pPr>
              <w:pStyle w:val="2"/>
              <w:ind w:left="0" w:leftChars="0" w:firstLine="0" w:firstLineChars="0"/>
              <w:rPr>
                <w:rFonts w:hint="eastAsia" w:cs="宋体"/>
                <w:color w:val="auto"/>
                <w:spacing w:val="-6"/>
                <w:sz w:val="22"/>
                <w:szCs w:val="22"/>
                <w:lang w:val="en-US" w:eastAsia="zh-CN"/>
              </w:rPr>
            </w:pPr>
            <w:r>
              <w:rPr>
                <w:rFonts w:hint="eastAsia" w:cs="宋体"/>
                <w:color w:val="auto"/>
                <w:spacing w:val="-6"/>
                <w:sz w:val="22"/>
                <w:szCs w:val="22"/>
                <w:lang w:val="en-US" w:eastAsia="zh-CN"/>
              </w:rPr>
              <w:t>第4标段</w:t>
            </w:r>
            <w:r>
              <w:rPr>
                <w:rFonts w:hint="eastAsia" w:ascii="宋体" w:hAnsi="宋体" w:eastAsia="宋体" w:cs="宋体"/>
                <w:color w:val="auto"/>
                <w:spacing w:val="-6"/>
                <w:sz w:val="22"/>
                <w:szCs w:val="22"/>
                <w:lang w:val="en-US" w:eastAsia="zh-CN"/>
              </w:rPr>
              <w:t>127000.00</w:t>
            </w:r>
            <w:r>
              <w:rPr>
                <w:rFonts w:hint="eastAsia" w:cs="宋体"/>
                <w:color w:val="auto"/>
                <w:spacing w:val="-6"/>
                <w:sz w:val="22"/>
                <w:szCs w:val="22"/>
                <w:lang w:val="en-US" w:eastAsia="zh-CN"/>
              </w:rPr>
              <w:t>元；</w:t>
            </w:r>
          </w:p>
          <w:p>
            <w:pPr>
              <w:pStyle w:val="5"/>
              <w:ind w:left="0" w:leftChars="0" w:firstLine="0" w:firstLineChars="0"/>
              <w:rPr>
                <w:rFonts w:hint="default"/>
                <w:lang w:val="en-US" w:eastAsia="zh-CN"/>
              </w:rPr>
            </w:pPr>
            <w:r>
              <w:rPr>
                <w:rFonts w:ascii="宋体" w:hAnsi="宋体" w:eastAsia="宋体" w:cs="宋体"/>
                <w:color w:val="auto"/>
                <w:spacing w:val="-8"/>
                <w:sz w:val="22"/>
                <w:szCs w:val="22"/>
              </w:rPr>
              <w:t>招标</w:t>
            </w:r>
            <w:r>
              <w:rPr>
                <w:rFonts w:ascii="宋体" w:hAnsi="宋体" w:eastAsia="宋体" w:cs="宋体"/>
                <w:color w:val="auto"/>
                <w:spacing w:val="-4"/>
                <w:sz w:val="22"/>
                <w:szCs w:val="22"/>
              </w:rPr>
              <w:t>控制价为采购人的最高限价， 超出此控制价的</w:t>
            </w:r>
            <w:r>
              <w:rPr>
                <w:rFonts w:hint="eastAsia" w:ascii="宋体" w:hAnsi="宋体" w:eastAsia="宋体" w:cs="宋体"/>
                <w:color w:val="auto"/>
                <w:spacing w:val="-4"/>
                <w:sz w:val="22"/>
                <w:szCs w:val="22"/>
                <w:lang w:eastAsia="zh-CN"/>
              </w:rPr>
              <w:t>响应文件</w:t>
            </w:r>
            <w:r>
              <w:rPr>
                <w:rFonts w:ascii="宋体" w:hAnsi="宋体" w:eastAsia="宋体" w:cs="宋体"/>
                <w:color w:val="auto"/>
                <w:spacing w:val="-4"/>
                <w:sz w:val="22"/>
                <w:szCs w:val="22"/>
              </w:rPr>
              <w:t>将</w:t>
            </w:r>
            <w:r>
              <w:rPr>
                <w:rFonts w:ascii="宋体" w:hAnsi="宋体" w:eastAsia="宋体" w:cs="宋体"/>
                <w:color w:val="auto"/>
                <w:spacing w:val="-8"/>
                <w:sz w:val="22"/>
                <w:szCs w:val="22"/>
              </w:rPr>
              <w:t>被</w:t>
            </w:r>
            <w:r>
              <w:rPr>
                <w:rFonts w:ascii="宋体" w:hAnsi="宋体" w:eastAsia="宋体" w:cs="宋体"/>
                <w:color w:val="auto"/>
                <w:spacing w:val="-7"/>
                <w:sz w:val="22"/>
                <w:szCs w:val="22"/>
              </w:rPr>
              <w:t>拒绝。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开标之日起60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电子响应文件：1份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12"/>
                <w:sz w:val="24"/>
                <w:szCs w:val="24"/>
                <w:lang w:val="en-US" w:eastAsia="zh-CN"/>
                <w14:textFill>
                  <w14:solidFill>
                    <w14:schemeClr w14:val="tx1"/>
                  </w14:solidFill>
                </w14:textFill>
              </w:rPr>
              <w:t>2024</w:t>
            </w:r>
            <w:r>
              <w:rPr>
                <w:rFonts w:hint="eastAsia" w:asciiTheme="minorEastAsia" w:hAnsiTheme="minorEastAsia" w:eastAsiaTheme="minorEastAsia" w:cstheme="minorEastAsia"/>
                <w:color w:val="000000" w:themeColor="text1"/>
                <w:spacing w:val="-12"/>
                <w:sz w:val="24"/>
                <w:szCs w:val="24"/>
                <w14:textFill>
                  <w14:solidFill>
                    <w14:schemeClr w14:val="tx1"/>
                  </w14:solidFill>
                </w14:textFill>
              </w:rPr>
              <w:t>年</w:t>
            </w:r>
            <w:r>
              <w:rPr>
                <w:rFonts w:hint="eastAsia" w:asciiTheme="minorEastAsia" w:hAnsiTheme="minorEastAsia" w:eastAsiaTheme="minorEastAsia" w:cstheme="minorEastAsia"/>
                <w:color w:val="000000" w:themeColor="text1"/>
                <w:spacing w:val="-12"/>
                <w:sz w:val="24"/>
                <w:szCs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pacing w:val="-12"/>
                <w:sz w:val="24"/>
                <w:szCs w:val="24"/>
                <w14:textFill>
                  <w14:solidFill>
                    <w14:schemeClr w14:val="tx1"/>
                  </w14:solidFill>
                </w14:textFill>
              </w:rPr>
              <w:t>月</w:t>
            </w:r>
            <w:r>
              <w:rPr>
                <w:rFonts w:hint="eastAsia" w:asciiTheme="minorEastAsia" w:hAnsiTheme="minorEastAsia" w:eastAsiaTheme="minorEastAsia" w:cstheme="minorEastAsia"/>
                <w:color w:val="000000" w:themeColor="text1"/>
                <w:spacing w:val="-12"/>
                <w:sz w:val="24"/>
                <w:szCs w:val="24"/>
                <w:lang w:val="en-US" w:eastAsia="zh-CN"/>
                <w14:textFill>
                  <w14:solidFill>
                    <w14:schemeClr w14:val="tx1"/>
                  </w14:solidFill>
                </w14:textFill>
              </w:rPr>
              <w:t>26</w:t>
            </w:r>
            <w:r>
              <w:rPr>
                <w:rFonts w:hint="eastAsia" w:asciiTheme="minorEastAsia" w:hAnsiTheme="minorEastAsia" w:eastAsiaTheme="minorEastAsia" w:cstheme="minorEastAsia"/>
                <w:color w:val="000000" w:themeColor="text1"/>
                <w:spacing w:val="-12"/>
                <w:sz w:val="24"/>
                <w:szCs w:val="24"/>
                <w14:textFill>
                  <w14:solidFill>
                    <w14:schemeClr w14:val="tx1"/>
                  </w14:solidFill>
                </w14:textFill>
              </w:rPr>
              <w:t>日</w:t>
            </w:r>
            <w:r>
              <w:rPr>
                <w:rFonts w:hint="eastAsia" w:asciiTheme="minorEastAsia" w:hAnsiTheme="minorEastAsia" w:eastAsiaTheme="minorEastAsia" w:cstheme="minorEastAsia"/>
                <w:color w:val="000000" w:themeColor="text1"/>
                <w:spacing w:val="-12"/>
                <w:sz w:val="24"/>
                <w:szCs w:val="24"/>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pacing w:val="-12"/>
                <w:sz w:val="24"/>
                <w:szCs w:val="24"/>
                <w14:textFill>
                  <w14:solidFill>
                    <w14:schemeClr w14:val="tx1"/>
                  </w14:solidFill>
                </w14:textFill>
              </w:rPr>
              <w:t>点</w:t>
            </w:r>
            <w:r>
              <w:rPr>
                <w:rFonts w:hint="eastAsia" w:asciiTheme="minorEastAsia" w:hAnsiTheme="minorEastAsia" w:eastAsiaTheme="minorEastAsia" w:cstheme="minorEastAsia"/>
                <w:color w:val="000000" w:themeColor="text1"/>
                <w:spacing w:val="-12"/>
                <w:sz w:val="24"/>
                <w:szCs w:val="24"/>
                <w:lang w:val="en-US" w:eastAsia="zh-CN"/>
                <w14:textFill>
                  <w14:solidFill>
                    <w14:schemeClr w14:val="tx1"/>
                  </w14:solidFill>
                </w14:textFill>
              </w:rPr>
              <w:t>00</w:t>
            </w:r>
            <w:r>
              <w:rPr>
                <w:rFonts w:hint="eastAsia" w:asciiTheme="minorEastAsia" w:hAnsiTheme="minorEastAsia" w:eastAsiaTheme="minorEastAsia" w:cstheme="minorEastAsia"/>
                <w:color w:val="000000" w:themeColor="text1"/>
                <w:spacing w:val="-12"/>
                <w:sz w:val="24"/>
                <w:szCs w:val="24"/>
                <w14:textFill>
                  <w14:solidFill>
                    <w14:schemeClr w14:val="tx1"/>
                  </w14:solidFill>
                </w14:textFill>
              </w:rPr>
              <w:t>分</w:t>
            </w:r>
            <w:r>
              <w:rPr>
                <w:rFonts w:hint="eastAsia" w:asciiTheme="minorEastAsia" w:hAnsiTheme="minorEastAsia" w:eastAsiaTheme="minorEastAsia" w:cstheme="minorEastAsia"/>
                <w:color w:val="000000" w:themeColor="text1"/>
                <w:spacing w:val="14"/>
                <w:sz w:val="24"/>
                <w:szCs w:val="24"/>
                <w:lang w:eastAsia="zh-CN"/>
                <w14:textFill>
                  <w14:solidFill>
                    <w14:schemeClr w14:val="tx1"/>
                  </w14:solidFill>
                </w14:textFill>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color w:val="000000" w:themeColor="text1"/>
                <w:sz w:val="24"/>
                <w:szCs w:val="24"/>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12"/>
                <w:sz w:val="24"/>
                <w:szCs w:val="24"/>
                <w:lang w:val="en-US" w:eastAsia="zh-CN"/>
                <w14:textFill>
                  <w14:solidFill>
                    <w14:schemeClr w14:val="tx1"/>
                  </w14:solidFill>
                </w14:textFill>
              </w:rPr>
              <w:t>2024</w:t>
            </w:r>
            <w:r>
              <w:rPr>
                <w:rFonts w:hint="eastAsia" w:asciiTheme="minorEastAsia" w:hAnsiTheme="minorEastAsia" w:eastAsiaTheme="minorEastAsia" w:cstheme="minorEastAsia"/>
                <w:color w:val="000000" w:themeColor="text1"/>
                <w:spacing w:val="-12"/>
                <w:sz w:val="24"/>
                <w:szCs w:val="24"/>
                <w14:textFill>
                  <w14:solidFill>
                    <w14:schemeClr w14:val="tx1"/>
                  </w14:solidFill>
                </w14:textFill>
              </w:rPr>
              <w:t>年</w:t>
            </w:r>
            <w:r>
              <w:rPr>
                <w:rFonts w:hint="eastAsia" w:asciiTheme="minorEastAsia" w:hAnsiTheme="minorEastAsia" w:eastAsiaTheme="minorEastAsia" w:cstheme="minorEastAsia"/>
                <w:color w:val="000000" w:themeColor="text1"/>
                <w:spacing w:val="-12"/>
                <w:sz w:val="24"/>
                <w:szCs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pacing w:val="-12"/>
                <w:sz w:val="24"/>
                <w:szCs w:val="24"/>
                <w14:textFill>
                  <w14:solidFill>
                    <w14:schemeClr w14:val="tx1"/>
                  </w14:solidFill>
                </w14:textFill>
              </w:rPr>
              <w:t>月</w:t>
            </w:r>
            <w:r>
              <w:rPr>
                <w:rFonts w:hint="eastAsia" w:asciiTheme="minorEastAsia" w:hAnsiTheme="minorEastAsia" w:eastAsiaTheme="minorEastAsia" w:cstheme="minorEastAsia"/>
                <w:color w:val="000000" w:themeColor="text1"/>
                <w:spacing w:val="-12"/>
                <w:sz w:val="24"/>
                <w:szCs w:val="24"/>
                <w:lang w:val="en-US" w:eastAsia="zh-CN"/>
                <w14:textFill>
                  <w14:solidFill>
                    <w14:schemeClr w14:val="tx1"/>
                  </w14:solidFill>
                </w14:textFill>
              </w:rPr>
              <w:t>26</w:t>
            </w:r>
            <w:bookmarkStart w:id="6" w:name="_GoBack"/>
            <w:bookmarkEnd w:id="6"/>
            <w:r>
              <w:rPr>
                <w:rFonts w:hint="eastAsia" w:asciiTheme="minorEastAsia" w:hAnsiTheme="minorEastAsia" w:eastAsiaTheme="minorEastAsia" w:cstheme="minorEastAsia"/>
                <w:color w:val="000000" w:themeColor="text1"/>
                <w:spacing w:val="-12"/>
                <w:sz w:val="24"/>
                <w:szCs w:val="24"/>
                <w14:textFill>
                  <w14:solidFill>
                    <w14:schemeClr w14:val="tx1"/>
                  </w14:solidFill>
                </w14:textFill>
              </w:rPr>
              <w:t>日</w:t>
            </w:r>
            <w:r>
              <w:rPr>
                <w:rFonts w:hint="eastAsia" w:asciiTheme="minorEastAsia" w:hAnsiTheme="minorEastAsia" w:eastAsiaTheme="minorEastAsia" w:cstheme="minorEastAsia"/>
                <w:color w:val="000000" w:themeColor="text1"/>
                <w:spacing w:val="-12"/>
                <w:sz w:val="24"/>
                <w:szCs w:val="24"/>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pacing w:val="-12"/>
                <w:sz w:val="24"/>
                <w:szCs w:val="24"/>
                <w14:textFill>
                  <w14:solidFill>
                    <w14:schemeClr w14:val="tx1"/>
                  </w14:solidFill>
                </w14:textFill>
              </w:rPr>
              <w:t>点</w:t>
            </w:r>
            <w:r>
              <w:rPr>
                <w:rFonts w:hint="eastAsia" w:asciiTheme="minorEastAsia" w:hAnsiTheme="minorEastAsia" w:eastAsiaTheme="minorEastAsia" w:cstheme="minorEastAsia"/>
                <w:color w:val="000000" w:themeColor="text1"/>
                <w:spacing w:val="-12"/>
                <w:sz w:val="24"/>
                <w:szCs w:val="24"/>
                <w:lang w:val="en-US" w:eastAsia="zh-CN"/>
                <w14:textFill>
                  <w14:solidFill>
                    <w14:schemeClr w14:val="tx1"/>
                  </w14:solidFill>
                </w14:textFill>
              </w:rPr>
              <w:t>00</w:t>
            </w:r>
            <w:r>
              <w:rPr>
                <w:rFonts w:hint="eastAsia" w:asciiTheme="minorEastAsia" w:hAnsiTheme="minorEastAsia" w:eastAsiaTheme="minorEastAsia" w:cstheme="minorEastAsia"/>
                <w:color w:val="000000" w:themeColor="text1"/>
                <w:spacing w:val="-12"/>
                <w:sz w:val="24"/>
                <w:szCs w:val="24"/>
                <w14:textFill>
                  <w14:solidFill>
                    <w14:schemeClr w14:val="tx1"/>
                  </w14:solidFill>
                </w14:textFill>
              </w:rPr>
              <w:t>分</w:t>
            </w:r>
            <w:r>
              <w:rPr>
                <w:rFonts w:hint="eastAsia" w:asciiTheme="minorEastAsia" w:hAnsiTheme="minorEastAsia" w:eastAsiaTheme="minorEastAsia" w:cstheme="minorEastAsia"/>
                <w:color w:val="000000" w:themeColor="text1"/>
                <w:spacing w:val="14"/>
                <w:sz w:val="24"/>
                <w:szCs w:val="24"/>
                <w:lang w:eastAsia="zh-CN"/>
                <w14:textFill>
                  <w14:solidFill>
                    <w14:schemeClr w14:val="tx1"/>
                  </w14:solidFill>
                </w14:textFill>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采购人是否委托磋商小组直接确定成交人：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代理费</w:t>
            </w:r>
          </w:p>
        </w:tc>
        <w:tc>
          <w:tcPr>
            <w:tcW w:w="7305" w:type="dxa"/>
            <w:tcBorders>
              <w:top w:val="single" w:color="auto" w:sz="6" w:space="0"/>
              <w:left w:val="single" w:color="auto" w:sz="6" w:space="0"/>
              <w:bottom w:val="single" w:color="auto" w:sz="12" w:space="0"/>
              <w:right w:val="single" w:color="auto" w:sz="12" w:space="0"/>
            </w:tcBorders>
            <w:noWrap/>
            <w:vAlign w:val="center"/>
          </w:tcPr>
          <w:p>
            <w:pPr>
              <w:pStyle w:val="29"/>
              <w:kinsoku/>
              <w:wordWrap w:val="0"/>
              <w:spacing w:before="1" w:line="220"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lang w:eastAsia="zh-CN"/>
              </w:rPr>
              <w:t>集中采购机构不收费</w:t>
            </w:r>
          </w:p>
          <w:p>
            <w:pPr>
              <w:pStyle w:val="29"/>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lang w:eastAsia="zh-CN"/>
              </w:rPr>
              <w:t>收费对象：</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eastAsia="zh-CN"/>
              </w:rPr>
              <w:t>采购人</w:t>
            </w:r>
            <w:r>
              <w:rPr>
                <w:rFonts w:hint="eastAsia" w:asciiTheme="minorEastAsia" w:hAnsiTheme="minorEastAsia" w:eastAsiaTheme="minorEastAsia" w:cstheme="minorEastAsia"/>
                <w:spacing w:val="-13"/>
                <w:sz w:val="24"/>
                <w:szCs w:val="24"/>
                <w:lang w:eastAsia="zh-CN"/>
              </w:rPr>
              <w:t>☑中标人</w:t>
            </w:r>
          </w:p>
          <w:p>
            <w:pPr>
              <w:pStyle w:val="30"/>
              <w:tabs>
                <w:tab w:val="left" w:pos="326"/>
              </w:tabs>
              <w:spacing w:before="21" w:line="278" w:lineRule="auto"/>
              <w:ind w:left="107" w:right="97"/>
              <w:jc w:val="both"/>
              <w:rPr>
                <w:rFonts w:hint="eastAsia" w:ascii="宋体" w:hAnsi="宋体" w:eastAsia="宋体" w:cs="宋体"/>
                <w:color w:val="auto"/>
                <w:spacing w:val="3"/>
                <w:sz w:val="24"/>
                <w:szCs w:val="24"/>
              </w:rPr>
            </w:pPr>
            <w:r>
              <w:rPr>
                <w:rFonts w:hint="eastAsia" w:asciiTheme="minorEastAsia" w:hAnsiTheme="minorEastAsia" w:eastAsiaTheme="minorEastAsia" w:cstheme="minorEastAsia"/>
                <w:spacing w:val="-13"/>
                <w:sz w:val="24"/>
                <w:szCs w:val="24"/>
                <w:lang w:eastAsia="zh-CN"/>
              </w:rPr>
              <w:t>收费标准：</w:t>
            </w:r>
            <w:r>
              <w:rPr>
                <w:rFonts w:hint="eastAsia" w:ascii="宋体" w:hAnsi="宋体" w:eastAsia="宋体" w:cs="宋体"/>
                <w:color w:val="auto"/>
                <w:spacing w:val="3"/>
                <w:sz w:val="24"/>
                <w:szCs w:val="24"/>
              </w:rPr>
              <w:t>项目代理服务费参照《河南省招标代理服务收费指导意见》豫招协[2023]002号文规定；由中标人在领取中标通知书时向本采购代理机构支付（并计入投标总报价），请</w:t>
            </w:r>
            <w:r>
              <w:rPr>
                <w:rFonts w:hint="eastAsia" w:eastAsia="宋体" w:cs="宋体"/>
                <w:color w:val="auto"/>
                <w:spacing w:val="3"/>
                <w:sz w:val="24"/>
                <w:szCs w:val="24"/>
                <w:lang w:eastAsia="zh-CN"/>
              </w:rPr>
              <w:t>供应商</w:t>
            </w:r>
            <w:r>
              <w:rPr>
                <w:rFonts w:hint="eastAsia" w:ascii="宋体" w:hAnsi="宋体" w:eastAsia="宋体" w:cs="宋体"/>
                <w:color w:val="auto"/>
                <w:spacing w:val="3"/>
                <w:sz w:val="24"/>
                <w:szCs w:val="24"/>
              </w:rPr>
              <w:t>充分考虑这一因素。</w:t>
            </w:r>
          </w:p>
          <w:p>
            <w:pPr>
              <w:pStyle w:val="29"/>
              <w:kinsoku/>
              <w:wordWrap w:val="0"/>
              <w:spacing w:before="1" w:line="220" w:lineRule="auto"/>
              <w:ind w:left="126"/>
              <w:jc w:val="both"/>
              <w:rPr>
                <w:rFonts w:asciiTheme="minorEastAsia" w:hAnsiTheme="minorEastAsia" w:eastAsiaTheme="minorEastAsia" w:cstheme="minorEastAsia"/>
                <w:spacing w:val="-13"/>
                <w:sz w:val="24"/>
                <w:szCs w:val="24"/>
                <w:lang w:eastAsia="zh-CN"/>
              </w:rPr>
            </w:pPr>
          </w:p>
        </w:tc>
      </w:tr>
    </w:tbl>
    <w:p>
      <w:pPr>
        <w:kinsoku/>
        <w:wordWrap w:val="0"/>
        <w:spacing w:line="371" w:lineRule="auto"/>
        <w:jc w:val="both"/>
      </w:pPr>
    </w:p>
    <w:p>
      <w:pPr>
        <w:kinsoku/>
        <w:wordWrap w:val="0"/>
        <w:spacing w:line="243" w:lineRule="auto"/>
        <w:jc w:val="both"/>
      </w:pPr>
    </w:p>
    <w:p>
      <w:pPr>
        <w:kinsoku/>
        <w:wordWrap w:val="0"/>
        <w:spacing w:line="244" w:lineRule="auto"/>
        <w:jc w:val="both"/>
      </w:pPr>
    </w:p>
    <w:p>
      <w:pPr>
        <w:pStyle w:val="3"/>
        <w:kinsoku/>
        <w:wordWrap w:val="0"/>
        <w:spacing w:before="91" w:line="360" w:lineRule="auto"/>
        <w:ind w:left="3844"/>
        <w:jc w:val="both"/>
        <w:rPr>
          <w:sz w:val="28"/>
          <w:szCs w:val="28"/>
        </w:rPr>
      </w:pPr>
      <w:r>
        <w:rPr>
          <w:spacing w:val="-1"/>
          <w:sz w:val="28"/>
          <w:szCs w:val="28"/>
        </w:rPr>
        <w:t>供应商须知</w:t>
      </w:r>
    </w:p>
    <w:p>
      <w:pPr>
        <w:pStyle w:val="3"/>
        <w:kinsoku/>
        <w:wordWrap w:val="0"/>
        <w:spacing w:before="270" w:line="360" w:lineRule="auto"/>
        <w:jc w:val="both"/>
        <w:rPr>
          <w:rFonts w:asciiTheme="minorEastAsia" w:hAnsiTheme="minorEastAsia" w:eastAsiaTheme="minorEastAsia" w:cstheme="minorEastAsia"/>
          <w:spacing w:val="-1"/>
          <w:sz w:val="24"/>
          <w:szCs w:val="24"/>
        </w:rPr>
      </w:pPr>
      <w:r>
        <w:rPr>
          <w:spacing w:val="-10"/>
          <w:sz w:val="28"/>
          <w:szCs w:val="28"/>
        </w:rPr>
        <w:t>一</w:t>
      </w:r>
      <w:r>
        <w:rPr>
          <w:rFonts w:hint="eastAsia"/>
          <w:spacing w:val="5"/>
          <w:sz w:val="28"/>
          <w:szCs w:val="28"/>
          <w:lang w:eastAsia="zh-CN"/>
        </w:rPr>
        <w:t>、</w:t>
      </w:r>
      <w:r>
        <w:rPr>
          <w:spacing w:val="-10"/>
          <w:sz w:val="28"/>
          <w:szCs w:val="28"/>
        </w:rPr>
        <w:t>说明</w:t>
      </w:r>
    </w:p>
    <w:p>
      <w:pPr>
        <w:pStyle w:val="3"/>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eastAsia="zh-CN"/>
        </w:rPr>
        <w:t>供应商</w:t>
      </w:r>
      <w:r>
        <w:rPr>
          <w:rFonts w:hint="eastAsia" w:asciiTheme="minorEastAsia" w:hAnsiTheme="minorEastAsia" w:eastAsiaTheme="minorEastAsia" w:cstheme="minorEastAsia"/>
          <w:b/>
          <w:bCs/>
          <w:spacing w:val="-1"/>
          <w:sz w:val="24"/>
          <w:szCs w:val="24"/>
        </w:rPr>
        <w:t>、联合体</w:t>
      </w:r>
    </w:p>
    <w:p>
      <w:pPr>
        <w:pStyle w:val="3"/>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p>
      <w:pPr>
        <w:pStyle w:val="3"/>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1.2供应商（也称申请人）：指向采购人</w:t>
      </w:r>
      <w:r>
        <w:rPr>
          <w:rFonts w:hint="eastAsia" w:asciiTheme="minorEastAsia" w:hAnsiTheme="minorEastAsia" w:eastAsiaTheme="minorEastAsia" w:cstheme="minorEastAsia"/>
          <w:spacing w:val="2"/>
          <w:sz w:val="24"/>
          <w:szCs w:val="24"/>
          <w:lang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3"/>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1.3联合体：指两个以上的自然人、法人或者其他组织组成一个联合体，以一个供应商的身份共同参加政府采购。</w:t>
      </w:r>
    </w:p>
    <w:p>
      <w:pPr>
        <w:pStyle w:val="3"/>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资金来源、项目属性、科研仪器设备采购</w:t>
      </w:r>
    </w:p>
    <w:p>
      <w:pPr>
        <w:pStyle w:val="3"/>
        <w:kinsoku/>
        <w:wordWrap w:val="0"/>
        <w:spacing w:line="360" w:lineRule="auto"/>
        <w:ind w:firstLine="50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2.1资金来源为财政性资金</w:t>
      </w:r>
      <w:r>
        <w:rPr>
          <w:rFonts w:hint="eastAsia" w:asciiTheme="minorEastAsia" w:hAnsiTheme="minorEastAsia" w:eastAsiaTheme="minorEastAsia" w:cstheme="minorEastAsia"/>
          <w:spacing w:val="7"/>
          <w:sz w:val="24"/>
          <w:szCs w:val="24"/>
          <w:lang w:eastAsia="zh-CN"/>
        </w:rPr>
        <w:t>：</w:t>
      </w:r>
      <w:r>
        <w:rPr>
          <w:rFonts w:hint="eastAsia" w:ascii="宋体" w:hAnsi="宋体" w:eastAsia="宋体" w:cs="宋体"/>
          <w:spacing w:val="-4"/>
          <w:sz w:val="22"/>
          <w:szCs w:val="22"/>
          <w:lang w:val="en-US" w:eastAsia="zh-CN"/>
        </w:rPr>
        <w:t>60.96</w:t>
      </w:r>
      <w:r>
        <w:rPr>
          <w:rFonts w:hint="eastAsia" w:asciiTheme="minorEastAsia" w:hAnsiTheme="minorEastAsia" w:eastAsiaTheme="minorEastAsia" w:cstheme="minorEastAsia"/>
          <w:spacing w:val="7"/>
          <w:sz w:val="24"/>
          <w:szCs w:val="24"/>
          <w:lang w:eastAsia="zh-CN"/>
        </w:rPr>
        <w:t>万元</w:t>
      </w:r>
      <w:r>
        <w:rPr>
          <w:rFonts w:hint="eastAsia" w:asciiTheme="minorEastAsia" w:hAnsiTheme="minorEastAsia" w:eastAsiaTheme="minorEastAsia" w:cstheme="minorEastAsia"/>
          <w:spacing w:val="-9"/>
          <w:sz w:val="24"/>
          <w:szCs w:val="24"/>
        </w:rPr>
        <w:t>。</w:t>
      </w:r>
    </w:p>
    <w:p>
      <w:pPr>
        <w:pStyle w:val="3"/>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2.2项目属性见《</w:t>
      </w:r>
      <w:r>
        <w:rPr>
          <w:rFonts w:hint="eastAsia" w:asciiTheme="minorEastAsia" w:hAnsiTheme="minorEastAsia" w:eastAsiaTheme="minorEastAsia" w:cstheme="minorEastAsia"/>
          <w:spacing w:val="2"/>
          <w:sz w:val="24"/>
          <w:szCs w:val="24"/>
          <w:lang w:eastAsia="zh-CN"/>
        </w:rPr>
        <w:t>供应商须知表</w:t>
      </w:r>
      <w:r>
        <w:rPr>
          <w:rFonts w:hint="eastAsia" w:asciiTheme="minorEastAsia" w:hAnsiTheme="minorEastAsia" w:eastAsiaTheme="minorEastAsia" w:cstheme="minorEastAsia"/>
          <w:spacing w:val="2"/>
          <w:sz w:val="24"/>
          <w:szCs w:val="24"/>
        </w:rPr>
        <w:t>》。</w:t>
      </w:r>
    </w:p>
    <w:p>
      <w:pPr>
        <w:pStyle w:val="3"/>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2.3是否属于科研仪器设备采购见《</w:t>
      </w:r>
      <w:r>
        <w:rPr>
          <w:rFonts w:hint="eastAsia" w:asciiTheme="minorEastAsia" w:hAnsiTheme="minorEastAsia" w:eastAsiaTheme="minorEastAsia" w:cstheme="minorEastAsia"/>
          <w:spacing w:val="2"/>
          <w:sz w:val="24"/>
          <w:szCs w:val="24"/>
          <w:lang w:eastAsia="zh-CN"/>
        </w:rPr>
        <w:t>供应商须知表</w:t>
      </w:r>
      <w:r>
        <w:rPr>
          <w:rFonts w:hint="eastAsia" w:asciiTheme="minorEastAsia" w:hAnsiTheme="minorEastAsia" w:eastAsiaTheme="minorEastAsia" w:cstheme="minorEastAsia"/>
          <w:spacing w:val="2"/>
          <w:sz w:val="24"/>
          <w:szCs w:val="24"/>
        </w:rPr>
        <w:t>》。</w:t>
      </w:r>
    </w:p>
    <w:p>
      <w:pPr>
        <w:pStyle w:val="3"/>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现场考察、开标前答疑会</w:t>
      </w:r>
    </w:p>
    <w:p>
      <w:pPr>
        <w:pStyle w:val="3"/>
        <w:kinsoku/>
        <w:wordWrap w:val="0"/>
        <w:spacing w:line="360" w:lineRule="auto"/>
        <w:ind w:firstLine="49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3.1若《</w:t>
      </w:r>
      <w:r>
        <w:rPr>
          <w:rFonts w:hint="eastAsia" w:asciiTheme="minorEastAsia" w:hAnsiTheme="minorEastAsia" w:eastAsiaTheme="minorEastAsia" w:cstheme="minorEastAsia"/>
          <w:spacing w:val="3"/>
          <w:sz w:val="24"/>
          <w:szCs w:val="24"/>
          <w:lang w:eastAsia="zh-CN"/>
        </w:rPr>
        <w:t>供应商须知表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pPr>
        <w:pStyle w:val="3"/>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3.2由于未参加现场考察或</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eastAsia="zh-CN"/>
        </w:rPr>
        <w:t>供应商</w:t>
      </w:r>
      <w:r>
        <w:rPr>
          <w:rFonts w:hint="eastAsia" w:asciiTheme="minorEastAsia" w:hAnsiTheme="minorEastAsia" w:eastAsiaTheme="minorEastAsia" w:cstheme="minorEastAsia"/>
          <w:spacing w:val="2"/>
          <w:sz w:val="24"/>
          <w:szCs w:val="24"/>
        </w:rPr>
        <w:t>自行承担不利评审后果。</w:t>
      </w:r>
    </w:p>
    <w:p>
      <w:pPr>
        <w:pStyle w:val="3"/>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3"/>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.1采购本国货物、工程和服务</w:t>
      </w:r>
    </w:p>
    <w:p>
      <w:pPr>
        <w:pStyle w:val="3"/>
        <w:kinsoku/>
        <w:wordWrap w:val="0"/>
        <w:spacing w:line="360" w:lineRule="auto"/>
        <w:ind w:firstLine="476" w:firstLineChars="200"/>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.1.1政府采购应当采购本国货物、工程和服务。但有《中华人民共和国政府采购法》第十条规定情形的除外。</w:t>
      </w:r>
    </w:p>
    <w:p>
      <w:pPr>
        <w:pStyle w:val="3"/>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.1.2本项目如接受非本国货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eastAsia="zh-CN"/>
        </w:rPr>
        <w:t>二</w:t>
      </w:r>
      <w:r>
        <w:rPr>
          <w:rFonts w:hint="eastAsia" w:asciiTheme="minorEastAsia" w:hAnsiTheme="minorEastAsia" w:eastAsiaTheme="minorEastAsia" w:cstheme="minorEastAsia"/>
          <w:spacing w:val="-19"/>
          <w:sz w:val="24"/>
          <w:szCs w:val="24"/>
        </w:rPr>
        <w:t>章《采购需求》。</w:t>
      </w:r>
    </w:p>
    <w:p>
      <w:pPr>
        <w:pStyle w:val="3"/>
        <w:kinsoku/>
        <w:wordWrap w:val="0"/>
        <w:spacing w:line="360" w:lineRule="auto"/>
        <w:ind w:firstLine="50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eastAsia="zh-CN"/>
        </w:rPr>
        <w:t>4</w:t>
      </w:r>
      <w:r>
        <w:rPr>
          <w:rFonts w:hint="eastAsia" w:asciiTheme="minorEastAsia" w:hAnsiTheme="minorEastAsia" w:eastAsiaTheme="minorEastAsia" w:cstheme="minorEastAsia"/>
          <w:spacing w:val="6"/>
          <w:sz w:val="24"/>
          <w:szCs w:val="24"/>
        </w:rPr>
        <w:t>.1.3进口产品指通过中国海关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eastAsia="zh-CN"/>
        </w:rPr>
        <w:t>以及南阳市财政局的具体规定</w:t>
      </w:r>
      <w:r>
        <w:rPr>
          <w:rFonts w:hint="eastAsia" w:asciiTheme="minorEastAsia" w:hAnsiTheme="minorEastAsia" w:eastAsiaTheme="minorEastAsia" w:cstheme="minorEastAsia"/>
          <w:spacing w:val="5"/>
          <w:sz w:val="24"/>
          <w:szCs w:val="24"/>
        </w:rPr>
        <w:t>。</w:t>
      </w:r>
    </w:p>
    <w:p>
      <w:pPr>
        <w:pStyle w:val="3"/>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.2中小企业、监狱企业及残疾人福利性单位</w:t>
      </w:r>
    </w:p>
    <w:p>
      <w:pPr>
        <w:pStyle w:val="3"/>
        <w:kinsoku/>
        <w:wordWrap w:val="0"/>
        <w:spacing w:line="360" w:lineRule="auto"/>
        <w:ind w:firstLine="47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.2.1中小企业定义：</w:t>
      </w:r>
    </w:p>
    <w:p>
      <w:pPr>
        <w:pStyle w:val="3"/>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"5.2.1.1"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eastAsia="zh-CN"/>
        </w:rPr>
        <w:t>执行</w:t>
      </w:r>
      <w:r>
        <w:rPr>
          <w:rFonts w:hint="eastAsia" w:asciiTheme="minorEastAsia" w:hAnsiTheme="minorEastAsia" w:eastAsiaTheme="minorEastAsia" w:cstheme="minorEastAsia"/>
          <w:spacing w:val="-4"/>
          <w:sz w:val="24"/>
          <w:szCs w:val="24"/>
        </w:rPr>
        <w:t>。</w:t>
      </w:r>
    </w:p>
    <w:p>
      <w:pPr>
        <w:pStyle w:val="3"/>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"5.2.1.2"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3"/>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3"/>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3"/>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3"/>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"5.2.1.3"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3"/>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"5.2.1.4"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3"/>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.2.2在政府采购活动中，监狱企业视同小型、微型企业，享受预留份额、评审中价格扣除等政府采购促进中小企业发展的政府采购政策。监狱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3"/>
        <w:kinsoku/>
        <w:wordWrap w:val="0"/>
        <w:spacing w:line="360" w:lineRule="auto"/>
        <w:ind w:firstLine="44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3"/>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"5.2.3.1"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3"/>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"5.2.3.2"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3"/>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"5.2.3.3"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3"/>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"5.2.3.4"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3"/>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"5.2.3.5"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3"/>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"5.2.3.6"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.2.4本项目是否专门面向中小企业预留采购份额见第一章《</w:t>
      </w:r>
      <w:r>
        <w:rPr>
          <w:rFonts w:hint="eastAsia" w:asciiTheme="minorEastAsia" w:hAnsiTheme="minorEastAsia" w:eastAsiaTheme="minorEastAsia" w:cstheme="minorEastAsia"/>
          <w:spacing w:val="-8"/>
          <w:sz w:val="24"/>
          <w:szCs w:val="24"/>
          <w:lang w:eastAsia="zh-CN"/>
        </w:rPr>
        <w:t>竞争性磋商公告</w:t>
      </w:r>
      <w:r>
        <w:rPr>
          <w:rFonts w:hint="eastAsia" w:asciiTheme="minorEastAsia" w:hAnsiTheme="minorEastAsia" w:eastAsiaTheme="minorEastAsia" w:cstheme="minorEastAsia"/>
          <w:spacing w:val="-8"/>
          <w:sz w:val="24"/>
          <w:szCs w:val="24"/>
        </w:rPr>
        <w:t>》。</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.2.5采购标的对应的中小企业划分标准所属行业见《</w:t>
      </w:r>
      <w:r>
        <w:rPr>
          <w:rFonts w:hint="eastAsia" w:asciiTheme="minorEastAsia" w:hAnsiTheme="minorEastAsia" w:eastAsiaTheme="minorEastAsia" w:cstheme="minorEastAsia"/>
          <w:spacing w:val="-8"/>
          <w:sz w:val="24"/>
          <w:szCs w:val="24"/>
          <w:lang w:eastAsia="zh-CN"/>
        </w:rPr>
        <w:t>供应商须知表</w:t>
      </w:r>
      <w:r>
        <w:rPr>
          <w:rFonts w:hint="eastAsia" w:asciiTheme="minorEastAsia" w:hAnsiTheme="minorEastAsia" w:eastAsiaTheme="minorEastAsia" w:cstheme="minorEastAsia"/>
          <w:spacing w:val="-8"/>
          <w:sz w:val="24"/>
          <w:szCs w:val="24"/>
        </w:rPr>
        <w:t>》。</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.2.6小微企业价格评审优惠的政策调整：见第四章《评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.3政府采购节能产品、环境标志产品</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.3.1政府采购节能产品、环境标志产品实施品目清单管理。财政部、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3"/>
        <w:kinsoku/>
        <w:wordWrap w:val="0"/>
        <w:spacing w:line="360" w:lineRule="auto"/>
        <w:ind w:firstLine="448" w:firstLineChars="200"/>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.3.3如本项目采购产品属于实施政府强制采购品目清单范围的节能产品，则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eastAsia="zh-CN"/>
        </w:rPr>
        <w:t>响应</w:t>
      </w:r>
      <w:r>
        <w:rPr>
          <w:rFonts w:hint="eastAsia" w:asciiTheme="minorEastAsia" w:hAnsiTheme="minorEastAsia" w:eastAsiaTheme="minorEastAsia" w:cstheme="minorEastAsia"/>
          <w:b/>
          <w:bCs/>
          <w:spacing w:val="-8"/>
          <w:sz w:val="24"/>
          <w:szCs w:val="24"/>
        </w:rPr>
        <w:t>无效；</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.3.4非政府强制采购的节能产品或环境标志产品，依据品目清单和认证证书实施政府优先采购。优先采购的具体规定见第四章《评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程序、评审方法和评审标准》。（如涉及）。</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.4正版软件</w:t>
      </w:r>
    </w:p>
    <w:p>
      <w:pPr>
        <w:pStyle w:val="3"/>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.4.1依据《财政部</w:t>
      </w:r>
      <w:r>
        <w:rPr>
          <w:rFonts w:hint="eastAsia" w:asciiTheme="minorEastAsia" w:hAnsiTheme="minorEastAsia" w:eastAsiaTheme="minorEastAsia" w:cstheme="minorEastAsia"/>
          <w:spacing w:val="-8"/>
          <w:sz w:val="24"/>
          <w:szCs w:val="24"/>
          <w:lang w:eastAsia="zh-CN"/>
        </w:rPr>
        <w:t>、</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eastAsia="zh-CN"/>
        </w:rPr>
        <w:t>响应</w:t>
      </w:r>
      <w:r>
        <w:rPr>
          <w:rFonts w:hint="eastAsia" w:asciiTheme="minorEastAsia" w:hAnsiTheme="minorEastAsia" w:eastAsiaTheme="minorEastAsia" w:cstheme="minorEastAsia"/>
          <w:spacing w:val="-8"/>
          <w:sz w:val="24"/>
          <w:szCs w:val="24"/>
        </w:rPr>
        <w:t>无效。财政部、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3"/>
        <w:kinsoku/>
        <w:wordWrap w:val="0"/>
        <w:spacing w:line="360" w:lineRule="auto"/>
        <w:ind w:firstLine="46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.4.2各级政府部门在购置计算机办公设备时，必须采购预装正版操作系统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3"/>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4</w:t>
      </w:r>
      <w:r>
        <w:rPr>
          <w:rFonts w:hint="eastAsia" w:asciiTheme="minorEastAsia" w:hAnsiTheme="minorEastAsia" w:eastAsiaTheme="minorEastAsia" w:cstheme="minorEastAsia"/>
          <w:sz w:val="24"/>
          <w:szCs w:val="24"/>
        </w:rPr>
        <w:t>.5网络安全专用产品</w:t>
      </w:r>
    </w:p>
    <w:p>
      <w:pPr>
        <w:pStyle w:val="3"/>
        <w:kinsoku/>
        <w:wordWrap w:val="0"/>
        <w:spacing w:line="360" w:lineRule="auto"/>
        <w:ind w:firstLine="476"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.5.1所投产品属于列入《网络关键设备和网络安全专用产品目录》的网络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3"/>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 xml:space="preserve">6 </w:t>
      </w:r>
      <w:r>
        <w:rPr>
          <w:rFonts w:hint="eastAsia" w:asciiTheme="minorEastAsia" w:hAnsiTheme="minorEastAsia" w:eastAsiaTheme="minorEastAsia" w:cstheme="minorEastAsia"/>
          <w:spacing w:val="2"/>
          <w:sz w:val="24"/>
          <w:szCs w:val="24"/>
        </w:rPr>
        <w:t>采购需求标准</w:t>
      </w:r>
    </w:p>
    <w:p>
      <w:pPr>
        <w:pStyle w:val="3"/>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6</w:t>
      </w:r>
      <w:r>
        <w:rPr>
          <w:rFonts w:hint="eastAsia" w:asciiTheme="minorEastAsia" w:hAnsiTheme="minorEastAsia" w:eastAsiaTheme="minorEastAsia" w:cstheme="minorEastAsia"/>
          <w:spacing w:val="2"/>
          <w:sz w:val="24"/>
          <w:szCs w:val="24"/>
        </w:rPr>
        <w:t>.1商品包装、快递包装政府采购需求标准（试行）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eastAsia="zh-CN"/>
        </w:rPr>
        <w:t>二</w:t>
      </w:r>
      <w:r>
        <w:rPr>
          <w:rFonts w:hint="eastAsia" w:asciiTheme="minorEastAsia" w:hAnsiTheme="minorEastAsia" w:eastAsiaTheme="minorEastAsia" w:cstheme="minorEastAsia"/>
          <w:spacing w:val="-6"/>
          <w:sz w:val="24"/>
          <w:szCs w:val="24"/>
        </w:rPr>
        <w:t>章《采购需求》。</w:t>
      </w:r>
    </w:p>
    <w:p>
      <w:pPr>
        <w:pStyle w:val="3"/>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eastAsia="zh-CN"/>
        </w:rPr>
        <w:t>6</w:t>
      </w:r>
      <w:r>
        <w:rPr>
          <w:rFonts w:hint="eastAsia" w:asciiTheme="minorEastAsia" w:hAnsiTheme="minorEastAsia" w:eastAsiaTheme="minorEastAsia" w:cstheme="minorEastAsia"/>
          <w:spacing w:val="-12"/>
          <w:sz w:val="24"/>
          <w:szCs w:val="24"/>
        </w:rPr>
        <w:t>.2绿色数据中心政府采购需求标准（试行）</w:t>
      </w:r>
    </w:p>
    <w:p>
      <w:pPr>
        <w:pStyle w:val="3"/>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eastAsia="zh-CN"/>
        </w:rPr>
        <w:t>二</w:t>
      </w:r>
      <w:r>
        <w:rPr>
          <w:rFonts w:hint="eastAsia" w:asciiTheme="minorEastAsia" w:hAnsiTheme="minorEastAsia" w:eastAsiaTheme="minorEastAsia" w:cstheme="minorEastAsia"/>
          <w:spacing w:val="-12"/>
          <w:sz w:val="24"/>
          <w:szCs w:val="24"/>
        </w:rPr>
        <w:t>章《采购需求》。</w:t>
      </w:r>
    </w:p>
    <w:p>
      <w:pPr>
        <w:pStyle w:val="3"/>
        <w:kinsoku/>
        <w:wordWrap w:val="0"/>
        <w:spacing w:line="360" w:lineRule="auto"/>
        <w:ind w:firstLine="474"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eastAsia="zh-CN"/>
        </w:rPr>
        <w:t>5.采购</w:t>
      </w:r>
      <w:r>
        <w:rPr>
          <w:rFonts w:hint="eastAsia" w:asciiTheme="minorEastAsia" w:hAnsiTheme="minorEastAsia" w:eastAsiaTheme="minorEastAsia" w:cstheme="minorEastAsia"/>
          <w:b/>
          <w:bCs/>
          <w:spacing w:val="-2"/>
          <w:sz w:val="24"/>
          <w:szCs w:val="24"/>
        </w:rPr>
        <w:t>费用</w:t>
      </w:r>
    </w:p>
    <w:p>
      <w:pPr>
        <w:pStyle w:val="3"/>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6.采购范围及适用法律</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6.2 “监督管理部门”是指</w:t>
      </w:r>
      <w:r>
        <w:rPr>
          <w:rFonts w:hint="eastAsia" w:asciiTheme="minorEastAsia" w:hAnsiTheme="minorEastAsia" w:eastAsiaTheme="minorEastAsia" w:cstheme="minorEastAsia"/>
          <w:spacing w:val="-2"/>
          <w:sz w:val="24"/>
          <w:szCs w:val="24"/>
          <w:lang w:eastAsia="zh-CN"/>
        </w:rPr>
        <w:t>。</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6.3 “货物”指供应商按采购文件规定，须向采购人提供的与本次采购相关的。</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6.4 “服务”指采购文件规定供应商应承担的服务。</w:t>
      </w:r>
    </w:p>
    <w:p>
      <w:pPr>
        <w:kinsoku/>
        <w:wordWrap w:val="0"/>
        <w:spacing w:line="292" w:lineRule="auto"/>
        <w:jc w:val="both"/>
      </w:pPr>
    </w:p>
    <w:p>
      <w:pPr>
        <w:pStyle w:val="3"/>
        <w:kinsoku/>
        <w:wordWrap w:val="0"/>
        <w:spacing w:before="91" w:line="360" w:lineRule="auto"/>
        <w:jc w:val="both"/>
        <w:rPr>
          <w:sz w:val="24"/>
          <w:szCs w:val="24"/>
          <w:lang w:eastAsia="zh-CN"/>
        </w:rPr>
      </w:pPr>
      <w:r>
        <w:rPr>
          <w:spacing w:val="-1"/>
          <w:sz w:val="28"/>
          <w:szCs w:val="28"/>
        </w:rPr>
        <w:t>二</w:t>
      </w:r>
      <w:r>
        <w:rPr>
          <w:rFonts w:hint="eastAsia"/>
          <w:spacing w:val="-1"/>
          <w:sz w:val="28"/>
          <w:szCs w:val="28"/>
          <w:lang w:eastAsia="zh-CN"/>
        </w:rPr>
        <w:t>、</w:t>
      </w:r>
      <w:r>
        <w:rPr>
          <w:spacing w:val="-1"/>
          <w:sz w:val="28"/>
          <w:szCs w:val="28"/>
        </w:rPr>
        <w:t>竞争性磋商文件</w:t>
      </w:r>
    </w:p>
    <w:p>
      <w:pPr>
        <w:pStyle w:val="3"/>
        <w:kinsoku/>
        <w:wordWrap w:val="0"/>
        <w:spacing w:line="360" w:lineRule="auto"/>
        <w:ind w:firstLine="482" w:firstLineChars="200"/>
        <w:jc w:val="both"/>
        <w:rPr>
          <w:b/>
          <w:bCs/>
          <w:sz w:val="24"/>
          <w:szCs w:val="24"/>
        </w:rPr>
      </w:pPr>
      <w:r>
        <w:rPr>
          <w:rFonts w:hint="eastAsia"/>
          <w:b/>
          <w:bCs/>
          <w:sz w:val="24"/>
          <w:szCs w:val="24"/>
          <w:lang w:eastAsia="zh-CN"/>
        </w:rPr>
        <w:t>7.</w:t>
      </w:r>
      <w:r>
        <w:rPr>
          <w:b/>
          <w:bCs/>
          <w:sz w:val="24"/>
          <w:szCs w:val="24"/>
        </w:rPr>
        <w:t>竞争性磋商文件构成</w:t>
      </w:r>
    </w:p>
    <w:p>
      <w:pPr>
        <w:pStyle w:val="3"/>
        <w:kinsoku/>
        <w:wordWrap w:val="0"/>
        <w:spacing w:line="360" w:lineRule="auto"/>
        <w:ind w:firstLine="476" w:firstLineChars="200"/>
        <w:jc w:val="both"/>
        <w:rPr>
          <w:spacing w:val="-1"/>
          <w:sz w:val="24"/>
          <w:szCs w:val="24"/>
        </w:rPr>
      </w:pPr>
      <w:r>
        <w:rPr>
          <w:rFonts w:hint="eastAsia"/>
          <w:spacing w:val="-1"/>
          <w:sz w:val="24"/>
          <w:szCs w:val="24"/>
          <w:lang w:eastAsia="zh-CN"/>
        </w:rPr>
        <w:t>7</w:t>
      </w:r>
      <w:r>
        <w:rPr>
          <w:spacing w:val="-1"/>
          <w:sz w:val="24"/>
          <w:szCs w:val="24"/>
        </w:rPr>
        <w:t>.1竞争性磋商文件包括以下部分：</w:t>
      </w:r>
    </w:p>
    <w:p>
      <w:pPr>
        <w:pStyle w:val="3"/>
        <w:kinsoku/>
        <w:wordWrap w:val="0"/>
        <w:spacing w:line="360" w:lineRule="auto"/>
        <w:ind w:firstLine="476" w:firstLineChars="200"/>
        <w:jc w:val="both"/>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eastAsia="zh-CN"/>
        </w:rPr>
        <w:t>竞争性磋商公告</w:t>
      </w:r>
      <w:r>
        <w:rPr>
          <w:spacing w:val="-1"/>
          <w:sz w:val="24"/>
          <w:szCs w:val="24"/>
        </w:rPr>
        <w:fldChar w:fldCharType="end"/>
      </w:r>
    </w:p>
    <w:p>
      <w:pPr>
        <w:pStyle w:val="3"/>
        <w:kinsoku/>
        <w:wordWrap w:val="0"/>
        <w:spacing w:line="360" w:lineRule="auto"/>
        <w:ind w:firstLine="476" w:firstLineChars="200"/>
        <w:jc w:val="both"/>
        <w:rPr>
          <w:spacing w:val="-1"/>
          <w:sz w:val="24"/>
          <w:szCs w:val="24"/>
        </w:rPr>
      </w:pPr>
      <w:r>
        <w:rPr>
          <w:spacing w:val="-1"/>
          <w:sz w:val="24"/>
          <w:szCs w:val="24"/>
        </w:rPr>
        <w:t>第二章采购需求</w:t>
      </w:r>
    </w:p>
    <w:p>
      <w:pPr>
        <w:pStyle w:val="3"/>
        <w:kinsoku/>
        <w:wordWrap w:val="0"/>
        <w:spacing w:line="360" w:lineRule="auto"/>
        <w:ind w:firstLine="476" w:firstLineChars="200"/>
        <w:jc w:val="both"/>
        <w:rPr>
          <w:spacing w:val="-1"/>
          <w:sz w:val="24"/>
          <w:szCs w:val="24"/>
        </w:rPr>
      </w:pPr>
      <w:r>
        <w:rPr>
          <w:spacing w:val="-1"/>
          <w:sz w:val="24"/>
          <w:szCs w:val="24"/>
        </w:rPr>
        <w:t>第三章供应商须知</w:t>
      </w:r>
    </w:p>
    <w:p>
      <w:pPr>
        <w:pStyle w:val="3"/>
        <w:kinsoku/>
        <w:wordWrap w:val="0"/>
        <w:spacing w:line="360" w:lineRule="auto"/>
        <w:ind w:firstLine="476" w:firstLineChars="200"/>
        <w:jc w:val="both"/>
        <w:rPr>
          <w:spacing w:val="-1"/>
          <w:sz w:val="24"/>
          <w:szCs w:val="24"/>
        </w:rPr>
      </w:pPr>
      <w:r>
        <w:rPr>
          <w:spacing w:val="-1"/>
          <w:sz w:val="24"/>
          <w:szCs w:val="24"/>
        </w:rPr>
        <w:t>第四章</w:t>
      </w:r>
      <w:r>
        <w:rPr>
          <w:rFonts w:hint="eastAsia"/>
          <w:spacing w:val="-1"/>
          <w:sz w:val="24"/>
          <w:szCs w:val="24"/>
        </w:rPr>
        <w:t>评</w:t>
      </w:r>
      <w:r>
        <w:rPr>
          <w:rFonts w:hint="eastAsia"/>
          <w:spacing w:val="-1"/>
          <w:sz w:val="24"/>
          <w:szCs w:val="24"/>
          <w:lang w:eastAsia="zh-CN"/>
        </w:rPr>
        <w:t>审</w:t>
      </w:r>
      <w:r>
        <w:rPr>
          <w:rFonts w:hint="eastAsia"/>
          <w:spacing w:val="-1"/>
          <w:sz w:val="24"/>
          <w:szCs w:val="24"/>
        </w:rPr>
        <w:t>程序、</w:t>
      </w:r>
      <w:r>
        <w:rPr>
          <w:spacing w:val="-1"/>
          <w:sz w:val="24"/>
          <w:szCs w:val="24"/>
        </w:rPr>
        <w:t>评审方法和评审标准</w:t>
      </w:r>
    </w:p>
    <w:p>
      <w:pPr>
        <w:pStyle w:val="3"/>
        <w:kinsoku/>
        <w:wordWrap w:val="0"/>
        <w:spacing w:line="360" w:lineRule="auto"/>
        <w:ind w:firstLine="476" w:firstLineChars="200"/>
        <w:jc w:val="both"/>
        <w:rPr>
          <w:spacing w:val="-1"/>
          <w:sz w:val="24"/>
          <w:szCs w:val="24"/>
        </w:rPr>
      </w:pPr>
      <w:r>
        <w:rPr>
          <w:spacing w:val="-1"/>
          <w:sz w:val="24"/>
          <w:szCs w:val="24"/>
        </w:rPr>
        <w:t>第五章</w:t>
      </w:r>
      <w:r>
        <w:rPr>
          <w:rFonts w:hint="eastAsia"/>
          <w:spacing w:val="-1"/>
          <w:sz w:val="24"/>
          <w:szCs w:val="24"/>
          <w:lang w:eastAsia="zh-CN"/>
        </w:rPr>
        <w:t>政府采购合同（草案）</w:t>
      </w:r>
    </w:p>
    <w:p>
      <w:pPr>
        <w:pStyle w:val="3"/>
        <w:kinsoku/>
        <w:wordWrap w:val="0"/>
        <w:spacing w:line="360" w:lineRule="auto"/>
        <w:ind w:firstLine="476" w:firstLineChars="200"/>
        <w:jc w:val="both"/>
        <w:rPr>
          <w:spacing w:val="-1"/>
          <w:sz w:val="24"/>
          <w:szCs w:val="24"/>
        </w:rPr>
      </w:pPr>
      <w:r>
        <w:rPr>
          <w:spacing w:val="-1"/>
          <w:sz w:val="24"/>
          <w:szCs w:val="24"/>
        </w:rPr>
        <w:t>第六章响应文件格式</w:t>
      </w:r>
    </w:p>
    <w:p>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7.2 供应商应认真阅读竞争性磋商文件的全部内容。供应商应按照竞争性磋商文件要求提交响应文件并保证所提供的全部资料的真实性，并对竞争性磋商文件做出实质性响应，否则响应无效。</w:t>
      </w:r>
    </w:p>
    <w:p>
      <w:pPr>
        <w:pStyle w:val="3"/>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8.对竞争性磋商文件的澄清或修改</w:t>
      </w:r>
    </w:p>
    <w:p>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 xml:space="preserve">8.1 </w:t>
      </w:r>
      <w:r>
        <w:rPr>
          <w:rFonts w:hint="eastAsia" w:asciiTheme="minorEastAsia" w:hAnsiTheme="minorEastAsia" w:eastAsiaTheme="minorEastAsia" w:cstheme="minorEastAsia"/>
          <w:spacing w:val="-8"/>
          <w:sz w:val="24"/>
          <w:szCs w:val="24"/>
          <w:lang w:eastAsia="zh-CN"/>
        </w:rPr>
        <w:t>采购人或采购代理机构</w:t>
      </w:r>
      <w:r>
        <w:rPr>
          <w:rFonts w:hint="eastAsia"/>
          <w:spacing w:val="-1"/>
          <w:sz w:val="24"/>
          <w:szCs w:val="24"/>
          <w:lang w:eastAsia="zh-CN"/>
        </w:rPr>
        <w:t>可用补充文件的方式修正竞争性磋商文件，补充文件内容以公告的形式告知所有竞争性磋商文件收受人，该补充文件将成为竞争性磋商文件的组成部分，并替代所修正的部分。</w:t>
      </w:r>
    </w:p>
    <w:p>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 xml:space="preserve">8.2 </w:t>
      </w:r>
      <w:r>
        <w:rPr>
          <w:rFonts w:hint="eastAsia" w:asciiTheme="minorEastAsia" w:hAnsiTheme="minorEastAsia" w:eastAsiaTheme="minorEastAsia" w:cstheme="minorEastAsia"/>
          <w:spacing w:val="-8"/>
          <w:sz w:val="24"/>
          <w:szCs w:val="24"/>
          <w:lang w:eastAsia="zh-CN"/>
        </w:rPr>
        <w:t>采购人或采购代理机构</w:t>
      </w:r>
      <w:r>
        <w:rPr>
          <w:rFonts w:hint="eastAsia"/>
          <w:spacing w:val="-1"/>
          <w:sz w:val="24"/>
          <w:szCs w:val="24"/>
          <w:lang w:eastAsia="zh-CN"/>
        </w:rPr>
        <w:t>可以酌情延长上传截止时间，并将此变更以公告形式通知所有竞争性磋商文件收受人。</w:t>
      </w:r>
    </w:p>
    <w:p>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eastAsia="zh-CN"/>
        </w:rPr>
        <w:t>（必须在原公告发布媒体上发布公告）</w:t>
      </w:r>
      <w:r>
        <w:rPr>
          <w:rFonts w:hint="eastAsia"/>
          <w:spacing w:val="-1"/>
          <w:sz w:val="24"/>
          <w:szCs w:val="24"/>
          <w:lang w:eastAsia="zh-CN"/>
        </w:rPr>
        <w:t>通知所有获取磋商文件的供应商；不足5日的，将顺延上传响应文件截止时间。</w:t>
      </w:r>
    </w:p>
    <w:p>
      <w:pPr>
        <w:pStyle w:val="3"/>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eastAsia="zh-CN"/>
        </w:rPr>
        <w:t>采购人或采购代理机构</w:t>
      </w:r>
      <w:r>
        <w:rPr>
          <w:rFonts w:hint="eastAsia"/>
          <w:b/>
          <w:bCs/>
          <w:spacing w:val="-1"/>
          <w:sz w:val="24"/>
          <w:szCs w:val="24"/>
          <w:lang w:eastAsia="zh-CN"/>
        </w:rPr>
        <w:t>发布的一切公告信息（包括采购公告、变更公告、澄清公告等）均在“河南省政府采购网”“淅川县公共资源交易中心网”等媒体发布，请潜在供应商随时查询有关公告信息。若因潜在供应商没有及时查看到公告信息而造成的失误，责任自负。</w:t>
      </w:r>
    </w:p>
    <w:p>
      <w:pPr>
        <w:pStyle w:val="3"/>
        <w:kinsoku/>
        <w:wordWrap w:val="0"/>
        <w:spacing w:line="360" w:lineRule="auto"/>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8.5 供应商应关注是否有发布最新的澄清更正公告和更正的最新磋商文件（电子答疑文件），如有则需下载最新的磋商文件，并在此基础上制作最新的响应文件并上传。</w:t>
      </w:r>
    </w:p>
    <w:p>
      <w:pPr>
        <w:pStyle w:val="3"/>
        <w:kinsoku/>
        <w:wordWrap w:val="0"/>
        <w:spacing w:before="179" w:line="220" w:lineRule="auto"/>
        <w:jc w:val="both"/>
        <w:rPr>
          <w:sz w:val="24"/>
          <w:szCs w:val="24"/>
        </w:rPr>
      </w:pPr>
    </w:p>
    <w:p>
      <w:pPr>
        <w:pStyle w:val="3"/>
        <w:kinsoku/>
        <w:wordWrap w:val="0"/>
        <w:spacing w:before="91" w:line="360" w:lineRule="auto"/>
        <w:jc w:val="both"/>
        <w:rPr>
          <w:rFonts w:ascii="Arial" w:hAnsi="Arial" w:cs="Arial"/>
          <w:sz w:val="24"/>
          <w:szCs w:val="24"/>
          <w:lang w:eastAsia="zh-CN"/>
        </w:rPr>
      </w:pPr>
      <w:r>
        <w:rPr>
          <w:spacing w:val="-4"/>
          <w:sz w:val="28"/>
          <w:szCs w:val="28"/>
        </w:rPr>
        <w:t>三</w:t>
      </w:r>
      <w:r>
        <w:rPr>
          <w:rFonts w:hint="eastAsia"/>
          <w:spacing w:val="10"/>
          <w:sz w:val="28"/>
          <w:szCs w:val="28"/>
          <w:lang w:eastAsia="zh-CN"/>
        </w:rPr>
        <w:t>、</w:t>
      </w:r>
      <w:r>
        <w:rPr>
          <w:spacing w:val="-4"/>
          <w:sz w:val="28"/>
          <w:szCs w:val="28"/>
        </w:rPr>
        <w:t>响应文件的编制</w:t>
      </w:r>
    </w:p>
    <w:p>
      <w:pPr>
        <w:pStyle w:val="3"/>
        <w:kinsoku/>
        <w:wordWrap w:val="0"/>
        <w:spacing w:line="360" w:lineRule="auto"/>
        <w:ind w:firstLine="478" w:firstLineChars="200"/>
        <w:jc w:val="both"/>
        <w:rPr>
          <w:spacing w:val="-1"/>
          <w:sz w:val="24"/>
          <w:szCs w:val="24"/>
          <w:lang w:eastAsia="zh-CN"/>
        </w:rPr>
      </w:pPr>
      <w:r>
        <w:rPr>
          <w:rFonts w:hint="eastAsia"/>
          <w:b/>
          <w:bCs/>
          <w:spacing w:val="-1"/>
          <w:sz w:val="24"/>
          <w:szCs w:val="24"/>
          <w:lang w:eastAsia="zh-CN"/>
        </w:rPr>
        <w:t>9.响应范围、竞争性磋商文件中计量单位的使用及磋商语言</w:t>
      </w:r>
    </w:p>
    <w:p>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9.2 除竞争性磋商文件有特殊要求外，本项目磋商所使用的计量单位，应采用中华人民共和国法定计量单位。</w:t>
      </w:r>
    </w:p>
    <w:p>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pStyle w:val="3"/>
        <w:kinsoku/>
        <w:wordWrap w:val="0"/>
        <w:spacing w:line="360" w:lineRule="auto"/>
        <w:ind w:firstLine="478" w:firstLineChars="200"/>
        <w:jc w:val="both"/>
        <w:rPr>
          <w:spacing w:val="-1"/>
          <w:sz w:val="24"/>
          <w:szCs w:val="24"/>
          <w:lang w:eastAsia="zh-CN"/>
        </w:rPr>
      </w:pPr>
      <w:r>
        <w:rPr>
          <w:rFonts w:hint="eastAsia"/>
          <w:b/>
          <w:bCs/>
          <w:spacing w:val="-1"/>
          <w:sz w:val="24"/>
          <w:szCs w:val="24"/>
          <w:lang w:eastAsia="zh-CN"/>
        </w:rPr>
        <w:t>10.响应文件构成</w:t>
      </w:r>
    </w:p>
    <w:p>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10.1 供应商应当按照竞争性磋商文件的要求编制响应文件，并对其提交的响应文件的真实性、合法性承担法律责任。响应文件的部分格式要求，见第六章《响应文件格式》。</w:t>
      </w:r>
    </w:p>
    <w:p>
      <w:pPr>
        <w:pStyle w:val="3"/>
        <w:kinsoku/>
        <w:wordWrap w:val="0"/>
        <w:spacing w:line="360" w:lineRule="auto"/>
        <w:ind w:firstLine="476" w:firstLineChars="200"/>
        <w:jc w:val="both"/>
        <w:rPr>
          <w:spacing w:val="-1"/>
          <w:sz w:val="24"/>
          <w:szCs w:val="24"/>
          <w:lang w:eastAsia="zh-CN"/>
        </w:rPr>
      </w:pPr>
      <w:r>
        <w:rPr>
          <w:rFonts w:hint="eastAsia"/>
          <w:spacing w:val="-1"/>
          <w:sz w:val="24"/>
          <w:szCs w:val="24"/>
          <w:lang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pPr>
        <w:kinsoku/>
        <w:wordWrap w:val="0"/>
        <w:spacing w:line="360" w:lineRule="auto"/>
        <w:ind w:firstLine="480"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eastAsia="zh-CN"/>
        </w:rPr>
        <w:t>电子响应文件应使用CA数字证书或企业电子营业执照生成并在截止时间前上传其加密版本，根据磋商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sz w:val="24"/>
          <w:szCs w:val="24"/>
          <w:lang w:eastAsia="zh-CN"/>
        </w:rPr>
        <w:t>否则，被视为无效响应文件，将被平台系统拒绝。</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编制响应文件时，涉及营业执照、资质、业绩、财务、社保、纳税及各类证书、报告等内容，必须是原件的扫描件。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认为应附的其他材料。</w:t>
      </w:r>
    </w:p>
    <w:p>
      <w:pPr>
        <w:kinsoku/>
        <w:wordWrap w:val="0"/>
        <w:spacing w:line="360" w:lineRule="auto"/>
        <w:ind w:firstLine="48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11.报价</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eastAsia="zh-CN"/>
        </w:rPr>
        <w:t xml:space="preserve"> 报价</w:t>
      </w:r>
      <w:r>
        <w:rPr>
          <w:rFonts w:hint="eastAsia" w:asciiTheme="minorEastAsia" w:hAnsiTheme="minorEastAsia" w:eastAsiaTheme="minorEastAsia" w:cstheme="minorEastAsia"/>
          <w:sz w:val="24"/>
          <w:szCs w:val="24"/>
        </w:rPr>
        <w:t>均以人民币报价。</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eastAsia="zh-CN"/>
        </w:rPr>
        <w:t>磋商文件</w:t>
      </w:r>
      <w:r>
        <w:rPr>
          <w:rFonts w:hint="eastAsia" w:asciiTheme="minorEastAsia" w:hAnsiTheme="minorEastAsia" w:eastAsiaTheme="minorEastAsia" w:cstheme="minorEastAsia"/>
          <w:sz w:val="24"/>
          <w:szCs w:val="24"/>
        </w:rPr>
        <w:t>中有特殊规定的，从其规定。</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1 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11.3采购人不得向供应商索要或者接受其给予的赠品、回扣或者与采购无关的其他商品、服务。</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无效。</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11.5 本项目将按供应商所提交的单价和总价来支付本项目所需的费用。对供应商没有填写单价和总价的内容,将被认为这些项目费用已包括在报价中。</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11.6 磋商结束，供应商进行网上最终报价。</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11.7 本次采购设有预算，供应商最终报价超过预算的，磋商小组将不予评议。</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11.8 供应商的所有报价不得低于成本恶意竞争。</w:t>
      </w:r>
    </w:p>
    <w:p>
      <w:pPr>
        <w:kinsoku/>
        <w:wordWrap w:val="0"/>
        <w:autoSpaceDE/>
        <w:autoSpaceDN/>
        <w:adjustRightInd/>
        <w:snapToGrid/>
        <w:spacing w:line="360" w:lineRule="auto"/>
        <w:ind w:firstLine="478" w:firstLineChars="200"/>
        <w:jc w:val="both"/>
        <w:textAlignment w:val="auto"/>
        <w:rPr>
          <w:rFonts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12.响应有效期</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12.1 响应文件应在本竞争性磋商文件《供应商须知表》中规定的响应有效期内保持有效，响应有效期少于磋商文件规定期限的，其响应无效。成交人的响应有效期延长至项目验收合格之日。</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12.2 特别情况下，采购代理机构、采购人可于响应有效期满之前要求供应商同意延长有效期，要求与答复均为书面形式。供应商可以拒绝上述要求。对于同意该要求的供应商，既不要求也不允许其修改响应文件。</w:t>
      </w:r>
    </w:p>
    <w:p>
      <w:pPr>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13.响应</w:t>
      </w:r>
      <w:r>
        <w:rPr>
          <w:rFonts w:hint="eastAsia" w:asciiTheme="minorEastAsia" w:hAnsiTheme="minorEastAsia" w:eastAsiaTheme="minorEastAsia" w:cstheme="minorEastAsia"/>
          <w:b/>
          <w:bCs/>
          <w:sz w:val="24"/>
          <w:szCs w:val="24"/>
        </w:rPr>
        <w:t>文件的签署、盖章</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13.1 电子响应文件必须在规定签章处电子签章或手写签字后扫描上传进响应文件。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13.2 竞争性磋商文件要求盖章的内容，一般通过CA或电子营业执照加盖电子签章。</w:t>
      </w:r>
    </w:p>
    <w:p>
      <w:pPr>
        <w:pStyle w:val="3"/>
        <w:kinsoku/>
        <w:wordWrap w:val="0"/>
        <w:spacing w:before="122" w:line="190" w:lineRule="auto"/>
        <w:jc w:val="both"/>
        <w:rPr>
          <w:spacing w:val="-4"/>
          <w:sz w:val="28"/>
          <w:szCs w:val="28"/>
        </w:rPr>
      </w:pPr>
    </w:p>
    <w:p>
      <w:pPr>
        <w:pStyle w:val="3"/>
        <w:kinsoku/>
        <w:wordWrap w:val="0"/>
        <w:spacing w:before="122" w:line="360" w:lineRule="auto"/>
        <w:jc w:val="both"/>
        <w:rPr>
          <w:spacing w:val="-1"/>
          <w:sz w:val="24"/>
          <w:szCs w:val="24"/>
          <w:lang w:eastAsia="zh-CN"/>
        </w:rPr>
      </w:pPr>
      <w:r>
        <w:rPr>
          <w:spacing w:val="-4"/>
          <w:sz w:val="28"/>
          <w:szCs w:val="28"/>
        </w:rPr>
        <w:t>四</w:t>
      </w:r>
      <w:r>
        <w:rPr>
          <w:rFonts w:hint="eastAsia"/>
          <w:spacing w:val="10"/>
          <w:sz w:val="28"/>
          <w:szCs w:val="28"/>
          <w:lang w:eastAsia="zh-CN"/>
        </w:rPr>
        <w:t>、</w:t>
      </w:r>
      <w:r>
        <w:rPr>
          <w:spacing w:val="-4"/>
          <w:sz w:val="28"/>
          <w:szCs w:val="28"/>
        </w:rPr>
        <w:t>响应文件的</w:t>
      </w:r>
      <w:r>
        <w:rPr>
          <w:rFonts w:hint="eastAsia" w:ascii="Arial Unicode MS" w:hAnsi="Arial Unicode MS" w:cs="Arial Unicode MS"/>
          <w:spacing w:val="-4"/>
          <w:sz w:val="28"/>
          <w:szCs w:val="28"/>
          <w:lang w:eastAsia="zh-CN"/>
        </w:rPr>
        <w:t>提</w:t>
      </w:r>
      <w:r>
        <w:rPr>
          <w:rFonts w:ascii="Arial Unicode MS" w:hAnsi="Arial Unicode MS" w:eastAsia="Arial Unicode MS" w:cs="Arial Unicode MS"/>
          <w:spacing w:val="-4"/>
          <w:sz w:val="28"/>
          <w:szCs w:val="28"/>
        </w:rPr>
        <w:t>交</w:t>
      </w:r>
    </w:p>
    <w:p>
      <w:pPr>
        <w:pStyle w:val="3"/>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14.响应文件的提交</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 xml:space="preserve"> 电子响应文件的提交是指使用淅川县公共资源交易中心网上交易系统或南阳市公共资源电子营业执照应用平台系统在上传截止时间前完成制作软件生成的加密电子响应文件的上传。未在上传截止时间前完成上传的，视为逾期提交。逾期提交的响应文件不予受理。</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14.2 采购人及采购代理机构拒绝接受通过电子交易平台以外任何形式提交的响应文件。</w:t>
      </w:r>
    </w:p>
    <w:p>
      <w:pPr>
        <w:kinsoku/>
        <w:wordWrap w:val="0"/>
        <w:spacing w:line="360" w:lineRule="auto"/>
        <w:ind w:firstLine="478" w:firstLineChars="200"/>
        <w:jc w:val="both"/>
        <w:rPr>
          <w:rFonts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15.响应文件上传截止时间</w:t>
      </w:r>
    </w:p>
    <w:p>
      <w:pPr>
        <w:pStyle w:val="3"/>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供应商应在竞争性磋商文件要求响应文件上传截止时间前，将电子响应文件提交至电子交易平台。</w:t>
      </w:r>
    </w:p>
    <w:p>
      <w:pPr>
        <w:pStyle w:val="3"/>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16.响应文件的修改与撤回</w:t>
      </w:r>
    </w:p>
    <w:p>
      <w:pPr>
        <w:pStyle w:val="3"/>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在采购文件规定的电子响应文件上传截止时间前，供应商可以修改或撤回已上传的电子响应文件，最终电子响应文件以上传截止时间前完成上传至南阳市公共资源交易电子交易平台最后一份加密电子响应文件为准。上传截止时间之后，供应商不得修改或撤回电子响应文件。</w:t>
      </w:r>
    </w:p>
    <w:p>
      <w:pPr>
        <w:pStyle w:val="3"/>
        <w:kinsoku/>
        <w:wordWrap w:val="0"/>
        <w:spacing w:before="358" w:line="360" w:lineRule="auto"/>
        <w:jc w:val="center"/>
        <w:rPr>
          <w:spacing w:val="-2"/>
          <w:sz w:val="24"/>
          <w:szCs w:val="24"/>
        </w:rPr>
      </w:pPr>
      <w:r>
        <w:rPr>
          <w:spacing w:val="-1"/>
          <w:sz w:val="36"/>
          <w:szCs w:val="36"/>
        </w:rPr>
        <w:t>第</w:t>
      </w:r>
      <w:r>
        <w:rPr>
          <w:rFonts w:hint="eastAsia"/>
          <w:spacing w:val="-1"/>
          <w:sz w:val="36"/>
          <w:szCs w:val="36"/>
          <w:lang w:eastAsia="zh-CN"/>
        </w:rPr>
        <w:t>四</w:t>
      </w:r>
      <w:r>
        <w:rPr>
          <w:spacing w:val="-1"/>
          <w:sz w:val="36"/>
          <w:szCs w:val="36"/>
        </w:rPr>
        <w:t>章</w:t>
      </w:r>
      <w:r>
        <w:rPr>
          <w:rFonts w:hint="eastAsia"/>
          <w:spacing w:val="-1"/>
          <w:sz w:val="36"/>
          <w:szCs w:val="36"/>
        </w:rPr>
        <w:t>评</w:t>
      </w:r>
      <w:r>
        <w:rPr>
          <w:rFonts w:hint="eastAsia"/>
          <w:spacing w:val="-1"/>
          <w:sz w:val="36"/>
          <w:szCs w:val="36"/>
          <w:lang w:eastAsia="zh-CN"/>
        </w:rPr>
        <w:t>审</w:t>
      </w:r>
      <w:r>
        <w:rPr>
          <w:rFonts w:hint="eastAsia"/>
          <w:spacing w:val="-1"/>
          <w:sz w:val="36"/>
          <w:szCs w:val="36"/>
        </w:rPr>
        <w:t>程序、</w:t>
      </w:r>
      <w:r>
        <w:rPr>
          <w:spacing w:val="-1"/>
          <w:sz w:val="36"/>
          <w:szCs w:val="36"/>
        </w:rPr>
        <w:t>评审方法和评审标准</w:t>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一、编制、确认竞争性磋商文件</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采购人或采购代理机构根据采购项目特点和采购实际需求编制竞争性磋商文件，编制的竞争性磋商文件应由采购人审核并确认。</w:t>
      </w:r>
    </w:p>
    <w:p>
      <w:pPr>
        <w:tabs>
          <w:tab w:val="left" w:pos="743"/>
        </w:tabs>
        <w:kinsoku/>
        <w:wordWrap w:val="0"/>
        <w:spacing w:line="360" w:lineRule="auto"/>
        <w:jc w:val="both"/>
        <w:rPr>
          <w:rFonts w:asciiTheme="minorEastAsia" w:hAnsiTheme="minorEastAsia" w:eastAsiaTheme="minorEastAsia" w:cstheme="minorEastAsia"/>
          <w:b/>
          <w:bCs/>
          <w:spacing w:val="3"/>
          <w:sz w:val="24"/>
          <w:szCs w:val="24"/>
          <w:lang w:eastAsia="zh-CN"/>
        </w:rPr>
      </w:pPr>
    </w:p>
    <w:p>
      <w:pPr>
        <w:tabs>
          <w:tab w:val="left" w:pos="743"/>
        </w:tabs>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二、发布竞争性磋商公告，邀请供应商参加磋商</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竞争性磋商文件经采购人书面确认后，将在指定媒体和淅川县公共资源交易中心网发布竞争性磋商公告。供应商按照公告和竞争性磋商文件要求制作并递交响应文件。</w:t>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三、组建磋商小组</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根据</w:t>
      </w:r>
      <w:r>
        <w:rPr>
          <w:rFonts w:hint="eastAsia" w:asciiTheme="minorEastAsia" w:hAnsiTheme="minorEastAsia" w:eastAsiaTheme="minorEastAsia" w:cstheme="minorEastAsia"/>
          <w:spacing w:val="-2"/>
          <w:sz w:val="24"/>
          <w:szCs w:val="24"/>
          <w:lang w:eastAsia="zh-CN"/>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pacing w:val="3"/>
          <w:sz w:val="24"/>
          <w:szCs w:val="24"/>
          <w:lang w:eastAsia="zh-CN"/>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竞争性磋商小组负责对响应文件进行评审、质疑、评估、比较、评分，组织磋商和最后报价。</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评审专家应当严格遵守评审工作纪律，按照客观、公正、审慎的原则，根据磋商文件规定的评审程序、评审方法和评审标准进行独立评审。</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评审活动结束，按照《河南省政府采购评审专家劳务报酬支付标准》的通知(豫财购〔2017〕9号)的规定，发放劳务报酬。</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评审专家未完成评审工作擅自离开评审现场，或者在评审活动中有违法违规行为的，不得获取劳务报酬和报销异地评审差旅费。评审专家以外的其他人员不得获取评审劳务报酬。</w:t>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四、解密电子响应文件</w:t>
      </w:r>
    </w:p>
    <w:p>
      <w:pPr>
        <w:pStyle w:val="3"/>
        <w:kinsoku/>
        <w:wordWrap w:val="0"/>
        <w:spacing w:line="360" w:lineRule="auto"/>
        <w:ind w:firstLine="492" w:firstLineChars="200"/>
        <w:jc w:val="both"/>
        <w:outlineLvl w:val="1"/>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spacing w:val="3"/>
          <w:sz w:val="24"/>
          <w:szCs w:val="24"/>
          <w:lang w:eastAsia="zh-CN"/>
        </w:rPr>
        <w:t>供应商解密：供应商制作电子响应文件时，必须使用本单位的CA或电子营业执照扫码进行加密，供应商在解密前须自行检查CA或电子营业执照的有效性。解密时未在开启响应文件时间后30分钟内进行解密成功的视为撤销其响应文件（因电子开标系统原因除外）。</w:t>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五、评审</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磋商小组对供应商提交的响应文件进行评审。主要对响应文件的有效性、完整性和响应程度进行审查，具体包括：</w:t>
      </w:r>
    </w:p>
    <w:p>
      <w:pPr>
        <w:kinsoku/>
        <w:wordWrap w:val="0"/>
        <w:spacing w:line="360" w:lineRule="auto"/>
        <w:ind w:firstLine="494" w:firstLineChars="200"/>
        <w:jc w:val="center"/>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资格性审查</w:t>
      </w:r>
    </w:p>
    <w:tbl>
      <w:tblPr>
        <w:tblStyle w:val="28"/>
        <w:tblW w:w="8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3851"/>
        <w:gridCol w:w="26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tcPr>
          <w:p>
            <w:pPr>
              <w:kinsoku/>
              <w:wordWrap w:val="0"/>
              <w:spacing w:before="119" w:line="222"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1058" w:type="dxa"/>
          </w:tcPr>
          <w:p>
            <w:pPr>
              <w:kinsoku/>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审查因素</w:t>
            </w:r>
          </w:p>
        </w:tc>
        <w:tc>
          <w:tcPr>
            <w:tcW w:w="3851" w:type="dxa"/>
          </w:tcPr>
          <w:p>
            <w:pPr>
              <w:kinsoku/>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审查内容</w:t>
            </w:r>
          </w:p>
        </w:tc>
        <w:tc>
          <w:tcPr>
            <w:tcW w:w="2662" w:type="dxa"/>
          </w:tcPr>
          <w:p>
            <w:pPr>
              <w:kinsoku/>
              <w:wordWrap w:val="0"/>
              <w:spacing w:before="119" w:line="22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21" w:type="dxa"/>
            <w:vAlign w:val="center"/>
          </w:tcPr>
          <w:p>
            <w:pPr>
              <w:pStyle w:val="29"/>
              <w:kinsoku/>
              <w:wordWrap w:val="0"/>
              <w:spacing w:line="454" w:lineRule="auto"/>
              <w:jc w:val="both"/>
              <w:rPr>
                <w:rFonts w:asciiTheme="minorEastAsia" w:hAnsiTheme="minorEastAsia" w:eastAsiaTheme="minorEastAsia" w:cstheme="minorEastAsia"/>
              </w:rPr>
            </w:pPr>
          </w:p>
          <w:p>
            <w:pPr>
              <w:pStyle w:val="29"/>
              <w:kinsoku/>
              <w:wordWrap w:val="0"/>
              <w:spacing w:before="69" w:line="199" w:lineRule="auto"/>
              <w:ind w:left="37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8" w:type="dxa"/>
            <w:vAlign w:val="center"/>
          </w:tcPr>
          <w:p>
            <w:pPr>
              <w:kinsoku/>
              <w:wordWrap w:val="0"/>
              <w:spacing w:before="32" w:line="232" w:lineRule="auto"/>
              <w:ind w:left="112"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eastAsia="zh-CN"/>
              </w:rPr>
              <w:t>具备的</w:t>
            </w:r>
            <w:r>
              <w:rPr>
                <w:rFonts w:hint="eastAsia" w:asciiTheme="minorEastAsia" w:hAnsiTheme="minorEastAsia" w:eastAsiaTheme="minorEastAsia" w:cstheme="minorEastAsia"/>
                <w:spacing w:val="-2"/>
                <w:sz w:val="24"/>
                <w:szCs w:val="24"/>
              </w:rPr>
              <w:t>资格要求</w:t>
            </w:r>
          </w:p>
        </w:tc>
        <w:tc>
          <w:tcPr>
            <w:tcW w:w="3851" w:type="dxa"/>
          </w:tcPr>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4"/>
                <w:sz w:val="24"/>
                <w:szCs w:val="24"/>
                <w:lang w:eastAsia="zh-CN"/>
              </w:rPr>
              <w:t>1.</w:t>
            </w:r>
            <w:r>
              <w:rPr>
                <w:rFonts w:hint="eastAsia" w:asciiTheme="minorEastAsia" w:hAnsiTheme="minorEastAsia" w:eastAsiaTheme="minorEastAsia" w:cstheme="minorEastAsia"/>
                <w:spacing w:val="-2"/>
                <w:sz w:val="24"/>
                <w:szCs w:val="24"/>
                <w:lang w:eastAsia="zh-CN"/>
              </w:rPr>
              <w:t>注册于中华人民共和国境内，具有独立承担民事责任能力；</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2.具有良好的商业信誉和健全的财务会计制度；</w:t>
            </w:r>
          </w:p>
          <w:p>
            <w:pPr>
              <w:kinsoku/>
              <w:wordWrap w:val="0"/>
              <w:spacing w:before="32" w:line="232" w:lineRule="auto"/>
              <w:ind w:left="112" w:right="105"/>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具有履行合同所必需的设备和专业技术能力；①近三年未发生过重大食品检验事故；②在中华人民共和国境内具有固定的能够独立运行的实验场所，能满足本项目要求的承检任务需要；③能保证食品抽样检验工作的连续性和稳定定性，本单位具有足够满足本次抽检任务的专业技术人员，并在响应文件中做出承诺；</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4.有依法缴纳税收和社会保障资金的良好记录；</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5.</w:t>
            </w:r>
            <w:r>
              <w:rPr>
                <w:rFonts w:hint="eastAsia" w:asciiTheme="minorEastAsia" w:hAnsiTheme="minorEastAsia" w:eastAsiaTheme="minorEastAsia" w:cstheme="minorEastAsia"/>
                <w:spacing w:val="-14"/>
                <w:sz w:val="24"/>
                <w:szCs w:val="24"/>
                <w:lang w:eastAsia="zh-CN"/>
              </w:rPr>
              <w:t>参加政府采购活动前三年内，在经营活动中没有重大违法记录；</w:t>
            </w:r>
          </w:p>
          <w:p>
            <w:pPr>
              <w:kinsoku/>
              <w:wordWrap w:val="0"/>
              <w:spacing w:before="32" w:line="232" w:lineRule="auto"/>
              <w:ind w:left="112" w:right="105"/>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insoku/>
              <w:wordWrap w:val="0"/>
              <w:autoSpaceDE/>
              <w:autoSpaceDN/>
              <w:adjustRightInd/>
              <w:snapToGrid/>
              <w:spacing w:line="360" w:lineRule="auto"/>
              <w:ind w:firstLine="424" w:firstLineChars="200"/>
              <w:jc w:val="both"/>
              <w:textAlignment w:val="auto"/>
              <w:rPr>
                <w:rFonts w:hint="eastAsia" w:asciiTheme="minorEastAsia" w:hAnsiTheme="minorEastAsia" w:eastAsiaTheme="minorEastAsia" w:cstheme="minorEastAsia"/>
                <w:spacing w:val="-14"/>
                <w:sz w:val="24"/>
                <w:szCs w:val="24"/>
                <w:lang w:val="en-US" w:eastAsia="zh-CN"/>
              </w:rPr>
            </w:pPr>
            <w:r>
              <w:rPr>
                <w:rFonts w:hint="eastAsia" w:asciiTheme="minorEastAsia" w:hAnsiTheme="minorEastAsia" w:eastAsiaTheme="minorEastAsia" w:cstheme="minorEastAsia"/>
                <w:spacing w:val="-14"/>
                <w:sz w:val="24"/>
                <w:szCs w:val="24"/>
                <w:lang w:val="en-US" w:eastAsia="zh-CN"/>
              </w:rPr>
              <w:t>7、供应商应具备有效的标识含食品的资质认定计量认证证书（CMA），且证书合法有效；供应商具备所有检验项目的法定检验资质（须提供证书及已取得认证项目目录）</w:t>
            </w:r>
          </w:p>
          <w:p>
            <w:pPr>
              <w:kinsoku/>
              <w:wordWrap w:val="0"/>
              <w:autoSpaceDE/>
              <w:autoSpaceDN/>
              <w:adjustRightInd/>
              <w:snapToGrid/>
              <w:spacing w:line="360" w:lineRule="auto"/>
              <w:jc w:val="both"/>
              <w:textAlignment w:val="auto"/>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4"/>
                <w:sz w:val="24"/>
                <w:szCs w:val="24"/>
                <w:lang w:val="en-US" w:eastAsia="zh-CN"/>
              </w:rPr>
              <w:t xml:space="preserve">   8、</w:t>
            </w:r>
            <w:r>
              <w:rPr>
                <w:rFonts w:hint="eastAsia" w:asciiTheme="minorEastAsia" w:hAnsiTheme="minorEastAsia" w:eastAsiaTheme="minorEastAsia" w:cstheme="minorEastAsia"/>
                <w:spacing w:val="-2"/>
                <w:sz w:val="24"/>
                <w:szCs w:val="24"/>
                <w:lang w:eastAsia="zh-CN"/>
              </w:rPr>
              <w:t>遵守国家有关法律、法规、规章。</w:t>
            </w:r>
          </w:p>
          <w:p>
            <w:pPr>
              <w:pStyle w:val="2"/>
              <w:rPr>
                <w:rFonts w:hint="default"/>
                <w:lang w:val="en-US"/>
              </w:rPr>
            </w:pPr>
            <w:r>
              <w:rPr>
                <w:rFonts w:hint="eastAsia" w:asciiTheme="minorEastAsia" w:hAnsiTheme="minorEastAsia" w:eastAsiaTheme="minorEastAsia" w:cstheme="minorEastAsia"/>
                <w:spacing w:val="-2"/>
                <w:sz w:val="24"/>
                <w:szCs w:val="24"/>
                <w:lang w:val="en-US" w:eastAsia="zh-CN"/>
              </w:rPr>
              <w:t>9.9.其它要求：招标文件规定的资格条件其他内容</w:t>
            </w:r>
          </w:p>
        </w:tc>
        <w:tc>
          <w:tcPr>
            <w:tcW w:w="2662" w:type="dxa"/>
          </w:tcPr>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供应商为企业（包括合伙企业、个体工商户）的，应提供有效的营业执照；</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供应商为事业单位的，应提供有效的事业单位法人证书；</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供应商是非企业机构的，应提供有效的执业许可证、登记证书等证明文件；</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供应商是自然人的，应提供有效的自然人身份证明。</w:t>
            </w:r>
          </w:p>
          <w:p>
            <w:pPr>
              <w:kinsoku/>
              <w:wordWrap w:val="0"/>
              <w:spacing w:before="32" w:line="232" w:lineRule="auto"/>
              <w:ind w:left="112" w:right="105"/>
              <w:jc w:val="both"/>
              <w:rPr>
                <w:rFonts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1" w:type="dxa"/>
          </w:tcPr>
          <w:p>
            <w:pPr>
              <w:pStyle w:val="29"/>
              <w:kinsoku/>
              <w:wordWrap w:val="0"/>
              <w:spacing w:before="137" w:line="201" w:lineRule="auto"/>
              <w:ind w:left="243"/>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2</w:t>
            </w:r>
          </w:p>
        </w:tc>
        <w:tc>
          <w:tcPr>
            <w:tcW w:w="1058" w:type="dxa"/>
          </w:tcPr>
          <w:p>
            <w:pPr>
              <w:kinsoku/>
              <w:wordWrap w:val="0"/>
              <w:spacing w:before="116" w:line="221" w:lineRule="auto"/>
              <w:ind w:lef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851" w:type="dxa"/>
          </w:tcPr>
          <w:p>
            <w:pPr>
              <w:kinsoku/>
              <w:wordWrap w:val="0"/>
              <w:spacing w:before="116" w:line="219" w:lineRule="auto"/>
              <w:ind w:left="11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2662" w:type="dxa"/>
          </w:tcPr>
          <w:p>
            <w:pPr>
              <w:pStyle w:val="29"/>
              <w:kinsoku/>
              <w:wordWrap w:val="0"/>
              <w:jc w:val="both"/>
              <w:rPr>
                <w:rFonts w:asciiTheme="minorEastAsia" w:hAnsiTheme="minorEastAsia" w:eastAsiaTheme="minorEastAsia" w:cstheme="minorEastAsi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721" w:type="dxa"/>
          </w:tcPr>
          <w:p>
            <w:pPr>
              <w:pStyle w:val="29"/>
              <w:kinsoku/>
              <w:wordWrap w:val="0"/>
              <w:spacing w:line="258" w:lineRule="auto"/>
              <w:jc w:val="both"/>
              <w:rPr>
                <w:rFonts w:asciiTheme="minorEastAsia" w:hAnsiTheme="minorEastAsia" w:eastAsiaTheme="minorEastAsia" w:cstheme="minorEastAsia"/>
              </w:rPr>
            </w:pPr>
          </w:p>
          <w:p>
            <w:pPr>
              <w:pStyle w:val="29"/>
              <w:kinsoku/>
              <w:wordWrap w:val="0"/>
              <w:spacing w:line="258" w:lineRule="auto"/>
              <w:jc w:val="both"/>
              <w:rPr>
                <w:rFonts w:asciiTheme="minorEastAsia" w:hAnsiTheme="minorEastAsia" w:eastAsiaTheme="minorEastAsia" w:cstheme="minorEastAsia"/>
              </w:rPr>
            </w:pPr>
          </w:p>
          <w:p>
            <w:pPr>
              <w:pStyle w:val="29"/>
              <w:kinsoku/>
              <w:wordWrap w:val="0"/>
              <w:spacing w:line="258" w:lineRule="auto"/>
              <w:jc w:val="both"/>
              <w:rPr>
                <w:rFonts w:asciiTheme="minorEastAsia" w:hAnsiTheme="minorEastAsia" w:eastAsiaTheme="minorEastAsia" w:cstheme="minorEastAsia"/>
              </w:rPr>
            </w:pPr>
          </w:p>
          <w:p>
            <w:pPr>
              <w:pStyle w:val="29"/>
              <w:kinsoku/>
              <w:wordWrap w:val="0"/>
              <w:spacing w:line="258" w:lineRule="auto"/>
              <w:jc w:val="both"/>
              <w:rPr>
                <w:rFonts w:asciiTheme="minorEastAsia" w:hAnsiTheme="minorEastAsia" w:eastAsiaTheme="minorEastAsia" w:cstheme="minorEastAsia"/>
              </w:rPr>
            </w:pPr>
          </w:p>
          <w:p>
            <w:pPr>
              <w:pStyle w:val="29"/>
              <w:kinsoku/>
              <w:wordWrap w:val="0"/>
              <w:spacing w:line="258" w:lineRule="auto"/>
              <w:jc w:val="both"/>
              <w:rPr>
                <w:rFonts w:asciiTheme="minorEastAsia" w:hAnsiTheme="minorEastAsia" w:eastAsiaTheme="minorEastAsia" w:cstheme="minorEastAsia"/>
              </w:rPr>
            </w:pPr>
          </w:p>
          <w:p>
            <w:pPr>
              <w:pStyle w:val="29"/>
              <w:kinsoku/>
              <w:wordWrap w:val="0"/>
              <w:spacing w:line="259" w:lineRule="auto"/>
              <w:jc w:val="both"/>
              <w:rPr>
                <w:rFonts w:asciiTheme="minorEastAsia" w:hAnsiTheme="minorEastAsia" w:eastAsiaTheme="minorEastAsia" w:cstheme="minorEastAsia"/>
              </w:rPr>
            </w:pPr>
          </w:p>
          <w:p>
            <w:pPr>
              <w:pStyle w:val="29"/>
              <w:kinsoku/>
              <w:wordWrap w:val="0"/>
              <w:spacing w:line="259" w:lineRule="auto"/>
              <w:jc w:val="both"/>
              <w:rPr>
                <w:rFonts w:asciiTheme="minorEastAsia" w:hAnsiTheme="minorEastAsia" w:eastAsiaTheme="minorEastAsia" w:cstheme="minorEastAsia"/>
              </w:rPr>
            </w:pPr>
          </w:p>
          <w:p>
            <w:pPr>
              <w:pStyle w:val="29"/>
              <w:kinsoku/>
              <w:wordWrap w:val="0"/>
              <w:spacing w:line="259" w:lineRule="auto"/>
              <w:jc w:val="both"/>
              <w:rPr>
                <w:rFonts w:asciiTheme="minorEastAsia" w:hAnsiTheme="minorEastAsia" w:eastAsiaTheme="minorEastAsia" w:cstheme="minorEastAsia"/>
              </w:rPr>
            </w:pPr>
          </w:p>
          <w:p>
            <w:pPr>
              <w:pStyle w:val="29"/>
              <w:kinsoku/>
              <w:wordWrap w:val="0"/>
              <w:spacing w:line="259" w:lineRule="auto"/>
              <w:jc w:val="both"/>
              <w:rPr>
                <w:rFonts w:asciiTheme="minorEastAsia" w:hAnsiTheme="minorEastAsia" w:eastAsiaTheme="minorEastAsia" w:cstheme="minorEastAsia"/>
              </w:rPr>
            </w:pPr>
          </w:p>
          <w:p>
            <w:pPr>
              <w:pStyle w:val="29"/>
              <w:kinsoku/>
              <w:wordWrap w:val="0"/>
              <w:spacing w:before="49" w:line="199" w:lineRule="auto"/>
              <w:ind w:firstLine="256" w:firstLineChars="1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58" w:type="dxa"/>
          </w:tcPr>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4" w:lineRule="auto"/>
              <w:jc w:val="both"/>
              <w:rPr>
                <w:rFonts w:asciiTheme="minorEastAsia" w:hAnsiTheme="minorEastAsia" w:eastAsiaTheme="minorEastAsia" w:cstheme="minorEastAsia"/>
              </w:rPr>
            </w:pPr>
          </w:p>
          <w:p>
            <w:pPr>
              <w:pStyle w:val="29"/>
              <w:kinsoku/>
              <w:wordWrap w:val="0"/>
              <w:spacing w:line="254" w:lineRule="auto"/>
              <w:jc w:val="both"/>
              <w:rPr>
                <w:rFonts w:asciiTheme="minorEastAsia" w:hAnsiTheme="minorEastAsia" w:eastAsiaTheme="minorEastAsia" w:cstheme="minorEastAsia"/>
              </w:rPr>
            </w:pPr>
          </w:p>
          <w:p>
            <w:pPr>
              <w:pStyle w:val="29"/>
              <w:kinsoku/>
              <w:wordWrap w:val="0"/>
              <w:spacing w:line="254" w:lineRule="auto"/>
              <w:jc w:val="both"/>
              <w:rPr>
                <w:rFonts w:asciiTheme="minorEastAsia" w:hAnsiTheme="minorEastAsia" w:eastAsiaTheme="minorEastAsia" w:cstheme="minorEastAsia"/>
              </w:rPr>
            </w:pPr>
          </w:p>
          <w:p>
            <w:pPr>
              <w:kinsoku/>
              <w:wordWrap w:val="0"/>
              <w:spacing w:before="78" w:line="229" w:lineRule="auto"/>
              <w:ind w:left="112" w:right="105" w:firstLine="2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851" w:type="dxa"/>
          </w:tcPr>
          <w:p>
            <w:pPr>
              <w:kinsoku/>
              <w:wordWrap w:val="0"/>
              <w:spacing w:before="36" w:line="215" w:lineRule="auto"/>
              <w:ind w:left="115" w:right="102" w:firstLine="1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eastAsia="zh-CN"/>
              </w:rPr>
              <w:t>提</w:t>
            </w:r>
            <w:r>
              <w:rPr>
                <w:rFonts w:hint="eastAsia" w:asciiTheme="minorEastAsia" w:hAnsiTheme="minorEastAsia" w:eastAsiaTheme="minorEastAsia" w:cstheme="minorEastAsia"/>
                <w:spacing w:val="-5"/>
                <w:sz w:val="24"/>
                <w:szCs w:val="24"/>
              </w:rPr>
              <w:t>供。</w:t>
            </w:r>
          </w:p>
          <w:p>
            <w:pPr>
              <w:pStyle w:val="29"/>
              <w:kinsoku/>
              <w:wordWrap w:val="0"/>
              <w:spacing w:before="4" w:line="220" w:lineRule="auto"/>
              <w:ind w:left="116" w:right="102" w:firstLine="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eastAsia="zh-CN"/>
              </w:rPr>
              <w:t>供应商</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pPr>
              <w:pStyle w:val="29"/>
              <w:kinsoku/>
              <w:wordWrap w:val="0"/>
              <w:spacing w:before="20" w:line="236" w:lineRule="auto"/>
              <w:ind w:left="113" w:right="102" w:firstLine="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2662" w:type="dxa"/>
          </w:tcPr>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4" w:lineRule="auto"/>
              <w:jc w:val="both"/>
              <w:rPr>
                <w:rFonts w:asciiTheme="minorEastAsia" w:hAnsiTheme="minorEastAsia" w:eastAsiaTheme="minorEastAsia" w:cstheme="minorEastAsia"/>
              </w:rPr>
            </w:pPr>
          </w:p>
          <w:p>
            <w:pPr>
              <w:pStyle w:val="29"/>
              <w:kinsoku/>
              <w:wordWrap w:val="0"/>
              <w:spacing w:line="254" w:lineRule="auto"/>
              <w:jc w:val="both"/>
              <w:rPr>
                <w:rFonts w:asciiTheme="minorEastAsia" w:hAnsiTheme="minorEastAsia" w:eastAsiaTheme="minorEastAsia" w:cstheme="minorEastAsia"/>
              </w:rPr>
            </w:pPr>
          </w:p>
          <w:p>
            <w:pPr>
              <w:pStyle w:val="29"/>
              <w:kinsoku/>
              <w:wordWrap w:val="0"/>
              <w:spacing w:line="254" w:lineRule="auto"/>
              <w:jc w:val="both"/>
              <w:rPr>
                <w:rFonts w:asciiTheme="minorEastAsia" w:hAnsiTheme="minorEastAsia" w:eastAsiaTheme="minorEastAsia" w:cstheme="minorEastAsia"/>
              </w:rPr>
            </w:pPr>
          </w:p>
          <w:p>
            <w:pPr>
              <w:kinsoku/>
              <w:wordWrap w:val="0"/>
              <w:spacing w:before="78" w:line="229" w:lineRule="auto"/>
              <w:ind w:left="118" w:right="116" w:hanging="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eastAsia="zh-CN"/>
              </w:rPr>
              <w:t>响应</w:t>
            </w:r>
            <w:r>
              <w:rPr>
                <w:rFonts w:hint="eastAsia" w:asciiTheme="minorEastAsia" w:hAnsiTheme="minorEastAsia" w:eastAsiaTheme="minorEastAsia" w:cstheme="minorEastAsia"/>
                <w:spacing w:val="-4"/>
                <w:sz w:val="24"/>
                <w:szCs w:val="24"/>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1" w:type="dxa"/>
          </w:tcPr>
          <w:p>
            <w:pPr>
              <w:pStyle w:val="29"/>
              <w:kinsoku/>
              <w:wordWrap w:val="0"/>
              <w:spacing w:before="213" w:line="201" w:lineRule="auto"/>
              <w:ind w:left="36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58" w:type="dxa"/>
          </w:tcPr>
          <w:p>
            <w:pPr>
              <w:kinsoku/>
              <w:wordWrap w:val="0"/>
              <w:spacing w:before="35" w:line="224" w:lineRule="auto"/>
              <w:ind w:left="113"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3851" w:type="dxa"/>
          </w:tcPr>
          <w:p>
            <w:pPr>
              <w:kinsoku/>
              <w:wordWrap w:val="0"/>
              <w:spacing w:before="192"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如有，</w:t>
            </w:r>
            <w:r>
              <w:rPr>
                <w:rFonts w:hint="eastAsia" w:asciiTheme="minorEastAsia" w:hAnsiTheme="minorEastAsia" w:eastAsiaTheme="minorEastAsia" w:cstheme="minorEastAsia"/>
                <w:spacing w:val="-2"/>
                <w:sz w:val="24"/>
                <w:szCs w:val="24"/>
              </w:rPr>
              <w:t>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2662" w:type="dxa"/>
          </w:tcPr>
          <w:p>
            <w:pPr>
              <w:pStyle w:val="29"/>
              <w:kinsoku/>
              <w:wordWrap w:val="0"/>
              <w:jc w:val="both"/>
              <w:rPr>
                <w:rFonts w:asciiTheme="minorEastAsia" w:hAnsiTheme="minorEastAsia" w:eastAsiaTheme="minorEastAsia" w:cstheme="minorEastAsia"/>
              </w:rPr>
            </w:pPr>
          </w:p>
        </w:tc>
      </w:tr>
    </w:tbl>
    <w:p>
      <w:pPr>
        <w:widowControl w:val="0"/>
        <w:kinsoku/>
        <w:wordWrap w:val="0"/>
        <w:snapToGrid/>
        <w:spacing w:line="360" w:lineRule="auto"/>
        <w:ind w:firstLine="482" w:firstLineChars="200"/>
        <w:jc w:val="both"/>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pStyle w:val="3"/>
        <w:kinsoku/>
        <w:wordWrap w:val="0"/>
        <w:spacing w:line="360" w:lineRule="auto"/>
        <w:ind w:firstLine="484" w:firstLineChars="200"/>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2.</w:t>
      </w:r>
      <w:r>
        <w:rPr>
          <w:rFonts w:hint="eastAsia" w:asciiTheme="minorEastAsia" w:hAnsiTheme="minorEastAsia" w:eastAsiaTheme="minorEastAsia" w:cstheme="minorEastAsia"/>
          <w:spacing w:val="1"/>
          <w:sz w:val="24"/>
          <w:szCs w:val="24"/>
        </w:rPr>
        <w:t>符合性审查</w:t>
      </w:r>
      <w:r>
        <w:rPr>
          <w:rFonts w:hint="eastAsia" w:asciiTheme="minorEastAsia" w:hAnsiTheme="minorEastAsia" w:eastAsiaTheme="minorEastAsia" w:cstheme="minorEastAsia"/>
          <w:spacing w:val="1"/>
          <w:sz w:val="24"/>
          <w:szCs w:val="24"/>
          <w:lang w:eastAsia="zh-CN"/>
        </w:rPr>
        <w:t>。</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磋商小组依据竞争性磋商文件的规定检查供应商</w:t>
      </w:r>
      <w:r>
        <w:rPr>
          <w:rFonts w:hint="eastAsia" w:asciiTheme="minorEastAsia" w:hAnsiTheme="minorEastAsia" w:eastAsiaTheme="minorEastAsia" w:cstheme="minorEastAsia"/>
          <w:spacing w:val="3"/>
          <w:sz w:val="24"/>
          <w:szCs w:val="24"/>
          <w:lang w:eastAsia="zh-CN"/>
        </w:rPr>
        <w:t>响应文件</w:t>
      </w:r>
      <w:r>
        <w:rPr>
          <w:rFonts w:hint="eastAsia" w:asciiTheme="minorEastAsia" w:hAnsiTheme="minorEastAsia" w:eastAsiaTheme="minorEastAsia" w:cstheme="minorEastAsia"/>
          <w:spacing w:val="3"/>
          <w:sz w:val="24"/>
          <w:szCs w:val="24"/>
        </w:rPr>
        <w:t>制作内容</w:t>
      </w:r>
      <w:r>
        <w:rPr>
          <w:rFonts w:hint="eastAsia" w:asciiTheme="minorEastAsia" w:hAnsiTheme="minorEastAsia" w:eastAsiaTheme="minorEastAsia" w:cstheme="minorEastAsia"/>
          <w:spacing w:val="3"/>
          <w:sz w:val="24"/>
          <w:szCs w:val="24"/>
          <w:lang w:eastAsia="zh-CN"/>
        </w:rPr>
        <w:t>的完整度和符合性</w:t>
      </w:r>
      <w:r>
        <w:rPr>
          <w:rFonts w:hint="eastAsia" w:asciiTheme="minorEastAsia" w:hAnsiTheme="minorEastAsia" w:eastAsiaTheme="minorEastAsia" w:cstheme="minorEastAsia"/>
          <w:spacing w:val="3"/>
          <w:sz w:val="24"/>
          <w:szCs w:val="24"/>
        </w:rPr>
        <w:t>是否符合竞争性磋商文件的各项要求。</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只有通过以上审查的供应商的响应文件，方可进入商务和技术评估，综合比较与评价。</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3.</w:t>
      </w:r>
      <w:r>
        <w:rPr>
          <w:rFonts w:hint="eastAsia" w:asciiTheme="minorEastAsia" w:hAnsiTheme="minorEastAsia" w:eastAsiaTheme="minorEastAsia" w:cstheme="minorEastAsia"/>
          <w:spacing w:val="3"/>
          <w:sz w:val="24"/>
          <w:szCs w:val="24"/>
        </w:rPr>
        <w:t>技术（服务）审查。磋商小组依据竞争性磋商文件的规定审查各供应商</w:t>
      </w:r>
      <w:r>
        <w:rPr>
          <w:rFonts w:hint="eastAsia" w:asciiTheme="minorEastAsia" w:hAnsiTheme="minorEastAsia" w:eastAsiaTheme="minorEastAsia" w:cstheme="minorEastAsia"/>
          <w:spacing w:val="3"/>
          <w:sz w:val="24"/>
          <w:szCs w:val="24"/>
          <w:lang w:eastAsia="zh-CN"/>
        </w:rPr>
        <w:t>所响应设备的技术指标、技术性能、产品技术说明或项目方案、人员配备等</w:t>
      </w:r>
      <w:r>
        <w:rPr>
          <w:rFonts w:hint="eastAsia" w:asciiTheme="minorEastAsia" w:hAnsiTheme="minorEastAsia" w:eastAsiaTheme="minorEastAsia" w:cstheme="minorEastAsia"/>
          <w:spacing w:val="3"/>
          <w:sz w:val="24"/>
          <w:szCs w:val="24"/>
        </w:rPr>
        <w:t>是否符合最低要求。</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综合比较与评价。对各供应商</w:t>
      </w:r>
      <w:r>
        <w:rPr>
          <w:rFonts w:hint="eastAsia" w:asciiTheme="minorEastAsia" w:hAnsiTheme="minorEastAsia" w:eastAsiaTheme="minorEastAsia" w:cstheme="minorEastAsia"/>
          <w:spacing w:val="3"/>
          <w:sz w:val="24"/>
          <w:szCs w:val="24"/>
          <w:lang w:eastAsia="zh-CN"/>
        </w:rPr>
        <w:t>对磋商文件的符合性和技术响应程度、项目方案或技术响应程度、综合实力、售后服务以及报价等因素，</w:t>
      </w:r>
      <w:r>
        <w:rPr>
          <w:rFonts w:hint="eastAsia" w:asciiTheme="minorEastAsia" w:hAnsiTheme="minorEastAsia" w:eastAsiaTheme="minorEastAsia" w:cstheme="minorEastAsia"/>
          <w:spacing w:val="3"/>
          <w:sz w:val="24"/>
          <w:szCs w:val="24"/>
        </w:rPr>
        <w:t>进行综合评比。</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5.</w:t>
      </w:r>
      <w:r>
        <w:rPr>
          <w:rFonts w:hint="eastAsia" w:asciiTheme="minorEastAsia" w:hAnsiTheme="minorEastAsia" w:eastAsiaTheme="minorEastAsia" w:cstheme="minorEastAsia"/>
          <w:spacing w:val="3"/>
          <w:sz w:val="24"/>
          <w:szCs w:val="24"/>
        </w:rPr>
        <w:t>未实质性响应磋商文件的响应文件按无效响应处理，磋商小组应当告知提交响应文件的供应商。</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响应文件无效的情形：</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 </w:t>
      </w:r>
      <w:r>
        <w:rPr>
          <w:rFonts w:hint="eastAsia" w:asciiTheme="minorEastAsia" w:hAnsiTheme="minorEastAsia" w:eastAsiaTheme="minorEastAsia" w:cstheme="minorEastAsia"/>
          <w:b/>
          <w:bCs/>
          <w:spacing w:val="3"/>
          <w:sz w:val="24"/>
          <w:szCs w:val="24"/>
        </w:rPr>
        <w:t>在资格性和符合性审查时，如发现下列情形之一的，响应文件将被视为无效：</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5.1.1 </w:t>
      </w:r>
      <w:r>
        <w:rPr>
          <w:rFonts w:hint="eastAsia" w:asciiTheme="minorEastAsia" w:hAnsiTheme="minorEastAsia" w:eastAsiaTheme="minorEastAsia" w:cstheme="minorEastAsia"/>
          <w:b/>
          <w:bCs/>
          <w:spacing w:val="3"/>
          <w:sz w:val="24"/>
          <w:szCs w:val="24"/>
        </w:rPr>
        <w:t>资格证明文件不全的，或者不符合竞争性磋商文件标明的资格要求的；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5.1.2 </w:t>
      </w:r>
      <w:r>
        <w:rPr>
          <w:rFonts w:hint="eastAsia" w:asciiTheme="minorEastAsia" w:hAnsiTheme="minorEastAsia" w:eastAsiaTheme="minorEastAsia" w:cstheme="minorEastAsia"/>
          <w:b/>
          <w:bCs/>
          <w:spacing w:val="3"/>
          <w:sz w:val="24"/>
          <w:szCs w:val="24"/>
        </w:rPr>
        <w:t>响应文件无法定代表人或负责人签字,或未提供法定代表人或负责人授权委托书、</w:t>
      </w:r>
      <w:r>
        <w:rPr>
          <w:rFonts w:hint="eastAsia" w:asciiTheme="minorEastAsia" w:hAnsiTheme="minorEastAsia" w:eastAsiaTheme="minorEastAsia" w:cstheme="minorEastAsia"/>
          <w:b/>
          <w:bCs/>
          <w:spacing w:val="3"/>
          <w:sz w:val="24"/>
          <w:szCs w:val="24"/>
          <w:lang w:eastAsia="zh-CN"/>
        </w:rPr>
        <w:t>承诺</w:t>
      </w:r>
      <w:r>
        <w:rPr>
          <w:rFonts w:hint="eastAsia" w:asciiTheme="minorEastAsia" w:hAnsiTheme="minorEastAsia" w:eastAsiaTheme="minorEastAsia" w:cstheme="minorEastAsia"/>
          <w:b/>
          <w:bCs/>
          <w:spacing w:val="3"/>
          <w:sz w:val="24"/>
          <w:szCs w:val="24"/>
        </w:rPr>
        <w:t>书或者填写项目不齐全的；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5.1.3 </w:t>
      </w:r>
      <w:r>
        <w:rPr>
          <w:rFonts w:hint="eastAsia" w:asciiTheme="minorEastAsia" w:hAnsiTheme="minorEastAsia" w:eastAsiaTheme="minorEastAsia" w:cstheme="minorEastAsia"/>
          <w:b/>
          <w:bCs/>
          <w:spacing w:val="3"/>
          <w:sz w:val="24"/>
          <w:szCs w:val="24"/>
        </w:rPr>
        <w:t>授权代表人未能出具身份证明或与法定代表人或负责人授权委托人身份不符的；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5.1.4 </w:t>
      </w:r>
      <w:r>
        <w:rPr>
          <w:rFonts w:hint="eastAsia" w:asciiTheme="minorEastAsia" w:hAnsiTheme="minorEastAsia" w:eastAsiaTheme="minorEastAsia" w:cstheme="minorEastAsia"/>
          <w:b/>
          <w:bCs/>
          <w:spacing w:val="3"/>
          <w:sz w:val="24"/>
          <w:szCs w:val="24"/>
        </w:rPr>
        <w:t>电子响应文件未使用</w:t>
      </w:r>
      <w:r>
        <w:rPr>
          <w:rFonts w:hint="eastAsia" w:asciiTheme="minorEastAsia" w:hAnsiTheme="minorEastAsia" w:eastAsiaTheme="minorEastAsia" w:cstheme="minorEastAsia"/>
          <w:b/>
          <w:bCs/>
          <w:spacing w:val="3"/>
          <w:sz w:val="24"/>
          <w:szCs w:val="24"/>
          <w:lang w:eastAsia="zh-CN"/>
        </w:rPr>
        <w:t>CA或电子营业执照</w:t>
      </w:r>
      <w:r>
        <w:rPr>
          <w:rFonts w:hint="eastAsia" w:asciiTheme="minorEastAsia" w:hAnsiTheme="minorEastAsia" w:eastAsiaTheme="minorEastAsia" w:cstheme="minorEastAsia"/>
          <w:b/>
          <w:bCs/>
          <w:spacing w:val="3"/>
          <w:sz w:val="24"/>
          <w:szCs w:val="24"/>
        </w:rPr>
        <w:t>认证并加密的；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5.1.5 其他不符合磋商文件实质性要求的。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 </w:t>
      </w:r>
      <w:r>
        <w:rPr>
          <w:rFonts w:hint="eastAsia" w:asciiTheme="minorEastAsia" w:hAnsiTheme="minorEastAsia" w:eastAsiaTheme="minorEastAsia" w:cstheme="minorEastAsia"/>
          <w:b/>
          <w:bCs/>
          <w:spacing w:val="3"/>
          <w:sz w:val="24"/>
          <w:szCs w:val="24"/>
        </w:rPr>
        <w:t>在报价评审时，如发现下列情形之一的，响应文件将被视为无效：</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5.2.1 </w:t>
      </w:r>
      <w:r>
        <w:rPr>
          <w:rFonts w:hint="eastAsia" w:asciiTheme="minorEastAsia" w:hAnsiTheme="minorEastAsia" w:eastAsiaTheme="minorEastAsia" w:cstheme="minorEastAsia"/>
          <w:b/>
          <w:bCs/>
          <w:spacing w:val="3"/>
          <w:sz w:val="24"/>
          <w:szCs w:val="24"/>
        </w:rPr>
        <w:t>未采用人民币报价的；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5.2.2 </w:t>
      </w:r>
      <w:r>
        <w:rPr>
          <w:rFonts w:hint="eastAsia" w:asciiTheme="minorEastAsia" w:hAnsiTheme="minorEastAsia" w:eastAsiaTheme="minorEastAsia" w:cstheme="minorEastAsia"/>
          <w:b/>
          <w:bCs/>
          <w:spacing w:val="3"/>
          <w:sz w:val="24"/>
          <w:szCs w:val="24"/>
        </w:rPr>
        <w:t>报价具有选择性；</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5.2.3 </w:t>
      </w:r>
      <w:r>
        <w:rPr>
          <w:rFonts w:hint="eastAsia" w:asciiTheme="minorEastAsia" w:hAnsiTheme="minorEastAsia" w:eastAsiaTheme="minorEastAsia" w:cstheme="minorEastAsia"/>
          <w:b/>
          <w:bCs/>
          <w:spacing w:val="3"/>
          <w:sz w:val="24"/>
          <w:szCs w:val="24"/>
        </w:rPr>
        <w:t>未进行最后报价或最后报价高于采购人预算的</w:t>
      </w:r>
      <w:r>
        <w:rPr>
          <w:rFonts w:hint="eastAsia" w:asciiTheme="minorEastAsia" w:hAnsiTheme="minorEastAsia" w:eastAsiaTheme="minorEastAsia" w:cstheme="minorEastAsia"/>
          <w:b/>
          <w:bCs/>
          <w:spacing w:val="3"/>
          <w:sz w:val="24"/>
          <w:szCs w:val="24"/>
          <w:lang w:eastAsia="zh-CN"/>
        </w:rPr>
        <w:t>。</w:t>
      </w:r>
    </w:p>
    <w:p>
      <w:pPr>
        <w:pStyle w:val="3"/>
        <w:kinsoku/>
        <w:wordWrap w:val="0"/>
        <w:spacing w:line="360" w:lineRule="auto"/>
        <w:ind w:firstLine="480" w:firstLineChars="200"/>
        <w:jc w:val="both"/>
        <w:rPr>
          <w:sz w:val="24"/>
          <w:szCs w:val="24"/>
        </w:rPr>
      </w:pPr>
      <w:r>
        <w:rPr>
          <w:rFonts w:hint="eastAsia"/>
          <w:sz w:val="24"/>
          <w:szCs w:val="24"/>
          <w:lang w:eastAsia="zh-CN"/>
        </w:rPr>
        <w:t>6.</w:t>
      </w:r>
      <w:r>
        <w:rPr>
          <w:sz w:val="24"/>
          <w:szCs w:val="24"/>
        </w:rPr>
        <w:t>磋商、响应文件有关事项的澄清、说明或者更正和最后报价</w:t>
      </w:r>
    </w:p>
    <w:p>
      <w:pPr>
        <w:pStyle w:val="3"/>
        <w:kinsoku/>
        <w:wordWrap w:val="0"/>
        <w:spacing w:line="360" w:lineRule="auto"/>
        <w:ind w:firstLine="480" w:firstLineChars="200"/>
        <w:jc w:val="both"/>
        <w:rPr>
          <w:sz w:val="24"/>
          <w:szCs w:val="24"/>
        </w:rPr>
      </w:pPr>
      <w:r>
        <w:rPr>
          <w:rFonts w:hint="eastAsia"/>
          <w:sz w:val="24"/>
          <w:szCs w:val="24"/>
          <w:lang w:eastAsia="zh-CN"/>
        </w:rPr>
        <w:t>6</w:t>
      </w:r>
      <w:r>
        <w:rPr>
          <w:sz w:val="24"/>
          <w:szCs w:val="24"/>
        </w:rPr>
        <w:t>.1磋商小组所有成员将集中与单一供应商分别进行磋商，并给予所有参加磋商的供应商平等的磋商机会。</w:t>
      </w:r>
    </w:p>
    <w:p>
      <w:pPr>
        <w:pStyle w:val="3"/>
        <w:kinsoku/>
        <w:wordWrap w:val="0"/>
        <w:spacing w:line="360" w:lineRule="auto"/>
        <w:ind w:firstLine="480" w:firstLineChars="200"/>
        <w:jc w:val="both"/>
        <w:rPr>
          <w:sz w:val="24"/>
          <w:szCs w:val="24"/>
        </w:rPr>
      </w:pPr>
      <w:r>
        <w:rPr>
          <w:rFonts w:hint="eastAsia"/>
          <w:sz w:val="24"/>
          <w:szCs w:val="24"/>
          <w:lang w:eastAsia="zh-CN"/>
        </w:rPr>
        <w:t>6</w:t>
      </w:r>
      <w:r>
        <w:rPr>
          <w:sz w:val="24"/>
          <w:szCs w:val="24"/>
        </w:rPr>
        <w:t>.2在磋商过程中，磋商小组可以根据磋商文件和磋商情况实质性变动采购需求中的技术、服务要求以及合同草案条款，但不得变动磋商文件中的其他内容。实质性变动的内容，须经采购人代表确认。</w:t>
      </w:r>
    </w:p>
    <w:p>
      <w:pPr>
        <w:pStyle w:val="3"/>
        <w:kinsoku/>
        <w:wordWrap w:val="0"/>
        <w:spacing w:line="360" w:lineRule="auto"/>
        <w:ind w:firstLine="480" w:firstLineChars="200"/>
        <w:jc w:val="both"/>
        <w:rPr>
          <w:sz w:val="24"/>
          <w:szCs w:val="24"/>
        </w:rPr>
      </w:pPr>
      <w:r>
        <w:rPr>
          <w:rFonts w:hint="eastAsia"/>
          <w:sz w:val="24"/>
          <w:szCs w:val="24"/>
          <w:lang w:eastAsia="zh-CN"/>
        </w:rPr>
        <w:t>6</w:t>
      </w:r>
      <w:r>
        <w:rPr>
          <w:sz w:val="24"/>
          <w:szCs w:val="24"/>
        </w:rPr>
        <w:t>.3对磋商文件作出的实质性变动是磋商文件的有效组成部分，磋商小组应当及时</w:t>
      </w:r>
      <w:r>
        <w:rPr>
          <w:rFonts w:hint="eastAsia"/>
          <w:sz w:val="24"/>
          <w:szCs w:val="24"/>
          <w:lang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6</w:t>
      </w:r>
      <w:r>
        <w:rPr>
          <w:rFonts w:ascii="宋体" w:hAnsi="宋体" w:eastAsia="宋体" w:cs="宋体"/>
          <w:sz w:val="24"/>
          <w:szCs w:val="24"/>
        </w:rPr>
        <w:t>.4</w:t>
      </w:r>
      <w:r>
        <w:rPr>
          <w:rFonts w:hint="eastAsia" w:ascii="宋体" w:hAnsi="宋体" w:eastAsia="宋体" w:cs="宋体"/>
          <w:sz w:val="24"/>
          <w:szCs w:val="24"/>
        </w:rPr>
        <w:t>供应商应当按照竞争性磋商文件的变动情况和磋商小组的要求，通过</w:t>
      </w:r>
      <w:r>
        <w:rPr>
          <w:rFonts w:hint="eastAsia" w:ascii="宋体" w:hAnsi="宋体" w:eastAsia="宋体" w:cs="宋体"/>
          <w:sz w:val="24"/>
          <w:szCs w:val="24"/>
          <w:lang w:eastAsia="zh-CN"/>
        </w:rPr>
        <w:t>评标</w:t>
      </w:r>
      <w:r>
        <w:rPr>
          <w:rFonts w:hint="eastAsia" w:ascii="宋体" w:hAnsi="宋体" w:eastAsia="宋体" w:cs="宋体"/>
          <w:sz w:val="24"/>
          <w:szCs w:val="24"/>
        </w:rPr>
        <w:t>系统以在线形式提交承诺，并用</w:t>
      </w:r>
      <w:r>
        <w:rPr>
          <w:rFonts w:hint="eastAsia" w:ascii="宋体" w:hAnsi="宋体" w:eastAsia="宋体" w:cs="宋体"/>
          <w:sz w:val="24"/>
          <w:szCs w:val="24"/>
          <w:lang w:eastAsia="zh-CN"/>
        </w:rPr>
        <w:t>CA或</w:t>
      </w:r>
      <w:r>
        <w:rPr>
          <w:rFonts w:hint="eastAsia" w:ascii="宋体" w:hAnsi="宋体" w:eastAsia="宋体" w:cs="宋体"/>
          <w:sz w:val="24"/>
          <w:szCs w:val="24"/>
        </w:rPr>
        <w:t>电子营业执照签章。</w:t>
      </w:r>
    </w:p>
    <w:p>
      <w:pPr>
        <w:pStyle w:val="3"/>
        <w:kinsoku/>
        <w:wordWrap w:val="0"/>
        <w:spacing w:line="360" w:lineRule="auto"/>
        <w:ind w:firstLine="480" w:firstLineChars="200"/>
        <w:jc w:val="both"/>
        <w:rPr>
          <w:sz w:val="24"/>
          <w:szCs w:val="24"/>
        </w:rPr>
      </w:pPr>
      <w:r>
        <w:rPr>
          <w:rFonts w:hint="eastAsia"/>
          <w:sz w:val="24"/>
          <w:szCs w:val="24"/>
          <w:lang w:eastAsia="zh-CN"/>
        </w:rPr>
        <w:t>6</w:t>
      </w:r>
      <w:r>
        <w:rPr>
          <w:sz w:val="24"/>
          <w:szCs w:val="24"/>
        </w:rPr>
        <w:t>.5响应文件的澄清、说明或者更正：</w:t>
      </w:r>
    </w:p>
    <w:p>
      <w:pPr>
        <w:pStyle w:val="3"/>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.5.1磋商小组在对响应文件的有效性、完整性和响应程度进行审查时，可以要求供应商对响应文件中含义不明确、同类问题表述不一致或者有明显文字和计算错误的内容等作出必要的澄清、说明或者更正。</w:t>
      </w:r>
    </w:p>
    <w:p>
      <w:pPr>
        <w:pStyle w:val="3"/>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.5.</w:t>
      </w:r>
      <w:r>
        <w:rPr>
          <w:rFonts w:hint="eastAsia"/>
          <w:sz w:val="24"/>
          <w:szCs w:val="24"/>
          <w:lang w:eastAsia="zh-CN"/>
        </w:rPr>
        <w:t xml:space="preserve">2 </w:t>
      </w:r>
      <w:r>
        <w:rPr>
          <w:rFonts w:hint="eastAsia"/>
          <w:sz w:val="24"/>
          <w:szCs w:val="24"/>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sz w:val="24"/>
          <w:szCs w:val="24"/>
          <w:lang w:eastAsia="zh-CN"/>
        </w:rPr>
        <w:t>、</w:t>
      </w:r>
      <w:r>
        <w:rPr>
          <w:rFonts w:hint="eastAsia"/>
          <w:sz w:val="24"/>
          <w:szCs w:val="24"/>
        </w:rPr>
        <w:t>加盖公章。供应商为自然人的，应当由本人签字并附身份证明。澄清、说明或者更正文件将作为响应文件内容的一部分。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.6磋商结束后，磋商小组通过电子评标系统向所有实质性响应的供应商发出要求最后报价要求，各供应商在会员系统中收到有关信息后，必须在规定时间内给出答复，并在签章后提交。提交最后报价的供应商不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z w:val="24"/>
          <w:szCs w:val="24"/>
          <w:lang w:eastAsia="zh-CN"/>
        </w:rPr>
        <w:t>得</w:t>
      </w:r>
      <w:r>
        <w:rPr>
          <w:rFonts w:hint="eastAsia" w:ascii="宋体" w:hAnsi="宋体" w:eastAsia="宋体" w:cs="宋体"/>
          <w:sz w:val="24"/>
          <w:szCs w:val="24"/>
        </w:rPr>
        <w:t>少于</w:t>
      </w:r>
      <w:r>
        <w:rPr>
          <w:rFonts w:hint="eastAsia" w:ascii="宋体" w:hAnsi="宋体" w:eastAsia="宋体" w:cs="宋体"/>
          <w:sz w:val="24"/>
          <w:szCs w:val="24"/>
          <w:lang w:eastAsia="zh-CN"/>
        </w:rPr>
        <w:t>3</w:t>
      </w:r>
      <w:r>
        <w:rPr>
          <w:rFonts w:hint="eastAsia" w:ascii="宋体" w:hAnsi="宋体" w:eastAsia="宋体" w:cs="宋体"/>
          <w:sz w:val="24"/>
          <w:szCs w:val="24"/>
        </w:rPr>
        <w:t>家。《</w:t>
      </w:r>
      <w:r>
        <w:rPr>
          <w:rFonts w:hint="eastAsia" w:asciiTheme="minorEastAsia" w:hAnsiTheme="minorEastAsia" w:eastAsiaTheme="minorEastAsia" w:cstheme="minorEastAsia"/>
          <w:spacing w:val="-2"/>
          <w:sz w:val="24"/>
          <w:szCs w:val="24"/>
          <w:lang w:eastAsia="zh-CN"/>
        </w:rPr>
        <w:t>政府采购竞争性磋商采购方式管理暂行办法</w:t>
      </w:r>
      <w:r>
        <w:rPr>
          <w:rFonts w:hint="eastAsia" w:ascii="宋体" w:hAnsi="宋体" w:eastAsia="宋体" w:cs="宋体"/>
          <w:sz w:val="24"/>
          <w:szCs w:val="24"/>
        </w:rPr>
        <w:t>》第</w:t>
      </w:r>
      <w:r>
        <w:rPr>
          <w:rFonts w:hint="eastAsia" w:ascii="宋体" w:hAnsi="宋体" w:eastAsia="宋体" w:cs="宋体"/>
          <w:sz w:val="24"/>
          <w:szCs w:val="24"/>
          <w:lang w:eastAsia="zh-CN"/>
        </w:rPr>
        <w:t>三</w:t>
      </w:r>
      <w:r>
        <w:rPr>
          <w:rFonts w:hint="eastAsia" w:ascii="宋体" w:hAnsi="宋体" w:eastAsia="宋体" w:cs="宋体"/>
          <w:sz w:val="24"/>
          <w:szCs w:val="24"/>
        </w:rPr>
        <w:t>条第</w:t>
      </w:r>
      <w:r>
        <w:rPr>
          <w:rFonts w:hint="eastAsia" w:ascii="宋体" w:hAnsi="宋体" w:eastAsia="宋体" w:cs="宋体"/>
          <w:sz w:val="24"/>
          <w:szCs w:val="24"/>
          <w:lang w:eastAsia="zh-CN"/>
        </w:rPr>
        <w:t>四项</w:t>
      </w:r>
      <w:r>
        <w:rPr>
          <w:rFonts w:hint="eastAsia" w:ascii="宋体" w:hAnsi="宋体" w:eastAsia="宋体" w:cs="宋体"/>
          <w:sz w:val="24"/>
          <w:szCs w:val="24"/>
        </w:rPr>
        <w:t>规定的情形除外。最后报价是响应文件的有效组成部分。</w:t>
      </w:r>
    </w:p>
    <w:p>
      <w:pPr>
        <w:kinsoku/>
        <w:wordWrap w:val="0"/>
        <w:spacing w:line="360" w:lineRule="auto"/>
        <w:ind w:firstLine="480" w:firstLineChars="200"/>
        <w:jc w:val="both"/>
        <w:rPr>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.7磋商文件不能详细列明采购标的的技术、服务要求，需经磋商由供应商</w:t>
      </w:r>
      <w:r>
        <w:rPr>
          <w:rFonts w:hint="eastAsia" w:ascii="宋体" w:hAnsi="宋体" w:eastAsia="宋体" w:cs="宋体"/>
          <w:sz w:val="24"/>
          <w:szCs w:val="24"/>
          <w:lang w:eastAsia="zh-CN"/>
        </w:rPr>
        <w:t>提</w:t>
      </w:r>
      <w:r>
        <w:rPr>
          <w:rFonts w:hint="eastAsia" w:ascii="宋体" w:hAnsi="宋体" w:eastAsia="宋体" w:cs="宋体"/>
          <w:sz w:val="24"/>
          <w:szCs w:val="24"/>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z w:val="24"/>
          <w:szCs w:val="24"/>
          <w:lang w:eastAsia="zh-CN"/>
        </w:rPr>
        <w:t>提</w:t>
      </w:r>
      <w:r>
        <w:rPr>
          <w:rFonts w:hint="eastAsia" w:ascii="宋体" w:hAnsi="宋体" w:eastAsia="宋体" w:cs="宋体"/>
          <w:sz w:val="24"/>
          <w:szCs w:val="24"/>
        </w:rPr>
        <w:t>交最后报价。市场竞争不充分的科研项目，以及需要扶持的科技成果转化项目，</w:t>
      </w:r>
      <w:r>
        <w:rPr>
          <w:rFonts w:hint="eastAsia" w:ascii="宋体" w:hAnsi="宋体" w:eastAsia="宋体" w:cs="宋体"/>
          <w:sz w:val="24"/>
          <w:szCs w:val="24"/>
          <w:lang w:eastAsia="zh-CN"/>
        </w:rPr>
        <w:t>提</w:t>
      </w:r>
      <w:r>
        <w:rPr>
          <w:rFonts w:hint="eastAsia" w:ascii="宋体" w:hAnsi="宋体" w:eastAsia="宋体" w:cs="宋体"/>
          <w:sz w:val="24"/>
          <w:szCs w:val="24"/>
        </w:rPr>
        <w:t>交最后报价的供应商可以为2家；政府购买服务项目（含政府和社会资本合作项目），在采购过程中符合要求的供应商（社会资本）只有2家的，竞争性磋商采购活动可以继续进行。</w:t>
      </w:r>
    </w:p>
    <w:p>
      <w:pPr>
        <w:pStyle w:val="3"/>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w:t>
      </w:r>
      <w:r>
        <w:rPr>
          <w:rFonts w:hint="eastAsia"/>
          <w:sz w:val="24"/>
          <w:szCs w:val="24"/>
          <w:lang w:eastAsia="zh-CN"/>
        </w:rPr>
        <w:t xml:space="preserve">8 </w:t>
      </w:r>
      <w:r>
        <w:rPr>
          <w:rFonts w:hint="eastAsia"/>
          <w:sz w:val="24"/>
          <w:szCs w:val="24"/>
        </w:rPr>
        <w:t>已</w:t>
      </w:r>
      <w:r>
        <w:rPr>
          <w:rFonts w:hint="eastAsia"/>
          <w:sz w:val="24"/>
          <w:szCs w:val="24"/>
          <w:lang w:eastAsia="zh-CN"/>
        </w:rPr>
        <w:t>提</w:t>
      </w:r>
      <w:r>
        <w:rPr>
          <w:rFonts w:hint="eastAsia"/>
          <w:sz w:val="24"/>
          <w:szCs w:val="24"/>
        </w:rPr>
        <w:t>交响应文件的供应商，在</w:t>
      </w:r>
      <w:r>
        <w:rPr>
          <w:rFonts w:hint="eastAsia"/>
          <w:sz w:val="24"/>
          <w:szCs w:val="24"/>
          <w:lang w:eastAsia="zh-CN"/>
        </w:rPr>
        <w:t>提</w:t>
      </w:r>
      <w:r>
        <w:rPr>
          <w:rFonts w:hint="eastAsia"/>
          <w:sz w:val="24"/>
          <w:szCs w:val="24"/>
        </w:rPr>
        <w:t>交最后报价之前，可以根据磋商情况退出磋商。</w:t>
      </w:r>
    </w:p>
    <w:p>
      <w:pPr>
        <w:pStyle w:val="3"/>
        <w:kinsoku/>
        <w:wordWrap w:val="0"/>
        <w:spacing w:line="360" w:lineRule="auto"/>
        <w:ind w:firstLine="480" w:firstLineChars="200"/>
        <w:jc w:val="both"/>
        <w:rPr>
          <w:sz w:val="24"/>
          <w:szCs w:val="24"/>
        </w:rPr>
      </w:pPr>
      <w:r>
        <w:rPr>
          <w:rFonts w:hint="eastAsia"/>
          <w:sz w:val="24"/>
          <w:szCs w:val="24"/>
          <w:lang w:eastAsia="zh-CN"/>
        </w:rPr>
        <w:t>7.</w:t>
      </w:r>
      <w:r>
        <w:rPr>
          <w:rFonts w:hint="eastAsia"/>
          <w:sz w:val="24"/>
          <w:szCs w:val="24"/>
        </w:rPr>
        <w:t>最后报价的算术修正及政策调整</w:t>
      </w:r>
    </w:p>
    <w:p>
      <w:pPr>
        <w:pStyle w:val="3"/>
        <w:kinsoku/>
        <w:wordWrap w:val="0"/>
        <w:spacing w:line="360" w:lineRule="auto"/>
        <w:ind w:firstLine="480" w:firstLineChars="200"/>
        <w:jc w:val="both"/>
        <w:rPr>
          <w:sz w:val="24"/>
          <w:szCs w:val="24"/>
          <w:lang w:eastAsia="zh-CN"/>
        </w:rPr>
      </w:pPr>
      <w:r>
        <w:rPr>
          <w:rFonts w:hint="eastAsia"/>
          <w:sz w:val="24"/>
          <w:szCs w:val="24"/>
        </w:rPr>
        <w:t>最后报价须包含竞争性磋商文件全部内容，最后报价出现大写金额和小写金额不一致的，以大写金额为准</w:t>
      </w:r>
      <w:r>
        <w:rPr>
          <w:rFonts w:hint="eastAsia"/>
          <w:sz w:val="24"/>
          <w:szCs w:val="24"/>
          <w:lang w:eastAsia="zh-CN"/>
        </w:rPr>
        <w:t>。</w:t>
      </w:r>
    </w:p>
    <w:p>
      <w:pPr>
        <w:pStyle w:val="3"/>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评审方法和评审标准</w:t>
      </w:r>
    </w:p>
    <w:p>
      <w:pPr>
        <w:pStyle w:val="3"/>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.1本项目采用的评审方法为</w:t>
      </w:r>
      <w:r>
        <w:rPr>
          <w:rFonts w:hint="eastAsia"/>
          <w:sz w:val="24"/>
          <w:szCs w:val="24"/>
          <w:lang w:eastAsia="zh-CN"/>
        </w:rPr>
        <w:t>：</w:t>
      </w:r>
      <w:r>
        <w:rPr>
          <w:rFonts w:hint="eastAsia"/>
          <w:sz w:val="24"/>
          <w:szCs w:val="24"/>
        </w:rPr>
        <w:t>综合评分法。综合评分法，是指响应文件满足磋商文件全部实质性要求且按评审因素的量化指标评审得分最高的供应商为成交候选供应商的评审方法。</w:t>
      </w:r>
    </w:p>
    <w:p>
      <w:pPr>
        <w:pStyle w:val="3"/>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.2竞争性磋商文件中没有规定的评审标准不得作为评审依据。</w:t>
      </w:r>
    </w:p>
    <w:p>
      <w:pPr>
        <w:pStyle w:val="3"/>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.3非政府强制采购的节能产品或环境标志产品，依据品目清单和认证证书实施政府优先采购。优先采购的具体规定（如涉及</w:t>
      </w:r>
      <w:r>
        <w:rPr>
          <w:rFonts w:hint="eastAsia"/>
          <w:sz w:val="24"/>
          <w:szCs w:val="24"/>
          <w:lang w:eastAsia="zh-CN"/>
        </w:rPr>
        <w:t>）</w:t>
      </w:r>
      <w:r>
        <w:rPr>
          <w:rFonts w:hint="eastAsia"/>
          <w:sz w:val="24"/>
          <w:szCs w:val="24"/>
        </w:rPr>
        <w:t>。</w:t>
      </w:r>
    </w:p>
    <w:p>
      <w:pPr>
        <w:pStyle w:val="3"/>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.4关于无线局域网认证产品政府采购清单中的产品，优先采购的具体规定（如涉及）</w:t>
      </w:r>
      <w:r>
        <w:rPr>
          <w:spacing w:val="-25"/>
          <w:sz w:val="24"/>
          <w:szCs w:val="24"/>
        </w:rPr>
        <w:t>。</w:t>
      </w:r>
    </w:p>
    <w:p>
      <w:pPr>
        <w:pStyle w:val="3"/>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确定成交候选人名单</w:t>
      </w:r>
    </w:p>
    <w:p>
      <w:pPr>
        <w:pStyle w:val="3"/>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1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pPr>
        <w:pStyle w:val="3"/>
        <w:kinsoku/>
        <w:wordWrap w:val="0"/>
        <w:spacing w:line="360" w:lineRule="auto"/>
        <w:ind w:firstLine="482" w:firstLineChars="200"/>
        <w:jc w:val="both"/>
        <w:rPr>
          <w:b/>
          <w:bCs/>
          <w:sz w:val="24"/>
          <w:szCs w:val="24"/>
        </w:rPr>
      </w:pPr>
      <w:r>
        <w:rPr>
          <w:rFonts w:hint="eastAsia"/>
          <w:b/>
          <w:bCs/>
          <w:sz w:val="24"/>
          <w:szCs w:val="24"/>
          <w:lang w:eastAsia="zh-CN"/>
        </w:rPr>
        <w:t>9</w:t>
      </w:r>
      <w:r>
        <w:rPr>
          <w:rFonts w:hint="eastAsia"/>
          <w:b/>
          <w:bCs/>
          <w:sz w:val="24"/>
          <w:szCs w:val="24"/>
        </w:rPr>
        <w:t>.</w:t>
      </w:r>
      <w:r>
        <w:rPr>
          <w:rFonts w:hint="eastAsia"/>
          <w:b/>
          <w:bCs/>
          <w:sz w:val="24"/>
          <w:szCs w:val="24"/>
          <w:lang w:eastAsia="zh-CN"/>
        </w:rPr>
        <w:t xml:space="preserve">2 </w:t>
      </w:r>
      <w:r>
        <w:rPr>
          <w:rFonts w:hint="eastAsia"/>
          <w:b/>
          <w:bCs/>
          <w:sz w:val="24"/>
          <w:szCs w:val="24"/>
        </w:rPr>
        <w:t>磋商小组要对评分汇总情况进行复核，特别是对排名第一的、报价最低的、响应文件被认定为无效的情形进行重点复核。</w:t>
      </w:r>
    </w:p>
    <w:p>
      <w:pPr>
        <w:pStyle w:val="3"/>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w:t>
      </w:r>
      <w:r>
        <w:rPr>
          <w:rFonts w:hint="eastAsia"/>
          <w:sz w:val="24"/>
          <w:szCs w:val="24"/>
          <w:lang w:eastAsia="zh-CN"/>
        </w:rPr>
        <w:t>3 ☑</w:t>
      </w:r>
      <w:r>
        <w:rPr>
          <w:rFonts w:hint="eastAsia"/>
          <w:sz w:val="24"/>
          <w:szCs w:val="24"/>
        </w:rPr>
        <w:t>磋商小组根据上述供应商排序，依次推荐排序前</w:t>
      </w:r>
      <w:r>
        <w:rPr>
          <w:rFonts w:hint="eastAsia"/>
          <w:sz w:val="24"/>
          <w:szCs w:val="24"/>
          <w:lang w:eastAsia="zh-CN"/>
        </w:rPr>
        <w:t>3</w:t>
      </w:r>
      <w:r>
        <w:rPr>
          <w:rFonts w:hint="eastAsia"/>
          <w:sz w:val="24"/>
          <w:szCs w:val="24"/>
        </w:rPr>
        <w:t>名的供应商为成交候选供应商。采购人应当自收到评审报告之日起5个工作日内在评审报告推荐的成交候选人中按顺序确定成交供应商。</w:t>
      </w:r>
    </w:p>
    <w:p>
      <w:pPr>
        <w:pStyle w:val="3"/>
        <w:kinsoku/>
        <w:wordWrap w:val="0"/>
        <w:spacing w:line="360" w:lineRule="auto"/>
        <w:ind w:firstLine="480" w:firstLineChars="200"/>
        <w:jc w:val="both"/>
        <w:rPr>
          <w:sz w:val="24"/>
          <w:szCs w:val="24"/>
        </w:rPr>
      </w:pPr>
      <w:r>
        <w:rPr>
          <w:rFonts w:hint="eastAsia"/>
          <w:sz w:val="24"/>
          <w:szCs w:val="24"/>
          <w:lang w:eastAsia="zh-CN"/>
        </w:rPr>
        <w:t>□</w:t>
      </w:r>
      <w:r>
        <w:rPr>
          <w:rFonts w:hint="eastAsia"/>
          <w:sz w:val="24"/>
          <w:szCs w:val="24"/>
        </w:rPr>
        <w:t>采购人书面授权磋商小组直接确定成交供应商。</w:t>
      </w:r>
    </w:p>
    <w:p>
      <w:pPr>
        <w:pStyle w:val="3"/>
        <w:kinsoku/>
        <w:wordWrap w:val="0"/>
        <w:spacing w:line="360" w:lineRule="auto"/>
        <w:ind w:firstLine="480" w:firstLineChars="200"/>
        <w:jc w:val="both"/>
        <w:rPr>
          <w:sz w:val="24"/>
          <w:szCs w:val="24"/>
        </w:rPr>
      </w:pPr>
      <w:r>
        <w:rPr>
          <w:rFonts w:hint="eastAsia"/>
          <w:sz w:val="24"/>
          <w:szCs w:val="24"/>
          <w:lang w:eastAsia="zh-CN"/>
        </w:rPr>
        <w:t>10.</w:t>
      </w:r>
      <w:r>
        <w:rPr>
          <w:rFonts w:hint="eastAsia"/>
          <w:sz w:val="24"/>
          <w:szCs w:val="24"/>
        </w:rPr>
        <w:t>报告违法行为</w:t>
      </w:r>
    </w:p>
    <w:p>
      <w:pPr>
        <w:pStyle w:val="3"/>
        <w:kinsoku/>
        <w:wordWrap w:val="0"/>
        <w:spacing w:line="360" w:lineRule="auto"/>
        <w:ind w:firstLine="480" w:firstLineChars="200"/>
        <w:jc w:val="both"/>
        <w:rPr>
          <w:rFonts w:ascii="Arial"/>
          <w:sz w:val="21"/>
        </w:rPr>
      </w:pPr>
      <w:r>
        <w:rPr>
          <w:rFonts w:hint="eastAsia"/>
          <w:sz w:val="24"/>
          <w:szCs w:val="24"/>
          <w:lang w:eastAsia="zh-CN"/>
        </w:rPr>
        <w:t>10</w:t>
      </w:r>
      <w:r>
        <w:rPr>
          <w:rFonts w:hint="eastAsia"/>
          <w:sz w:val="24"/>
          <w:szCs w:val="24"/>
        </w:rPr>
        <w:t>.1磋商小组在评审过程中发现供应商有行贿、</w:t>
      </w:r>
      <w:r>
        <w:rPr>
          <w:rFonts w:hint="eastAsia"/>
          <w:sz w:val="24"/>
          <w:szCs w:val="24"/>
          <w:lang w:eastAsia="zh-CN"/>
        </w:rPr>
        <w:t>提</w:t>
      </w:r>
      <w:r>
        <w:rPr>
          <w:rFonts w:hint="eastAsia"/>
          <w:sz w:val="24"/>
          <w:szCs w:val="24"/>
        </w:rPr>
        <w:t>供虚假材料或者串通等违法行为时，有向采购人、采购代理机构或者有关部门报告的职责。</w:t>
      </w:r>
    </w:p>
    <w:p>
      <w:pPr>
        <w:pStyle w:val="3"/>
        <w:kinsoku/>
        <w:wordWrap w:val="0"/>
        <w:spacing w:before="78" w:line="221" w:lineRule="auto"/>
        <w:jc w:val="center"/>
        <w:outlineLvl w:val="1"/>
        <w:rPr>
          <w:spacing w:val="-2"/>
          <w:sz w:val="24"/>
          <w:szCs w:val="24"/>
        </w:rPr>
      </w:pPr>
      <w:r>
        <w:rPr>
          <w:spacing w:val="-2"/>
          <w:sz w:val="24"/>
          <w:szCs w:val="24"/>
        </w:rPr>
        <w:t>评审标准</w:t>
      </w:r>
    </w:p>
    <w:p>
      <w:pPr>
        <w:pStyle w:val="4"/>
      </w:pPr>
    </w:p>
    <w:tbl>
      <w:tblPr>
        <w:tblStyle w:val="28"/>
        <w:tblW w:w="85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031"/>
        <w:gridCol w:w="789"/>
        <w:gridCol w:w="2630"/>
        <w:gridCol w:w="32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39" w:type="dxa"/>
          </w:tcPr>
          <w:p>
            <w:pPr>
              <w:kinsoku/>
              <w:wordWrap w:val="0"/>
              <w:spacing w:before="40" w:line="208" w:lineRule="auto"/>
              <w:ind w:left="19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1031" w:type="dxa"/>
          </w:tcPr>
          <w:p>
            <w:pPr>
              <w:kinsoku/>
              <w:wordWrap w:val="0"/>
              <w:spacing w:before="40" w:line="208" w:lineRule="auto"/>
              <w:ind w:left="26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评分因素</w:t>
            </w:r>
          </w:p>
        </w:tc>
        <w:tc>
          <w:tcPr>
            <w:tcW w:w="789" w:type="dxa"/>
          </w:tcPr>
          <w:p>
            <w:pPr>
              <w:kinsoku/>
              <w:wordWrap w:val="0"/>
              <w:spacing w:before="40" w:line="208" w:lineRule="auto"/>
              <w:ind w:firstLine="232" w:firstLineChars="1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分值</w:t>
            </w:r>
          </w:p>
        </w:tc>
        <w:tc>
          <w:tcPr>
            <w:tcW w:w="2630" w:type="dxa"/>
          </w:tcPr>
          <w:p>
            <w:pPr>
              <w:kinsoku/>
              <w:wordWrap w:val="0"/>
              <w:spacing w:before="40" w:line="208"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评分标准</w:t>
            </w:r>
          </w:p>
        </w:tc>
        <w:tc>
          <w:tcPr>
            <w:tcW w:w="3243" w:type="dxa"/>
          </w:tcPr>
          <w:p>
            <w:pPr>
              <w:kinsoku/>
              <w:wordWrap w:val="0"/>
              <w:spacing w:before="40" w:line="208"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39" w:type="dxa"/>
            <w:vAlign w:val="center"/>
          </w:tcPr>
          <w:p>
            <w:pPr>
              <w:pStyle w:val="29"/>
              <w:kinsoku/>
              <w:wordWrap w:val="0"/>
              <w:jc w:val="center"/>
              <w:rPr>
                <w:rFonts w:asciiTheme="minorEastAsia" w:hAnsiTheme="minorEastAsia" w:eastAsiaTheme="minorEastAsia" w:cstheme="minorEastAsia"/>
                <w:lang w:eastAsia="zh-CN"/>
              </w:rPr>
            </w:pPr>
          </w:p>
          <w:p>
            <w:pPr>
              <w:pStyle w:val="29"/>
              <w:kinsoku/>
              <w:wordWrap w:val="0"/>
              <w:ind w:firstLine="210" w:firstLineChars="100"/>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w:t>
            </w:r>
          </w:p>
        </w:tc>
        <w:tc>
          <w:tcPr>
            <w:tcW w:w="1031" w:type="dxa"/>
            <w:vAlign w:val="center"/>
          </w:tcPr>
          <w:p>
            <w:pPr>
              <w:pStyle w:val="29"/>
              <w:kinsoku/>
              <w:wordWrap w:val="0"/>
              <w:spacing w:line="295" w:lineRule="auto"/>
              <w:jc w:val="both"/>
              <w:rPr>
                <w:rFonts w:asciiTheme="minorEastAsia" w:hAnsiTheme="minorEastAsia" w:eastAsiaTheme="minorEastAsia" w:cstheme="minorEastAsia"/>
              </w:rPr>
            </w:pPr>
          </w:p>
          <w:p>
            <w:pPr>
              <w:kinsoku/>
              <w:wordWrap w:val="0"/>
              <w:spacing w:before="78" w:line="21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lang w:eastAsia="zh-CN"/>
              </w:rPr>
              <w:t>磋商</w:t>
            </w:r>
            <w:r>
              <w:rPr>
                <w:rFonts w:hint="eastAsia" w:asciiTheme="minorEastAsia" w:hAnsiTheme="minorEastAsia" w:eastAsiaTheme="minorEastAsia" w:cstheme="minorEastAsia"/>
                <w:spacing w:val="-3"/>
                <w:sz w:val="24"/>
                <w:szCs w:val="24"/>
              </w:rPr>
              <w:t>报价</w:t>
            </w:r>
            <w:r>
              <w:rPr>
                <w:rFonts w:hint="eastAsia" w:asciiTheme="minorEastAsia" w:hAnsiTheme="minorEastAsia" w:eastAsiaTheme="minorEastAsia" w:cstheme="minorEastAsia"/>
                <w:spacing w:val="-3"/>
                <w:sz w:val="24"/>
                <w:szCs w:val="24"/>
                <w:lang w:val="en-US" w:eastAsia="zh-CN"/>
              </w:rPr>
              <w:t>15分</w:t>
            </w:r>
          </w:p>
        </w:tc>
        <w:tc>
          <w:tcPr>
            <w:tcW w:w="789" w:type="dxa"/>
          </w:tcPr>
          <w:p>
            <w:pPr>
              <w:pStyle w:val="29"/>
              <w:kinsoku/>
              <w:wordWrap w:val="0"/>
              <w:jc w:val="both"/>
              <w:rPr>
                <w:rFonts w:asciiTheme="minorEastAsia" w:hAnsiTheme="minorEastAsia" w:eastAsiaTheme="minorEastAsia" w:cstheme="minorEastAsia"/>
              </w:rPr>
            </w:pPr>
          </w:p>
        </w:tc>
        <w:tc>
          <w:tcPr>
            <w:tcW w:w="2630" w:type="dxa"/>
          </w:tcPr>
          <w:p>
            <w:pPr>
              <w:kinsoku/>
              <w:wordWrap w:val="0"/>
              <w:spacing w:before="191" w:line="235" w:lineRule="auto"/>
              <w:ind w:left="113" w:right="10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满足</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pacing w:val="10"/>
                <w:sz w:val="24"/>
                <w:szCs w:val="24"/>
              </w:rPr>
              <w:t>文件要求且</w:t>
            </w:r>
            <w:r>
              <w:rPr>
                <w:rFonts w:hint="eastAsia" w:asciiTheme="minorEastAsia" w:hAnsiTheme="minorEastAsia" w:eastAsiaTheme="minorEastAsia" w:cstheme="minorEastAsia"/>
                <w:spacing w:val="10"/>
                <w:sz w:val="24"/>
                <w:szCs w:val="24"/>
                <w:lang w:eastAsia="zh-CN"/>
              </w:rPr>
              <w:t>磋商</w:t>
            </w:r>
            <w:r>
              <w:rPr>
                <w:rFonts w:hint="eastAsia" w:asciiTheme="minorEastAsia" w:hAnsiTheme="minorEastAsia" w:eastAsiaTheme="minorEastAsia" w:cstheme="minorEastAsia"/>
                <w:spacing w:val="10"/>
                <w:sz w:val="24"/>
                <w:szCs w:val="24"/>
              </w:rPr>
              <w:t>价格最低</w:t>
            </w:r>
            <w:r>
              <w:rPr>
                <w:rFonts w:hint="eastAsia" w:asciiTheme="minorEastAsia" w:hAnsiTheme="minorEastAsia" w:eastAsiaTheme="minorEastAsia" w:cstheme="minorEastAsia"/>
                <w:spacing w:val="-13"/>
                <w:sz w:val="24"/>
                <w:szCs w:val="24"/>
              </w:rPr>
              <w:t>的</w:t>
            </w:r>
            <w:r>
              <w:rPr>
                <w:rFonts w:hint="eastAsia" w:asciiTheme="minorEastAsia" w:hAnsiTheme="minorEastAsia" w:eastAsiaTheme="minorEastAsia" w:cstheme="minorEastAsia"/>
                <w:spacing w:val="-13"/>
                <w:sz w:val="24"/>
                <w:szCs w:val="24"/>
                <w:lang w:eastAsia="zh-CN"/>
              </w:rPr>
              <w:t>磋商</w:t>
            </w:r>
            <w:r>
              <w:rPr>
                <w:rFonts w:hint="eastAsia" w:asciiTheme="minorEastAsia" w:hAnsiTheme="minorEastAsia" w:eastAsiaTheme="minorEastAsia" w:cstheme="minorEastAsia"/>
                <w:spacing w:val="-13"/>
                <w:sz w:val="24"/>
                <w:szCs w:val="24"/>
              </w:rPr>
              <w:t>报价为评标基准价，其价格分</w:t>
            </w:r>
            <w:r>
              <w:rPr>
                <w:rFonts w:hint="eastAsia" w:asciiTheme="minorEastAsia" w:hAnsiTheme="minorEastAsia" w:eastAsiaTheme="minorEastAsia" w:cstheme="minorEastAsia"/>
                <w:spacing w:val="-6"/>
                <w:sz w:val="24"/>
                <w:szCs w:val="24"/>
              </w:rPr>
              <w:t>为满分。其他</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6"/>
                <w:sz w:val="24"/>
                <w:szCs w:val="24"/>
              </w:rPr>
              <w:t>的价格分统一按</w:t>
            </w:r>
            <w:r>
              <w:rPr>
                <w:rFonts w:hint="eastAsia" w:asciiTheme="minorEastAsia" w:hAnsiTheme="minorEastAsia" w:eastAsiaTheme="minorEastAsia" w:cstheme="minorEastAsia"/>
                <w:spacing w:val="-8"/>
                <w:sz w:val="24"/>
                <w:szCs w:val="24"/>
              </w:rPr>
              <w:t>照下列公式计算：</w:t>
            </w:r>
          </w:p>
          <w:p>
            <w:pPr>
              <w:pStyle w:val="29"/>
              <w:kinsoku/>
              <w:wordWrap w:val="0"/>
              <w:spacing w:before="26" w:line="228" w:lineRule="auto"/>
              <w:ind w:left="111" w:right="103" w:firstLine="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eastAsia="zh-CN"/>
              </w:rPr>
              <w:t>磋商</w:t>
            </w:r>
            <w:r>
              <w:rPr>
                <w:rFonts w:hint="eastAsia" w:asciiTheme="minorEastAsia" w:hAnsiTheme="minorEastAsia" w:eastAsiaTheme="minorEastAsia" w:cstheme="minorEastAsia"/>
                <w:spacing w:val="7"/>
                <w:sz w:val="24"/>
                <w:szCs w:val="24"/>
              </w:rPr>
              <w:t>报价得分</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7"/>
                <w:sz w:val="24"/>
                <w:szCs w:val="24"/>
              </w:rPr>
              <w:t>评标基准价/</w:t>
            </w:r>
            <w:r>
              <w:rPr>
                <w:rFonts w:hint="eastAsia" w:asciiTheme="minorEastAsia" w:hAnsiTheme="minorEastAsia" w:eastAsiaTheme="minorEastAsia" w:cstheme="minorEastAsia"/>
                <w:spacing w:val="7"/>
                <w:sz w:val="24"/>
                <w:szCs w:val="24"/>
                <w:lang w:eastAsia="zh-CN"/>
              </w:rPr>
              <w:t>磋商</w:t>
            </w:r>
            <w:r>
              <w:rPr>
                <w:rFonts w:hint="eastAsia" w:asciiTheme="minorEastAsia" w:hAnsiTheme="minorEastAsia" w:eastAsiaTheme="minorEastAsia" w:cstheme="minorEastAsia"/>
                <w:spacing w:val="-12"/>
                <w:sz w:val="24"/>
                <w:szCs w:val="24"/>
              </w:rPr>
              <w:t>报价）×分值。</w:t>
            </w:r>
          </w:p>
        </w:tc>
        <w:tc>
          <w:tcPr>
            <w:tcW w:w="3243" w:type="dxa"/>
          </w:tcPr>
          <w:p>
            <w:pPr>
              <w:kinsoku/>
              <w:wordWrap w:val="0"/>
              <w:spacing w:before="191" w:line="235" w:lineRule="auto"/>
              <w:ind w:left="113" w:right="10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Pr>
                <w:rFonts w:hint="eastAsia" w:ascii="宋体" w:hAnsi="宋体" w:eastAsia="宋体" w:cs="宋体"/>
                <w:spacing w:val="-1"/>
                <w:sz w:val="24"/>
                <w:szCs w:val="24"/>
                <w:lang w:eastAsia="zh-CN"/>
              </w:rPr>
              <w:t>响应</w:t>
            </w:r>
            <w:r>
              <w:rPr>
                <w:rFonts w:hint="eastAsia" w:asciiTheme="minorEastAsia" w:hAnsiTheme="minorEastAsia" w:eastAsiaTheme="minorEastAsia" w:cstheme="minorEastAsia"/>
                <w:spacing w:val="-13"/>
                <w:sz w:val="24"/>
                <w:szCs w:val="24"/>
                <w:lang w:eastAsia="zh-CN"/>
              </w:rPr>
              <w:t>文件中提交了《</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13"/>
                <w:sz w:val="24"/>
                <w:szCs w:val="24"/>
                <w:lang w:eastAsia="zh-CN"/>
              </w:rPr>
              <w:t>企业类型声明函》或《残疾人福利性单位声明函》或省级以上监狱管理局、戒毒管理局（含新疆生产建设兵团）出具的属于监狱企业的证明文件的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13"/>
                <w:sz w:val="24"/>
                <w:szCs w:val="24"/>
                <w:lang w:eastAsia="zh-CN"/>
              </w:rPr>
              <w:t>，其磋商报价扣除%后参与评审。对于同时属于小微企业、监狱企业或残疾人福利性单位的，不重复进行磋商报价扣除。（专门面向中小企业的项目除外）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6" w:hRule="atLeast"/>
        </w:trPr>
        <w:tc>
          <w:tcPr>
            <w:tcW w:w="839" w:type="dxa"/>
            <w:vMerge w:val="restart"/>
            <w:vAlign w:val="center"/>
          </w:tcPr>
          <w:p>
            <w:pPr>
              <w:pStyle w:val="29"/>
              <w:kinsoku/>
              <w:wordWrap w:val="0"/>
              <w:jc w:val="center"/>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2</w:t>
            </w:r>
          </w:p>
        </w:tc>
        <w:tc>
          <w:tcPr>
            <w:tcW w:w="1031" w:type="dxa"/>
            <w:vMerge w:val="restart"/>
            <w:vAlign w:val="center"/>
          </w:tcPr>
          <w:p>
            <w:pPr>
              <w:kinsoku/>
              <w:wordWrap w:val="0"/>
              <w:spacing w:before="78" w:line="219" w:lineRule="auto"/>
              <w:jc w:val="both"/>
              <w:rPr>
                <w:rFonts w:hint="eastAsia" w:eastAsia="宋体" w:cs="宋体"/>
                <w:sz w:val="22"/>
                <w:lang w:val="en-US" w:eastAsia="zh-CN"/>
              </w:rPr>
            </w:pPr>
            <w:r>
              <w:rPr>
                <w:rFonts w:hint="eastAsia" w:eastAsia="宋体" w:cs="宋体"/>
                <w:sz w:val="22"/>
                <w:lang w:val="en-US" w:eastAsia="zh-CN"/>
              </w:rPr>
              <w:t>技术部分</w:t>
            </w:r>
          </w:p>
          <w:p>
            <w:pPr>
              <w:kinsoku/>
              <w:wordWrap w:val="0"/>
              <w:spacing w:before="78" w:line="219" w:lineRule="auto"/>
              <w:ind w:firstLine="214" w:firstLineChars="100"/>
              <w:jc w:val="both"/>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13"/>
                <w:sz w:val="24"/>
                <w:szCs w:val="24"/>
                <w:lang w:val="en-US" w:eastAsia="zh-CN"/>
              </w:rPr>
              <w:t>45分</w:t>
            </w:r>
          </w:p>
        </w:tc>
        <w:tc>
          <w:tcPr>
            <w:tcW w:w="789" w:type="dxa"/>
            <w:tcBorders>
              <w:bottom w:val="single" w:color="auto" w:sz="4" w:space="0"/>
            </w:tcBorders>
          </w:tcPr>
          <w:p>
            <w:pPr>
              <w:pStyle w:val="29"/>
              <w:kinsoku/>
              <w:wordWrap w:val="0"/>
              <w:jc w:val="both"/>
              <w:rPr>
                <w:rFonts w:asciiTheme="minorEastAsia" w:hAnsiTheme="minorEastAsia" w:eastAsiaTheme="minorEastAsia" w:cstheme="minorEastAsia"/>
                <w:spacing w:val="-13"/>
                <w:sz w:val="24"/>
                <w:szCs w:val="24"/>
              </w:rPr>
            </w:pPr>
          </w:p>
          <w:p>
            <w:pPr>
              <w:pStyle w:val="29"/>
              <w:kinsoku/>
              <w:wordWrap w:val="0"/>
              <w:jc w:val="both"/>
              <w:rPr>
                <w:rFonts w:asciiTheme="minorEastAsia" w:hAnsiTheme="minorEastAsia" w:eastAsiaTheme="minorEastAsia" w:cstheme="minorEastAsia"/>
                <w:spacing w:val="-13"/>
                <w:sz w:val="24"/>
                <w:szCs w:val="24"/>
              </w:rPr>
            </w:pPr>
          </w:p>
          <w:p>
            <w:pPr>
              <w:pStyle w:val="29"/>
              <w:kinsoku/>
              <w:wordWrap w:val="0"/>
              <w:jc w:val="both"/>
              <w:rPr>
                <w:rFonts w:asciiTheme="minorEastAsia" w:hAnsiTheme="minorEastAsia" w:eastAsiaTheme="minorEastAsia" w:cstheme="minorEastAsia"/>
                <w:spacing w:val="-13"/>
                <w:sz w:val="24"/>
                <w:szCs w:val="24"/>
              </w:rPr>
            </w:pPr>
          </w:p>
          <w:p>
            <w:pPr>
              <w:pStyle w:val="29"/>
              <w:kinsoku/>
              <w:wordWrap w:val="0"/>
              <w:jc w:val="both"/>
              <w:rPr>
                <w:rFonts w:asciiTheme="minorEastAsia" w:hAnsiTheme="minorEastAsia" w:eastAsiaTheme="minorEastAsia" w:cstheme="minorEastAsia"/>
                <w:spacing w:val="-13"/>
                <w:sz w:val="24"/>
                <w:szCs w:val="24"/>
              </w:rPr>
            </w:pPr>
          </w:p>
          <w:p>
            <w:pPr>
              <w:pStyle w:val="29"/>
              <w:kinsoku/>
              <w:wordWrap w:val="0"/>
              <w:jc w:val="both"/>
              <w:rPr>
                <w:rFonts w:hint="eastAsia" w:asciiTheme="minorEastAsia" w:hAnsiTheme="minorEastAsia" w:eastAsiaTheme="minorEastAsia" w:cstheme="minorEastAsia"/>
                <w:spacing w:val="-13"/>
                <w:sz w:val="24"/>
                <w:szCs w:val="24"/>
                <w:lang w:val="en-US" w:eastAsia="zh-CN"/>
              </w:rPr>
            </w:pPr>
          </w:p>
          <w:p>
            <w:pPr>
              <w:pStyle w:val="29"/>
              <w:kinsoku/>
              <w:wordWrap w:val="0"/>
              <w:ind w:firstLine="214" w:firstLineChars="100"/>
              <w:jc w:val="both"/>
              <w:rPr>
                <w:rFonts w:hint="eastAsia"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13"/>
                <w:sz w:val="24"/>
                <w:szCs w:val="24"/>
                <w:lang w:val="en-US" w:eastAsia="zh-CN"/>
              </w:rPr>
              <w:t>服务</w:t>
            </w:r>
          </w:p>
          <w:p>
            <w:pPr>
              <w:pStyle w:val="29"/>
              <w:kinsoku/>
              <w:wordWrap w:val="0"/>
              <w:ind w:firstLine="214" w:firstLineChars="100"/>
              <w:jc w:val="both"/>
              <w:rPr>
                <w:rFonts w:hint="eastAsia"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13"/>
                <w:sz w:val="24"/>
                <w:szCs w:val="24"/>
                <w:lang w:val="en-US" w:eastAsia="zh-CN"/>
              </w:rPr>
              <w:t>方案</w:t>
            </w:r>
          </w:p>
          <w:p>
            <w:pPr>
              <w:pStyle w:val="29"/>
              <w:kinsoku/>
              <w:wordWrap w:val="0"/>
              <w:ind w:firstLine="214" w:firstLineChars="100"/>
              <w:jc w:val="both"/>
              <w:rPr>
                <w:rFonts w:hint="eastAsia" w:asciiTheme="minorEastAsia" w:hAnsiTheme="minorEastAsia" w:eastAsiaTheme="minorEastAsia" w:cstheme="minorEastAsia"/>
                <w:spacing w:val="-13"/>
                <w:sz w:val="24"/>
                <w:szCs w:val="24"/>
                <w:lang w:val="en-US" w:eastAsia="zh-CN"/>
              </w:rPr>
            </w:pPr>
          </w:p>
          <w:p>
            <w:pPr>
              <w:pStyle w:val="29"/>
              <w:kinsoku/>
              <w:wordWrap w:val="0"/>
              <w:ind w:firstLine="214" w:firstLineChars="100"/>
              <w:jc w:val="both"/>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13"/>
                <w:sz w:val="24"/>
                <w:szCs w:val="24"/>
                <w:lang w:val="en-US" w:eastAsia="zh-CN"/>
              </w:rPr>
              <w:t>35分</w:t>
            </w:r>
          </w:p>
        </w:tc>
        <w:tc>
          <w:tcPr>
            <w:tcW w:w="2630" w:type="dxa"/>
            <w:tcBorders>
              <w:bottom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line="400" w:lineRule="exact"/>
              <w:ind w:left="210" w:leftChars="100"/>
              <w:textAlignment w:val="baseline"/>
              <w:rPr>
                <w:rFonts w:hint="eastAsia" w:cs="宋体"/>
                <w:sz w:val="22"/>
              </w:rPr>
            </w:pPr>
            <w:r>
              <w:rPr>
                <w:rFonts w:hint="eastAsia" w:cs="宋体"/>
                <w:sz w:val="22"/>
              </w:rPr>
              <w:t>1、磋商小组根据供应商提供的整体服务方案，根据项目工作的完整性、科学性、专项措施的合理化程度进行打分，内容完整度高、科学高效、合理可行的得</w:t>
            </w:r>
            <w:r>
              <w:rPr>
                <w:rFonts w:hint="eastAsia" w:eastAsia="宋体" w:cs="宋体"/>
                <w:sz w:val="22"/>
                <w:lang w:val="en-US" w:eastAsia="zh-CN"/>
              </w:rPr>
              <w:t>20</w:t>
            </w:r>
            <w:r>
              <w:rPr>
                <w:rFonts w:hint="eastAsia" w:cs="宋体"/>
                <w:sz w:val="22"/>
              </w:rPr>
              <w:t>分，内容完整可行的得</w:t>
            </w:r>
            <w:r>
              <w:rPr>
                <w:rFonts w:hint="eastAsia" w:eastAsia="宋体" w:cs="宋体"/>
                <w:sz w:val="22"/>
                <w:lang w:val="en-US" w:eastAsia="zh-CN"/>
              </w:rPr>
              <w:t>14</w:t>
            </w:r>
            <w:r>
              <w:rPr>
                <w:rFonts w:hint="eastAsia" w:cs="宋体"/>
                <w:sz w:val="22"/>
              </w:rPr>
              <w:t>分，内容一般的得</w:t>
            </w:r>
            <w:r>
              <w:rPr>
                <w:rFonts w:hint="eastAsia" w:eastAsia="宋体" w:cs="宋体"/>
                <w:sz w:val="22"/>
                <w:lang w:val="en-US" w:eastAsia="zh-CN"/>
              </w:rPr>
              <w:t>7</w:t>
            </w:r>
            <w:r>
              <w:rPr>
                <w:rFonts w:hint="eastAsia" w:cs="宋体"/>
                <w:sz w:val="22"/>
              </w:rPr>
              <w:t>分，没有或不合理的，不得分；</w:t>
            </w:r>
          </w:p>
          <w:p>
            <w:pPr>
              <w:pStyle w:val="29"/>
              <w:kinsoku/>
              <w:wordWrap w:val="0"/>
              <w:spacing w:before="26" w:line="228" w:lineRule="auto"/>
              <w:ind w:left="111" w:right="103" w:firstLine="4"/>
              <w:jc w:val="both"/>
              <w:rPr>
                <w:rFonts w:asciiTheme="minorEastAsia" w:hAnsiTheme="minorEastAsia" w:eastAsiaTheme="minorEastAsia" w:cstheme="minorEastAsia"/>
                <w:spacing w:val="-13"/>
                <w:sz w:val="24"/>
                <w:szCs w:val="24"/>
              </w:rPr>
            </w:pPr>
            <w:r>
              <w:rPr>
                <w:rFonts w:hint="eastAsia" w:cs="宋体"/>
                <w:sz w:val="22"/>
              </w:rPr>
              <w:t>2、磋商小组根据供应商对开展工作的思路及方法的科学 性、可行性以及工作原则的合理性，内容完整度高且科 学，可实行度高的得</w:t>
            </w:r>
            <w:r>
              <w:rPr>
                <w:rFonts w:hint="eastAsia" w:eastAsia="宋体" w:cs="宋体"/>
                <w:sz w:val="22"/>
                <w:lang w:val="en-US" w:eastAsia="zh-CN"/>
              </w:rPr>
              <w:t>15</w:t>
            </w:r>
            <w:r>
              <w:rPr>
                <w:rFonts w:hint="eastAsia" w:cs="宋体"/>
                <w:sz w:val="22"/>
              </w:rPr>
              <w:t>分，内容完整，可行的得</w:t>
            </w:r>
            <w:r>
              <w:rPr>
                <w:rFonts w:hint="eastAsia" w:eastAsia="宋体" w:cs="宋体"/>
                <w:sz w:val="22"/>
                <w:lang w:val="en-US" w:eastAsia="zh-CN"/>
              </w:rPr>
              <w:t>10</w:t>
            </w:r>
            <w:r>
              <w:rPr>
                <w:rFonts w:hint="eastAsia" w:cs="宋体"/>
                <w:sz w:val="22"/>
              </w:rPr>
              <w:t>分，内容一般的得</w:t>
            </w:r>
            <w:r>
              <w:rPr>
                <w:rFonts w:hint="eastAsia" w:eastAsia="宋体" w:cs="宋体"/>
                <w:sz w:val="22"/>
                <w:lang w:val="en-US" w:eastAsia="zh-CN"/>
              </w:rPr>
              <w:t>5</w:t>
            </w:r>
            <w:r>
              <w:rPr>
                <w:rFonts w:hint="eastAsia" w:cs="宋体"/>
                <w:sz w:val="22"/>
              </w:rPr>
              <w:t>分，没有或不合理的，不得分。</w:t>
            </w:r>
          </w:p>
        </w:tc>
        <w:tc>
          <w:tcPr>
            <w:tcW w:w="3243" w:type="dxa"/>
            <w:tcBorders>
              <w:bottom w:val="single" w:color="auto" w:sz="4" w:space="0"/>
            </w:tcBorders>
          </w:tcPr>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right="23" w:firstLine="216" w:firstLineChars="100"/>
              <w:jc w:val="both"/>
              <w:rPr>
                <w:rFonts w:asciiTheme="minorEastAsia" w:hAnsiTheme="minorEastAsia" w:eastAsiaTheme="minorEastAsia" w:cstheme="minorEastAsia"/>
                <w:spacing w:val="-13"/>
                <w:sz w:val="24"/>
                <w:szCs w:val="24"/>
              </w:rPr>
            </w:pPr>
            <w:r>
              <w:rPr>
                <w:rFonts w:ascii="宋体" w:hAnsi="宋体" w:eastAsia="宋体" w:cs="宋体"/>
                <w:spacing w:val="-2"/>
                <w:sz w:val="22"/>
                <w:szCs w:val="22"/>
              </w:rPr>
              <w:t>有缺项，该小项不得</w:t>
            </w:r>
            <w:r>
              <w:rPr>
                <w:rFonts w:ascii="宋体" w:hAnsi="宋体" w:eastAsia="宋体" w:cs="宋体"/>
                <w:sz w:val="22"/>
                <w:szCs w:val="22"/>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trPr>
        <w:tc>
          <w:tcPr>
            <w:tcW w:w="839" w:type="dxa"/>
            <w:vMerge w:val="continue"/>
            <w:vAlign w:val="center"/>
          </w:tcPr>
          <w:p>
            <w:pPr>
              <w:pStyle w:val="29"/>
              <w:kinsoku/>
              <w:wordWrap w:val="0"/>
              <w:jc w:val="center"/>
              <w:rPr>
                <w:rFonts w:hint="eastAsia" w:asciiTheme="minorEastAsia" w:hAnsiTheme="minorEastAsia" w:eastAsiaTheme="minorEastAsia" w:cstheme="minorEastAsia"/>
                <w:spacing w:val="-13"/>
                <w:sz w:val="24"/>
                <w:szCs w:val="24"/>
                <w:lang w:eastAsia="zh-CN"/>
              </w:rPr>
            </w:pPr>
          </w:p>
        </w:tc>
        <w:tc>
          <w:tcPr>
            <w:tcW w:w="1031" w:type="dxa"/>
            <w:vMerge w:val="continue"/>
            <w:vAlign w:val="center"/>
          </w:tcPr>
          <w:p>
            <w:pPr>
              <w:kinsoku/>
              <w:wordWrap w:val="0"/>
              <w:spacing w:before="78" w:line="219" w:lineRule="auto"/>
              <w:ind w:firstLine="220" w:firstLineChars="100"/>
              <w:jc w:val="both"/>
              <w:rPr>
                <w:rFonts w:hint="eastAsia" w:eastAsia="宋体" w:cs="宋体"/>
                <w:sz w:val="22"/>
                <w:lang w:val="en-US" w:eastAsia="zh-CN"/>
              </w:rPr>
            </w:pPr>
          </w:p>
        </w:tc>
        <w:tc>
          <w:tcPr>
            <w:tcW w:w="789" w:type="dxa"/>
            <w:tcBorders>
              <w:top w:val="single" w:color="auto" w:sz="4" w:space="0"/>
            </w:tcBorders>
          </w:tcPr>
          <w:p>
            <w:pPr>
              <w:pStyle w:val="29"/>
              <w:kinsoku/>
              <w:wordWrap w:val="0"/>
              <w:ind w:firstLine="214" w:firstLineChars="100"/>
              <w:jc w:val="both"/>
              <w:rPr>
                <w:rFonts w:hint="eastAsia" w:asciiTheme="minorEastAsia" w:hAnsiTheme="minorEastAsia" w:eastAsiaTheme="minorEastAsia" w:cstheme="minorEastAsia"/>
                <w:spacing w:val="-13"/>
                <w:sz w:val="24"/>
                <w:szCs w:val="24"/>
                <w:lang w:val="en-US" w:eastAsia="zh-CN"/>
              </w:rPr>
            </w:pPr>
          </w:p>
          <w:p>
            <w:pPr>
              <w:pStyle w:val="29"/>
              <w:kinsoku/>
              <w:wordWrap w:val="0"/>
              <w:ind w:firstLine="214" w:firstLineChars="100"/>
              <w:jc w:val="both"/>
              <w:rPr>
                <w:rFonts w:hint="eastAsia" w:asciiTheme="minorEastAsia" w:hAnsiTheme="minorEastAsia" w:eastAsiaTheme="minorEastAsia" w:cstheme="minorEastAsia"/>
                <w:spacing w:val="-13"/>
                <w:sz w:val="24"/>
                <w:szCs w:val="24"/>
                <w:lang w:val="en-US" w:eastAsia="zh-CN"/>
              </w:rPr>
            </w:pPr>
          </w:p>
          <w:p>
            <w:pPr>
              <w:pStyle w:val="29"/>
              <w:kinsoku/>
              <w:wordWrap w:val="0"/>
              <w:ind w:firstLine="214" w:firstLineChars="100"/>
              <w:jc w:val="both"/>
              <w:rPr>
                <w:rFonts w:hint="eastAsia" w:asciiTheme="minorEastAsia" w:hAnsiTheme="minorEastAsia" w:eastAsiaTheme="minorEastAsia" w:cstheme="minorEastAsia"/>
                <w:spacing w:val="-13"/>
                <w:sz w:val="24"/>
                <w:szCs w:val="24"/>
                <w:lang w:val="en-US" w:eastAsia="zh-CN"/>
              </w:rPr>
            </w:pPr>
          </w:p>
          <w:p>
            <w:pPr>
              <w:pStyle w:val="29"/>
              <w:kinsoku/>
              <w:wordWrap w:val="0"/>
              <w:ind w:firstLine="214" w:firstLineChars="100"/>
              <w:jc w:val="both"/>
              <w:rPr>
                <w:rFonts w:hint="eastAsia" w:asciiTheme="minorEastAsia" w:hAnsiTheme="minorEastAsia" w:eastAsiaTheme="minorEastAsia" w:cstheme="minorEastAsia"/>
                <w:spacing w:val="-13"/>
                <w:sz w:val="24"/>
                <w:szCs w:val="24"/>
                <w:lang w:val="en-US" w:eastAsia="zh-CN"/>
              </w:rPr>
            </w:pPr>
          </w:p>
          <w:p>
            <w:pPr>
              <w:pStyle w:val="29"/>
              <w:kinsoku/>
              <w:wordWrap w:val="0"/>
              <w:ind w:firstLine="214" w:firstLineChars="100"/>
              <w:jc w:val="both"/>
              <w:rPr>
                <w:rFonts w:hint="eastAsia" w:asciiTheme="minorEastAsia" w:hAnsiTheme="minorEastAsia" w:eastAsiaTheme="minorEastAsia" w:cstheme="minorEastAsia"/>
                <w:spacing w:val="-13"/>
                <w:sz w:val="24"/>
                <w:szCs w:val="24"/>
                <w:lang w:val="en-US" w:eastAsia="zh-CN"/>
              </w:rPr>
            </w:pPr>
          </w:p>
          <w:p>
            <w:pPr>
              <w:pStyle w:val="29"/>
              <w:kinsoku/>
              <w:wordWrap w:val="0"/>
              <w:ind w:firstLine="220" w:firstLineChars="100"/>
              <w:jc w:val="both"/>
              <w:rPr>
                <w:rFonts w:hint="eastAsia" w:cs="宋体"/>
                <w:sz w:val="22"/>
              </w:rPr>
            </w:pPr>
            <w:r>
              <w:rPr>
                <w:rFonts w:hint="eastAsia" w:cs="宋体"/>
                <w:sz w:val="22"/>
              </w:rPr>
              <w:t>技术</w:t>
            </w:r>
          </w:p>
          <w:p>
            <w:pPr>
              <w:pStyle w:val="29"/>
              <w:kinsoku/>
              <w:wordWrap w:val="0"/>
              <w:ind w:firstLine="220" w:firstLineChars="100"/>
              <w:jc w:val="both"/>
              <w:rPr>
                <w:rFonts w:hint="eastAsia" w:asciiTheme="minorEastAsia" w:hAnsiTheme="minorEastAsia" w:eastAsiaTheme="minorEastAsia" w:cstheme="minorEastAsia"/>
                <w:spacing w:val="-13"/>
                <w:sz w:val="24"/>
                <w:szCs w:val="24"/>
                <w:lang w:val="en-US" w:eastAsia="zh-CN"/>
              </w:rPr>
            </w:pPr>
            <w:r>
              <w:rPr>
                <w:rFonts w:hint="eastAsia" w:cs="宋体"/>
                <w:sz w:val="22"/>
              </w:rPr>
              <w:t>能力</w:t>
            </w:r>
          </w:p>
          <w:p>
            <w:pPr>
              <w:pStyle w:val="29"/>
              <w:kinsoku/>
              <w:wordWrap w:val="0"/>
              <w:ind w:firstLine="214" w:firstLineChars="100"/>
              <w:jc w:val="both"/>
              <w:rPr>
                <w:rFonts w:hint="eastAsia" w:asciiTheme="minorEastAsia" w:hAnsiTheme="minorEastAsia" w:eastAsiaTheme="minorEastAsia" w:cstheme="minorEastAsia"/>
                <w:spacing w:val="-13"/>
                <w:sz w:val="24"/>
                <w:szCs w:val="24"/>
                <w:lang w:val="en-US" w:eastAsia="zh-CN"/>
              </w:rPr>
            </w:pPr>
          </w:p>
          <w:p>
            <w:pPr>
              <w:pStyle w:val="29"/>
              <w:kinsoku/>
              <w:wordWrap w:val="0"/>
              <w:ind w:firstLine="214" w:firstLineChars="100"/>
              <w:jc w:val="both"/>
              <w:rPr>
                <w:rFonts w:hint="eastAsia" w:asciiTheme="minorEastAsia" w:hAnsiTheme="minorEastAsia" w:eastAsiaTheme="minorEastAsia" w:cstheme="minorEastAsia"/>
                <w:spacing w:val="-13"/>
                <w:sz w:val="24"/>
                <w:szCs w:val="24"/>
                <w:lang w:val="en-US" w:eastAsia="zh-CN"/>
              </w:rPr>
            </w:pPr>
          </w:p>
          <w:p>
            <w:pPr>
              <w:pStyle w:val="29"/>
              <w:kinsoku/>
              <w:wordWrap w:val="0"/>
              <w:ind w:firstLine="214" w:firstLineChars="100"/>
              <w:jc w:val="both"/>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13"/>
                <w:sz w:val="24"/>
                <w:szCs w:val="24"/>
                <w:lang w:val="en-US" w:eastAsia="zh-CN"/>
              </w:rPr>
              <w:t>10分</w:t>
            </w:r>
          </w:p>
        </w:tc>
        <w:tc>
          <w:tcPr>
            <w:tcW w:w="2630" w:type="dxa"/>
            <w:tcBorders>
              <w:top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line="400" w:lineRule="exact"/>
              <w:ind w:left="210" w:leftChars="100"/>
              <w:textAlignment w:val="baseline"/>
              <w:rPr>
                <w:rFonts w:hint="eastAsia" w:cs="宋体"/>
                <w:sz w:val="22"/>
              </w:rPr>
            </w:pPr>
            <w:r>
              <w:rPr>
                <w:rFonts w:hint="eastAsia" w:cs="宋体"/>
                <w:sz w:val="22"/>
              </w:rPr>
              <w:t xml:space="preserve"> 1、供应商取得的(CMA) 资质能覆盖本项目所投标段全部检验项目98%(含98%) 以上的的得10分:</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210" w:leftChars="100"/>
              <w:textAlignment w:val="baseline"/>
              <w:rPr>
                <w:rFonts w:hint="eastAsia" w:cs="宋体"/>
                <w:sz w:val="22"/>
              </w:rPr>
            </w:pPr>
            <w:r>
              <w:rPr>
                <w:rFonts w:hint="eastAsia" w:cs="宋体"/>
                <w:sz w:val="22"/>
              </w:rPr>
              <w:t>2、供应商取得的（CMA）资质能覆盖本项目所投标段全 部检验项目 80% （含80%）以上的得 5分；</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210" w:leftChars="100"/>
              <w:textAlignment w:val="baseline"/>
              <w:rPr>
                <w:rFonts w:hint="eastAsia" w:cs="宋体"/>
                <w:sz w:val="22"/>
              </w:rPr>
            </w:pPr>
            <w:r>
              <w:rPr>
                <w:rFonts w:hint="eastAsia" w:cs="宋体"/>
                <w:sz w:val="22"/>
              </w:rPr>
              <w:t>3、供应商取得的（CMA）资质能覆盖本项目所投标段全 部检验项目 70% （含70%）以上的得 1 分；</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210" w:leftChars="100"/>
              <w:textAlignment w:val="baseline"/>
              <w:rPr>
                <w:rFonts w:hint="eastAsia" w:cs="宋体"/>
                <w:sz w:val="22"/>
              </w:rPr>
            </w:pPr>
            <w:r>
              <w:rPr>
                <w:rFonts w:hint="eastAsia" w:cs="宋体"/>
                <w:sz w:val="22"/>
              </w:rPr>
              <w:t>4、70%以下的不得分。</w:t>
            </w:r>
          </w:p>
          <w:p>
            <w:pPr>
              <w:pStyle w:val="29"/>
              <w:kinsoku/>
              <w:wordWrap w:val="0"/>
              <w:spacing w:before="26" w:line="228" w:lineRule="auto"/>
              <w:ind w:left="111" w:right="103" w:firstLine="4"/>
              <w:jc w:val="both"/>
              <w:rPr>
                <w:rFonts w:asciiTheme="minorEastAsia" w:hAnsiTheme="minorEastAsia" w:eastAsiaTheme="minorEastAsia" w:cstheme="minorEastAsia"/>
                <w:spacing w:val="-13"/>
                <w:sz w:val="24"/>
                <w:szCs w:val="24"/>
              </w:rPr>
            </w:pPr>
            <w:r>
              <w:rPr>
                <w:rFonts w:hint="eastAsia" w:cs="宋体"/>
                <w:sz w:val="22"/>
              </w:rPr>
              <w:t>（投标单位根据公司实际认定情况做 出无虚假承诺，并由法人或委托人签字，加盖单位公章。）</w:t>
            </w:r>
          </w:p>
        </w:tc>
        <w:tc>
          <w:tcPr>
            <w:tcW w:w="3243" w:type="dxa"/>
            <w:tcBorders>
              <w:top w:val="single" w:color="auto" w:sz="4" w:space="0"/>
            </w:tcBorders>
          </w:tcPr>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宋体" w:hAnsi="宋体" w:eastAsia="宋体" w:cs="宋体"/>
                <w:spacing w:val="-2"/>
                <w:sz w:val="22"/>
                <w:szCs w:val="22"/>
              </w:rPr>
            </w:pPr>
          </w:p>
          <w:p>
            <w:pPr>
              <w:pStyle w:val="29"/>
              <w:kinsoku/>
              <w:wordWrap w:val="0"/>
              <w:spacing w:before="33" w:line="235" w:lineRule="auto"/>
              <w:ind w:left="76" w:right="23" w:firstLine="2"/>
              <w:jc w:val="both"/>
              <w:rPr>
                <w:rFonts w:asciiTheme="minorEastAsia" w:hAnsiTheme="minorEastAsia" w:eastAsiaTheme="minorEastAsia" w:cstheme="minorEastAsia"/>
                <w:spacing w:val="-13"/>
                <w:sz w:val="24"/>
                <w:szCs w:val="24"/>
              </w:rPr>
            </w:pPr>
            <w:r>
              <w:rPr>
                <w:rFonts w:ascii="宋体" w:hAnsi="宋体" w:eastAsia="宋体" w:cs="宋体"/>
                <w:spacing w:val="-2"/>
                <w:sz w:val="22"/>
                <w:szCs w:val="22"/>
              </w:rPr>
              <w:t>有缺项，该小项不得</w:t>
            </w:r>
            <w:r>
              <w:rPr>
                <w:rFonts w:ascii="宋体" w:hAnsi="宋体" w:eastAsia="宋体" w:cs="宋体"/>
                <w:sz w:val="22"/>
                <w:szCs w:val="22"/>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restart"/>
            <w:vAlign w:val="center"/>
          </w:tcPr>
          <w:p>
            <w:pPr>
              <w:pStyle w:val="29"/>
              <w:kinsoku/>
              <w:wordWrap w:val="0"/>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3</w:t>
            </w:r>
          </w:p>
        </w:tc>
        <w:tc>
          <w:tcPr>
            <w:tcW w:w="1031" w:type="dxa"/>
            <w:vMerge w:val="restart"/>
            <w:vAlign w:val="center"/>
          </w:tcPr>
          <w:p>
            <w:pPr>
              <w:kinsoku/>
              <w:wordWrap w:val="0"/>
              <w:spacing w:before="157" w:line="220" w:lineRule="auto"/>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综</w:t>
            </w:r>
            <w:r>
              <w:rPr>
                <w:rFonts w:hint="eastAsia" w:asciiTheme="minorEastAsia" w:hAnsiTheme="minorEastAsia" w:eastAsiaTheme="minorEastAsia" w:cstheme="minorEastAsia"/>
                <w:spacing w:val="-2"/>
                <w:sz w:val="24"/>
                <w:szCs w:val="24"/>
                <w:lang w:val="en-US" w:eastAsia="zh-CN"/>
              </w:rPr>
              <w:t>合</w:t>
            </w:r>
            <w:r>
              <w:rPr>
                <w:rFonts w:hint="eastAsia" w:asciiTheme="minorEastAsia" w:hAnsiTheme="minorEastAsia" w:eastAsiaTheme="minorEastAsia" w:cstheme="minorEastAsia"/>
                <w:spacing w:val="-2"/>
                <w:sz w:val="24"/>
                <w:szCs w:val="24"/>
                <w:lang w:eastAsia="zh-CN"/>
              </w:rPr>
              <w:t>实力</w:t>
            </w:r>
          </w:p>
          <w:p>
            <w:pPr>
              <w:kinsoku/>
              <w:wordWrap w:val="0"/>
              <w:spacing w:before="157" w:line="220" w:lineRule="auto"/>
              <w:ind w:left="148"/>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rPr>
              <w:t>30分</w:t>
            </w:r>
          </w:p>
        </w:tc>
        <w:tc>
          <w:tcPr>
            <w:tcW w:w="789" w:type="dxa"/>
            <w:vAlign w:val="center"/>
          </w:tcPr>
          <w:p>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cs="宋体"/>
                <w:sz w:val="22"/>
              </w:rPr>
            </w:pPr>
            <w:r>
              <w:rPr>
                <w:rFonts w:hint="eastAsia" w:cs="宋体"/>
                <w:sz w:val="22"/>
              </w:rPr>
              <w:t>企业</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cs="宋体"/>
                <w:sz w:val="22"/>
              </w:rPr>
            </w:pPr>
            <w:r>
              <w:rPr>
                <w:rFonts w:hint="eastAsia" w:cs="宋体"/>
                <w:sz w:val="22"/>
              </w:rPr>
              <w:t>业绩</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textAlignment w:val="baseline"/>
              <w:rPr>
                <w:rFonts w:hint="eastAsia" w:ascii="Arial" w:hAnsi="Arial" w:eastAsia="Arial" w:cs="宋体"/>
                <w:snapToGrid w:val="0"/>
                <w:color w:val="000000"/>
                <w:sz w:val="22"/>
                <w:szCs w:val="21"/>
                <w:lang w:val="en-US" w:eastAsia="en-US" w:bidi="ar-SA"/>
              </w:rPr>
            </w:pPr>
            <w:r>
              <w:rPr>
                <w:rFonts w:hint="eastAsia" w:cs="宋体"/>
                <w:sz w:val="22"/>
              </w:rPr>
              <w:t>（6分）</w:t>
            </w:r>
          </w:p>
        </w:tc>
        <w:tc>
          <w:tcPr>
            <w:tcW w:w="2630" w:type="dxa"/>
            <w:vAlign w:val="top"/>
          </w:tcPr>
          <w:p>
            <w:pPr>
              <w:pStyle w:val="3"/>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ascii="宋体" w:hAnsi="宋体" w:eastAsia="宋体" w:cs="宋体"/>
                <w:snapToGrid w:val="0"/>
                <w:color w:val="000000"/>
                <w:sz w:val="22"/>
                <w:szCs w:val="31"/>
                <w:lang w:val="en-US" w:eastAsia="en-US" w:bidi="ar-SA"/>
              </w:rPr>
            </w:pPr>
            <w:r>
              <w:rPr>
                <w:rFonts w:hint="eastAsia" w:cs="宋体"/>
                <w:sz w:val="22"/>
              </w:rPr>
              <w:t>每提供一份市场监管部门组织抽检任务合同得1分， 最多得6分。本项最高得分6分。未提供不予计分。</w:t>
            </w:r>
          </w:p>
        </w:tc>
        <w:tc>
          <w:tcPr>
            <w:tcW w:w="3243" w:type="dxa"/>
            <w:vMerge w:val="restart"/>
          </w:tcPr>
          <w:p>
            <w:pPr>
              <w:pStyle w:val="29"/>
              <w:kinsoku/>
              <w:wordWrap w:val="0"/>
              <w:spacing w:before="33" w:line="235" w:lineRule="auto"/>
              <w:ind w:left="76" w:right="23" w:firstLine="2"/>
              <w:jc w:val="both"/>
              <w:rPr>
                <w:rFonts w:asciiTheme="minorEastAsia" w:hAnsiTheme="minorEastAsia" w:eastAsiaTheme="minorEastAsia" w:cstheme="minorEastAsia"/>
                <w:spacing w:val="-13"/>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9"/>
              <w:kinsoku/>
              <w:wordWrap w:val="0"/>
              <w:jc w:val="center"/>
              <w:rPr>
                <w:rFonts w:hint="eastAsia" w:asciiTheme="minorEastAsia" w:hAnsiTheme="minorEastAsia" w:eastAsiaTheme="minorEastAsia" w:cstheme="minorEastAsia"/>
                <w:lang w:eastAsia="zh-CN"/>
              </w:rPr>
            </w:pPr>
          </w:p>
        </w:tc>
        <w:tc>
          <w:tcPr>
            <w:tcW w:w="1031" w:type="dxa"/>
            <w:vMerge w:val="continue"/>
            <w:vAlign w:val="center"/>
          </w:tcPr>
          <w:p>
            <w:pPr>
              <w:kinsoku/>
              <w:wordWrap w:val="0"/>
              <w:spacing w:before="157" w:line="220" w:lineRule="auto"/>
              <w:ind w:left="148"/>
              <w:jc w:val="both"/>
              <w:rPr>
                <w:rFonts w:hint="eastAsia" w:asciiTheme="minorEastAsia" w:hAnsiTheme="minorEastAsia" w:eastAsiaTheme="minorEastAsia" w:cstheme="minorEastAsia"/>
                <w:spacing w:val="-2"/>
                <w:sz w:val="24"/>
                <w:szCs w:val="24"/>
                <w:lang w:eastAsia="zh-CN"/>
              </w:rPr>
            </w:pPr>
          </w:p>
        </w:tc>
        <w:tc>
          <w:tcPr>
            <w:tcW w:w="789" w:type="dxa"/>
            <w:vAlign w:val="center"/>
          </w:tcPr>
          <w:p>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cs="宋体"/>
                <w:sz w:val="22"/>
              </w:rPr>
            </w:pPr>
            <w:r>
              <w:rPr>
                <w:rFonts w:hint="eastAsia" w:cs="宋体"/>
                <w:sz w:val="22"/>
              </w:rPr>
              <w:t>人员</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cs="宋体"/>
                <w:sz w:val="22"/>
              </w:rPr>
            </w:pPr>
            <w:r>
              <w:rPr>
                <w:rFonts w:hint="eastAsia" w:cs="宋体"/>
                <w:sz w:val="22"/>
              </w:rPr>
              <w:t>配备</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textAlignment w:val="baseline"/>
              <w:rPr>
                <w:rFonts w:hint="eastAsia" w:ascii="Arial" w:hAnsi="Arial" w:eastAsia="Arial" w:cs="宋体"/>
                <w:snapToGrid w:val="0"/>
                <w:color w:val="000000"/>
                <w:sz w:val="22"/>
                <w:szCs w:val="21"/>
                <w:lang w:val="en-US" w:eastAsia="zh-CN" w:bidi="ar-SA"/>
              </w:rPr>
            </w:pPr>
            <w:r>
              <w:rPr>
                <w:rFonts w:hint="eastAsia" w:cs="宋体"/>
                <w:sz w:val="22"/>
              </w:rPr>
              <w:t xml:space="preserve">（ </w:t>
            </w:r>
            <w:r>
              <w:rPr>
                <w:rFonts w:hint="eastAsia" w:eastAsia="宋体" w:cs="宋体"/>
                <w:sz w:val="22"/>
                <w:lang w:val="en-US" w:eastAsia="zh-CN"/>
              </w:rPr>
              <w:t>6</w:t>
            </w:r>
            <w:r>
              <w:rPr>
                <w:rFonts w:hint="eastAsia" w:cs="宋体"/>
                <w:sz w:val="22"/>
              </w:rPr>
              <w:t>分)</w:t>
            </w:r>
          </w:p>
        </w:tc>
        <w:tc>
          <w:tcPr>
            <w:tcW w:w="2630" w:type="dxa"/>
            <w:vAlign w:val="top"/>
          </w:tcPr>
          <w:p>
            <w:pPr>
              <w:pStyle w:val="3"/>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cs="宋体"/>
                <w:sz w:val="22"/>
              </w:rPr>
            </w:pPr>
            <w:r>
              <w:rPr>
                <w:rFonts w:cs="宋体"/>
                <w:sz w:val="22"/>
              </w:rPr>
              <w:t>供应商拟投入本项目的人员：</w:t>
            </w:r>
          </w:p>
          <w:p>
            <w:pPr>
              <w:pStyle w:val="3"/>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hint="eastAsia" w:eastAsia="宋体" w:cs="宋体"/>
                <w:sz w:val="22"/>
                <w:lang w:val="en-US" w:eastAsia="zh-CN"/>
              </w:rPr>
            </w:pPr>
            <w:r>
              <w:rPr>
                <w:rFonts w:cs="宋体"/>
                <w:sz w:val="22"/>
              </w:rPr>
              <w:t>1、具有高级技术职称每个得</w:t>
            </w:r>
            <w:r>
              <w:rPr>
                <w:rFonts w:hint="eastAsia" w:cs="宋体"/>
                <w:sz w:val="22"/>
                <w:lang w:val="en-US" w:eastAsia="zh-CN"/>
              </w:rPr>
              <w:t>3</w:t>
            </w:r>
            <w:r>
              <w:rPr>
                <w:rFonts w:cs="宋体"/>
                <w:sz w:val="22"/>
              </w:rPr>
              <w:t>分， 最多</w:t>
            </w:r>
            <w:r>
              <w:rPr>
                <w:rFonts w:hint="eastAsia" w:cs="宋体"/>
                <w:sz w:val="22"/>
                <w:lang w:val="en-US" w:eastAsia="zh-CN"/>
              </w:rPr>
              <w:t>6</w:t>
            </w:r>
            <w:r>
              <w:rPr>
                <w:rFonts w:cs="宋体"/>
                <w:sz w:val="22"/>
              </w:rPr>
              <w:t>分；</w:t>
            </w:r>
            <w:r>
              <w:rPr>
                <w:rFonts w:hint="eastAsia" w:eastAsia="宋体" w:cs="宋体"/>
                <w:sz w:val="22"/>
                <w:lang w:val="en-US" w:eastAsia="zh-CN"/>
              </w:rPr>
              <w:t xml:space="preserve"> </w:t>
            </w:r>
          </w:p>
          <w:p>
            <w:pPr>
              <w:pStyle w:val="3"/>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cs="宋体"/>
                <w:sz w:val="22"/>
              </w:rPr>
            </w:pPr>
            <w:r>
              <w:rPr>
                <w:rFonts w:cs="宋体"/>
                <w:sz w:val="22"/>
              </w:rPr>
              <w:t>2、具有中级技术职称每个得1分，最多</w:t>
            </w:r>
            <w:r>
              <w:rPr>
                <w:rFonts w:hint="eastAsia" w:cs="宋体"/>
                <w:sz w:val="22"/>
                <w:lang w:val="en-US" w:eastAsia="zh-CN"/>
              </w:rPr>
              <w:t>3</w:t>
            </w:r>
            <w:r>
              <w:rPr>
                <w:rFonts w:cs="宋体"/>
                <w:sz w:val="22"/>
              </w:rPr>
              <w:t>分；</w:t>
            </w:r>
          </w:p>
          <w:p>
            <w:pPr>
              <w:pStyle w:val="3"/>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hint="eastAsia" w:ascii="宋体" w:hAnsi="宋体" w:eastAsia="宋体" w:cs="宋体"/>
                <w:snapToGrid w:val="0"/>
                <w:color w:val="000000"/>
                <w:sz w:val="22"/>
                <w:szCs w:val="31"/>
                <w:lang w:val="en-US" w:eastAsia="en-US" w:bidi="ar-SA"/>
              </w:rPr>
            </w:pPr>
            <w:r>
              <w:rPr>
                <w:rFonts w:cs="宋体"/>
                <w:sz w:val="22"/>
              </w:rPr>
              <w:t>须提供人员名单及专业人员职称、职业资格证书等，否则不得分。</w:t>
            </w:r>
          </w:p>
        </w:tc>
        <w:tc>
          <w:tcPr>
            <w:tcW w:w="3243" w:type="dxa"/>
            <w:vMerge w:val="continue"/>
          </w:tcPr>
          <w:p>
            <w:pPr>
              <w:pStyle w:val="29"/>
              <w:kinsoku/>
              <w:wordWrap w:val="0"/>
              <w:spacing w:before="33" w:line="235" w:lineRule="auto"/>
              <w:ind w:left="76" w:right="23" w:firstLine="2"/>
              <w:jc w:val="both"/>
              <w:rPr>
                <w:rFonts w:hint="eastAsia" w:asciiTheme="minorEastAsia" w:hAnsiTheme="minorEastAsia" w:eastAsiaTheme="minorEastAsia" w:cstheme="minorEastAsia"/>
                <w:spacing w:val="-13"/>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39" w:type="dxa"/>
            <w:vMerge w:val="continue"/>
            <w:vAlign w:val="center"/>
          </w:tcPr>
          <w:p>
            <w:pPr>
              <w:pStyle w:val="29"/>
              <w:kinsoku/>
              <w:wordWrap w:val="0"/>
              <w:jc w:val="center"/>
              <w:rPr>
                <w:rFonts w:hint="eastAsia" w:asciiTheme="minorEastAsia" w:hAnsiTheme="minorEastAsia" w:eastAsiaTheme="minorEastAsia" w:cstheme="minorEastAsia"/>
                <w:lang w:eastAsia="zh-CN"/>
              </w:rPr>
            </w:pPr>
          </w:p>
        </w:tc>
        <w:tc>
          <w:tcPr>
            <w:tcW w:w="1031" w:type="dxa"/>
            <w:vMerge w:val="continue"/>
            <w:vAlign w:val="center"/>
          </w:tcPr>
          <w:p>
            <w:pPr>
              <w:kinsoku/>
              <w:wordWrap w:val="0"/>
              <w:spacing w:before="157" w:line="220" w:lineRule="auto"/>
              <w:ind w:left="148"/>
              <w:jc w:val="both"/>
              <w:rPr>
                <w:rFonts w:hint="eastAsia" w:asciiTheme="minorEastAsia" w:hAnsiTheme="minorEastAsia" w:eastAsiaTheme="minorEastAsia" w:cstheme="minorEastAsia"/>
                <w:spacing w:val="-2"/>
                <w:sz w:val="24"/>
                <w:szCs w:val="24"/>
                <w:lang w:eastAsia="zh-CN"/>
              </w:rPr>
            </w:pPr>
          </w:p>
        </w:tc>
        <w:tc>
          <w:tcPr>
            <w:tcW w:w="789" w:type="dxa"/>
            <w:vAlign w:val="center"/>
          </w:tcPr>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firstLine="220" w:firstLineChars="100"/>
              <w:jc w:val="both"/>
              <w:textAlignment w:val="baseline"/>
              <w:rPr>
                <w:rFonts w:hint="eastAsia" w:cs="宋体"/>
                <w:sz w:val="22"/>
              </w:rPr>
            </w:pPr>
            <w:r>
              <w:rPr>
                <w:rFonts w:hint="eastAsia" w:cs="宋体"/>
                <w:sz w:val="22"/>
              </w:rPr>
              <w:t>物力</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textAlignment w:val="baseline"/>
              <w:rPr>
                <w:rFonts w:hint="eastAsia" w:cs="宋体"/>
                <w:sz w:val="22"/>
              </w:rPr>
            </w:pPr>
            <w:r>
              <w:rPr>
                <w:rFonts w:hint="eastAsia" w:cs="宋体"/>
                <w:sz w:val="22"/>
              </w:rPr>
              <w:t>配备</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textAlignment w:val="baseline"/>
              <w:rPr>
                <w:rFonts w:hint="eastAsia" w:ascii="Arial" w:hAnsi="Arial" w:eastAsia="Arial" w:cs="宋体"/>
                <w:snapToGrid w:val="0"/>
                <w:color w:val="000000"/>
                <w:sz w:val="22"/>
                <w:szCs w:val="21"/>
                <w:lang w:val="en-US" w:eastAsia="en-US" w:bidi="ar-SA"/>
              </w:rPr>
            </w:pPr>
            <w:r>
              <w:rPr>
                <w:rFonts w:hint="eastAsia" w:cs="宋体"/>
                <w:sz w:val="22"/>
              </w:rPr>
              <w:t>15 分</w:t>
            </w:r>
          </w:p>
        </w:tc>
        <w:tc>
          <w:tcPr>
            <w:tcW w:w="2630" w:type="dxa"/>
            <w:vAlign w:val="top"/>
          </w:tcPr>
          <w:p>
            <w:pPr>
              <w:pStyle w:val="3"/>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hint="eastAsia" w:ascii="宋体" w:hAnsi="宋体" w:eastAsia="宋体" w:cs="宋体"/>
                <w:snapToGrid w:val="0"/>
                <w:color w:val="000000"/>
                <w:sz w:val="22"/>
                <w:szCs w:val="31"/>
                <w:lang w:val="en-US" w:eastAsia="en-US" w:bidi="ar-SA"/>
              </w:rPr>
            </w:pPr>
            <w:r>
              <w:rPr>
                <w:rFonts w:cs="宋体"/>
                <w:sz w:val="22"/>
              </w:rPr>
              <w:t>根据供应商的交通工具、抽样工具等物力方面是否符合 检验检测要求，综合评定。交通工具、抽样工具等物力 检测相关工具专业、高效、全面的得</w:t>
            </w:r>
            <w:r>
              <w:rPr>
                <w:rFonts w:hint="eastAsia" w:eastAsia="宋体" w:cs="宋体"/>
                <w:sz w:val="22"/>
                <w:lang w:val="en-US" w:eastAsia="zh-CN"/>
              </w:rPr>
              <w:t>15</w:t>
            </w:r>
            <w:r>
              <w:rPr>
                <w:rFonts w:cs="宋体"/>
                <w:sz w:val="22"/>
              </w:rPr>
              <w:t xml:space="preserve">分， 良好的得 </w:t>
            </w:r>
            <w:r>
              <w:rPr>
                <w:rFonts w:hint="eastAsia" w:eastAsia="宋体" w:cs="宋体"/>
                <w:sz w:val="22"/>
                <w:lang w:val="en-US" w:eastAsia="zh-CN"/>
              </w:rPr>
              <w:t>11</w:t>
            </w:r>
            <w:r>
              <w:rPr>
                <w:rFonts w:cs="宋体"/>
                <w:sz w:val="22"/>
              </w:rPr>
              <w:t>分， 一般的</w:t>
            </w:r>
            <w:r>
              <w:rPr>
                <w:rFonts w:hint="eastAsia" w:eastAsia="宋体" w:cs="宋体"/>
                <w:sz w:val="22"/>
                <w:lang w:val="en-US" w:eastAsia="zh-CN"/>
              </w:rPr>
              <w:t>7</w:t>
            </w:r>
            <w:r>
              <w:rPr>
                <w:rFonts w:cs="宋体"/>
                <w:sz w:val="22"/>
              </w:rPr>
              <w:t>分，缺项该项不得分。</w:t>
            </w:r>
          </w:p>
        </w:tc>
        <w:tc>
          <w:tcPr>
            <w:tcW w:w="3243" w:type="dxa"/>
            <w:vMerge w:val="continue"/>
          </w:tcPr>
          <w:p>
            <w:pPr>
              <w:pStyle w:val="29"/>
              <w:kinsoku/>
              <w:wordWrap w:val="0"/>
              <w:spacing w:before="33" w:line="235" w:lineRule="auto"/>
              <w:ind w:left="76" w:right="23" w:firstLine="2"/>
              <w:jc w:val="both"/>
              <w:rPr>
                <w:rFonts w:hint="eastAsia" w:asciiTheme="minorEastAsia" w:hAnsiTheme="minorEastAsia" w:eastAsiaTheme="minorEastAsia" w:cstheme="minorEastAsia"/>
                <w:spacing w:val="-13"/>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9"/>
              <w:kinsoku/>
              <w:wordWrap w:val="0"/>
              <w:jc w:val="center"/>
              <w:rPr>
                <w:rFonts w:hint="eastAsia" w:asciiTheme="minorEastAsia" w:hAnsiTheme="minorEastAsia" w:eastAsiaTheme="minorEastAsia" w:cstheme="minorEastAsia"/>
                <w:lang w:eastAsia="zh-CN"/>
              </w:rPr>
            </w:pPr>
          </w:p>
        </w:tc>
        <w:tc>
          <w:tcPr>
            <w:tcW w:w="1031" w:type="dxa"/>
            <w:vMerge w:val="continue"/>
            <w:vAlign w:val="center"/>
          </w:tcPr>
          <w:p>
            <w:pPr>
              <w:kinsoku/>
              <w:wordWrap w:val="0"/>
              <w:spacing w:before="157" w:line="220" w:lineRule="auto"/>
              <w:ind w:left="148"/>
              <w:jc w:val="both"/>
              <w:rPr>
                <w:rFonts w:hint="eastAsia" w:asciiTheme="minorEastAsia" w:hAnsiTheme="minorEastAsia" w:eastAsiaTheme="minorEastAsia" w:cstheme="minorEastAsia"/>
                <w:spacing w:val="-2"/>
                <w:sz w:val="24"/>
                <w:szCs w:val="24"/>
                <w:lang w:eastAsia="zh-CN"/>
              </w:rPr>
            </w:pPr>
          </w:p>
        </w:tc>
        <w:tc>
          <w:tcPr>
            <w:tcW w:w="789" w:type="dxa"/>
            <w:vAlign w:val="center"/>
          </w:tcPr>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textAlignment w:val="baseline"/>
              <w:rPr>
                <w:rFonts w:hint="eastAsia" w:cs="宋体"/>
                <w:sz w:val="22"/>
              </w:rPr>
            </w:pPr>
            <w:r>
              <w:rPr>
                <w:rFonts w:hint="eastAsia" w:cs="宋体"/>
                <w:sz w:val="22"/>
              </w:rPr>
              <w:t>企业</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textAlignment w:val="baseline"/>
              <w:rPr>
                <w:rFonts w:hint="eastAsia" w:cs="宋体"/>
                <w:sz w:val="22"/>
              </w:rPr>
            </w:pPr>
            <w:r>
              <w:rPr>
                <w:rFonts w:hint="eastAsia" w:cs="宋体"/>
                <w:sz w:val="22"/>
              </w:rPr>
              <w:t>实力</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textAlignment w:val="baseline"/>
              <w:rPr>
                <w:rFonts w:hint="eastAsia" w:ascii="Arial" w:hAnsi="Arial" w:eastAsia="Arial" w:cs="宋体"/>
                <w:snapToGrid w:val="0"/>
                <w:color w:val="000000"/>
                <w:sz w:val="22"/>
                <w:szCs w:val="21"/>
                <w:lang w:val="en-US" w:eastAsia="en-US" w:bidi="ar-SA"/>
              </w:rPr>
            </w:pPr>
            <w:r>
              <w:rPr>
                <w:rFonts w:hint="eastAsia" w:cs="宋体"/>
                <w:sz w:val="22"/>
              </w:rPr>
              <w:t>3分</w:t>
            </w:r>
          </w:p>
        </w:tc>
        <w:tc>
          <w:tcPr>
            <w:tcW w:w="2630" w:type="dxa"/>
            <w:vAlign w:val="top"/>
          </w:tcPr>
          <w:p>
            <w:pPr>
              <w:pStyle w:val="3"/>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ascii="宋体" w:hAnsi="宋体" w:eastAsia="宋体" w:cs="宋体"/>
                <w:snapToGrid w:val="0"/>
                <w:color w:val="000000"/>
                <w:sz w:val="22"/>
                <w:szCs w:val="31"/>
                <w:lang w:val="en-US" w:eastAsia="en-US" w:bidi="ar-SA"/>
              </w:rPr>
            </w:pPr>
            <w:r>
              <w:rPr>
                <w:rFonts w:cs="宋体"/>
                <w:sz w:val="22"/>
              </w:rPr>
              <w:t>供应商获得环境管理体系认证证书、质量管理体系认证证书、职业健康管理体系认证证书的得3分，缺项该项不得分</w:t>
            </w:r>
          </w:p>
        </w:tc>
        <w:tc>
          <w:tcPr>
            <w:tcW w:w="3243" w:type="dxa"/>
          </w:tcPr>
          <w:p>
            <w:pPr>
              <w:pStyle w:val="29"/>
              <w:kinsoku/>
              <w:wordWrap w:val="0"/>
              <w:spacing w:before="33" w:line="235" w:lineRule="auto"/>
              <w:ind w:left="76" w:right="23" w:firstLine="2"/>
              <w:jc w:val="both"/>
              <w:rPr>
                <w:rFonts w:hint="eastAsia" w:asciiTheme="minorEastAsia" w:hAnsiTheme="minorEastAsia" w:eastAsiaTheme="minorEastAsia" w:cstheme="minorEastAsia"/>
                <w:spacing w:val="-13"/>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Align w:val="center"/>
          </w:tcPr>
          <w:p>
            <w:pPr>
              <w:pStyle w:val="29"/>
              <w:kinsoku/>
              <w:wordWrap w:val="0"/>
              <w:jc w:val="center"/>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4</w:t>
            </w:r>
          </w:p>
        </w:tc>
        <w:tc>
          <w:tcPr>
            <w:tcW w:w="1031" w:type="dxa"/>
            <w:vAlign w:val="center"/>
          </w:tcPr>
          <w:p>
            <w:pPr>
              <w:kinsoku/>
              <w:wordWrap w:val="0"/>
              <w:spacing w:before="78" w:line="219" w:lineRule="auto"/>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售后服务或其他</w:t>
            </w:r>
          </w:p>
          <w:p>
            <w:pPr>
              <w:kinsoku/>
              <w:wordWrap w:val="0"/>
              <w:spacing w:before="78" w:line="219" w:lineRule="auto"/>
              <w:ind w:firstLine="214" w:firstLineChars="100"/>
              <w:jc w:val="both"/>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13"/>
                <w:sz w:val="24"/>
                <w:szCs w:val="24"/>
                <w:lang w:val="en-US" w:eastAsia="zh-CN"/>
              </w:rPr>
              <w:t>10分</w:t>
            </w:r>
          </w:p>
        </w:tc>
        <w:tc>
          <w:tcPr>
            <w:tcW w:w="789" w:type="dxa"/>
          </w:tcPr>
          <w:p>
            <w:pPr>
              <w:pStyle w:val="29"/>
              <w:kinsoku/>
              <w:wordWrap w:val="0"/>
              <w:ind w:firstLine="220" w:firstLineChars="100"/>
              <w:jc w:val="both"/>
              <w:rPr>
                <w:rFonts w:hint="eastAsia" w:cs="宋体"/>
                <w:sz w:val="22"/>
              </w:rPr>
            </w:pPr>
          </w:p>
          <w:p>
            <w:pPr>
              <w:pStyle w:val="29"/>
              <w:kinsoku/>
              <w:wordWrap w:val="0"/>
              <w:ind w:firstLine="220" w:firstLineChars="100"/>
              <w:jc w:val="both"/>
              <w:rPr>
                <w:rFonts w:hint="eastAsia" w:cs="宋体"/>
                <w:sz w:val="22"/>
              </w:rPr>
            </w:pPr>
          </w:p>
          <w:p>
            <w:pPr>
              <w:pStyle w:val="29"/>
              <w:kinsoku/>
              <w:wordWrap w:val="0"/>
              <w:ind w:firstLine="220" w:firstLineChars="100"/>
              <w:jc w:val="both"/>
              <w:rPr>
                <w:rFonts w:hint="eastAsia" w:cs="宋体"/>
                <w:sz w:val="22"/>
              </w:rPr>
            </w:pPr>
          </w:p>
          <w:p>
            <w:pPr>
              <w:pStyle w:val="29"/>
              <w:kinsoku/>
              <w:wordWrap w:val="0"/>
              <w:ind w:firstLine="220" w:firstLineChars="100"/>
              <w:jc w:val="both"/>
              <w:rPr>
                <w:rFonts w:hint="eastAsia" w:cs="宋体"/>
                <w:sz w:val="22"/>
              </w:rPr>
            </w:pPr>
            <w:r>
              <w:rPr>
                <w:rFonts w:hint="eastAsia" w:cs="宋体"/>
                <w:sz w:val="22"/>
              </w:rPr>
              <w:t>服务</w:t>
            </w:r>
          </w:p>
          <w:p>
            <w:pPr>
              <w:pStyle w:val="29"/>
              <w:kinsoku/>
              <w:wordWrap w:val="0"/>
              <w:ind w:firstLine="220" w:firstLineChars="100"/>
              <w:jc w:val="both"/>
              <w:rPr>
                <w:rFonts w:hint="eastAsia" w:cs="宋体"/>
                <w:sz w:val="22"/>
              </w:rPr>
            </w:pPr>
            <w:r>
              <w:rPr>
                <w:rFonts w:hint="eastAsia" w:cs="宋体"/>
                <w:sz w:val="22"/>
              </w:rPr>
              <w:t>承诺</w:t>
            </w:r>
          </w:p>
          <w:p>
            <w:pPr>
              <w:pStyle w:val="29"/>
              <w:kinsoku/>
              <w:wordWrap w:val="0"/>
              <w:ind w:firstLine="220" w:firstLineChars="100"/>
              <w:jc w:val="both"/>
              <w:rPr>
                <w:rFonts w:hint="default" w:eastAsia="宋体" w:cs="宋体"/>
                <w:sz w:val="22"/>
                <w:lang w:val="en-US" w:eastAsia="zh-CN"/>
              </w:rPr>
            </w:pPr>
            <w:r>
              <w:rPr>
                <w:rFonts w:hint="eastAsia" w:eastAsia="宋体" w:cs="宋体"/>
                <w:sz w:val="22"/>
                <w:lang w:val="en-US" w:eastAsia="zh-CN"/>
              </w:rPr>
              <w:t>10分</w:t>
            </w:r>
          </w:p>
        </w:tc>
        <w:tc>
          <w:tcPr>
            <w:tcW w:w="2630" w:type="dxa"/>
          </w:tcPr>
          <w:p>
            <w:pPr>
              <w:pStyle w:val="3"/>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cs="宋体"/>
                <w:sz w:val="22"/>
              </w:rPr>
            </w:pPr>
            <w:r>
              <w:rPr>
                <w:rFonts w:cs="宋体"/>
                <w:sz w:val="22"/>
              </w:rPr>
              <w:t>服务承诺细致、体系完备、充分满足用户要求得</w:t>
            </w:r>
            <w:r>
              <w:rPr>
                <w:rFonts w:hint="eastAsia" w:eastAsia="宋体" w:cs="宋体"/>
                <w:sz w:val="22"/>
                <w:lang w:val="en-US" w:eastAsia="zh-CN"/>
              </w:rPr>
              <w:t>10</w:t>
            </w:r>
            <w:r>
              <w:rPr>
                <w:rFonts w:cs="宋体"/>
                <w:sz w:val="22"/>
              </w:rPr>
              <w:t>分； 服务承诺周到， 具有相应服务体系的得</w:t>
            </w:r>
            <w:r>
              <w:rPr>
                <w:rFonts w:hint="eastAsia" w:eastAsia="宋体" w:cs="宋体"/>
                <w:sz w:val="22"/>
                <w:lang w:val="en-US" w:eastAsia="zh-CN"/>
              </w:rPr>
              <w:t>7</w:t>
            </w:r>
            <w:r>
              <w:rPr>
                <w:rFonts w:cs="宋体"/>
                <w:sz w:val="22"/>
              </w:rPr>
              <w:t>分；</w:t>
            </w:r>
          </w:p>
          <w:p>
            <w:pPr>
              <w:pStyle w:val="29"/>
              <w:kinsoku/>
              <w:wordWrap w:val="0"/>
              <w:spacing w:before="26" w:line="228" w:lineRule="auto"/>
              <w:ind w:left="111" w:right="103" w:firstLine="4"/>
              <w:jc w:val="both"/>
              <w:rPr>
                <w:rFonts w:asciiTheme="minorEastAsia" w:hAnsiTheme="minorEastAsia" w:eastAsiaTheme="minorEastAsia" w:cstheme="minorEastAsia"/>
                <w:spacing w:val="-13"/>
                <w:sz w:val="24"/>
                <w:szCs w:val="24"/>
              </w:rPr>
            </w:pPr>
            <w:r>
              <w:rPr>
                <w:rFonts w:cs="宋体"/>
                <w:sz w:val="22"/>
              </w:rPr>
              <w:t>有服务承诺， 服务承诺一般的得</w:t>
            </w:r>
            <w:r>
              <w:rPr>
                <w:rFonts w:hint="eastAsia" w:eastAsia="宋体" w:cs="宋体"/>
                <w:sz w:val="22"/>
                <w:lang w:val="en-US" w:eastAsia="zh-CN"/>
              </w:rPr>
              <w:t>4</w:t>
            </w:r>
            <w:r>
              <w:rPr>
                <w:rFonts w:cs="宋体"/>
                <w:sz w:val="22"/>
              </w:rPr>
              <w:t>分，缺项该项不得分。</w:t>
            </w:r>
          </w:p>
        </w:tc>
        <w:tc>
          <w:tcPr>
            <w:tcW w:w="3243" w:type="dxa"/>
          </w:tcPr>
          <w:p>
            <w:pPr>
              <w:pStyle w:val="29"/>
              <w:kinsoku/>
              <w:wordWrap w:val="0"/>
              <w:spacing w:before="33" w:line="235" w:lineRule="auto"/>
              <w:ind w:left="76" w:right="23" w:firstLine="2"/>
              <w:jc w:val="both"/>
              <w:rPr>
                <w:rFonts w:asciiTheme="minorEastAsia" w:hAnsiTheme="minorEastAsia" w:eastAsiaTheme="minorEastAsia" w:cstheme="minorEastAsia"/>
                <w:spacing w:val="-13"/>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870" w:type="dxa"/>
            <w:gridSpan w:val="2"/>
          </w:tcPr>
          <w:p>
            <w:pPr>
              <w:kinsoku/>
              <w:wordWrap w:val="0"/>
              <w:spacing w:before="42" w:line="206" w:lineRule="auto"/>
              <w:ind w:left="93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合计</w:t>
            </w:r>
          </w:p>
        </w:tc>
        <w:tc>
          <w:tcPr>
            <w:tcW w:w="789" w:type="dxa"/>
          </w:tcPr>
          <w:p>
            <w:pPr>
              <w:pStyle w:val="29"/>
              <w:kinsoku/>
              <w:wordWrap w:val="0"/>
              <w:spacing w:before="59" w:line="202" w:lineRule="auto"/>
              <w:ind w:left="26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100</w:t>
            </w:r>
          </w:p>
        </w:tc>
        <w:tc>
          <w:tcPr>
            <w:tcW w:w="5873" w:type="dxa"/>
            <w:gridSpan w:val="2"/>
          </w:tcPr>
          <w:p>
            <w:pPr>
              <w:pStyle w:val="29"/>
              <w:kinsoku/>
              <w:wordWrap w:val="0"/>
              <w:jc w:val="both"/>
              <w:rPr>
                <w:rFonts w:asciiTheme="minorEastAsia" w:hAnsiTheme="minorEastAsia" w:eastAsiaTheme="minorEastAsia" w:cstheme="minorEastAsia"/>
              </w:rPr>
            </w:pPr>
          </w:p>
        </w:tc>
      </w:tr>
    </w:tbl>
    <w:tbl>
      <w:tblPr>
        <w:tblStyle w:val="15"/>
        <w:tblpPr w:leftFromText="180" w:rightFromText="180" w:vertAnchor="text" w:tblpX="10215" w:tblpY="-3543"/>
        <w:tblOverlap w:val="never"/>
        <w:tblW w:w="4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4287" w:type="dxa"/>
          </w:tcPr>
          <w:p>
            <w:pPr>
              <w:widowControl w:val="0"/>
              <w:kinsoku/>
              <w:wordWrap w:val="0"/>
              <w:spacing w:line="360" w:lineRule="auto"/>
              <w:jc w:val="both"/>
              <w:rPr>
                <w:rFonts w:hint="eastAsia" w:asciiTheme="minorEastAsia" w:hAnsiTheme="minorEastAsia" w:eastAsiaTheme="minorEastAsia" w:cstheme="minorEastAsia"/>
                <w:b/>
                <w:bCs/>
                <w:spacing w:val="2"/>
                <w:position w:val="17"/>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287" w:type="dxa"/>
          </w:tcPr>
          <w:p>
            <w:pPr>
              <w:widowControl w:val="0"/>
              <w:kinsoku/>
              <w:wordWrap w:val="0"/>
              <w:spacing w:line="360" w:lineRule="auto"/>
              <w:jc w:val="both"/>
              <w:rPr>
                <w:rFonts w:hint="eastAsia" w:asciiTheme="minorEastAsia" w:hAnsiTheme="minorEastAsia" w:eastAsiaTheme="minorEastAsia" w:cstheme="minorEastAsia"/>
                <w:b/>
                <w:bCs/>
                <w:spacing w:val="2"/>
                <w:position w:val="17"/>
                <w:sz w:val="24"/>
                <w:szCs w:val="24"/>
                <w:vertAlign w:val="baseline"/>
                <w:lang w:eastAsia="zh-CN"/>
              </w:rPr>
            </w:pPr>
          </w:p>
        </w:tc>
      </w:tr>
    </w:tbl>
    <w:tbl>
      <w:tblPr>
        <w:tblStyle w:val="15"/>
        <w:tblpPr w:leftFromText="180" w:rightFromText="180" w:vertAnchor="text" w:tblpX="10215" w:tblpY="-7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3103" w:type="dxa"/>
          </w:tcPr>
          <w:p>
            <w:pPr>
              <w:widowControl w:val="0"/>
              <w:kinsoku/>
              <w:wordWrap w:val="0"/>
              <w:spacing w:line="360" w:lineRule="auto"/>
              <w:jc w:val="both"/>
              <w:rPr>
                <w:rFonts w:hint="eastAsia" w:asciiTheme="minorEastAsia" w:hAnsiTheme="minorEastAsia" w:eastAsiaTheme="minorEastAsia" w:cstheme="minorEastAsia"/>
                <w:b/>
                <w:bCs/>
                <w:spacing w:val="2"/>
                <w:position w:val="17"/>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103" w:type="dxa"/>
          </w:tcPr>
          <w:p>
            <w:pPr>
              <w:widowControl w:val="0"/>
              <w:kinsoku/>
              <w:wordWrap w:val="0"/>
              <w:spacing w:line="360" w:lineRule="auto"/>
              <w:jc w:val="both"/>
              <w:rPr>
                <w:rFonts w:hint="eastAsia" w:asciiTheme="minorEastAsia" w:hAnsiTheme="minorEastAsia" w:eastAsiaTheme="minorEastAsia" w:cstheme="minorEastAsia"/>
                <w:b/>
                <w:bCs/>
                <w:spacing w:val="2"/>
                <w:position w:val="17"/>
                <w:sz w:val="24"/>
                <w:szCs w:val="24"/>
                <w:vertAlign w:val="baseline"/>
                <w:lang w:eastAsia="zh-CN"/>
              </w:rPr>
            </w:pPr>
          </w:p>
        </w:tc>
      </w:tr>
    </w:tbl>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备注：严格执行《南阳市政府采购负面清单》，根据实际项目需要设置科学合理的评分因素及分值。</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11.</w:t>
      </w:r>
      <w:r>
        <w:rPr>
          <w:rFonts w:hint="eastAsia" w:ascii="宋体" w:hAnsi="宋体" w:eastAsia="宋体" w:cs="宋体"/>
          <w:sz w:val="24"/>
          <w:szCs w:val="24"/>
        </w:rPr>
        <w:t>有下列情况之一的，</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宣布本项目终止：</w:t>
      </w:r>
    </w:p>
    <w:p>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11.1 </w:t>
      </w:r>
      <w:r>
        <w:rPr>
          <w:rFonts w:hint="eastAsia" w:ascii="宋体" w:hAnsi="宋体" w:eastAsia="宋体" w:cs="宋体"/>
          <w:sz w:val="24"/>
          <w:szCs w:val="24"/>
        </w:rPr>
        <w:t>因情况变化，不再符合规定的竞争性磋商采购方式适用情形的；</w:t>
      </w:r>
    </w:p>
    <w:p>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11.2 </w:t>
      </w:r>
      <w:r>
        <w:rPr>
          <w:rFonts w:hint="eastAsia" w:ascii="宋体" w:hAnsi="宋体" w:eastAsia="宋体" w:cs="宋体"/>
          <w:sz w:val="24"/>
          <w:szCs w:val="24"/>
        </w:rPr>
        <w:t>出现影响采购公正的违法、违规行为的；</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11.3 </w:t>
      </w:r>
      <w:r>
        <w:rPr>
          <w:rFonts w:hint="eastAsia" w:ascii="宋体" w:hAnsi="宋体" w:eastAsia="宋体" w:cs="宋体"/>
          <w:sz w:val="24"/>
          <w:szCs w:val="24"/>
        </w:rPr>
        <w:t>法律法规规定的其他情况。</w:t>
      </w:r>
    </w:p>
    <w:p>
      <w:pPr>
        <w:kinsoku/>
        <w:wordWrap w:val="0"/>
        <w:spacing w:line="360" w:lineRule="auto"/>
        <w:ind w:firstLine="480" w:firstLineChars="200"/>
        <w:jc w:val="both"/>
        <w:rPr>
          <w:rFonts w:ascii="仿宋_GB2312" w:hAnsi="仿宋_GB2312" w:eastAsia="仿宋_GB2312" w:cs="仿宋_GB2312"/>
          <w:b/>
          <w:sz w:val="28"/>
          <w:szCs w:val="28"/>
          <w:lang w:eastAsia="zh-CN"/>
        </w:rPr>
      </w:pPr>
      <w:r>
        <w:rPr>
          <w:rFonts w:hint="eastAsia" w:ascii="宋体" w:hAnsi="宋体" w:eastAsia="宋体" w:cs="宋体"/>
          <w:sz w:val="24"/>
          <w:szCs w:val="24"/>
          <w:lang w:eastAsia="zh-CN"/>
        </w:rPr>
        <w:t>12.</w:t>
      </w:r>
      <w:r>
        <w:rPr>
          <w:rFonts w:hint="eastAsia" w:ascii="宋体" w:hAnsi="宋体" w:eastAsia="宋体" w:cs="宋体"/>
          <w:sz w:val="24"/>
          <w:szCs w:val="24"/>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﹝2015﹞</w:t>
      </w:r>
      <w:r>
        <w:rPr>
          <w:rFonts w:hint="eastAsia" w:ascii="宋体" w:hAnsi="宋体" w:eastAsia="宋体" w:cs="宋体"/>
          <w:sz w:val="24"/>
          <w:szCs w:val="24"/>
        </w:rPr>
        <w:t>124号）等规定执行。</w:t>
      </w:r>
    </w:p>
    <w:p>
      <w:pPr>
        <w:kinsoku/>
        <w:wordWrap w:val="0"/>
        <w:spacing w:line="360" w:lineRule="auto"/>
        <w:jc w:val="both"/>
        <w:rPr>
          <w:rFonts w:ascii="宋体" w:hAnsi="宋体" w:eastAsia="宋体" w:cs="宋体"/>
          <w:b/>
          <w:bCs/>
          <w:sz w:val="24"/>
          <w:szCs w:val="24"/>
          <w:lang w:eastAsia="zh-CN"/>
        </w:rPr>
      </w:pPr>
    </w:p>
    <w:p>
      <w:pPr>
        <w:kinsoku/>
        <w:wordWrap w:val="0"/>
        <w:spacing w:line="360" w:lineRule="auto"/>
        <w:jc w:val="both"/>
        <w:rPr>
          <w:rFonts w:ascii="宋体" w:hAnsi="宋体" w:eastAsia="宋体" w:cs="宋体"/>
          <w:sz w:val="24"/>
          <w:szCs w:val="24"/>
        </w:rPr>
      </w:pPr>
      <w:r>
        <w:rPr>
          <w:rFonts w:hint="eastAsia" w:ascii="宋体" w:hAnsi="宋体" w:eastAsia="宋体" w:cs="宋体"/>
          <w:b/>
          <w:bCs/>
          <w:sz w:val="24"/>
          <w:szCs w:val="24"/>
          <w:lang w:eastAsia="zh-CN"/>
        </w:rPr>
        <w:t>六、</w:t>
      </w:r>
      <w:r>
        <w:rPr>
          <w:rFonts w:hint="eastAsia" w:ascii="宋体" w:hAnsi="宋体" w:eastAsia="宋体" w:cs="宋体"/>
          <w:b/>
          <w:bCs/>
          <w:sz w:val="24"/>
          <w:szCs w:val="24"/>
        </w:rPr>
        <w:t>成交</w:t>
      </w:r>
      <w:r>
        <w:rPr>
          <w:rFonts w:hint="eastAsia" w:ascii="宋体" w:hAnsi="宋体" w:eastAsia="宋体" w:cs="宋体"/>
          <w:b/>
          <w:bCs/>
          <w:sz w:val="24"/>
          <w:szCs w:val="24"/>
          <w:lang w:eastAsia="zh-CN"/>
        </w:rPr>
        <w:t>通知及</w:t>
      </w:r>
      <w:r>
        <w:rPr>
          <w:rFonts w:hint="eastAsia" w:ascii="宋体" w:hAnsi="宋体" w:eastAsia="宋体" w:cs="宋体"/>
          <w:b/>
          <w:bCs/>
          <w:sz w:val="24"/>
          <w:szCs w:val="24"/>
        </w:rPr>
        <w:t>签订合同</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成交结果公布</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1.1 </w:t>
      </w:r>
      <w:r>
        <w:rPr>
          <w:rFonts w:hint="eastAsia" w:ascii="宋体" w:hAnsi="宋体" w:eastAsia="宋体" w:cs="宋体"/>
          <w:sz w:val="24"/>
          <w:szCs w:val="24"/>
        </w:rPr>
        <w:t>成交供应商确定后，</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将在“河南省政府采购网”和“</w:t>
      </w:r>
      <w:r>
        <w:rPr>
          <w:rFonts w:hint="eastAsia" w:ascii="宋体" w:hAnsi="宋体" w:eastAsia="宋体" w:cs="宋体"/>
          <w:sz w:val="24"/>
          <w:szCs w:val="24"/>
          <w:lang w:eastAsia="zh-CN"/>
        </w:rPr>
        <w:t>淅川县公共资源交易中心网</w:t>
      </w:r>
      <w:r>
        <w:rPr>
          <w:rFonts w:hint="eastAsia" w:ascii="宋体" w:hAnsi="宋体" w:eastAsia="宋体" w:cs="宋体"/>
          <w:sz w:val="24"/>
          <w:szCs w:val="24"/>
        </w:rPr>
        <w:t>”上发布成交公告。</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1.2 </w:t>
      </w:r>
      <w:r>
        <w:rPr>
          <w:rFonts w:hint="eastAsia" w:ascii="宋体" w:hAnsi="宋体" w:eastAsia="宋体" w:cs="宋体"/>
          <w:sz w:val="24"/>
          <w:szCs w:val="24"/>
        </w:rPr>
        <w:t>如项目终止，成交结果公告以“河南省政府采购网”发布的为准。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发出成交通知书</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2.1 </w:t>
      </w:r>
      <w:r>
        <w:rPr>
          <w:rFonts w:hint="eastAsia" w:ascii="宋体" w:hAnsi="宋体" w:eastAsia="宋体" w:cs="宋体"/>
          <w:sz w:val="24"/>
          <w:szCs w:val="24"/>
        </w:rPr>
        <w:t>根据成交结果，</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通过“</w:t>
      </w:r>
      <w:r>
        <w:rPr>
          <w:rFonts w:hint="eastAsia" w:ascii="宋体" w:hAnsi="宋体" w:eastAsia="宋体" w:cs="宋体"/>
          <w:sz w:val="24"/>
          <w:szCs w:val="24"/>
          <w:lang w:val="en-US" w:eastAsia="zh-CN"/>
        </w:rPr>
        <w:t>淅川县</w:t>
      </w:r>
      <w:r>
        <w:rPr>
          <w:rFonts w:hint="eastAsia" w:ascii="宋体" w:hAnsi="宋体" w:eastAsia="宋体" w:cs="宋体"/>
          <w:sz w:val="24"/>
          <w:szCs w:val="24"/>
        </w:rPr>
        <w:t>公共资源交易中心</w:t>
      </w:r>
      <w:r>
        <w:rPr>
          <w:rFonts w:hint="eastAsia" w:ascii="宋体" w:hAnsi="宋体" w:eastAsia="宋体" w:cs="宋体"/>
          <w:sz w:val="24"/>
          <w:szCs w:val="24"/>
          <w:lang w:eastAsia="zh-CN"/>
        </w:rPr>
        <w:t>公共服务平台或</w:t>
      </w:r>
      <w:r>
        <w:rPr>
          <w:rFonts w:hint="eastAsia" w:ascii="宋体" w:hAnsi="宋体" w:eastAsia="宋体" w:cs="宋体"/>
          <w:sz w:val="24"/>
          <w:szCs w:val="24"/>
        </w:rPr>
        <w:t>电子营业执照应用平台”向成交供应商发出电子成交通知书，成交供应商可登陆</w:t>
      </w:r>
      <w:r>
        <w:rPr>
          <w:rFonts w:hint="eastAsia" w:ascii="宋体" w:hAnsi="宋体" w:eastAsia="宋体" w:cs="宋体"/>
          <w:sz w:val="24"/>
          <w:szCs w:val="24"/>
          <w:lang w:val="en-US" w:eastAsia="zh-CN"/>
        </w:rPr>
        <w:t>淅川县</w:t>
      </w:r>
      <w:r>
        <w:rPr>
          <w:rFonts w:hint="eastAsia" w:ascii="宋体" w:hAnsi="宋体" w:eastAsia="宋体" w:cs="宋体"/>
          <w:sz w:val="24"/>
          <w:szCs w:val="24"/>
          <w:lang w:eastAsia="zh-CN"/>
        </w:rPr>
        <w:t>公共资源交易平台会员系统或电子营业执照应用平台</w:t>
      </w:r>
      <w:r>
        <w:rPr>
          <w:rFonts w:hint="eastAsia" w:ascii="宋体" w:hAnsi="宋体" w:eastAsia="宋体" w:cs="宋体"/>
          <w:sz w:val="24"/>
          <w:szCs w:val="24"/>
        </w:rPr>
        <w:t>，自行打印加盖电子签章的成交通知书。</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2.2 </w:t>
      </w:r>
      <w:r>
        <w:rPr>
          <w:rFonts w:hint="eastAsia" w:ascii="宋体" w:hAnsi="宋体" w:eastAsia="宋体" w:cs="宋体"/>
          <w:sz w:val="24"/>
          <w:szCs w:val="24"/>
        </w:rPr>
        <w:t>《成交通知书》是签订政府采购合同的重要依据，对采购人与成交供应商具有法律效力。</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签订合同</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3.1 </w:t>
      </w:r>
      <w:r>
        <w:rPr>
          <w:rFonts w:hint="eastAsia" w:ascii="宋体" w:hAnsi="宋体" w:eastAsia="宋体" w:cs="宋体"/>
          <w:sz w:val="24"/>
          <w:szCs w:val="24"/>
        </w:rPr>
        <w:t>成交供应商和采购人应在《成交通知书》发出</w:t>
      </w:r>
      <w:r>
        <w:rPr>
          <w:rFonts w:hint="eastAsia" w:ascii="宋体" w:hAnsi="宋体" w:eastAsia="宋体" w:cs="宋体"/>
          <w:sz w:val="24"/>
          <w:szCs w:val="24"/>
          <w:lang w:eastAsia="zh-CN"/>
        </w:rPr>
        <w:t>后及时</w:t>
      </w:r>
      <w:r>
        <w:rPr>
          <w:rFonts w:hint="eastAsia" w:ascii="宋体" w:hAnsi="宋体" w:eastAsia="宋体" w:cs="宋体"/>
          <w:sz w:val="24"/>
          <w:szCs w:val="24"/>
        </w:rPr>
        <w:t>签订政府采购合同，逾期无故不签订的，按《政府采购竞争性磋商采购方式管理暂行办法》及有关规定处理。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3.2 </w:t>
      </w:r>
      <w:r>
        <w:rPr>
          <w:rFonts w:hint="eastAsia" w:ascii="宋体" w:hAnsi="宋体" w:eastAsia="宋体" w:cs="宋体"/>
          <w:sz w:val="24"/>
          <w:szCs w:val="24"/>
        </w:rPr>
        <w:t>竞争性磋商文件、响应文件、供应商在磋商过程中的承诺以及确认材料，均为合同的有效组成部分。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3.3 </w:t>
      </w:r>
      <w:r>
        <w:rPr>
          <w:rFonts w:hint="eastAsia" w:ascii="宋体" w:hAnsi="宋体" w:eastAsia="宋体" w:cs="宋体"/>
          <w:sz w:val="24"/>
          <w:szCs w:val="24"/>
        </w:rPr>
        <w:t>如果成交供应商不按其响应文件承诺和竞争性磋商文件要求签订政府采购合同，采购人将取消其成交资格。</w:t>
      </w:r>
    </w:p>
    <w:p>
      <w:pPr>
        <w:kinsoku/>
        <w:wordWrap w:val="0"/>
        <w:spacing w:line="360" w:lineRule="auto"/>
        <w:ind w:firstLine="480" w:firstLineChars="200"/>
        <w:jc w:val="both"/>
        <w:rPr>
          <w:rFonts w:ascii="宋体" w:hAnsi="宋体" w:eastAsia="宋体" w:cs="宋体"/>
          <w:sz w:val="24"/>
          <w:szCs w:val="24"/>
          <w:lang w:eastAsia="zh-CN"/>
        </w:rPr>
      </w:pPr>
    </w:p>
    <w:p>
      <w:pPr>
        <w:kinsoku/>
        <w:wordWrap w:val="0"/>
        <w:spacing w:line="360" w:lineRule="auto"/>
        <w:jc w:val="both"/>
        <w:rPr>
          <w:rFonts w:ascii="宋体" w:hAnsi="宋体" w:eastAsia="宋体" w:cs="宋体"/>
          <w:b/>
          <w:bCs/>
          <w:sz w:val="24"/>
          <w:szCs w:val="24"/>
        </w:rPr>
      </w:pPr>
      <w:r>
        <w:rPr>
          <w:rFonts w:hint="eastAsia" w:ascii="宋体" w:hAnsi="宋体" w:eastAsia="宋体" w:cs="宋体"/>
          <w:b/>
          <w:bCs/>
          <w:sz w:val="24"/>
          <w:szCs w:val="24"/>
          <w:lang w:eastAsia="zh-CN"/>
        </w:rPr>
        <w:t>七、</w:t>
      </w:r>
      <w:r>
        <w:rPr>
          <w:rFonts w:hint="eastAsia" w:ascii="宋体" w:hAnsi="宋体" w:eastAsia="宋体" w:cs="宋体"/>
          <w:b/>
          <w:bCs/>
          <w:sz w:val="24"/>
          <w:szCs w:val="24"/>
        </w:rPr>
        <w:t>质疑与答复</w:t>
      </w:r>
    </w:p>
    <w:p>
      <w:pPr>
        <w:pStyle w:val="10"/>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w:t>
      </w:r>
      <w:r>
        <w:rPr>
          <w:rFonts w:asciiTheme="minorEastAsia" w:hAnsiTheme="minorEastAsia" w:eastAsiaTheme="minorEastAsia" w:cstheme="minorEastAsia"/>
          <w:spacing w:val="2"/>
          <w:position w:val="17"/>
          <w:sz w:val="24"/>
          <w:szCs w:val="24"/>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pPr>
        <w:pStyle w:val="10"/>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w:t>
      </w:r>
      <w:r>
        <w:rPr>
          <w:rFonts w:asciiTheme="minorEastAsia" w:hAnsiTheme="minorEastAsia" w:eastAsiaTheme="minorEastAsia" w:cstheme="minorEastAsia"/>
          <w:spacing w:val="2"/>
          <w:position w:val="17"/>
          <w:sz w:val="24"/>
          <w:szCs w:val="24"/>
          <w:lang w:eastAsia="zh-CN"/>
        </w:rPr>
        <w:t>质疑函须按照财政</w:t>
      </w:r>
      <w:r>
        <w:rPr>
          <w:rFonts w:hint="eastAsia" w:asciiTheme="minorEastAsia" w:hAnsiTheme="minorEastAsia" w:eastAsiaTheme="minorEastAsia" w:cstheme="minorEastAsia"/>
          <w:spacing w:val="2"/>
          <w:position w:val="17"/>
          <w:sz w:val="24"/>
          <w:szCs w:val="24"/>
          <w:lang w:eastAsia="zh-CN"/>
        </w:rPr>
        <w:t>部门</w:t>
      </w:r>
      <w:r>
        <w:rPr>
          <w:rFonts w:asciiTheme="minorEastAsia" w:hAnsiTheme="minorEastAsia" w:eastAsiaTheme="minorEastAsia" w:cstheme="minorEastAsia"/>
          <w:spacing w:val="2"/>
          <w:position w:val="17"/>
          <w:sz w:val="24"/>
          <w:szCs w:val="24"/>
          <w:lang w:eastAsia="zh-CN"/>
        </w:rPr>
        <w:t>发布的质疑函范本格式编制，质疑事项应具体、明确，并有必要的事实依据和法律依据。</w:t>
      </w:r>
    </w:p>
    <w:p>
      <w:pPr>
        <w:pStyle w:val="10"/>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w:t>
      </w:r>
      <w:r>
        <w:rPr>
          <w:rFonts w:asciiTheme="minorEastAsia" w:hAnsiTheme="minorEastAsia" w:eastAsiaTheme="minorEastAsia" w:cstheme="minorEastAsia"/>
          <w:spacing w:val="2"/>
          <w:position w:val="17"/>
          <w:sz w:val="24"/>
          <w:szCs w:val="24"/>
          <w:lang w:eastAsia="zh-CN"/>
        </w:rPr>
        <w:t>接收质疑的方式：</w:t>
      </w:r>
    </w:p>
    <w:p>
      <w:pPr>
        <w:pStyle w:val="10"/>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3.1 </w:t>
      </w:r>
      <w:r>
        <w:rPr>
          <w:rFonts w:asciiTheme="minorEastAsia" w:hAnsiTheme="minorEastAsia" w:eastAsiaTheme="minorEastAsia" w:cstheme="minorEastAsia"/>
          <w:spacing w:val="2"/>
          <w:position w:val="17"/>
          <w:sz w:val="24"/>
          <w:szCs w:val="24"/>
          <w:lang w:eastAsia="zh-CN"/>
        </w:rPr>
        <w:t>在线接收，请质疑人上传质疑函原件扫描件到</w:t>
      </w:r>
      <w:r>
        <w:rPr>
          <w:rFonts w:hint="eastAsia" w:asciiTheme="minorEastAsia" w:hAnsiTheme="minorEastAsia" w:eastAsiaTheme="minorEastAsia" w:cstheme="minorEastAsia"/>
          <w:spacing w:val="2"/>
          <w:position w:val="17"/>
          <w:sz w:val="24"/>
          <w:szCs w:val="24"/>
          <w:lang w:val="en-US" w:eastAsia="zh-CN"/>
        </w:rPr>
        <w:t>淅川县</w:t>
      </w:r>
      <w:r>
        <w:rPr>
          <w:rFonts w:asciiTheme="minorEastAsia" w:hAnsiTheme="minorEastAsia" w:eastAsiaTheme="minorEastAsia" w:cstheme="minorEastAsia"/>
          <w:spacing w:val="2"/>
          <w:position w:val="17"/>
          <w:sz w:val="24"/>
          <w:szCs w:val="24"/>
          <w:lang w:eastAsia="zh-CN"/>
        </w:rPr>
        <w:t>公共资源交易系统或</w:t>
      </w:r>
      <w:r>
        <w:rPr>
          <w:rFonts w:hint="eastAsia" w:asciiTheme="minorEastAsia" w:hAnsiTheme="minorEastAsia" w:eastAsiaTheme="minorEastAsia" w:cstheme="minorEastAsia"/>
          <w:spacing w:val="2"/>
          <w:position w:val="17"/>
          <w:sz w:val="24"/>
          <w:szCs w:val="24"/>
          <w:lang w:val="en-US" w:eastAsia="zh-CN"/>
        </w:rPr>
        <w:t>淅川县</w:t>
      </w:r>
      <w:r>
        <w:rPr>
          <w:rFonts w:asciiTheme="minorEastAsia" w:hAnsiTheme="minorEastAsia" w:eastAsiaTheme="minorEastAsia" w:cstheme="minorEastAsia"/>
          <w:spacing w:val="2"/>
          <w:position w:val="17"/>
          <w:sz w:val="24"/>
          <w:szCs w:val="24"/>
          <w:lang w:eastAsia="zh-CN"/>
        </w:rPr>
        <w:t>公共资源电子营业执照应用平台并电话通知到项目负责人。</w:t>
      </w:r>
    </w:p>
    <w:p>
      <w:pPr>
        <w:pStyle w:val="10"/>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3.2 </w:t>
      </w:r>
      <w:r>
        <w:rPr>
          <w:rFonts w:asciiTheme="minorEastAsia" w:hAnsiTheme="minorEastAsia" w:eastAsiaTheme="minorEastAsia" w:cstheme="minorEastAsia"/>
          <w:spacing w:val="2"/>
          <w:position w:val="17"/>
          <w:sz w:val="24"/>
          <w:szCs w:val="24"/>
          <w:lang w:eastAsia="zh-CN"/>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lang w:eastAsia="zh-CN"/>
        </w:rPr>
        <w:t>采购代理机构</w:t>
      </w:r>
      <w:r>
        <w:rPr>
          <w:rFonts w:asciiTheme="minorEastAsia" w:hAnsiTheme="minorEastAsia" w:eastAsiaTheme="minorEastAsia" w:cstheme="minorEastAsia"/>
          <w:spacing w:val="2"/>
          <w:position w:val="17"/>
          <w:sz w:val="24"/>
          <w:szCs w:val="24"/>
          <w:lang w:eastAsia="zh-CN"/>
        </w:rPr>
        <w:t>项目负责人，联系方式及地址详见采购公告。</w:t>
      </w:r>
    </w:p>
    <w:p>
      <w:pPr>
        <w:pStyle w:val="10"/>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asciiTheme="minorEastAsia" w:hAnsiTheme="minorEastAsia" w:eastAsiaTheme="minorEastAsia" w:cstheme="minorEastAsia"/>
          <w:spacing w:val="2"/>
          <w:position w:val="17"/>
          <w:sz w:val="24"/>
          <w:szCs w:val="24"/>
          <w:lang w:eastAsia="zh-CN"/>
        </w:rPr>
        <w:t>超出法定质疑期的、重复提出的、分次提出的或内容、形式不符合《政府采购质疑和投诉办法》的，采购人和采购代理机构可以拒收，质疑供应商将依法承担不利后果。</w:t>
      </w:r>
    </w:p>
    <w:p>
      <w:pPr>
        <w:pStyle w:val="10"/>
        <w:kinsoku/>
        <w:wordWrap w:val="0"/>
        <w:spacing w:line="360" w:lineRule="auto"/>
        <w:ind w:firstLine="488" w:firstLineChars="200"/>
        <w:jc w:val="both"/>
        <w:rPr>
          <w:rFonts w:ascii="宋体" w:hAnsi="宋体" w:eastAsia="宋体" w:cs="宋体"/>
          <w:sz w:val="24"/>
          <w:szCs w:val="24"/>
        </w:rPr>
      </w:pPr>
      <w:r>
        <w:rPr>
          <w:rFonts w:hint="eastAsia" w:asciiTheme="minorEastAsia" w:hAnsiTheme="minorEastAsia" w:eastAsiaTheme="minorEastAsia" w:cstheme="minorEastAsia"/>
          <w:spacing w:val="2"/>
          <w:position w:val="17"/>
          <w:sz w:val="24"/>
          <w:szCs w:val="24"/>
          <w:lang w:eastAsia="zh-CN"/>
        </w:rPr>
        <w:t>5.</w:t>
      </w:r>
      <w:r>
        <w:rPr>
          <w:rFonts w:asciiTheme="minorEastAsia" w:hAnsiTheme="minorEastAsia" w:eastAsiaTheme="minorEastAsia" w:cstheme="minorEastAsia"/>
          <w:spacing w:val="2"/>
          <w:position w:val="17"/>
          <w:sz w:val="24"/>
          <w:szCs w:val="24"/>
          <w:lang w:eastAsia="zh-CN"/>
        </w:rPr>
        <w:t>采购人和采购代理机构在收到质疑函后7个工作日内作出答复，并以书面形式通知质疑供应商和其他有关供应商。</w:t>
      </w:r>
    </w:p>
    <w:p>
      <w:pPr>
        <w:kinsoku/>
        <w:wordWrap w:val="0"/>
        <w:spacing w:line="360" w:lineRule="auto"/>
        <w:jc w:val="both"/>
        <w:rPr>
          <w:rFonts w:ascii="宋体" w:hAnsi="宋体" w:eastAsia="宋体" w:cs="宋体"/>
          <w:b/>
          <w:bCs/>
          <w:sz w:val="24"/>
          <w:szCs w:val="24"/>
          <w:lang w:eastAsia="zh-CN"/>
        </w:rPr>
      </w:pPr>
    </w:p>
    <w:p>
      <w:pPr>
        <w:kinsoku/>
        <w:wordWrap w:val="0"/>
        <w:spacing w:line="360" w:lineRule="auto"/>
        <w:jc w:val="both"/>
        <w:rPr>
          <w:rFonts w:ascii="宋体" w:hAnsi="宋体" w:eastAsia="宋体" w:cs="宋体"/>
          <w:b/>
          <w:bCs/>
          <w:sz w:val="24"/>
          <w:szCs w:val="24"/>
        </w:rPr>
      </w:pPr>
      <w:r>
        <w:rPr>
          <w:rFonts w:hint="eastAsia" w:ascii="宋体" w:hAnsi="宋体" w:eastAsia="宋体" w:cs="宋体"/>
          <w:b/>
          <w:bCs/>
          <w:sz w:val="24"/>
          <w:szCs w:val="24"/>
          <w:lang w:eastAsia="zh-CN"/>
        </w:rPr>
        <w:t>八、</w:t>
      </w:r>
      <w:r>
        <w:rPr>
          <w:rFonts w:hint="eastAsia" w:ascii="宋体" w:hAnsi="宋体" w:eastAsia="宋体" w:cs="宋体"/>
          <w:b/>
          <w:bCs/>
          <w:sz w:val="24"/>
          <w:szCs w:val="24"/>
        </w:rPr>
        <w:t>注意事项</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如对竞争性磋商文件有疑问，应于响应文件递交截止时间前1工作日向</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提出。</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供应商必须由法定代表人或授权代表参加磋商，随时接受磋商小组的询问、质疑，并按照磋商小组的要求答复。</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供应商自行承担参加竞争性磋商的全部费用。</w:t>
      </w:r>
    </w:p>
    <w:p>
      <w:pPr>
        <w:kinsoku/>
        <w:wordWrap w:val="0"/>
        <w:spacing w:line="360" w:lineRule="auto"/>
        <w:ind w:firstLine="480" w:firstLineChars="200"/>
        <w:jc w:val="both"/>
        <w:rPr>
          <w:rFonts w:asciiTheme="minorEastAsia" w:hAnsiTheme="minorEastAsia" w:eastAsiaTheme="minorEastAsia" w:cstheme="minorEastAsia"/>
          <w:spacing w:val="2"/>
          <w:position w:val="17"/>
          <w:sz w:val="24"/>
          <w:szCs w:val="24"/>
          <w:lang w:eastAsia="zh-CN"/>
        </w:rPr>
      </w:pPr>
      <w:r>
        <w:rPr>
          <w:rFonts w:hint="eastAsia" w:ascii="宋体" w:hAnsi="宋体" w:eastAsia="宋体" w:cs="宋体"/>
          <w:sz w:val="24"/>
          <w:szCs w:val="24"/>
          <w:lang w:eastAsia="zh-CN"/>
        </w:rPr>
        <w:t>4.</w:t>
      </w:r>
      <w:r>
        <w:rPr>
          <w:rFonts w:hint="eastAsia" w:ascii="宋体" w:hAnsi="宋体" w:eastAsia="宋体" w:cs="宋体"/>
          <w:sz w:val="24"/>
          <w:szCs w:val="24"/>
        </w:rPr>
        <w:t>本竞争性磋商文件最终解释权归</w:t>
      </w:r>
      <w:r>
        <w:rPr>
          <w:rFonts w:hint="eastAsia" w:ascii="宋体" w:hAnsi="宋体" w:eastAsia="宋体" w:cs="宋体"/>
          <w:sz w:val="24"/>
          <w:szCs w:val="24"/>
          <w:lang w:eastAsia="zh-CN"/>
        </w:rPr>
        <w:t>采购代理机构</w:t>
      </w:r>
      <w:r>
        <w:rPr>
          <w:rFonts w:hint="eastAsia" w:ascii="宋体" w:hAnsi="宋体" w:eastAsia="宋体" w:cs="宋体"/>
          <w:sz w:val="24"/>
          <w:szCs w:val="24"/>
        </w:rPr>
        <w:t>。</w:t>
      </w: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p>
    <w:p>
      <w:pPr>
        <w:kinsoku/>
        <w:wordWrap w:val="0"/>
        <w:spacing w:line="360" w:lineRule="auto"/>
        <w:jc w:val="center"/>
        <w:rPr>
          <w:rFonts w:asciiTheme="minorEastAsia" w:hAnsiTheme="minorEastAsia" w:eastAsiaTheme="minorEastAsia" w:cstheme="minorEastAsia"/>
          <w:b/>
          <w:bCs/>
          <w:spacing w:val="2"/>
          <w:position w:val="17"/>
          <w:sz w:val="32"/>
          <w:szCs w:val="32"/>
          <w:lang w:eastAsia="zh-CN"/>
        </w:rPr>
      </w:pPr>
    </w:p>
    <w:p>
      <w:pPr>
        <w:kinsoku/>
        <w:wordWrap w:val="0"/>
        <w:spacing w:line="360" w:lineRule="auto"/>
        <w:jc w:val="center"/>
        <w:rPr>
          <w:rFonts w:asciiTheme="minorEastAsia" w:hAnsiTheme="minorEastAsia" w:eastAsiaTheme="minorEastAsia" w:cstheme="minorEastAsia"/>
          <w:spacing w:val="2"/>
          <w:position w:val="17"/>
          <w:sz w:val="32"/>
          <w:szCs w:val="32"/>
          <w:lang w:eastAsia="zh-CN"/>
        </w:rPr>
      </w:pPr>
      <w:r>
        <w:rPr>
          <w:rFonts w:hint="eastAsia" w:asciiTheme="minorEastAsia" w:hAnsiTheme="minorEastAsia" w:eastAsiaTheme="minorEastAsia" w:cstheme="minorEastAsia"/>
          <w:b/>
          <w:bCs/>
          <w:spacing w:val="2"/>
          <w:position w:val="17"/>
          <w:sz w:val="32"/>
          <w:szCs w:val="32"/>
          <w:lang w:eastAsia="zh-CN"/>
        </w:rPr>
        <w:t>河南省政府采购合同融资政策告知函</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各供应商：</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欢迎贵公司参与河南省政府采购活动!</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贷款渠道和提供贷款的金融机构，可在河南省政府采购网“河南省政府采购合同融资平台”查询联系。</w:t>
      </w:r>
    </w:p>
    <w:p>
      <w:pPr>
        <w:kinsoku/>
        <w:wordWrap w:val="0"/>
        <w:spacing w:line="360" w:lineRule="auto"/>
        <w:ind w:firstLine="430" w:firstLineChars="200"/>
        <w:jc w:val="both"/>
        <w:rPr>
          <w:rFonts w:ascii="宋体" w:hAnsi="宋体" w:eastAsia="宋体" w:cs="宋体"/>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pPr>
        <w:kinsoku/>
        <w:wordWrap w:val="0"/>
        <w:spacing w:line="360" w:lineRule="auto"/>
        <w:ind w:firstLine="480" w:firstLineChars="200"/>
        <w:jc w:val="both"/>
        <w:rPr>
          <w:rFonts w:ascii="宋体" w:hAnsi="宋体" w:eastAsia="宋体" w:cs="宋体"/>
          <w:sz w:val="24"/>
          <w:szCs w:val="24"/>
        </w:rPr>
      </w:pPr>
    </w:p>
    <w:p>
      <w:pPr>
        <w:kinsoku/>
        <w:wordWrap w:val="0"/>
        <w:spacing w:line="360" w:lineRule="auto"/>
        <w:ind w:firstLine="480" w:firstLineChars="200"/>
        <w:jc w:val="both"/>
        <w:rPr>
          <w:rFonts w:ascii="宋体" w:hAnsi="宋体" w:eastAsia="宋体" w:cs="宋体"/>
          <w:sz w:val="24"/>
          <w:szCs w:val="24"/>
        </w:rPr>
      </w:pPr>
    </w:p>
    <w:p>
      <w:pPr>
        <w:kinsoku/>
        <w:wordWrap w:val="0"/>
        <w:spacing w:line="360" w:lineRule="auto"/>
        <w:jc w:val="both"/>
        <w:rPr>
          <w:rFonts w:ascii="宋体" w:hAnsi="宋体" w:eastAsia="宋体" w:cs="宋体"/>
          <w:spacing w:val="-1"/>
          <w:sz w:val="36"/>
          <w:szCs w:val="36"/>
        </w:rPr>
      </w:pPr>
    </w:p>
    <w:p>
      <w:pPr>
        <w:pStyle w:val="2"/>
        <w:rPr>
          <w:rFonts w:ascii="宋体" w:hAnsi="宋体" w:eastAsia="宋体" w:cs="宋体"/>
          <w:spacing w:val="-1"/>
          <w:sz w:val="36"/>
          <w:szCs w:val="36"/>
        </w:rPr>
      </w:pPr>
    </w:p>
    <w:p>
      <w:pPr>
        <w:pStyle w:val="5"/>
        <w:rPr>
          <w:rFonts w:ascii="宋体" w:hAnsi="宋体" w:eastAsia="宋体" w:cs="宋体"/>
          <w:spacing w:val="-1"/>
          <w:sz w:val="36"/>
          <w:szCs w:val="36"/>
        </w:rPr>
      </w:pPr>
    </w:p>
    <w:p>
      <w:pPr>
        <w:rPr>
          <w:rFonts w:ascii="宋体" w:hAnsi="宋体" w:eastAsia="宋体" w:cs="宋体"/>
          <w:spacing w:val="-1"/>
          <w:sz w:val="36"/>
          <w:szCs w:val="36"/>
        </w:rPr>
      </w:pPr>
    </w:p>
    <w:p>
      <w:pPr>
        <w:pStyle w:val="2"/>
      </w:pPr>
    </w:p>
    <w:p>
      <w:pPr>
        <w:kinsoku/>
        <w:wordWrap w:val="0"/>
        <w:spacing w:line="360" w:lineRule="auto"/>
        <w:jc w:val="both"/>
        <w:rPr>
          <w:rFonts w:ascii="宋体" w:hAnsi="宋体" w:eastAsia="宋体" w:cs="宋体"/>
          <w:spacing w:val="-1"/>
          <w:sz w:val="36"/>
          <w:szCs w:val="36"/>
        </w:rPr>
      </w:pPr>
    </w:p>
    <w:p>
      <w:pPr>
        <w:kinsoku/>
        <w:wordWrap w:val="0"/>
        <w:spacing w:line="360" w:lineRule="auto"/>
        <w:jc w:val="both"/>
        <w:rPr>
          <w:rFonts w:ascii="宋体" w:hAnsi="宋体" w:eastAsia="宋体" w:cs="宋体"/>
          <w:spacing w:val="-1"/>
          <w:sz w:val="36"/>
          <w:szCs w:val="36"/>
        </w:rPr>
      </w:pPr>
    </w:p>
    <w:p>
      <w:pPr>
        <w:pStyle w:val="2"/>
        <w:rPr>
          <w:rFonts w:ascii="宋体" w:hAnsi="宋体" w:eastAsia="宋体" w:cs="宋体"/>
          <w:spacing w:val="-1"/>
          <w:sz w:val="36"/>
          <w:szCs w:val="36"/>
        </w:rPr>
      </w:pPr>
    </w:p>
    <w:p>
      <w:pPr>
        <w:pStyle w:val="5"/>
        <w:rPr>
          <w:rFonts w:ascii="宋体" w:hAnsi="宋体" w:eastAsia="宋体" w:cs="宋体"/>
          <w:spacing w:val="-1"/>
          <w:sz w:val="36"/>
          <w:szCs w:val="36"/>
        </w:rPr>
      </w:pPr>
    </w:p>
    <w:p/>
    <w:p>
      <w:pPr>
        <w:kinsoku/>
        <w:wordWrap w:val="0"/>
        <w:spacing w:line="360" w:lineRule="auto"/>
        <w:jc w:val="both"/>
        <w:rPr>
          <w:rFonts w:ascii="宋体" w:hAnsi="宋体" w:eastAsia="宋体" w:cs="宋体"/>
          <w:spacing w:val="-1"/>
          <w:sz w:val="36"/>
          <w:szCs w:val="36"/>
        </w:rPr>
      </w:pPr>
    </w:p>
    <w:p>
      <w:pPr>
        <w:kinsoku/>
        <w:wordWrap w:val="0"/>
        <w:spacing w:line="360" w:lineRule="auto"/>
        <w:jc w:val="both"/>
        <w:rPr>
          <w:rFonts w:ascii="宋体" w:hAnsi="宋体" w:eastAsia="宋体" w:cs="宋体"/>
          <w:spacing w:val="-1"/>
          <w:sz w:val="36"/>
          <w:szCs w:val="36"/>
        </w:rPr>
      </w:pPr>
    </w:p>
    <w:p>
      <w:pPr>
        <w:kinsoku/>
        <w:wordWrap w:val="0"/>
        <w:spacing w:line="360" w:lineRule="auto"/>
        <w:jc w:val="both"/>
        <w:rPr>
          <w:rFonts w:ascii="宋体" w:hAnsi="宋体" w:eastAsia="宋体" w:cs="宋体"/>
          <w:spacing w:val="-1"/>
          <w:sz w:val="36"/>
          <w:szCs w:val="36"/>
        </w:rPr>
      </w:pPr>
    </w:p>
    <w:p>
      <w:pPr>
        <w:kinsoku/>
        <w:wordWrap w:val="0"/>
        <w:spacing w:line="360" w:lineRule="auto"/>
        <w:jc w:val="center"/>
      </w:pPr>
      <w:r>
        <w:rPr>
          <w:rFonts w:hint="eastAsia" w:ascii="宋体" w:hAnsi="宋体" w:eastAsia="宋体" w:cs="宋体"/>
          <w:spacing w:val="-1"/>
          <w:sz w:val="36"/>
          <w:szCs w:val="36"/>
        </w:rPr>
        <w:t>第五章合同草案条款</w:t>
      </w:r>
    </w:p>
    <w:p>
      <w:pPr>
        <w:pStyle w:val="3"/>
        <w:kinsoku/>
        <w:wordWrap w:val="0"/>
        <w:spacing w:line="360" w:lineRule="auto"/>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说明：</w:t>
      </w:r>
    </w:p>
    <w:p>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1.合同类型按照</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2</w:t>
      </w:r>
      <w:r>
        <w:rPr>
          <w:rFonts w:hint="eastAsia" w:asciiTheme="minorEastAsia" w:hAnsiTheme="minorEastAsia" w:eastAsiaTheme="minorEastAsia" w:cstheme="minorEastAsia"/>
          <w:spacing w:val="-13"/>
          <w:sz w:val="24"/>
          <w:szCs w:val="24"/>
        </w:rPr>
        <w:t>.合同条款中应规定，乙方完全遵守《中华人民共和国妇女权益保障法》中关于劳动和社会保障权益的有关要求。</w:t>
      </w:r>
    </w:p>
    <w:p>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3</w:t>
      </w:r>
      <w:r>
        <w:rPr>
          <w:rFonts w:hint="eastAsia" w:asciiTheme="minorEastAsia" w:hAnsiTheme="minorEastAsia" w:eastAsiaTheme="minorEastAsia" w:cstheme="minorEastAsia"/>
          <w:spacing w:val="-13"/>
          <w:sz w:val="24"/>
          <w:szCs w:val="24"/>
        </w:rPr>
        <w:t>.对于通过预留采购项目、预留专门采购包等措施签订的采购合同，应当明确标注本合同为中小企业预留合同。</w:t>
      </w:r>
    </w:p>
    <w:p>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4</w:t>
      </w:r>
      <w:r>
        <w:rPr>
          <w:rFonts w:hint="eastAsia" w:asciiTheme="minorEastAsia" w:hAnsiTheme="minorEastAsia" w:eastAsiaTheme="minorEastAsia" w:cstheme="minorEastAsia"/>
          <w:spacing w:val="-13"/>
          <w:sz w:val="24"/>
          <w:szCs w:val="24"/>
        </w:rPr>
        <w:t>.政府采购合同（草案）4.政府采购合同设定</w:t>
      </w:r>
      <w:r>
        <w:rPr>
          <w:rFonts w:hint="eastAsia" w:asciiTheme="minorEastAsia" w:hAnsiTheme="minorEastAsia" w:eastAsiaTheme="minorEastAsia" w:cstheme="minorEastAsia"/>
          <w:spacing w:val="-13"/>
          <w:sz w:val="24"/>
          <w:szCs w:val="24"/>
          <w:lang w:eastAsia="zh-CN"/>
        </w:rPr>
        <w:t>预</w:t>
      </w:r>
      <w:r>
        <w:rPr>
          <w:rFonts w:hint="eastAsia" w:asciiTheme="minorEastAsia" w:hAnsiTheme="minorEastAsia" w:eastAsiaTheme="minorEastAsia" w:cstheme="minorEastAsia"/>
          <w:spacing w:val="-13"/>
          <w:sz w:val="24"/>
          <w:szCs w:val="24"/>
        </w:rPr>
        <w:t>付款支付方式的，预付款支付比例原则上不低于合同金额的50%；对于中小企业，预付款支付比例原则上不低于合同金额的70%。</w:t>
      </w:r>
    </w:p>
    <w:p>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5</w:t>
      </w:r>
      <w:r>
        <w:rPr>
          <w:rFonts w:hint="eastAsia" w:asciiTheme="minorEastAsia" w:hAnsiTheme="minorEastAsia" w:eastAsiaTheme="minorEastAsia" w:cstheme="minorEastAsia"/>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spacing w:val="-13"/>
          <w:sz w:val="24"/>
          <w:szCs w:val="24"/>
          <w:lang w:eastAsia="zh-CN"/>
        </w:rPr>
        <w:t>1</w:t>
      </w:r>
      <w:r>
        <w:rPr>
          <w:rFonts w:hint="eastAsia" w:asciiTheme="minorEastAsia" w:hAnsiTheme="minorEastAsia" w:eastAsiaTheme="minorEastAsia" w:cstheme="minorEastAsia"/>
          <w:spacing w:val="-13"/>
          <w:sz w:val="24"/>
          <w:szCs w:val="24"/>
        </w:rPr>
        <w:t>日内将资金支付到合同约定的供应商账户，不得以机构变动、人员更替、政策调整等为由延迟付款，不得将采购文件和合同中未规定的义务作为向供应商付款的条件。</w:t>
      </w:r>
    </w:p>
    <w:p>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6</w:t>
      </w:r>
      <w:r>
        <w:rPr>
          <w:rFonts w:hint="eastAsia" w:asciiTheme="minorEastAsia" w:hAnsiTheme="minorEastAsia" w:eastAsiaTheme="minorEastAsia" w:cstheme="minorEastAsia"/>
          <w:spacing w:val="-13"/>
          <w:sz w:val="24"/>
          <w:szCs w:val="24"/>
        </w:rPr>
        <w:t>.采购文件对商品包装和快递包装</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出具体要求的，政府采购合同应当载明对政府采购供应商</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供产品及相关快递服务的具体包装要求和履约验收相关条款，必要时要求中标、成交供应商在履约验收环节出具检测报告。</w:t>
      </w:r>
    </w:p>
    <w:p>
      <w:pPr>
        <w:pStyle w:val="3"/>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7</w:t>
      </w:r>
      <w:r>
        <w:rPr>
          <w:rFonts w:hint="eastAsia" w:asciiTheme="minorEastAsia" w:hAnsiTheme="minorEastAsia" w:eastAsiaTheme="minorEastAsia" w:cstheme="minorEastAsia"/>
          <w:spacing w:val="-13"/>
          <w:sz w:val="24"/>
          <w:szCs w:val="24"/>
        </w:rPr>
        <w:t>.当采购项目涉及数据中心相关设备、运维服务时，采购需求应当符合《绿色数据中</w:t>
      </w:r>
    </w:p>
    <w:p>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心政府采购需求标准（试行）》（财库〔2023〕7号）的有关要求，并在合同中明确对相关指标的验收方式和违约责任。</w:t>
      </w:r>
    </w:p>
    <w:p>
      <w:pPr>
        <w:kinsoku/>
        <w:wordWrap w:val="0"/>
        <w:spacing w:line="220" w:lineRule="auto"/>
        <w:jc w:val="both"/>
        <w:rPr>
          <w:sz w:val="24"/>
          <w:szCs w:val="24"/>
        </w:rPr>
        <w:sectPr>
          <w:headerReference r:id="rId5" w:type="default"/>
          <w:footerReference r:id="rId6" w:type="default"/>
          <w:pgSz w:w="11907" w:h="16840"/>
          <w:pgMar w:top="1440" w:right="1800" w:bottom="1440" w:left="1800" w:header="878" w:footer="886" w:gutter="0"/>
          <w:pgNumType w:start="1"/>
          <w:cols w:space="720" w:num="1"/>
        </w:sectPr>
      </w:pPr>
    </w:p>
    <w:p>
      <w:pPr>
        <w:pStyle w:val="3"/>
        <w:kinsoku/>
        <w:wordWrap w:val="0"/>
        <w:spacing w:before="353" w:line="360" w:lineRule="auto"/>
        <w:ind w:left="2654"/>
        <w:jc w:val="both"/>
        <w:rPr>
          <w:rFonts w:ascii="Arial"/>
          <w:sz w:val="21"/>
        </w:rPr>
      </w:pPr>
      <w:r>
        <w:rPr>
          <w:spacing w:val="-5"/>
          <w:sz w:val="36"/>
          <w:szCs w:val="36"/>
        </w:rPr>
        <w:t>第六章响应文件格式</w:t>
      </w:r>
    </w:p>
    <w:p>
      <w:pPr>
        <w:pStyle w:val="3"/>
        <w:kinsoku/>
        <w:wordWrap w:val="0"/>
        <w:spacing w:line="360" w:lineRule="auto"/>
        <w:jc w:val="both"/>
        <w:rPr>
          <w:sz w:val="24"/>
          <w:szCs w:val="24"/>
        </w:rPr>
      </w:pPr>
      <w:r>
        <w:rPr>
          <w:spacing w:val="-1"/>
          <w:sz w:val="24"/>
          <w:szCs w:val="24"/>
        </w:rPr>
        <w:t>供应商编制文件须知</w:t>
      </w:r>
    </w:p>
    <w:p>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eastAsia="zh-CN"/>
        </w:rPr>
        <w:t>提</w:t>
      </w:r>
      <w:r>
        <w:rPr>
          <w:rFonts w:hint="eastAsia" w:asciiTheme="minorEastAsia" w:hAnsiTheme="minorEastAsia" w:eastAsiaTheme="minorEastAsia" w:cstheme="minorEastAsia"/>
          <w:spacing w:val="-3"/>
          <w:sz w:val="24"/>
          <w:szCs w:val="24"/>
        </w:rPr>
        <w:t>交。</w:t>
      </w:r>
    </w:p>
    <w:p>
      <w:pPr>
        <w:pStyle w:val="3"/>
        <w:kinsoku/>
        <w:wordWrap w:val="0"/>
        <w:spacing w:line="360" w:lineRule="auto"/>
        <w:jc w:val="both"/>
        <w:rPr>
          <w:sz w:val="24"/>
          <w:szCs w:val="24"/>
        </w:rPr>
      </w:pPr>
      <w:r>
        <w:rPr>
          <w:rFonts w:hint="eastAsia" w:ascii="Arial" w:hAnsi="Arial" w:cs="Arial"/>
          <w:spacing w:val="-1"/>
          <w:sz w:val="24"/>
          <w:szCs w:val="24"/>
          <w:lang w:eastAsia="zh-CN"/>
        </w:rPr>
        <w:t>2.</w:t>
      </w:r>
      <w:r>
        <w:rPr>
          <w:spacing w:val="-1"/>
          <w:sz w:val="24"/>
          <w:szCs w:val="24"/>
        </w:rPr>
        <w:t>全部声明和问题的回答及所附材料必须是真实的、准确的和完整</w:t>
      </w:r>
      <w:r>
        <w:rPr>
          <w:spacing w:val="-2"/>
          <w:sz w:val="24"/>
          <w:szCs w:val="24"/>
        </w:rPr>
        <w:t>的。</w:t>
      </w:r>
    </w:p>
    <w:p>
      <w:pPr>
        <w:kinsoku/>
        <w:wordWrap w:val="0"/>
        <w:spacing w:line="219" w:lineRule="auto"/>
        <w:jc w:val="both"/>
        <w:rPr>
          <w:sz w:val="24"/>
          <w:szCs w:val="24"/>
        </w:rPr>
        <w:sectPr>
          <w:headerReference r:id="rId7" w:type="default"/>
          <w:footerReference r:id="rId8" w:type="default"/>
          <w:pgSz w:w="11907" w:h="16840"/>
          <w:pgMar w:top="1440" w:right="1800" w:bottom="1440" w:left="1800" w:header="878" w:footer="886" w:gutter="0"/>
          <w:cols w:space="720" w:num="1"/>
        </w:sect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lang w:eastAsia="zh-CN"/>
        </w:rPr>
        <w:t>一、</w:t>
      </w:r>
      <w:r>
        <w:rPr>
          <w:rFonts w:hint="eastAsia" w:asciiTheme="minorEastAsia" w:hAnsiTheme="minorEastAsia" w:eastAsiaTheme="minorEastAsia" w:cstheme="minorEastAsia"/>
          <w:b/>
          <w:bCs/>
          <w:spacing w:val="-3"/>
          <w:sz w:val="24"/>
          <w:szCs w:val="24"/>
        </w:rPr>
        <w:t>响应函格式</w:t>
      </w: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center"/>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rPr>
        <w:t>响应函</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致：</w:t>
      </w:r>
      <w:r>
        <w:rPr>
          <w:rFonts w:hint="eastAsia" w:ascii="宋体" w:hAnsi="宋体" w:eastAsia="宋体" w:cs="宋体"/>
          <w:sz w:val="24"/>
          <w:szCs w:val="24"/>
          <w:lang w:eastAsia="zh-CN"/>
        </w:rPr>
        <w:t>采购人或采购代理机构</w:t>
      </w:r>
      <w:r>
        <w:rPr>
          <w:rFonts w:hint="eastAsia" w:asciiTheme="minorEastAsia" w:hAnsiTheme="minorEastAsia" w:eastAsiaTheme="minorEastAsia" w:cstheme="minorEastAsia"/>
          <w:spacing w:val="-3"/>
          <w:sz w:val="24"/>
          <w:szCs w:val="24"/>
        </w:rPr>
        <w:t>：</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根据贵方项目编号为____________的</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要求，签字代表_________（全名、职务）经正式授权并代表_________（供应商名称、地址）提交包含响应文件组成第</w:t>
      </w:r>
      <w:r>
        <w:rPr>
          <w:rFonts w:hint="eastAsia" w:asciiTheme="minorEastAsia" w:hAnsiTheme="minorEastAsia" w:eastAsiaTheme="minorEastAsia" w:cstheme="minorEastAsia"/>
          <w:spacing w:val="-3"/>
          <w:sz w:val="24"/>
          <w:szCs w:val="24"/>
          <w:lang w:eastAsia="zh-CN"/>
        </w:rPr>
        <w:t>1</w:t>
      </w:r>
      <w:r>
        <w:rPr>
          <w:rFonts w:hint="eastAsia" w:asciiTheme="minorEastAsia" w:hAnsiTheme="minorEastAsia" w:eastAsiaTheme="minorEastAsia" w:cstheme="minorEastAsia"/>
          <w:spacing w:val="-3"/>
          <w:sz w:val="24"/>
          <w:szCs w:val="24"/>
        </w:rPr>
        <w:t>项至第项的响应文件电子版本一份。</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据此函，签字代表宣布同意并郑重承诺如下：</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1、我方递交的响应文件中所有的资料均为真实的、准确的，无任何虚假内容。若存在有虚假内容，我方愿意承担法律责任。</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2、我方已详细审查全部</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，包括修改文件（如有的话）以及全部参考资料和有关附件。我们完全理解并同意放弃对这方面有不明白及误解的权利。</w:t>
      </w: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3、若成交，我方将按照</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的具体规定与采购人签订供货安装调试</w:t>
      </w:r>
      <w:r>
        <w:rPr>
          <w:rFonts w:hint="eastAsia" w:asciiTheme="minorEastAsia" w:hAnsiTheme="minorEastAsia" w:eastAsiaTheme="minorEastAsia" w:cstheme="minorEastAsia"/>
          <w:spacing w:val="-3"/>
          <w:sz w:val="24"/>
          <w:szCs w:val="24"/>
          <w:lang w:eastAsia="zh-CN"/>
        </w:rPr>
        <w:t>或服务</w:t>
      </w:r>
      <w:r>
        <w:rPr>
          <w:rFonts w:hint="eastAsia" w:asciiTheme="minorEastAsia" w:hAnsiTheme="minorEastAsia" w:eastAsiaTheme="minorEastAsia" w:cstheme="minorEastAsia"/>
          <w:spacing w:val="-3"/>
          <w:sz w:val="24"/>
          <w:szCs w:val="24"/>
        </w:rPr>
        <w:t>合同，并且严格按合同履行义务，按时交付使用，保证设备</w:t>
      </w:r>
      <w:r>
        <w:rPr>
          <w:rFonts w:hint="eastAsia" w:asciiTheme="minorEastAsia" w:hAnsiTheme="minorEastAsia" w:eastAsiaTheme="minorEastAsia" w:cstheme="minorEastAsia"/>
          <w:spacing w:val="-3"/>
          <w:sz w:val="24"/>
          <w:szCs w:val="24"/>
          <w:lang w:eastAsia="zh-CN"/>
        </w:rPr>
        <w:t>或服务</w:t>
      </w:r>
      <w:r>
        <w:rPr>
          <w:rFonts w:hint="eastAsia" w:asciiTheme="minorEastAsia" w:hAnsiTheme="minorEastAsia" w:eastAsiaTheme="minorEastAsia" w:cstheme="minorEastAsia"/>
          <w:spacing w:val="-3"/>
          <w:sz w:val="24"/>
          <w:szCs w:val="24"/>
        </w:rPr>
        <w:t>质量符合</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要求，并提供优质服务。如果在合同执行过程中，发现问题，我方一定尽快对其进行调整，并承担相应的经济责任。</w:t>
      </w: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4、我方保证，严格遵守</w:t>
      </w:r>
      <w:r>
        <w:rPr>
          <w:rFonts w:hint="eastAsia" w:asciiTheme="minorEastAsia" w:hAnsiTheme="minorEastAsia" w:eastAsiaTheme="minorEastAsia" w:cstheme="minorEastAsia"/>
          <w:sz w:val="24"/>
          <w:szCs w:val="24"/>
          <w:lang w:eastAsia="zh-CN"/>
        </w:rPr>
        <w:t>《中华人民共和国政府采购法》《中华人民共和国政府采购法实施条例》</w:t>
      </w:r>
      <w:r>
        <w:rPr>
          <w:rFonts w:hint="eastAsia"/>
          <w:sz w:val="24"/>
          <w:szCs w:val="24"/>
        </w:rPr>
        <w:t>《政府采购竞争性磋商采购方式管理暂行办法》</w:t>
      </w:r>
      <w:r>
        <w:rPr>
          <w:rFonts w:hint="eastAsia" w:asciiTheme="minorEastAsia" w:hAnsiTheme="minorEastAsia" w:eastAsiaTheme="minorEastAsia" w:cstheme="minorEastAsia"/>
          <w:spacing w:val="-3"/>
          <w:sz w:val="24"/>
          <w:szCs w:val="24"/>
        </w:rPr>
        <w:t>及其他相关法律法规的规定，若有违反上述法律法规的行为，愿意接受处罚并承担相应的法律责任。</w:t>
      </w:r>
    </w:p>
    <w:p>
      <w:pPr>
        <w:pStyle w:val="3"/>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5、本承诺将成为合同不可分割的一部分，与合同具有同等的法律效力。</w:t>
      </w:r>
    </w:p>
    <w:p>
      <w:pPr>
        <w:kinsoku/>
        <w:wordWrap w:val="0"/>
        <w:spacing w:line="360" w:lineRule="auto"/>
        <w:ind w:firstLine="567"/>
        <w:jc w:val="both"/>
        <w:rPr>
          <w:rFonts w:asciiTheme="minorEastAsia" w:hAnsiTheme="minorEastAsia" w:eastAsiaTheme="minorEastAsia" w:cstheme="minorEastAsia"/>
          <w:spacing w:val="-3"/>
          <w:sz w:val="24"/>
          <w:szCs w:val="24"/>
        </w:rPr>
      </w:pPr>
    </w:p>
    <w:p>
      <w:pPr>
        <w:kinsoku/>
        <w:wordWrap w:val="0"/>
        <w:spacing w:line="360" w:lineRule="auto"/>
        <w:ind w:firstLine="1170" w:firstLineChars="5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供应商名称（公章）：</w:t>
      </w:r>
    </w:p>
    <w:p>
      <w:pPr>
        <w:kinsoku/>
        <w:wordWrap w:val="0"/>
        <w:spacing w:line="360" w:lineRule="auto"/>
        <w:ind w:firstLine="1170" w:firstLineChars="5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法定代表人或负责人或被授权人签名（或盖章）：</w:t>
      </w:r>
    </w:p>
    <w:p>
      <w:pPr>
        <w:widowControl w:val="0"/>
        <w:kinsoku/>
        <w:wordWrap w:val="0"/>
        <w:spacing w:line="360" w:lineRule="auto"/>
        <w:ind w:firstLine="1200" w:firstLineChars="5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二、法定代表人或负责人授权委托书格式：</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center"/>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rPr>
        <w:t>法定代表人或负责人授权委托书</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致</w:t>
      </w:r>
      <w:r>
        <w:rPr>
          <w:rFonts w:hint="eastAsia" w:ascii="宋体" w:hAnsi="宋体" w:eastAsia="宋体" w:cs="宋体"/>
          <w:sz w:val="24"/>
          <w:szCs w:val="24"/>
          <w:lang w:eastAsia="zh-CN"/>
        </w:rPr>
        <w:t>采购人或采购代理机构</w:t>
      </w:r>
      <w:r>
        <w:rPr>
          <w:rFonts w:hint="eastAsia" w:asciiTheme="minorEastAsia" w:hAnsiTheme="minorEastAsia" w:eastAsiaTheme="minorEastAsia" w:cstheme="minorEastAsia"/>
          <w:spacing w:val="-3"/>
          <w:sz w:val="24"/>
          <w:szCs w:val="24"/>
        </w:rPr>
        <w:t>：</w:t>
      </w:r>
    </w:p>
    <w:p>
      <w:pPr>
        <w:kinsoku/>
        <w:wordWrap w:val="0"/>
        <w:spacing w:line="360" w:lineRule="auto"/>
        <w:ind w:firstLine="702" w:firstLineChars="3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spacing w:val="-3"/>
          <w:sz w:val="24"/>
          <w:szCs w:val="24"/>
          <w:lang w:eastAsia="zh-CN"/>
        </w:rPr>
        <w:t>竞争性磋商</w:t>
      </w:r>
      <w:r>
        <w:rPr>
          <w:rFonts w:hint="eastAsia" w:asciiTheme="minorEastAsia" w:hAnsiTheme="minorEastAsia" w:eastAsiaTheme="minorEastAsia" w:cstheme="minorEastAsia"/>
          <w:spacing w:val="-3"/>
          <w:sz w:val="24"/>
          <w:szCs w:val="24"/>
        </w:rPr>
        <w:t>活动，并代表我方全权办理针对上述项目的具体事务和签署相关文件。我方对被授权人的签名事项负全部责任。</w:t>
      </w:r>
    </w:p>
    <w:p>
      <w:pPr>
        <w:kinsoku/>
        <w:wordWrap w:val="0"/>
        <w:spacing w:line="360" w:lineRule="auto"/>
        <w:ind w:firstLine="48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在撤销授权的书面通知以前，本授权书一直有效。被授权人在授权书有效期内签署的所有文件不因授权的撤销而失效。</w:t>
      </w:r>
    </w:p>
    <w:p>
      <w:pPr>
        <w:kinsoku/>
        <w:wordWrap w:val="0"/>
        <w:spacing w:line="360" w:lineRule="auto"/>
        <w:ind w:firstLine="48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被授权人无转委托权，特此委托。</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法定代表人或负责人签名（或盖章）：</w:t>
      </w: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被授权人签名（或盖章）：</w:t>
      </w: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职务：</w:t>
      </w:r>
    </w:p>
    <w:p>
      <w:pPr>
        <w:kinsoku/>
        <w:wordWrap w:val="0"/>
        <w:spacing w:line="360" w:lineRule="auto"/>
        <w:ind w:firstLine="2634" w:firstLineChars="1126"/>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联系电话：</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法定代表人或负责人、被授权人身份证复印件</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ind w:firstLine="6786" w:firstLineChars="2900"/>
        <w:jc w:val="both"/>
        <w:rPr>
          <w:rFonts w:asciiTheme="minorEastAsia" w:hAnsiTheme="minorEastAsia" w:eastAsiaTheme="minorEastAsia" w:cstheme="minorEastAsia"/>
          <w:spacing w:val="-3"/>
          <w:sz w:val="24"/>
          <w:szCs w:val="24"/>
        </w:rPr>
      </w:pPr>
    </w:p>
    <w:p>
      <w:pPr>
        <w:kinsoku/>
        <w:wordWrap w:val="0"/>
        <w:spacing w:line="360" w:lineRule="auto"/>
        <w:ind w:firstLine="5382" w:firstLineChars="23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供应商公章：</w:t>
      </w:r>
    </w:p>
    <w:p>
      <w:pPr>
        <w:widowControl w:val="0"/>
        <w:kinsoku/>
        <w:wordWrap w:val="0"/>
        <w:spacing w:line="360" w:lineRule="auto"/>
        <w:ind w:firstLine="5280" w:firstLineChars="2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spacing w:val="-3"/>
          <w:sz w:val="24"/>
          <w:szCs w:val="24"/>
        </w:rPr>
      </w:pPr>
    </w:p>
    <w:p>
      <w:pPr>
        <w:pStyle w:val="2"/>
        <w:rPr>
          <w:rFonts w:asciiTheme="minorEastAsia" w:hAnsiTheme="minorEastAsia" w:eastAsiaTheme="minorEastAsia" w:cstheme="minorEastAsia"/>
          <w:spacing w:val="-3"/>
          <w:sz w:val="24"/>
          <w:szCs w:val="24"/>
        </w:rPr>
      </w:pPr>
    </w:p>
    <w:p>
      <w:pPr>
        <w:pStyle w:val="5"/>
        <w:rPr>
          <w:rFonts w:asciiTheme="minorEastAsia" w:hAnsiTheme="minorEastAsia" w:eastAsiaTheme="minorEastAsia" w:cstheme="minorEastAsia"/>
          <w:spacing w:val="-3"/>
          <w:sz w:val="24"/>
          <w:szCs w:val="24"/>
        </w:rPr>
      </w:pPr>
    </w:p>
    <w:p>
      <w:pPr>
        <w:rPr>
          <w:rFonts w:asciiTheme="minorEastAsia" w:hAnsiTheme="minorEastAsia" w:eastAsiaTheme="minorEastAsia" w:cstheme="minorEastAsia"/>
          <w:spacing w:val="-3"/>
          <w:sz w:val="24"/>
          <w:szCs w:val="24"/>
        </w:rPr>
      </w:pPr>
    </w:p>
    <w:p>
      <w:pPr>
        <w:pStyle w:val="2"/>
        <w:rPr>
          <w:rFonts w:asciiTheme="minorEastAsia" w:hAnsiTheme="minorEastAsia" w:eastAsiaTheme="minorEastAsia" w:cstheme="minorEastAsia"/>
          <w:spacing w:val="-3"/>
          <w:sz w:val="24"/>
          <w:szCs w:val="24"/>
        </w:rPr>
      </w:pPr>
    </w:p>
    <w:p>
      <w:pPr>
        <w:pStyle w:val="5"/>
        <w:rPr>
          <w:rFonts w:asciiTheme="minorEastAsia" w:hAnsiTheme="minorEastAsia" w:eastAsiaTheme="minorEastAsia" w:cstheme="minorEastAsia"/>
          <w:spacing w:val="-3"/>
          <w:sz w:val="24"/>
          <w:szCs w:val="24"/>
        </w:rPr>
      </w:pPr>
    </w:p>
    <w:p>
      <w:pPr>
        <w:rPr>
          <w:rFonts w:asciiTheme="minorEastAsia" w:hAnsiTheme="minorEastAsia" w:eastAsiaTheme="minorEastAsia" w:cstheme="minorEastAsia"/>
          <w:spacing w:val="-3"/>
          <w:sz w:val="24"/>
          <w:szCs w:val="24"/>
        </w:rPr>
      </w:pPr>
    </w:p>
    <w:p>
      <w:pPr>
        <w:pStyle w:val="2"/>
        <w:rPr>
          <w:rFonts w:asciiTheme="minorEastAsia" w:hAnsiTheme="minorEastAsia" w:eastAsiaTheme="minorEastAsia" w:cstheme="minorEastAsia"/>
          <w:spacing w:val="-3"/>
          <w:sz w:val="24"/>
          <w:szCs w:val="24"/>
        </w:rPr>
      </w:pPr>
    </w:p>
    <w:p>
      <w:pPr>
        <w:pStyle w:val="5"/>
        <w:rPr>
          <w:rFonts w:asciiTheme="minorEastAsia" w:hAnsiTheme="minorEastAsia" w:eastAsiaTheme="minorEastAsia" w:cstheme="minorEastAsia"/>
          <w:spacing w:val="-3"/>
          <w:sz w:val="24"/>
          <w:szCs w:val="24"/>
        </w:rPr>
      </w:pPr>
    </w:p>
    <w:p>
      <w:pPr>
        <w:rPr>
          <w:rFonts w:asciiTheme="minorEastAsia" w:hAnsiTheme="minorEastAsia" w:eastAsiaTheme="minorEastAsia" w:cstheme="minorEastAsia"/>
          <w:spacing w:val="-3"/>
          <w:sz w:val="24"/>
          <w:szCs w:val="24"/>
        </w:rPr>
      </w:pPr>
    </w:p>
    <w:p>
      <w:pPr>
        <w:pStyle w:val="2"/>
        <w:rPr>
          <w:rFonts w:hint="default" w:eastAsia="宋体"/>
          <w:lang w:val="en-US" w:eastAsia="zh-CN"/>
        </w:rPr>
      </w:pPr>
      <w:r>
        <w:rPr>
          <w:rFonts w:hint="eastAsia"/>
          <w:lang w:val="en-US" w:eastAsia="zh-CN"/>
        </w:rPr>
        <w:t>三、报价表：</w:t>
      </w:r>
    </w:p>
    <w:p>
      <w:pPr>
        <w:rPr>
          <w:rFonts w:asciiTheme="minorEastAsia" w:hAnsiTheme="minorEastAsia" w:eastAsiaTheme="minorEastAsia" w:cstheme="minorEastAsia"/>
          <w:spacing w:val="-3"/>
          <w:sz w:val="24"/>
          <w:szCs w:val="24"/>
        </w:rPr>
      </w:pPr>
    </w:p>
    <w:p>
      <w:pPr>
        <w:spacing w:line="441" w:lineRule="auto"/>
        <w:rPr>
          <w:rFonts w:ascii="Arial"/>
          <w:sz w:val="21"/>
        </w:rPr>
      </w:pPr>
    </w:p>
    <w:tbl>
      <w:tblPr>
        <w:tblStyle w:val="14"/>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项目名称</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24"/>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项目编号</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24"/>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标段编号</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24"/>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投标人</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24"/>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磋商报价</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24"/>
                <w:sz w:val="24"/>
                <w:szCs w:val="24"/>
                <w:lang w:eastAsia="zh-CN"/>
              </w:rPr>
            </w:pPr>
            <w:r>
              <w:rPr>
                <w:rFonts w:hint="eastAsia" w:asciiTheme="minorEastAsia" w:hAnsiTheme="minorEastAsia" w:eastAsiaTheme="minorEastAsia" w:cstheme="minorEastAsia"/>
                <w:spacing w:val="-8"/>
                <w:sz w:val="24"/>
                <w:szCs w:val="24"/>
                <w:lang w:eastAsia="zh-CN"/>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服务期限</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24"/>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服务质量</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24"/>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备注</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tc>
      </w:tr>
    </w:tbl>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供应商（公章）：法定代表人（负责人）或授权代表（签字）：</w:t>
      </w:r>
    </w:p>
    <w:p>
      <w:pPr>
        <w:kinsoku/>
        <w:wordWrap w:val="0"/>
        <w:spacing w:line="360" w:lineRule="auto"/>
        <w:jc w:val="both"/>
        <w:rPr>
          <w:rFonts w:asciiTheme="minorEastAsia" w:hAnsiTheme="minorEastAsia" w:eastAsiaTheme="minorEastAsia" w:cstheme="minorEastAsia"/>
          <w:spacing w:val="24"/>
          <w:sz w:val="24"/>
          <w:szCs w:val="24"/>
          <w:lang w:eastAsia="zh-CN"/>
        </w:rPr>
      </w:pPr>
      <w:r>
        <w:rPr>
          <w:rFonts w:hint="eastAsia" w:asciiTheme="minorEastAsia" w:hAnsiTheme="minorEastAsia" w:eastAsiaTheme="minorEastAsia" w:cstheme="minorEastAsia"/>
          <w:b/>
          <w:bCs/>
          <w:spacing w:val="-8"/>
          <w:sz w:val="24"/>
          <w:szCs w:val="24"/>
          <w:lang w:eastAsia="zh-CN"/>
        </w:rPr>
        <w:t>日期：年月日</w:t>
      </w: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pStyle w:val="2"/>
        <w:ind w:left="0" w:leftChars="0" w:firstLine="0" w:firstLineChars="0"/>
        <w:sectPr>
          <w:headerReference r:id="rId9" w:type="default"/>
          <w:footerReference r:id="rId10" w:type="default"/>
          <w:pgSz w:w="11906" w:h="16838"/>
          <w:pgMar w:top="1440" w:right="1800" w:bottom="1440" w:left="1800" w:header="851" w:footer="992" w:gutter="0"/>
          <w:cols w:space="720" w:num="1"/>
          <w:docGrid w:type="lines" w:linePitch="312" w:charSpace="0"/>
        </w:sect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numPr>
          <w:ilvl w:val="0"/>
          <w:numId w:val="0"/>
        </w:num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val="en-US" w:eastAsia="zh-CN"/>
        </w:rPr>
        <w:t>四、</w:t>
      </w:r>
      <w:r>
        <w:rPr>
          <w:rFonts w:hint="eastAsia" w:asciiTheme="minorEastAsia" w:hAnsiTheme="minorEastAsia" w:eastAsiaTheme="minorEastAsia" w:cstheme="minorEastAsia"/>
          <w:b/>
          <w:bCs/>
          <w:spacing w:val="-3"/>
          <w:sz w:val="24"/>
          <w:szCs w:val="24"/>
          <w:lang w:eastAsia="zh-CN"/>
        </w:rPr>
        <w:t>营业执照副本、依法缴纳税收和社会保障资金的缴费凭证、审计或财务报告、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pacing w:val="-3"/>
          <w:sz w:val="24"/>
          <w:szCs w:val="24"/>
          <w:lang w:eastAsia="zh-CN"/>
        </w:rPr>
        <w:t>近三年内在经营活动</w:t>
      </w:r>
    </w:p>
    <w:p>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中没有重大违法记录的声明等；</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审计或财务报告说明：</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与银行之间业务往来正常，企业信誉良好等。</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提供企业有关财务会计制度。</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近三年内在经营活动中没有重大违法记录的声明（格式）</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jc w:val="center"/>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声明函</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（法定代表人或其授权代表）代表</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lang w:eastAsia="zh-CN"/>
        </w:rPr>
        <w:t>公司全称）向本项目的采购人和采购代理机构郑重声明如下：</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我公司近三年来的经营活动中，未因违法经营受到刑事处罚或者责令停产停业、吊销许可证或者执照、较大数额罚款等行政处罚。</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特此声明。</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法定代表人或其授权代表（签字）：</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spacing w:before="91" w:line="219" w:lineRule="auto"/>
        <w:rPr>
          <w:rFonts w:ascii="宋体" w:hAnsi="宋体" w:eastAsia="宋体" w:cs="宋体"/>
          <w:b/>
          <w:bCs/>
          <w:spacing w:val="-16"/>
          <w:sz w:val="28"/>
          <w:szCs w:val="28"/>
        </w:rPr>
      </w:pPr>
    </w:p>
    <w:p>
      <w:pPr>
        <w:spacing w:before="91" w:line="219" w:lineRule="auto"/>
        <w:rPr>
          <w:rFonts w:ascii="宋体" w:hAnsi="宋体" w:eastAsia="宋体" w:cs="宋体"/>
          <w:b/>
          <w:bCs/>
          <w:sz w:val="24"/>
          <w:szCs w:val="24"/>
        </w:rPr>
      </w:pPr>
      <w:r>
        <w:rPr>
          <w:rFonts w:ascii="宋体" w:hAnsi="宋体" w:eastAsia="宋体" w:cs="宋体"/>
          <w:b/>
          <w:bCs/>
          <w:spacing w:val="-16"/>
          <w:sz w:val="24"/>
          <w:szCs w:val="24"/>
        </w:rPr>
        <w:t>五、报价明细表（格式自拟）</w:t>
      </w:r>
    </w:p>
    <w:p>
      <w:pPr>
        <w:kinsoku/>
        <w:wordWrap w:val="0"/>
        <w:spacing w:line="360" w:lineRule="auto"/>
        <w:jc w:val="both"/>
        <w:rPr>
          <w:rFonts w:asciiTheme="minorEastAsia" w:hAnsiTheme="minorEastAsia" w:eastAsiaTheme="minorEastAsia" w:cstheme="minorEastAsia"/>
          <w:spacing w:val="-3"/>
          <w:sz w:val="24"/>
          <w:szCs w:val="24"/>
          <w:lang w:eastAsia="zh-CN"/>
        </w:rPr>
      </w:pP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六、供应商诚信承诺书</w:t>
      </w:r>
    </w:p>
    <w:p>
      <w:pPr>
        <w:kinsoku/>
        <w:wordWrap w:val="0"/>
        <w:spacing w:line="360" w:lineRule="auto"/>
        <w:jc w:val="both"/>
        <w:rPr>
          <w:rFonts w:asciiTheme="minorEastAsia" w:hAnsiTheme="minorEastAsia" w:eastAsiaTheme="minorEastAsia" w:cstheme="minorEastAsia"/>
          <w:b/>
          <w:bCs/>
          <w:sz w:val="24"/>
          <w:szCs w:val="24"/>
          <w:lang w:eastAsia="zh-CN"/>
        </w:rPr>
      </w:pPr>
    </w:p>
    <w:p>
      <w:pPr>
        <w:pStyle w:val="3"/>
        <w:kinsoku/>
        <w:wordWrap w:val="0"/>
        <w:spacing w:line="360" w:lineRule="auto"/>
        <w:jc w:val="center"/>
        <w:rPr>
          <w:rFonts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诚信承诺书</w:t>
      </w:r>
    </w:p>
    <w:p>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为维护市场公平竞争，营造诚实守信的公共资源交易环境，本公司郑重承诺：</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本次采购在电子响应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2、本公司在参加本项目过程中严格遵守各项诚信廉洁规定，如有违反，自愿按规定接受处罚。</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1562" w:firstLineChars="651"/>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承诺人法定名称（盖章）：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承诺人法定地址：</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授权代表（签字或盖章）：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电话：</w:t>
      </w:r>
    </w:p>
    <w:p>
      <w:pPr>
        <w:widowControl w:val="0"/>
        <w:kinsoku/>
        <w:wordWrap w:val="0"/>
        <w:spacing w:line="360" w:lineRule="auto"/>
        <w:ind w:firstLine="1568" w:firstLineChars="700"/>
        <w:jc w:val="both"/>
        <w:rPr>
          <w:rFonts w:asciiTheme="minorEastAsia" w:hAnsiTheme="minorEastAsia" w:eastAsiaTheme="minorEastAsia" w:cstheme="minorEastAsia"/>
          <w:spacing w:val="-8"/>
          <w:sz w:val="24"/>
          <w:szCs w:val="24"/>
          <w:lang w:val="zh-CN" w:eastAsia="zh-CN"/>
        </w:rPr>
      </w:pPr>
      <w:r>
        <w:rPr>
          <w:rFonts w:hint="eastAsia" w:asciiTheme="minorEastAsia" w:hAnsiTheme="minorEastAsia" w:eastAsiaTheme="minorEastAsia" w:cstheme="minorEastAsia"/>
          <w:spacing w:val="-8"/>
          <w:sz w:val="24"/>
          <w:szCs w:val="24"/>
          <w:lang w:eastAsia="zh-CN"/>
        </w:rPr>
        <w:t>日期：年月日</w:t>
      </w:r>
    </w:p>
    <w:p>
      <w:pPr>
        <w:kinsoku/>
        <w:wordWrap w:val="0"/>
        <w:spacing w:line="360" w:lineRule="auto"/>
        <w:jc w:val="both"/>
        <w:rPr>
          <w:rFonts w:asciiTheme="minorEastAsia" w:hAnsiTheme="minorEastAsia" w:eastAsiaTheme="minorEastAsia" w:cstheme="minorEastAsia"/>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七、供应商认为需要的其他文件资料</w:t>
      </w:r>
    </w:p>
    <w:p>
      <w:pPr>
        <w:pStyle w:val="3"/>
        <w:kinsoku/>
        <w:wordWrap w:val="0"/>
        <w:spacing w:line="360" w:lineRule="auto"/>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rPr>
        <w:t>中小企业声明函（工程、服务）格式</w:t>
      </w:r>
    </w:p>
    <w:p>
      <w:pPr>
        <w:kinsoku/>
        <w:wordWrap w:val="0"/>
        <w:spacing w:line="360" w:lineRule="auto"/>
        <w:jc w:val="both"/>
        <w:rPr>
          <w:rFonts w:asciiTheme="minorEastAsia" w:hAnsiTheme="minorEastAsia" w:eastAsiaTheme="minorEastAsia" w:cstheme="minorEastAsia"/>
        </w:rPr>
      </w:pPr>
    </w:p>
    <w:p>
      <w:pPr>
        <w:pStyle w:val="3"/>
        <w:kinsoku/>
        <w:wordWrap w:val="0"/>
        <w:spacing w:line="360" w:lineRule="auto"/>
        <w:ind w:firstLine="5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 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议的中小企业）的具体情况如下：</w:t>
      </w:r>
    </w:p>
    <w:p>
      <w:pPr>
        <w:pStyle w:val="3"/>
        <w:kinsoku/>
        <w:wordWrap w:val="0"/>
        <w:spacing w:line="360" w:lineRule="auto"/>
        <w:ind w:firstLine="5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rPr>
        <w:t>（标的名称</w:t>
      </w:r>
      <w:r>
        <w:rPr>
          <w:rFonts w:hint="eastAsia" w:asciiTheme="minorEastAsia" w:hAnsiTheme="minorEastAsia" w:eastAsiaTheme="minorEastAsia" w:cstheme="minorEastAsia"/>
          <w:spacing w:val="-48"/>
          <w:sz w:val="24"/>
          <w:szCs w:val="24"/>
          <w:u w:val="single"/>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（承接）企业为</w:t>
      </w:r>
      <w:r>
        <w:rPr>
          <w:rFonts w:hint="eastAsia" w:asciiTheme="minorEastAsia" w:hAnsiTheme="minorEastAsia" w:eastAsiaTheme="minorEastAsia" w:cstheme="minorEastAsia"/>
          <w:spacing w:val="7"/>
          <w:sz w:val="24"/>
          <w:szCs w:val="24"/>
          <w:u w:val="single"/>
        </w:rPr>
        <w:t>（企业名称</w:t>
      </w:r>
      <w:r>
        <w:rPr>
          <w:rFonts w:hint="eastAsia" w:asciiTheme="minorEastAsia" w:hAnsiTheme="minorEastAsia" w:eastAsiaTheme="minorEastAsia" w:cstheme="minorEastAsia"/>
          <w:spacing w:val="-25"/>
          <w:sz w:val="24"/>
          <w:szCs w:val="24"/>
          <w:u w:val="single"/>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从业人员人，营业收入为万元，资产总额为</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（中型企业、小型企业、微型企业</w:t>
      </w:r>
      <w:r>
        <w:rPr>
          <w:rFonts w:hint="eastAsia" w:asciiTheme="minorEastAsia" w:hAnsiTheme="minorEastAsia" w:eastAsiaTheme="minorEastAsia" w:cstheme="minorEastAsia"/>
          <w:spacing w:val="-50"/>
          <w:sz w:val="24"/>
          <w:szCs w:val="24"/>
          <w:u w:val="single"/>
        </w:rPr>
        <w:t>）</w:t>
      </w:r>
      <w:r>
        <w:rPr>
          <w:rFonts w:hint="eastAsia" w:asciiTheme="minorEastAsia" w:hAnsiTheme="minorEastAsia" w:eastAsiaTheme="minorEastAsia" w:cstheme="minorEastAsia"/>
          <w:spacing w:val="-50"/>
          <w:sz w:val="24"/>
          <w:szCs w:val="24"/>
        </w:rPr>
        <w:t>；</w:t>
      </w:r>
    </w:p>
    <w:p>
      <w:pPr>
        <w:pStyle w:val="3"/>
        <w:kinsoku/>
        <w:wordWrap w:val="0"/>
        <w:spacing w:line="360" w:lineRule="auto"/>
        <w:ind w:firstLine="50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rPr>
        <w:t>（标的名称</w:t>
      </w:r>
      <w:r>
        <w:rPr>
          <w:rFonts w:hint="eastAsia" w:asciiTheme="minorEastAsia" w:hAnsiTheme="minorEastAsia" w:eastAsiaTheme="minorEastAsia" w:cstheme="minorEastAsia"/>
          <w:spacing w:val="-46"/>
          <w:sz w:val="24"/>
          <w:szCs w:val="24"/>
          <w:u w:val="single"/>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rPr>
        <w:t>（企业名称</w:t>
      </w:r>
      <w:r>
        <w:rPr>
          <w:rFonts w:hint="eastAsia" w:asciiTheme="minorEastAsia" w:hAnsiTheme="minorEastAsia" w:eastAsiaTheme="minorEastAsia" w:cstheme="minorEastAsia"/>
          <w:spacing w:val="-25"/>
          <w:sz w:val="24"/>
          <w:szCs w:val="24"/>
          <w:u w:val="single"/>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从业人员人，营业收入为万元，资产总额为</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rPr>
        <w:t>（中型企业、小型企业、微型企业</w:t>
      </w:r>
      <w:r>
        <w:rPr>
          <w:rFonts w:hint="eastAsia" w:asciiTheme="minorEastAsia" w:hAnsiTheme="minorEastAsia" w:eastAsiaTheme="minorEastAsia" w:cstheme="minorEastAsia"/>
          <w:spacing w:val="-46"/>
          <w:sz w:val="24"/>
          <w:szCs w:val="24"/>
          <w:u w:val="single"/>
        </w:rPr>
        <w:t>）</w:t>
      </w:r>
      <w:r>
        <w:rPr>
          <w:rFonts w:hint="eastAsia" w:asciiTheme="minorEastAsia" w:hAnsiTheme="minorEastAsia" w:eastAsiaTheme="minorEastAsia" w:cstheme="minorEastAsia"/>
          <w:spacing w:val="-46"/>
          <w:sz w:val="24"/>
          <w:szCs w:val="24"/>
        </w:rPr>
        <w:t>；</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3"/>
        <w:kinsoku/>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pPr>
        <w:pStyle w:val="3"/>
        <w:kinsoku/>
        <w:wordWrap w:val="0"/>
        <w:spacing w:line="360" w:lineRule="auto"/>
        <w:ind w:firstLine="52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rPr>
      </w:pPr>
    </w:p>
    <w:p>
      <w:pPr>
        <w:pStyle w:val="3"/>
        <w:kinsoku/>
        <w:wordWrap w:val="0"/>
        <w:spacing w:line="360" w:lineRule="auto"/>
        <w:ind w:firstLine="5050" w:firstLineChars="25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pStyle w:val="3"/>
        <w:kinsoku/>
        <w:wordWrap w:val="0"/>
        <w:spacing w:line="360" w:lineRule="auto"/>
        <w:jc w:val="both"/>
        <w:rPr>
          <w:rFonts w:asciiTheme="minorEastAsia" w:hAnsiTheme="minorEastAsia" w:eastAsiaTheme="minorEastAsia" w:cstheme="minorEastAsia"/>
          <w:spacing w:val="9"/>
          <w:position w:val="5"/>
          <w:sz w:val="24"/>
          <w:szCs w:val="24"/>
          <w:lang w:eastAsia="zh-CN"/>
        </w:rPr>
      </w:pPr>
    </w:p>
    <w:p>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3"/>
        <w:kinsoku/>
        <w:wordWrap w:val="0"/>
        <w:spacing w:line="360" w:lineRule="auto"/>
        <w:jc w:val="both"/>
        <w:rPr>
          <w:rFonts w:asciiTheme="minorEastAsia" w:hAnsiTheme="minorEastAsia" w:eastAsiaTheme="minorEastAsia" w:cstheme="minorEastAsia"/>
          <w:sz w:val="36"/>
          <w:szCs w:val="36"/>
        </w:rPr>
      </w:pPr>
    </w:p>
    <w:p>
      <w:pPr>
        <w:pStyle w:val="3"/>
        <w:kinsoku/>
        <w:wordWrap w:val="0"/>
        <w:spacing w:line="360" w:lineRule="auto"/>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残疾人福利性单位声明函格式</w:t>
      </w:r>
    </w:p>
    <w:p>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业政府采购政策的通知》（财库〔2017〕141号）的规定，本单位（请进行选择</w:t>
      </w:r>
      <w:r>
        <w:rPr>
          <w:rFonts w:hint="eastAsia" w:asciiTheme="minorEastAsia" w:hAnsiTheme="minorEastAsia" w:eastAsiaTheme="minorEastAsia" w:cstheme="minorEastAsia"/>
          <w:spacing w:val="-46"/>
          <w:sz w:val="24"/>
          <w:szCs w:val="24"/>
        </w:rPr>
        <w:t>）：</w:t>
      </w:r>
    </w:p>
    <w:p>
      <w:pPr>
        <w:pStyle w:val="3"/>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rPr>
        <w:t>不属于符合条件的残疾人福利性单位。</w:t>
      </w:r>
    </w:p>
    <w:p>
      <w:pPr>
        <w:pStyle w:val="3"/>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rPr>
        <w:t>属于符合条件的残疾人福利性单位，且本单位参加单位的项目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3"/>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本单位对上述声明的真实性负责。如有虚假，将依法</w:t>
      </w:r>
      <w:r>
        <w:rPr>
          <w:rFonts w:hint="eastAsia" w:asciiTheme="minorEastAsia" w:hAnsiTheme="minorEastAsia" w:eastAsiaTheme="minorEastAsia" w:cstheme="minorEastAsia"/>
          <w:spacing w:val="11"/>
          <w:sz w:val="24"/>
          <w:szCs w:val="24"/>
        </w:rPr>
        <w:t>承担相应责任。</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rPr>
      </w:pPr>
    </w:p>
    <w:p>
      <w:pPr>
        <w:pStyle w:val="3"/>
        <w:kinsoku/>
        <w:wordWrap w:val="0"/>
        <w:spacing w:line="360" w:lineRule="auto"/>
        <w:ind w:firstLine="5120" w:firstLineChars="20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pStyle w:val="3"/>
        <w:kinsoku/>
        <w:wordWrap w:val="0"/>
        <w:spacing w:line="360" w:lineRule="auto"/>
        <w:ind w:firstLine="6960" w:firstLineChars="2900"/>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宋体" w:hAnsi="宋体"/>
          <w:b/>
          <w:sz w:val="28"/>
          <w:szCs w:val="28"/>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宋体" w:hAnsi="宋体"/>
          <w:b/>
          <w:sz w:val="28"/>
          <w:szCs w:val="28"/>
          <w:lang w:eastAsia="zh-CN"/>
        </w:rPr>
      </w:pPr>
      <w:r>
        <w:rPr>
          <w:rFonts w:hint="eastAsia" w:asciiTheme="minorEastAsia" w:hAnsiTheme="minorEastAsia" w:eastAsiaTheme="minorEastAsia" w:cstheme="minorEastAsia"/>
          <w:sz w:val="36"/>
          <w:szCs w:val="36"/>
          <w:lang w:eastAsia="zh-CN"/>
        </w:rPr>
        <w:t>监狱企业声明函格式</w:t>
      </w:r>
    </w:p>
    <w:p>
      <w:pPr>
        <w:kinsoku/>
        <w:wordWrap w:val="0"/>
        <w:spacing w:line="360" w:lineRule="auto"/>
        <w:jc w:val="both"/>
        <w:rPr>
          <w:rFonts w:ascii="宋体" w:hAnsi="宋体"/>
          <w:b/>
          <w:sz w:val="28"/>
          <w:szCs w:val="28"/>
          <w:lang w:eastAsia="zh-CN"/>
        </w:rPr>
      </w:pPr>
    </w:p>
    <w:p>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本企业对上述声明的真实性负责。如有虚假，将依法承担相应责任。</w:t>
      </w:r>
    </w:p>
    <w:p>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p>
    <w:p>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 xml:space="preserve">                             企业名称（盖章）： </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上述第四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p>
    <w:p>
      <w:pPr>
        <w:pStyle w:val="3"/>
        <w:kinsoku/>
        <w:wordWrap w:val="0"/>
        <w:spacing w:line="360" w:lineRule="auto"/>
        <w:jc w:val="center"/>
        <w:rPr>
          <w:rFonts w:asciiTheme="minorEastAsia" w:hAnsiTheme="minorEastAsia" w:eastAsiaTheme="minorEastAsia" w:cstheme="minorEastAsia"/>
          <w:sz w:val="32"/>
          <w:szCs w:val="32"/>
          <w:lang w:val="zh-CN" w:eastAsia="zh-CN"/>
        </w:rPr>
      </w:pPr>
    </w:p>
    <w:p>
      <w:pPr>
        <w:pStyle w:val="3"/>
        <w:kinsoku/>
        <w:wordWrap w:val="0"/>
        <w:spacing w:line="360" w:lineRule="auto"/>
        <w:jc w:val="center"/>
        <w:rPr>
          <w:rFonts w:asciiTheme="minorEastAsia" w:hAnsiTheme="minorEastAsia" w:eastAsiaTheme="minorEastAsia" w:cstheme="minorEastAsia"/>
          <w:sz w:val="32"/>
          <w:szCs w:val="32"/>
          <w:lang w:val="zh-CN" w:eastAsia="zh-CN"/>
        </w:rPr>
      </w:pPr>
    </w:p>
    <w:p>
      <w:pPr>
        <w:pStyle w:val="3"/>
        <w:kinsoku/>
        <w:wordWrap w:val="0"/>
        <w:spacing w:line="360" w:lineRule="auto"/>
        <w:jc w:val="center"/>
        <w:rPr>
          <w:rFonts w:asciiTheme="minorEastAsia" w:hAnsiTheme="minorEastAsia" w:eastAsiaTheme="minorEastAsia" w:cstheme="minorEastAsia"/>
          <w:sz w:val="32"/>
          <w:szCs w:val="32"/>
          <w:lang w:val="zh-CN" w:eastAsia="zh-CN"/>
        </w:rPr>
      </w:pPr>
    </w:p>
    <w:p>
      <w:pPr>
        <w:pStyle w:val="3"/>
        <w:kinsoku/>
        <w:wordWrap w:val="0"/>
        <w:spacing w:line="360" w:lineRule="auto"/>
        <w:jc w:val="center"/>
        <w:rPr>
          <w:rFonts w:asciiTheme="minorEastAsia" w:hAnsiTheme="minorEastAsia" w:eastAsiaTheme="minorEastAsia" w:cstheme="minorEastAsia"/>
          <w:sz w:val="32"/>
          <w:szCs w:val="32"/>
          <w:lang w:val="zh-CN" w:eastAsia="zh-CN"/>
        </w:rPr>
      </w:pPr>
    </w:p>
    <w:p>
      <w:pPr>
        <w:pStyle w:val="3"/>
        <w:kinsoku/>
        <w:wordWrap w:val="0"/>
        <w:spacing w:line="360" w:lineRule="auto"/>
        <w:jc w:val="center"/>
        <w:rPr>
          <w:rFonts w:asciiTheme="minorEastAsia" w:hAnsiTheme="minorEastAsia" w:eastAsiaTheme="minorEastAsia" w:cstheme="minorEastAsia"/>
          <w:sz w:val="32"/>
          <w:szCs w:val="32"/>
          <w:lang w:val="zh-CN" w:eastAsia="zh-CN"/>
        </w:rPr>
      </w:pPr>
    </w:p>
    <w:p>
      <w:pPr>
        <w:pStyle w:val="3"/>
        <w:kinsoku/>
        <w:wordWrap w:val="0"/>
        <w:spacing w:line="360" w:lineRule="auto"/>
        <w:jc w:val="center"/>
        <w:rPr>
          <w:rFonts w:asciiTheme="minorEastAsia" w:hAnsiTheme="minorEastAsia" w:eastAsiaTheme="minorEastAsia" w:cstheme="minorEastAsia"/>
          <w:sz w:val="32"/>
          <w:szCs w:val="32"/>
          <w:lang w:val="zh-CN" w:eastAsia="zh-CN"/>
        </w:rPr>
      </w:pPr>
    </w:p>
    <w:p>
      <w:pPr>
        <w:pStyle w:val="3"/>
        <w:kinsoku/>
        <w:wordWrap w:val="0"/>
        <w:spacing w:line="360" w:lineRule="auto"/>
        <w:jc w:val="center"/>
        <w:rPr>
          <w:rFonts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zh-CN" w:eastAsia="zh-CN"/>
        </w:rPr>
        <w:t>南阳市政府采购供应商信用承诺函（格式）</w:t>
      </w:r>
    </w:p>
    <w:p>
      <w:pPr>
        <w:widowControl w:val="0"/>
        <w:kinsoku/>
        <w:wordWrap w:val="0"/>
        <w:spacing w:line="360" w:lineRule="auto"/>
        <w:jc w:val="both"/>
        <w:rPr>
          <w:rFonts w:asciiTheme="minorEastAsia" w:hAnsiTheme="minorEastAsia" w:eastAsiaTheme="minorEastAsia" w:cstheme="minorEastAsia"/>
          <w:b/>
          <w:bCs/>
          <w:sz w:val="24"/>
          <w:szCs w:val="24"/>
          <w:lang w:val="zh-CN" w:eastAsia="zh-CN"/>
        </w:rPr>
      </w:pP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zh-CN" w:eastAsia="zh-CN"/>
        </w:rPr>
        <w:t>致（采购人或</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lang w:val="zh-CN" w:eastAsia="zh-CN"/>
        </w:rPr>
        <w:t>）：</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单位名称：</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统一社会信用代码：</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联系地址和电话：</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（一）具有独立承担民事责任的能力；</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（二）具有良好的商业信誉和健全的财务会计制度；</w:t>
      </w:r>
    </w:p>
    <w:p>
      <w:pPr>
        <w:kinsoku/>
        <w:wordWrap w:val="0"/>
        <w:autoSpaceDE/>
        <w:autoSpaceDN/>
        <w:adjustRightInd/>
        <w:snapToGrid/>
        <w:spacing w:line="360" w:lineRule="auto"/>
        <w:ind w:left="420" w:leftChars="200"/>
        <w:jc w:val="both"/>
        <w:textAlignment w:val="auto"/>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（三）具有履行合同所必需的设备和专业技术能力；</w:t>
      </w:r>
      <w:r>
        <w:rPr>
          <w:rFonts w:hint="eastAsia" w:asciiTheme="minorEastAsia" w:hAnsiTheme="minorEastAsia" w:eastAsiaTheme="minorEastAsia" w:cstheme="minorEastAsia"/>
          <w:spacing w:val="-14"/>
          <w:sz w:val="24"/>
          <w:szCs w:val="24"/>
          <w:lang w:eastAsia="zh-CN"/>
        </w:rPr>
        <w:t>(①近三年未发生过重大食品检验事故；②在中华人民共和国境内具有固定的能够独立运行的实验场所，能满足本项目要求的承检任务需要；③能保证食品抽样检验工作的连续性和稳定定性，本单位具有足够满足本次抽检任务的专业技术人员，并在响应文件中做出承诺；</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（四）有依法缴纳税收和社会保障资金的良好记录；</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（五）参加政府采购活动前三年内，在经营活动中没有重大违法记录；</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（六）法律、行政法规规定的其他条件。</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我单位保证上述承诺事项的真实性，如有弄虚作假或其他违法违规行为，愿意承担一切法律责任，并承担因此所造成的一切损失。</w:t>
      </w: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p>
    <w:p>
      <w:pPr>
        <w:widowControl w:val="0"/>
        <w:kinsoku/>
        <w:wordWrap w:val="0"/>
        <w:spacing w:line="360" w:lineRule="auto"/>
        <w:ind w:firstLine="5280" w:firstLineChars="2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投标人（企业电子章）：</w:t>
      </w:r>
    </w:p>
    <w:p>
      <w:pPr>
        <w:widowControl w:val="0"/>
        <w:kinsoku/>
        <w:wordWrap w:val="0"/>
        <w:spacing w:line="360" w:lineRule="auto"/>
        <w:ind w:firstLine="3360" w:firstLineChars="14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法定代表人或授权代表（签字或电子印章）：</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注：</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1、投标人须在投标文件中按此模板提供承诺函，未提供视为未实质性响应招标文件要求，按无效投标处理。</w:t>
      </w:r>
    </w:p>
    <w:p>
      <w:pPr>
        <w:kinsoku/>
        <w:wordWrap w:val="0"/>
        <w:spacing w:line="360" w:lineRule="auto"/>
        <w:ind w:firstLine="480"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z w:val="24"/>
          <w:szCs w:val="24"/>
          <w:lang w:val="zh-CN" w:eastAsia="zh-CN"/>
        </w:rPr>
        <w:t>2、投标人的法定代表人或者授权代表的签字或盖章应真实、有效，如由授权代表签字或盖章的，应提供“法定代表人授权书”。</w:t>
      </w:r>
    </w:p>
    <w:sectPr>
      <w:headerReference r:id="rId11" w:type="default"/>
      <w:footerReference r:id="rId12"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方正小标宋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SourceHanSansCN-Regular">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yVYo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8lWKANwIAAHEEAAAOAAAAAAAAAAEAIAAAAB8BAABkcnMvZTJvRG9jLnht&#10;bFBLBQYAAAAABgAGAFkBAADI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1u+M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R2tqw9V&#10;9wBzaFnY6p3lMU2UytvVMUDapHgUqFMFnYoHTGLqWb81cdT/PKeox3+K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pbW74zgCAABxBAAADgAAAAAAAAABACAAAAAfAQAAZHJzL2Uyb0RvYy54&#10;bWxQSwUGAAAAAAYABgBZAQAAyQUAAAAA&#10;">
              <v:fill on="f" focussize="0,0"/>
              <v:stroke on="f" weight="0.5pt"/>
              <v:imagedata o:title=""/>
              <o:lock v:ext="edit" aspectratio="f"/>
              <v:textbox inset="0mm,0mm,0mm,0mm" style="mso-fit-shape-to-text:t;">
                <w:txbxContent>
                  <w:p>
                    <w:pPr>
                      <w:pStyle w:val="11"/>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29</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ijic5AgAAcQ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OGijic5AgAAcQQAAA4AAAAAAAAAAQAgAAAAHwEAAGRycy9lMm9Eb2Mu&#10;eG1sUEsFBgAAAAAGAAYAWQEAAMoFAAAAAA==&#10;">
              <v:fill on="f" focussize="0,0"/>
              <v:stroke on="f" weight="0.5pt"/>
              <v:imagedata o:title=""/>
              <o:lock v:ext="edit" aspectratio="f"/>
              <v:textbox inset="0mm,0mm,0mm,0mm" style="mso-fit-shape-to-text:t;">
                <w:txbxContent>
                  <w:p>
                    <w:pPr>
                      <w:pStyle w:val="11"/>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30</w:t>
                    </w:r>
                    <w:r>
                      <w:rPr>
                        <w:rFonts w:hint="eastAsia" w:eastAsia="宋体"/>
                        <w:lang w:eastAsia="zh-CN"/>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2839720</wp:posOffset>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rPr>
                              <w:rFonts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6pt;margin-top:0pt;height:144pt;width:144pt;mso-position-horizontal-relative:margin;mso-wrap-style:none;z-index:251660288;mso-width-relative:page;mso-height-relative:page;" filled="f" stroked="f" coordsize="21600,21600" o:gfxdata="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6vsSv1QAAAAgBAAAPAAAAAAAAAAEAIAAAACIAAABkcnMvZG93bnJl&#10;di54bWxQSwECFAAUAAAACACHTuJAhAfxpjkCAABxBAAADgAAAAAAAAABACAAAAAkAQAAZHJzL2Uy&#10;b0RvYy54bWxQSwUGAAAAAAYABgBZAQAAzwUAAAAA&#10;">
              <v:fill on="f" focussize="0,0"/>
              <v:stroke on="f" weight="0.5pt"/>
              <v:imagedata o:title=""/>
              <o:lock v:ext="edit" aspectratio="f"/>
              <v:textbox inset="0mm,0mm,0mm,0mm" style="mso-fit-shape-to-text:t;">
                <w:txbxContent>
                  <w:p>
                    <w:pPr>
                      <w:pStyle w:val="11"/>
                      <w:rPr>
                        <w:rFonts w:eastAsia="宋体"/>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0Ueg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J0Ueg5AgAAcQQAAA4AAAAAAAAAAQAgAAAAHwEAAGRycy9lMm9Eb2Mu&#10;eG1sUEsFBgAAAAAGAAYAWQEAAMoFAAAAAA==&#10;">
              <v:fill on="f" focussize="0,0"/>
              <v:stroke on="f" weight="0.5pt"/>
              <v:imagedata o:title=""/>
              <o:lock v:ext="edit" aspectratio="f"/>
              <v:textbox inset="0mm,0mm,0mm,0mm" style="mso-fit-shape-to-text:t;">
                <w:txbxContent>
                  <w:p>
                    <w:pPr>
                      <w:pStyle w:val="11"/>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QxGI6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OrK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AEMRiOgIAAHEEAAAOAAAAAAAAAAEAIAAAAB8BAABkcnMvZTJvRG9j&#10;LnhtbFBLBQYAAAAABgAGAFkBAADLBQAAAAA=&#10;">
              <v:fill on="f" focussize="0,0"/>
              <v:stroke on="f" weight="0.5pt"/>
              <v:imagedata o:title=""/>
              <o:lock v:ext="edit" aspectratio="f"/>
              <v:textbox inset="0mm,0mm,0mm,0mm" style="mso-fit-shape-to-text:t;">
                <w:txbxContent>
                  <w:p>
                    <w:pPr>
                      <w:pStyle w:val="11"/>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45</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2OGJjMGQxYWMwZjFiY2Q3ZGRlZGVlYzQ2YmVhZGUifQ=="/>
  </w:docVars>
  <w:rsids>
    <w:rsidRoot w:val="0063468C"/>
    <w:rsid w:val="00360E24"/>
    <w:rsid w:val="0063468C"/>
    <w:rsid w:val="007D355F"/>
    <w:rsid w:val="009D7910"/>
    <w:rsid w:val="0191036B"/>
    <w:rsid w:val="01BD7A4F"/>
    <w:rsid w:val="02980B47"/>
    <w:rsid w:val="02A4476B"/>
    <w:rsid w:val="02D212D8"/>
    <w:rsid w:val="0304627B"/>
    <w:rsid w:val="03F005BF"/>
    <w:rsid w:val="03F4702C"/>
    <w:rsid w:val="04074FB1"/>
    <w:rsid w:val="046220CB"/>
    <w:rsid w:val="049308F0"/>
    <w:rsid w:val="053A13B6"/>
    <w:rsid w:val="05C82C12"/>
    <w:rsid w:val="064B2778"/>
    <w:rsid w:val="06731CDB"/>
    <w:rsid w:val="06BD7DF4"/>
    <w:rsid w:val="06DB132D"/>
    <w:rsid w:val="06FC6923"/>
    <w:rsid w:val="08157B27"/>
    <w:rsid w:val="082A3964"/>
    <w:rsid w:val="08743EB7"/>
    <w:rsid w:val="08896F10"/>
    <w:rsid w:val="089F1C5C"/>
    <w:rsid w:val="08DF64FD"/>
    <w:rsid w:val="095962AF"/>
    <w:rsid w:val="09A960A9"/>
    <w:rsid w:val="0A2175C7"/>
    <w:rsid w:val="0A4E3858"/>
    <w:rsid w:val="0A530F50"/>
    <w:rsid w:val="0ADC6029"/>
    <w:rsid w:val="0B470389"/>
    <w:rsid w:val="0BDA2FAB"/>
    <w:rsid w:val="0C0F534B"/>
    <w:rsid w:val="0C272EF4"/>
    <w:rsid w:val="0C450913"/>
    <w:rsid w:val="0CAC0DEC"/>
    <w:rsid w:val="0CF167FE"/>
    <w:rsid w:val="0DC4181B"/>
    <w:rsid w:val="0E3E7CBD"/>
    <w:rsid w:val="0EE83C0B"/>
    <w:rsid w:val="0F130CAE"/>
    <w:rsid w:val="0FF95996"/>
    <w:rsid w:val="0FFF7484"/>
    <w:rsid w:val="10832DEB"/>
    <w:rsid w:val="11E54B27"/>
    <w:rsid w:val="11F10D0E"/>
    <w:rsid w:val="13504EE3"/>
    <w:rsid w:val="13D318D3"/>
    <w:rsid w:val="14184102"/>
    <w:rsid w:val="146A4EE4"/>
    <w:rsid w:val="147A2410"/>
    <w:rsid w:val="14B05372"/>
    <w:rsid w:val="156F62EF"/>
    <w:rsid w:val="15C27640"/>
    <w:rsid w:val="16655340"/>
    <w:rsid w:val="16882EF5"/>
    <w:rsid w:val="16FD3ABE"/>
    <w:rsid w:val="172F0E42"/>
    <w:rsid w:val="1734664D"/>
    <w:rsid w:val="18C13529"/>
    <w:rsid w:val="196A0814"/>
    <w:rsid w:val="1A7840BB"/>
    <w:rsid w:val="1A8C5DB8"/>
    <w:rsid w:val="1A9473BA"/>
    <w:rsid w:val="1B535F67"/>
    <w:rsid w:val="1BFF6021"/>
    <w:rsid w:val="1C3F7586"/>
    <w:rsid w:val="1C433970"/>
    <w:rsid w:val="1C587110"/>
    <w:rsid w:val="1CC05665"/>
    <w:rsid w:val="1CC424C0"/>
    <w:rsid w:val="1CE65C54"/>
    <w:rsid w:val="1D774710"/>
    <w:rsid w:val="1D7F2147"/>
    <w:rsid w:val="1D996CC8"/>
    <w:rsid w:val="1DA01659"/>
    <w:rsid w:val="1E6454A8"/>
    <w:rsid w:val="1FCD677B"/>
    <w:rsid w:val="1FCF1E87"/>
    <w:rsid w:val="208E4164"/>
    <w:rsid w:val="20FF72E4"/>
    <w:rsid w:val="21A07893"/>
    <w:rsid w:val="21E87D78"/>
    <w:rsid w:val="22DC175D"/>
    <w:rsid w:val="23554AEF"/>
    <w:rsid w:val="23645F64"/>
    <w:rsid w:val="23F5677C"/>
    <w:rsid w:val="23FB5E39"/>
    <w:rsid w:val="244A2A1D"/>
    <w:rsid w:val="2480073C"/>
    <w:rsid w:val="2540611D"/>
    <w:rsid w:val="2564491D"/>
    <w:rsid w:val="25B83A87"/>
    <w:rsid w:val="266463E7"/>
    <w:rsid w:val="26E9311B"/>
    <w:rsid w:val="28032F0B"/>
    <w:rsid w:val="28485A15"/>
    <w:rsid w:val="28831453"/>
    <w:rsid w:val="2902261B"/>
    <w:rsid w:val="295E6B72"/>
    <w:rsid w:val="297939AC"/>
    <w:rsid w:val="2A3D0E7D"/>
    <w:rsid w:val="2A4E6BE6"/>
    <w:rsid w:val="2A924A38"/>
    <w:rsid w:val="2AE32E31"/>
    <w:rsid w:val="2CD208B5"/>
    <w:rsid w:val="2DCD42C6"/>
    <w:rsid w:val="2E6C7ED8"/>
    <w:rsid w:val="2EA57FA1"/>
    <w:rsid w:val="2EF243BC"/>
    <w:rsid w:val="303D3985"/>
    <w:rsid w:val="30EF0857"/>
    <w:rsid w:val="3140197F"/>
    <w:rsid w:val="31E05F1C"/>
    <w:rsid w:val="320C16C0"/>
    <w:rsid w:val="32672625"/>
    <w:rsid w:val="32831B16"/>
    <w:rsid w:val="32F6583E"/>
    <w:rsid w:val="333A48FA"/>
    <w:rsid w:val="334A1323"/>
    <w:rsid w:val="33D92F7A"/>
    <w:rsid w:val="343946F2"/>
    <w:rsid w:val="34942C59"/>
    <w:rsid w:val="349B6ECC"/>
    <w:rsid w:val="34B2130C"/>
    <w:rsid w:val="34BB1D81"/>
    <w:rsid w:val="350E12EA"/>
    <w:rsid w:val="354173ED"/>
    <w:rsid w:val="35992C99"/>
    <w:rsid w:val="360F3354"/>
    <w:rsid w:val="362E090B"/>
    <w:rsid w:val="36DA1A9F"/>
    <w:rsid w:val="37BD0585"/>
    <w:rsid w:val="37CA6352"/>
    <w:rsid w:val="38482EC7"/>
    <w:rsid w:val="38533A18"/>
    <w:rsid w:val="39477622"/>
    <w:rsid w:val="396226AE"/>
    <w:rsid w:val="3A95616C"/>
    <w:rsid w:val="3AB900AC"/>
    <w:rsid w:val="3B223EA3"/>
    <w:rsid w:val="3BAF7174"/>
    <w:rsid w:val="3D093D0F"/>
    <w:rsid w:val="3D660BE0"/>
    <w:rsid w:val="3EB26AE9"/>
    <w:rsid w:val="3EB41E07"/>
    <w:rsid w:val="3EEB4AD1"/>
    <w:rsid w:val="3FE67B95"/>
    <w:rsid w:val="40045952"/>
    <w:rsid w:val="41914D5A"/>
    <w:rsid w:val="41F66AB4"/>
    <w:rsid w:val="43D372D6"/>
    <w:rsid w:val="44B74AB0"/>
    <w:rsid w:val="44C27AD5"/>
    <w:rsid w:val="45300AE7"/>
    <w:rsid w:val="45B47DEE"/>
    <w:rsid w:val="463F4C16"/>
    <w:rsid w:val="46832AB5"/>
    <w:rsid w:val="46942B8F"/>
    <w:rsid w:val="46F22A6D"/>
    <w:rsid w:val="484336AB"/>
    <w:rsid w:val="498A3D49"/>
    <w:rsid w:val="4B182BCD"/>
    <w:rsid w:val="4BBB7B8C"/>
    <w:rsid w:val="4BE60F1D"/>
    <w:rsid w:val="4C3B162A"/>
    <w:rsid w:val="4CB97E79"/>
    <w:rsid w:val="4CBA2C7D"/>
    <w:rsid w:val="4D5679DC"/>
    <w:rsid w:val="4D5A127B"/>
    <w:rsid w:val="4E5C03B2"/>
    <w:rsid w:val="4FA36E2B"/>
    <w:rsid w:val="50AF59A5"/>
    <w:rsid w:val="50CD1D3A"/>
    <w:rsid w:val="50DF62FA"/>
    <w:rsid w:val="51B24883"/>
    <w:rsid w:val="527F1DE9"/>
    <w:rsid w:val="5311394A"/>
    <w:rsid w:val="538452A3"/>
    <w:rsid w:val="54626B6B"/>
    <w:rsid w:val="554A067A"/>
    <w:rsid w:val="55610D23"/>
    <w:rsid w:val="562B2D19"/>
    <w:rsid w:val="566F2249"/>
    <w:rsid w:val="571C70F4"/>
    <w:rsid w:val="578C1E3F"/>
    <w:rsid w:val="58122B18"/>
    <w:rsid w:val="582157B7"/>
    <w:rsid w:val="583737A8"/>
    <w:rsid w:val="59791FCF"/>
    <w:rsid w:val="59C04B5B"/>
    <w:rsid w:val="59C70462"/>
    <w:rsid w:val="5B942EAB"/>
    <w:rsid w:val="5BB6246B"/>
    <w:rsid w:val="5BFB1656"/>
    <w:rsid w:val="5C805C3A"/>
    <w:rsid w:val="5CED210B"/>
    <w:rsid w:val="5DD33159"/>
    <w:rsid w:val="5E401EE1"/>
    <w:rsid w:val="5E862024"/>
    <w:rsid w:val="5FE54AEF"/>
    <w:rsid w:val="5FE62E42"/>
    <w:rsid w:val="604F0C94"/>
    <w:rsid w:val="60811390"/>
    <w:rsid w:val="60E905BC"/>
    <w:rsid w:val="611C486A"/>
    <w:rsid w:val="612754C0"/>
    <w:rsid w:val="612C3317"/>
    <w:rsid w:val="613320B7"/>
    <w:rsid w:val="614A57B2"/>
    <w:rsid w:val="61700C15"/>
    <w:rsid w:val="64287ECD"/>
    <w:rsid w:val="64B4350F"/>
    <w:rsid w:val="64C17C5F"/>
    <w:rsid w:val="64D240D6"/>
    <w:rsid w:val="64E32222"/>
    <w:rsid w:val="651D2E62"/>
    <w:rsid w:val="660C0310"/>
    <w:rsid w:val="66391F1D"/>
    <w:rsid w:val="66A15169"/>
    <w:rsid w:val="674A54CB"/>
    <w:rsid w:val="68740EAF"/>
    <w:rsid w:val="691A37DC"/>
    <w:rsid w:val="695F7E2D"/>
    <w:rsid w:val="69E52130"/>
    <w:rsid w:val="6A443604"/>
    <w:rsid w:val="6ACC2E0B"/>
    <w:rsid w:val="6B6B37C9"/>
    <w:rsid w:val="6B83414A"/>
    <w:rsid w:val="6B9F656F"/>
    <w:rsid w:val="6C1E3922"/>
    <w:rsid w:val="6DAF0580"/>
    <w:rsid w:val="6DD02520"/>
    <w:rsid w:val="6DD24A05"/>
    <w:rsid w:val="6DE17F47"/>
    <w:rsid w:val="6E1128F7"/>
    <w:rsid w:val="6E6B7F83"/>
    <w:rsid w:val="6EE2110B"/>
    <w:rsid w:val="6FB346BA"/>
    <w:rsid w:val="70411D13"/>
    <w:rsid w:val="70D33D31"/>
    <w:rsid w:val="71784056"/>
    <w:rsid w:val="718B602C"/>
    <w:rsid w:val="7222612A"/>
    <w:rsid w:val="727D45B0"/>
    <w:rsid w:val="727F5D14"/>
    <w:rsid w:val="72AF0B36"/>
    <w:rsid w:val="72B34E05"/>
    <w:rsid w:val="74042B3A"/>
    <w:rsid w:val="74143D3D"/>
    <w:rsid w:val="7571756C"/>
    <w:rsid w:val="760B4F58"/>
    <w:rsid w:val="76102BC1"/>
    <w:rsid w:val="768D73E4"/>
    <w:rsid w:val="778B45A3"/>
    <w:rsid w:val="77AB69F3"/>
    <w:rsid w:val="77AC443F"/>
    <w:rsid w:val="77BD0CB5"/>
    <w:rsid w:val="77C127DC"/>
    <w:rsid w:val="77DB1A01"/>
    <w:rsid w:val="783C764B"/>
    <w:rsid w:val="786749F3"/>
    <w:rsid w:val="78CC09CF"/>
    <w:rsid w:val="78F607B2"/>
    <w:rsid w:val="78FB3062"/>
    <w:rsid w:val="799303AB"/>
    <w:rsid w:val="79A15AC2"/>
    <w:rsid w:val="7BC65611"/>
    <w:rsid w:val="7BF5023D"/>
    <w:rsid w:val="7C2C76E7"/>
    <w:rsid w:val="7C4D1E27"/>
    <w:rsid w:val="7DAB214F"/>
    <w:rsid w:val="7F721E78"/>
    <w:rsid w:val="7FA308A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8">
    <w:name w:val="heading 1"/>
    <w:basedOn w:val="1"/>
    <w:next w:val="1"/>
    <w:autoRedefine/>
    <w:qFormat/>
    <w:uiPriority w:val="1"/>
    <w:pPr>
      <w:ind w:left="363"/>
      <w:outlineLvl w:val="0"/>
    </w:pPr>
    <w:rPr>
      <w:rFonts w:ascii="宋体" w:hAnsi="宋体" w:eastAsia="宋体" w:cs="宋体"/>
      <w:b/>
      <w:bCs/>
      <w:sz w:val="45"/>
      <w:szCs w:val="45"/>
      <w:lang w:val="en-US" w:eastAsia="zh-CN" w:bidi="ar-SA"/>
    </w:rPr>
  </w:style>
  <w:style w:type="paragraph" w:styleId="9">
    <w:name w:val="heading 2"/>
    <w:basedOn w:val="1"/>
    <w:next w:val="1"/>
    <w:autoRedefine/>
    <w:qFormat/>
    <w:uiPriority w:val="1"/>
    <w:pPr>
      <w:ind w:left="85"/>
      <w:outlineLvl w:val="1"/>
    </w:pPr>
    <w:rPr>
      <w:rFonts w:ascii="宋体" w:hAnsi="宋体" w:eastAsia="宋体" w:cs="宋体"/>
      <w:b/>
      <w:bCs/>
      <w:sz w:val="44"/>
      <w:szCs w:val="44"/>
      <w:lang w:val="en-US" w:eastAsia="zh-CN" w:bidi="ar-SA"/>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5"/>
    <w:autoRedefine/>
    <w:unhideWhenUsed/>
    <w:qFormat/>
    <w:uiPriority w:val="99"/>
    <w:pPr>
      <w:ind w:firstLine="420" w:firstLineChars="100"/>
    </w:pPr>
  </w:style>
  <w:style w:type="paragraph" w:styleId="3">
    <w:name w:val="Body Text"/>
    <w:basedOn w:val="1"/>
    <w:next w:val="4"/>
    <w:autoRedefine/>
    <w:qFormat/>
    <w:uiPriority w:val="0"/>
    <w:rPr>
      <w:rFonts w:ascii="宋体" w:hAnsi="宋体" w:eastAsia="宋体" w:cs="宋体"/>
      <w:sz w:val="31"/>
      <w:szCs w:val="31"/>
    </w:rPr>
  </w:style>
  <w:style w:type="paragraph" w:customStyle="1" w:styleId="4">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styleId="5">
    <w:name w:val="Body Text First Indent 2"/>
    <w:basedOn w:val="6"/>
    <w:next w:val="1"/>
    <w:autoRedefine/>
    <w:unhideWhenUsed/>
    <w:qFormat/>
    <w:uiPriority w:val="99"/>
    <w:pPr>
      <w:tabs>
        <w:tab w:val="left" w:pos="0"/>
      </w:tabs>
      <w:spacing w:after="120"/>
      <w:ind w:left="420" w:leftChars="200" w:firstLine="420" w:firstLineChars="200"/>
    </w:pPr>
    <w:rPr>
      <w:rFonts w:ascii="宋体" w:hAnsi="Courier New"/>
      <w:spacing w:val="-4"/>
      <w:sz w:val="21"/>
    </w:rPr>
  </w:style>
  <w:style w:type="paragraph" w:styleId="6">
    <w:name w:val="Body Text Indent"/>
    <w:basedOn w:val="1"/>
    <w:next w:val="7"/>
    <w:autoRedefine/>
    <w:qFormat/>
    <w:uiPriority w:val="0"/>
    <w:pPr>
      <w:tabs>
        <w:tab w:val="left" w:pos="0"/>
      </w:tabs>
      <w:ind w:firstLine="538" w:firstLineChars="192"/>
    </w:pPr>
    <w:rPr>
      <w:rFonts w:ascii="Tahoma" w:hAnsi="Tahoma"/>
      <w:kern w:val="2"/>
      <w:sz w:val="28"/>
      <w:szCs w:val="24"/>
    </w:rPr>
  </w:style>
  <w:style w:type="paragraph" w:styleId="7">
    <w:name w:val="envelope return"/>
    <w:basedOn w:val="1"/>
    <w:autoRedefine/>
    <w:qFormat/>
    <w:uiPriority w:val="99"/>
    <w:rPr>
      <w:rFonts w:ascii="Arial" w:hAnsi="Arial"/>
    </w:rPr>
  </w:style>
  <w:style w:type="paragraph" w:styleId="10">
    <w:name w:val="annotation text"/>
    <w:basedOn w:val="1"/>
    <w:autoRedefine/>
    <w:qFormat/>
    <w:uiPriority w:val="0"/>
  </w:style>
  <w:style w:type="paragraph" w:styleId="11">
    <w:name w:val="footer"/>
    <w:basedOn w:val="1"/>
    <w:autoRedefine/>
    <w:qFormat/>
    <w:uiPriority w:val="99"/>
    <w:pPr>
      <w:tabs>
        <w:tab w:val="center" w:pos="4153"/>
        <w:tab w:val="right" w:pos="8306"/>
      </w:tabs>
    </w:pPr>
    <w:rPr>
      <w:rFonts w:ascii="Tahoma" w:hAnsi="Tahoma"/>
      <w:kern w:val="2"/>
      <w:sz w:val="18"/>
      <w:szCs w:val="18"/>
    </w:rPr>
  </w:style>
  <w:style w:type="paragraph" w:styleId="12">
    <w:name w:val="header"/>
    <w:basedOn w:val="1"/>
    <w:autoRedefine/>
    <w:qFormat/>
    <w:uiPriority w:val="0"/>
    <w:pPr>
      <w:pBdr>
        <w:bottom w:val="single" w:color="auto" w:sz="6" w:space="1"/>
      </w:pBdr>
      <w:tabs>
        <w:tab w:val="center" w:pos="4153"/>
        <w:tab w:val="right" w:pos="8306"/>
      </w:tabs>
      <w:jc w:val="center"/>
    </w:pPr>
    <w:rPr>
      <w:rFonts w:ascii="Tahoma" w:hAnsi="Tahoma"/>
      <w:kern w:val="2"/>
      <w:sz w:val="18"/>
      <w:szCs w:val="18"/>
    </w:rPr>
  </w:style>
  <w:style w:type="paragraph" w:styleId="13">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FollowedHyperlink"/>
    <w:basedOn w:val="16"/>
    <w:autoRedefine/>
    <w:qFormat/>
    <w:uiPriority w:val="0"/>
    <w:rPr>
      <w:color w:val="800080"/>
      <w:u w:val="none"/>
    </w:rPr>
  </w:style>
  <w:style w:type="character" w:styleId="18">
    <w:name w:val="HTML Definition"/>
    <w:basedOn w:val="16"/>
    <w:autoRedefine/>
    <w:qFormat/>
    <w:uiPriority w:val="0"/>
  </w:style>
  <w:style w:type="character" w:styleId="19">
    <w:name w:val="HTML Typewriter"/>
    <w:basedOn w:val="16"/>
    <w:autoRedefine/>
    <w:qFormat/>
    <w:uiPriority w:val="0"/>
    <w:rPr>
      <w:rFonts w:hint="default" w:ascii="monospace" w:hAnsi="monospace" w:eastAsia="monospace" w:cs="monospace"/>
      <w:sz w:val="20"/>
    </w:rPr>
  </w:style>
  <w:style w:type="character" w:styleId="20">
    <w:name w:val="HTML Acronym"/>
    <w:basedOn w:val="16"/>
    <w:autoRedefine/>
    <w:qFormat/>
    <w:uiPriority w:val="0"/>
    <w:rPr>
      <w:bdr w:val="none" w:color="auto" w:sz="0" w:space="0"/>
    </w:rPr>
  </w:style>
  <w:style w:type="character" w:styleId="21">
    <w:name w:val="HTML Variable"/>
    <w:basedOn w:val="16"/>
    <w:autoRedefine/>
    <w:qFormat/>
    <w:uiPriority w:val="0"/>
  </w:style>
  <w:style w:type="character" w:styleId="22">
    <w:name w:val="Hyperlink"/>
    <w:basedOn w:val="16"/>
    <w:autoRedefine/>
    <w:qFormat/>
    <w:uiPriority w:val="0"/>
    <w:rPr>
      <w:color w:val="0000FF"/>
      <w:u w:val="none"/>
    </w:rPr>
  </w:style>
  <w:style w:type="character" w:styleId="23">
    <w:name w:val="HTML Code"/>
    <w:basedOn w:val="16"/>
    <w:autoRedefine/>
    <w:qFormat/>
    <w:uiPriority w:val="0"/>
    <w:rPr>
      <w:rFonts w:hint="default" w:ascii="monospace" w:hAnsi="monospace" w:eastAsia="monospace" w:cs="monospace"/>
      <w:sz w:val="20"/>
    </w:rPr>
  </w:style>
  <w:style w:type="character" w:styleId="24">
    <w:name w:val="HTML Cite"/>
    <w:basedOn w:val="16"/>
    <w:autoRedefine/>
    <w:qFormat/>
    <w:uiPriority w:val="0"/>
  </w:style>
  <w:style w:type="character" w:styleId="25">
    <w:name w:val="HTML Keyboard"/>
    <w:basedOn w:val="16"/>
    <w:autoRedefine/>
    <w:qFormat/>
    <w:uiPriority w:val="0"/>
    <w:rPr>
      <w:rFonts w:hint="default" w:ascii="monospace" w:hAnsi="monospace" w:eastAsia="monospace" w:cs="monospace"/>
      <w:sz w:val="20"/>
    </w:rPr>
  </w:style>
  <w:style w:type="character" w:styleId="26">
    <w:name w:val="HTML Sample"/>
    <w:basedOn w:val="16"/>
    <w:autoRedefine/>
    <w:qFormat/>
    <w:uiPriority w:val="0"/>
    <w:rPr>
      <w:rFonts w:ascii="monospace" w:hAnsi="monospace" w:eastAsia="monospace" w:cs="monospace"/>
    </w:rPr>
  </w:style>
  <w:style w:type="paragraph" w:customStyle="1" w:styleId="27">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8">
    <w:name w:val="Table Normal"/>
    <w:autoRedefine/>
    <w:semiHidden/>
    <w:unhideWhenUsed/>
    <w:qFormat/>
    <w:uiPriority w:val="0"/>
    <w:tblPr>
      <w:tblCellMar>
        <w:top w:w="0" w:type="dxa"/>
        <w:left w:w="0" w:type="dxa"/>
        <w:bottom w:w="0" w:type="dxa"/>
        <w:right w:w="0" w:type="dxa"/>
      </w:tblCellMar>
    </w:tblPr>
  </w:style>
  <w:style w:type="paragraph" w:customStyle="1" w:styleId="29">
    <w:name w:val="Table Text"/>
    <w:basedOn w:val="1"/>
    <w:autoRedefine/>
    <w:semiHidden/>
    <w:qFormat/>
    <w:uiPriority w:val="0"/>
  </w:style>
  <w:style w:type="paragraph" w:customStyle="1" w:styleId="30">
    <w:name w:val="Table Paragraph"/>
    <w:basedOn w:val="1"/>
    <w:autoRedefine/>
    <w:qFormat/>
    <w:uiPriority w:val="1"/>
    <w:pPr>
      <w:autoSpaceDE w:val="0"/>
      <w:autoSpaceDN w:val="0"/>
      <w:jc w:val="left"/>
    </w:pPr>
    <w:rPr>
      <w:rFonts w:ascii="宋体" w:hAnsi="宋体" w:cs="宋体"/>
      <w:kern w:val="0"/>
      <w:sz w:val="22"/>
      <w:szCs w:val="22"/>
      <w:lang w:val="zh-CN" w:bidi="zh-CN"/>
    </w:rPr>
  </w:style>
  <w:style w:type="character" w:customStyle="1" w:styleId="31">
    <w:name w:val="first-child"/>
    <w:basedOn w:val="16"/>
    <w:uiPriority w:val="0"/>
  </w:style>
  <w:style w:type="character" w:customStyle="1" w:styleId="32">
    <w:name w:val="first-child1"/>
    <w:basedOn w:val="16"/>
    <w:uiPriority w:val="0"/>
    <w:rPr>
      <w:bdr w:val="none" w:color="auto" w:sz="0" w:space="0"/>
    </w:rPr>
  </w:style>
  <w:style w:type="character" w:customStyle="1" w:styleId="33">
    <w:name w:val="nth-child(n+2)"/>
    <w:basedOn w:val="16"/>
    <w:uiPriority w:val="0"/>
  </w:style>
  <w:style w:type="character" w:customStyle="1" w:styleId="34">
    <w:name w:val="layui-layer-tabnow"/>
    <w:basedOn w:val="16"/>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27542</Words>
  <Characters>29207</Characters>
  <Lines>180</Lines>
  <Paragraphs>50</Paragraphs>
  <TotalTime>1</TotalTime>
  <ScaleCrop>false</ScaleCrop>
  <LinksUpToDate>false</LinksUpToDate>
  <CharactersWithSpaces>29602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2024-04-17T07:32:00Z</dcterms:created>
  <dc:creator>尹皓</dc:creator>
  <cp:lastModifiedBy>就一点</cp:lastModifiedBy>
  <dcterms:modified xsi:type="dcterms:W3CDTF">2024-06-14T03:47:39Z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2052-12.1.0.16929</vt:lpwstr>
  </property>
  <property fmtid="{D5CDD505-2E9C-101B-9397-08002B2CF9AE}" pid="5" name="ICV">
    <vt:lpwstr>3C545161D5CF480CA49739C4CEA7A29B_13</vt:lpwstr>
  </property>
</Properties>
</file>