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19" w:line="364" w:lineRule="auto"/>
        <w:ind w:right="325"/>
        <w:jc w:val="both"/>
        <w:rPr>
          <w:b/>
          <w:sz w:val="44"/>
        </w:rPr>
      </w:pPr>
    </w:p>
    <w:p>
      <w:pPr>
        <w:spacing w:before="319" w:line="364" w:lineRule="auto"/>
        <w:ind w:right="325"/>
        <w:jc w:val="center"/>
        <w:rPr>
          <w:b/>
          <w:spacing w:val="81"/>
          <w:sz w:val="36"/>
          <w:szCs w:val="36"/>
        </w:rPr>
      </w:pPr>
      <w:r>
        <w:rPr>
          <w:rFonts w:hint="default"/>
          <w:b/>
          <w:spacing w:val="81"/>
          <w:sz w:val="36"/>
          <w:szCs w:val="36"/>
          <w:lang w:val="en-US" w:eastAsia="zh-CN"/>
        </w:rPr>
        <w:t>淅川县</w:t>
      </w:r>
      <w:r>
        <w:rPr>
          <w:rFonts w:hint="eastAsia"/>
          <w:b/>
          <w:spacing w:val="81"/>
          <w:sz w:val="36"/>
          <w:szCs w:val="36"/>
          <w:lang w:val="en-US" w:eastAsia="zh-CN"/>
        </w:rPr>
        <w:t>城镇土地级别与基准地价更新项目</w:t>
      </w:r>
    </w:p>
    <w:p>
      <w:pPr>
        <w:spacing w:before="319" w:line="364" w:lineRule="auto"/>
        <w:ind w:left="658" w:right="325"/>
        <w:jc w:val="center"/>
        <w:rPr>
          <w:b/>
          <w:sz w:val="48"/>
          <w:lang w:val="en-US"/>
        </w:rPr>
      </w:pPr>
      <w:r>
        <w:rPr>
          <w:b/>
          <w:spacing w:val="81"/>
          <w:sz w:val="84"/>
          <w:szCs w:val="84"/>
        </w:rPr>
        <w:t>招标文件</w:t>
      </w:r>
      <w:r>
        <w:rPr>
          <w:b/>
          <w:w w:val="99"/>
          <w:sz w:val="48"/>
        </w:rPr>
        <w:t xml:space="preserve"> </w:t>
      </w:r>
      <w:r>
        <w:rPr>
          <w:rFonts w:hint="eastAsia"/>
          <w:b/>
          <w:w w:val="99"/>
          <w:sz w:val="48"/>
          <w:lang w:val="en-US"/>
        </w:rPr>
        <w:t xml:space="preserve"> </w:t>
      </w:r>
    </w:p>
    <w:p>
      <w:pPr>
        <w:pStyle w:val="45"/>
        <w:jc w:val="center"/>
        <w:rPr>
          <w:sz w:val="32"/>
        </w:rPr>
      </w:pPr>
    </w:p>
    <w:p>
      <w:pPr>
        <w:pStyle w:val="45"/>
        <w:jc w:val="center"/>
        <w:rPr>
          <w:rFonts w:hint="default" w:eastAsia="宋体"/>
          <w:sz w:val="32"/>
          <w:lang w:val="en-US" w:eastAsia="zh-CN"/>
        </w:rPr>
      </w:pPr>
      <w:r>
        <w:rPr>
          <w:sz w:val="32"/>
        </w:rPr>
        <w:t>项目编号：</w:t>
      </w:r>
      <w:r>
        <w:rPr>
          <w:rFonts w:hint="eastAsia"/>
          <w:sz w:val="32"/>
        </w:rPr>
        <w:t>淅财招标采购</w:t>
      </w:r>
      <w:r>
        <w:rPr>
          <w:rFonts w:hint="eastAsia"/>
          <w:sz w:val="32"/>
          <w:lang w:val="en-US" w:eastAsia="zh-CN"/>
        </w:rPr>
        <w:t>2024-75</w:t>
      </w:r>
    </w:p>
    <w:p>
      <w:pPr>
        <w:spacing w:before="5"/>
        <w:ind w:left="252"/>
        <w:jc w:val="center"/>
        <w:rPr>
          <w:sz w:val="32"/>
        </w:rPr>
      </w:pPr>
      <w:r>
        <w:rPr>
          <w:w w:val="99"/>
          <w:sz w:val="32"/>
        </w:rPr>
        <w:t xml:space="preserve"> </w:t>
      </w:r>
    </w:p>
    <w:p>
      <w:pPr>
        <w:pStyle w:val="2"/>
      </w:pPr>
      <w:r>
        <w:t xml:space="preserve"> </w:t>
      </w:r>
    </w:p>
    <w:p/>
    <w:p>
      <w:pPr>
        <w:pStyle w:val="2"/>
      </w:pPr>
    </w:p>
    <w:p/>
    <w:p>
      <w:pPr>
        <w:pStyle w:val="2"/>
      </w:pPr>
    </w:p>
    <w:p/>
    <w:p>
      <w:pPr>
        <w:pStyle w:val="2"/>
      </w:pPr>
    </w:p>
    <w:p/>
    <w:p>
      <w:pPr>
        <w:pStyle w:val="2"/>
      </w:pPr>
    </w:p>
    <w:p>
      <w:pPr>
        <w:pStyle w:val="4"/>
        <w:spacing w:before="176" w:line="360" w:lineRule="auto"/>
        <w:rPr>
          <w:rFonts w:hint="eastAsia" w:eastAsia="宋体"/>
          <w:lang w:val="en-US" w:eastAsia="zh-CN"/>
        </w:rPr>
      </w:pPr>
      <w:r>
        <w:t>采 购 人：</w:t>
      </w:r>
      <w:r>
        <w:rPr>
          <w:rFonts w:hint="eastAsia"/>
        </w:rPr>
        <w:t>淅川县</w:t>
      </w:r>
      <w:r>
        <w:rPr>
          <w:rFonts w:hint="eastAsia"/>
          <w:lang w:val="en-US" w:eastAsia="zh-CN"/>
        </w:rPr>
        <w:t>自然资源局</w:t>
      </w:r>
    </w:p>
    <w:p>
      <w:pPr>
        <w:spacing w:before="212" w:line="360" w:lineRule="auto"/>
        <w:ind w:left="2266" w:right="1366"/>
        <w:rPr>
          <w:rFonts w:hint="default" w:eastAsia="宋体"/>
          <w:b/>
          <w:color w:val="C0504D" w:themeColor="accent2"/>
          <w:sz w:val="32"/>
          <w:lang w:val="en-US" w:eastAsia="zh-CN"/>
          <w14:textFill>
            <w14:solidFill>
              <w14:schemeClr w14:val="accent2"/>
            </w14:solidFill>
          </w14:textFill>
        </w:rPr>
      </w:pPr>
      <w:r>
        <w:rPr>
          <w:b/>
          <w:sz w:val="32"/>
        </w:rPr>
        <w:t>代理机构：</w:t>
      </w:r>
      <w:r>
        <w:rPr>
          <w:rFonts w:hint="eastAsia"/>
          <w:b/>
          <w:sz w:val="32"/>
          <w:lang w:val="en-US" w:eastAsia="zh-CN"/>
        </w:rPr>
        <w:t>河南一本商汇工程管理有限公司</w:t>
      </w:r>
    </w:p>
    <w:p>
      <w:pPr>
        <w:spacing w:before="212" w:line="360" w:lineRule="auto"/>
        <w:ind w:left="2266" w:right="1366"/>
        <w:rPr>
          <w:b/>
          <w:sz w:val="32"/>
        </w:rPr>
      </w:pPr>
      <w:r>
        <w:rPr>
          <w:b/>
          <w:sz w:val="32"/>
        </w:rPr>
        <w:t>日</w:t>
      </w:r>
      <w:r>
        <w:rPr>
          <w:rFonts w:hint="eastAsia"/>
          <w:b/>
          <w:sz w:val="32"/>
          <w:lang w:val="en-US"/>
        </w:rPr>
        <w:t xml:space="preserve">  </w:t>
      </w:r>
      <w:r>
        <w:rPr>
          <w:b/>
          <w:sz w:val="32"/>
        </w:rPr>
        <w:t xml:space="preserve"> 期 ：</w:t>
      </w:r>
      <w:r>
        <w:rPr>
          <w:rFonts w:hint="eastAsia"/>
          <w:b/>
          <w:sz w:val="32"/>
        </w:rPr>
        <w:t>二零二四年</w:t>
      </w:r>
      <w:r>
        <w:rPr>
          <w:rFonts w:hint="eastAsia"/>
          <w:b/>
          <w:sz w:val="32"/>
          <w:lang w:val="en-US" w:eastAsia="zh-CN"/>
        </w:rPr>
        <w:t>六</w:t>
      </w:r>
      <w:r>
        <w:rPr>
          <w:b/>
          <w:sz w:val="32"/>
        </w:rPr>
        <w:t>月</w:t>
      </w:r>
      <w:r>
        <w:rPr>
          <w:b/>
          <w:w w:val="98"/>
          <w:sz w:val="32"/>
        </w:rPr>
        <w:t xml:space="preserve"> </w:t>
      </w:r>
    </w:p>
    <w:p>
      <w:pPr>
        <w:pStyle w:val="2"/>
        <w:ind w:firstLine="0" w:firstLineChars="0"/>
      </w:pPr>
    </w:p>
    <w:p>
      <w:pPr>
        <w:pStyle w:val="2"/>
        <w:rPr>
          <w:szCs w:val="21"/>
        </w:rPr>
        <w:sectPr>
          <w:headerReference r:id="rId3" w:type="default"/>
          <w:footerReference r:id="rId4" w:type="default"/>
          <w:pgSz w:w="12240" w:h="15840"/>
          <w:pgMar w:top="1020" w:right="1160" w:bottom="280" w:left="1180" w:header="824" w:footer="0" w:gutter="0"/>
          <w:cols w:space="720" w:num="1"/>
        </w:sectPr>
      </w:pPr>
    </w:p>
    <w:sdt>
      <w:sdtPr>
        <w:rPr>
          <w:rFonts w:hint="eastAsia"/>
          <w:szCs w:val="21"/>
        </w:rPr>
        <w:id w:val="2"/>
        <w:docPartObj>
          <w:docPartGallery w:val="Table of Contents"/>
          <w:docPartUnique/>
        </w:docPartObj>
      </w:sdtPr>
      <w:sdtEndPr>
        <w:rPr>
          <w:rFonts w:hint="default"/>
          <w:szCs w:val="32"/>
        </w:rPr>
      </w:sdtEndPr>
      <w:sdtContent>
        <w:p>
          <w:pPr>
            <w:pStyle w:val="2"/>
            <w:ind w:firstLine="2891"/>
            <w:rPr>
              <w:sz w:val="44"/>
              <w:szCs w:val="44"/>
            </w:rPr>
          </w:pPr>
          <w:r>
            <w:rPr>
              <w:rFonts w:hint="eastAsia"/>
              <w:spacing w:val="-42"/>
              <w:sz w:val="44"/>
              <w:szCs w:val="44"/>
              <w14:textOutline w14:w="2311" w14:cap="flat" w14:cmpd="sng" w14:algn="ctr">
                <w14:solidFill>
                  <w14:srgbClr w14:val="000000"/>
                </w14:solidFill>
                <w14:prstDash w14:val="solid"/>
                <w14:miter w14:val="0"/>
              </w14:textOutline>
            </w:rPr>
            <w:t>目</w:t>
          </w:r>
          <w:r>
            <w:rPr>
              <w:rFonts w:hint="eastAsia"/>
              <w:sz w:val="44"/>
              <w:szCs w:val="44"/>
            </w:rPr>
            <w:t xml:space="preserve">      </w:t>
          </w:r>
          <w:r>
            <w:rPr>
              <w:rFonts w:hint="eastAsia"/>
              <w:spacing w:val="-42"/>
              <w:sz w:val="44"/>
              <w:szCs w:val="44"/>
              <w14:textOutline w14:w="2311" w14:cap="flat" w14:cmpd="sng" w14:algn="ctr">
                <w14:solidFill>
                  <w14:srgbClr w14:val="000000"/>
                </w14:solidFill>
                <w14:prstDash w14:val="solid"/>
                <w14:miter w14:val="0"/>
              </w14:textOutline>
            </w:rPr>
            <w:t>录</w:t>
          </w:r>
        </w:p>
        <w:p>
          <w:pPr>
            <w:spacing w:line="241" w:lineRule="auto"/>
            <w:jc w:val="both"/>
            <w:rPr>
              <w:rFonts w:asciiTheme="minorEastAsia" w:hAnsiTheme="minorEastAsia" w:cstheme="minorEastAsia"/>
            </w:rPr>
          </w:pPr>
        </w:p>
        <w:p>
          <w:pPr>
            <w:spacing w:line="241" w:lineRule="auto"/>
            <w:jc w:val="both"/>
            <w:rPr>
              <w:rFonts w:asciiTheme="minorEastAsia" w:hAnsiTheme="minorEastAsia" w:cstheme="minorEastAsia"/>
            </w:rPr>
          </w:pPr>
        </w:p>
        <w:p>
          <w:pPr>
            <w:pStyle w:val="2"/>
            <w:ind w:firstLine="0" w:firstLineChars="0"/>
          </w:pPr>
          <w:r>
            <w:rPr>
              <w:rFonts w:hint="eastAsia"/>
            </w:rPr>
            <w:t>第一章   公开招标公告</w:t>
          </w:r>
        </w:p>
        <w:p>
          <w:pPr>
            <w:pStyle w:val="2"/>
            <w:ind w:firstLine="0" w:firstLineChars="0"/>
          </w:pPr>
          <w:r>
            <w:rPr>
              <w:rFonts w:hint="eastAsia"/>
            </w:rPr>
            <w:t>第二章   采购需求</w:t>
          </w:r>
        </w:p>
        <w:p>
          <w:pPr>
            <w:pStyle w:val="2"/>
            <w:ind w:firstLine="0" w:firstLineChars="0"/>
          </w:pPr>
          <w:r>
            <w:rPr>
              <w:rFonts w:hint="eastAsia"/>
            </w:rPr>
            <w:t>第三章   投标人须知</w:t>
          </w:r>
          <w:r>
            <w:rPr>
              <w:rFonts w:hint="eastAsia"/>
              <w:spacing w:val="-107"/>
            </w:rPr>
            <w:t xml:space="preserve"> </w:t>
          </w:r>
        </w:p>
        <w:p>
          <w:pPr>
            <w:pStyle w:val="2"/>
            <w:ind w:firstLine="0" w:firstLineChars="0"/>
          </w:pPr>
          <w:r>
            <w:rPr>
              <w:rFonts w:hint="eastAsia"/>
            </w:rPr>
            <w:t>第四章   开、评标程序、评标方法和评标标准</w:t>
          </w:r>
          <w:r>
            <w:rPr>
              <w:rFonts w:hint="eastAsia"/>
              <w:spacing w:val="-100"/>
            </w:rPr>
            <w:t xml:space="preserve"> </w:t>
          </w:r>
        </w:p>
        <w:p>
          <w:pPr>
            <w:pStyle w:val="2"/>
            <w:ind w:firstLine="0" w:firstLineChars="0"/>
          </w:pPr>
          <w:r>
            <w:rPr>
              <w:rFonts w:hint="eastAsia"/>
            </w:rPr>
            <w:t>第五章   政府采购合同</w:t>
          </w:r>
        </w:p>
        <w:p>
          <w:pPr>
            <w:pStyle w:val="2"/>
            <w:ind w:firstLine="0" w:firstLineChars="0"/>
          </w:pPr>
          <w:r>
            <w:rPr>
              <w:rFonts w:hint="eastAsia"/>
            </w:rPr>
            <w:t>第六章   投标文件格式</w:t>
          </w:r>
        </w:p>
      </w:sdtContent>
    </w:sdt>
    <w:p>
      <w:pPr>
        <w:spacing w:line="219" w:lineRule="auto"/>
        <w:rPr>
          <w:rFonts w:asciiTheme="minorEastAsia" w:hAnsiTheme="minorEastAsia" w:cstheme="minorEastAsia"/>
          <w:sz w:val="24"/>
        </w:rPr>
      </w:pPr>
    </w:p>
    <w:p>
      <w:pPr>
        <w:pStyle w:val="2"/>
      </w:pPr>
    </w:p>
    <w:p>
      <w:pPr>
        <w:pStyle w:val="2"/>
      </w:pPr>
    </w:p>
    <w:p>
      <w:pPr>
        <w:pStyle w:val="2"/>
      </w:pPr>
    </w:p>
    <w:p>
      <w:pPr>
        <w:pStyle w:val="2"/>
      </w:pPr>
    </w:p>
    <w:p>
      <w:pPr>
        <w:pStyle w:val="2"/>
      </w:pPr>
    </w:p>
    <w:p>
      <w:pPr>
        <w:pStyle w:val="2"/>
      </w:pPr>
    </w:p>
    <w:p>
      <w:pPr>
        <w:pStyle w:val="2"/>
      </w:pPr>
    </w:p>
    <w:p>
      <w:pPr>
        <w:pStyle w:val="2"/>
      </w:pPr>
    </w:p>
    <w:p>
      <w:pPr>
        <w:jc w:val="center"/>
        <w:rPr>
          <w:rFonts w:ascii="Calibri"/>
          <w:sz w:val="18"/>
        </w:rPr>
        <w:sectPr>
          <w:footerReference r:id="rId5" w:type="default"/>
          <w:pgSz w:w="12240" w:h="15840"/>
          <w:pgMar w:top="1020" w:right="1160" w:bottom="280" w:left="1180" w:header="824" w:footer="0" w:gutter="0"/>
          <w:pgNumType w:start="1"/>
          <w:cols w:space="720" w:num="1"/>
        </w:sectPr>
      </w:pPr>
    </w:p>
    <w:p>
      <w:pPr>
        <w:pStyle w:val="3"/>
        <w:keepNext/>
        <w:keepLines/>
        <w:numPr>
          <w:ilvl w:val="0"/>
          <w:numId w:val="1"/>
        </w:numPr>
        <w:autoSpaceDE/>
        <w:autoSpaceDN/>
        <w:snapToGrid w:val="0"/>
        <w:spacing w:before="0"/>
        <w:ind w:left="0"/>
        <w:jc w:val="center"/>
        <w:rPr>
          <w:rFonts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pPr>
      <w:bookmarkStart w:id="0" w:name="_bookmark0"/>
      <w:bookmarkEnd w:id="0"/>
      <w:bookmarkStart w:id="1" w:name="_Toc4522"/>
      <w:r>
        <w:rPr>
          <w:rFonts w:hint="eastAsia"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t>公开招标公告</w:t>
      </w:r>
      <w:bookmarkEnd w:id="1"/>
    </w:p>
    <w:p>
      <w:pPr>
        <w:pStyle w:val="3"/>
        <w:ind w:firstLine="3534" w:firstLineChars="800"/>
        <w:jc w:val="both"/>
      </w:pPr>
    </w:p>
    <w:p>
      <w:pPr>
        <w:pStyle w:val="4"/>
        <w:spacing w:before="67"/>
        <w:ind w:left="0"/>
        <w:jc w:val="center"/>
      </w:pPr>
      <w:bookmarkStart w:id="2" w:name="_bookmark1"/>
      <w:bookmarkEnd w:id="2"/>
      <w:bookmarkStart w:id="3" w:name="OLE_LINK2"/>
      <w:bookmarkStart w:id="4" w:name="OLE_LINK1"/>
      <w:bookmarkStart w:id="5" w:name="OLE_LINK3"/>
      <w:bookmarkStart w:id="6" w:name="OLE_LINK4"/>
      <w:r>
        <w:rPr>
          <w:rFonts w:hint="eastAsia"/>
        </w:rPr>
        <w:t>淅川县城镇土地级别与基准地价更新项目</w:t>
      </w:r>
    </w:p>
    <w:p>
      <w:pPr>
        <w:pStyle w:val="4"/>
        <w:spacing w:before="67"/>
        <w:ind w:left="0"/>
        <w:jc w:val="center"/>
      </w:pPr>
      <w:r>
        <w:rPr>
          <w:rFonts w:hint="eastAsia"/>
        </w:rPr>
        <w:t>公开</w:t>
      </w:r>
      <w:r>
        <w:t>招标公告</w:t>
      </w:r>
    </w:p>
    <w:p>
      <w:pPr>
        <w:pStyle w:val="2"/>
      </w:pPr>
    </w:p>
    <w:p>
      <w:pPr>
        <w:spacing w:line="520" w:lineRule="exact"/>
        <w:ind w:firstLine="480" w:firstLineChars="200"/>
        <w:rPr>
          <w:color w:val="auto"/>
          <w:szCs w:val="21"/>
          <w:highlight w:val="none"/>
        </w:rPr>
      </w:pPr>
      <w:r>
        <w:rPr>
          <w:rFonts w:hint="eastAsia"/>
          <w:sz w:val="24"/>
          <w:szCs w:val="21"/>
        </w:rPr>
        <w:t>淅川县城镇土地级别与基准地价更新项目的潜在投标人应在南阳市公共资源交易中心电子交易系统淅川区</w:t>
      </w:r>
      <w:r>
        <w:rPr>
          <w:rFonts w:hint="eastAsia"/>
          <w:color w:val="auto"/>
          <w:sz w:val="24"/>
          <w:szCs w:val="21"/>
          <w:highlight w:val="none"/>
        </w:rPr>
        <w:t>（</w:t>
      </w:r>
      <w:r>
        <w:rPr>
          <w:color w:val="FF0000"/>
          <w:highlight w:val="none"/>
        </w:rPr>
        <w:fldChar w:fldCharType="begin"/>
      </w:r>
      <w:r>
        <w:rPr>
          <w:color w:val="FF0000"/>
          <w:highlight w:val="none"/>
        </w:rPr>
        <w:instrText xml:space="preserve"> HYPERLINK "http://ggzyjy.nanyang.gov.cn/XCXWeb/）获取招标文件，并于2024年" </w:instrText>
      </w:r>
      <w:r>
        <w:rPr>
          <w:color w:val="FF0000"/>
          <w:highlight w:val="none"/>
        </w:rPr>
        <w:fldChar w:fldCharType="separate"/>
      </w:r>
      <w:r>
        <w:rPr>
          <w:rFonts w:hint="eastAsia"/>
          <w:color w:val="FF0000"/>
          <w:sz w:val="24"/>
          <w:szCs w:val="21"/>
          <w:highlight w:val="none"/>
        </w:rPr>
        <w:t>http://ggzyjy.xichuan.gov.cn/）获取招标文件，并于202</w:t>
      </w:r>
      <w:r>
        <w:rPr>
          <w:rFonts w:hint="eastAsia"/>
          <w:color w:val="FF0000"/>
          <w:sz w:val="24"/>
          <w:szCs w:val="21"/>
          <w:highlight w:val="none"/>
          <w:lang w:val="en-US"/>
        </w:rPr>
        <w:t>4</w:t>
      </w:r>
      <w:r>
        <w:rPr>
          <w:rFonts w:hint="eastAsia"/>
          <w:color w:val="FF0000"/>
          <w:sz w:val="24"/>
          <w:szCs w:val="21"/>
          <w:highlight w:val="none"/>
        </w:rPr>
        <w:t>年</w:t>
      </w:r>
      <w:r>
        <w:rPr>
          <w:rFonts w:hint="eastAsia"/>
          <w:color w:val="FF0000"/>
          <w:sz w:val="24"/>
          <w:szCs w:val="21"/>
          <w:highlight w:val="none"/>
        </w:rPr>
        <w:fldChar w:fldCharType="end"/>
      </w:r>
      <w:r>
        <w:rPr>
          <w:rFonts w:hint="eastAsia"/>
          <w:color w:val="FF0000"/>
          <w:sz w:val="24"/>
          <w:szCs w:val="21"/>
          <w:highlight w:val="none"/>
          <w:lang w:val="en-US" w:eastAsia="zh-CN"/>
        </w:rPr>
        <w:t xml:space="preserve"> 07 </w:t>
      </w:r>
      <w:r>
        <w:rPr>
          <w:rFonts w:hint="eastAsia"/>
          <w:color w:val="FF0000"/>
          <w:sz w:val="24"/>
          <w:szCs w:val="21"/>
          <w:highlight w:val="none"/>
        </w:rPr>
        <w:t>月</w:t>
      </w:r>
      <w:r>
        <w:rPr>
          <w:rFonts w:hint="eastAsia"/>
          <w:color w:val="FF0000"/>
          <w:sz w:val="24"/>
          <w:szCs w:val="21"/>
          <w:highlight w:val="none"/>
          <w:lang w:val="en-US" w:eastAsia="zh-CN"/>
        </w:rPr>
        <w:t xml:space="preserve"> 16 </w:t>
      </w:r>
      <w:r>
        <w:rPr>
          <w:rFonts w:hint="eastAsia"/>
          <w:color w:val="FF0000"/>
          <w:sz w:val="24"/>
          <w:szCs w:val="21"/>
          <w:highlight w:val="none"/>
        </w:rPr>
        <w:t>日</w:t>
      </w:r>
      <w:r>
        <w:rPr>
          <w:color w:val="FF0000"/>
          <w:sz w:val="24"/>
          <w:szCs w:val="21"/>
          <w:highlight w:val="none"/>
        </w:rPr>
        <w:t>09</w:t>
      </w:r>
      <w:r>
        <w:rPr>
          <w:rFonts w:hint="eastAsia"/>
          <w:color w:val="FF0000"/>
          <w:sz w:val="24"/>
          <w:szCs w:val="21"/>
          <w:highlight w:val="none"/>
        </w:rPr>
        <w:t>时00分</w:t>
      </w:r>
      <w:r>
        <w:rPr>
          <w:rFonts w:hint="eastAsia"/>
          <w:color w:val="auto"/>
          <w:sz w:val="24"/>
          <w:szCs w:val="21"/>
          <w:highlight w:val="none"/>
        </w:rPr>
        <w:t>（北京时间）前递交投标文件。</w:t>
      </w:r>
    </w:p>
    <w:p>
      <w:pPr>
        <w:spacing w:line="520" w:lineRule="exact"/>
        <w:ind w:firstLine="221" w:firstLineChars="100"/>
        <w:rPr>
          <w:b/>
          <w:bCs/>
          <w:color w:val="auto"/>
          <w:szCs w:val="21"/>
          <w:highlight w:val="none"/>
          <w:shd w:val="clear" w:color="auto" w:fill="FFFFFF"/>
        </w:rPr>
      </w:pPr>
      <w:r>
        <w:rPr>
          <w:rFonts w:hint="eastAsia"/>
          <w:b/>
          <w:bCs/>
          <w:color w:val="auto"/>
          <w:szCs w:val="21"/>
          <w:highlight w:val="none"/>
          <w:shd w:val="clear" w:color="auto" w:fill="FFFFFF"/>
        </w:rPr>
        <w:t>一、项目基本情况</w:t>
      </w:r>
    </w:p>
    <w:p>
      <w:pPr>
        <w:spacing w:line="520" w:lineRule="exact"/>
        <w:ind w:firstLine="480" w:firstLineChars="200"/>
        <w:rPr>
          <w:rFonts w:hint="default" w:eastAsia="宋体"/>
          <w:color w:val="auto"/>
          <w:sz w:val="24"/>
          <w:szCs w:val="21"/>
          <w:highlight w:val="none"/>
          <w:lang w:val="en-US" w:eastAsia="zh-CN"/>
        </w:rPr>
      </w:pPr>
      <w:r>
        <w:rPr>
          <w:rFonts w:hint="eastAsia"/>
          <w:color w:val="auto"/>
          <w:sz w:val="24"/>
          <w:szCs w:val="21"/>
          <w:highlight w:val="none"/>
        </w:rPr>
        <w:t>1、项目编号：</w:t>
      </w:r>
      <w:r>
        <w:rPr>
          <w:rFonts w:hint="eastAsia"/>
          <w:color w:val="FF0000"/>
          <w:sz w:val="24"/>
          <w:szCs w:val="21"/>
          <w:highlight w:val="none"/>
        </w:rPr>
        <w:t>淅财招标采购-2024-</w:t>
      </w:r>
      <w:r>
        <w:rPr>
          <w:rFonts w:hint="eastAsia"/>
          <w:color w:val="FF0000"/>
          <w:sz w:val="24"/>
          <w:szCs w:val="21"/>
          <w:highlight w:val="none"/>
          <w:lang w:val="en-US" w:eastAsia="zh-CN"/>
        </w:rPr>
        <w:t>75</w:t>
      </w:r>
    </w:p>
    <w:p>
      <w:pPr>
        <w:spacing w:line="520" w:lineRule="exact"/>
        <w:ind w:firstLine="480" w:firstLineChars="200"/>
        <w:rPr>
          <w:color w:val="auto"/>
          <w:sz w:val="24"/>
          <w:szCs w:val="21"/>
          <w:highlight w:val="none"/>
          <w:lang w:val="en-US"/>
        </w:rPr>
      </w:pPr>
      <w:r>
        <w:rPr>
          <w:rFonts w:hint="eastAsia"/>
          <w:color w:val="auto"/>
          <w:sz w:val="24"/>
          <w:szCs w:val="21"/>
          <w:highlight w:val="none"/>
        </w:rPr>
        <w:t>2、项目名称：淅川县城镇土地级别与基准地价更新项目</w:t>
      </w:r>
    </w:p>
    <w:p>
      <w:pPr>
        <w:spacing w:line="520" w:lineRule="exact"/>
        <w:ind w:firstLine="480" w:firstLineChars="200"/>
        <w:rPr>
          <w:color w:val="auto"/>
          <w:sz w:val="24"/>
          <w:szCs w:val="21"/>
          <w:highlight w:val="none"/>
        </w:rPr>
      </w:pPr>
      <w:r>
        <w:rPr>
          <w:rFonts w:hint="eastAsia"/>
          <w:color w:val="auto"/>
          <w:sz w:val="24"/>
          <w:szCs w:val="21"/>
          <w:highlight w:val="none"/>
        </w:rPr>
        <w:t>3、采购方式：公开招标</w:t>
      </w:r>
    </w:p>
    <w:p>
      <w:pPr>
        <w:spacing w:line="520" w:lineRule="exact"/>
        <w:ind w:firstLine="480" w:firstLineChars="200"/>
        <w:rPr>
          <w:color w:val="auto"/>
          <w:sz w:val="24"/>
          <w:szCs w:val="21"/>
          <w:highlight w:val="none"/>
        </w:rPr>
      </w:pPr>
      <w:r>
        <w:rPr>
          <w:rFonts w:hint="eastAsia"/>
          <w:color w:val="auto"/>
          <w:sz w:val="24"/>
          <w:szCs w:val="21"/>
          <w:highlight w:val="none"/>
        </w:rPr>
        <w:t>4、预算金额：</w:t>
      </w:r>
      <w:r>
        <w:rPr>
          <w:rFonts w:hint="eastAsia" w:ascii="宋体" w:hAnsi="宋体"/>
          <w:sz w:val="28"/>
          <w:szCs w:val="28"/>
          <w:highlight w:val="none"/>
          <w:u w:val="none"/>
          <w:lang w:val="en-US" w:eastAsia="zh-CN"/>
        </w:rPr>
        <w:t>782216</w:t>
      </w:r>
      <w:r>
        <w:rPr>
          <w:rFonts w:hint="eastAsia"/>
          <w:color w:val="auto"/>
          <w:sz w:val="24"/>
          <w:szCs w:val="21"/>
          <w:highlight w:val="none"/>
        </w:rPr>
        <w:t>元</w:t>
      </w:r>
    </w:p>
    <w:p>
      <w:pPr>
        <w:spacing w:line="520" w:lineRule="exact"/>
        <w:ind w:firstLine="480" w:firstLineChars="200"/>
        <w:rPr>
          <w:color w:val="auto"/>
          <w:sz w:val="24"/>
          <w:szCs w:val="21"/>
          <w:highlight w:val="none"/>
          <w:lang w:val="en-US"/>
        </w:rPr>
      </w:pPr>
      <w:r>
        <w:rPr>
          <w:rFonts w:hint="eastAsia"/>
          <w:color w:val="auto"/>
          <w:sz w:val="24"/>
          <w:szCs w:val="21"/>
          <w:highlight w:val="none"/>
        </w:rPr>
        <w:t xml:space="preserve">   最高限价：</w:t>
      </w:r>
      <w:r>
        <w:rPr>
          <w:rFonts w:hint="eastAsia" w:ascii="宋体" w:hAnsi="宋体"/>
          <w:sz w:val="28"/>
          <w:szCs w:val="28"/>
          <w:highlight w:val="none"/>
          <w:u w:val="none"/>
          <w:lang w:val="en-US" w:eastAsia="zh-CN"/>
        </w:rPr>
        <w:t>7</w:t>
      </w:r>
      <w:r>
        <w:rPr>
          <w:rFonts w:hint="eastAsia"/>
          <w:sz w:val="28"/>
          <w:szCs w:val="28"/>
          <w:highlight w:val="none"/>
          <w:u w:val="none"/>
          <w:lang w:val="en-US" w:eastAsia="zh-CN"/>
        </w:rPr>
        <w:t>8</w:t>
      </w:r>
      <w:r>
        <w:rPr>
          <w:rFonts w:hint="eastAsia" w:ascii="宋体" w:hAnsi="宋体"/>
          <w:sz w:val="28"/>
          <w:szCs w:val="28"/>
          <w:highlight w:val="none"/>
          <w:u w:val="none"/>
          <w:lang w:val="en-US" w:eastAsia="zh-CN"/>
        </w:rPr>
        <w:t>2216</w:t>
      </w:r>
      <w:r>
        <w:rPr>
          <w:rFonts w:hint="eastAsia"/>
          <w:color w:val="auto"/>
          <w:sz w:val="24"/>
          <w:szCs w:val="21"/>
          <w:highlight w:val="none"/>
        </w:rPr>
        <w:t>元</w:t>
      </w:r>
    </w:p>
    <w:tbl>
      <w:tblPr>
        <w:tblStyle w:val="27"/>
        <w:tblpPr w:leftFromText="180" w:rightFromText="180" w:vertAnchor="text" w:horzAnchor="page" w:tblpX="2506" w:tblpY="177"/>
        <w:tblOverlap w:val="never"/>
        <w:tblW w:w="501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449"/>
        <w:gridCol w:w="2227"/>
        <w:gridCol w:w="2758"/>
        <w:gridCol w:w="1299"/>
        <w:gridCol w:w="16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37" w:hRule="atLeast"/>
        </w:trPr>
        <w:tc>
          <w:tcPr>
            <w:tcW w:w="268" w:type="pct"/>
            <w:shd w:val="clear" w:color="auto" w:fill="auto"/>
            <w:vAlign w:val="center"/>
          </w:tcPr>
          <w:p>
            <w:pPr>
              <w:spacing w:line="520" w:lineRule="exact"/>
              <w:rPr>
                <w:color w:val="auto"/>
                <w:szCs w:val="21"/>
                <w:highlight w:val="none"/>
              </w:rPr>
            </w:pPr>
            <w:r>
              <w:rPr>
                <w:rFonts w:hint="eastAsia"/>
                <w:color w:val="auto"/>
                <w:szCs w:val="21"/>
                <w:highlight w:val="none"/>
                <w:lang w:val="en-US"/>
              </w:rPr>
              <w:t>序号</w:t>
            </w:r>
          </w:p>
        </w:tc>
        <w:tc>
          <w:tcPr>
            <w:tcW w:w="1333" w:type="pct"/>
            <w:shd w:val="clear" w:color="auto" w:fill="auto"/>
            <w:vAlign w:val="center"/>
          </w:tcPr>
          <w:p>
            <w:pPr>
              <w:spacing w:line="520" w:lineRule="exact"/>
              <w:ind w:firstLine="880" w:firstLineChars="400"/>
              <w:rPr>
                <w:color w:val="auto"/>
                <w:szCs w:val="21"/>
                <w:highlight w:val="none"/>
              </w:rPr>
            </w:pPr>
            <w:r>
              <w:rPr>
                <w:color w:val="auto"/>
                <w:szCs w:val="21"/>
                <w:highlight w:val="none"/>
                <w:lang w:val="en-US"/>
              </w:rPr>
              <w:t>包</w:t>
            </w:r>
            <w:r>
              <w:rPr>
                <w:rFonts w:hint="eastAsia"/>
                <w:color w:val="auto"/>
                <w:szCs w:val="21"/>
                <w:highlight w:val="none"/>
                <w:lang w:val="en-US"/>
              </w:rPr>
              <w:t xml:space="preserve"> </w:t>
            </w:r>
            <w:r>
              <w:rPr>
                <w:color w:val="auto"/>
                <w:szCs w:val="21"/>
                <w:highlight w:val="none"/>
                <w:lang w:val="en-US"/>
              </w:rPr>
              <w:t xml:space="preserve">  号</w:t>
            </w:r>
          </w:p>
        </w:tc>
        <w:tc>
          <w:tcPr>
            <w:tcW w:w="1650" w:type="pct"/>
            <w:shd w:val="clear" w:color="auto" w:fill="auto"/>
            <w:vAlign w:val="center"/>
          </w:tcPr>
          <w:p>
            <w:pPr>
              <w:spacing w:line="520" w:lineRule="exact"/>
              <w:ind w:firstLine="1320" w:firstLineChars="600"/>
              <w:rPr>
                <w:color w:val="auto"/>
                <w:szCs w:val="21"/>
                <w:highlight w:val="none"/>
              </w:rPr>
            </w:pPr>
            <w:r>
              <w:rPr>
                <w:color w:val="auto"/>
                <w:szCs w:val="21"/>
                <w:highlight w:val="none"/>
                <w:lang w:val="en-US"/>
              </w:rPr>
              <w:t>包</w:t>
            </w:r>
            <w:r>
              <w:rPr>
                <w:rFonts w:hint="eastAsia"/>
                <w:color w:val="auto"/>
                <w:szCs w:val="21"/>
                <w:highlight w:val="none"/>
                <w:lang w:val="en-US"/>
              </w:rPr>
              <w:t xml:space="preserve"> </w:t>
            </w:r>
            <w:r>
              <w:rPr>
                <w:color w:val="auto"/>
                <w:szCs w:val="21"/>
                <w:highlight w:val="none"/>
                <w:lang w:val="en-US"/>
              </w:rPr>
              <w:t xml:space="preserve"> 名</w:t>
            </w:r>
            <w:r>
              <w:rPr>
                <w:rFonts w:hint="eastAsia"/>
                <w:color w:val="auto"/>
                <w:szCs w:val="21"/>
                <w:highlight w:val="none"/>
                <w:lang w:val="en-US"/>
              </w:rPr>
              <w:t xml:space="preserve"> </w:t>
            </w:r>
            <w:r>
              <w:rPr>
                <w:color w:val="auto"/>
                <w:szCs w:val="21"/>
                <w:highlight w:val="none"/>
                <w:lang w:val="en-US"/>
              </w:rPr>
              <w:t xml:space="preserve"> 称</w:t>
            </w:r>
          </w:p>
        </w:tc>
        <w:tc>
          <w:tcPr>
            <w:tcW w:w="777" w:type="pct"/>
            <w:shd w:val="clear" w:color="auto" w:fill="auto"/>
            <w:vAlign w:val="center"/>
          </w:tcPr>
          <w:p>
            <w:pPr>
              <w:spacing w:line="520" w:lineRule="exact"/>
              <w:ind w:firstLine="220" w:firstLineChars="100"/>
              <w:rPr>
                <w:color w:val="auto"/>
                <w:szCs w:val="21"/>
                <w:highlight w:val="none"/>
              </w:rPr>
            </w:pPr>
            <w:r>
              <w:rPr>
                <w:color w:val="auto"/>
                <w:szCs w:val="21"/>
                <w:highlight w:val="none"/>
                <w:lang w:val="en-US"/>
              </w:rPr>
              <w:t>包预算（元）</w:t>
            </w:r>
          </w:p>
        </w:tc>
        <w:tc>
          <w:tcPr>
            <w:tcW w:w="969" w:type="pct"/>
            <w:shd w:val="clear" w:color="auto" w:fill="auto"/>
            <w:vAlign w:val="center"/>
          </w:tcPr>
          <w:p>
            <w:pPr>
              <w:spacing w:line="520" w:lineRule="exact"/>
              <w:ind w:left="440" w:leftChars="100" w:hanging="220" w:hangingChars="100"/>
              <w:rPr>
                <w:color w:val="auto"/>
                <w:szCs w:val="21"/>
                <w:highlight w:val="none"/>
              </w:rPr>
            </w:pPr>
            <w:r>
              <w:rPr>
                <w:color w:val="auto"/>
                <w:szCs w:val="21"/>
                <w:highlight w:val="none"/>
                <w:lang w:val="en-US"/>
              </w:rPr>
              <w:t>包最高限（元）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19" w:hRule="atLeast"/>
        </w:trPr>
        <w:tc>
          <w:tcPr>
            <w:tcW w:w="268" w:type="pct"/>
            <w:shd w:val="clear" w:color="auto" w:fill="auto"/>
            <w:vAlign w:val="center"/>
          </w:tcPr>
          <w:p>
            <w:pPr>
              <w:spacing w:line="520" w:lineRule="exact"/>
              <w:ind w:firstLine="220" w:firstLineChars="100"/>
              <w:rPr>
                <w:color w:val="auto"/>
                <w:szCs w:val="21"/>
                <w:highlight w:val="none"/>
              </w:rPr>
            </w:pPr>
            <w:r>
              <w:rPr>
                <w:color w:val="auto"/>
                <w:szCs w:val="21"/>
                <w:highlight w:val="none"/>
                <w:lang w:val="en-US"/>
              </w:rPr>
              <w:t>1</w:t>
            </w:r>
          </w:p>
        </w:tc>
        <w:tc>
          <w:tcPr>
            <w:tcW w:w="1333" w:type="pct"/>
            <w:shd w:val="clear" w:color="auto" w:fill="auto"/>
            <w:vAlign w:val="center"/>
          </w:tcPr>
          <w:p>
            <w:pPr>
              <w:spacing w:line="520" w:lineRule="exact"/>
              <w:rPr>
                <w:rFonts w:hint="default" w:eastAsia="宋体"/>
                <w:color w:val="auto"/>
                <w:szCs w:val="21"/>
                <w:highlight w:val="none"/>
                <w:lang w:val="en-US" w:eastAsia="zh-CN"/>
              </w:rPr>
            </w:pPr>
            <w:r>
              <w:rPr>
                <w:rFonts w:hint="eastAsia"/>
                <w:color w:val="FF0000"/>
                <w:szCs w:val="21"/>
                <w:highlight w:val="none"/>
              </w:rPr>
              <w:t>淅财招标采购-2024-</w:t>
            </w:r>
            <w:r>
              <w:rPr>
                <w:rFonts w:hint="eastAsia"/>
                <w:color w:val="FF0000"/>
                <w:szCs w:val="21"/>
                <w:highlight w:val="none"/>
                <w:lang w:val="en-US" w:eastAsia="zh-CN"/>
              </w:rPr>
              <w:t>75</w:t>
            </w:r>
          </w:p>
        </w:tc>
        <w:tc>
          <w:tcPr>
            <w:tcW w:w="1650" w:type="pct"/>
            <w:shd w:val="clear" w:color="auto" w:fill="auto"/>
            <w:vAlign w:val="center"/>
          </w:tcPr>
          <w:p>
            <w:pPr>
              <w:spacing w:line="520" w:lineRule="exact"/>
              <w:jc w:val="center"/>
              <w:rPr>
                <w:color w:val="auto"/>
                <w:szCs w:val="21"/>
                <w:highlight w:val="none"/>
              </w:rPr>
            </w:pPr>
            <w:r>
              <w:rPr>
                <w:rFonts w:hint="eastAsia"/>
                <w:color w:val="auto"/>
                <w:sz w:val="24"/>
                <w:szCs w:val="21"/>
                <w:highlight w:val="none"/>
              </w:rPr>
              <w:t>淅川县城镇土地级别与基准地价更新项目</w:t>
            </w:r>
          </w:p>
        </w:tc>
        <w:tc>
          <w:tcPr>
            <w:tcW w:w="777" w:type="pct"/>
            <w:shd w:val="clear" w:color="auto" w:fill="auto"/>
            <w:vAlign w:val="center"/>
          </w:tcPr>
          <w:p>
            <w:pPr>
              <w:spacing w:line="520" w:lineRule="exact"/>
              <w:jc w:val="center"/>
              <w:rPr>
                <w:rFonts w:hint="default" w:eastAsia="宋体"/>
                <w:color w:val="auto"/>
                <w:szCs w:val="21"/>
                <w:highlight w:val="none"/>
                <w:lang w:val="en-US" w:eastAsia="zh-CN"/>
              </w:rPr>
            </w:pPr>
            <w:r>
              <w:rPr>
                <w:rFonts w:hint="eastAsia" w:ascii="宋体" w:hAnsi="宋体"/>
                <w:sz w:val="28"/>
                <w:szCs w:val="28"/>
                <w:highlight w:val="none"/>
                <w:u w:val="none"/>
                <w:lang w:val="en-US" w:eastAsia="zh-CN"/>
              </w:rPr>
              <w:t>782216</w:t>
            </w:r>
          </w:p>
        </w:tc>
        <w:tc>
          <w:tcPr>
            <w:tcW w:w="969" w:type="pct"/>
            <w:shd w:val="clear" w:color="auto" w:fill="auto"/>
            <w:vAlign w:val="center"/>
          </w:tcPr>
          <w:p>
            <w:pPr>
              <w:spacing w:line="520" w:lineRule="exact"/>
              <w:ind w:firstLine="280" w:firstLineChars="100"/>
              <w:rPr>
                <w:color w:val="auto"/>
                <w:szCs w:val="21"/>
                <w:highlight w:val="none"/>
              </w:rPr>
            </w:pPr>
            <w:r>
              <w:rPr>
                <w:rFonts w:hint="eastAsia" w:ascii="宋体" w:hAnsi="宋体"/>
                <w:sz w:val="28"/>
                <w:szCs w:val="28"/>
                <w:highlight w:val="none"/>
                <w:u w:val="none"/>
                <w:lang w:val="en-US" w:eastAsia="zh-CN"/>
              </w:rPr>
              <w:t>782216</w:t>
            </w:r>
          </w:p>
        </w:tc>
      </w:tr>
    </w:tbl>
    <w:p>
      <w:pPr>
        <w:spacing w:line="480" w:lineRule="exact"/>
        <w:rPr>
          <w:szCs w:val="21"/>
        </w:rPr>
      </w:pPr>
    </w:p>
    <w:p>
      <w:pPr>
        <w:spacing w:line="480" w:lineRule="exact"/>
        <w:rPr>
          <w:szCs w:val="21"/>
        </w:rPr>
      </w:pPr>
    </w:p>
    <w:p>
      <w:pPr>
        <w:spacing w:line="480" w:lineRule="exact"/>
        <w:rPr>
          <w:szCs w:val="21"/>
        </w:rPr>
      </w:pPr>
    </w:p>
    <w:p>
      <w:pPr>
        <w:spacing w:line="480" w:lineRule="exact"/>
        <w:rPr>
          <w:szCs w:val="21"/>
        </w:rPr>
      </w:pPr>
    </w:p>
    <w:p>
      <w:pPr>
        <w:spacing w:line="480" w:lineRule="exact"/>
        <w:rPr>
          <w:szCs w:val="21"/>
        </w:rPr>
      </w:pPr>
    </w:p>
    <w:p>
      <w:pPr>
        <w:spacing w:line="480" w:lineRule="exact"/>
        <w:rPr>
          <w:szCs w:val="21"/>
        </w:rPr>
      </w:pPr>
    </w:p>
    <w:p>
      <w:pPr>
        <w:spacing w:line="520" w:lineRule="exact"/>
        <w:ind w:firstLine="480" w:firstLineChars="200"/>
        <w:rPr>
          <w:sz w:val="24"/>
          <w:szCs w:val="21"/>
        </w:rPr>
      </w:pPr>
      <w:r>
        <w:rPr>
          <w:rFonts w:hint="eastAsia"/>
          <w:sz w:val="24"/>
          <w:szCs w:val="21"/>
        </w:rPr>
        <w:t>5、采购需求（包括但不限于标的的名称、数量、简要技术需求或服务要求等采购范围）：</w:t>
      </w:r>
      <w:r>
        <w:rPr>
          <w:rFonts w:hint="eastAsia"/>
          <w:sz w:val="24"/>
          <w:szCs w:val="21"/>
          <w:lang w:val="en-US" w:eastAsia="zh-CN"/>
        </w:rPr>
        <w:t>制定城镇土地级别与基准地价更新调整工作计划，土地级别更新，基准地价测算，建立宗地地价修正体系，建立数据库，文字成果制，成果验收和备案。</w:t>
      </w:r>
      <w:r>
        <w:rPr>
          <w:rFonts w:hint="eastAsia"/>
          <w:sz w:val="24"/>
          <w:szCs w:val="21"/>
          <w:lang w:eastAsia="zh-CN"/>
        </w:rPr>
        <w:t>（</w:t>
      </w:r>
      <w:r>
        <w:rPr>
          <w:rFonts w:hint="eastAsia"/>
          <w:sz w:val="24"/>
          <w:szCs w:val="21"/>
        </w:rPr>
        <w:t>详见招标文件第二章采购需求）</w:t>
      </w:r>
    </w:p>
    <w:p>
      <w:pPr>
        <w:spacing w:line="520" w:lineRule="exact"/>
        <w:ind w:firstLine="480" w:firstLineChars="200"/>
        <w:rPr>
          <w:sz w:val="24"/>
          <w:szCs w:val="21"/>
          <w:highlight w:val="none"/>
        </w:rPr>
      </w:pPr>
      <w:r>
        <w:rPr>
          <w:sz w:val="24"/>
          <w:szCs w:val="21"/>
          <w:highlight w:val="none"/>
        </w:rPr>
        <w:t>5.1、招标内容：</w:t>
      </w:r>
    </w:p>
    <w:p>
      <w:pPr>
        <w:spacing w:line="520" w:lineRule="exact"/>
        <w:ind w:firstLine="480" w:firstLineChars="200"/>
        <w:rPr>
          <w:rFonts w:hint="default"/>
          <w:sz w:val="24"/>
          <w:szCs w:val="21"/>
          <w:lang w:val="en-US" w:eastAsia="zh-CN"/>
        </w:rPr>
      </w:pPr>
      <w:r>
        <w:rPr>
          <w:rFonts w:hint="eastAsia"/>
          <w:color w:val="auto"/>
          <w:sz w:val="24"/>
          <w:szCs w:val="21"/>
          <w:highlight w:val="none"/>
        </w:rPr>
        <w:t>淅川县城镇土地级别与基准地价更新</w:t>
      </w:r>
      <w:r>
        <w:rPr>
          <w:rFonts w:hint="eastAsia"/>
          <w:color w:val="auto"/>
          <w:sz w:val="24"/>
          <w:szCs w:val="21"/>
          <w:highlight w:val="none"/>
          <w:lang w:val="en-US" w:eastAsia="zh-CN"/>
        </w:rPr>
        <w:t>服务</w:t>
      </w:r>
      <w:r>
        <w:rPr>
          <w:rFonts w:hint="eastAsia"/>
          <w:sz w:val="24"/>
          <w:szCs w:val="21"/>
          <w:lang w:val="en-US" w:eastAsia="zh-CN"/>
        </w:rPr>
        <w:t>，包含前期准备，土地级别更新，基准地价测算，建立宗地地价修正体系，建立数据库，文字成果制，成果验收和备案。</w:t>
      </w:r>
    </w:p>
    <w:p>
      <w:pPr>
        <w:spacing w:line="520" w:lineRule="exact"/>
        <w:ind w:firstLine="480" w:firstLineChars="200"/>
        <w:rPr>
          <w:sz w:val="24"/>
          <w:szCs w:val="21"/>
        </w:rPr>
      </w:pPr>
      <w:r>
        <w:rPr>
          <w:sz w:val="24"/>
          <w:szCs w:val="21"/>
        </w:rPr>
        <w:t>5.2、标段划分：1个标段</w:t>
      </w:r>
    </w:p>
    <w:p>
      <w:pPr>
        <w:spacing w:line="520" w:lineRule="exact"/>
        <w:ind w:firstLine="480" w:firstLineChars="200"/>
        <w:rPr>
          <w:sz w:val="24"/>
          <w:szCs w:val="21"/>
        </w:rPr>
      </w:pPr>
      <w:r>
        <w:rPr>
          <w:sz w:val="24"/>
          <w:szCs w:val="21"/>
        </w:rPr>
        <w:t>5.3</w:t>
      </w:r>
      <w:r>
        <w:rPr>
          <w:rFonts w:hint="eastAsia"/>
          <w:sz w:val="24"/>
          <w:szCs w:val="21"/>
        </w:rPr>
        <w:t>、质量要求：符合现行国家、省、市、行业标准，并满足招标人要求；</w:t>
      </w:r>
    </w:p>
    <w:p>
      <w:pPr>
        <w:spacing w:line="520" w:lineRule="exact"/>
        <w:ind w:firstLine="480" w:firstLineChars="200"/>
        <w:rPr>
          <w:sz w:val="24"/>
          <w:szCs w:val="21"/>
        </w:rPr>
      </w:pPr>
      <w:r>
        <w:rPr>
          <w:sz w:val="24"/>
          <w:szCs w:val="21"/>
        </w:rPr>
        <w:t>5.4、资金来源：</w:t>
      </w:r>
      <w:r>
        <w:rPr>
          <w:rFonts w:hint="eastAsia"/>
          <w:sz w:val="24"/>
          <w:szCs w:val="21"/>
          <w:lang w:val="en-US" w:eastAsia="zh-CN"/>
        </w:rPr>
        <w:t>财政资</w:t>
      </w:r>
      <w:r>
        <w:rPr>
          <w:sz w:val="24"/>
          <w:szCs w:val="21"/>
        </w:rPr>
        <w:t>金</w:t>
      </w:r>
    </w:p>
    <w:p>
      <w:pPr>
        <w:spacing w:line="520" w:lineRule="exact"/>
        <w:ind w:firstLine="480" w:firstLineChars="200"/>
        <w:rPr>
          <w:sz w:val="24"/>
          <w:szCs w:val="21"/>
          <w:highlight w:val="red"/>
        </w:rPr>
      </w:pPr>
      <w:r>
        <w:rPr>
          <w:sz w:val="24"/>
          <w:szCs w:val="21"/>
        </w:rPr>
        <w:t>6</w:t>
      </w:r>
      <w:r>
        <w:rPr>
          <w:rFonts w:hint="eastAsia"/>
          <w:sz w:val="24"/>
          <w:szCs w:val="21"/>
        </w:rPr>
        <w:t>、合同履行期限：</w:t>
      </w:r>
      <w:r>
        <w:rPr>
          <w:rFonts w:hint="eastAsia"/>
          <w:sz w:val="24"/>
          <w:szCs w:val="21"/>
          <w:highlight w:val="none"/>
          <w:lang w:val="en-US"/>
        </w:rPr>
        <w:t xml:space="preserve"> </w:t>
      </w:r>
      <w:r>
        <w:rPr>
          <w:rFonts w:hint="eastAsia"/>
          <w:color w:val="FF0000"/>
          <w:sz w:val="24"/>
          <w:szCs w:val="21"/>
          <w:highlight w:val="none"/>
          <w:lang w:val="en-US"/>
        </w:rPr>
        <w:t>6</w:t>
      </w:r>
      <w:r>
        <w:rPr>
          <w:rFonts w:hint="eastAsia"/>
          <w:color w:val="FF0000"/>
          <w:sz w:val="24"/>
          <w:szCs w:val="21"/>
          <w:highlight w:val="none"/>
        </w:rPr>
        <w:t>0个工作日</w:t>
      </w:r>
    </w:p>
    <w:p>
      <w:pPr>
        <w:spacing w:line="520" w:lineRule="exact"/>
        <w:ind w:firstLine="480" w:firstLineChars="200"/>
        <w:rPr>
          <w:sz w:val="24"/>
          <w:szCs w:val="21"/>
        </w:rPr>
      </w:pPr>
      <w:r>
        <w:rPr>
          <w:sz w:val="24"/>
          <w:szCs w:val="21"/>
        </w:rPr>
        <w:t>7</w:t>
      </w:r>
      <w:r>
        <w:rPr>
          <w:rFonts w:hint="eastAsia"/>
          <w:sz w:val="24"/>
          <w:szCs w:val="21"/>
        </w:rPr>
        <w:t>、本项目是否接受联合体投标：否</w:t>
      </w:r>
    </w:p>
    <w:p>
      <w:pPr>
        <w:spacing w:line="520" w:lineRule="exact"/>
        <w:ind w:firstLine="480" w:firstLineChars="200"/>
        <w:rPr>
          <w:sz w:val="24"/>
          <w:szCs w:val="21"/>
        </w:rPr>
      </w:pPr>
      <w:r>
        <w:rPr>
          <w:sz w:val="24"/>
          <w:szCs w:val="21"/>
        </w:rPr>
        <w:t>8、是否接受进口产品：否</w:t>
      </w:r>
    </w:p>
    <w:p>
      <w:pPr>
        <w:spacing w:line="520" w:lineRule="exact"/>
        <w:ind w:firstLine="480" w:firstLineChars="200"/>
        <w:rPr>
          <w:sz w:val="24"/>
          <w:szCs w:val="21"/>
        </w:rPr>
      </w:pPr>
      <w:r>
        <w:rPr>
          <w:rFonts w:hint="eastAsia"/>
          <w:sz w:val="24"/>
          <w:szCs w:val="21"/>
        </w:rPr>
        <w:t>9、是否专门面向中小企业：是</w:t>
      </w:r>
    </w:p>
    <w:p>
      <w:pPr>
        <w:tabs>
          <w:tab w:val="left" w:pos="1191"/>
        </w:tabs>
        <w:spacing w:line="480" w:lineRule="exact"/>
        <w:ind w:left="561" w:hanging="561" w:hangingChars="254"/>
        <w:rPr>
          <w:szCs w:val="21"/>
        </w:rPr>
      </w:pPr>
      <w:r>
        <w:rPr>
          <w:rFonts w:hint="eastAsia"/>
          <w:b/>
          <w:bCs/>
          <w:szCs w:val="21"/>
        </w:rPr>
        <w:t>二、申请人资格要求：</w:t>
      </w:r>
      <w:r>
        <w:rPr>
          <w:rFonts w:hint="eastAsia"/>
          <w:szCs w:val="21"/>
        </w:rPr>
        <w:t xml:space="preserve"> </w:t>
      </w:r>
    </w:p>
    <w:p>
      <w:pPr>
        <w:spacing w:line="520" w:lineRule="exact"/>
        <w:ind w:firstLine="480" w:firstLineChars="200"/>
        <w:rPr>
          <w:sz w:val="24"/>
          <w:szCs w:val="21"/>
        </w:rPr>
      </w:pPr>
      <w:r>
        <w:rPr>
          <w:rFonts w:hint="eastAsia"/>
          <w:sz w:val="24"/>
          <w:szCs w:val="21"/>
        </w:rPr>
        <w:t>1、符合《政府采购法》第二十二条之规定；</w:t>
      </w:r>
    </w:p>
    <w:p>
      <w:pPr>
        <w:spacing w:line="520" w:lineRule="exact"/>
        <w:ind w:firstLine="480" w:firstLineChars="200"/>
        <w:rPr>
          <w:sz w:val="24"/>
          <w:szCs w:val="21"/>
        </w:rPr>
      </w:pPr>
      <w:r>
        <w:rPr>
          <w:rFonts w:hint="eastAsia"/>
          <w:sz w:val="24"/>
          <w:szCs w:val="21"/>
        </w:rPr>
        <w:t>2、落实政府采购政策需满足的资格要求：</w:t>
      </w:r>
    </w:p>
    <w:p>
      <w:pPr>
        <w:spacing w:line="520" w:lineRule="exact"/>
        <w:ind w:firstLine="480" w:firstLineChars="200"/>
        <w:rPr>
          <w:sz w:val="24"/>
          <w:szCs w:val="21"/>
        </w:rPr>
      </w:pPr>
      <w:r>
        <w:rPr>
          <w:sz w:val="24"/>
          <w:szCs w:val="21"/>
        </w:rPr>
        <w:t>2.</w:t>
      </w:r>
      <w:r>
        <w:rPr>
          <w:rFonts w:hint="eastAsia"/>
          <w:sz w:val="24"/>
          <w:szCs w:val="21"/>
        </w:rPr>
        <w:t>1.中小企业政策</w:t>
      </w:r>
    </w:p>
    <w:p>
      <w:pPr>
        <w:spacing w:line="520" w:lineRule="exact"/>
        <w:ind w:firstLine="480" w:firstLineChars="200"/>
        <w:rPr>
          <w:sz w:val="24"/>
          <w:szCs w:val="21"/>
        </w:rPr>
      </w:pPr>
      <w:r>
        <w:rPr>
          <w:rFonts w:hint="eastAsia"/>
          <w:sz w:val="24"/>
          <w:szCs w:val="21"/>
        </w:rPr>
        <w:t>本项目专门面向中小企业采购。即：提供的</w:t>
      </w:r>
      <w:r>
        <w:rPr>
          <w:rFonts w:hint="eastAsia"/>
          <w:sz w:val="24"/>
          <w:szCs w:val="21"/>
          <w:lang w:val="en-US" w:eastAsia="zh-CN"/>
        </w:rPr>
        <w:t>服务</w:t>
      </w:r>
      <w:r>
        <w:rPr>
          <w:rFonts w:hint="eastAsia"/>
          <w:sz w:val="24"/>
          <w:szCs w:val="21"/>
        </w:rPr>
        <w:t>全部由符合政策要求的中小/微企业制造、服务全部由符合政策要求的中小/微企业承接。</w:t>
      </w:r>
    </w:p>
    <w:p>
      <w:pPr>
        <w:spacing w:line="520" w:lineRule="exact"/>
        <w:ind w:firstLine="480" w:firstLineChars="200"/>
        <w:rPr>
          <w:sz w:val="24"/>
          <w:szCs w:val="21"/>
        </w:rPr>
      </w:pPr>
      <w:r>
        <w:rPr>
          <w:rFonts w:hint="eastAsia"/>
          <w:sz w:val="24"/>
          <w:szCs w:val="21"/>
        </w:rPr>
        <w:t>2</w:t>
      </w:r>
      <w:r>
        <w:rPr>
          <w:sz w:val="24"/>
          <w:szCs w:val="21"/>
        </w:rPr>
        <w:t>.2</w:t>
      </w:r>
      <w:r>
        <w:rPr>
          <w:rFonts w:hint="eastAsia"/>
          <w:sz w:val="24"/>
          <w:szCs w:val="21"/>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pPr>
        <w:spacing w:line="520" w:lineRule="exact"/>
        <w:ind w:firstLine="480" w:firstLineChars="200"/>
        <w:rPr>
          <w:sz w:val="24"/>
          <w:szCs w:val="21"/>
        </w:rPr>
      </w:pPr>
      <w:r>
        <w:rPr>
          <w:sz w:val="24"/>
          <w:szCs w:val="21"/>
        </w:rPr>
        <w:t>2.</w:t>
      </w:r>
      <w:r>
        <w:rPr>
          <w:rFonts w:hint="eastAsia"/>
          <w:sz w:val="24"/>
          <w:szCs w:val="21"/>
        </w:rPr>
        <w:t>3.本项目支持河南省政府采购合同融资政策和资格信用承诺制。</w:t>
      </w:r>
    </w:p>
    <w:p>
      <w:pPr>
        <w:spacing w:line="520" w:lineRule="exact"/>
        <w:ind w:firstLine="480" w:firstLineChars="200"/>
        <w:rPr>
          <w:sz w:val="24"/>
          <w:szCs w:val="21"/>
        </w:rPr>
      </w:pPr>
      <w:r>
        <w:rPr>
          <w:sz w:val="24"/>
          <w:szCs w:val="21"/>
        </w:rPr>
        <w:t>2.</w:t>
      </w:r>
      <w:r>
        <w:rPr>
          <w:rFonts w:hint="eastAsia"/>
          <w:sz w:val="24"/>
          <w:szCs w:val="21"/>
        </w:rPr>
        <w:t>4.本项目是否属于政府购买服务：否</w:t>
      </w:r>
    </w:p>
    <w:p>
      <w:pPr>
        <w:spacing w:line="520" w:lineRule="exact"/>
        <w:ind w:firstLine="480" w:firstLineChars="200"/>
        <w:rPr>
          <w:sz w:val="24"/>
          <w:szCs w:val="21"/>
        </w:rPr>
      </w:pPr>
      <w:r>
        <w:rPr>
          <w:rFonts w:hint="eastAsia"/>
          <w:sz w:val="24"/>
          <w:szCs w:val="21"/>
        </w:rPr>
        <w:t>3、本项目的特定资格要求</w:t>
      </w:r>
    </w:p>
    <w:p>
      <w:pPr>
        <w:spacing w:line="520" w:lineRule="exact"/>
        <w:ind w:firstLine="480" w:firstLineChars="200"/>
        <w:rPr>
          <w:rFonts w:hint="eastAsia"/>
          <w:sz w:val="24"/>
          <w:szCs w:val="21"/>
        </w:rPr>
      </w:pPr>
      <w:r>
        <w:rPr>
          <w:rFonts w:hint="eastAsia"/>
          <w:sz w:val="24"/>
          <w:szCs w:val="21"/>
        </w:rPr>
        <w:t>3.1、</w:t>
      </w:r>
    </w:p>
    <w:p>
      <w:pPr>
        <w:spacing w:line="520" w:lineRule="exact"/>
        <w:ind w:firstLine="480" w:firstLineChars="200"/>
        <w:rPr>
          <w:sz w:val="24"/>
          <w:szCs w:val="21"/>
        </w:rPr>
      </w:pPr>
      <w:r>
        <w:rPr>
          <w:rFonts w:hint="eastAsia"/>
          <w:sz w:val="24"/>
          <w:szCs w:val="21"/>
        </w:rPr>
        <w:t>（1）注册于中华人民共和国境内，具有独立承担民事责任的能力；</w:t>
      </w:r>
    </w:p>
    <w:p>
      <w:pPr>
        <w:pStyle w:val="42"/>
        <w:spacing w:line="420" w:lineRule="exact"/>
        <w:ind w:firstLine="480" w:firstLineChars="200"/>
        <w:rPr>
          <w:rFonts w:hint="eastAsia" w:ascii="宋体" w:hAnsi="宋体" w:eastAsia="宋体" w:cs="宋体"/>
          <w:color w:val="FF0000"/>
          <w:sz w:val="24"/>
          <w:szCs w:val="21"/>
          <w:lang w:val="en-US" w:eastAsia="zh-CN" w:bidi="zh-CN"/>
        </w:rPr>
      </w:pPr>
      <w:r>
        <w:rPr>
          <w:rFonts w:hint="eastAsia" w:ascii="宋体" w:hAnsi="宋体" w:eastAsia="宋体" w:cs="宋体"/>
          <w:color w:val="auto"/>
          <w:sz w:val="24"/>
          <w:szCs w:val="21"/>
          <w:lang w:val="en-US" w:eastAsia="zh-CN" w:bidi="zh-CN"/>
        </w:rPr>
        <w:t>（</w:t>
      </w:r>
      <w:r>
        <w:rPr>
          <w:rFonts w:hint="eastAsia" w:hAnsi="宋体" w:cs="宋体"/>
          <w:color w:val="auto"/>
          <w:sz w:val="24"/>
          <w:szCs w:val="21"/>
          <w:lang w:val="en-US" w:eastAsia="zh-CN" w:bidi="zh-CN"/>
        </w:rPr>
        <w:t>2</w:t>
      </w:r>
      <w:r>
        <w:rPr>
          <w:rFonts w:hint="eastAsia" w:ascii="宋体" w:hAnsi="宋体" w:eastAsia="宋体" w:cs="宋体"/>
          <w:color w:val="auto"/>
          <w:sz w:val="24"/>
          <w:szCs w:val="21"/>
          <w:lang w:val="en-US" w:eastAsia="zh-CN" w:bidi="zh-CN"/>
        </w:rPr>
        <w:t>）</w:t>
      </w:r>
      <w:r>
        <w:rPr>
          <w:rFonts w:hint="eastAsia" w:ascii="宋体" w:hAnsi="宋体" w:eastAsia="宋体" w:cs="宋体"/>
          <w:color w:val="FF0000"/>
          <w:sz w:val="24"/>
          <w:szCs w:val="21"/>
          <w:lang w:val="en-US" w:eastAsia="zh-CN" w:bidi="zh-CN"/>
        </w:rPr>
        <w:t>具有省级（或以上）国土资源厅或自然资源厅颁发的土地估价机构备案函；</w:t>
      </w:r>
    </w:p>
    <w:p>
      <w:pPr>
        <w:pStyle w:val="42"/>
        <w:spacing w:line="420" w:lineRule="exact"/>
        <w:ind w:firstLine="480" w:firstLineChars="200"/>
        <w:rPr>
          <w:rFonts w:hint="eastAsia"/>
          <w:sz w:val="24"/>
          <w:szCs w:val="21"/>
        </w:rPr>
      </w:pPr>
      <w:r>
        <w:rPr>
          <w:rFonts w:hint="eastAsia"/>
          <w:sz w:val="24"/>
          <w:szCs w:val="21"/>
        </w:rPr>
        <w:t>（</w:t>
      </w:r>
      <w:r>
        <w:rPr>
          <w:rFonts w:hint="eastAsia"/>
          <w:sz w:val="24"/>
          <w:szCs w:val="21"/>
          <w:lang w:val="en-US" w:eastAsia="zh-CN"/>
        </w:rPr>
        <w:t>3</w:t>
      </w:r>
      <w:r>
        <w:rPr>
          <w:rFonts w:hint="eastAsia"/>
          <w:sz w:val="24"/>
          <w:szCs w:val="21"/>
        </w:rPr>
        <w:t>）根据《关于在政府采购活动中查询及使用信用记录有关问题的通知》(财库〔2016〕125号)的规定，对列入失信被执行人、重大税收违法案件当事人名单、政府采购严重违法失信行为记录名单的投标人，拒绝参与本项目政府采购活动。（查询渠道：“信用中国”网站（www.creditchina.gov.cn）、中国政府采购网（www.ccgp.gov.cn）），查询时间为发布公告之日起到投标截止时间；</w:t>
      </w:r>
    </w:p>
    <w:p>
      <w:pPr>
        <w:pStyle w:val="42"/>
        <w:spacing w:line="420" w:lineRule="exact"/>
        <w:ind w:firstLine="480" w:firstLineChars="200"/>
        <w:rPr>
          <w:sz w:val="24"/>
          <w:szCs w:val="21"/>
        </w:rPr>
      </w:pPr>
      <w:r>
        <w:rPr>
          <w:rFonts w:hint="eastAsia"/>
          <w:sz w:val="24"/>
          <w:szCs w:val="21"/>
        </w:rPr>
        <w:t>（</w:t>
      </w:r>
      <w:r>
        <w:rPr>
          <w:rFonts w:hint="eastAsia"/>
          <w:sz w:val="24"/>
          <w:szCs w:val="21"/>
          <w:lang w:val="en-US" w:eastAsia="zh-CN"/>
        </w:rPr>
        <w:t>4</w:t>
      </w:r>
      <w:r>
        <w:rPr>
          <w:rFonts w:hint="eastAsia"/>
          <w:sz w:val="24"/>
          <w:szCs w:val="21"/>
        </w:rPr>
        <w:t>）法律、行政法规规定的其他条件。</w:t>
      </w:r>
    </w:p>
    <w:p>
      <w:pPr>
        <w:spacing w:line="520" w:lineRule="exact"/>
        <w:ind w:firstLine="480" w:firstLineChars="200"/>
        <w:rPr>
          <w:rFonts w:hint="eastAsia" w:ascii="宋体" w:hAnsi="宋体" w:eastAsia="宋体" w:cs="宋体"/>
          <w:color w:val="auto"/>
          <w:sz w:val="24"/>
          <w:szCs w:val="21"/>
          <w:lang w:val="en-US" w:eastAsia="zh-CN" w:bidi="zh-CN"/>
        </w:rPr>
      </w:pPr>
      <w:r>
        <w:rPr>
          <w:rFonts w:hint="eastAsia"/>
          <w:sz w:val="24"/>
          <w:szCs w:val="21"/>
          <w:highlight w:val="none"/>
        </w:rPr>
        <w:t>3.2、</w:t>
      </w:r>
      <w:r>
        <w:rPr>
          <w:rFonts w:hint="eastAsia" w:ascii="宋体" w:hAnsi="宋体" w:eastAsia="宋体" w:cs="宋体"/>
          <w:color w:val="FF0000"/>
          <w:sz w:val="24"/>
          <w:szCs w:val="21"/>
          <w:lang w:val="en-US" w:eastAsia="zh-CN" w:bidi="zh-CN"/>
        </w:rPr>
        <w:t>拟派项目负责人必须取得土地估价师资格证书</w:t>
      </w:r>
      <w:r>
        <w:rPr>
          <w:rFonts w:hint="eastAsia" w:ascii="宋体" w:hAnsi="宋体" w:eastAsia="宋体" w:cs="宋体"/>
          <w:color w:val="auto"/>
          <w:sz w:val="24"/>
          <w:szCs w:val="21"/>
          <w:lang w:val="en-US" w:eastAsia="zh-CN" w:bidi="zh-CN"/>
        </w:rPr>
        <w:t>；</w:t>
      </w:r>
    </w:p>
    <w:p>
      <w:pPr>
        <w:spacing w:line="520" w:lineRule="exact"/>
        <w:ind w:firstLine="480" w:firstLineChars="200"/>
        <w:rPr>
          <w:sz w:val="24"/>
          <w:szCs w:val="21"/>
        </w:rPr>
      </w:pPr>
      <w:r>
        <w:rPr>
          <w:rFonts w:hint="eastAsia"/>
          <w:sz w:val="24"/>
          <w:szCs w:val="21"/>
        </w:rPr>
        <w:t>3.3、投标人需提供无行贿犯罪记录承诺函（承诺对象包括：投标人、法定代表人、授权委托人、拟派项目负责人）,并对其真实性负责，若承诺不实，造成的后果由投标人自行负责。经公检法司、纪检监察、行政监督部门查证“以向招标人或者评标委员会成员行贿的手段谋取中标的”投标企业不得参与本项目投标。</w:t>
      </w:r>
    </w:p>
    <w:p>
      <w:pPr>
        <w:spacing w:line="520" w:lineRule="exact"/>
        <w:ind w:firstLine="480" w:firstLineChars="200"/>
        <w:rPr>
          <w:sz w:val="24"/>
          <w:szCs w:val="21"/>
        </w:rPr>
      </w:pPr>
      <w:r>
        <w:rPr>
          <w:rFonts w:hint="eastAsia"/>
          <w:sz w:val="24"/>
          <w:szCs w:val="21"/>
        </w:rPr>
        <w:t>3.4、本项目实行资格后审，审查内容以投标截止时间前填报上传的企业诚信库信息为准，过期更改的诚信库信息不作为本项目评审依据。诚信库上传信息必须内容齐全，真实有效，原件扫描件清晰可辨。否则，由此造成应得分而未得分或资格审查不合格等情况的，由投标人自行承担责任。</w:t>
      </w:r>
    </w:p>
    <w:p>
      <w:pPr>
        <w:spacing w:line="520" w:lineRule="exact"/>
        <w:ind w:firstLine="480" w:firstLineChars="200"/>
        <w:rPr>
          <w:sz w:val="24"/>
          <w:szCs w:val="21"/>
        </w:rPr>
      </w:pPr>
      <w:r>
        <w:rPr>
          <w:rFonts w:hint="eastAsia"/>
          <w:sz w:val="24"/>
          <w:szCs w:val="21"/>
        </w:rPr>
        <w:t>3.5、本项目中标结果公示时，同时公示中标人诚信库信息，接受社会监督。</w:t>
      </w:r>
    </w:p>
    <w:p>
      <w:pPr>
        <w:spacing w:line="520" w:lineRule="exact"/>
        <w:ind w:firstLine="221" w:firstLineChars="100"/>
        <w:rPr>
          <w:b/>
          <w:bCs/>
          <w:szCs w:val="21"/>
          <w:shd w:val="clear" w:color="auto" w:fill="FFFFFF"/>
        </w:rPr>
      </w:pPr>
      <w:r>
        <w:rPr>
          <w:rFonts w:hint="eastAsia"/>
          <w:b/>
          <w:bCs/>
          <w:szCs w:val="21"/>
          <w:shd w:val="clear" w:color="auto" w:fill="FFFFFF"/>
        </w:rPr>
        <w:t>三、获取采购文件：</w:t>
      </w:r>
    </w:p>
    <w:p>
      <w:pPr>
        <w:spacing w:line="520" w:lineRule="exact"/>
        <w:ind w:firstLine="480" w:firstLineChars="200"/>
        <w:rPr>
          <w:color w:val="FF0000"/>
          <w:sz w:val="24"/>
          <w:szCs w:val="21"/>
          <w:highlight w:val="none"/>
        </w:rPr>
      </w:pPr>
      <w:r>
        <w:rPr>
          <w:rFonts w:hint="eastAsia"/>
          <w:color w:val="FF0000"/>
          <w:sz w:val="24"/>
          <w:szCs w:val="21"/>
          <w:highlight w:val="none"/>
        </w:rPr>
        <w:t>1.时间：2024年0</w:t>
      </w:r>
      <w:r>
        <w:rPr>
          <w:rFonts w:hint="eastAsia"/>
          <w:color w:val="FF0000"/>
          <w:sz w:val="24"/>
          <w:szCs w:val="21"/>
          <w:highlight w:val="none"/>
          <w:lang w:val="en-US" w:eastAsia="zh-CN"/>
        </w:rPr>
        <w:t>6</w:t>
      </w:r>
      <w:r>
        <w:rPr>
          <w:rFonts w:hint="eastAsia"/>
          <w:color w:val="FF0000"/>
          <w:sz w:val="24"/>
          <w:szCs w:val="21"/>
          <w:highlight w:val="none"/>
        </w:rPr>
        <w:t>月</w:t>
      </w:r>
      <w:r>
        <w:rPr>
          <w:rFonts w:hint="eastAsia"/>
          <w:color w:val="FF0000"/>
          <w:sz w:val="24"/>
          <w:szCs w:val="21"/>
          <w:highlight w:val="none"/>
          <w:lang w:val="en-US" w:eastAsia="zh-CN"/>
        </w:rPr>
        <w:t xml:space="preserve"> 26 </w:t>
      </w:r>
      <w:r>
        <w:rPr>
          <w:rFonts w:hint="eastAsia"/>
          <w:color w:val="FF0000"/>
          <w:sz w:val="24"/>
          <w:szCs w:val="21"/>
          <w:highlight w:val="none"/>
        </w:rPr>
        <w:t>日至2024年0</w:t>
      </w:r>
      <w:r>
        <w:rPr>
          <w:rFonts w:hint="eastAsia"/>
          <w:color w:val="FF0000"/>
          <w:sz w:val="24"/>
          <w:szCs w:val="21"/>
          <w:highlight w:val="none"/>
          <w:lang w:val="en-US" w:eastAsia="zh-CN"/>
        </w:rPr>
        <w:t>7</w:t>
      </w:r>
      <w:r>
        <w:rPr>
          <w:rFonts w:hint="eastAsia"/>
          <w:color w:val="FF0000"/>
          <w:sz w:val="24"/>
          <w:szCs w:val="21"/>
          <w:highlight w:val="none"/>
        </w:rPr>
        <w:t>月</w:t>
      </w:r>
      <w:r>
        <w:rPr>
          <w:rFonts w:hint="eastAsia"/>
          <w:color w:val="FF0000"/>
          <w:sz w:val="24"/>
          <w:szCs w:val="21"/>
          <w:highlight w:val="none"/>
          <w:lang w:val="en-US" w:eastAsia="zh-CN"/>
        </w:rPr>
        <w:t xml:space="preserve"> 15 </w:t>
      </w:r>
      <w:r>
        <w:rPr>
          <w:rFonts w:hint="eastAsia"/>
          <w:color w:val="FF0000"/>
          <w:sz w:val="24"/>
          <w:szCs w:val="21"/>
          <w:highlight w:val="none"/>
        </w:rPr>
        <w:t>日，每天上午09:00至12:00，下午12:00至18:00。</w:t>
      </w:r>
    </w:p>
    <w:p>
      <w:pPr>
        <w:spacing w:line="520" w:lineRule="exact"/>
        <w:ind w:firstLine="480" w:firstLineChars="200"/>
        <w:rPr>
          <w:sz w:val="24"/>
          <w:szCs w:val="21"/>
        </w:rPr>
      </w:pPr>
      <w:r>
        <w:rPr>
          <w:rFonts w:hint="eastAsia"/>
          <w:sz w:val="24"/>
          <w:szCs w:val="21"/>
        </w:rPr>
        <w:t>2.地点：南阳市公共资源交易中心电子交易系统淅川区</w:t>
      </w:r>
      <w:r>
        <w:fldChar w:fldCharType="begin"/>
      </w:r>
      <w:r>
        <w:instrText xml:space="preserve"> HYPERLINK "http://ggzyjy.nanyang.gov.cn/XCXWeb/" </w:instrText>
      </w:r>
      <w:r>
        <w:fldChar w:fldCharType="separate"/>
      </w:r>
      <w:r>
        <w:rPr>
          <w:rFonts w:hint="eastAsia"/>
          <w:sz w:val="24"/>
          <w:szCs w:val="21"/>
        </w:rPr>
        <w:t>(http://ggzyjy.xichuan.gov.cn/</w:t>
      </w:r>
      <w:r>
        <w:rPr>
          <w:rFonts w:hint="eastAsia"/>
          <w:sz w:val="24"/>
          <w:szCs w:val="21"/>
        </w:rPr>
        <w:fldChar w:fldCharType="end"/>
      </w:r>
      <w:r>
        <w:rPr>
          <w:rFonts w:hint="eastAsia"/>
          <w:sz w:val="24"/>
          <w:szCs w:val="21"/>
        </w:rPr>
        <w:t>)</w:t>
      </w:r>
    </w:p>
    <w:p>
      <w:pPr>
        <w:spacing w:line="520" w:lineRule="exact"/>
        <w:ind w:firstLine="480" w:firstLineChars="200"/>
        <w:rPr>
          <w:sz w:val="24"/>
          <w:szCs w:val="21"/>
        </w:rPr>
      </w:pPr>
      <w:r>
        <w:rPr>
          <w:rFonts w:hint="eastAsia"/>
          <w:sz w:val="24"/>
          <w:szCs w:val="21"/>
        </w:rPr>
        <w:t>3.方式：使用普通电子交易系统的，登录南阳市公共资源交易中心网（http://ggzyjy.xichuan.gov.cn/），注册后凭办理的企业身份认证锁（CA数字证书）登录会员系统按网上提示下载招标文件(*.nyzf格式)及资料（操作程序详见南阳市公共资源交易中心网站下载专区），电子交易系统技术支持电话：400-998-0000，CA数字证书技术支持电话：15672779650。</w:t>
      </w:r>
    </w:p>
    <w:p>
      <w:pPr>
        <w:spacing w:line="520" w:lineRule="exact"/>
        <w:ind w:firstLine="480" w:firstLineChars="200"/>
        <w:rPr>
          <w:sz w:val="24"/>
          <w:szCs w:val="21"/>
        </w:rPr>
      </w:pPr>
      <w:r>
        <w:rPr>
          <w:rFonts w:hint="eastAsia"/>
          <w:sz w:val="24"/>
          <w:szCs w:val="21"/>
        </w:rPr>
        <w:t>潜在投标人登录南阳市公共资源交易中心电子交易系统淅川区（http://ggzyjy.xichuan.gov.cn/）参与招标项目，可直接下载采购文件。</w:t>
      </w:r>
    </w:p>
    <w:p>
      <w:pPr>
        <w:spacing w:line="520" w:lineRule="exact"/>
        <w:ind w:firstLine="480" w:firstLineChars="200"/>
        <w:rPr>
          <w:sz w:val="24"/>
          <w:szCs w:val="21"/>
        </w:rPr>
      </w:pPr>
      <w:r>
        <w:rPr>
          <w:rFonts w:hint="eastAsia"/>
          <w:sz w:val="24"/>
          <w:szCs w:val="21"/>
          <w:lang w:val="en-US"/>
        </w:rPr>
        <w:t>4.</w:t>
      </w:r>
      <w:r>
        <w:rPr>
          <w:rFonts w:hint="eastAsia"/>
          <w:sz w:val="24"/>
          <w:szCs w:val="21"/>
        </w:rPr>
        <w:t>售价：0元。</w:t>
      </w:r>
    </w:p>
    <w:p>
      <w:pPr>
        <w:spacing w:line="520" w:lineRule="exact"/>
        <w:ind w:firstLine="442" w:firstLineChars="200"/>
        <w:rPr>
          <w:b/>
          <w:bCs/>
          <w:szCs w:val="21"/>
          <w:shd w:val="clear" w:color="auto" w:fill="FFFFFF"/>
        </w:rPr>
      </w:pPr>
      <w:r>
        <w:rPr>
          <w:rFonts w:hint="eastAsia"/>
          <w:b/>
          <w:bCs/>
          <w:szCs w:val="21"/>
          <w:shd w:val="clear" w:color="auto" w:fill="FFFFFF"/>
        </w:rPr>
        <w:t>四、投标截止时间及地点</w:t>
      </w:r>
    </w:p>
    <w:p>
      <w:pPr>
        <w:spacing w:line="520" w:lineRule="exact"/>
        <w:ind w:firstLine="480" w:firstLineChars="200"/>
        <w:rPr>
          <w:color w:val="FF0000"/>
          <w:sz w:val="24"/>
          <w:szCs w:val="21"/>
          <w:highlight w:val="none"/>
        </w:rPr>
      </w:pPr>
      <w:r>
        <w:rPr>
          <w:color w:val="FF0000"/>
          <w:sz w:val="24"/>
          <w:szCs w:val="21"/>
          <w:highlight w:val="none"/>
        </w:rPr>
        <w:t>1.时间：2024年0</w:t>
      </w:r>
      <w:r>
        <w:rPr>
          <w:rFonts w:hint="eastAsia"/>
          <w:color w:val="FF0000"/>
          <w:sz w:val="24"/>
          <w:szCs w:val="21"/>
          <w:highlight w:val="none"/>
          <w:lang w:val="en-US" w:eastAsia="zh-CN"/>
        </w:rPr>
        <w:t>7</w:t>
      </w:r>
      <w:r>
        <w:rPr>
          <w:color w:val="FF0000"/>
          <w:sz w:val="24"/>
          <w:szCs w:val="21"/>
          <w:highlight w:val="none"/>
        </w:rPr>
        <w:t>月</w:t>
      </w:r>
      <w:r>
        <w:rPr>
          <w:rFonts w:hint="eastAsia"/>
          <w:color w:val="FF0000"/>
          <w:sz w:val="24"/>
          <w:szCs w:val="21"/>
          <w:highlight w:val="none"/>
          <w:lang w:val="en-US" w:eastAsia="zh-CN"/>
        </w:rPr>
        <w:t xml:space="preserve">  16 </w:t>
      </w:r>
      <w:r>
        <w:rPr>
          <w:color w:val="FF0000"/>
          <w:sz w:val="24"/>
          <w:szCs w:val="21"/>
          <w:highlight w:val="none"/>
        </w:rPr>
        <w:t>日09时00分（北京时间）</w:t>
      </w:r>
    </w:p>
    <w:p>
      <w:pPr>
        <w:spacing w:line="520" w:lineRule="exact"/>
        <w:ind w:firstLine="480" w:firstLineChars="200"/>
        <w:rPr>
          <w:sz w:val="24"/>
          <w:szCs w:val="21"/>
        </w:rPr>
      </w:pPr>
      <w:r>
        <w:rPr>
          <w:sz w:val="24"/>
          <w:szCs w:val="21"/>
        </w:rPr>
        <w:t>2.地点：南阳市公共资源交易平台电子交易系统淅川(</w:t>
      </w:r>
      <w:r>
        <w:rPr>
          <w:rFonts w:hint="eastAsia"/>
          <w:sz w:val="24"/>
          <w:szCs w:val="21"/>
        </w:rPr>
        <w:t>http://ggzyjy.xichuan.gov.cn/</w:t>
      </w:r>
      <w:r>
        <w:rPr>
          <w:sz w:val="24"/>
          <w:szCs w:val="21"/>
        </w:rPr>
        <w:t>)</w:t>
      </w:r>
    </w:p>
    <w:p>
      <w:pPr>
        <w:spacing w:line="520" w:lineRule="exact"/>
        <w:ind w:firstLine="442" w:firstLineChars="200"/>
        <w:rPr>
          <w:b/>
          <w:bCs/>
          <w:szCs w:val="21"/>
          <w:shd w:val="clear" w:color="auto" w:fill="FFFFFF"/>
        </w:rPr>
      </w:pPr>
      <w:r>
        <w:rPr>
          <w:rFonts w:hint="eastAsia"/>
          <w:b/>
          <w:bCs/>
          <w:szCs w:val="21"/>
          <w:shd w:val="clear" w:color="auto" w:fill="FFFFFF"/>
        </w:rPr>
        <w:t>五、开标时间及地点</w:t>
      </w:r>
    </w:p>
    <w:p>
      <w:pPr>
        <w:spacing w:line="520" w:lineRule="exact"/>
        <w:ind w:firstLine="480" w:firstLineChars="200"/>
        <w:rPr>
          <w:color w:val="FF0000"/>
          <w:sz w:val="24"/>
          <w:szCs w:val="21"/>
          <w:highlight w:val="none"/>
        </w:rPr>
      </w:pPr>
      <w:r>
        <w:rPr>
          <w:color w:val="FF0000"/>
          <w:sz w:val="24"/>
          <w:szCs w:val="21"/>
          <w:highlight w:val="none"/>
        </w:rPr>
        <w:t>1.时间：2024年</w:t>
      </w:r>
      <w:r>
        <w:rPr>
          <w:rFonts w:hint="eastAsia"/>
          <w:color w:val="FF0000"/>
          <w:sz w:val="24"/>
          <w:szCs w:val="21"/>
          <w:highlight w:val="none"/>
          <w:lang w:val="en-US" w:eastAsia="zh-CN"/>
        </w:rPr>
        <w:t>07</w:t>
      </w:r>
      <w:r>
        <w:rPr>
          <w:color w:val="FF0000"/>
          <w:sz w:val="24"/>
          <w:szCs w:val="21"/>
          <w:highlight w:val="none"/>
        </w:rPr>
        <w:t>月</w:t>
      </w:r>
      <w:r>
        <w:rPr>
          <w:rFonts w:hint="eastAsia"/>
          <w:color w:val="FF0000"/>
          <w:sz w:val="24"/>
          <w:szCs w:val="21"/>
          <w:highlight w:val="none"/>
          <w:lang w:val="en-US" w:eastAsia="zh-CN"/>
        </w:rPr>
        <w:t xml:space="preserve"> 16  </w:t>
      </w:r>
      <w:r>
        <w:rPr>
          <w:color w:val="FF0000"/>
          <w:sz w:val="24"/>
          <w:szCs w:val="21"/>
          <w:highlight w:val="none"/>
        </w:rPr>
        <w:t>日09时00分（北京时间）</w:t>
      </w:r>
    </w:p>
    <w:p>
      <w:pPr>
        <w:spacing w:line="520" w:lineRule="exact"/>
        <w:ind w:firstLine="480" w:firstLineChars="200"/>
        <w:rPr>
          <w:sz w:val="24"/>
          <w:szCs w:val="21"/>
        </w:rPr>
      </w:pPr>
      <w:r>
        <w:rPr>
          <w:sz w:val="24"/>
          <w:szCs w:val="21"/>
        </w:rPr>
        <w:t>2.地点：该项目需要使用不见面开标，供应商无需前往现场来参与投标。各供应商根据手册要求，提前做好相关准备工作。附件：操作手册地址(下载专区中自行下载)、不见面开标大厅地址https://ggzyjy.nanyang.gov.cn/BidOpening/bidopeninghallaction/hall/login</w:t>
      </w:r>
    </w:p>
    <w:p>
      <w:pPr>
        <w:pStyle w:val="2"/>
        <w:ind w:firstLine="0" w:firstLineChars="0"/>
        <w:rPr>
          <w:sz w:val="10"/>
          <w:szCs w:val="10"/>
        </w:rPr>
      </w:pPr>
    </w:p>
    <w:p>
      <w:pPr>
        <w:shd w:val="clear" w:color="auto" w:fill="FFFFFF"/>
        <w:wordWrap w:val="0"/>
        <w:spacing w:line="360" w:lineRule="auto"/>
        <w:jc w:val="both"/>
        <w:rPr>
          <w:b/>
          <w:bCs/>
          <w:szCs w:val="21"/>
          <w:shd w:val="clear" w:color="auto" w:fill="FFFFFF"/>
        </w:rPr>
      </w:pPr>
      <w:r>
        <w:rPr>
          <w:rFonts w:hint="eastAsia"/>
          <w:b/>
          <w:bCs/>
          <w:szCs w:val="21"/>
          <w:shd w:val="clear" w:color="auto" w:fill="FFFFFF"/>
        </w:rPr>
        <w:t>六、发布公告的媒介及招标公告期限 ：</w:t>
      </w:r>
    </w:p>
    <w:p>
      <w:pPr>
        <w:spacing w:line="520" w:lineRule="exact"/>
        <w:ind w:firstLine="480" w:firstLineChars="200"/>
        <w:rPr>
          <w:sz w:val="24"/>
          <w:szCs w:val="21"/>
        </w:rPr>
      </w:pPr>
      <w:r>
        <w:rPr>
          <w:rFonts w:hint="eastAsia"/>
          <w:sz w:val="24"/>
          <w:szCs w:val="21"/>
        </w:rPr>
        <w:t>本次招标公告同时在《河南省政府采购网》《中国招标投标公共服务平台》《河南省电子招标投标公共服务平台》《淅川县公共资源交易</w:t>
      </w:r>
      <w:r>
        <w:rPr>
          <w:rFonts w:hint="eastAsia"/>
          <w:sz w:val="24"/>
          <w:szCs w:val="21"/>
          <w:lang w:val="en-US" w:eastAsia="zh-CN"/>
        </w:rPr>
        <w:t>平台</w:t>
      </w:r>
      <w:r>
        <w:rPr>
          <w:rFonts w:hint="eastAsia"/>
          <w:sz w:val="24"/>
          <w:szCs w:val="21"/>
        </w:rPr>
        <w:t>》网站上发布。本项目公告期限为5个工作日。</w:t>
      </w:r>
    </w:p>
    <w:p>
      <w:pPr>
        <w:shd w:val="clear" w:color="auto" w:fill="FFFFFF"/>
        <w:wordWrap w:val="0"/>
        <w:spacing w:line="360" w:lineRule="auto"/>
        <w:jc w:val="both"/>
        <w:rPr>
          <w:b/>
          <w:bCs/>
          <w:szCs w:val="21"/>
          <w:shd w:val="clear" w:color="auto" w:fill="FFFFFF"/>
        </w:rPr>
      </w:pPr>
      <w:r>
        <w:rPr>
          <w:rFonts w:hint="eastAsia"/>
          <w:b/>
          <w:bCs/>
          <w:szCs w:val="21"/>
          <w:shd w:val="clear" w:color="auto" w:fill="FFFFFF"/>
        </w:rPr>
        <w:t>七、其他补充事宜 ：</w:t>
      </w:r>
    </w:p>
    <w:p>
      <w:pPr>
        <w:pStyle w:val="25"/>
        <w:ind w:firstLine="480"/>
        <w:rPr>
          <w:rFonts w:ascii="宋体" w:hAnsi="宋体" w:eastAsia="宋体" w:cs="宋体"/>
          <w:b w:val="0"/>
          <w:spacing w:val="0"/>
          <w:sz w:val="24"/>
          <w:szCs w:val="21"/>
          <w:lang w:val="zh-CN" w:bidi="zh-CN"/>
        </w:rPr>
      </w:pPr>
      <w:r>
        <w:rPr>
          <w:rFonts w:hint="eastAsia" w:ascii="宋体" w:hAnsi="宋体" w:eastAsia="宋体" w:cs="宋体"/>
          <w:b w:val="0"/>
          <w:spacing w:val="0"/>
          <w:sz w:val="24"/>
          <w:szCs w:val="21"/>
          <w:lang w:val="zh-CN" w:bidi="zh-CN"/>
        </w:rPr>
        <w:t>1、企业诚信库注册</w:t>
      </w:r>
    </w:p>
    <w:p>
      <w:pPr>
        <w:pStyle w:val="25"/>
        <w:ind w:firstLine="480"/>
        <w:rPr>
          <w:rFonts w:ascii="宋体" w:hAnsi="宋体" w:eastAsia="宋体" w:cs="宋体"/>
          <w:b w:val="0"/>
          <w:spacing w:val="0"/>
          <w:sz w:val="24"/>
          <w:szCs w:val="21"/>
          <w:lang w:val="zh-CN" w:bidi="zh-CN"/>
        </w:rPr>
      </w:pPr>
      <w:r>
        <w:rPr>
          <w:rFonts w:hint="eastAsia" w:ascii="宋体" w:hAnsi="宋体" w:eastAsia="宋体" w:cs="宋体"/>
          <w:b w:val="0"/>
          <w:spacing w:val="0"/>
          <w:sz w:val="24"/>
          <w:szCs w:val="21"/>
          <w:lang w:val="zh-CN" w:bidi="zh-CN"/>
        </w:rPr>
        <w:t>本项目只接受南阳市公共资源电子交易平台中已加入企业诚信库的企业投标,未入库的投标人请及时办理入库手续。入库办理请参见南阳市公共资源交易中心网站https://ggzyjy.nanyang.gov.cn下载专区《诚信库申报操作手册》，企业办理诚信库不收取任何费用，不需携带原件到南阳市公共资源交易中心进行审核。因未及时办理入库手续导致无法投标的,责任自负。</w:t>
      </w:r>
    </w:p>
    <w:p>
      <w:pPr>
        <w:pStyle w:val="25"/>
        <w:ind w:firstLine="480"/>
        <w:rPr>
          <w:rFonts w:ascii="宋体" w:hAnsi="宋体" w:eastAsia="宋体" w:cs="宋体"/>
          <w:b w:val="0"/>
          <w:spacing w:val="0"/>
          <w:sz w:val="24"/>
          <w:szCs w:val="21"/>
          <w:lang w:val="zh-CN" w:bidi="zh-CN"/>
        </w:rPr>
      </w:pPr>
      <w:r>
        <w:rPr>
          <w:rFonts w:hint="eastAsia" w:ascii="宋体" w:hAnsi="宋体" w:eastAsia="宋体" w:cs="宋体"/>
          <w:b w:val="0"/>
          <w:spacing w:val="0"/>
          <w:sz w:val="24"/>
          <w:szCs w:val="21"/>
          <w:lang w:val="zh-CN" w:bidi="zh-CN"/>
        </w:rPr>
        <w:t>2、办理CA数字证书</w:t>
      </w:r>
    </w:p>
    <w:p>
      <w:pPr>
        <w:pStyle w:val="25"/>
        <w:ind w:firstLine="480"/>
        <w:rPr>
          <w:rFonts w:ascii="宋体" w:hAnsi="宋体" w:eastAsia="宋体" w:cs="宋体"/>
          <w:b w:val="0"/>
          <w:spacing w:val="0"/>
          <w:sz w:val="24"/>
          <w:szCs w:val="21"/>
          <w:lang w:val="zh-CN" w:bidi="zh-CN"/>
        </w:rPr>
      </w:pPr>
      <w:r>
        <w:rPr>
          <w:rFonts w:hint="eastAsia" w:ascii="宋体" w:hAnsi="宋体" w:eastAsia="宋体" w:cs="宋体"/>
          <w:b w:val="0"/>
          <w:spacing w:val="0"/>
          <w:sz w:val="24"/>
          <w:szCs w:val="21"/>
          <w:lang w:val="zh-CN" w:bidi="zh-CN"/>
        </w:rPr>
        <w:t>投标人完成企业诚信库注册后，必须办理CA数字证书方可在网上办理招投标相关业务。CA数字证书办理请参见南阳市公共资源交易中心网站下载专区《CA办理所需资料》。</w:t>
      </w:r>
    </w:p>
    <w:p>
      <w:pPr>
        <w:spacing w:line="520" w:lineRule="exact"/>
        <w:ind w:firstLine="480" w:firstLineChars="200"/>
        <w:rPr>
          <w:sz w:val="24"/>
          <w:szCs w:val="21"/>
        </w:rPr>
      </w:pPr>
      <w:r>
        <w:rPr>
          <w:rFonts w:hint="eastAsia"/>
          <w:sz w:val="24"/>
          <w:szCs w:val="21"/>
        </w:rPr>
        <w:t>3、因投标人无需现场参与开标，所有准备工作需要自行到位。开标过程中如遇到紧急事项，可在不见面开标大厅中进行提出异议或文字交流，严重问题可拨打技术支持电话400-998-0000。</w:t>
      </w:r>
    </w:p>
    <w:p>
      <w:pPr>
        <w:spacing w:line="520" w:lineRule="exact"/>
        <w:ind w:firstLine="480" w:firstLineChars="200"/>
        <w:rPr>
          <w:sz w:val="24"/>
          <w:szCs w:val="21"/>
        </w:rPr>
      </w:pPr>
      <w:r>
        <w:rPr>
          <w:rFonts w:hint="eastAsia"/>
          <w:sz w:val="24"/>
          <w:szCs w:val="21"/>
        </w:rPr>
        <w:t>4、不见面开标过程中，各投标人应在解密指令发出后30分钟内完成投标文件的解密。如遇特殊情况，解密时间可延迟30分钟。</w:t>
      </w:r>
    </w:p>
    <w:p>
      <w:pPr>
        <w:spacing w:line="520" w:lineRule="exact"/>
        <w:ind w:firstLine="480" w:firstLineChars="200"/>
        <w:rPr>
          <w:sz w:val="24"/>
          <w:szCs w:val="21"/>
        </w:rPr>
      </w:pPr>
      <w:r>
        <w:rPr>
          <w:rFonts w:hint="eastAsia"/>
          <w:sz w:val="24"/>
          <w:szCs w:val="21"/>
        </w:rPr>
        <w:t>5、本项目为电子评标项目，投标人须提供电子投标文件，电子投标文件需要使用投标文件制作工具制作，制作工具及操作手册可在南阳市公共资源交易中心网站“下载专区”中下载。</w:t>
      </w:r>
    </w:p>
    <w:p>
      <w:pPr>
        <w:spacing w:line="520" w:lineRule="exact"/>
        <w:ind w:firstLine="480" w:firstLineChars="200"/>
        <w:rPr>
          <w:sz w:val="24"/>
          <w:szCs w:val="21"/>
        </w:rPr>
      </w:pPr>
      <w:r>
        <w:rPr>
          <w:rFonts w:hint="eastAsia"/>
          <w:sz w:val="24"/>
          <w:szCs w:val="21"/>
        </w:rPr>
        <w:t>6、请各潜在投标人在获取文件后及时关注网站更新信息，若因其他原因未能及时看到网上更新信息而造成的损失，采购人及采购代理机构将不负任何责任。</w:t>
      </w:r>
    </w:p>
    <w:p>
      <w:pPr>
        <w:spacing w:line="520" w:lineRule="exact"/>
        <w:ind w:firstLine="480" w:firstLineChars="200"/>
        <w:rPr>
          <w:sz w:val="24"/>
          <w:szCs w:val="21"/>
        </w:rPr>
      </w:pPr>
      <w:r>
        <w:rPr>
          <w:rFonts w:hint="eastAsia"/>
          <w:sz w:val="24"/>
          <w:szCs w:val="21"/>
        </w:rPr>
        <w:t>电子交易系统技术支持电话：400-998-0000</w:t>
      </w:r>
    </w:p>
    <w:p>
      <w:pPr>
        <w:spacing w:line="520" w:lineRule="exact"/>
        <w:rPr>
          <w:sz w:val="24"/>
          <w:szCs w:val="21"/>
        </w:rPr>
      </w:pPr>
      <w:r>
        <w:rPr>
          <w:rFonts w:hint="eastAsia"/>
          <w:sz w:val="24"/>
          <w:szCs w:val="21"/>
        </w:rPr>
        <w:t>CA数字证书技术电话：详见淅川县公共资源交易中心网站首页CA办理和咨询</w:t>
      </w:r>
    </w:p>
    <w:p>
      <w:pPr>
        <w:spacing w:line="520" w:lineRule="exact"/>
        <w:ind w:firstLine="480" w:firstLineChars="200"/>
        <w:rPr>
          <w:sz w:val="24"/>
          <w:szCs w:val="21"/>
        </w:rPr>
      </w:pPr>
      <w:r>
        <w:rPr>
          <w:rFonts w:hint="eastAsia"/>
          <w:sz w:val="24"/>
          <w:szCs w:val="21"/>
        </w:rPr>
        <w:t>7、监督部门：淅川县财政局</w:t>
      </w:r>
    </w:p>
    <w:p>
      <w:pPr>
        <w:spacing w:line="520" w:lineRule="exact"/>
        <w:ind w:firstLine="480" w:firstLineChars="200"/>
        <w:rPr>
          <w:sz w:val="24"/>
          <w:szCs w:val="21"/>
        </w:rPr>
      </w:pPr>
      <w:r>
        <w:rPr>
          <w:rFonts w:hint="eastAsia"/>
          <w:sz w:val="24"/>
          <w:szCs w:val="21"/>
        </w:rPr>
        <w:t>监督部门代码：11411326006042033B</w:t>
      </w:r>
    </w:p>
    <w:p>
      <w:pPr>
        <w:spacing w:line="520" w:lineRule="exact"/>
        <w:ind w:firstLine="480" w:firstLineChars="200"/>
        <w:rPr>
          <w:sz w:val="24"/>
          <w:szCs w:val="21"/>
        </w:rPr>
      </w:pPr>
      <w:r>
        <w:rPr>
          <w:rFonts w:hint="eastAsia"/>
          <w:sz w:val="24"/>
          <w:szCs w:val="21"/>
        </w:rPr>
        <w:t>地址：淅川县金河镇</w:t>
      </w:r>
    </w:p>
    <w:p>
      <w:pPr>
        <w:spacing w:line="520" w:lineRule="exact"/>
        <w:ind w:firstLine="480" w:firstLineChars="200"/>
        <w:rPr>
          <w:sz w:val="24"/>
          <w:szCs w:val="21"/>
        </w:rPr>
      </w:pPr>
      <w:r>
        <w:rPr>
          <w:rFonts w:hint="eastAsia"/>
          <w:sz w:val="24"/>
          <w:szCs w:val="21"/>
        </w:rPr>
        <w:t>联 系 人：姚先生</w:t>
      </w:r>
    </w:p>
    <w:p>
      <w:pPr>
        <w:spacing w:line="520" w:lineRule="exact"/>
        <w:ind w:firstLine="480" w:firstLineChars="200"/>
        <w:rPr>
          <w:sz w:val="24"/>
          <w:szCs w:val="21"/>
        </w:rPr>
      </w:pPr>
      <w:r>
        <w:rPr>
          <w:rFonts w:hint="eastAsia"/>
          <w:sz w:val="24"/>
          <w:szCs w:val="21"/>
        </w:rPr>
        <w:t>联系电话：0377-60668835</w:t>
      </w:r>
    </w:p>
    <w:p>
      <w:pPr>
        <w:shd w:val="clear" w:color="auto" w:fill="FFFFFF"/>
        <w:wordWrap w:val="0"/>
        <w:spacing w:line="360" w:lineRule="auto"/>
        <w:jc w:val="both"/>
        <w:rPr>
          <w:b/>
          <w:bCs/>
          <w:szCs w:val="21"/>
          <w:shd w:val="clear" w:color="auto" w:fill="FFFFFF"/>
        </w:rPr>
      </w:pPr>
      <w:r>
        <w:rPr>
          <w:rFonts w:hint="eastAsia"/>
          <w:b/>
          <w:bCs/>
          <w:szCs w:val="21"/>
          <w:shd w:val="clear" w:color="auto" w:fill="FFFFFF"/>
        </w:rPr>
        <w:t>八、凡对本次招标提出询问，请按照以下方式联系</w:t>
      </w:r>
    </w:p>
    <w:p>
      <w:pPr>
        <w:spacing w:line="520" w:lineRule="exact"/>
        <w:ind w:firstLine="480" w:firstLineChars="200"/>
        <w:rPr>
          <w:sz w:val="24"/>
          <w:szCs w:val="21"/>
        </w:rPr>
      </w:pPr>
      <w:r>
        <w:rPr>
          <w:rFonts w:hint="eastAsia"/>
          <w:sz w:val="24"/>
          <w:szCs w:val="21"/>
        </w:rPr>
        <w:t>1.招标人信息</w:t>
      </w:r>
    </w:p>
    <w:p>
      <w:pPr>
        <w:spacing w:line="520" w:lineRule="exact"/>
        <w:ind w:firstLine="480" w:firstLineChars="200"/>
        <w:rPr>
          <w:rFonts w:hint="eastAsia" w:eastAsia="宋体"/>
          <w:sz w:val="24"/>
          <w:szCs w:val="21"/>
          <w:lang w:eastAsia="zh-CN"/>
        </w:rPr>
      </w:pPr>
      <w:r>
        <w:rPr>
          <w:rFonts w:hint="eastAsia"/>
          <w:sz w:val="24"/>
          <w:szCs w:val="21"/>
        </w:rPr>
        <w:t>名称：淅川县</w:t>
      </w:r>
      <w:r>
        <w:rPr>
          <w:rFonts w:hint="eastAsia"/>
          <w:sz w:val="24"/>
          <w:szCs w:val="21"/>
          <w:lang w:val="en-US" w:eastAsia="zh-CN"/>
        </w:rPr>
        <w:t>自然资源局</w:t>
      </w:r>
    </w:p>
    <w:p>
      <w:pPr>
        <w:spacing w:line="520" w:lineRule="exact"/>
        <w:ind w:firstLine="480" w:firstLineChars="200"/>
        <w:rPr>
          <w:rFonts w:hint="eastAsia" w:eastAsia="宋体"/>
          <w:sz w:val="24"/>
          <w:szCs w:val="21"/>
          <w:lang w:val="en-US" w:eastAsia="zh-CN"/>
        </w:rPr>
      </w:pPr>
      <w:r>
        <w:rPr>
          <w:rFonts w:hint="eastAsia"/>
          <w:sz w:val="24"/>
          <w:szCs w:val="21"/>
        </w:rPr>
        <w:t>地址：淅川县</w:t>
      </w:r>
      <w:r>
        <w:rPr>
          <w:rFonts w:hint="eastAsia"/>
          <w:sz w:val="24"/>
          <w:szCs w:val="21"/>
          <w:lang w:val="en-US" w:eastAsia="zh-CN"/>
        </w:rPr>
        <w:t>北区</w:t>
      </w:r>
    </w:p>
    <w:p>
      <w:pPr>
        <w:spacing w:line="520" w:lineRule="exact"/>
        <w:ind w:firstLine="480" w:firstLineChars="200"/>
        <w:rPr>
          <w:rFonts w:hint="eastAsia" w:eastAsia="宋体"/>
          <w:sz w:val="24"/>
          <w:szCs w:val="21"/>
          <w:highlight w:val="none"/>
          <w:lang w:val="en-US" w:eastAsia="zh-CN"/>
        </w:rPr>
      </w:pPr>
      <w:r>
        <w:rPr>
          <w:rFonts w:hint="eastAsia"/>
          <w:sz w:val="24"/>
          <w:szCs w:val="21"/>
          <w:highlight w:val="none"/>
        </w:rPr>
        <w:t>联系人：</w:t>
      </w:r>
      <w:r>
        <w:rPr>
          <w:rFonts w:hint="eastAsia"/>
          <w:sz w:val="24"/>
          <w:szCs w:val="21"/>
          <w:highlight w:val="none"/>
          <w:lang w:val="en-US" w:eastAsia="zh-CN"/>
        </w:rPr>
        <w:t>耿先生</w:t>
      </w:r>
    </w:p>
    <w:p>
      <w:pPr>
        <w:spacing w:line="520" w:lineRule="exact"/>
        <w:ind w:firstLine="480" w:firstLineChars="200"/>
        <w:rPr>
          <w:sz w:val="24"/>
          <w:szCs w:val="21"/>
          <w:highlight w:val="red"/>
        </w:rPr>
      </w:pPr>
      <w:r>
        <w:rPr>
          <w:rFonts w:hint="eastAsia"/>
          <w:sz w:val="24"/>
          <w:szCs w:val="21"/>
          <w:highlight w:val="none"/>
        </w:rPr>
        <w:t>联系电话：</w:t>
      </w:r>
      <w:r>
        <w:rPr>
          <w:rFonts w:hint="eastAsia"/>
          <w:sz w:val="24"/>
          <w:szCs w:val="21"/>
          <w:highlight w:val="none"/>
          <w:lang w:val="en-US" w:eastAsia="zh-CN"/>
        </w:rPr>
        <w:t>13949390058</w:t>
      </w:r>
    </w:p>
    <w:p>
      <w:pPr>
        <w:spacing w:line="520" w:lineRule="exact"/>
        <w:ind w:firstLine="480" w:firstLineChars="200"/>
        <w:rPr>
          <w:sz w:val="24"/>
          <w:szCs w:val="21"/>
        </w:rPr>
      </w:pPr>
      <w:r>
        <w:rPr>
          <w:rFonts w:hint="eastAsia"/>
          <w:sz w:val="24"/>
          <w:szCs w:val="21"/>
        </w:rPr>
        <w:t>2.采购代理机构信息 (如有)</w:t>
      </w:r>
    </w:p>
    <w:p>
      <w:pPr>
        <w:spacing w:line="520" w:lineRule="exact"/>
        <w:ind w:firstLine="480" w:firstLineChars="200"/>
        <w:rPr>
          <w:rFonts w:hint="eastAsia" w:eastAsia="宋体"/>
          <w:sz w:val="24"/>
          <w:szCs w:val="21"/>
          <w:lang w:val="en-US" w:eastAsia="zh-CN"/>
        </w:rPr>
      </w:pPr>
      <w:r>
        <w:rPr>
          <w:rFonts w:hint="eastAsia"/>
          <w:sz w:val="24"/>
          <w:szCs w:val="21"/>
          <w:lang w:val="en-US"/>
        </w:rPr>
        <w:t>名称</w:t>
      </w:r>
      <w:r>
        <w:rPr>
          <w:rFonts w:hint="eastAsia"/>
          <w:sz w:val="24"/>
          <w:szCs w:val="21"/>
        </w:rPr>
        <w:t>：</w:t>
      </w:r>
      <w:r>
        <w:rPr>
          <w:rFonts w:hint="eastAsia"/>
          <w:sz w:val="24"/>
          <w:szCs w:val="21"/>
          <w:lang w:val="en-US" w:eastAsia="zh-CN"/>
        </w:rPr>
        <w:t>河南一本商汇工程管理有限公司</w:t>
      </w:r>
    </w:p>
    <w:p>
      <w:pPr>
        <w:spacing w:line="520" w:lineRule="exact"/>
        <w:ind w:firstLine="480" w:firstLineChars="200"/>
        <w:rPr>
          <w:rFonts w:hint="eastAsia"/>
          <w:sz w:val="24"/>
          <w:szCs w:val="21"/>
          <w:lang w:val="en-US" w:eastAsia="zh-CN"/>
        </w:rPr>
      </w:pPr>
      <w:r>
        <w:rPr>
          <w:rFonts w:hint="eastAsia"/>
          <w:sz w:val="24"/>
          <w:szCs w:val="21"/>
        </w:rPr>
        <w:t>地址：</w:t>
      </w:r>
      <w:r>
        <w:rPr>
          <w:rFonts w:hint="eastAsia"/>
          <w:sz w:val="24"/>
          <w:szCs w:val="21"/>
          <w:lang w:val="en-US" w:eastAsia="zh-CN"/>
        </w:rPr>
        <w:t>河南省南阳市仲景路长安一号写字楼</w:t>
      </w:r>
      <w:r>
        <w:rPr>
          <w:rFonts w:hint="default"/>
          <w:sz w:val="24"/>
          <w:szCs w:val="21"/>
          <w:lang w:val="en-US" w:eastAsia="zh-CN"/>
        </w:rPr>
        <w:t>A</w:t>
      </w:r>
      <w:r>
        <w:rPr>
          <w:rFonts w:hint="eastAsia"/>
          <w:sz w:val="24"/>
          <w:szCs w:val="21"/>
          <w:lang w:val="en-US" w:eastAsia="zh-CN"/>
        </w:rPr>
        <w:t>座</w:t>
      </w:r>
      <w:r>
        <w:rPr>
          <w:rFonts w:hint="default"/>
          <w:sz w:val="24"/>
          <w:szCs w:val="21"/>
          <w:lang w:val="en-US" w:eastAsia="zh-CN"/>
        </w:rPr>
        <w:t>4</w:t>
      </w:r>
      <w:r>
        <w:rPr>
          <w:rFonts w:hint="eastAsia"/>
          <w:sz w:val="24"/>
          <w:szCs w:val="21"/>
          <w:lang w:val="en-US" w:eastAsia="zh-CN"/>
        </w:rPr>
        <w:t>楼</w:t>
      </w:r>
    </w:p>
    <w:p>
      <w:pPr>
        <w:spacing w:line="520" w:lineRule="exact"/>
        <w:ind w:firstLine="480" w:firstLineChars="200"/>
        <w:rPr>
          <w:rFonts w:hint="eastAsia" w:eastAsia="宋体"/>
          <w:sz w:val="24"/>
          <w:szCs w:val="21"/>
          <w:lang w:val="en-US" w:eastAsia="zh-CN"/>
        </w:rPr>
      </w:pPr>
      <w:r>
        <w:rPr>
          <w:rFonts w:hint="eastAsia"/>
          <w:sz w:val="24"/>
          <w:szCs w:val="21"/>
        </w:rPr>
        <w:t>联系人：</w:t>
      </w:r>
      <w:r>
        <w:rPr>
          <w:rFonts w:hint="eastAsia"/>
          <w:sz w:val="24"/>
          <w:szCs w:val="21"/>
          <w:lang w:val="en-US" w:eastAsia="zh-CN"/>
        </w:rPr>
        <w:t>梁先生</w:t>
      </w:r>
    </w:p>
    <w:p>
      <w:pPr>
        <w:spacing w:line="520" w:lineRule="exact"/>
        <w:ind w:firstLine="480" w:firstLineChars="200"/>
        <w:rPr>
          <w:rFonts w:hint="default" w:eastAsia="宋体"/>
          <w:sz w:val="24"/>
          <w:szCs w:val="21"/>
          <w:lang w:val="en-US" w:eastAsia="zh-CN"/>
        </w:rPr>
      </w:pPr>
      <w:r>
        <w:rPr>
          <w:rFonts w:hint="eastAsia"/>
          <w:sz w:val="24"/>
          <w:szCs w:val="21"/>
        </w:rPr>
        <w:t>联系电话：</w:t>
      </w:r>
      <w:r>
        <w:rPr>
          <w:rFonts w:hint="eastAsia"/>
          <w:sz w:val="24"/>
          <w:szCs w:val="21"/>
          <w:lang w:val="en-US" w:eastAsia="zh-CN"/>
        </w:rPr>
        <w:t>15238144080</w:t>
      </w:r>
      <w:bookmarkStart w:id="25" w:name="_GoBack"/>
      <w:bookmarkEnd w:id="25"/>
    </w:p>
    <w:p>
      <w:pPr>
        <w:spacing w:line="520" w:lineRule="exact"/>
        <w:jc w:val="right"/>
        <w:rPr>
          <w:rFonts w:hint="eastAsia"/>
          <w:sz w:val="24"/>
          <w:szCs w:val="21"/>
          <w:highlight w:val="none"/>
          <w:lang w:val="en-US" w:eastAsia="zh-CN"/>
        </w:rPr>
      </w:pPr>
      <w:r>
        <w:rPr>
          <w:rFonts w:hint="eastAsia"/>
          <w:sz w:val="24"/>
          <w:szCs w:val="21"/>
          <w:highlight w:val="none"/>
          <w:lang w:val="en-US" w:eastAsia="zh-CN"/>
        </w:rPr>
        <w:t>河南一本商汇工程管理有限公司</w:t>
      </w:r>
    </w:p>
    <w:p>
      <w:pPr>
        <w:spacing w:line="520" w:lineRule="exact"/>
        <w:ind w:firstLine="5520" w:firstLineChars="2300"/>
        <w:jc w:val="right"/>
        <w:rPr>
          <w:color w:val="FF0000"/>
          <w:sz w:val="24"/>
          <w:szCs w:val="21"/>
          <w:highlight w:val="none"/>
        </w:rPr>
      </w:pPr>
      <w:r>
        <w:rPr>
          <w:rFonts w:hint="eastAsia"/>
          <w:color w:val="FF0000"/>
          <w:sz w:val="24"/>
          <w:szCs w:val="21"/>
          <w:highlight w:val="none"/>
        </w:rPr>
        <w:t>2024</w:t>
      </w:r>
      <w:r>
        <w:rPr>
          <w:rFonts w:hint="eastAsia"/>
          <w:color w:val="FF0000"/>
          <w:sz w:val="24"/>
          <w:szCs w:val="21"/>
          <w:highlight w:val="none"/>
          <w:lang w:val="en-US" w:eastAsia="zh-CN"/>
        </w:rPr>
        <w:t xml:space="preserve">  </w:t>
      </w:r>
      <w:r>
        <w:rPr>
          <w:rFonts w:hint="eastAsia"/>
          <w:color w:val="FF0000"/>
          <w:sz w:val="24"/>
          <w:szCs w:val="21"/>
          <w:highlight w:val="none"/>
        </w:rPr>
        <w:t>年</w:t>
      </w:r>
      <w:r>
        <w:rPr>
          <w:rFonts w:hint="eastAsia"/>
          <w:color w:val="FF0000"/>
          <w:sz w:val="24"/>
          <w:szCs w:val="21"/>
          <w:highlight w:val="none"/>
          <w:lang w:val="en-US" w:eastAsia="zh-CN"/>
        </w:rPr>
        <w:t xml:space="preserve"> 6</w:t>
      </w:r>
      <w:r>
        <w:rPr>
          <w:rFonts w:hint="eastAsia"/>
          <w:color w:val="FF0000"/>
          <w:sz w:val="24"/>
          <w:szCs w:val="21"/>
          <w:highlight w:val="none"/>
        </w:rPr>
        <w:t>月</w:t>
      </w:r>
      <w:r>
        <w:rPr>
          <w:rFonts w:hint="eastAsia"/>
          <w:color w:val="FF0000"/>
          <w:sz w:val="24"/>
          <w:szCs w:val="21"/>
          <w:highlight w:val="none"/>
          <w:lang w:val="en-US" w:eastAsia="zh-CN"/>
        </w:rPr>
        <w:t xml:space="preserve"> 25 </w:t>
      </w:r>
      <w:r>
        <w:rPr>
          <w:rFonts w:hint="eastAsia"/>
          <w:color w:val="FF0000"/>
          <w:sz w:val="24"/>
          <w:szCs w:val="21"/>
          <w:highlight w:val="none"/>
        </w:rPr>
        <w:t>日</w:t>
      </w:r>
      <w:bookmarkEnd w:id="3"/>
      <w:bookmarkEnd w:id="4"/>
      <w:bookmarkEnd w:id="5"/>
      <w:bookmarkEnd w:id="6"/>
      <w:bookmarkStart w:id="7" w:name="_Toc33217860"/>
    </w:p>
    <w:p>
      <w:pPr>
        <w:spacing w:line="480" w:lineRule="exact"/>
        <w:ind w:firstLine="220" w:firstLineChars="100"/>
        <w:jc w:val="right"/>
        <w:rPr>
          <w:szCs w:val="21"/>
        </w:rPr>
      </w:pPr>
    </w:p>
    <w:p>
      <w:pPr>
        <w:pStyle w:val="2"/>
      </w:pPr>
    </w:p>
    <w:p>
      <w:pPr>
        <w:pStyle w:val="42"/>
        <w:rPr>
          <w:lang w:val="zh-CN" w:bidi="zh-CN"/>
        </w:rPr>
      </w:pPr>
    </w:p>
    <w:p/>
    <w:p>
      <w:pPr>
        <w:pStyle w:val="2"/>
      </w:pPr>
    </w:p>
    <w:p>
      <w:pPr>
        <w:pStyle w:val="42"/>
        <w:rPr>
          <w:lang w:val="zh-CN" w:bidi="zh-CN"/>
        </w:rPr>
      </w:pPr>
    </w:p>
    <w:p/>
    <w:p>
      <w:pPr>
        <w:pStyle w:val="2"/>
      </w:pPr>
    </w:p>
    <w:p>
      <w:pPr>
        <w:pStyle w:val="42"/>
        <w:rPr>
          <w:lang w:val="zh-CN" w:bidi="zh-CN"/>
        </w:rPr>
      </w:pPr>
    </w:p>
    <w:p/>
    <w:p>
      <w:pPr>
        <w:pStyle w:val="2"/>
      </w:pPr>
    </w:p>
    <w:p>
      <w:pPr>
        <w:pStyle w:val="2"/>
      </w:pPr>
    </w:p>
    <w:p>
      <w:pPr>
        <w:pStyle w:val="2"/>
      </w:pPr>
    </w:p>
    <w:p>
      <w:pPr>
        <w:pStyle w:val="2"/>
      </w:pPr>
    </w:p>
    <w:p>
      <w:pPr>
        <w:pStyle w:val="2"/>
      </w:pPr>
    </w:p>
    <w:p>
      <w:pPr>
        <w:pStyle w:val="2"/>
      </w:pPr>
    </w:p>
    <w:p>
      <w:pPr>
        <w:pStyle w:val="42"/>
        <w:rPr>
          <w:lang w:val="zh-CN" w:bidi="zh-CN"/>
        </w:rPr>
      </w:pPr>
    </w:p>
    <w:p>
      <w:pPr>
        <w:pStyle w:val="3"/>
        <w:keepNext/>
        <w:keepLines/>
        <w:numPr>
          <w:ilvl w:val="0"/>
          <w:numId w:val="1"/>
        </w:numPr>
        <w:autoSpaceDE/>
        <w:autoSpaceDN/>
        <w:snapToGrid w:val="0"/>
        <w:spacing w:before="0"/>
        <w:ind w:left="0"/>
        <w:jc w:val="center"/>
        <w:rPr>
          <w:rFonts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t>采购需求</w:t>
      </w:r>
    </w:p>
    <w:p>
      <w:pPr>
        <w:pStyle w:val="88"/>
        <w:spacing w:line="520" w:lineRule="exact"/>
        <w:ind w:left="440" w:firstLine="0"/>
        <w:rPr>
          <w:rFonts w:hAnsi="宋体" w:cs="宋体"/>
          <w:kern w:val="2"/>
          <w:sz w:val="21"/>
          <w:szCs w:val="21"/>
        </w:rPr>
      </w:pPr>
      <w:r>
        <w:rPr>
          <w:rFonts w:hint="eastAsia" w:hAnsi="宋体" w:cs="宋体"/>
          <w:kern w:val="2"/>
          <w:sz w:val="21"/>
          <w:szCs w:val="21"/>
        </w:rPr>
        <w:t>说明：</w:t>
      </w:r>
    </w:p>
    <w:p>
      <w:pPr>
        <w:pStyle w:val="88"/>
        <w:spacing w:line="520" w:lineRule="exact"/>
        <w:ind w:left="440" w:firstLine="0"/>
        <w:rPr>
          <w:rFonts w:hAnsi="宋体" w:cs="宋体"/>
          <w:kern w:val="2"/>
          <w:sz w:val="21"/>
          <w:szCs w:val="21"/>
        </w:rPr>
      </w:pPr>
      <w:r>
        <w:rPr>
          <w:rFonts w:hint="eastAsia" w:hAnsi="宋体" w:cs="宋体"/>
          <w:kern w:val="2"/>
          <w:sz w:val="21"/>
          <w:szCs w:val="21"/>
        </w:rPr>
        <w:t>1.采购项目的采购需求应按照《南阳市财政局关于规范政府采购需求管理的通知》（宛财购〔2021〕10号）的要求确定，符合《政府采购需求管理办法》的规定。</w:t>
      </w:r>
    </w:p>
    <w:p>
      <w:pPr>
        <w:pStyle w:val="88"/>
        <w:spacing w:line="520" w:lineRule="exact"/>
        <w:ind w:left="440" w:firstLine="0"/>
        <w:rPr>
          <w:rFonts w:hAnsi="宋体" w:cs="宋体"/>
          <w:kern w:val="2"/>
          <w:sz w:val="21"/>
          <w:szCs w:val="21"/>
        </w:rPr>
      </w:pPr>
      <w:r>
        <w:rPr>
          <w:rFonts w:hint="eastAsia" w:hAnsi="宋体" w:cs="宋体"/>
          <w:kern w:val="2"/>
          <w:sz w:val="21"/>
          <w:szCs w:val="21"/>
        </w:rPr>
        <w:t>2.当采购项目涉及数据中心相关设备、运维服务时，采购需求应当符合《绿色数据中心政府采购需求标准（试行）》（财库〔2023〕7号）的有关要求。</w:t>
      </w:r>
    </w:p>
    <w:p>
      <w:pPr>
        <w:pStyle w:val="88"/>
        <w:spacing w:line="520" w:lineRule="exact"/>
        <w:ind w:left="440" w:firstLine="0"/>
        <w:rPr>
          <w:rFonts w:hAnsi="宋体" w:cs="宋体"/>
          <w:kern w:val="2"/>
          <w:sz w:val="21"/>
          <w:szCs w:val="21"/>
        </w:rPr>
      </w:pPr>
      <w:r>
        <w:rPr>
          <w:rFonts w:hint="eastAsia" w:hAnsi="宋体" w:cs="宋体"/>
          <w:kern w:val="2"/>
          <w:sz w:val="21"/>
          <w:szCs w:val="21"/>
        </w:rPr>
        <w:t>3.当采购项目涉及政务信息系统时，采购需求应当符合《政务信息系统政府采购管理暂行办法》（财库〔2017〕210号）的相关要求。</w:t>
      </w:r>
    </w:p>
    <w:p>
      <w:pPr>
        <w:wordWrap w:val="0"/>
        <w:spacing w:line="360" w:lineRule="auto"/>
        <w:ind w:firstLine="440" w:firstLineChars="200"/>
        <w:jc w:val="both"/>
        <w:rPr>
          <w:rFonts w:asciiTheme="minorEastAsia" w:hAnsiTheme="minorEastAsia" w:eastAsiaTheme="minorEastAsia" w:cstheme="minorEastAsia"/>
        </w:rPr>
      </w:pPr>
    </w:p>
    <w:p>
      <w:pPr>
        <w:spacing w:line="420" w:lineRule="exact"/>
        <w:ind w:firstLine="562" w:firstLineChars="200"/>
        <w:rPr>
          <w:rFonts w:hint="eastAsia"/>
          <w:b/>
          <w:bCs/>
          <w:color w:val="auto"/>
          <w:sz w:val="28"/>
          <w:szCs w:val="28"/>
        </w:rPr>
      </w:pPr>
      <w:r>
        <w:rPr>
          <w:rFonts w:hint="eastAsia"/>
          <w:b/>
          <w:bCs/>
          <w:color w:val="auto"/>
          <w:sz w:val="28"/>
          <w:szCs w:val="28"/>
        </w:rPr>
        <w:t>采购内容及要求</w:t>
      </w:r>
      <w:bookmarkStart w:id="8" w:name="_Toc152045786"/>
      <w:bookmarkEnd w:id="8"/>
      <w:bookmarkStart w:id="9" w:name="_Toc11640"/>
      <w:bookmarkEnd w:id="9"/>
      <w:bookmarkStart w:id="10" w:name="_Toc26097"/>
      <w:bookmarkEnd w:id="10"/>
    </w:p>
    <w:p>
      <w:pPr>
        <w:pStyle w:val="25"/>
        <w:rPr>
          <w:rFonts w:hint="eastAsia"/>
        </w:rPr>
      </w:pPr>
    </w:p>
    <w:p>
      <w:pPr>
        <w:pStyle w:val="24"/>
        <w:numPr>
          <w:ilvl w:val="0"/>
          <w:numId w:val="2"/>
        </w:numPr>
        <w:autoSpaceDE w:val="0"/>
        <w:spacing w:before="0" w:beforeAutospacing="0" w:after="0" w:afterAutospacing="0" w:line="360" w:lineRule="auto"/>
        <w:ind w:firstLine="482" w:firstLineChars="200"/>
        <w:rPr>
          <w:b/>
          <w:bCs/>
        </w:rPr>
      </w:pPr>
      <w:r>
        <w:rPr>
          <w:rFonts w:hint="eastAsia"/>
          <w:b/>
          <w:bCs/>
        </w:rPr>
        <w:t>采购内容</w:t>
      </w:r>
    </w:p>
    <w:p>
      <w:pPr>
        <w:autoSpaceDE w:val="0"/>
        <w:spacing w:line="384" w:lineRule="auto"/>
        <w:ind w:firstLine="630" w:firstLineChars="225"/>
        <w:jc w:val="left"/>
        <w:rPr>
          <w:rFonts w:ascii="宋体" w:hAnsi="宋体"/>
          <w:bCs/>
          <w:sz w:val="24"/>
        </w:rPr>
      </w:pPr>
      <w:r>
        <w:rPr>
          <w:rFonts w:hint="eastAsia" w:ascii="仿宋_GB2312" w:eastAsia="仿宋_GB2312"/>
          <w:sz w:val="28"/>
          <w:szCs w:val="28"/>
        </w:rPr>
        <w:t>依据《河南省自然资源厅办公室关于开展城镇土地级别与基准地价更新调整工作的通知》（豫自然资办函〔2023〕10号）、《国土资源部办公厅关于加强公示地价体系建设和管理有关问题的通知》（国土资厅发〔2017〕27号）等文件精神，对我县开展城镇土地级别与基准地价更新调整工作。</w:t>
      </w:r>
    </w:p>
    <w:p>
      <w:pPr>
        <w:autoSpaceDE w:val="0"/>
        <w:spacing w:line="384" w:lineRule="auto"/>
        <w:ind w:firstLine="630" w:firstLineChars="225"/>
        <w:jc w:val="left"/>
        <w:rPr>
          <w:rFonts w:ascii="仿宋_GB2312" w:hAnsi="仿宋" w:eastAsia="仿宋_GB2312" w:cs="仿宋"/>
          <w:sz w:val="28"/>
          <w:szCs w:val="28"/>
        </w:rPr>
      </w:pPr>
      <w:r>
        <w:rPr>
          <w:rFonts w:hint="eastAsia" w:ascii="仿宋_GB2312" w:hAnsi="仿宋" w:eastAsia="仿宋_GB2312" w:cs="仿宋"/>
          <w:sz w:val="28"/>
          <w:szCs w:val="28"/>
        </w:rPr>
        <w:t>本次城镇土地级别与基准地价更新调整对象主要包括：淅川县的城区、乡镇等城镇建成区以及产业集聚区。根据区域社会经济条件及区位条件变化、市场地价水平变化以及原基准地价应用情况，确定适宜的更新范围，开展局部更新或者全面更新。</w:t>
      </w:r>
    </w:p>
    <w:p>
      <w:pPr>
        <w:pStyle w:val="24"/>
        <w:autoSpaceDE w:val="0"/>
        <w:spacing w:before="0" w:beforeAutospacing="0" w:after="0" w:afterAutospacing="0" w:line="360" w:lineRule="auto"/>
        <w:ind w:firstLine="482" w:firstLineChars="200"/>
        <w:rPr>
          <w:b/>
          <w:bCs/>
        </w:rPr>
      </w:pPr>
      <w:r>
        <w:rPr>
          <w:rFonts w:hint="eastAsia"/>
          <w:b/>
          <w:bCs/>
        </w:rPr>
        <w:t>二、工作内容与要求</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1.外业调研：根据选定的因素、因子，按照《城镇土地分等定级规程》（GB/T 18507-2014）有关规定，结合当地实际情况，分别进行资料的收集和调查。并将收集和调查的所有资料，填入《城镇土地分等定级规程》（GB/T 18507-2014）规定的相应表格中，将调查样点编号等数据标绘在工作底图上。</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2.建立各类用地定级因素因子体系，采用特尔斐法确定因素因子权重值，在软件系统中进行定级作用分值的计算。</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3.级别初步划分。根据定级单元总分值，运用频率直方图法初步划分土地级别，通过比对卫星影像图、土地利用现状图以及河流、高速等大型地物对级别界线进行落界与调整，对调整后的级别界线进行输出并形成初步土地级别图。</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4.级别验证。通过市场交易价格法或土地级差收益测算法进行验证，如与定级结果不符，对不合格单元进行修改或全面核查、校正。</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5.定级成果确定。将初步定级成果提交工作领导小组及相关专家进行论证，根据专家论证意见进行修改完善；将初步定级成果提交县自然资源局并组织当地领导和专家对本区域级别进行实地验证，将验证情况与定级结果进行比较试用。根据差异大小来分情况调整成果，进一步修改和完善成果，最终确定出符合当地实际的城镇土地级别边界。</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6.样点地价计算</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根据搜集的外业调查资料，确定城镇建设用地地价测算参数，对搜集到的各类城镇地价交易样点参照《城镇土地估价规程》(GB/T 18508-2014)、《自然资源价格评估通则》（TD/T1061-2021）等相关文件规定，运用市场比较法、收益还原法、剩余法和成本法等评估方法，对调查资料进行处理，对样点进行交易情况、土地使用权年限、估价期日等修正，计算各调查样点地价水平，剔除数值异常的地价样点，并编制样点地价图。通过对地价样点的归纳分析，测算城镇建设用地各地类各级别基准地价价格。</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7.确定城镇基准地价</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根据各级别情况，计算各级别用地的基准地价；召开地价初步成果论证会，对基准地价进行论证、调整，并对地价合理性进行论证，最终确定基准地价；根据方案要求，制定城镇建设用地宗地地价评估体系。</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8.报告编制、图件制作和成果打印</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根据规程要求，编制城镇基准地价工作报告、技术报告，编制基准地价修正系数表；制作样点地价图、级别与基准地价图及各类因素因子作用分值图。</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9.数据库建立</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根据要求，把有关定级因素、因子的数据输入定级估价系统，构建定级因素因子体系、作用分值、影响半径等数据成果库；将整理后的调查资料与空间数据库的联接，完善定级属性数据库；输入样点编号、繁华程度、交通条件、基本设施状况、环境条件、区域规划等并与调查样点进行属性挂接，根据定级的结果和样点分布图，由计算机自动判别各样点所在的级别，建立定级估价数据库。</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10.城镇土地级别及基准地价成果论证。将城镇土地级别及基准地价成果提交当地工作领导小组及相关专家进行多次论证。</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11.成果预检。组织专家对城镇土地级别与基准地价更新成果进行预检，按照专家意见和建议对成果进行修改和完善。</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12.成果验收。按自然资源部相关规定，城镇土地级别及基准地价成果颁布使用前需通过自然资源厅验收，组织专家对成果进行验收。</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13.成果听证。参照《国土资源听证规定》相关要求，城镇土地级别与基准地价更新调整成果颁布使用前要进行成果听证公告及听证会议，组织当地相关部门领导和熟悉当地情况的专家对成果进行听证，进一步完善成果。</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14.成果公告。在正式使用前，经当地政府同意，在当地主要媒体上进行公告和通知。</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15.成果备案。按照自然资源部要求，登录全国基准地价备案系统，对城镇土地级别与基准地价报告成果和数据库成果进行电子化备案。</w:t>
      </w:r>
    </w:p>
    <w:p>
      <w:pPr>
        <w:spacing w:line="360" w:lineRule="auto"/>
        <w:ind w:firstLine="562" w:firstLineChars="200"/>
        <w:rPr>
          <w:rFonts w:ascii="仿宋_GB2312" w:hAnsi="仿宋" w:eastAsia="仿宋_GB2312" w:cs="仿宋"/>
          <w:b/>
          <w:bCs/>
          <w:sz w:val="28"/>
          <w:szCs w:val="28"/>
        </w:rPr>
      </w:pPr>
      <w:r>
        <w:rPr>
          <w:rFonts w:hint="eastAsia" w:ascii="仿宋_GB2312" w:hAnsi="仿宋" w:eastAsia="仿宋_GB2312" w:cs="仿宋"/>
          <w:b/>
          <w:bCs/>
          <w:sz w:val="28"/>
          <w:szCs w:val="28"/>
        </w:rPr>
        <w:t>执行标准：</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所有调查服务必须符合国家和行业所制定的相关规范。</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 xml:space="preserve">技术指标： </w:t>
      </w:r>
    </w:p>
    <w:p>
      <w:pPr>
        <w:spacing w:line="360" w:lineRule="auto"/>
        <w:ind w:firstLine="562" w:firstLineChars="200"/>
        <w:rPr>
          <w:rFonts w:ascii="仿宋_GB2312" w:hAnsi="仿宋" w:eastAsia="仿宋_GB2312" w:cs="仿宋"/>
          <w:b/>
          <w:bCs/>
          <w:sz w:val="28"/>
          <w:szCs w:val="28"/>
        </w:rPr>
      </w:pPr>
      <w:r>
        <w:rPr>
          <w:rFonts w:hint="eastAsia" w:ascii="仿宋_GB2312" w:hAnsi="仿宋" w:eastAsia="仿宋_GB2312" w:cs="仿宋"/>
          <w:b/>
          <w:bCs/>
          <w:sz w:val="28"/>
          <w:szCs w:val="28"/>
        </w:rPr>
        <w:t xml:space="preserve">1、数学基础 </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采用2000国家大地坐标系、1985国家高程基准。</w:t>
      </w:r>
    </w:p>
    <w:p>
      <w:pPr>
        <w:spacing w:line="360" w:lineRule="auto"/>
        <w:ind w:firstLine="562" w:firstLineChars="200"/>
        <w:rPr>
          <w:rFonts w:ascii="仿宋_GB2312" w:hAnsi="仿宋" w:eastAsia="仿宋_GB2312" w:cs="仿宋"/>
          <w:b/>
          <w:bCs/>
          <w:sz w:val="28"/>
          <w:szCs w:val="28"/>
        </w:rPr>
      </w:pPr>
      <w:r>
        <w:rPr>
          <w:rFonts w:hint="eastAsia" w:ascii="仿宋_GB2312" w:hAnsi="仿宋" w:eastAsia="仿宋_GB2312" w:cs="仿宋"/>
          <w:b/>
          <w:bCs/>
          <w:sz w:val="28"/>
          <w:szCs w:val="28"/>
        </w:rPr>
        <w:t xml:space="preserve">2、计量单位 </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长度单位采用米（m），面积单位采用平方米（㎡）,面积统计汇总单位采用公顷（hm</w:t>
      </w:r>
      <w:r>
        <w:rPr>
          <w:rFonts w:hint="eastAsia" w:ascii="仿宋_GB2312" w:hAnsi="仿宋" w:eastAsia="仿宋_GB2312" w:cs="仿宋"/>
          <w:sz w:val="28"/>
          <w:szCs w:val="28"/>
          <w:vertAlign w:val="superscript"/>
        </w:rPr>
        <w:t>2</w:t>
      </w:r>
      <w:r>
        <w:rPr>
          <w:rFonts w:hint="eastAsia" w:ascii="仿宋_GB2312" w:hAnsi="仿宋" w:eastAsia="仿宋_GB2312" w:cs="仿宋"/>
          <w:sz w:val="28"/>
          <w:szCs w:val="28"/>
        </w:rPr>
        <w:t>）和亩。</w:t>
      </w:r>
    </w:p>
    <w:p>
      <w:pPr>
        <w:spacing w:line="360" w:lineRule="auto"/>
        <w:ind w:firstLine="562" w:firstLineChars="200"/>
        <w:rPr>
          <w:rFonts w:ascii="仿宋_GB2312" w:hAnsi="仿宋" w:eastAsia="仿宋_GB2312" w:cs="仿宋"/>
          <w:b/>
          <w:bCs/>
          <w:sz w:val="28"/>
          <w:szCs w:val="28"/>
        </w:rPr>
      </w:pPr>
      <w:r>
        <w:rPr>
          <w:rFonts w:hint="eastAsia" w:ascii="仿宋_GB2312" w:hAnsi="仿宋" w:eastAsia="仿宋_GB2312" w:cs="仿宋"/>
          <w:b/>
          <w:bCs/>
          <w:sz w:val="28"/>
          <w:szCs w:val="28"/>
        </w:rPr>
        <w:t>3、土地利用现状分类</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采用《第三次全国土地调查工作分类》（以下简称《工作分类》）。</w:t>
      </w:r>
    </w:p>
    <w:p>
      <w:pPr>
        <w:spacing w:line="360" w:lineRule="auto"/>
        <w:ind w:firstLine="562" w:firstLineChars="200"/>
        <w:rPr>
          <w:rFonts w:ascii="仿宋_GB2312" w:hAnsi="仿宋" w:eastAsia="仿宋_GB2312" w:cs="仿宋"/>
          <w:b/>
          <w:bCs/>
          <w:sz w:val="28"/>
          <w:szCs w:val="28"/>
        </w:rPr>
      </w:pPr>
      <w:r>
        <w:rPr>
          <w:rFonts w:hint="eastAsia" w:ascii="仿宋_GB2312" w:hAnsi="仿宋" w:eastAsia="仿宋_GB2312" w:cs="仿宋"/>
          <w:b/>
          <w:bCs/>
          <w:sz w:val="28"/>
          <w:szCs w:val="28"/>
        </w:rPr>
        <w:t>4、调查比例尺</w:t>
      </w:r>
    </w:p>
    <w:p>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城镇土地级别与基准地价更新调整工作底图比例尺按下表要求选择。</w:t>
      </w:r>
    </w:p>
    <w:p>
      <w:pPr>
        <w:spacing w:line="360" w:lineRule="auto"/>
        <w:ind w:firstLine="560" w:firstLineChars="200"/>
        <w:jc w:val="center"/>
        <w:rPr>
          <w:rFonts w:ascii="仿宋_GB2312" w:hAnsi="仿宋" w:eastAsia="仿宋_GB2312" w:cs="仿宋"/>
          <w:sz w:val="28"/>
          <w:szCs w:val="28"/>
        </w:rPr>
      </w:pPr>
      <w:r>
        <w:rPr>
          <w:rFonts w:hint="eastAsia" w:ascii="仿宋_GB2312" w:hAnsi="仿宋" w:eastAsia="仿宋_GB2312" w:cs="仿宋"/>
          <w:sz w:val="28"/>
          <w:szCs w:val="28"/>
        </w:rPr>
        <w:t>表 1 城镇土地级别与基准地价更新调整工作底图选择</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pStyle w:val="25"/>
              <w:ind w:firstLine="0" w:firstLineChars="0"/>
              <w:jc w:val="center"/>
              <w:rPr>
                <w:rFonts w:hint="eastAsia" w:ascii="仿宋_GB2312" w:hAnsi="仿宋" w:eastAsia="仿宋_GB2312" w:cs="仿宋"/>
                <w:kern w:val="2"/>
                <w:sz w:val="28"/>
                <w:szCs w:val="28"/>
              </w:rPr>
            </w:pPr>
            <w:r>
              <w:rPr>
                <w:rFonts w:hint="eastAsia" w:ascii="仿宋_GB2312" w:hAnsi="仿宋" w:eastAsia="仿宋_GB2312" w:cs="仿宋"/>
                <w:kern w:val="2"/>
                <w:sz w:val="28"/>
                <w:szCs w:val="28"/>
              </w:rPr>
              <w:t>城镇类型</w:t>
            </w:r>
          </w:p>
        </w:tc>
        <w:tc>
          <w:tcPr>
            <w:tcW w:w="2765" w:type="dxa"/>
          </w:tcPr>
          <w:p>
            <w:pPr>
              <w:pStyle w:val="25"/>
              <w:ind w:firstLine="0" w:firstLineChars="0"/>
              <w:jc w:val="center"/>
              <w:rPr>
                <w:rFonts w:hint="eastAsia" w:ascii="仿宋_GB2312" w:hAnsi="仿宋" w:eastAsia="仿宋_GB2312" w:cs="仿宋"/>
                <w:kern w:val="2"/>
                <w:sz w:val="28"/>
                <w:szCs w:val="28"/>
              </w:rPr>
            </w:pPr>
            <w:r>
              <w:rPr>
                <w:rFonts w:hint="eastAsia" w:ascii="仿宋_GB2312" w:hAnsi="仿宋" w:eastAsia="仿宋_GB2312" w:cs="仿宋"/>
                <w:kern w:val="2"/>
                <w:sz w:val="28"/>
                <w:szCs w:val="28"/>
              </w:rPr>
              <w:t>城镇面积（km2）</w:t>
            </w:r>
          </w:p>
        </w:tc>
        <w:tc>
          <w:tcPr>
            <w:tcW w:w="2766" w:type="dxa"/>
          </w:tcPr>
          <w:p>
            <w:pPr>
              <w:pStyle w:val="25"/>
              <w:ind w:firstLine="0" w:firstLineChars="0"/>
              <w:jc w:val="center"/>
              <w:rPr>
                <w:rFonts w:hint="eastAsia" w:ascii="仿宋_GB2312" w:hAnsi="仿宋" w:eastAsia="仿宋_GB2312" w:cs="仿宋"/>
                <w:kern w:val="2"/>
                <w:sz w:val="28"/>
                <w:szCs w:val="28"/>
              </w:rPr>
            </w:pPr>
            <w:r>
              <w:rPr>
                <w:rFonts w:hint="eastAsia" w:ascii="仿宋_GB2312" w:hAnsi="仿宋" w:eastAsia="仿宋_GB2312" w:cs="仿宋"/>
                <w:kern w:val="2"/>
                <w:sz w:val="28"/>
                <w:szCs w:val="28"/>
              </w:rPr>
              <w:t>工作底图比例尺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pStyle w:val="25"/>
              <w:ind w:firstLine="0" w:firstLineChars="0"/>
              <w:jc w:val="center"/>
              <w:rPr>
                <w:rFonts w:hint="eastAsia" w:ascii="仿宋_GB2312" w:hAnsi="仿宋" w:eastAsia="仿宋_GB2312" w:cs="仿宋"/>
                <w:kern w:val="2"/>
                <w:sz w:val="28"/>
                <w:szCs w:val="28"/>
              </w:rPr>
            </w:pPr>
            <w:r>
              <w:rPr>
                <w:rFonts w:hint="eastAsia" w:ascii="仿宋_GB2312" w:hAnsi="仿宋" w:eastAsia="仿宋_GB2312" w:cs="仿宋"/>
                <w:kern w:val="2"/>
                <w:sz w:val="28"/>
                <w:szCs w:val="28"/>
              </w:rPr>
              <w:t>中等及以上城市</w:t>
            </w:r>
          </w:p>
        </w:tc>
        <w:tc>
          <w:tcPr>
            <w:tcW w:w="2765" w:type="dxa"/>
          </w:tcPr>
          <w:p>
            <w:pPr>
              <w:pStyle w:val="25"/>
              <w:ind w:firstLine="0" w:firstLineChars="0"/>
              <w:jc w:val="center"/>
              <w:rPr>
                <w:rFonts w:hint="eastAsia" w:ascii="仿宋_GB2312" w:hAnsi="仿宋" w:eastAsia="仿宋_GB2312" w:cs="仿宋"/>
                <w:kern w:val="2"/>
                <w:sz w:val="28"/>
                <w:szCs w:val="28"/>
              </w:rPr>
            </w:pPr>
            <w:r>
              <w:rPr>
                <w:rFonts w:hint="eastAsia" w:ascii="仿宋_GB2312" w:hAnsi="仿宋" w:eastAsia="仿宋_GB2312" w:cs="仿宋"/>
                <w:kern w:val="2"/>
                <w:sz w:val="28"/>
                <w:szCs w:val="28"/>
              </w:rPr>
              <w:t>≥50</w:t>
            </w:r>
          </w:p>
        </w:tc>
        <w:tc>
          <w:tcPr>
            <w:tcW w:w="2766" w:type="dxa"/>
          </w:tcPr>
          <w:p>
            <w:pPr>
              <w:pStyle w:val="25"/>
              <w:ind w:firstLine="0" w:firstLineChars="0"/>
              <w:jc w:val="center"/>
              <w:rPr>
                <w:rFonts w:hint="eastAsia" w:ascii="仿宋_GB2312" w:hAnsi="仿宋" w:eastAsia="仿宋_GB2312" w:cs="仿宋"/>
                <w:kern w:val="2"/>
                <w:sz w:val="28"/>
                <w:szCs w:val="28"/>
              </w:rPr>
            </w:pPr>
            <w:r>
              <w:rPr>
                <w:rFonts w:hint="eastAsia" w:ascii="仿宋_GB2312" w:hAnsi="仿宋" w:eastAsia="仿宋_GB2312" w:cs="仿宋"/>
                <w:kern w:val="2"/>
                <w:sz w:val="28"/>
                <w:szCs w:val="28"/>
              </w:rPr>
              <w:t>1:5000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pStyle w:val="25"/>
              <w:ind w:firstLine="0" w:firstLineChars="0"/>
              <w:jc w:val="center"/>
              <w:rPr>
                <w:rFonts w:hint="eastAsia" w:ascii="仿宋_GB2312" w:hAnsi="仿宋" w:eastAsia="仿宋_GB2312" w:cs="仿宋"/>
                <w:kern w:val="2"/>
                <w:sz w:val="28"/>
                <w:szCs w:val="28"/>
              </w:rPr>
            </w:pPr>
            <w:r>
              <w:rPr>
                <w:rFonts w:hint="eastAsia" w:ascii="仿宋_GB2312" w:hAnsi="仿宋" w:eastAsia="仿宋_GB2312" w:cs="仿宋"/>
                <w:kern w:val="2"/>
                <w:sz w:val="28"/>
                <w:szCs w:val="28"/>
              </w:rPr>
              <w:t>小城镇</w:t>
            </w:r>
          </w:p>
        </w:tc>
        <w:tc>
          <w:tcPr>
            <w:tcW w:w="2765" w:type="dxa"/>
          </w:tcPr>
          <w:p>
            <w:pPr>
              <w:pStyle w:val="25"/>
              <w:ind w:firstLine="0" w:firstLineChars="0"/>
              <w:jc w:val="center"/>
              <w:rPr>
                <w:rFonts w:hint="eastAsia" w:ascii="仿宋_GB2312" w:hAnsi="仿宋" w:eastAsia="仿宋_GB2312" w:cs="仿宋"/>
                <w:kern w:val="2"/>
                <w:sz w:val="28"/>
                <w:szCs w:val="28"/>
              </w:rPr>
            </w:pPr>
            <w:r>
              <w:rPr>
                <w:rFonts w:hint="eastAsia" w:ascii="仿宋_GB2312" w:hAnsi="仿宋" w:eastAsia="仿宋_GB2312" w:cs="仿宋"/>
                <w:kern w:val="2"/>
                <w:sz w:val="28"/>
                <w:szCs w:val="28"/>
              </w:rPr>
              <w:t>＜50</w:t>
            </w:r>
          </w:p>
        </w:tc>
        <w:tc>
          <w:tcPr>
            <w:tcW w:w="2766" w:type="dxa"/>
          </w:tcPr>
          <w:p>
            <w:pPr>
              <w:pStyle w:val="25"/>
              <w:ind w:firstLine="0" w:firstLineChars="0"/>
              <w:jc w:val="center"/>
              <w:rPr>
                <w:rFonts w:hint="eastAsia" w:ascii="仿宋_GB2312" w:hAnsi="仿宋" w:eastAsia="仿宋_GB2312" w:cs="仿宋"/>
                <w:kern w:val="2"/>
                <w:sz w:val="28"/>
                <w:szCs w:val="28"/>
              </w:rPr>
            </w:pPr>
            <w:r>
              <w:rPr>
                <w:rFonts w:hint="eastAsia" w:ascii="仿宋_GB2312" w:hAnsi="仿宋" w:eastAsia="仿宋_GB2312" w:cs="仿宋"/>
                <w:kern w:val="2"/>
                <w:sz w:val="28"/>
                <w:szCs w:val="28"/>
              </w:rPr>
              <w:t>1:1000——1:5000</w:t>
            </w:r>
          </w:p>
        </w:tc>
      </w:tr>
    </w:tbl>
    <w:p>
      <w:pPr>
        <w:ind w:firstLine="562"/>
        <w:rPr>
          <w:rFonts w:hint="eastAsia"/>
        </w:rPr>
      </w:pPr>
      <w:bookmarkStart w:id="11" w:name="_Toc3334"/>
      <w:bookmarkEnd w:id="11"/>
    </w:p>
    <w:p>
      <w:pPr>
        <w:ind w:firstLine="562"/>
      </w:pPr>
      <w:r>
        <w:rPr>
          <w:rFonts w:hint="eastAsia"/>
        </w:rPr>
        <w:t>备注：具体的采购内容及要求以主管部门要求为准</w:t>
      </w:r>
    </w:p>
    <w:p>
      <w:pPr>
        <w:pStyle w:val="88"/>
        <w:spacing w:line="520" w:lineRule="exact"/>
        <w:ind w:left="440" w:firstLine="0"/>
        <w:rPr>
          <w:rFonts w:hint="eastAsia" w:asciiTheme="minorEastAsia" w:hAnsiTheme="minorEastAsia" w:eastAsiaTheme="minorEastAsia" w:cstheme="minorEastAsia"/>
          <w:spacing w:val="-1"/>
          <w:sz w:val="24"/>
          <w:szCs w:val="24"/>
        </w:rPr>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pPr>
    </w:p>
    <w:p>
      <w:pPr>
        <w:pStyle w:val="25"/>
        <w:ind w:firstLine="538"/>
        <w:rPr>
          <w:rFonts w:hint="eastAsia" w:eastAsiaTheme="minorEastAsia"/>
          <w:lang w:eastAsia="zh-CN"/>
        </w:rPr>
      </w:pPr>
    </w:p>
    <w:p>
      <w:pPr>
        <w:pStyle w:val="25"/>
        <w:ind w:firstLine="538"/>
        <w:rPr>
          <w:rFonts w:hint="eastAsia" w:eastAsiaTheme="minorEastAsia"/>
          <w:lang w:eastAsia="zh-CN"/>
        </w:rPr>
      </w:pPr>
    </w:p>
    <w:p>
      <w:pPr>
        <w:pStyle w:val="25"/>
        <w:ind w:firstLine="538"/>
      </w:pPr>
    </w:p>
    <w:p>
      <w:pPr>
        <w:pStyle w:val="25"/>
        <w:ind w:firstLine="538"/>
      </w:pPr>
    </w:p>
    <w:p>
      <w:pPr>
        <w:pStyle w:val="25"/>
        <w:ind w:firstLine="538"/>
      </w:pPr>
    </w:p>
    <w:p>
      <w:pPr>
        <w:pStyle w:val="25"/>
        <w:ind w:firstLine="538"/>
      </w:pPr>
    </w:p>
    <w:p>
      <w:pPr>
        <w:pStyle w:val="3"/>
        <w:keepNext/>
        <w:keepLines/>
        <w:numPr>
          <w:ilvl w:val="0"/>
          <w:numId w:val="1"/>
        </w:numPr>
        <w:autoSpaceDE/>
        <w:autoSpaceDN/>
        <w:snapToGrid w:val="0"/>
        <w:spacing w:before="0"/>
        <w:ind w:left="0"/>
        <w:jc w:val="center"/>
        <w:rPr>
          <w:rFonts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t xml:space="preserve"> 投标人须知</w:t>
      </w:r>
    </w:p>
    <w:p>
      <w:pPr>
        <w:pStyle w:val="2"/>
      </w:pPr>
      <w:r>
        <w:rPr>
          <w:rFonts w:hint="eastAsia"/>
        </w:rPr>
        <w:t>投标人须知表</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条款名称</w:t>
            </w:r>
          </w:p>
        </w:tc>
        <w:tc>
          <w:tcPr>
            <w:tcW w:w="7305" w:type="dxa"/>
            <w:tcBorders>
              <w:top w:val="single" w:color="auto" w:sz="12" w:space="0"/>
              <w:left w:val="single" w:color="auto" w:sz="6" w:space="0"/>
              <w:bottom w:val="single" w:color="auto" w:sz="6" w:space="0"/>
              <w:right w:val="single" w:color="auto" w:sz="12" w:space="0"/>
            </w:tcBorders>
            <w:noWrap/>
            <w:vAlign w:val="center"/>
          </w:tcPr>
          <w:p>
            <w:pPr>
              <w:wordWrap w:val="0"/>
              <w:spacing w:line="240" w:lineRule="atLeast"/>
              <w:ind w:left="1285" w:leftChars="584" w:firstLine="132" w:firstLineChars="55"/>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before="78" w:line="221"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项目属性</w:t>
            </w:r>
          </w:p>
        </w:tc>
        <w:tc>
          <w:tcPr>
            <w:tcW w:w="7305" w:type="dxa"/>
            <w:tcBorders>
              <w:top w:val="single" w:color="auto" w:sz="6" w:space="0"/>
              <w:left w:val="single" w:color="auto" w:sz="6" w:space="0"/>
              <w:bottom w:val="single" w:color="auto" w:sz="6" w:space="0"/>
              <w:right w:val="single" w:color="auto" w:sz="12" w:space="0"/>
            </w:tcBorders>
            <w:noWrap/>
            <w:vAlign w:val="center"/>
          </w:tcPr>
          <w:p>
            <w:pPr>
              <w:pStyle w:val="89"/>
              <w:ind w:left="0" w:leftChars="0" w:firstLine="1440" w:firstLineChars="600"/>
              <w:rPr>
                <w:lang w:eastAsia="zh-CN"/>
              </w:rPr>
            </w:pPr>
            <w:r>
              <w:rPr>
                <w:rFonts w:hint="eastAsia"/>
              </w:rPr>
              <w:t>服务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before="78" w:line="219"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305" w:type="dxa"/>
            <w:tcBorders>
              <w:top w:val="single" w:color="auto" w:sz="6" w:space="0"/>
              <w:left w:val="single" w:color="auto" w:sz="6" w:space="0"/>
              <w:bottom w:val="single" w:color="auto" w:sz="6" w:space="0"/>
              <w:right w:val="single" w:color="auto" w:sz="12" w:space="0"/>
            </w:tcBorders>
            <w:noWrap/>
          </w:tcPr>
          <w:p>
            <w:pPr>
              <w:wordWrap w:val="0"/>
              <w:spacing w:before="37" w:line="238" w:lineRule="auto"/>
              <w:jc w:val="both"/>
            </w:pPr>
            <w:r>
              <w:rPr>
                <w:rFonts w:hint="eastAsia" w:asciiTheme="minorEastAsia" w:hAnsiTheme="minorEastAsia" w:eastAsiaTheme="minorEastAsia" w:cstheme="minorEastAsia"/>
                <w:spacing w:val="-5"/>
                <w:sz w:val="24"/>
                <w:szCs w:val="24"/>
              </w:rPr>
              <w:t>是否属于科研仪器设备采购项目：</w:t>
            </w:r>
            <w:r>
              <w:rPr>
                <w:rFonts w:hint="eastAsia"/>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tcPr>
          <w:p>
            <w:pPr>
              <w:pStyle w:val="89"/>
            </w:pPr>
          </w:p>
          <w:p>
            <w:pPr>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305" w:type="dxa"/>
            <w:tcBorders>
              <w:top w:val="single" w:color="auto" w:sz="6" w:space="0"/>
              <w:left w:val="single" w:color="auto" w:sz="6" w:space="0"/>
              <w:bottom w:val="single" w:color="auto" w:sz="6" w:space="0"/>
              <w:right w:val="single" w:color="auto" w:sz="12" w:space="0"/>
            </w:tcBorders>
            <w:noWrap/>
          </w:tcPr>
          <w:p>
            <w:pPr>
              <w:pStyle w:val="89"/>
            </w:pPr>
            <w:r>
              <w:rPr>
                <w:rFonts w:hint="eastAsia"/>
              </w:rPr>
              <w:t>不组织</w:t>
            </w:r>
          </w:p>
          <w:p>
            <w:pPr>
              <w:wordWrap w:val="0"/>
              <w:jc w:val="both"/>
              <w:rPr>
                <w:rFonts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开标前答疑会</w:t>
            </w:r>
          </w:p>
        </w:tc>
        <w:tc>
          <w:tcPr>
            <w:tcW w:w="7305" w:type="dxa"/>
            <w:tcBorders>
              <w:top w:val="single" w:color="auto" w:sz="6" w:space="0"/>
              <w:left w:val="single" w:color="auto" w:sz="6" w:space="0"/>
              <w:bottom w:val="single" w:color="auto" w:sz="6" w:space="0"/>
              <w:right w:val="single" w:color="auto" w:sz="12" w:space="0"/>
            </w:tcBorders>
            <w:noWrap/>
          </w:tcPr>
          <w:p>
            <w:pPr>
              <w:pStyle w:val="89"/>
            </w:pPr>
            <w:r>
              <w:rPr>
                <w:rFonts w:hint="eastAsia"/>
              </w:rPr>
              <w:t>不召开</w:t>
            </w:r>
          </w:p>
          <w:p>
            <w:pPr>
              <w:wordWrap w:val="0"/>
              <w:jc w:val="both"/>
              <w:rPr>
                <w:rFonts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305" w:type="dxa"/>
            <w:tcBorders>
              <w:top w:val="single" w:color="auto" w:sz="6" w:space="0"/>
              <w:left w:val="single" w:color="auto" w:sz="6" w:space="0"/>
              <w:bottom w:val="single" w:color="auto" w:sz="6" w:space="0"/>
              <w:right w:val="single" w:color="auto" w:sz="12" w:space="0"/>
            </w:tcBorders>
            <w:noWrap/>
            <w:vAlign w:val="center"/>
          </w:tcPr>
          <w:p>
            <w:pPr>
              <w:pStyle w:val="89"/>
              <w:numPr>
                <w:ilvl w:val="0"/>
                <w:numId w:val="0"/>
              </w:numPr>
              <w:rPr>
                <w:rFonts w:asciiTheme="minorEastAsia" w:hAnsiTheme="minorEastAsia" w:eastAsiaTheme="minorEastAsia" w:cstheme="minorEastAsia"/>
                <w:spacing w:val="14"/>
                <w:sz w:val="24"/>
                <w:szCs w:val="24"/>
              </w:rPr>
            </w:pPr>
            <w:r>
              <w:rPr>
                <w:rFonts w:hint="eastAsia"/>
                <w:lang w:val="en-US" w:eastAsia="zh-CN"/>
              </w:rPr>
              <w:t>1、</w:t>
            </w:r>
            <w:r>
              <w:rPr>
                <w:rFonts w:hint="eastAsia"/>
              </w:rPr>
              <w:t>本项目采购标的按照中小企业划分标准属于：本项目专门面向中小企业采购</w:t>
            </w:r>
            <w:r>
              <w:rPr>
                <w:rFonts w:hint="eastAsia" w:asciiTheme="minorEastAsia" w:hAnsiTheme="minorEastAsia" w:eastAsiaTheme="minorEastAsia" w:cstheme="minorEastAsia"/>
                <w:spacing w:val="29"/>
                <w:sz w:val="24"/>
                <w:szCs w:val="24"/>
              </w:rPr>
              <w:t>。</w:t>
            </w:r>
          </w:p>
          <w:p>
            <w:pPr>
              <w:wordWrap w:val="0"/>
              <w:autoSpaceDE/>
              <w:autoSpaceDN/>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pacing w:val="14"/>
                <w:sz w:val="24"/>
                <w:szCs w:val="24"/>
              </w:rPr>
              <w:t>2、中标供应商享受《政府采购促进中小企业发展管理办法》规定的中小企业扶持政策的，采购人、采购代理机构将随中标结果公开中标供应商的《中小企业声明函》。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23" w:hRule="atLeast"/>
          <w:jc w:val="center"/>
        </w:trPr>
        <w:tc>
          <w:tcPr>
            <w:tcW w:w="1582" w:type="dxa"/>
            <w:tcBorders>
              <w:top w:val="single" w:color="auto" w:sz="6" w:space="0"/>
              <w:left w:val="single" w:color="auto" w:sz="12" w:space="0"/>
              <w:bottom w:val="single" w:color="auto" w:sz="6" w:space="0"/>
              <w:right w:val="single" w:color="auto" w:sz="6" w:space="0"/>
            </w:tcBorders>
            <w:noWrap/>
          </w:tcPr>
          <w:p>
            <w:pPr>
              <w:pStyle w:val="89"/>
            </w:pPr>
          </w:p>
          <w:p>
            <w:pPr>
              <w:wordWrap w:val="0"/>
              <w:spacing w:before="78" w:line="219"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7305" w:type="dxa"/>
            <w:tcBorders>
              <w:top w:val="single" w:color="auto" w:sz="6" w:space="0"/>
              <w:left w:val="single" w:color="auto" w:sz="6" w:space="0"/>
              <w:bottom w:val="single" w:color="auto" w:sz="6" w:space="0"/>
              <w:right w:val="single" w:color="auto" w:sz="12" w:space="0"/>
            </w:tcBorders>
            <w:noWrap/>
          </w:tcPr>
          <w:p>
            <w:pPr>
              <w:wordWrap w:val="0"/>
              <w:spacing w:before="40"/>
              <w:jc w:val="both"/>
              <w:rPr>
                <w:lang w:eastAsia="zh-CN"/>
              </w:rPr>
            </w:pPr>
            <w:r>
              <w:rPr>
                <w:rFonts w:hint="eastAsia" w:asciiTheme="minorEastAsia" w:hAnsiTheme="minorEastAsia" w:eastAsiaTheme="minorEastAsia" w:cstheme="minorEastAsia"/>
                <w:spacing w:val="-7"/>
                <w:sz w:val="24"/>
                <w:szCs w:val="24"/>
              </w:rPr>
              <w:t>投标报价的特殊规定：</w:t>
            </w:r>
            <w:r>
              <w:rPr>
                <w:rFonts w:hint="eastAsia"/>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招标控制价</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u w:val="single"/>
                <w:lang w:val="en-US" w:eastAsia="zh-CN"/>
              </w:rPr>
              <w:t>78.2216</w:t>
            </w:r>
            <w:r>
              <w:rPr>
                <w:rFonts w:hint="eastAsia" w:asciiTheme="minorEastAsia" w:hAnsiTheme="minorEastAsia" w:eastAsiaTheme="minorEastAsia" w:cstheme="minorEastAsia"/>
                <w:spacing w:val="29"/>
                <w:sz w:val="24"/>
                <w:szCs w:val="24"/>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资金来源</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财政</w:t>
            </w:r>
            <w:r>
              <w:rPr>
                <w:rFonts w:hint="eastAsia" w:asciiTheme="minorEastAsia" w:hAnsiTheme="minorEastAsia" w:eastAsiaTheme="minorEastAsia" w:cstheme="minorEastAsia"/>
                <w:sz w:val="24"/>
                <w:szCs w:val="24"/>
                <w:lang w:val="en-US" w:eastAsia="zh-CN"/>
              </w:rPr>
              <w:t>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投标有效期</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开标之日起60日历日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投标文件数量</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电子投标文件：1份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投标截止时间</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color w:val="FF0000"/>
                <w:sz w:val="24"/>
                <w:szCs w:val="24"/>
                <w:highlight w:val="none"/>
              </w:rPr>
            </w:pPr>
            <w:r>
              <w:rPr>
                <w:rFonts w:hint="eastAsia" w:asciiTheme="minorEastAsia" w:hAnsiTheme="minorEastAsia" w:eastAsiaTheme="minorEastAsia" w:cstheme="minorEastAsia"/>
                <w:color w:val="FF0000"/>
                <w:spacing w:val="-12"/>
                <w:sz w:val="24"/>
                <w:szCs w:val="24"/>
                <w:highlight w:val="none"/>
              </w:rPr>
              <w:t>2</w:t>
            </w:r>
            <w:r>
              <w:rPr>
                <w:rFonts w:asciiTheme="minorEastAsia" w:hAnsiTheme="minorEastAsia" w:eastAsiaTheme="minorEastAsia" w:cstheme="minorEastAsia"/>
                <w:color w:val="FF0000"/>
                <w:spacing w:val="-12"/>
                <w:sz w:val="24"/>
                <w:szCs w:val="24"/>
                <w:highlight w:val="none"/>
              </w:rPr>
              <w:t>024</w:t>
            </w:r>
            <w:r>
              <w:rPr>
                <w:rFonts w:hint="eastAsia" w:asciiTheme="minorEastAsia" w:hAnsiTheme="minorEastAsia" w:eastAsiaTheme="minorEastAsia" w:cstheme="minorEastAsia"/>
                <w:color w:val="FF0000"/>
                <w:spacing w:val="-12"/>
                <w:sz w:val="24"/>
                <w:szCs w:val="24"/>
                <w:highlight w:val="none"/>
              </w:rPr>
              <w:t>年</w:t>
            </w:r>
            <w:r>
              <w:rPr>
                <w:rFonts w:hint="eastAsia" w:asciiTheme="minorEastAsia" w:hAnsiTheme="minorEastAsia" w:eastAsiaTheme="minorEastAsia" w:cstheme="minorEastAsia"/>
                <w:color w:val="FF0000"/>
                <w:spacing w:val="-12"/>
                <w:sz w:val="24"/>
                <w:szCs w:val="24"/>
                <w:highlight w:val="none"/>
                <w:lang w:val="en-US" w:eastAsia="zh-CN"/>
              </w:rPr>
              <w:t xml:space="preserve">  </w:t>
            </w:r>
            <w:r>
              <w:rPr>
                <w:rFonts w:hint="eastAsia" w:asciiTheme="minorEastAsia" w:hAnsiTheme="minorEastAsia" w:eastAsiaTheme="minorEastAsia" w:cstheme="minorEastAsia"/>
                <w:color w:val="FF0000"/>
                <w:spacing w:val="-12"/>
                <w:sz w:val="24"/>
                <w:szCs w:val="24"/>
                <w:highlight w:val="none"/>
              </w:rPr>
              <w:t>月</w:t>
            </w:r>
            <w:r>
              <w:rPr>
                <w:rFonts w:hint="eastAsia" w:asciiTheme="minorEastAsia" w:hAnsiTheme="minorEastAsia" w:eastAsiaTheme="minorEastAsia" w:cstheme="minorEastAsia"/>
                <w:color w:val="FF0000"/>
                <w:spacing w:val="-12"/>
                <w:sz w:val="24"/>
                <w:szCs w:val="24"/>
                <w:highlight w:val="none"/>
                <w:lang w:val="en-US" w:eastAsia="zh-CN"/>
              </w:rPr>
              <w:t xml:space="preserve">  </w:t>
            </w:r>
            <w:r>
              <w:rPr>
                <w:rFonts w:hint="eastAsia" w:asciiTheme="minorEastAsia" w:hAnsiTheme="minorEastAsia" w:eastAsiaTheme="minorEastAsia" w:cstheme="minorEastAsia"/>
                <w:color w:val="FF0000"/>
                <w:spacing w:val="-12"/>
                <w:sz w:val="24"/>
                <w:szCs w:val="24"/>
                <w:highlight w:val="none"/>
              </w:rPr>
              <w:t>日</w:t>
            </w:r>
            <w:r>
              <w:rPr>
                <w:rFonts w:asciiTheme="minorEastAsia" w:hAnsiTheme="minorEastAsia" w:eastAsiaTheme="minorEastAsia" w:cstheme="minorEastAsia"/>
                <w:color w:val="FF0000"/>
                <w:spacing w:val="-12"/>
                <w:sz w:val="24"/>
                <w:szCs w:val="24"/>
                <w:highlight w:val="none"/>
              </w:rPr>
              <w:t>09</w:t>
            </w:r>
            <w:r>
              <w:rPr>
                <w:rFonts w:hint="eastAsia" w:asciiTheme="minorEastAsia" w:hAnsiTheme="minorEastAsia" w:eastAsiaTheme="minorEastAsia" w:cstheme="minorEastAsia"/>
                <w:color w:val="FF0000"/>
                <w:spacing w:val="-12"/>
                <w:sz w:val="24"/>
                <w:szCs w:val="24"/>
                <w:highlight w:val="none"/>
              </w:rPr>
              <w:t>点0</w:t>
            </w:r>
            <w:r>
              <w:rPr>
                <w:rFonts w:asciiTheme="minorEastAsia" w:hAnsiTheme="minorEastAsia" w:eastAsiaTheme="minorEastAsia" w:cstheme="minorEastAsia"/>
                <w:color w:val="FF0000"/>
                <w:spacing w:val="-12"/>
                <w:sz w:val="24"/>
                <w:szCs w:val="24"/>
                <w:highlight w:val="none"/>
              </w:rPr>
              <w:t>0</w:t>
            </w:r>
            <w:r>
              <w:rPr>
                <w:rFonts w:hint="eastAsia" w:asciiTheme="minorEastAsia" w:hAnsiTheme="minorEastAsia" w:eastAsiaTheme="minorEastAsia" w:cstheme="minorEastAsia"/>
                <w:color w:val="FF0000"/>
                <w:spacing w:val="-12"/>
                <w:sz w:val="24"/>
                <w:szCs w:val="24"/>
                <w:highlight w:val="none"/>
              </w:rPr>
              <w:t>分</w:t>
            </w:r>
            <w:r>
              <w:rPr>
                <w:rFonts w:hint="eastAsia" w:asciiTheme="minorEastAsia" w:hAnsiTheme="minorEastAsia" w:eastAsiaTheme="minorEastAsia" w:cstheme="minorEastAsia"/>
                <w:color w:val="FF0000"/>
                <w:spacing w:val="14"/>
                <w:sz w:val="24"/>
                <w:szCs w:val="24"/>
                <w:highlight w:val="none"/>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开标时间</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color w:val="FF0000"/>
                <w:sz w:val="24"/>
                <w:szCs w:val="24"/>
                <w:highlight w:val="none"/>
                <w:u w:val="single"/>
              </w:rPr>
            </w:pPr>
            <w:r>
              <w:rPr>
                <w:rFonts w:hint="eastAsia" w:asciiTheme="minorEastAsia" w:hAnsiTheme="minorEastAsia" w:eastAsiaTheme="minorEastAsia" w:cstheme="minorEastAsia"/>
                <w:color w:val="FF0000"/>
                <w:spacing w:val="-12"/>
                <w:sz w:val="24"/>
                <w:szCs w:val="24"/>
                <w:highlight w:val="none"/>
              </w:rPr>
              <w:t>2</w:t>
            </w:r>
            <w:r>
              <w:rPr>
                <w:rFonts w:asciiTheme="minorEastAsia" w:hAnsiTheme="minorEastAsia" w:eastAsiaTheme="minorEastAsia" w:cstheme="minorEastAsia"/>
                <w:color w:val="FF0000"/>
                <w:spacing w:val="-12"/>
                <w:sz w:val="24"/>
                <w:szCs w:val="24"/>
                <w:highlight w:val="none"/>
              </w:rPr>
              <w:t>024</w:t>
            </w:r>
            <w:r>
              <w:rPr>
                <w:rFonts w:hint="eastAsia" w:asciiTheme="minorEastAsia" w:hAnsiTheme="minorEastAsia" w:eastAsiaTheme="minorEastAsia" w:cstheme="minorEastAsia"/>
                <w:color w:val="FF0000"/>
                <w:spacing w:val="-12"/>
                <w:sz w:val="24"/>
                <w:szCs w:val="24"/>
                <w:highlight w:val="none"/>
              </w:rPr>
              <w:t>年</w:t>
            </w:r>
            <w:r>
              <w:rPr>
                <w:rFonts w:hint="eastAsia" w:asciiTheme="minorEastAsia" w:hAnsiTheme="minorEastAsia" w:eastAsiaTheme="minorEastAsia" w:cstheme="minorEastAsia"/>
                <w:color w:val="FF0000"/>
                <w:spacing w:val="-12"/>
                <w:sz w:val="24"/>
                <w:szCs w:val="24"/>
                <w:highlight w:val="none"/>
                <w:lang w:val="en-US" w:eastAsia="zh-CN"/>
              </w:rPr>
              <w:t xml:space="preserve">  </w:t>
            </w:r>
            <w:r>
              <w:rPr>
                <w:rFonts w:hint="eastAsia" w:asciiTheme="minorEastAsia" w:hAnsiTheme="minorEastAsia" w:eastAsiaTheme="minorEastAsia" w:cstheme="minorEastAsia"/>
                <w:color w:val="FF0000"/>
                <w:spacing w:val="-12"/>
                <w:sz w:val="24"/>
                <w:szCs w:val="24"/>
                <w:highlight w:val="none"/>
              </w:rPr>
              <w:t>月</w:t>
            </w:r>
            <w:r>
              <w:rPr>
                <w:rFonts w:hint="eastAsia" w:asciiTheme="minorEastAsia" w:hAnsiTheme="minorEastAsia" w:eastAsiaTheme="minorEastAsia" w:cstheme="minorEastAsia"/>
                <w:color w:val="FF0000"/>
                <w:spacing w:val="-12"/>
                <w:sz w:val="24"/>
                <w:szCs w:val="24"/>
                <w:highlight w:val="none"/>
                <w:lang w:val="en-US" w:eastAsia="zh-CN"/>
              </w:rPr>
              <w:t xml:space="preserve">  </w:t>
            </w:r>
            <w:r>
              <w:rPr>
                <w:rFonts w:hint="eastAsia" w:asciiTheme="minorEastAsia" w:hAnsiTheme="minorEastAsia" w:eastAsiaTheme="minorEastAsia" w:cstheme="minorEastAsia"/>
                <w:color w:val="FF0000"/>
                <w:spacing w:val="-12"/>
                <w:sz w:val="24"/>
                <w:szCs w:val="24"/>
                <w:highlight w:val="none"/>
              </w:rPr>
              <w:t>日</w:t>
            </w:r>
            <w:r>
              <w:rPr>
                <w:rFonts w:asciiTheme="minorEastAsia" w:hAnsiTheme="minorEastAsia" w:eastAsiaTheme="minorEastAsia" w:cstheme="minorEastAsia"/>
                <w:color w:val="FF0000"/>
                <w:spacing w:val="-12"/>
                <w:sz w:val="24"/>
                <w:szCs w:val="24"/>
                <w:highlight w:val="none"/>
              </w:rPr>
              <w:t>09</w:t>
            </w:r>
            <w:r>
              <w:rPr>
                <w:rFonts w:hint="eastAsia" w:asciiTheme="minorEastAsia" w:hAnsiTheme="minorEastAsia" w:eastAsiaTheme="minorEastAsia" w:cstheme="minorEastAsia"/>
                <w:color w:val="FF0000"/>
                <w:spacing w:val="-12"/>
                <w:sz w:val="24"/>
                <w:szCs w:val="24"/>
                <w:highlight w:val="none"/>
              </w:rPr>
              <w:t>点0</w:t>
            </w:r>
            <w:r>
              <w:rPr>
                <w:rFonts w:asciiTheme="minorEastAsia" w:hAnsiTheme="minorEastAsia" w:eastAsiaTheme="minorEastAsia" w:cstheme="minorEastAsia"/>
                <w:color w:val="FF0000"/>
                <w:spacing w:val="-12"/>
                <w:sz w:val="24"/>
                <w:szCs w:val="24"/>
                <w:highlight w:val="none"/>
              </w:rPr>
              <w:t>0</w:t>
            </w:r>
            <w:r>
              <w:rPr>
                <w:rFonts w:hint="eastAsia" w:asciiTheme="minorEastAsia" w:hAnsiTheme="minorEastAsia" w:eastAsiaTheme="minorEastAsia" w:cstheme="minorEastAsia"/>
                <w:color w:val="FF0000"/>
                <w:spacing w:val="-12"/>
                <w:sz w:val="24"/>
                <w:szCs w:val="24"/>
                <w:highlight w:val="none"/>
              </w:rPr>
              <w:t>分</w:t>
            </w:r>
            <w:r>
              <w:rPr>
                <w:rFonts w:hint="eastAsia" w:asciiTheme="minorEastAsia" w:hAnsiTheme="minorEastAsia" w:eastAsiaTheme="minorEastAsia" w:cstheme="minorEastAsia"/>
                <w:color w:val="FF0000"/>
                <w:spacing w:val="-15"/>
                <w:sz w:val="24"/>
                <w:szCs w:val="24"/>
                <w:highlight w:val="none"/>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履约保证金</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spacing w:val="-12"/>
                <w:sz w:val="24"/>
                <w:szCs w:val="24"/>
              </w:rPr>
              <w:t>不收取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i/>
                <w:sz w:val="24"/>
                <w:szCs w:val="24"/>
              </w:rPr>
            </w:pPr>
            <w:r>
              <w:rPr>
                <w:rFonts w:hint="eastAsia" w:asciiTheme="minorEastAsia" w:hAnsiTheme="minorEastAsia" w:eastAsiaTheme="minorEastAsia" w:cstheme="minorEastAsia"/>
                <w:sz w:val="24"/>
                <w:szCs w:val="24"/>
              </w:rPr>
              <w:t>综合评分法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spacing w:val="14"/>
                <w:sz w:val="24"/>
                <w:szCs w:val="24"/>
              </w:rPr>
            </w:pPr>
            <w:r>
              <w:rPr>
                <w:rFonts w:hint="eastAsia" w:asciiTheme="minorEastAsia" w:hAnsiTheme="minorEastAsia" w:eastAsiaTheme="minorEastAsia" w:cstheme="minorEastAsia"/>
                <w:sz w:val="24"/>
                <w:szCs w:val="24"/>
              </w:rPr>
              <w:t>采购人是否委托评标委员会直接确定中标人：</w:t>
            </w:r>
            <w:r>
              <w:rPr>
                <w:rFonts w:hint="eastAsia" w:asciiTheme="minorEastAsia" w:hAnsiTheme="minorEastAsia" w:eastAsiaTheme="minorEastAsia" w:cstheme="minorEastAsia"/>
                <w:spacing w:val="14"/>
                <w:sz w:val="24"/>
                <w:szCs w:val="24"/>
              </w:rPr>
              <w:t>否</w:t>
            </w:r>
          </w:p>
          <w:p>
            <w:pPr>
              <w:wordWrap w:val="0"/>
              <w:spacing w:line="240" w:lineRule="atLeast"/>
              <w:jc w:val="both"/>
              <w:rPr>
                <w:rFonts w:asciiTheme="minorEastAsia" w:hAnsiTheme="minorEastAsia" w:eastAsiaTheme="minorEastAsia" w:cstheme="minorEastAsia"/>
                <w:spacing w:val="14"/>
                <w:sz w:val="24"/>
                <w:szCs w:val="24"/>
              </w:rPr>
            </w:pPr>
            <w:r>
              <w:rPr>
                <w:rFonts w:hint="eastAsia" w:asciiTheme="minorEastAsia" w:hAnsiTheme="minorEastAsia" w:eastAsiaTheme="minorEastAsia" w:cstheme="minorEastAsia"/>
                <w:spacing w:val="14"/>
                <w:sz w:val="24"/>
                <w:szCs w:val="24"/>
              </w:rPr>
              <w:t>推荐的中标候选人数:3人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582" w:type="dxa"/>
            <w:tcBorders>
              <w:top w:val="single" w:color="auto" w:sz="6" w:space="0"/>
              <w:left w:val="single" w:color="auto" w:sz="12" w:space="0"/>
              <w:bottom w:val="single" w:color="auto" w:sz="12"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代理费</w:t>
            </w:r>
          </w:p>
        </w:tc>
        <w:tc>
          <w:tcPr>
            <w:tcW w:w="7305" w:type="dxa"/>
            <w:tcBorders>
              <w:top w:val="single" w:color="auto" w:sz="6" w:space="0"/>
              <w:left w:val="single" w:color="auto" w:sz="6" w:space="0"/>
              <w:bottom w:val="single" w:color="auto" w:sz="12" w:space="0"/>
              <w:right w:val="single" w:color="auto" w:sz="12" w:space="0"/>
            </w:tcBorders>
            <w:noWrap/>
            <w:vAlign w:val="center"/>
          </w:tcPr>
          <w:p>
            <w:pPr>
              <w:pStyle w:val="89"/>
              <w:rPr>
                <w:spacing w:val="-13"/>
              </w:rPr>
            </w:pPr>
            <w:r>
              <w:rPr>
                <w:rFonts w:hint="eastAsia"/>
              </w:rPr>
              <w:t>收费对象：</w:t>
            </w:r>
            <w:r>
              <w:rPr>
                <w:rFonts w:hint="eastAsia"/>
                <w:spacing w:val="-13"/>
              </w:rPr>
              <w:t>中标人</w:t>
            </w:r>
          </w:p>
          <w:p>
            <w:pPr>
              <w:pStyle w:val="89"/>
              <w:rPr>
                <w:spacing w:val="-13"/>
              </w:rPr>
            </w:pPr>
            <w:r>
              <w:rPr>
                <w:rFonts w:hint="eastAsia"/>
                <w:spacing w:val="-13"/>
              </w:rPr>
              <w:t>收费标准：</w:t>
            </w:r>
            <w:r>
              <w:rPr>
                <w:rFonts w:hint="eastAsia"/>
              </w:rPr>
              <w:t>项目代理服务费参照《河南省招标代理服务收费指导意见》豫招协〔2023〕002号文规定；由中标人在领取成交通知书时向本采购代理机构支付（并计入投标总报价），请响应人充分考虑这一因素</w:t>
            </w:r>
          </w:p>
        </w:tc>
      </w:tr>
    </w:tbl>
    <w:p>
      <w:pPr>
        <w:pStyle w:val="2"/>
        <w:ind w:left="0" w:leftChars="0" w:firstLine="0" w:firstLineChars="0"/>
        <w:rPr>
          <w:rFonts w:hint="eastAsia"/>
        </w:rPr>
      </w:pPr>
    </w:p>
    <w:p>
      <w:pPr>
        <w:pStyle w:val="2"/>
      </w:pPr>
      <w:r>
        <w:rPr>
          <w:rFonts w:hint="eastAsia"/>
        </w:rPr>
        <w:t>投标人须知</w:t>
      </w:r>
    </w:p>
    <w:p>
      <w:pPr>
        <w:pStyle w:val="2"/>
        <w:rPr>
          <w:bCs/>
          <w:spacing w:val="-1"/>
        </w:rPr>
      </w:pPr>
      <w:r>
        <w:rPr>
          <w:rFonts w:hint="eastAsia"/>
        </w:rPr>
        <w:t>一、说明</w:t>
      </w:r>
    </w:p>
    <w:p>
      <w:pPr>
        <w:pStyle w:val="2"/>
        <w:ind w:firstLine="0" w:firstLineChars="0"/>
        <w:rPr>
          <w:sz w:val="24"/>
          <w:szCs w:val="24"/>
        </w:rPr>
      </w:pPr>
      <w:r>
        <w:rPr>
          <w:rFonts w:hint="eastAsia"/>
          <w:sz w:val="24"/>
          <w:szCs w:val="24"/>
        </w:rPr>
        <w:t>1.采购人、采购代理机构、投标人、联合体</w:t>
      </w:r>
    </w:p>
    <w:p>
      <w:pPr>
        <w:pStyle w:val="88"/>
        <w:spacing w:line="520" w:lineRule="exact"/>
        <w:ind w:left="440" w:firstLine="0"/>
        <w:rPr>
          <w:rFonts w:hAnsi="宋体" w:cs="宋体"/>
          <w:kern w:val="2"/>
          <w:sz w:val="21"/>
          <w:szCs w:val="21"/>
        </w:rPr>
      </w:pPr>
      <w:r>
        <w:rPr>
          <w:rFonts w:hint="eastAsia" w:hAnsi="宋体" w:cs="宋体"/>
          <w:kern w:val="2"/>
          <w:sz w:val="21"/>
          <w:szCs w:val="21"/>
        </w:rPr>
        <w:t>1.1采购人、采购代理机构：指依法进行政府采购的国家机关、事业单位、团体组织及其委托的采购代理机构。本项目采购人、采购代理机构见第一章《公开招标公告》。</w:t>
      </w:r>
    </w:p>
    <w:p>
      <w:pPr>
        <w:pStyle w:val="88"/>
        <w:spacing w:line="520" w:lineRule="exact"/>
        <w:ind w:left="440" w:firstLine="0"/>
        <w:rPr>
          <w:rFonts w:hAnsi="宋体" w:cs="宋体"/>
          <w:kern w:val="2"/>
          <w:sz w:val="21"/>
          <w:szCs w:val="21"/>
        </w:rPr>
      </w:pPr>
      <w:r>
        <w:rPr>
          <w:rFonts w:hint="eastAsia" w:hAnsi="宋体" w:cs="宋体"/>
          <w:kern w:val="2"/>
          <w:sz w:val="21"/>
          <w:szCs w:val="21"/>
        </w:rPr>
        <w:t>1.2投标人（也称供应商、申请人）：指向采购人提供货物、工程或者服务的法人、其他组织或者自然人。</w:t>
      </w:r>
    </w:p>
    <w:p>
      <w:pPr>
        <w:pStyle w:val="88"/>
        <w:spacing w:line="520" w:lineRule="exact"/>
        <w:ind w:left="440" w:firstLine="0"/>
        <w:rPr>
          <w:rFonts w:hAnsi="宋体" w:cs="宋体"/>
          <w:kern w:val="2"/>
          <w:sz w:val="21"/>
          <w:szCs w:val="21"/>
        </w:rPr>
      </w:pPr>
      <w:r>
        <w:rPr>
          <w:rFonts w:hint="eastAsia" w:hAnsi="宋体" w:cs="宋体"/>
          <w:kern w:val="2"/>
          <w:sz w:val="21"/>
          <w:szCs w:val="21"/>
        </w:rPr>
        <w:t>1.3联合体：指两个以上的自然人、法人或者其他组织组成一个联合体，以一个供应商的身份共同参加政府采购。</w:t>
      </w:r>
    </w:p>
    <w:p>
      <w:pPr>
        <w:pStyle w:val="2"/>
        <w:ind w:firstLine="0" w:firstLineChars="0"/>
        <w:rPr>
          <w:sz w:val="24"/>
          <w:szCs w:val="24"/>
        </w:rPr>
      </w:pPr>
      <w:r>
        <w:rPr>
          <w:rFonts w:hint="eastAsia"/>
          <w:sz w:val="24"/>
          <w:szCs w:val="24"/>
        </w:rPr>
        <w:t>2.资金来源、项目属性</w:t>
      </w:r>
    </w:p>
    <w:p>
      <w:pPr>
        <w:pStyle w:val="88"/>
        <w:spacing w:line="520" w:lineRule="exact"/>
        <w:ind w:left="440" w:firstLine="0"/>
        <w:rPr>
          <w:rFonts w:hAnsi="宋体" w:cs="宋体"/>
          <w:kern w:val="2"/>
          <w:sz w:val="21"/>
          <w:szCs w:val="21"/>
        </w:rPr>
      </w:pPr>
      <w:r>
        <w:rPr>
          <w:rFonts w:hint="eastAsia" w:hAnsi="宋体" w:cs="宋体"/>
          <w:kern w:val="2"/>
          <w:sz w:val="21"/>
          <w:szCs w:val="21"/>
        </w:rPr>
        <w:t>2.1资金来源为财政性资金</w:t>
      </w:r>
      <w:r>
        <w:rPr>
          <w:rFonts w:hint="eastAsia" w:hAnsi="宋体" w:cs="宋体"/>
          <w:kern w:val="2"/>
          <w:sz w:val="21"/>
          <w:szCs w:val="21"/>
          <w:u w:val="single"/>
          <w:lang w:val="en-US" w:eastAsia="zh-CN"/>
        </w:rPr>
        <w:t>78.2216</w:t>
      </w:r>
      <w:r>
        <w:rPr>
          <w:rFonts w:hint="eastAsia" w:hAnsi="宋体" w:cs="宋体"/>
          <w:kern w:val="2"/>
          <w:sz w:val="21"/>
          <w:szCs w:val="21"/>
        </w:rPr>
        <w:t>万元。</w:t>
      </w:r>
    </w:p>
    <w:p>
      <w:pPr>
        <w:pStyle w:val="88"/>
        <w:spacing w:line="520" w:lineRule="exact"/>
        <w:ind w:left="440" w:firstLine="0"/>
        <w:rPr>
          <w:rFonts w:hAnsi="宋体" w:cs="宋体"/>
          <w:kern w:val="2"/>
          <w:sz w:val="21"/>
          <w:szCs w:val="21"/>
        </w:rPr>
      </w:pPr>
      <w:r>
        <w:rPr>
          <w:rFonts w:hint="eastAsia" w:hAnsi="宋体" w:cs="宋体"/>
          <w:kern w:val="2"/>
          <w:sz w:val="21"/>
          <w:szCs w:val="21"/>
        </w:rPr>
        <w:t>2.2项目属性见《投标人须知表》。</w:t>
      </w:r>
    </w:p>
    <w:p>
      <w:pPr>
        <w:pStyle w:val="2"/>
        <w:ind w:firstLine="0" w:firstLineChars="0"/>
        <w:rPr>
          <w:sz w:val="24"/>
          <w:szCs w:val="24"/>
        </w:rPr>
      </w:pPr>
      <w:r>
        <w:rPr>
          <w:rFonts w:hint="eastAsia"/>
          <w:sz w:val="24"/>
          <w:szCs w:val="24"/>
        </w:rPr>
        <w:t>3.现场考察、开标前答疑会</w:t>
      </w:r>
    </w:p>
    <w:p>
      <w:pPr>
        <w:pStyle w:val="88"/>
        <w:spacing w:line="520" w:lineRule="exact"/>
        <w:ind w:left="440" w:firstLine="0"/>
        <w:rPr>
          <w:rFonts w:hAnsi="宋体" w:cs="宋体"/>
          <w:kern w:val="2"/>
          <w:sz w:val="21"/>
          <w:szCs w:val="21"/>
        </w:rPr>
      </w:pPr>
      <w:r>
        <w:rPr>
          <w:rFonts w:hint="eastAsia" w:hAnsi="宋体" w:cs="宋体"/>
          <w:kern w:val="2"/>
          <w:sz w:val="21"/>
          <w:szCs w:val="21"/>
        </w:rPr>
        <w:t>3.1若《投标人须知表》中规定了组织现场考察、召开开标前答疑会，则投标人应按要求在规定的时间和地点参加。</w:t>
      </w:r>
    </w:p>
    <w:p>
      <w:pPr>
        <w:pStyle w:val="88"/>
        <w:spacing w:line="520" w:lineRule="exact"/>
        <w:ind w:left="440" w:firstLine="0"/>
        <w:rPr>
          <w:rFonts w:hAnsi="宋体" w:cs="宋体"/>
          <w:kern w:val="2"/>
          <w:sz w:val="21"/>
          <w:szCs w:val="21"/>
        </w:rPr>
      </w:pPr>
      <w:r>
        <w:rPr>
          <w:rFonts w:hint="eastAsia" w:hAnsi="宋体" w:cs="宋体"/>
          <w:kern w:val="2"/>
          <w:sz w:val="21"/>
          <w:szCs w:val="21"/>
        </w:rPr>
        <w:t>3.2由于未参加现场考察或开标前答疑会而导致对项目实际情况不了解，影响投标文件编制、投标报价准确性、综合因素响应不全面等问题的，由投标人自行承担不利评审后果。</w:t>
      </w:r>
    </w:p>
    <w:p>
      <w:pPr>
        <w:pStyle w:val="2"/>
        <w:ind w:firstLine="0" w:firstLineChars="0"/>
        <w:rPr>
          <w:sz w:val="24"/>
          <w:szCs w:val="24"/>
        </w:rPr>
      </w:pPr>
      <w:r>
        <w:rPr>
          <w:rFonts w:hint="eastAsia"/>
          <w:sz w:val="24"/>
          <w:szCs w:val="24"/>
        </w:rPr>
        <w:t>4.政府采购政策（包括但不限于下列具体政策要求）</w:t>
      </w:r>
    </w:p>
    <w:p>
      <w:pPr>
        <w:pStyle w:val="88"/>
        <w:spacing w:line="520" w:lineRule="exact"/>
        <w:ind w:left="440" w:firstLine="0"/>
        <w:rPr>
          <w:rFonts w:hAnsi="宋体" w:cs="宋体"/>
          <w:kern w:val="2"/>
          <w:sz w:val="21"/>
          <w:szCs w:val="21"/>
        </w:rPr>
      </w:pPr>
      <w:r>
        <w:rPr>
          <w:rFonts w:hint="eastAsia" w:hAnsi="宋体" w:cs="宋体"/>
          <w:kern w:val="2"/>
          <w:sz w:val="21"/>
          <w:szCs w:val="21"/>
        </w:rPr>
        <w:t>4.1采购本国货物、工程和服务</w:t>
      </w:r>
    </w:p>
    <w:p>
      <w:pPr>
        <w:pStyle w:val="88"/>
        <w:spacing w:line="520" w:lineRule="exact"/>
        <w:ind w:left="440" w:firstLine="0"/>
        <w:rPr>
          <w:rFonts w:hAnsi="宋体" w:cs="宋体"/>
          <w:kern w:val="2"/>
          <w:sz w:val="21"/>
          <w:szCs w:val="21"/>
        </w:rPr>
      </w:pPr>
      <w:r>
        <w:rPr>
          <w:rFonts w:hint="eastAsia" w:hAnsi="宋体" w:cs="宋体"/>
          <w:kern w:val="2"/>
          <w:sz w:val="21"/>
          <w:szCs w:val="21"/>
        </w:rPr>
        <w:t>4.1.1政府采购应当采购本国货物、工程和服务。但有《中华人民共和国政府采购法》第十条规定情形的除外。</w:t>
      </w:r>
    </w:p>
    <w:p>
      <w:pPr>
        <w:pStyle w:val="88"/>
        <w:spacing w:line="520" w:lineRule="exact"/>
        <w:ind w:left="440" w:firstLine="0"/>
        <w:rPr>
          <w:rFonts w:hAnsi="宋体" w:cs="宋体"/>
          <w:kern w:val="2"/>
          <w:sz w:val="21"/>
          <w:szCs w:val="21"/>
        </w:rPr>
      </w:pPr>
      <w:r>
        <w:rPr>
          <w:rFonts w:hint="eastAsia" w:hAnsi="宋体" w:cs="宋体"/>
          <w:kern w:val="2"/>
          <w:sz w:val="21"/>
          <w:szCs w:val="21"/>
        </w:rPr>
        <w:t>4.1.2本项目如接受非本国货物、工程、服务参与投标，则具体要求见第二章《采购需求》。</w:t>
      </w:r>
    </w:p>
    <w:p>
      <w:pPr>
        <w:pStyle w:val="88"/>
        <w:spacing w:line="520" w:lineRule="exact"/>
        <w:ind w:left="440" w:firstLine="0"/>
        <w:rPr>
          <w:rFonts w:hAnsi="宋体" w:cs="宋体"/>
          <w:kern w:val="2"/>
          <w:sz w:val="21"/>
          <w:szCs w:val="21"/>
        </w:rPr>
      </w:pPr>
      <w:r>
        <w:rPr>
          <w:rFonts w:hint="eastAsia" w:hAnsi="宋体" w:cs="宋体"/>
          <w:kern w:val="2"/>
          <w:sz w:val="21"/>
          <w:szCs w:val="21"/>
        </w:rPr>
        <w:t>4.1.3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法》（财库〔2007〕119号文）、《关于政府采购进口产品管理有关问题的通知》（财办库〔2008〕248号文）以及南阳市财政局的具体规定。</w:t>
      </w:r>
    </w:p>
    <w:p>
      <w:pPr>
        <w:pStyle w:val="88"/>
        <w:spacing w:line="520" w:lineRule="exact"/>
        <w:ind w:left="440" w:firstLine="0"/>
        <w:rPr>
          <w:rFonts w:hAnsi="宋体" w:cs="宋体"/>
          <w:kern w:val="2"/>
          <w:sz w:val="21"/>
          <w:szCs w:val="21"/>
        </w:rPr>
      </w:pPr>
      <w:r>
        <w:rPr>
          <w:rFonts w:hint="eastAsia" w:hAnsi="宋体" w:cs="宋体"/>
          <w:kern w:val="2"/>
          <w:sz w:val="21"/>
          <w:szCs w:val="21"/>
        </w:rPr>
        <w:t>4.2中小企业、监狱企业及残疾人福利性单位</w:t>
      </w:r>
    </w:p>
    <w:p>
      <w:pPr>
        <w:pStyle w:val="88"/>
        <w:spacing w:line="520" w:lineRule="exact"/>
        <w:ind w:left="440" w:firstLine="0"/>
        <w:rPr>
          <w:rFonts w:hAnsi="宋体" w:cs="宋体"/>
          <w:kern w:val="2"/>
          <w:sz w:val="21"/>
          <w:szCs w:val="21"/>
        </w:rPr>
      </w:pPr>
      <w:r>
        <w:rPr>
          <w:rFonts w:hint="eastAsia" w:hAnsi="宋体" w:cs="宋体"/>
          <w:kern w:val="2"/>
          <w:sz w:val="21"/>
          <w:szCs w:val="21"/>
        </w:rPr>
        <w:t>4.2.1中小企业定义：</w:t>
      </w:r>
    </w:p>
    <w:p>
      <w:pPr>
        <w:pStyle w:val="88"/>
        <w:spacing w:line="520" w:lineRule="exact"/>
        <w:ind w:left="440" w:firstLine="0"/>
        <w:rPr>
          <w:rFonts w:hAnsi="宋体" w:cs="宋体"/>
          <w:kern w:val="2"/>
          <w:sz w:val="21"/>
          <w:szCs w:val="21"/>
        </w:rPr>
      </w:pPr>
      <w:r>
        <w:rPr>
          <w:rFonts w:hint="eastAsia" w:hAnsi="宋体" w:cs="宋体"/>
          <w:kern w:val="2"/>
          <w:sz w:val="21"/>
          <w:szCs w:val="21"/>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执行。</w:t>
      </w:r>
    </w:p>
    <w:p>
      <w:pPr>
        <w:pStyle w:val="88"/>
        <w:spacing w:line="520" w:lineRule="exact"/>
        <w:ind w:left="440" w:firstLine="0"/>
        <w:rPr>
          <w:rFonts w:hAnsi="宋体" w:cs="宋体"/>
          <w:kern w:val="2"/>
          <w:sz w:val="21"/>
          <w:szCs w:val="21"/>
        </w:rPr>
      </w:pPr>
      <w:r>
        <w:rPr>
          <w:rFonts w:hint="eastAsia" w:hAnsi="宋体" w:cs="宋体"/>
          <w:kern w:val="2"/>
          <w:sz w:val="21"/>
          <w:szCs w:val="21"/>
        </w:rPr>
        <w:t>供应商提供的货物、工程或者服务符合下列情形的，享受中小企业扶持政策：</w:t>
      </w:r>
    </w:p>
    <w:p>
      <w:pPr>
        <w:pStyle w:val="88"/>
        <w:spacing w:line="520" w:lineRule="exact"/>
        <w:ind w:left="440" w:firstLine="0"/>
        <w:rPr>
          <w:rFonts w:hAnsi="宋体" w:cs="宋体"/>
          <w:kern w:val="2"/>
          <w:sz w:val="21"/>
          <w:szCs w:val="21"/>
        </w:rPr>
      </w:pPr>
      <w:r>
        <w:rPr>
          <w:rFonts w:hint="eastAsia" w:hAnsi="宋体" w:cs="宋体"/>
          <w:kern w:val="2"/>
          <w:sz w:val="21"/>
          <w:szCs w:val="21"/>
        </w:rPr>
        <w:t>（1）在货物采购项目中，货物由中小企业制造，即货物由中小企业生产且使用该中小企业商号或者注册商标；</w:t>
      </w:r>
    </w:p>
    <w:p>
      <w:pPr>
        <w:pStyle w:val="88"/>
        <w:spacing w:line="520" w:lineRule="exact"/>
        <w:ind w:left="440" w:firstLine="0"/>
        <w:rPr>
          <w:rFonts w:hAnsi="宋体" w:cs="宋体"/>
          <w:kern w:val="2"/>
          <w:sz w:val="21"/>
          <w:szCs w:val="21"/>
        </w:rPr>
      </w:pPr>
      <w:r>
        <w:rPr>
          <w:rFonts w:hint="eastAsia" w:hAnsi="宋体" w:cs="宋体"/>
          <w:kern w:val="2"/>
          <w:sz w:val="21"/>
          <w:szCs w:val="21"/>
        </w:rPr>
        <w:t>（2）在工程采购项目中，工程由中小企业承建，即工程施工单位为中小企业；</w:t>
      </w:r>
    </w:p>
    <w:p>
      <w:pPr>
        <w:pStyle w:val="88"/>
        <w:spacing w:line="520" w:lineRule="exact"/>
        <w:ind w:left="440" w:firstLine="0"/>
        <w:rPr>
          <w:rFonts w:hAnsi="宋体" w:cs="宋体"/>
          <w:kern w:val="2"/>
          <w:sz w:val="21"/>
          <w:szCs w:val="21"/>
        </w:rPr>
      </w:pPr>
      <w:r>
        <w:rPr>
          <w:rFonts w:hint="eastAsia" w:hAnsi="宋体" w:cs="宋体"/>
          <w:kern w:val="2"/>
          <w:sz w:val="21"/>
          <w:szCs w:val="21"/>
        </w:rPr>
        <w:t>（3）在服务采购项目中，服务由中小企业承接，即提供服务的人员为中小企业依照《中华人民共和国劳动合同法》订立劳动合同的从业人员。</w:t>
      </w:r>
    </w:p>
    <w:p>
      <w:pPr>
        <w:pStyle w:val="88"/>
        <w:spacing w:line="520" w:lineRule="exact"/>
        <w:ind w:left="440" w:firstLine="0"/>
        <w:rPr>
          <w:rFonts w:hAnsi="宋体" w:cs="宋体"/>
          <w:kern w:val="2"/>
          <w:sz w:val="21"/>
          <w:szCs w:val="21"/>
        </w:rPr>
      </w:pPr>
      <w:r>
        <w:rPr>
          <w:rFonts w:hint="eastAsia" w:hAnsi="宋体" w:cs="宋体"/>
          <w:kern w:val="2"/>
          <w:sz w:val="21"/>
          <w:szCs w:val="21"/>
        </w:rPr>
        <w:t>在货物采购项目中，供应商提供的货物既有中小企业制造货物，也有大型企业制造货物的，不享受中小企业扶持政策。</w:t>
      </w:r>
    </w:p>
    <w:p>
      <w:pPr>
        <w:pStyle w:val="88"/>
        <w:spacing w:line="520" w:lineRule="exact"/>
        <w:ind w:left="440" w:firstLine="0"/>
        <w:rPr>
          <w:rFonts w:hAnsi="宋体" w:cs="宋体"/>
          <w:kern w:val="2"/>
          <w:sz w:val="21"/>
          <w:szCs w:val="21"/>
        </w:rPr>
      </w:pPr>
      <w:r>
        <w:rPr>
          <w:rFonts w:hint="eastAsia" w:hAnsi="宋体" w:cs="宋体"/>
          <w:kern w:val="2"/>
          <w:sz w:val="21"/>
          <w:szCs w:val="21"/>
        </w:rPr>
        <w:t>以联合体形式参加政府采购活动，联合体各方均为中小企业的，联合体视同中小企业。其中，联合体各方均为小微企业的，联合体视同小微企业。</w:t>
      </w:r>
    </w:p>
    <w:p>
      <w:pPr>
        <w:pStyle w:val="88"/>
        <w:spacing w:line="520" w:lineRule="exact"/>
        <w:ind w:left="440" w:firstLine="0"/>
        <w:rPr>
          <w:rFonts w:hAnsi="宋体" w:cs="宋体"/>
          <w:kern w:val="2"/>
          <w:sz w:val="21"/>
          <w:szCs w:val="21"/>
        </w:rPr>
      </w:pPr>
      <w:r>
        <w:rPr>
          <w:rFonts w:hint="eastAsia" w:hAnsi="宋体" w:cs="宋体"/>
          <w:kern w:val="2"/>
          <w:sz w:val="21"/>
          <w:szCs w:val="21"/>
        </w:rPr>
        <w:t>4.2.2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pStyle w:val="88"/>
        <w:spacing w:line="520" w:lineRule="exact"/>
        <w:ind w:left="440" w:firstLine="0"/>
        <w:rPr>
          <w:rFonts w:hAnsi="宋体" w:cs="宋体"/>
          <w:kern w:val="2"/>
          <w:sz w:val="21"/>
          <w:szCs w:val="21"/>
        </w:rPr>
      </w:pPr>
      <w:r>
        <w:rPr>
          <w:rFonts w:hint="eastAsia" w:hAnsi="宋体" w:cs="宋体"/>
          <w:kern w:val="2"/>
          <w:sz w:val="21"/>
          <w:szCs w:val="21"/>
        </w:rPr>
        <w:t>4.2.3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88"/>
        <w:spacing w:line="520" w:lineRule="exact"/>
        <w:ind w:left="440" w:firstLine="0"/>
        <w:rPr>
          <w:rFonts w:hAnsi="宋体" w:cs="宋体"/>
          <w:kern w:val="2"/>
          <w:sz w:val="21"/>
          <w:szCs w:val="21"/>
        </w:rPr>
      </w:pPr>
      <w:r>
        <w:fldChar w:fldCharType="begin"/>
      </w:r>
      <w:r>
        <w:instrText xml:space="preserve"> HYPERLINK "file:///C:\\Users\\Administrator\\Desktop\\5.2.3.1" </w:instrText>
      </w:r>
      <w:r>
        <w:fldChar w:fldCharType="separate"/>
      </w:r>
      <w:r>
        <w:rPr>
          <w:rFonts w:hint="eastAsia" w:hAnsi="宋体" w:cs="宋体"/>
          <w:kern w:val="2"/>
          <w:sz w:val="21"/>
          <w:szCs w:val="21"/>
        </w:rPr>
        <w:t>4.2.3.1</w:t>
      </w:r>
      <w:r>
        <w:rPr>
          <w:rFonts w:hint="eastAsia" w:hAnsi="宋体" w:cs="宋体"/>
          <w:kern w:val="2"/>
          <w:sz w:val="21"/>
          <w:szCs w:val="21"/>
        </w:rPr>
        <w:fldChar w:fldCharType="end"/>
      </w:r>
      <w:r>
        <w:rPr>
          <w:rFonts w:hint="eastAsia" w:hAnsi="宋体" w:cs="宋体"/>
          <w:kern w:val="2"/>
          <w:sz w:val="21"/>
          <w:szCs w:val="21"/>
        </w:rPr>
        <w:t>安置的残疾人占本单位在职职工人数的比例不低于25%（含25%），并且安置的残疾人人数不少于10人（含10人）；</w:t>
      </w:r>
    </w:p>
    <w:p>
      <w:pPr>
        <w:pStyle w:val="88"/>
        <w:spacing w:line="520" w:lineRule="exact"/>
        <w:ind w:left="440" w:firstLine="0"/>
        <w:rPr>
          <w:rFonts w:hAnsi="宋体" w:cs="宋体"/>
          <w:kern w:val="2"/>
          <w:sz w:val="21"/>
          <w:szCs w:val="21"/>
        </w:rPr>
      </w:pPr>
      <w:r>
        <w:fldChar w:fldCharType="begin"/>
      </w:r>
      <w:r>
        <w:instrText xml:space="preserve"> HYPERLINK "file:///C:\\Users\\Administrator\\Desktop\\5.2.3.2" </w:instrText>
      </w:r>
      <w:r>
        <w:fldChar w:fldCharType="separate"/>
      </w:r>
      <w:r>
        <w:rPr>
          <w:rFonts w:hint="eastAsia" w:hAnsi="宋体" w:cs="宋体"/>
          <w:kern w:val="2"/>
          <w:sz w:val="21"/>
          <w:szCs w:val="21"/>
        </w:rPr>
        <w:t>4.2.3.2</w:t>
      </w:r>
      <w:r>
        <w:rPr>
          <w:rFonts w:hint="eastAsia" w:hAnsi="宋体" w:cs="宋体"/>
          <w:kern w:val="2"/>
          <w:sz w:val="21"/>
          <w:szCs w:val="21"/>
        </w:rPr>
        <w:fldChar w:fldCharType="end"/>
      </w:r>
      <w:r>
        <w:rPr>
          <w:rFonts w:hint="eastAsia" w:hAnsi="宋体" w:cs="宋体"/>
          <w:kern w:val="2"/>
          <w:sz w:val="21"/>
          <w:szCs w:val="21"/>
        </w:rPr>
        <w:t>依法与安置的每位残疾人签订了一年以上（含一年）的劳动合同或服务协议；</w:t>
      </w:r>
    </w:p>
    <w:p>
      <w:pPr>
        <w:pStyle w:val="88"/>
        <w:spacing w:line="520" w:lineRule="exact"/>
        <w:ind w:left="440" w:firstLine="0"/>
        <w:rPr>
          <w:rFonts w:hAnsi="宋体" w:cs="宋体"/>
          <w:kern w:val="2"/>
          <w:sz w:val="21"/>
          <w:szCs w:val="21"/>
        </w:rPr>
      </w:pPr>
      <w:r>
        <w:fldChar w:fldCharType="begin"/>
      </w:r>
      <w:r>
        <w:instrText xml:space="preserve"> HYPERLINK "file:///C:\\Users\\Administrator\\Desktop\\5.2.3.3" </w:instrText>
      </w:r>
      <w:r>
        <w:fldChar w:fldCharType="separate"/>
      </w:r>
      <w:r>
        <w:rPr>
          <w:rFonts w:hint="eastAsia" w:hAnsi="宋体" w:cs="宋体"/>
          <w:kern w:val="2"/>
          <w:sz w:val="21"/>
          <w:szCs w:val="21"/>
        </w:rPr>
        <w:t>4.2.3.3</w:t>
      </w:r>
      <w:r>
        <w:rPr>
          <w:rFonts w:hint="eastAsia" w:hAnsi="宋体" w:cs="宋体"/>
          <w:kern w:val="2"/>
          <w:sz w:val="21"/>
          <w:szCs w:val="21"/>
        </w:rPr>
        <w:fldChar w:fldCharType="end"/>
      </w:r>
      <w:r>
        <w:rPr>
          <w:rFonts w:hint="eastAsia" w:hAnsi="宋体" w:cs="宋体"/>
          <w:kern w:val="2"/>
          <w:sz w:val="21"/>
          <w:szCs w:val="21"/>
        </w:rPr>
        <w:t>为安置的每位残疾人按月足额缴纳了基本养老、医疗、失业、工伤和生育等社会保险费；</w:t>
      </w:r>
    </w:p>
    <w:p>
      <w:pPr>
        <w:pStyle w:val="88"/>
        <w:spacing w:line="520" w:lineRule="exact"/>
        <w:ind w:left="440" w:firstLine="0"/>
        <w:rPr>
          <w:rFonts w:hAnsi="宋体" w:cs="宋体"/>
          <w:kern w:val="2"/>
          <w:sz w:val="21"/>
          <w:szCs w:val="21"/>
        </w:rPr>
      </w:pPr>
      <w:r>
        <w:fldChar w:fldCharType="begin"/>
      </w:r>
      <w:r>
        <w:instrText xml:space="preserve"> HYPERLINK "file:///C:\\Users\\Administrator\\Desktop\\5.2.3.4" </w:instrText>
      </w:r>
      <w:r>
        <w:fldChar w:fldCharType="separate"/>
      </w:r>
      <w:r>
        <w:rPr>
          <w:rFonts w:hint="eastAsia" w:hAnsi="宋体" w:cs="宋体"/>
          <w:kern w:val="2"/>
          <w:sz w:val="21"/>
          <w:szCs w:val="21"/>
        </w:rPr>
        <w:t>4.2.3.4</w:t>
      </w:r>
      <w:r>
        <w:rPr>
          <w:rFonts w:hint="eastAsia" w:hAnsi="宋体" w:cs="宋体"/>
          <w:kern w:val="2"/>
          <w:sz w:val="21"/>
          <w:szCs w:val="21"/>
        </w:rPr>
        <w:fldChar w:fldCharType="end"/>
      </w:r>
      <w:r>
        <w:rPr>
          <w:rFonts w:hint="eastAsia" w:hAnsi="宋体" w:cs="宋体"/>
          <w:kern w:val="2"/>
          <w:sz w:val="21"/>
          <w:szCs w:val="21"/>
        </w:rPr>
        <w:t>通过银行等金融机构向安置的每位残疾人，按月支付了不低于单位所在区县的月最低工资标准的工资；</w:t>
      </w:r>
    </w:p>
    <w:p>
      <w:pPr>
        <w:pStyle w:val="88"/>
        <w:spacing w:line="520" w:lineRule="exact"/>
        <w:ind w:left="440" w:firstLine="0"/>
        <w:rPr>
          <w:rFonts w:hAnsi="宋体" w:cs="宋体"/>
          <w:kern w:val="2"/>
          <w:sz w:val="21"/>
          <w:szCs w:val="21"/>
        </w:rPr>
      </w:pPr>
      <w:r>
        <w:fldChar w:fldCharType="begin"/>
      </w:r>
      <w:r>
        <w:instrText xml:space="preserve"> HYPERLINK "file:///C:\\Users\\Administrator\\Desktop\\5.2.3.5" </w:instrText>
      </w:r>
      <w:r>
        <w:fldChar w:fldCharType="separate"/>
      </w:r>
      <w:r>
        <w:rPr>
          <w:rFonts w:hint="eastAsia" w:hAnsi="宋体" w:cs="宋体"/>
          <w:kern w:val="2"/>
          <w:sz w:val="21"/>
          <w:szCs w:val="21"/>
        </w:rPr>
        <w:t>4.2.3.5</w:t>
      </w:r>
      <w:r>
        <w:rPr>
          <w:rFonts w:hint="eastAsia" w:hAnsi="宋体" w:cs="宋体"/>
          <w:kern w:val="2"/>
          <w:sz w:val="21"/>
          <w:szCs w:val="21"/>
        </w:rPr>
        <w:fldChar w:fldCharType="end"/>
      </w:r>
      <w:r>
        <w:rPr>
          <w:rFonts w:hint="eastAsia" w:hAnsi="宋体" w:cs="宋体"/>
          <w:kern w:val="2"/>
          <w:sz w:val="21"/>
          <w:szCs w:val="21"/>
        </w:rPr>
        <w:t xml:space="preserve"> 提供本单位制造的货物、承担的工程或者服务（以下简称产品），或者提供其他残疾人福利性单位制造的货物（不包括使用非残疾人福利性单位注册商标的货物）；</w:t>
      </w:r>
    </w:p>
    <w:p>
      <w:pPr>
        <w:pStyle w:val="88"/>
        <w:spacing w:line="520" w:lineRule="exact"/>
        <w:ind w:left="440" w:firstLine="0"/>
        <w:rPr>
          <w:rFonts w:hAnsi="宋体" w:cs="宋体"/>
          <w:kern w:val="2"/>
          <w:sz w:val="21"/>
          <w:szCs w:val="21"/>
        </w:rPr>
      </w:pPr>
      <w:r>
        <w:fldChar w:fldCharType="begin"/>
      </w:r>
      <w:r>
        <w:instrText xml:space="preserve"> HYPERLINK "file:///C:\\Users\\Administrator\\Desktop\\5.2.3.6" </w:instrText>
      </w:r>
      <w:r>
        <w:fldChar w:fldCharType="separate"/>
      </w:r>
      <w:r>
        <w:rPr>
          <w:rFonts w:hint="eastAsia" w:hAnsi="宋体" w:cs="宋体"/>
          <w:kern w:val="2"/>
          <w:sz w:val="21"/>
          <w:szCs w:val="21"/>
        </w:rPr>
        <w:t>4.2.3.6</w:t>
      </w:r>
      <w:r>
        <w:rPr>
          <w:rFonts w:hint="eastAsia" w:hAnsi="宋体" w:cs="宋体"/>
          <w:kern w:val="2"/>
          <w:sz w:val="21"/>
          <w:szCs w:val="21"/>
        </w:rPr>
        <w:fldChar w:fldCharType="end"/>
      </w:r>
      <w:r>
        <w:rPr>
          <w:rFonts w:hint="eastAsia" w:hAnsi="宋体" w:cs="宋体"/>
          <w:kern w:val="2"/>
          <w:sz w:val="21"/>
          <w:szCs w:val="21"/>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pPr>
        <w:pStyle w:val="88"/>
        <w:spacing w:line="520" w:lineRule="exact"/>
        <w:ind w:left="440" w:firstLine="0"/>
        <w:rPr>
          <w:rFonts w:hAnsi="宋体" w:cs="宋体"/>
          <w:kern w:val="2"/>
          <w:sz w:val="21"/>
          <w:szCs w:val="21"/>
        </w:rPr>
      </w:pPr>
      <w:r>
        <w:rPr>
          <w:rFonts w:hint="eastAsia" w:hAnsi="宋体" w:cs="宋体"/>
          <w:kern w:val="2"/>
          <w:sz w:val="21"/>
          <w:szCs w:val="21"/>
        </w:rPr>
        <w:t>4.2.4本项目是否专门面向中小企业预留采购份额见第一章《公开招标公告》。</w:t>
      </w:r>
    </w:p>
    <w:p>
      <w:pPr>
        <w:pStyle w:val="88"/>
        <w:spacing w:line="520" w:lineRule="exact"/>
        <w:ind w:left="440" w:firstLine="0"/>
        <w:rPr>
          <w:rFonts w:hAnsi="宋体" w:cs="宋体"/>
          <w:kern w:val="2"/>
          <w:sz w:val="21"/>
          <w:szCs w:val="21"/>
        </w:rPr>
      </w:pPr>
      <w:r>
        <w:rPr>
          <w:rFonts w:hint="eastAsia" w:hAnsi="宋体" w:cs="宋体"/>
          <w:kern w:val="2"/>
          <w:sz w:val="21"/>
          <w:szCs w:val="21"/>
        </w:rPr>
        <w:t>4.2.5采购标的对应的中小企业划分标准所属行业见《投标人须知表》。</w:t>
      </w:r>
    </w:p>
    <w:p>
      <w:pPr>
        <w:pStyle w:val="88"/>
        <w:spacing w:line="520" w:lineRule="exact"/>
        <w:ind w:left="440" w:firstLine="0"/>
        <w:rPr>
          <w:rFonts w:hAnsi="宋体" w:cs="宋体"/>
          <w:kern w:val="2"/>
          <w:sz w:val="21"/>
          <w:szCs w:val="21"/>
        </w:rPr>
      </w:pPr>
      <w:r>
        <w:rPr>
          <w:rFonts w:hint="eastAsia" w:hAnsi="宋体" w:cs="宋体"/>
          <w:kern w:val="2"/>
          <w:sz w:val="21"/>
          <w:szCs w:val="21"/>
        </w:rPr>
        <w:t>4.2.6小微企业价格评审优惠的政策调整：见第四章《开、评标程序、评标方法和评标标准》。</w:t>
      </w:r>
    </w:p>
    <w:p>
      <w:pPr>
        <w:pStyle w:val="2"/>
        <w:ind w:firstLine="0" w:firstLineChars="0"/>
        <w:rPr>
          <w:rFonts w:ascii="宋体" w:hAnsi="宋体" w:eastAsia="宋体" w:cs="宋体"/>
          <w:b w:val="0"/>
          <w:spacing w:val="0"/>
          <w:kern w:val="2"/>
          <w:sz w:val="21"/>
          <w:szCs w:val="21"/>
          <w:lang w:val="en-US" w:bidi="ar-SA"/>
        </w:rPr>
      </w:pPr>
      <w:r>
        <w:rPr>
          <w:rFonts w:hint="eastAsia" w:ascii="宋体" w:hAnsi="宋体" w:eastAsia="宋体" w:cs="宋体"/>
          <w:b w:val="0"/>
          <w:spacing w:val="0"/>
          <w:kern w:val="2"/>
          <w:sz w:val="21"/>
          <w:szCs w:val="21"/>
          <w:lang w:val="en-US" w:bidi="ar-SA"/>
        </w:rPr>
        <w:t>4.3政府采购节能产品、环境标志产品</w:t>
      </w:r>
    </w:p>
    <w:p>
      <w:pPr>
        <w:pStyle w:val="88"/>
        <w:spacing w:line="520" w:lineRule="exact"/>
        <w:ind w:left="440" w:firstLine="0"/>
        <w:rPr>
          <w:rFonts w:hAnsi="宋体" w:cs="宋体"/>
          <w:kern w:val="2"/>
          <w:sz w:val="21"/>
          <w:szCs w:val="21"/>
        </w:rPr>
      </w:pPr>
      <w:r>
        <w:rPr>
          <w:rFonts w:hAnsi="宋体" w:cs="宋体"/>
          <w:kern w:val="2"/>
          <w:sz w:val="21"/>
          <w:szCs w:val="21"/>
        </w:rPr>
        <w:t>4.3.1政府采购节能产品、环境标志产品实施品目清单管理。财政部、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hAnsi="宋体" w:cs="宋体"/>
          <w:kern w:val="2"/>
          <w:sz w:val="21"/>
          <w:szCs w:val="21"/>
        </w:rPr>
        <w:t>中华人民共和国国家发展和改革委员会</w:t>
      </w:r>
      <w:r>
        <w:rPr>
          <w:rFonts w:hAnsi="宋体" w:cs="宋体"/>
          <w:kern w:val="2"/>
          <w:sz w:val="21"/>
          <w:szCs w:val="21"/>
        </w:rPr>
        <w:fldChar w:fldCharType="end"/>
      </w:r>
      <w:r>
        <w:rPr>
          <w:rFonts w:hAnsi="宋体" w:cs="宋体"/>
          <w:kern w:val="2"/>
          <w:sz w:val="21"/>
          <w:szCs w:val="21"/>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pStyle w:val="88"/>
        <w:spacing w:line="520" w:lineRule="exact"/>
        <w:ind w:left="440" w:firstLine="0"/>
        <w:rPr>
          <w:rFonts w:hAnsi="宋体" w:cs="宋体"/>
          <w:kern w:val="2"/>
          <w:sz w:val="21"/>
          <w:szCs w:val="21"/>
        </w:rPr>
      </w:pPr>
      <w:r>
        <w:rPr>
          <w:rFonts w:hint="eastAsia" w:hAnsi="宋体" w:cs="宋体"/>
          <w:kern w:val="2"/>
          <w:sz w:val="21"/>
          <w:szCs w:val="21"/>
        </w:rPr>
        <w:t>4.3.2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pPr>
        <w:pStyle w:val="88"/>
        <w:spacing w:line="520" w:lineRule="exact"/>
        <w:ind w:left="440" w:firstLine="0"/>
        <w:rPr>
          <w:rFonts w:hAnsi="宋体" w:cs="宋体"/>
          <w:kern w:val="2"/>
          <w:sz w:val="21"/>
          <w:szCs w:val="21"/>
        </w:rPr>
      </w:pPr>
      <w:r>
        <w:rPr>
          <w:rFonts w:hint="eastAsia" w:hAnsi="宋体" w:cs="宋体"/>
          <w:kern w:val="2"/>
          <w:sz w:val="21"/>
          <w:szCs w:val="21"/>
        </w:rPr>
        <w:t>4.3.3如本项目采购产品属于实施政府强制采购品目清单范围的节能产品，则投标人所报产品必须获得国家确定的认证机构出具的、处于有效期之内的节能产品认证证书，否则投标无效；</w:t>
      </w:r>
    </w:p>
    <w:p>
      <w:pPr>
        <w:pStyle w:val="88"/>
        <w:spacing w:line="520" w:lineRule="exact"/>
        <w:ind w:left="440" w:firstLine="0"/>
        <w:rPr>
          <w:rFonts w:hAnsi="宋体" w:cs="宋体"/>
          <w:kern w:val="2"/>
          <w:sz w:val="21"/>
          <w:szCs w:val="21"/>
        </w:rPr>
      </w:pPr>
      <w:r>
        <w:rPr>
          <w:rFonts w:hint="eastAsia" w:hAnsi="宋体" w:cs="宋体"/>
          <w:kern w:val="2"/>
          <w:sz w:val="21"/>
          <w:szCs w:val="21"/>
        </w:rPr>
        <w:t>4.3.4非政府强制采购的节能产品或环境标志产品，依据品目清单和认证证书实施政府优先采购。优先采购的具体规定见第四章《开、评标程序、评标方法和评标标准》（如涉及）。</w:t>
      </w:r>
    </w:p>
    <w:p>
      <w:pPr>
        <w:pStyle w:val="2"/>
        <w:ind w:firstLine="0" w:firstLineChars="0"/>
        <w:rPr>
          <w:rFonts w:ascii="宋体" w:hAnsi="宋体" w:eastAsia="宋体" w:cs="宋体"/>
          <w:b w:val="0"/>
          <w:spacing w:val="0"/>
          <w:kern w:val="2"/>
          <w:sz w:val="21"/>
          <w:szCs w:val="21"/>
          <w:lang w:val="en-US" w:bidi="ar-SA"/>
        </w:rPr>
      </w:pPr>
      <w:r>
        <w:rPr>
          <w:rFonts w:hint="eastAsia" w:ascii="宋体" w:hAnsi="宋体" w:eastAsia="宋体" w:cs="宋体"/>
          <w:b w:val="0"/>
          <w:spacing w:val="0"/>
          <w:kern w:val="2"/>
          <w:sz w:val="21"/>
          <w:szCs w:val="21"/>
          <w:lang w:val="en-US" w:bidi="ar-SA"/>
        </w:rPr>
        <w:t>4.4正版软件</w:t>
      </w:r>
    </w:p>
    <w:p>
      <w:pPr>
        <w:pStyle w:val="88"/>
        <w:spacing w:line="520" w:lineRule="exact"/>
        <w:ind w:left="440" w:firstLine="0"/>
        <w:rPr>
          <w:rFonts w:hAnsi="宋体" w:cs="宋体"/>
          <w:kern w:val="2"/>
          <w:sz w:val="21"/>
          <w:szCs w:val="21"/>
        </w:rPr>
      </w:pPr>
      <w:r>
        <w:rPr>
          <w:rFonts w:hint="eastAsia" w:hAnsi="宋体" w:cs="宋体"/>
          <w:kern w:val="2"/>
          <w:sz w:val="21"/>
          <w:szCs w:val="21"/>
        </w:rPr>
        <w:t>4.4.1依据《财政部、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hAnsi="宋体" w:cs="宋体"/>
          <w:kern w:val="2"/>
          <w:sz w:val="21"/>
          <w:szCs w:val="21"/>
        </w:rPr>
        <w:t>中华人民共和国国家发展和改革委员会</w:t>
      </w:r>
      <w:r>
        <w:rPr>
          <w:rFonts w:hAnsi="宋体" w:cs="宋体"/>
          <w:kern w:val="2"/>
          <w:sz w:val="21"/>
          <w:szCs w:val="21"/>
        </w:rPr>
        <w:fldChar w:fldCharType="end"/>
      </w:r>
      <w:r>
        <w:rPr>
          <w:rFonts w:hint="eastAsia" w:hAnsi="宋体" w:cs="宋体"/>
          <w:kern w:val="2"/>
          <w:sz w:val="21"/>
          <w:szCs w:val="21"/>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hAnsi="宋体" w:cs="宋体"/>
          <w:kern w:val="2"/>
          <w:sz w:val="21"/>
          <w:szCs w:val="21"/>
        </w:rPr>
        <w:t>中华人民共和国国家发展和改革委员会</w:t>
      </w:r>
      <w:r>
        <w:rPr>
          <w:rFonts w:hAnsi="宋体" w:cs="宋体"/>
          <w:kern w:val="2"/>
          <w:sz w:val="21"/>
          <w:szCs w:val="21"/>
        </w:rPr>
        <w:fldChar w:fldCharType="end"/>
      </w:r>
      <w:r>
        <w:rPr>
          <w:rFonts w:hint="eastAsia" w:hAnsi="宋体" w:cs="宋体"/>
          <w:kern w:val="2"/>
          <w:sz w:val="21"/>
          <w:szCs w:val="21"/>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hAnsi="宋体" w:cs="宋体"/>
          <w:kern w:val="2"/>
          <w:sz w:val="21"/>
          <w:szCs w:val="21"/>
        </w:rPr>
        <w:t>中华人民共和国国家发展和改革委员会</w:t>
      </w:r>
      <w:r>
        <w:rPr>
          <w:rFonts w:hAnsi="宋体" w:cs="宋体"/>
          <w:kern w:val="2"/>
          <w:sz w:val="21"/>
          <w:szCs w:val="21"/>
        </w:rPr>
        <w:fldChar w:fldCharType="end"/>
      </w:r>
      <w:r>
        <w:rPr>
          <w:rFonts w:hint="eastAsia" w:hAnsi="宋体" w:cs="宋体"/>
          <w:kern w:val="2"/>
          <w:sz w:val="21"/>
          <w:szCs w:val="21"/>
        </w:rPr>
        <w:t>、信息产业部以文件形式确定、公布并适时调整。</w:t>
      </w:r>
    </w:p>
    <w:p>
      <w:pPr>
        <w:pStyle w:val="88"/>
        <w:spacing w:line="520" w:lineRule="exact"/>
        <w:ind w:left="440" w:firstLine="0"/>
        <w:rPr>
          <w:rFonts w:hAnsi="宋体" w:cs="宋体"/>
          <w:kern w:val="2"/>
          <w:sz w:val="21"/>
          <w:szCs w:val="21"/>
        </w:rPr>
      </w:pPr>
      <w:r>
        <w:rPr>
          <w:rFonts w:hint="eastAsia" w:hAnsi="宋体" w:cs="宋体"/>
          <w:kern w:val="2"/>
          <w:sz w:val="21"/>
          <w:szCs w:val="21"/>
        </w:rPr>
        <w:t>4.4.2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pPr>
        <w:pStyle w:val="88"/>
        <w:spacing w:line="520" w:lineRule="exact"/>
        <w:ind w:left="440" w:firstLine="0"/>
        <w:rPr>
          <w:rFonts w:hAnsi="宋体" w:cs="宋体"/>
          <w:kern w:val="2"/>
          <w:sz w:val="21"/>
          <w:szCs w:val="21"/>
        </w:rPr>
      </w:pPr>
      <w:r>
        <w:rPr>
          <w:rFonts w:hint="eastAsia" w:hAnsi="宋体" w:cs="宋体"/>
          <w:kern w:val="2"/>
          <w:sz w:val="21"/>
          <w:szCs w:val="21"/>
        </w:rPr>
        <w:t>4.5网络安全专用产品</w:t>
      </w:r>
    </w:p>
    <w:p>
      <w:pPr>
        <w:pStyle w:val="88"/>
        <w:spacing w:line="520" w:lineRule="exact"/>
        <w:ind w:left="440" w:firstLine="0"/>
        <w:rPr>
          <w:rFonts w:hAnsi="宋体" w:cs="宋体"/>
          <w:kern w:val="2"/>
          <w:sz w:val="21"/>
          <w:szCs w:val="21"/>
        </w:rPr>
      </w:pPr>
      <w:r>
        <w:rPr>
          <w:rFonts w:hint="eastAsia" w:hAnsi="宋体" w:cs="宋体"/>
          <w:kern w:val="2"/>
          <w:sz w:val="21"/>
          <w:szCs w:val="21"/>
        </w:rPr>
        <w:t>4.5.1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p>
    <w:p>
      <w:pPr>
        <w:pStyle w:val="88"/>
        <w:spacing w:line="520" w:lineRule="exact"/>
        <w:ind w:left="440" w:firstLine="0"/>
        <w:rPr>
          <w:rFonts w:hAnsi="宋体" w:cs="宋体"/>
          <w:kern w:val="2"/>
          <w:sz w:val="21"/>
          <w:szCs w:val="21"/>
        </w:rPr>
      </w:pPr>
      <w:r>
        <w:rPr>
          <w:rFonts w:hint="eastAsia" w:hAnsi="宋体" w:cs="宋体"/>
          <w:kern w:val="2"/>
          <w:sz w:val="21"/>
          <w:szCs w:val="21"/>
        </w:rPr>
        <w:t>4.6 采购需求标准</w:t>
      </w:r>
    </w:p>
    <w:p>
      <w:pPr>
        <w:pStyle w:val="88"/>
        <w:spacing w:line="520" w:lineRule="exact"/>
        <w:ind w:left="440" w:firstLine="0"/>
        <w:rPr>
          <w:rFonts w:hAnsi="宋体" w:cs="宋体"/>
          <w:kern w:val="2"/>
          <w:sz w:val="21"/>
          <w:szCs w:val="21"/>
        </w:rPr>
      </w:pPr>
      <w:r>
        <w:rPr>
          <w:rFonts w:hint="eastAsia" w:hAnsi="宋体" w:cs="宋体"/>
          <w:kern w:val="2"/>
          <w:sz w:val="21"/>
          <w:szCs w:val="21"/>
        </w:rPr>
        <w:t>4.6.1商品包装、快递包装政府采购需求标准（试行）为助力打好污染防治攻坚战，推广使用绿色包装，根据财政部关于印发《商品包装政府采购需求标准（试行）》、《快递包装政府采购需求标准（试行）》的通知（财办库〔2020〕123号），本项目如涉及商品包装和快递包装的，则其具体要求见第二章《采购需求》。</w:t>
      </w:r>
    </w:p>
    <w:p>
      <w:pPr>
        <w:pStyle w:val="88"/>
        <w:spacing w:line="520" w:lineRule="exact"/>
        <w:ind w:left="440" w:firstLine="0"/>
        <w:rPr>
          <w:rFonts w:hAnsi="宋体" w:cs="宋体"/>
          <w:kern w:val="2"/>
          <w:sz w:val="21"/>
          <w:szCs w:val="21"/>
        </w:rPr>
      </w:pPr>
      <w:r>
        <w:rPr>
          <w:rFonts w:hint="eastAsia" w:hAnsi="宋体" w:cs="宋体"/>
          <w:kern w:val="2"/>
          <w:sz w:val="21"/>
          <w:szCs w:val="21"/>
        </w:rPr>
        <w:t>4.6.2绿色数据中心政府采购需求标准（试行）</w:t>
      </w:r>
    </w:p>
    <w:p>
      <w:pPr>
        <w:pStyle w:val="88"/>
        <w:spacing w:line="520" w:lineRule="exact"/>
        <w:ind w:left="440" w:firstLine="0"/>
        <w:rPr>
          <w:rFonts w:hAnsi="宋体" w:cs="宋体"/>
          <w:kern w:val="2"/>
          <w:sz w:val="21"/>
          <w:szCs w:val="21"/>
        </w:rPr>
      </w:pPr>
      <w:r>
        <w:rPr>
          <w:rFonts w:hint="eastAsia" w:hAnsi="宋体" w:cs="宋体"/>
          <w:kern w:val="2"/>
          <w:sz w:val="21"/>
          <w:szCs w:val="21"/>
        </w:rPr>
        <w:t>为加快数据中心绿色转型，根据财政部、生态环境部、工业和信息化部关于印发《绿色数据中心政府采购需求标准（试行）》的通知（财库〔2023〕7号），本项目如涉及绿色数据中心，则具体要求见第二章《采购需求》。</w:t>
      </w:r>
    </w:p>
    <w:p>
      <w:pPr>
        <w:pStyle w:val="2"/>
        <w:ind w:firstLine="0" w:firstLineChars="0"/>
        <w:rPr>
          <w:sz w:val="24"/>
          <w:szCs w:val="24"/>
        </w:rPr>
      </w:pPr>
      <w:r>
        <w:rPr>
          <w:rFonts w:hint="eastAsia"/>
          <w:sz w:val="24"/>
          <w:szCs w:val="24"/>
        </w:rPr>
        <w:t>5.投标费用</w:t>
      </w:r>
    </w:p>
    <w:p>
      <w:pPr>
        <w:pStyle w:val="88"/>
        <w:spacing w:line="520" w:lineRule="exact"/>
        <w:ind w:left="440" w:firstLine="0"/>
        <w:rPr>
          <w:rFonts w:hAnsi="宋体" w:cs="宋体"/>
          <w:kern w:val="2"/>
          <w:sz w:val="21"/>
          <w:szCs w:val="21"/>
        </w:rPr>
      </w:pPr>
      <w:r>
        <w:rPr>
          <w:rFonts w:hint="eastAsia" w:hAnsi="宋体" w:cs="宋体"/>
          <w:kern w:val="2"/>
          <w:sz w:val="21"/>
          <w:szCs w:val="21"/>
        </w:rPr>
        <w:t>投标人应自行承担所有与准备和招标有关的费用，无论招标的结果如何，采购人或采购代理机构在任何情况下均无承担这些费用的义务和责任。</w:t>
      </w:r>
    </w:p>
    <w:p>
      <w:pPr>
        <w:pStyle w:val="2"/>
        <w:ind w:firstLine="0" w:firstLineChars="0"/>
        <w:rPr>
          <w:sz w:val="24"/>
          <w:szCs w:val="24"/>
        </w:rPr>
      </w:pPr>
      <w:r>
        <w:rPr>
          <w:rFonts w:hint="eastAsia"/>
          <w:sz w:val="24"/>
          <w:szCs w:val="24"/>
        </w:rPr>
        <w:t>6.采购范围及适用法律</w:t>
      </w:r>
    </w:p>
    <w:p>
      <w:pPr>
        <w:pStyle w:val="88"/>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6.1 本次招标适用的法律、法规为《中华人民共和国政府采购法》《中华人民共和国政府采购法实施条例》《政府采购货物和服务招标投标管理办法》《中华人民共和国民法典》以及其他相关政府采购法律法规。</w:t>
      </w:r>
    </w:p>
    <w:p>
      <w:pPr>
        <w:pStyle w:val="88"/>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6.2 “监督管理部门”是指淅川县财政局。</w:t>
      </w:r>
    </w:p>
    <w:p>
      <w:pPr>
        <w:pStyle w:val="88"/>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6.3 “货物”指投标人按招标文件规定，须向采购人提供的与本次招标相关的</w:t>
      </w:r>
      <w:r>
        <w:rPr>
          <w:rFonts w:hint="eastAsia" w:ascii="宋体" w:hAnsi="宋体" w:eastAsia="宋体" w:cs="宋体"/>
          <w:kern w:val="2"/>
          <w:sz w:val="21"/>
          <w:szCs w:val="21"/>
          <w:u w:val="single"/>
          <w:lang w:val="en-US" w:eastAsia="zh-CN"/>
        </w:rPr>
        <w:t>/</w:t>
      </w:r>
      <w:r>
        <w:rPr>
          <w:rFonts w:hint="eastAsia" w:ascii="宋体" w:hAnsi="宋体" w:eastAsia="宋体" w:cs="宋体"/>
          <w:kern w:val="2"/>
          <w:sz w:val="21"/>
          <w:szCs w:val="21"/>
        </w:rPr>
        <w:t>。</w:t>
      </w:r>
    </w:p>
    <w:p>
      <w:pPr>
        <w:pStyle w:val="88"/>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6.4 “服务”指招标文件规定投标人应承担的</w:t>
      </w:r>
      <w:r>
        <w:rPr>
          <w:rFonts w:hint="eastAsia" w:ascii="宋体" w:hAnsi="宋体" w:eastAsia="宋体" w:cs="宋体"/>
          <w:kern w:val="2"/>
          <w:sz w:val="21"/>
          <w:szCs w:val="21"/>
          <w:lang w:val="en-US" w:eastAsia="zh-CN"/>
        </w:rPr>
        <w:t>2023年度城市国土空间监测</w:t>
      </w:r>
      <w:r>
        <w:rPr>
          <w:rFonts w:hint="eastAsia" w:ascii="宋体" w:hAnsi="宋体" w:eastAsia="宋体" w:cs="宋体"/>
          <w:kern w:val="2"/>
          <w:sz w:val="21"/>
          <w:szCs w:val="21"/>
        </w:rPr>
        <w:t>服务。</w:t>
      </w:r>
    </w:p>
    <w:p>
      <w:pPr>
        <w:pStyle w:val="2"/>
        <w:ind w:firstLine="0" w:firstLineChars="0"/>
        <w:rPr>
          <w:spacing w:val="-2"/>
          <w:sz w:val="24"/>
          <w:szCs w:val="24"/>
        </w:rPr>
      </w:pPr>
      <w:r>
        <w:rPr>
          <w:rFonts w:hint="eastAsia"/>
          <w:sz w:val="24"/>
          <w:szCs w:val="24"/>
        </w:rPr>
        <w:t>二</w:t>
      </w:r>
      <w:r>
        <w:rPr>
          <w:rFonts w:hint="eastAsia"/>
          <w:spacing w:val="5"/>
          <w:sz w:val="24"/>
          <w:szCs w:val="24"/>
        </w:rPr>
        <w:t>、</w:t>
      </w:r>
      <w:r>
        <w:rPr>
          <w:rFonts w:hint="eastAsia"/>
          <w:sz w:val="24"/>
          <w:szCs w:val="24"/>
        </w:rPr>
        <w:t>招标文件</w:t>
      </w:r>
    </w:p>
    <w:p>
      <w:pPr>
        <w:pStyle w:val="2"/>
        <w:ind w:firstLine="0" w:firstLineChars="0"/>
        <w:rPr>
          <w:sz w:val="22"/>
          <w:szCs w:val="22"/>
        </w:rPr>
      </w:pPr>
      <w:r>
        <w:rPr>
          <w:rFonts w:hint="eastAsia"/>
          <w:sz w:val="22"/>
          <w:szCs w:val="22"/>
        </w:rPr>
        <w:t>7.招标文件构成</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7.1 招标文件包括以下部分：</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第一章 公开招标公告</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第二章 采购需求</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第三章 投标人须知</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第四章 开、评标程序、评标方法和评标标准</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第五章 政府采购合同</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第六章 投标文件格式</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7.2 投标人应认真阅读招标文件的全部内容。投标人应按照招标文件要求提交投标文件并保证所提供的全部资料的真实性，并对招标文件做出实质性响应，否则投标无效。</w:t>
      </w:r>
    </w:p>
    <w:p>
      <w:pPr>
        <w:pStyle w:val="2"/>
        <w:ind w:firstLine="0" w:firstLineChars="0"/>
        <w:rPr>
          <w:sz w:val="22"/>
          <w:szCs w:val="22"/>
        </w:rPr>
      </w:pPr>
      <w:r>
        <w:rPr>
          <w:rFonts w:hint="eastAsia"/>
          <w:sz w:val="22"/>
          <w:szCs w:val="22"/>
        </w:rPr>
        <w:t>8.对招标文件的澄清或修改</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8.1 采购人或采购代理机构对已发出的招标文件进行必要澄清或者修改的，将在原公告发布媒体上发布更正公告，不得改变采购标的和资格条件。</w:t>
      </w:r>
    </w:p>
    <w:p>
      <w:pPr>
        <w:wordWrap w:val="0"/>
        <w:spacing w:line="360" w:lineRule="auto"/>
        <w:ind w:firstLine="432" w:firstLineChars="200"/>
        <w:jc w:val="both"/>
        <w:rPr>
          <w:rFonts w:asciiTheme="minorEastAsia" w:hAnsiTheme="minorEastAsia" w:eastAsiaTheme="minorEastAsia" w:cstheme="minorEastAsia"/>
          <w:spacing w:val="-8"/>
          <w:sz w:val="22"/>
          <w:szCs w:val="22"/>
        </w:rPr>
      </w:pPr>
      <w:r>
        <w:rPr>
          <w:rFonts w:hint="eastAsia" w:asciiTheme="minorEastAsia" w:hAnsiTheme="minorEastAsia" w:eastAsiaTheme="minorEastAsia" w:cstheme="minorEastAsia"/>
          <w:spacing w:val="-2"/>
          <w:sz w:val="22"/>
          <w:szCs w:val="22"/>
        </w:rPr>
        <w:t>8.2 澄清或者修改的内容为招标文件的组成部分，并对所有获取招标文件的潜在投标人具有约束力。澄清或者修改的内容可能影响投标文件编制的，将在投标截止时间至少15日前，以</w:t>
      </w:r>
      <w:r>
        <w:rPr>
          <w:rFonts w:hint="eastAsia" w:asciiTheme="minorEastAsia" w:hAnsiTheme="minorEastAsia" w:eastAsiaTheme="minorEastAsia" w:cstheme="minorEastAsia"/>
          <w:spacing w:val="-2"/>
          <w:sz w:val="22"/>
          <w:szCs w:val="22"/>
          <w:lang w:val="en-US" w:eastAsia="zh-CN"/>
        </w:rPr>
        <w:t>系统线上</w:t>
      </w:r>
      <w:r>
        <w:rPr>
          <w:rFonts w:hint="eastAsia" w:asciiTheme="minorEastAsia" w:hAnsiTheme="minorEastAsia" w:eastAsiaTheme="minorEastAsia" w:cstheme="minorEastAsia"/>
          <w:spacing w:val="-2"/>
          <w:sz w:val="22"/>
          <w:szCs w:val="22"/>
        </w:rPr>
        <w:t>形式（必须在原公告发布媒体上发布公告）通知所有获取招标文件的潜在投标人；不足15日的，将顺延提交投</w:t>
      </w:r>
      <w:r>
        <w:rPr>
          <w:rFonts w:hint="eastAsia" w:asciiTheme="minorEastAsia" w:hAnsiTheme="minorEastAsia" w:eastAsiaTheme="minorEastAsia" w:cstheme="minorEastAsia"/>
          <w:spacing w:val="-8"/>
          <w:sz w:val="22"/>
          <w:szCs w:val="22"/>
        </w:rPr>
        <w:t>标文件的截止时间和开标时间。</w:t>
      </w:r>
    </w:p>
    <w:p>
      <w:pPr>
        <w:pStyle w:val="2"/>
        <w:ind w:firstLine="0" w:firstLineChars="0"/>
        <w:rPr>
          <w:b w:val="0"/>
          <w:spacing w:val="-8"/>
          <w:sz w:val="22"/>
          <w:szCs w:val="22"/>
        </w:rPr>
      </w:pPr>
      <w:r>
        <w:rPr>
          <w:rFonts w:hint="eastAsia"/>
          <w:b w:val="0"/>
          <w:spacing w:val="-8"/>
          <w:sz w:val="22"/>
          <w:szCs w:val="22"/>
        </w:rPr>
        <w:t>8.3 政府采购项目实行网上受理，开标前所有信息保密。因此，发布的一切公告信息（包括招标公告、更正公告、澄清公告、延期公告等）均在《中国招标投标公共服务平台》《河南省电子招标投标公共服务平台》《河南省政府采购网》《淅川县公共资源交易中心》发布，请潜在投标供应商随时查询有关公告信息。若因潜在投标供应商没有及时查看到公告信息而造成的投标失误，责任自负。</w:t>
      </w:r>
    </w:p>
    <w:p>
      <w:pPr>
        <w:pStyle w:val="2"/>
        <w:ind w:firstLine="0" w:firstLineChars="0"/>
        <w:rPr>
          <w:b w:val="0"/>
          <w:spacing w:val="-8"/>
          <w:sz w:val="22"/>
          <w:szCs w:val="22"/>
        </w:rPr>
      </w:pPr>
      <w:r>
        <w:rPr>
          <w:rFonts w:hint="eastAsia"/>
          <w:b w:val="0"/>
          <w:spacing w:val="-8"/>
          <w:sz w:val="22"/>
          <w:szCs w:val="22"/>
        </w:rPr>
        <w:t>8.4 投标人应关注是否有发布最新的澄清更正公告和更正的最新招标文件（电子答疑文件），如有则需下载最新的招标文件，并在此基础上制作最新的投标文件并上传。</w:t>
      </w:r>
    </w:p>
    <w:p>
      <w:pPr>
        <w:pStyle w:val="2"/>
        <w:ind w:firstLine="0" w:firstLineChars="0"/>
        <w:rPr>
          <w:sz w:val="24"/>
          <w:szCs w:val="24"/>
        </w:rPr>
      </w:pPr>
      <w:r>
        <w:rPr>
          <w:rFonts w:hint="eastAsia"/>
          <w:sz w:val="24"/>
          <w:szCs w:val="24"/>
        </w:rPr>
        <w:t>三、投标文件的编制</w:t>
      </w:r>
    </w:p>
    <w:p>
      <w:pPr>
        <w:pStyle w:val="2"/>
        <w:ind w:firstLine="0" w:firstLineChars="0"/>
        <w:rPr>
          <w:sz w:val="22"/>
          <w:szCs w:val="22"/>
        </w:rPr>
      </w:pPr>
      <w:r>
        <w:rPr>
          <w:rFonts w:hint="eastAsia"/>
          <w:sz w:val="22"/>
          <w:szCs w:val="22"/>
        </w:rPr>
        <w:t>9.投标范围、投标文件中计量单位的使用及投标语言</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9.1本项目如划分采购包，投标人可以对本项目的其中一个采购包进行投标，也可同时对多个采购包进行投标。投标人应当对所投采购包对应第二章《采购需求》所列的全部内容进行投标，不得将一个采购包中的内容拆分投标，否则其对该采购包的投标将被认定为无效投标。</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9.2除招标文件有特殊要求外，本项目投标所使用的计量单位，应采用中华人民共和国法定计量单位。</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9.3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wordWrap w:val="0"/>
        <w:spacing w:line="360" w:lineRule="auto"/>
        <w:ind w:firstLine="442" w:firstLineChars="200"/>
        <w:jc w:val="both"/>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10.投标文件构成</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10.1投标人应当按照招标文件的要求编制投标文件。投标文件应由《开标一览表及资格证明文件》、《商务技术文件》两部分构成。投标文件的部分格式要求，见第六章《投标文件格式》。如有漏项或评标委员会认为其投标文件有明显缺陷的，造成的后果由投标人自己承担。</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10.2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提供格式的内容，可由投标人自行编写。</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10.3电子投标文件应使用CA数字证书生成并在截止时间前上传其加密版本，根据招标文件中规定的下载平台要求，具体详见《投标文件制作工具操作手册》。</w:t>
      </w:r>
      <w:r>
        <w:rPr>
          <w:rFonts w:hint="eastAsia" w:asciiTheme="minorEastAsia" w:hAnsiTheme="minorEastAsia" w:eastAsiaTheme="minorEastAsia" w:cstheme="minorEastAsia"/>
          <w:b/>
          <w:bCs/>
          <w:sz w:val="22"/>
          <w:szCs w:val="22"/>
        </w:rPr>
        <w:t>否则，被视为无效投标文件，将被平台系统拒绝。</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10.4 第四章《开评标程序、评标方法和评标标准》中涉及的证明文件。</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10.5 对照第二章《采购需求》，说明所提供货物和服务已对第二章《采购需求》做出了响应，或申明与第二章《采购需求》的偏差和例外。如第二章《采购需求》中要求提供证明文件的，投标人应当按具体要求提供证明文件。</w:t>
      </w:r>
    </w:p>
    <w:p>
      <w:pPr>
        <w:wordWrap w:val="0"/>
        <w:spacing w:line="360" w:lineRule="auto"/>
        <w:ind w:firstLine="440" w:firstLineChars="200"/>
        <w:jc w:val="both"/>
        <w:rPr>
          <w:rFonts w:ascii="仿宋_GB2312" w:eastAsia="仿宋_GB2312"/>
          <w:b/>
          <w:sz w:val="24"/>
          <w:szCs w:val="24"/>
        </w:rPr>
      </w:pPr>
      <w:r>
        <w:rPr>
          <w:rFonts w:hint="eastAsia" w:asciiTheme="minorEastAsia" w:hAnsiTheme="minorEastAsia" w:eastAsiaTheme="minorEastAsia" w:cstheme="minorEastAsia"/>
          <w:sz w:val="22"/>
          <w:szCs w:val="22"/>
        </w:rPr>
        <w:t>10.6 投标人编制投标文件时，涉及营业执照、资质、业绩、财务、社保、纳税及各类证书、报告等内容，必须是原件的扫描件。</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10.7 投标人认为应附的其他材料。</w:t>
      </w:r>
    </w:p>
    <w:p>
      <w:pPr>
        <w:wordWrap w:val="0"/>
        <w:spacing w:line="360" w:lineRule="auto"/>
        <w:ind w:firstLine="442" w:firstLineChars="200"/>
        <w:jc w:val="both"/>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11.投标报价</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11.1所有投标均以人民币报价。</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11.2投标人的报价应包括为完成本项目所发生的一切费用和税费，采购人将不再支付报价以外的任何费用。投标人的报价应包括但不限于下列内容，招标文件中有特殊规定的，从其规定。</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报价时应详细列出所投产品的生产厂商、品牌、型号、单价、数量、总价等。</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（2）服务项目按照招标文件要求完成本项目的全部相关费用。</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11.3采购人不得向供应商索要或者接受其给予的赠品、回扣或者与采购无关的其他商品、服务。</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11.4投标人不能提供任何有选择性或可调整的报价（招标文件另有规定的除外），否则其投标无效。</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11.5 本次招标设有预算，投标人报价超过预算的，评标委员会将不予评议。</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11.6 评标委员会认为投标人的报价明显低于其他通过符合性审查投标人的报价，有可能影响产品质量或者不能诚信履约的，应当要求其在合理的时间内</w:t>
      </w:r>
      <w:r>
        <w:rPr>
          <w:rFonts w:hint="eastAsia" w:asciiTheme="minorEastAsia" w:hAnsiTheme="minorEastAsia" w:eastAsiaTheme="minorEastAsia" w:cstheme="minorEastAsia"/>
          <w:sz w:val="22"/>
          <w:szCs w:val="22"/>
          <w:lang w:val="en-US" w:eastAsia="zh-CN"/>
        </w:rPr>
        <w:t>系统线上</w:t>
      </w:r>
      <w:r>
        <w:rPr>
          <w:rFonts w:hint="eastAsia" w:asciiTheme="minorEastAsia" w:hAnsiTheme="minorEastAsia" w:eastAsiaTheme="minorEastAsia" w:cstheme="minorEastAsia"/>
          <w:sz w:val="22"/>
          <w:szCs w:val="22"/>
        </w:rPr>
        <w:t>提供说明，必要时提交相关证明材料;投标人不能证明其报价合理性的，评标委员会应当将其作为无效投标处理。</w:t>
      </w:r>
    </w:p>
    <w:p>
      <w:pPr>
        <w:wordWrap w:val="0"/>
        <w:spacing w:line="360" w:lineRule="auto"/>
        <w:ind w:firstLine="442" w:firstLineChars="200"/>
        <w:jc w:val="both"/>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12.投标有效期</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12.1投标文件应在本招标文件《投标人须知表》中规定的投标有效期内保持有效，投标有效期少于招标文件规定期限的，其投标无效。中标人的投标有效期延长至项目验收合格之日。</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12.2特别情况下，采购代理机构、采购人可于投标有效期满之前要求投标人同意延长有效期。投标人可以拒绝上述要求。对于同意该要求的投标人，既不要求也不允许其修改投标文件。</w:t>
      </w:r>
    </w:p>
    <w:p>
      <w:pPr>
        <w:wordWrap w:val="0"/>
        <w:spacing w:line="360" w:lineRule="auto"/>
        <w:ind w:firstLine="442" w:firstLineChars="200"/>
        <w:jc w:val="both"/>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13.投标文件的签署、盖章</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13.1电子投标文件必须在规定签章处电子签章或手写签字后扫描上传进投标文件。</w:t>
      </w:r>
    </w:p>
    <w:p>
      <w:pPr>
        <w:wordWrap w:val="0"/>
        <w:spacing w:line="360" w:lineRule="auto"/>
        <w:ind w:firstLine="440" w:firstLineChars="20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2"/>
          <w:szCs w:val="22"/>
        </w:rPr>
        <w:t>13.2招标文件要求盖章的内容，一般通过CA或电子营业执照加盖电子签章。</w:t>
      </w:r>
    </w:p>
    <w:p>
      <w:pPr>
        <w:pStyle w:val="2"/>
        <w:ind w:firstLine="0" w:firstLineChars="0"/>
        <w:rPr>
          <w:bCs/>
          <w:spacing w:val="1"/>
          <w:sz w:val="24"/>
          <w:szCs w:val="24"/>
        </w:rPr>
      </w:pPr>
      <w:r>
        <w:rPr>
          <w:rFonts w:hint="eastAsia"/>
          <w:sz w:val="24"/>
          <w:szCs w:val="24"/>
        </w:rPr>
        <w:t>四、投标文件的提交</w:t>
      </w:r>
    </w:p>
    <w:p>
      <w:pPr>
        <w:wordWrap w:val="0"/>
        <w:spacing w:line="360" w:lineRule="auto"/>
        <w:ind w:firstLine="446"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b/>
          <w:bCs/>
          <w:spacing w:val="1"/>
          <w:sz w:val="22"/>
          <w:szCs w:val="22"/>
        </w:rPr>
        <w:t>14.投标文件的提交</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14.1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14.2 采购人及采购代理机构拒绝接受通过电子交易平台以外任何形式提交的投标文件。</w:t>
      </w:r>
    </w:p>
    <w:p>
      <w:pPr>
        <w:wordWrap w:val="0"/>
        <w:spacing w:line="360" w:lineRule="auto"/>
        <w:ind w:firstLine="446" w:firstLineChars="200"/>
        <w:jc w:val="both"/>
        <w:rPr>
          <w:rFonts w:asciiTheme="minorEastAsia" w:hAnsiTheme="minorEastAsia" w:eastAsiaTheme="minorEastAsia" w:cstheme="minorEastAsia"/>
          <w:b/>
          <w:bCs/>
          <w:spacing w:val="1"/>
          <w:sz w:val="22"/>
          <w:szCs w:val="22"/>
        </w:rPr>
      </w:pPr>
      <w:r>
        <w:rPr>
          <w:rFonts w:hint="eastAsia" w:asciiTheme="minorEastAsia" w:hAnsiTheme="minorEastAsia" w:eastAsiaTheme="minorEastAsia" w:cstheme="minorEastAsia"/>
          <w:b/>
          <w:bCs/>
          <w:spacing w:val="1"/>
          <w:sz w:val="22"/>
          <w:szCs w:val="22"/>
        </w:rPr>
        <w:t>15.投标截止时间</w:t>
      </w:r>
    </w:p>
    <w:p>
      <w:pPr>
        <w:pStyle w:val="2"/>
        <w:ind w:firstLine="452" w:firstLineChars="200"/>
        <w:rPr>
          <w:b w:val="0"/>
          <w:spacing w:val="3"/>
          <w:sz w:val="22"/>
          <w:szCs w:val="22"/>
        </w:rPr>
      </w:pPr>
      <w:r>
        <w:rPr>
          <w:rFonts w:hint="eastAsia"/>
          <w:b w:val="0"/>
          <w:spacing w:val="3"/>
          <w:sz w:val="22"/>
          <w:szCs w:val="22"/>
        </w:rPr>
        <w:t>投标人应在招标文件要求的投标文件截止时间前，将电子投标文件提交至电子交易平台。</w:t>
      </w:r>
    </w:p>
    <w:p>
      <w:pPr>
        <w:wordWrap w:val="0"/>
        <w:spacing w:line="360" w:lineRule="auto"/>
        <w:ind w:firstLine="446" w:firstLineChars="200"/>
        <w:jc w:val="both"/>
        <w:rPr>
          <w:rFonts w:asciiTheme="minorEastAsia" w:hAnsiTheme="minorEastAsia" w:eastAsiaTheme="minorEastAsia" w:cstheme="minorEastAsia"/>
          <w:b/>
          <w:bCs/>
          <w:spacing w:val="1"/>
          <w:sz w:val="22"/>
          <w:szCs w:val="22"/>
        </w:rPr>
      </w:pPr>
      <w:r>
        <w:rPr>
          <w:rFonts w:hint="eastAsia" w:asciiTheme="minorEastAsia" w:hAnsiTheme="minorEastAsia" w:eastAsiaTheme="minorEastAsia" w:cstheme="minorEastAsia"/>
          <w:b/>
          <w:bCs/>
          <w:spacing w:val="1"/>
          <w:sz w:val="22"/>
          <w:szCs w:val="22"/>
        </w:rPr>
        <w:t>16.投标文件的修改与撤回</w:t>
      </w:r>
    </w:p>
    <w:p>
      <w:pPr>
        <w:wordWrap w:val="0"/>
        <w:spacing w:line="360" w:lineRule="auto"/>
        <w:ind w:firstLine="452" w:firstLineChars="200"/>
        <w:jc w:val="both"/>
        <w:rPr>
          <w:sz w:val="21"/>
          <w:szCs w:val="21"/>
        </w:rPr>
      </w:pPr>
      <w:r>
        <w:rPr>
          <w:rFonts w:hint="eastAsia" w:asciiTheme="minorEastAsia" w:hAnsiTheme="minorEastAsia" w:eastAsiaTheme="minorEastAsia" w:cstheme="minorEastAsia"/>
          <w:spacing w:val="3"/>
          <w:sz w:val="22"/>
          <w:szCs w:val="22"/>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sz w:val="28"/>
          <w:szCs w:val="28"/>
        </w:rPr>
      </w:pPr>
      <w:r>
        <w:rPr>
          <w:rFonts w:hint="eastAsia"/>
          <w:sz w:val="28"/>
          <w:szCs w:val="28"/>
        </w:rPr>
        <w:t>第四章 开、评标程序、评标方法和评标标准</w:t>
      </w:r>
    </w:p>
    <w:p>
      <w:pPr>
        <w:pStyle w:val="2"/>
        <w:rPr>
          <w:sz w:val="28"/>
          <w:szCs w:val="28"/>
        </w:rPr>
      </w:pPr>
    </w:p>
    <w:p>
      <w:pPr>
        <w:wordWrap w:val="0"/>
        <w:spacing w:line="360" w:lineRule="auto"/>
        <w:jc w:val="both"/>
        <w:rPr>
          <w:rFonts w:asciiTheme="minorEastAsia" w:hAnsiTheme="minorEastAsia" w:eastAsiaTheme="minorEastAsia" w:cstheme="minorEastAsia"/>
          <w:b/>
          <w:bCs/>
          <w:spacing w:val="3"/>
          <w:sz w:val="22"/>
          <w:szCs w:val="22"/>
        </w:rPr>
      </w:pPr>
      <w:r>
        <w:rPr>
          <w:rFonts w:hint="eastAsia" w:asciiTheme="minorEastAsia" w:hAnsiTheme="minorEastAsia" w:eastAsiaTheme="minorEastAsia" w:cstheme="minorEastAsia"/>
          <w:b/>
          <w:bCs/>
          <w:spacing w:val="3"/>
          <w:sz w:val="22"/>
          <w:szCs w:val="22"/>
        </w:rPr>
        <w:t>一、开标</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1.采购人或采购代理机构按招标公告中规定的时间开标，本项目使用不见面开标，投标人无需到开标现场。</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2.开标：</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2.3 宣布开标结束。</w:t>
      </w:r>
    </w:p>
    <w:p>
      <w:pPr>
        <w:rPr>
          <w:sz w:val="21"/>
          <w:szCs w:val="21"/>
        </w:rPr>
      </w:pPr>
    </w:p>
    <w:p>
      <w:pPr>
        <w:pStyle w:val="2"/>
        <w:rPr>
          <w:sz w:val="28"/>
          <w:szCs w:val="28"/>
        </w:rPr>
      </w:pPr>
      <w:r>
        <w:rPr>
          <w:rFonts w:hint="eastAsia"/>
          <w:sz w:val="28"/>
          <w:szCs w:val="28"/>
        </w:rPr>
        <w:t>二、资格审查</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1.开标结束后，采购人</w:t>
      </w:r>
      <w:r>
        <w:rPr>
          <w:rFonts w:hint="eastAsia" w:asciiTheme="minorEastAsia" w:hAnsiTheme="minorEastAsia" w:eastAsiaTheme="minorEastAsia" w:cstheme="minorEastAsia"/>
          <w:spacing w:val="3"/>
          <w:sz w:val="22"/>
          <w:szCs w:val="22"/>
          <w:lang w:val="en-US" w:eastAsia="zh-CN"/>
        </w:rPr>
        <w:t>代表</w:t>
      </w:r>
      <w:r>
        <w:rPr>
          <w:rFonts w:hint="eastAsia" w:asciiTheme="minorEastAsia" w:hAnsiTheme="minorEastAsia" w:eastAsiaTheme="minorEastAsia" w:cstheme="minorEastAsia"/>
          <w:spacing w:val="3"/>
          <w:sz w:val="22"/>
          <w:szCs w:val="22"/>
        </w:rPr>
        <w:t>将根据资格审查要求中的规定，对投标人进行资格审查，并形成资格审查结果。</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2.投标人《资格证明文件》有任何一项不符合《资格审查要求》的，资格审查不合格，其投标无效。</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3.资格审查合格的投标人不足3家的，不进行评标。</w:t>
      </w:r>
    </w:p>
    <w:p>
      <w:pPr>
        <w:pStyle w:val="95"/>
      </w:pPr>
    </w:p>
    <w:p>
      <w:pPr>
        <w:pStyle w:val="2"/>
        <w:rPr>
          <w:rFonts w:hint="eastAsia"/>
        </w:rPr>
      </w:pPr>
    </w:p>
    <w:p>
      <w:pPr>
        <w:pStyle w:val="2"/>
        <w:rPr>
          <w:rFonts w:hint="eastAsia"/>
        </w:rPr>
      </w:pPr>
    </w:p>
    <w:p>
      <w:pPr>
        <w:pStyle w:val="2"/>
        <w:rPr>
          <w:rFonts w:hint="eastAsia"/>
        </w:rPr>
      </w:pPr>
    </w:p>
    <w:p>
      <w:pPr>
        <w:pStyle w:val="2"/>
      </w:pPr>
      <w:r>
        <w:rPr>
          <w:rFonts w:hint="eastAsia"/>
        </w:rPr>
        <w:t>资格审查要求</w:t>
      </w:r>
    </w:p>
    <w:p>
      <w:pPr>
        <w:wordWrap w:val="0"/>
        <w:spacing w:line="146" w:lineRule="exact"/>
        <w:jc w:val="both"/>
        <w:rPr>
          <w:rFonts w:asciiTheme="minorEastAsia" w:hAnsiTheme="minorEastAsia" w:eastAsiaTheme="minorEastAsia" w:cstheme="minorEastAsia"/>
        </w:rPr>
      </w:pPr>
    </w:p>
    <w:tbl>
      <w:tblPr>
        <w:tblStyle w:val="43"/>
        <w:tblW w:w="99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944"/>
        <w:gridCol w:w="3600"/>
        <w:gridCol w:w="45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846" w:type="dxa"/>
          </w:tcPr>
          <w:p>
            <w:pPr>
              <w:wordWrap w:val="0"/>
              <w:spacing w:before="119" w:line="222"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序号</w:t>
            </w:r>
          </w:p>
        </w:tc>
        <w:tc>
          <w:tcPr>
            <w:tcW w:w="944" w:type="dxa"/>
          </w:tcPr>
          <w:p>
            <w:pPr>
              <w:wordWrap w:val="0"/>
              <w:spacing w:before="119" w:line="22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审查因素</w:t>
            </w:r>
          </w:p>
        </w:tc>
        <w:tc>
          <w:tcPr>
            <w:tcW w:w="3600" w:type="dxa"/>
          </w:tcPr>
          <w:p>
            <w:pPr>
              <w:wordWrap w:val="0"/>
              <w:spacing w:before="119" w:line="22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审查内容</w:t>
            </w:r>
          </w:p>
        </w:tc>
        <w:tc>
          <w:tcPr>
            <w:tcW w:w="4528" w:type="dxa"/>
          </w:tcPr>
          <w:p>
            <w:pPr>
              <w:wordWrap w:val="0"/>
              <w:spacing w:before="119" w:line="22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846" w:type="dxa"/>
            <w:vAlign w:val="center"/>
          </w:tcPr>
          <w:p>
            <w:pPr>
              <w:pStyle w:val="89"/>
            </w:pPr>
            <w:r>
              <w:rPr>
                <w:rFonts w:hint="eastAsia"/>
              </w:rPr>
              <w:t>1</w:t>
            </w:r>
            <w:r>
              <w:t>1</w:t>
            </w:r>
          </w:p>
          <w:p>
            <w:pPr>
              <w:pStyle w:val="89"/>
            </w:pPr>
            <w:r>
              <w:rPr>
                <w:rFonts w:hint="eastAsia"/>
              </w:rPr>
              <w:t>1</w:t>
            </w:r>
          </w:p>
        </w:tc>
        <w:tc>
          <w:tcPr>
            <w:tcW w:w="944" w:type="dxa"/>
            <w:vAlign w:val="center"/>
          </w:tcPr>
          <w:p>
            <w:pPr>
              <w:wordWrap w:val="0"/>
              <w:spacing w:before="32" w:line="232" w:lineRule="auto"/>
              <w:ind w:left="112" w:right="10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满足第一章《公开招标公告》投标人具备的资格要求</w:t>
            </w:r>
          </w:p>
        </w:tc>
        <w:tc>
          <w:tcPr>
            <w:tcW w:w="3600" w:type="dxa"/>
          </w:tcPr>
          <w:p>
            <w:pPr>
              <w:spacing w:line="520" w:lineRule="exact"/>
              <w:rPr>
                <w:sz w:val="24"/>
                <w:szCs w:val="21"/>
              </w:rPr>
            </w:pPr>
            <w:r>
              <w:rPr>
                <w:rFonts w:hint="eastAsia"/>
                <w:sz w:val="24"/>
                <w:szCs w:val="21"/>
              </w:rPr>
              <w:t>1、符合《政府采购法》第二十二条之规定；</w:t>
            </w:r>
          </w:p>
          <w:p>
            <w:pPr>
              <w:spacing w:line="520" w:lineRule="exact"/>
              <w:rPr>
                <w:sz w:val="24"/>
                <w:szCs w:val="21"/>
              </w:rPr>
            </w:pPr>
            <w:r>
              <w:rPr>
                <w:rFonts w:hint="eastAsia"/>
                <w:sz w:val="24"/>
                <w:szCs w:val="21"/>
              </w:rPr>
              <w:t>2、落实政府采购政策需满足的资格要求：</w:t>
            </w:r>
          </w:p>
          <w:p>
            <w:pPr>
              <w:spacing w:line="520" w:lineRule="exact"/>
              <w:rPr>
                <w:sz w:val="24"/>
                <w:szCs w:val="21"/>
              </w:rPr>
            </w:pPr>
            <w:r>
              <w:rPr>
                <w:sz w:val="24"/>
                <w:szCs w:val="21"/>
              </w:rPr>
              <w:t>2.</w:t>
            </w:r>
            <w:r>
              <w:rPr>
                <w:rFonts w:hint="eastAsia"/>
                <w:sz w:val="24"/>
                <w:szCs w:val="21"/>
              </w:rPr>
              <w:t>1.中小企业政策</w:t>
            </w:r>
          </w:p>
          <w:p>
            <w:pPr>
              <w:spacing w:line="520" w:lineRule="exact"/>
              <w:rPr>
                <w:sz w:val="24"/>
                <w:szCs w:val="21"/>
              </w:rPr>
            </w:pPr>
            <w:r>
              <w:rPr>
                <w:rFonts w:hint="eastAsia"/>
                <w:sz w:val="24"/>
                <w:szCs w:val="21"/>
              </w:rPr>
              <w:t>本项目专门面向中小企业采购。即：提供的货物全部由符合政策要求的中小/微企业制造、服务全部由符合政策要求的中小/微企业承接。</w:t>
            </w:r>
          </w:p>
          <w:p>
            <w:pPr>
              <w:spacing w:line="520" w:lineRule="exact"/>
              <w:rPr>
                <w:sz w:val="24"/>
                <w:szCs w:val="21"/>
              </w:rPr>
            </w:pPr>
            <w:r>
              <w:rPr>
                <w:rFonts w:hint="eastAsia"/>
                <w:sz w:val="24"/>
                <w:szCs w:val="21"/>
              </w:rPr>
              <w:t>2</w:t>
            </w:r>
            <w:r>
              <w:rPr>
                <w:sz w:val="24"/>
                <w:szCs w:val="21"/>
              </w:rPr>
              <w:t>.2</w:t>
            </w:r>
            <w:r>
              <w:rPr>
                <w:rFonts w:hint="eastAsia"/>
                <w:sz w:val="24"/>
                <w:szCs w:val="21"/>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pPr>
              <w:spacing w:line="520" w:lineRule="exact"/>
              <w:rPr>
                <w:sz w:val="24"/>
                <w:szCs w:val="21"/>
              </w:rPr>
            </w:pPr>
            <w:r>
              <w:rPr>
                <w:sz w:val="24"/>
                <w:szCs w:val="21"/>
              </w:rPr>
              <w:t>2.</w:t>
            </w:r>
            <w:r>
              <w:rPr>
                <w:rFonts w:hint="eastAsia"/>
                <w:sz w:val="24"/>
                <w:szCs w:val="21"/>
              </w:rPr>
              <w:t>3.本项目支持河南省政府采购合同融资政策和资格信用承诺制。</w:t>
            </w:r>
          </w:p>
          <w:p>
            <w:pPr>
              <w:spacing w:line="520" w:lineRule="exact"/>
              <w:rPr>
                <w:sz w:val="24"/>
                <w:szCs w:val="21"/>
              </w:rPr>
            </w:pPr>
            <w:r>
              <w:rPr>
                <w:sz w:val="24"/>
                <w:szCs w:val="21"/>
              </w:rPr>
              <w:t>2.</w:t>
            </w:r>
            <w:r>
              <w:rPr>
                <w:rFonts w:hint="eastAsia"/>
                <w:sz w:val="24"/>
                <w:szCs w:val="21"/>
              </w:rPr>
              <w:t>4.本项目是否属于政府购买服务：否</w:t>
            </w:r>
          </w:p>
          <w:p>
            <w:pPr>
              <w:wordWrap w:val="0"/>
              <w:spacing w:before="32" w:line="232" w:lineRule="auto"/>
              <w:ind w:left="112" w:right="105"/>
              <w:jc w:val="both"/>
              <w:rPr>
                <w:rFonts w:asciiTheme="minorEastAsia" w:hAnsiTheme="minorEastAsia" w:eastAsiaTheme="minorEastAsia" w:cstheme="minorEastAsia"/>
                <w:sz w:val="24"/>
                <w:szCs w:val="24"/>
              </w:rPr>
            </w:pPr>
          </w:p>
        </w:tc>
        <w:tc>
          <w:tcPr>
            <w:tcW w:w="4528" w:type="dxa"/>
          </w:tcPr>
          <w:p>
            <w:pPr>
              <w:wordWrap w:val="0"/>
              <w:spacing w:before="32" w:line="232" w:lineRule="auto"/>
              <w:ind w:right="105"/>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投标人为企业（包括合伙企业、个体工商户）的，应提供有效的营业执照；</w:t>
            </w:r>
          </w:p>
          <w:p>
            <w:pPr>
              <w:wordWrap w:val="0"/>
              <w:spacing w:before="32" w:line="232" w:lineRule="auto"/>
              <w:ind w:right="105"/>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投标人为事业单位的，应提供有效的事业单位法人证书；</w:t>
            </w:r>
          </w:p>
          <w:p>
            <w:pPr>
              <w:wordWrap w:val="0"/>
              <w:spacing w:before="32" w:line="232" w:lineRule="auto"/>
              <w:ind w:right="105"/>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投标人是非企业机构的，应提供有效的执业许可证、登记证书等证明文件；</w:t>
            </w:r>
          </w:p>
          <w:p>
            <w:pPr>
              <w:wordWrap w:val="0"/>
              <w:spacing w:before="32" w:line="232" w:lineRule="auto"/>
              <w:ind w:right="105"/>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投标人是自然人的，应提供有效的自然人身份证明。</w:t>
            </w:r>
          </w:p>
          <w:p>
            <w:pPr>
              <w:wordWrap w:val="0"/>
              <w:spacing w:before="32" w:line="232" w:lineRule="auto"/>
              <w:ind w:right="105"/>
              <w:jc w:val="both"/>
              <w:rPr>
                <w:rFonts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6" w:type="dxa"/>
          </w:tcPr>
          <w:p>
            <w:pPr>
              <w:pStyle w:val="89"/>
            </w:pPr>
            <w:r>
              <w:t>2</w:t>
            </w:r>
            <w:r>
              <w:rPr>
                <w:rFonts w:hint="eastAsia"/>
              </w:rPr>
              <w:t>2</w:t>
            </w:r>
          </w:p>
        </w:tc>
        <w:tc>
          <w:tcPr>
            <w:tcW w:w="944" w:type="dxa"/>
          </w:tcPr>
          <w:p>
            <w:pPr>
              <w:wordWrap w:val="0"/>
              <w:spacing w:before="116" w:line="221" w:lineRule="auto"/>
              <w:ind w:left="13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中小企业政策</w:t>
            </w:r>
          </w:p>
        </w:tc>
        <w:tc>
          <w:tcPr>
            <w:tcW w:w="3600" w:type="dxa"/>
          </w:tcPr>
          <w:p>
            <w:pPr>
              <w:wordWrap w:val="0"/>
              <w:spacing w:before="116" w:line="219" w:lineRule="auto"/>
              <w:ind w:left="119"/>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具体要求见第一章《公开招标公告》</w:t>
            </w:r>
          </w:p>
        </w:tc>
        <w:tc>
          <w:tcPr>
            <w:tcW w:w="4528" w:type="dxa"/>
          </w:tcPr>
          <w:p>
            <w:pPr>
              <w:pStyle w:val="89"/>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4" w:hRule="atLeast"/>
        </w:trPr>
        <w:tc>
          <w:tcPr>
            <w:tcW w:w="846" w:type="dxa"/>
          </w:tcPr>
          <w:p>
            <w:pPr>
              <w:pStyle w:val="89"/>
            </w:pPr>
          </w:p>
          <w:p>
            <w:pPr>
              <w:pStyle w:val="89"/>
            </w:pPr>
          </w:p>
          <w:p>
            <w:pPr>
              <w:pStyle w:val="89"/>
            </w:pPr>
          </w:p>
          <w:p>
            <w:pPr>
              <w:pStyle w:val="89"/>
            </w:pPr>
          </w:p>
          <w:p>
            <w:pPr>
              <w:pStyle w:val="89"/>
            </w:pPr>
          </w:p>
          <w:p>
            <w:pPr>
              <w:pStyle w:val="89"/>
              <w:ind w:left="0" w:firstLine="240" w:firstLineChars="100"/>
            </w:pPr>
            <w:r>
              <w:t>2</w:t>
            </w:r>
            <w:r>
              <w:rPr>
                <w:rFonts w:hint="eastAsia"/>
              </w:rPr>
              <w:t>-1</w:t>
            </w:r>
          </w:p>
        </w:tc>
        <w:tc>
          <w:tcPr>
            <w:tcW w:w="944" w:type="dxa"/>
          </w:tcPr>
          <w:p>
            <w:pPr>
              <w:pStyle w:val="89"/>
            </w:pPr>
          </w:p>
          <w:p>
            <w:pPr>
              <w:pStyle w:val="89"/>
            </w:pPr>
          </w:p>
          <w:p>
            <w:pPr>
              <w:pStyle w:val="89"/>
            </w:pPr>
          </w:p>
          <w:p>
            <w:pPr>
              <w:wordWrap w:val="0"/>
              <w:spacing w:before="78" w:line="229" w:lineRule="auto"/>
              <w:ind w:right="10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3600" w:type="dxa"/>
          </w:tcPr>
          <w:p>
            <w:pPr>
              <w:wordWrap w:val="0"/>
              <w:spacing w:before="36" w:line="215" w:lineRule="auto"/>
              <w:ind w:left="115" w:right="102" w:firstLine="1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当本项目（包）涉及预留份额专门面向中小企业采购，此时须在《资格证明文件》中</w:t>
            </w:r>
            <w:r>
              <w:rPr>
                <w:rFonts w:hint="eastAsia" w:asciiTheme="minorEastAsia" w:hAnsiTheme="minorEastAsia" w:eastAsiaTheme="minorEastAsia" w:cstheme="minorEastAsia"/>
                <w:spacing w:val="15"/>
                <w:sz w:val="24"/>
                <w:szCs w:val="24"/>
              </w:rPr>
              <w:t>提</w:t>
            </w:r>
            <w:r>
              <w:rPr>
                <w:rFonts w:hint="eastAsia" w:asciiTheme="minorEastAsia" w:hAnsiTheme="minorEastAsia" w:eastAsiaTheme="minorEastAsia" w:cstheme="minorEastAsia"/>
                <w:spacing w:val="-5"/>
                <w:sz w:val="24"/>
                <w:szCs w:val="24"/>
              </w:rPr>
              <w:t>供。</w:t>
            </w:r>
          </w:p>
          <w:p>
            <w:pPr>
              <w:pStyle w:val="89"/>
            </w:pPr>
            <w:r>
              <w:rPr>
                <w:rFonts w:hint="eastAsia"/>
                <w:spacing w:val="-5"/>
              </w:rPr>
              <w:t>1、投标人单独投标的，应</w:t>
            </w:r>
            <w:r>
              <w:rPr>
                <w:rFonts w:hint="eastAsia"/>
                <w:spacing w:val="-5"/>
                <w:lang w:eastAsia="zh-CN"/>
              </w:rPr>
              <w:t>提</w:t>
            </w:r>
            <w:r>
              <w:rPr>
                <w:rFonts w:hint="eastAsia"/>
                <w:spacing w:val="-5"/>
              </w:rPr>
              <w:t>供《中小企业声</w:t>
            </w:r>
            <w:r>
              <w:rPr>
                <w:rFonts w:hint="eastAsia"/>
              </w:rPr>
              <w:t>明函》或《残疾人福利性单位声明函》或由省级以上监狱管理局、戒毒管理局（含新疆生产建设兵团）出具的属于监狱企业的证明</w:t>
            </w:r>
            <w:r>
              <w:rPr>
                <w:rFonts w:hint="eastAsia"/>
                <w:spacing w:val="-11"/>
              </w:rPr>
              <w:t>文件。</w:t>
            </w:r>
          </w:p>
        </w:tc>
        <w:tc>
          <w:tcPr>
            <w:tcW w:w="4528" w:type="dxa"/>
          </w:tcPr>
          <w:p>
            <w:pPr>
              <w:pStyle w:val="89"/>
            </w:pPr>
          </w:p>
          <w:p>
            <w:pPr>
              <w:pStyle w:val="89"/>
            </w:pPr>
          </w:p>
          <w:p>
            <w:pPr>
              <w:pStyle w:val="89"/>
            </w:pPr>
          </w:p>
          <w:p>
            <w:pPr>
              <w:wordWrap w:val="0"/>
              <w:spacing w:before="78" w:line="229" w:lineRule="auto"/>
              <w:ind w:left="118" w:right="116" w:hanging="1"/>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格式见《投标</w:t>
            </w:r>
            <w:r>
              <w:rPr>
                <w:rFonts w:hint="eastAsia" w:asciiTheme="minorEastAsia" w:hAnsiTheme="minorEastAsia" w:eastAsiaTheme="minorEastAsia" w:cstheme="minorEastAsia"/>
                <w:spacing w:val="-4"/>
                <w:sz w:val="24"/>
                <w:szCs w:val="24"/>
              </w:rPr>
              <w:t>文件格式》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46" w:type="dxa"/>
          </w:tcPr>
          <w:p>
            <w:pPr>
              <w:pStyle w:val="89"/>
              <w:rPr>
                <w:color w:val="FF0000"/>
              </w:rPr>
            </w:pPr>
            <w:r>
              <w:rPr>
                <w:color w:val="FF0000"/>
              </w:rPr>
              <w:t>3</w:t>
            </w:r>
            <w:r>
              <w:rPr>
                <w:rFonts w:hint="eastAsia"/>
                <w:color w:val="FF0000"/>
              </w:rPr>
              <w:t>3</w:t>
            </w:r>
          </w:p>
        </w:tc>
        <w:tc>
          <w:tcPr>
            <w:tcW w:w="944" w:type="dxa"/>
          </w:tcPr>
          <w:p>
            <w:pPr>
              <w:wordWrap w:val="0"/>
              <w:spacing w:before="35" w:line="224" w:lineRule="auto"/>
              <w:ind w:left="113" w:right="105"/>
              <w:jc w:val="both"/>
              <w:rPr>
                <w:rFonts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pacing w:val="10"/>
                <w:sz w:val="24"/>
                <w:szCs w:val="24"/>
              </w:rPr>
              <w:t>本项目的其他资</w:t>
            </w:r>
            <w:r>
              <w:rPr>
                <w:rFonts w:hint="eastAsia" w:asciiTheme="minorEastAsia" w:hAnsiTheme="minorEastAsia" w:eastAsiaTheme="minorEastAsia" w:cstheme="minorEastAsia"/>
                <w:color w:val="FF0000"/>
                <w:spacing w:val="-3"/>
                <w:sz w:val="24"/>
                <w:szCs w:val="24"/>
              </w:rPr>
              <w:t>格要求</w:t>
            </w:r>
          </w:p>
        </w:tc>
        <w:tc>
          <w:tcPr>
            <w:tcW w:w="3600" w:type="dxa"/>
          </w:tcPr>
          <w:p>
            <w:pPr>
              <w:wordWrap w:val="0"/>
              <w:spacing w:before="192" w:line="219" w:lineRule="auto"/>
              <w:ind w:left="118"/>
              <w:jc w:val="both"/>
              <w:rPr>
                <w:rFonts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pacing w:val="-2"/>
                <w:sz w:val="24"/>
                <w:szCs w:val="24"/>
              </w:rPr>
              <w:t>见第一章《公开招标公告》</w:t>
            </w:r>
            <w:r>
              <w:rPr>
                <w:rFonts w:hint="eastAsia"/>
                <w:color w:val="FF0000"/>
                <w:sz w:val="24"/>
                <w:szCs w:val="21"/>
                <w:highlight w:val="none"/>
              </w:rPr>
              <w:t>投标人应具有</w:t>
            </w:r>
            <w:r>
              <w:rPr>
                <w:rFonts w:hint="eastAsia" w:ascii="宋体" w:hAnsi="宋体" w:eastAsia="宋体" w:cs="宋体"/>
                <w:color w:val="auto"/>
                <w:sz w:val="24"/>
                <w:szCs w:val="21"/>
                <w:lang w:val="en-US" w:eastAsia="zh-CN" w:bidi="zh-CN"/>
              </w:rPr>
              <w:t>省级（或以上）国土资源厅或自然资源厅颁发的土地估价机构备案函；</w:t>
            </w:r>
            <w:r>
              <w:rPr>
                <w:rFonts w:hint="eastAsia" w:ascii="宋体" w:hAnsi="宋体" w:eastAsia="宋体" w:cs="宋体"/>
                <w:color w:val="FF0000"/>
                <w:sz w:val="24"/>
                <w:szCs w:val="21"/>
                <w:lang w:val="en-US" w:eastAsia="zh-CN" w:bidi="zh-CN"/>
              </w:rPr>
              <w:t>拟派项目负责人必须取得土地估价师资格证书</w:t>
            </w:r>
          </w:p>
        </w:tc>
        <w:tc>
          <w:tcPr>
            <w:tcW w:w="4528" w:type="dxa"/>
          </w:tcPr>
          <w:p>
            <w:pPr>
              <w:pStyle w:val="89"/>
              <w:rPr>
                <w:color w:val="FF0000"/>
              </w:rPr>
            </w:pPr>
          </w:p>
        </w:tc>
      </w:tr>
    </w:tbl>
    <w:p>
      <w:pPr>
        <w:wordWrap w:val="0"/>
        <w:spacing w:line="360" w:lineRule="auto"/>
        <w:jc w:val="both"/>
        <w:rPr>
          <w:rFonts w:asciiTheme="minorEastAsia" w:hAnsiTheme="minorEastAsia" w:eastAsiaTheme="minorEastAsia" w:cstheme="minorEastAsia"/>
          <w:b/>
          <w:bCs/>
          <w:spacing w:val="3"/>
          <w:sz w:val="24"/>
          <w:szCs w:val="24"/>
        </w:rPr>
      </w:pPr>
    </w:p>
    <w:p>
      <w:pPr>
        <w:wordWrap w:val="0"/>
        <w:spacing w:line="360" w:lineRule="auto"/>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rPr>
        <w:t>三、评标委员会</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1.采购人、采购代理机构将根据《中华人民共和国政府采购法》的规定和招标采购项目的特点组建评标委员会，</w:t>
      </w:r>
      <w:r>
        <w:rPr>
          <w:rFonts w:hint="eastAsia" w:asciiTheme="minorEastAsia" w:hAnsiTheme="minorEastAsia" w:eastAsiaTheme="minorEastAsia" w:cstheme="minorEastAsia"/>
          <w:spacing w:val="3"/>
          <w:sz w:val="24"/>
          <w:szCs w:val="24"/>
          <w:highlight w:val="none"/>
        </w:rPr>
        <w:t>评标委员会由采购人代表和评审专家组成，成员人数应当为5人，其中经济、技术类专家</w:t>
      </w:r>
      <w:r>
        <w:rPr>
          <w:rFonts w:asciiTheme="minorEastAsia" w:hAnsiTheme="minorEastAsia" w:eastAsiaTheme="minorEastAsia" w:cstheme="minorEastAsia"/>
          <w:spacing w:val="3"/>
          <w:sz w:val="24"/>
          <w:szCs w:val="24"/>
          <w:highlight w:val="none"/>
        </w:rPr>
        <w:t>4人，采购人代表1人。</w:t>
      </w:r>
      <w:r>
        <w:rPr>
          <w:rFonts w:asciiTheme="minorEastAsia" w:hAnsiTheme="minorEastAsia" w:eastAsiaTheme="minorEastAsia" w:cstheme="minorEastAsia"/>
          <w:spacing w:val="3"/>
          <w:sz w:val="24"/>
          <w:szCs w:val="24"/>
        </w:rPr>
        <w:t>评审专家应当从政府采购评审专家库内相关专业的专家名单中随机抽取。</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 xml:space="preserve"> 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3.评标委员会应当严格遵守评审纪律，现场签订评审委员会评审承诺书，并按照客观、公正、审慎的原则，根据采购文件规定的评审程序、评审方法和评审标准进行独立评审。</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4.评标委员会应当在评审报告上签字，对自己评审意见承担法律责任。</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5.评审专家未完成评审工作擅自离开评审现场，或者在评审活动中有违法违规行为的，不得获取劳务报酬和报销异地评审差旅费。评审专家以外的其他人员不得获取评审劳务报酬。</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7.评标委员会或者其成员存在下列情形导致评标结果无效的，采购人、采购代理机构可以重新组建评标委员会进行评标，并书面报告本级财政部门，但采购合同已经履行的除外：</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（1）评标委员会组成不符合本办法规定的;</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（2）政府采购货物和服务招标投标管理办法（87号令）第六十二条第一至五项情形的;</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（3）评标委员会及其成员独立评标受到非法干预的;</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（4）有政府采购法实施条例第七十五条规定的违法行为的。</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有违法违规行为的原评标委员会成员不得参加重新组建的评标委员会。</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8.评审活动结束，按照《河南省政府采购评审专家劳务报酬支付标准》的通知(豫财购〔2017〕9号)的规定，发放劳务报酬。</w:t>
      </w:r>
    </w:p>
    <w:p>
      <w:pPr>
        <w:wordWrap w:val="0"/>
        <w:spacing w:line="360" w:lineRule="auto"/>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rPr>
        <w:t>四、投标文件的审查</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1.投标文件的符合性审查</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1.1评标委员会对资格审查合格的投标人的投标文件进行符合性审查，以确定其</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是否满足招标文件的实质性要求。</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1.2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pPr>
      <w:r>
        <w:rPr>
          <w:rFonts w:hint="eastAsia"/>
        </w:rPr>
        <w:t>符合性审查要求</w:t>
      </w:r>
    </w:p>
    <w:p>
      <w:pPr>
        <w:wordWrap w:val="0"/>
        <w:spacing w:line="145" w:lineRule="exact"/>
        <w:jc w:val="both"/>
        <w:rPr>
          <w:rFonts w:asciiTheme="minorEastAsia" w:hAnsiTheme="minorEastAsia" w:eastAsiaTheme="minorEastAsia" w:cstheme="minorEastAsia"/>
        </w:rPr>
      </w:pPr>
    </w:p>
    <w:tbl>
      <w:tblPr>
        <w:tblStyle w:val="43"/>
        <w:tblW w:w="899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65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tcPr>
          <w:p>
            <w:pPr>
              <w:wordWrap w:val="0"/>
              <w:spacing w:before="41" w:line="207" w:lineRule="auto"/>
              <w:ind w:left="143"/>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序号</w:t>
            </w:r>
          </w:p>
        </w:tc>
        <w:tc>
          <w:tcPr>
            <w:tcW w:w="1812" w:type="dxa"/>
          </w:tcPr>
          <w:p>
            <w:pPr>
              <w:wordWrap w:val="0"/>
              <w:spacing w:before="41" w:line="207" w:lineRule="auto"/>
              <w:ind w:left="439"/>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审查因素</w:t>
            </w:r>
          </w:p>
        </w:tc>
        <w:tc>
          <w:tcPr>
            <w:tcW w:w="6501" w:type="dxa"/>
          </w:tcPr>
          <w:p>
            <w:pPr>
              <w:wordWrap w:val="0"/>
              <w:spacing w:before="41" w:line="207" w:lineRule="auto"/>
              <w:ind w:left="289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审查内容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pPr>
              <w:pStyle w:val="89"/>
            </w:pPr>
            <w:r>
              <w:t>1</w:t>
            </w:r>
            <w:r>
              <w:rPr>
                <w:rFonts w:hint="eastAsia"/>
              </w:rPr>
              <w:t>1</w:t>
            </w:r>
          </w:p>
        </w:tc>
        <w:tc>
          <w:tcPr>
            <w:tcW w:w="1812" w:type="dxa"/>
          </w:tcPr>
          <w:p>
            <w:pPr>
              <w:wordWrap w:val="0"/>
              <w:spacing w:before="222" w:line="219" w:lineRule="auto"/>
              <w:ind w:left="111"/>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授权委托书</w:t>
            </w:r>
          </w:p>
        </w:tc>
        <w:tc>
          <w:tcPr>
            <w:tcW w:w="6501" w:type="dxa"/>
          </w:tcPr>
          <w:p>
            <w:pPr>
              <w:wordWrap w:val="0"/>
              <w:spacing w:before="222" w:line="184" w:lineRule="auto"/>
              <w:ind w:left="11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按招标文件要求提供授权委托书。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pPr>
              <w:pStyle w:val="89"/>
            </w:pPr>
            <w:r>
              <w:t>2</w:t>
            </w:r>
            <w:r>
              <w:rPr>
                <w:rFonts w:hint="eastAsia"/>
              </w:rPr>
              <w:t>2</w:t>
            </w:r>
          </w:p>
        </w:tc>
        <w:tc>
          <w:tcPr>
            <w:tcW w:w="1812" w:type="dxa"/>
            <w:vAlign w:val="center"/>
          </w:tcPr>
          <w:p>
            <w:pPr>
              <w:wordWrap w:val="0"/>
              <w:spacing w:before="223" w:line="220" w:lineRule="auto"/>
              <w:ind w:left="11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投标完整性</w:t>
            </w:r>
          </w:p>
        </w:tc>
        <w:tc>
          <w:tcPr>
            <w:tcW w:w="6501" w:type="dxa"/>
            <w:vAlign w:val="center"/>
          </w:tcPr>
          <w:p>
            <w:pPr>
              <w:wordWrap w:val="0"/>
              <w:spacing w:before="222" w:line="184" w:lineRule="auto"/>
              <w:ind w:left="116"/>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未将一个采购包中的内容拆分投标；</w:t>
            </w:r>
          </w:p>
          <w:p>
            <w:pPr>
              <w:wordWrap w:val="0"/>
              <w:spacing w:before="222" w:line="184" w:lineRule="auto"/>
              <w:ind w:left="11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投标人对所投招标文件中所列的所有内容进行投标。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pPr>
              <w:pStyle w:val="89"/>
            </w:pPr>
            <w:r>
              <w:t>3</w:t>
            </w:r>
            <w:r>
              <w:rPr>
                <w:rFonts w:hint="eastAsia"/>
              </w:rPr>
              <w:t>3</w:t>
            </w:r>
          </w:p>
        </w:tc>
        <w:tc>
          <w:tcPr>
            <w:tcW w:w="1812" w:type="dxa"/>
          </w:tcPr>
          <w:p>
            <w:pPr>
              <w:wordWrap w:val="0"/>
              <w:spacing w:before="221" w:line="219" w:lineRule="auto"/>
              <w:ind w:left="11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6501" w:type="dxa"/>
          </w:tcPr>
          <w:p>
            <w:pPr>
              <w:pStyle w:val="89"/>
              <w:rPr>
                <w:lang w:eastAsia="zh-CN"/>
              </w:rPr>
            </w:pPr>
            <w:r>
              <w:rPr>
                <w:rFonts w:hint="eastAsia"/>
              </w:rPr>
              <w:t>投标报价未超过招标文件中规定的项目/采购包预算金额或者</w:t>
            </w:r>
            <w:r>
              <w:rPr>
                <w:rFonts w:hint="eastAsia"/>
                <w:spacing w:val="-5"/>
              </w:rPr>
              <w:t>项目/采购包最高限价</w:t>
            </w:r>
            <w:r>
              <w:rPr>
                <w:rFonts w:hint="eastAsia"/>
                <w:spacing w:val="-5"/>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pPr>
              <w:pStyle w:val="89"/>
            </w:pPr>
            <w:r>
              <w:t>4</w:t>
            </w:r>
            <w:r>
              <w:rPr>
                <w:rFonts w:hint="eastAsia"/>
              </w:rPr>
              <w:t>4</w:t>
            </w:r>
          </w:p>
        </w:tc>
        <w:tc>
          <w:tcPr>
            <w:tcW w:w="1812" w:type="dxa"/>
          </w:tcPr>
          <w:p>
            <w:pPr>
              <w:wordWrap w:val="0"/>
              <w:spacing w:before="223" w:line="219" w:lineRule="auto"/>
              <w:ind w:left="11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报价唯一性</w:t>
            </w:r>
          </w:p>
        </w:tc>
        <w:tc>
          <w:tcPr>
            <w:tcW w:w="6501" w:type="dxa"/>
          </w:tcPr>
          <w:p>
            <w:pPr>
              <w:wordWrap w:val="0"/>
              <w:spacing w:before="68" w:line="230" w:lineRule="auto"/>
              <w:ind w:left="133" w:right="136" w:hanging="1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投标文件未出现可选择性或可调整的报价（招标文件另有规定</w:t>
            </w:r>
            <w:r>
              <w:rPr>
                <w:rFonts w:hint="eastAsia" w:asciiTheme="minorEastAsia" w:hAnsiTheme="minorEastAsia" w:eastAsiaTheme="minorEastAsia" w:cstheme="minorEastAsia"/>
                <w:spacing w:val="-17"/>
                <w:sz w:val="24"/>
                <w:szCs w:val="24"/>
              </w:rPr>
              <w:t>的除外</w:t>
            </w:r>
            <w:r>
              <w:rPr>
                <w:rFonts w:hint="eastAsia" w:asciiTheme="minorEastAsia" w:hAnsiTheme="minorEastAsia" w:eastAsiaTheme="minorEastAsia" w:cstheme="minorEastAsia"/>
                <w:spacing w:val="-9"/>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pPr>
              <w:pStyle w:val="89"/>
            </w:pPr>
            <w:r>
              <w:t>5</w:t>
            </w:r>
            <w:r>
              <w:rPr>
                <w:rFonts w:hint="eastAsia"/>
              </w:rPr>
              <w:t>5</w:t>
            </w:r>
          </w:p>
        </w:tc>
        <w:tc>
          <w:tcPr>
            <w:tcW w:w="1812" w:type="dxa"/>
          </w:tcPr>
          <w:p>
            <w:pPr>
              <w:wordWrap w:val="0"/>
              <w:spacing w:before="222" w:line="221" w:lineRule="auto"/>
              <w:ind w:left="11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投标有效期</w:t>
            </w:r>
          </w:p>
        </w:tc>
        <w:tc>
          <w:tcPr>
            <w:tcW w:w="6501" w:type="dxa"/>
          </w:tcPr>
          <w:p>
            <w:pPr>
              <w:wordWrap w:val="0"/>
              <w:spacing w:before="70" w:line="229" w:lineRule="auto"/>
              <w:ind w:left="117" w:right="13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投标文件中承诺的投标有效期满足招标文件中载明的投标有效</w:t>
            </w:r>
            <w:r>
              <w:rPr>
                <w:rFonts w:hint="eastAsia" w:asciiTheme="minorEastAsia" w:hAnsiTheme="minorEastAsia" w:eastAsiaTheme="minorEastAsia" w:cstheme="minorEastAsia"/>
                <w:spacing w:val="-15"/>
                <w:sz w:val="24"/>
                <w:szCs w:val="24"/>
              </w:rPr>
              <w:t>期的。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pPr>
              <w:pStyle w:val="89"/>
            </w:pPr>
            <w:r>
              <w:t>6</w:t>
            </w:r>
            <w:r>
              <w:rPr>
                <w:rFonts w:hint="eastAsia"/>
              </w:rPr>
              <w:t>6</w:t>
            </w:r>
          </w:p>
        </w:tc>
        <w:tc>
          <w:tcPr>
            <w:tcW w:w="1812" w:type="dxa"/>
          </w:tcPr>
          <w:p>
            <w:pPr>
              <w:wordWrap w:val="0"/>
              <w:spacing w:before="224" w:line="220" w:lineRule="auto"/>
              <w:ind w:left="1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实质性格式</w:t>
            </w:r>
          </w:p>
        </w:tc>
        <w:tc>
          <w:tcPr>
            <w:tcW w:w="6501" w:type="dxa"/>
          </w:tcPr>
          <w:p>
            <w:pPr>
              <w:wordWrap w:val="0"/>
              <w:spacing w:before="69" w:line="196" w:lineRule="auto"/>
              <w:ind w:left="122" w:right="129" w:hanging="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标记为</w:t>
            </w:r>
            <w:r>
              <w:rPr>
                <w:rFonts w:hint="eastAsia" w:asciiTheme="minorEastAsia" w:hAnsiTheme="minorEastAsia" w:eastAsiaTheme="minorEastAsia" w:cstheme="minorEastAsia"/>
                <w:spacing w:val="-1"/>
                <w:sz w:val="24"/>
                <w:szCs w:val="24"/>
              </w:rPr>
              <w:t>实质性格式的文件均按招标文件要求提供且签署、盖</w:t>
            </w:r>
            <w:r>
              <w:rPr>
                <w:rFonts w:hint="eastAsia" w:asciiTheme="minorEastAsia" w:hAnsiTheme="minorEastAsia" w:eastAsiaTheme="minorEastAsia" w:cstheme="minorEastAsia"/>
                <w:spacing w:val="-17"/>
                <w:sz w:val="24"/>
                <w:szCs w:val="24"/>
              </w:rPr>
              <w:t>章的。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pPr>
              <w:pStyle w:val="89"/>
            </w:pPr>
            <w:r>
              <w:t>7</w:t>
            </w:r>
            <w:r>
              <w:rPr>
                <w:rFonts w:hint="eastAsia"/>
              </w:rPr>
              <w:t>7</w:t>
            </w:r>
          </w:p>
        </w:tc>
        <w:tc>
          <w:tcPr>
            <w:tcW w:w="1812" w:type="dxa"/>
          </w:tcPr>
          <w:p>
            <w:pPr>
              <w:wordWrap w:val="0"/>
              <w:spacing w:before="72" w:line="230" w:lineRule="auto"/>
              <w:ind w:left="112" w:right="123" w:hanging="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报价的修正（如</w:t>
            </w:r>
            <w:r>
              <w:rPr>
                <w:rFonts w:hint="eastAsia" w:asciiTheme="minorEastAsia" w:hAnsiTheme="minorEastAsia" w:eastAsiaTheme="minorEastAsia" w:cstheme="minorEastAsia"/>
                <w:spacing w:val="-7"/>
                <w:sz w:val="24"/>
                <w:szCs w:val="24"/>
              </w:rPr>
              <w:t>有）</w:t>
            </w:r>
          </w:p>
        </w:tc>
        <w:tc>
          <w:tcPr>
            <w:tcW w:w="6501" w:type="dxa"/>
          </w:tcPr>
          <w:p>
            <w:pPr>
              <w:wordWrap w:val="0"/>
              <w:spacing w:before="72" w:line="229" w:lineRule="auto"/>
              <w:ind w:left="114" w:right="136" w:firstLine="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不涉及报价修正，或投标文件报价出现前后不一致时，投标人</w:t>
            </w:r>
            <w:r>
              <w:rPr>
                <w:rFonts w:hint="eastAsia" w:asciiTheme="minorEastAsia" w:hAnsiTheme="minorEastAsia" w:eastAsiaTheme="minorEastAsia" w:cstheme="minorEastAsia"/>
                <w:spacing w:val="-2"/>
                <w:sz w:val="24"/>
                <w:szCs w:val="24"/>
              </w:rPr>
              <w:t>对修正后的报价予以确认</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如有）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tcPr>
          <w:p>
            <w:pPr>
              <w:pStyle w:val="89"/>
            </w:pPr>
          </w:p>
          <w:p>
            <w:pPr>
              <w:pStyle w:val="89"/>
            </w:pPr>
            <w:r>
              <w:t>8</w:t>
            </w:r>
            <w:r>
              <w:rPr>
                <w:rFonts w:hint="eastAsia"/>
              </w:rPr>
              <w:t>8</w:t>
            </w:r>
          </w:p>
        </w:tc>
        <w:tc>
          <w:tcPr>
            <w:tcW w:w="1812" w:type="dxa"/>
          </w:tcPr>
          <w:p>
            <w:pPr>
              <w:pStyle w:val="89"/>
            </w:pPr>
          </w:p>
          <w:p>
            <w:pPr>
              <w:wordWrap w:val="0"/>
              <w:spacing w:before="78" w:line="219" w:lineRule="auto"/>
              <w:ind w:left="11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报价合理性</w:t>
            </w:r>
          </w:p>
        </w:tc>
        <w:tc>
          <w:tcPr>
            <w:tcW w:w="6501" w:type="dxa"/>
          </w:tcPr>
          <w:p>
            <w:pPr>
              <w:wordWrap w:val="0"/>
              <w:spacing w:before="41" w:line="228" w:lineRule="auto"/>
              <w:ind w:left="113" w:right="13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spacing w:val="-3"/>
                <w:sz w:val="24"/>
                <w:szCs w:val="24"/>
              </w:rPr>
              <w:t>评标委员会要求在规定时间内证明其报价合理性的。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tcPr>
          <w:p>
            <w:pPr>
              <w:pStyle w:val="89"/>
            </w:pPr>
            <w:r>
              <w:t>9</w:t>
            </w:r>
            <w:r>
              <w:rPr>
                <w:rFonts w:hint="eastAsia"/>
              </w:rPr>
              <w:t>9</w:t>
            </w:r>
          </w:p>
        </w:tc>
        <w:tc>
          <w:tcPr>
            <w:tcW w:w="1812" w:type="dxa"/>
          </w:tcPr>
          <w:p>
            <w:pPr>
              <w:wordWrap w:val="0"/>
              <w:spacing w:before="69" w:line="196" w:lineRule="auto"/>
              <w:ind w:left="122" w:right="129" w:hanging="7"/>
              <w:jc w:val="both"/>
              <w:rPr>
                <w:rFonts w:asciiTheme="minorEastAsia" w:hAnsiTheme="minorEastAsia" w:eastAsiaTheme="minorEastAsia" w:cstheme="minorEastAsia"/>
                <w:spacing w:val="-1"/>
                <w:sz w:val="24"/>
                <w:szCs w:val="24"/>
              </w:rPr>
            </w:pPr>
          </w:p>
          <w:p>
            <w:pPr>
              <w:wordWrap w:val="0"/>
              <w:spacing w:before="69" w:line="196" w:lineRule="auto"/>
              <w:ind w:left="122" w:right="129" w:hanging="7"/>
              <w:jc w:val="both"/>
              <w:rPr>
                <w:rFonts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合同履行期限</w:t>
            </w:r>
          </w:p>
        </w:tc>
        <w:tc>
          <w:tcPr>
            <w:tcW w:w="6501" w:type="dxa"/>
            <w:vAlign w:val="center"/>
          </w:tcPr>
          <w:p>
            <w:pPr>
              <w:wordWrap w:val="0"/>
              <w:spacing w:before="69" w:line="196" w:lineRule="auto"/>
              <w:ind w:left="122" w:right="129" w:hanging="7"/>
              <w:jc w:val="both"/>
              <w:rPr>
                <w:rFonts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是否符合招标公告要求。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pPr>
              <w:pStyle w:val="89"/>
            </w:pPr>
            <w:r>
              <w:rPr>
                <w:rFonts w:hint="eastAsia"/>
              </w:rPr>
              <w:t>1</w:t>
            </w:r>
            <w:r>
              <w:t>1</w:t>
            </w:r>
            <w:r>
              <w:rPr>
                <w:rFonts w:hint="eastAsia"/>
              </w:rPr>
              <w:t>0</w:t>
            </w:r>
          </w:p>
        </w:tc>
        <w:tc>
          <w:tcPr>
            <w:tcW w:w="1812" w:type="dxa"/>
            <w:vAlign w:val="center"/>
          </w:tcPr>
          <w:p>
            <w:pPr>
              <w:wordWrap w:val="0"/>
              <w:spacing w:before="78" w:line="219" w:lineRule="auto"/>
              <w:ind w:left="110"/>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1"/>
                <w:sz w:val="24"/>
                <w:szCs w:val="24"/>
              </w:rPr>
              <w:t>质量要求</w:t>
            </w:r>
          </w:p>
        </w:tc>
        <w:tc>
          <w:tcPr>
            <w:tcW w:w="6501" w:type="dxa"/>
            <w:vAlign w:val="center"/>
          </w:tcPr>
          <w:p>
            <w:pPr>
              <w:wordWrap w:val="0"/>
              <w:spacing w:before="41" w:line="228" w:lineRule="auto"/>
              <w:ind w:left="113" w:right="136"/>
              <w:jc w:val="both"/>
              <w:rPr>
                <w:rFonts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是否符合招标公告要求。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tcPr>
          <w:p>
            <w:pPr>
              <w:pStyle w:val="89"/>
            </w:pPr>
          </w:p>
          <w:p>
            <w:pPr>
              <w:pStyle w:val="89"/>
            </w:pPr>
            <w:r>
              <w:rPr>
                <w:rFonts w:hint="eastAsia"/>
              </w:rPr>
              <w:t>1</w:t>
            </w:r>
            <w:r>
              <w:t>1</w:t>
            </w:r>
            <w:r>
              <w:rPr>
                <w:rFonts w:hint="eastAsia"/>
              </w:rPr>
              <w:t>1</w:t>
            </w:r>
          </w:p>
        </w:tc>
        <w:tc>
          <w:tcPr>
            <w:tcW w:w="1812" w:type="dxa"/>
          </w:tcPr>
          <w:p>
            <w:pPr>
              <w:pStyle w:val="89"/>
            </w:pPr>
          </w:p>
          <w:p>
            <w:pPr>
              <w:wordWrap w:val="0"/>
              <w:spacing w:before="78" w:line="220" w:lineRule="auto"/>
              <w:ind w:left="1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公平竞争</w:t>
            </w:r>
          </w:p>
        </w:tc>
        <w:tc>
          <w:tcPr>
            <w:tcW w:w="6501" w:type="dxa"/>
          </w:tcPr>
          <w:p>
            <w:pPr>
              <w:wordWrap w:val="0"/>
              <w:spacing w:before="38" w:line="228" w:lineRule="auto"/>
              <w:ind w:left="113" w:right="136" w:firstLine="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spacing w:val="-12"/>
                <w:sz w:val="24"/>
                <w:szCs w:val="24"/>
              </w:rPr>
              <w:t>情形的。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tcPr>
          <w:p>
            <w:pPr>
              <w:pStyle w:val="89"/>
            </w:pPr>
          </w:p>
          <w:p>
            <w:pPr>
              <w:pStyle w:val="89"/>
            </w:pPr>
          </w:p>
          <w:p>
            <w:pPr>
              <w:pStyle w:val="89"/>
            </w:pPr>
          </w:p>
          <w:p>
            <w:pPr>
              <w:pStyle w:val="89"/>
            </w:pPr>
            <w:r>
              <w:rPr>
                <w:rFonts w:hint="eastAsia"/>
              </w:rPr>
              <w:t>1</w:t>
            </w:r>
            <w:r>
              <w:t>1</w:t>
            </w:r>
            <w:r>
              <w:rPr>
                <w:rFonts w:hint="eastAsia"/>
              </w:rPr>
              <w:t>2</w:t>
            </w:r>
          </w:p>
        </w:tc>
        <w:tc>
          <w:tcPr>
            <w:tcW w:w="1812" w:type="dxa"/>
          </w:tcPr>
          <w:p>
            <w:pPr>
              <w:pStyle w:val="89"/>
            </w:pPr>
          </w:p>
          <w:p>
            <w:pPr>
              <w:pStyle w:val="89"/>
            </w:pPr>
          </w:p>
          <w:p>
            <w:pPr>
              <w:pStyle w:val="89"/>
            </w:pPr>
          </w:p>
          <w:p>
            <w:pPr>
              <w:wordWrap w:val="0"/>
              <w:spacing w:before="78" w:line="221" w:lineRule="auto"/>
              <w:ind w:left="13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串通投标</w:t>
            </w:r>
          </w:p>
        </w:tc>
        <w:tc>
          <w:tcPr>
            <w:tcW w:w="6501" w:type="dxa"/>
            <w:vMerge w:val="restart"/>
          </w:tcPr>
          <w:p>
            <w:pPr>
              <w:wordWrap w:val="0"/>
              <w:spacing w:before="42" w:line="234" w:lineRule="auto"/>
              <w:ind w:left="113" w:right="2" w:firstLine="5"/>
              <w:jc w:val="both"/>
              <w:rPr>
                <w:rFonts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
                <w:sz w:val="24"/>
                <w:szCs w:val="24"/>
              </w:rPr>
              <w:t>不存在《政府采购货物和服务招标投标管理办法》视为投标人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7"/>
                <w:sz w:val="24"/>
                <w:szCs w:val="24"/>
              </w:rPr>
              <w:t>一）不同投标人的投标文件由同一单位或者</w:t>
            </w:r>
            <w:r>
              <w:rPr>
                <w:rFonts w:hint="eastAsia" w:asciiTheme="minorEastAsia" w:hAnsiTheme="minorEastAsia" w:eastAsiaTheme="minorEastAsia" w:cstheme="minorEastAsia"/>
                <w:spacing w:val="-8"/>
                <w:sz w:val="24"/>
                <w:szCs w:val="24"/>
              </w:rPr>
              <w:t>个人编制</w:t>
            </w:r>
            <w:r>
              <w:rPr>
                <w:rFonts w:hint="eastAsia" w:asciiTheme="minorEastAsia" w:hAnsiTheme="minorEastAsia" w:eastAsiaTheme="minorEastAsia" w:cstheme="minorEastAsia"/>
                <w:spacing w:val="-31"/>
                <w:sz w:val="24"/>
                <w:szCs w:val="24"/>
              </w:rPr>
              <w:t>；（</w:t>
            </w:r>
            <w:r>
              <w:rPr>
                <w:rFonts w:hint="eastAsia" w:asciiTheme="minorEastAsia" w:hAnsiTheme="minorEastAsia" w:eastAsiaTheme="minorEastAsia" w:cstheme="minorEastAsia"/>
                <w:spacing w:val="-8"/>
                <w:sz w:val="24"/>
                <w:szCs w:val="24"/>
              </w:rPr>
              <w:t>二）不同投标人委托同一单位或者个人办</w:t>
            </w:r>
            <w:r>
              <w:rPr>
                <w:rFonts w:hint="eastAsia" w:asciiTheme="minorEastAsia" w:hAnsiTheme="minorEastAsia" w:eastAsiaTheme="minorEastAsia" w:cstheme="minorEastAsia"/>
                <w:spacing w:val="-9"/>
                <w:sz w:val="24"/>
                <w:szCs w:val="24"/>
              </w:rPr>
              <w:t>理投标事</w:t>
            </w:r>
            <w:r>
              <w:rPr>
                <w:rFonts w:hint="eastAsia" w:asciiTheme="minorEastAsia" w:hAnsiTheme="minorEastAsia" w:eastAsiaTheme="minorEastAsia" w:cstheme="minorEastAsia"/>
                <w:spacing w:val="-6"/>
                <w:sz w:val="24"/>
                <w:szCs w:val="24"/>
              </w:rPr>
              <w:t>宜</w:t>
            </w:r>
            <w:r>
              <w:rPr>
                <w:rFonts w:hint="eastAsia" w:asciiTheme="minorEastAsia" w:hAnsiTheme="minorEastAsia" w:eastAsiaTheme="minorEastAsia" w:cstheme="minorEastAsia"/>
                <w:spacing w:val="-59"/>
                <w:sz w:val="24"/>
                <w:szCs w:val="24"/>
              </w:rPr>
              <w:t>；（</w:t>
            </w:r>
            <w:r>
              <w:rPr>
                <w:rFonts w:hint="eastAsia" w:asciiTheme="minorEastAsia" w:hAnsiTheme="minorEastAsia" w:eastAsiaTheme="minorEastAsia" w:cstheme="minorEastAsia"/>
                <w:spacing w:val="-6"/>
                <w:sz w:val="24"/>
                <w:szCs w:val="24"/>
              </w:rPr>
              <w:t>三）不同投标人的投标文件载明的项目管理成员或者联系人员为同一人</w:t>
            </w:r>
            <w:r>
              <w:rPr>
                <w:rFonts w:hint="eastAsia" w:asciiTheme="minorEastAsia" w:hAnsiTheme="minorEastAsia" w:eastAsiaTheme="minorEastAsia" w:cstheme="minorEastAsia"/>
                <w:spacing w:val="-57"/>
                <w:sz w:val="24"/>
                <w:szCs w:val="24"/>
              </w:rPr>
              <w:t>；（</w:t>
            </w:r>
            <w:r>
              <w:rPr>
                <w:rFonts w:hint="eastAsia" w:asciiTheme="minorEastAsia" w:hAnsiTheme="minorEastAsia" w:eastAsiaTheme="minorEastAsia" w:cstheme="minorEastAsia"/>
                <w:spacing w:val="-6"/>
                <w:sz w:val="24"/>
                <w:szCs w:val="24"/>
              </w:rPr>
              <w:t>四）不同投标人的投标文件异常一</w:t>
            </w:r>
            <w:r>
              <w:rPr>
                <w:rFonts w:hint="eastAsia" w:asciiTheme="minorEastAsia" w:hAnsiTheme="minorEastAsia" w:eastAsiaTheme="minorEastAsia" w:cstheme="minorEastAsia"/>
                <w:spacing w:val="-7"/>
                <w:sz w:val="24"/>
                <w:szCs w:val="24"/>
              </w:rPr>
              <w:t>致或者投标</w:t>
            </w:r>
            <w:r>
              <w:rPr>
                <w:rFonts w:hint="eastAsia" w:asciiTheme="minorEastAsia" w:hAnsiTheme="minorEastAsia" w:eastAsiaTheme="minorEastAsia" w:cstheme="minorEastAsia"/>
                <w:spacing w:val="-18"/>
                <w:sz w:val="24"/>
                <w:szCs w:val="24"/>
              </w:rPr>
              <w:t>报价呈规律性差异</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五）不同投标人的投标文件相互混装</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六）</w:t>
            </w:r>
            <w:r>
              <w:rPr>
                <w:rFonts w:hint="eastAsia" w:asciiTheme="minorEastAsia" w:hAnsiTheme="minorEastAsia" w:eastAsiaTheme="minorEastAsia" w:cstheme="minorEastAsia"/>
                <w:spacing w:val="-1"/>
                <w:sz w:val="24"/>
                <w:szCs w:val="24"/>
              </w:rPr>
              <w:t>不同投标人的投标保证金从同一单位或者个人的账户转出；不存在南阳市财政局关于防范供应商串通投标促进政府采购公平竞争的通知（宛财购〔2022〕3号）投标人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p>
          <w:p>
            <w:pPr>
              <w:wordWrap w:val="0"/>
              <w:spacing w:line="234" w:lineRule="auto"/>
              <w:ind w:firstLine="5"/>
              <w:jc w:val="both"/>
              <w:rPr>
                <w:rFonts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一）不同供应商的电子投标（响应）文件上传的计算机网卡MAC地址、CPU序列号和硬盘序列号等硬件信息相同的；（二）不同供应商的投标（响应）文件由同一电子设备编制、打印、加密或上传；（三）不同供应商的投标（响应）文件由同一电子设备打印、复印；（四）不同供应商的投标（响应）文件由同一人送达或分发，或者不同供应商的联系人为同一人或不同联系人的联系电话一致的；（五）不同供应商的投标（响应）文件内容存在两处以上细节错误一致；（六）不同供应商的法定代表人、委托代理人、项目经理、项目负责人等由同一单位缴纳社会保险或者领取报酬的；（七）不同供应商投标（响应）文件中的法定代表人或负责人签名出自同一人之手；（八）其他涉嫌串通的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tcPr>
          <w:p>
            <w:pPr>
              <w:pStyle w:val="89"/>
            </w:pPr>
          </w:p>
        </w:tc>
        <w:tc>
          <w:tcPr>
            <w:tcW w:w="1812" w:type="dxa"/>
          </w:tcPr>
          <w:p>
            <w:pPr>
              <w:wordWrap w:val="0"/>
              <w:spacing w:before="78" w:line="221" w:lineRule="auto"/>
              <w:ind w:left="134"/>
              <w:jc w:val="both"/>
              <w:rPr>
                <w:rFonts w:asciiTheme="minorEastAsia" w:hAnsiTheme="minorEastAsia" w:eastAsiaTheme="minorEastAsia" w:cstheme="minorEastAsia"/>
                <w:spacing w:val="-6"/>
                <w:sz w:val="24"/>
                <w:szCs w:val="24"/>
              </w:rPr>
            </w:pPr>
          </w:p>
        </w:tc>
        <w:tc>
          <w:tcPr>
            <w:tcW w:w="6501" w:type="dxa"/>
            <w:vMerge w:val="continue"/>
          </w:tcPr>
          <w:p>
            <w:pPr>
              <w:pStyle w:val="24"/>
              <w:shd w:val="clear" w:color="auto" w:fill="FFFFFF"/>
              <w:wordWrap w:val="0"/>
              <w:jc w:val="both"/>
              <w:rPr>
                <w:rFonts w:asciiTheme="minorEastAsia" w:hAnsiTheme="minorEastAsia" w:eastAsiaTheme="minorEastAsia" w:cstheme="minorEastAsia"/>
                <w:spacing w:val="-1"/>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pPr>
              <w:pStyle w:val="89"/>
            </w:pPr>
            <w:r>
              <w:rPr>
                <w:rFonts w:hint="eastAsia"/>
              </w:rPr>
              <w:t>1</w:t>
            </w:r>
            <w:r>
              <w:t>1</w:t>
            </w:r>
            <w:r>
              <w:rPr>
                <w:rFonts w:hint="eastAsia"/>
              </w:rPr>
              <w:t>3</w:t>
            </w:r>
          </w:p>
        </w:tc>
        <w:tc>
          <w:tcPr>
            <w:tcW w:w="1812" w:type="dxa"/>
          </w:tcPr>
          <w:p>
            <w:pPr>
              <w:wordWrap w:val="0"/>
              <w:spacing w:before="228" w:line="219" w:lineRule="auto"/>
              <w:ind w:left="131"/>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附加条件</w:t>
            </w:r>
          </w:p>
        </w:tc>
        <w:tc>
          <w:tcPr>
            <w:tcW w:w="6501" w:type="dxa"/>
          </w:tcPr>
          <w:p>
            <w:pPr>
              <w:wordWrap w:val="0"/>
              <w:spacing w:before="228" w:line="219" w:lineRule="auto"/>
              <w:ind w:left="11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投标文件未含有采购人不能接受的附加条件</w:t>
            </w:r>
            <w:r>
              <w:rPr>
                <w:rFonts w:hint="eastAsia" w:asciiTheme="minorEastAsia" w:hAnsiTheme="minorEastAsia" w:eastAsiaTheme="minorEastAsia" w:cstheme="minorEastAsia"/>
                <w:spacing w:val="-4"/>
                <w:sz w:val="24"/>
                <w:szCs w:val="24"/>
              </w:rPr>
              <w:t>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tcPr>
          <w:p>
            <w:pPr>
              <w:pStyle w:val="89"/>
            </w:pPr>
            <w:r>
              <w:rPr>
                <w:rFonts w:hint="eastAsia"/>
              </w:rPr>
              <w:t>1</w:t>
            </w:r>
            <w:r>
              <w:t>1</w:t>
            </w:r>
            <w:r>
              <w:rPr>
                <w:rFonts w:hint="eastAsia"/>
              </w:rPr>
              <w:t>4</w:t>
            </w:r>
          </w:p>
        </w:tc>
        <w:tc>
          <w:tcPr>
            <w:tcW w:w="1812" w:type="dxa"/>
          </w:tcPr>
          <w:p>
            <w:pPr>
              <w:wordWrap w:val="0"/>
              <w:spacing w:before="226" w:line="221" w:lineRule="auto"/>
              <w:ind w:left="113"/>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其他无效情形</w:t>
            </w:r>
          </w:p>
        </w:tc>
        <w:tc>
          <w:tcPr>
            <w:tcW w:w="6501" w:type="dxa"/>
          </w:tcPr>
          <w:p>
            <w:pPr>
              <w:wordWrap w:val="0"/>
              <w:spacing w:before="74" w:line="229" w:lineRule="auto"/>
              <w:ind w:left="115" w:right="136" w:firstLine="1"/>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投标人、投标文件不存在不符合法律、法规和招标文件规定的</w:t>
            </w:r>
            <w:r>
              <w:rPr>
                <w:rFonts w:hint="eastAsia" w:asciiTheme="minorEastAsia" w:hAnsiTheme="minorEastAsia" w:eastAsiaTheme="minorEastAsia" w:cstheme="minorEastAsia"/>
                <w:spacing w:val="-6"/>
                <w:sz w:val="24"/>
                <w:szCs w:val="24"/>
              </w:rPr>
              <w:t>其他无效情形。</w:t>
            </w:r>
          </w:p>
        </w:tc>
      </w:tr>
    </w:tbl>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2.技术审查</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服务类，审查服务方案、人员配备方案及人员基本情况等是否符合招标要求。</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3.评标委员会将通过审查确定每一投标人是否对招标文件做出了实质性响应</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4.投标文件的澄清</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4.2 澄清、说明或补正要求。对投标文件中含义不明确、同类问题表述不一致或者有明显文字和计算错误的内容，评标委员会应当以</w:t>
      </w:r>
      <w:r>
        <w:rPr>
          <w:rFonts w:hint="eastAsia" w:asciiTheme="minorEastAsia" w:hAnsiTheme="minorEastAsia" w:eastAsiaTheme="minorEastAsia" w:cstheme="minorEastAsia"/>
          <w:spacing w:val="2"/>
          <w:position w:val="17"/>
          <w:sz w:val="24"/>
          <w:szCs w:val="24"/>
          <w:lang w:val="en-US" w:eastAsia="zh-CN"/>
        </w:rPr>
        <w:t>交易系统线上或</w:t>
      </w:r>
      <w:r>
        <w:rPr>
          <w:rFonts w:hint="eastAsia" w:asciiTheme="minorEastAsia" w:hAnsiTheme="minorEastAsia" w:eastAsiaTheme="minorEastAsia" w:cstheme="minorEastAsia"/>
          <w:spacing w:val="2"/>
          <w:position w:val="17"/>
          <w:sz w:val="24"/>
          <w:szCs w:val="24"/>
        </w:rPr>
        <w:t>书面形式要求投标人作出必要的澄清、说明或补正。投标人的澄清、说明或者补正应当采用</w:t>
      </w:r>
      <w:r>
        <w:rPr>
          <w:rFonts w:hint="eastAsia" w:asciiTheme="minorEastAsia" w:hAnsiTheme="minorEastAsia" w:eastAsiaTheme="minorEastAsia" w:cstheme="minorEastAsia"/>
          <w:spacing w:val="2"/>
          <w:position w:val="17"/>
          <w:sz w:val="24"/>
          <w:szCs w:val="24"/>
          <w:lang w:val="en-US" w:eastAsia="zh-CN"/>
        </w:rPr>
        <w:t>交易系统线上或</w:t>
      </w:r>
      <w:r>
        <w:rPr>
          <w:rFonts w:hint="eastAsia" w:asciiTheme="minorEastAsia" w:hAnsiTheme="minorEastAsia" w:eastAsiaTheme="minorEastAsia" w:cstheme="minorEastAsia"/>
          <w:spacing w:val="2"/>
          <w:position w:val="17"/>
          <w:sz w:val="24"/>
          <w:szCs w:val="24"/>
        </w:rPr>
        <w:t>书面形式，由其法定代表人（负责人）或授权代表签字，并不得超出投标文件的范围或者改变投标文件的实质性内容。</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4.3 投标人的澄清、说明或补正文件是投标文件的组成部分，并取代投标文件中被澄清、说明或补正的部分。</w:t>
      </w:r>
    </w:p>
    <w:p>
      <w:pPr>
        <w:wordWrap w:val="0"/>
        <w:spacing w:line="360" w:lineRule="auto"/>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五.评标方法和评标标准</w:t>
      </w:r>
    </w:p>
    <w:p>
      <w:pPr>
        <w:wordWrap w:val="0"/>
        <w:spacing w:line="360" w:lineRule="auto"/>
        <w:ind w:firstLine="490"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b/>
          <w:bCs/>
          <w:spacing w:val="2"/>
          <w:position w:val="17"/>
          <w:sz w:val="24"/>
          <w:szCs w:val="24"/>
        </w:rPr>
        <w:t>1.本项目采用的评标方法为：</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多家投标人提供的核心产品品牌相同且通过资格审查、符合性审查的，按一家投标人计算，评审后得分最高的同品牌投标人获得中标人推荐。</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2.非政府强制采购的节能产品或环境标志产品，依据品目清单和认证证书实施政府优先采购。优先采购的具体规定（如涉及）。</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3.关于无线局域网认证产品政府采购清单中的产品，优先采购的具体规定（如涉及）。</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4.确定中标候选人名单</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4.1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4.2采用综合评分法时，投标人的排名按得分顺序从高到低排列；得分相同的，按投标报价由低到高顺序排列；得分且投标报价相同的，按技术指标优劣顺序排列。</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w:t>
      </w: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rPr>
        <w:t>评标委员会要对评分汇总情况进行复核，特别是对排名第一的、报价最低的、投标文件被认定为无效的情形进行重点复核。</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w:t>
      </w:r>
      <w:r>
        <w:rPr>
          <w:rFonts w:hint="eastAsia" w:asciiTheme="minorEastAsia" w:hAnsiTheme="minorEastAsia" w:eastAsiaTheme="minorEastAsia" w:cstheme="minorEastAsia"/>
          <w:spacing w:val="2"/>
          <w:position w:val="17"/>
          <w:sz w:val="24"/>
          <w:szCs w:val="24"/>
          <w:lang w:val="en-US" w:eastAsia="zh-CN"/>
        </w:rPr>
        <w:t>.4</w:t>
      </w:r>
      <w:r>
        <w:rPr>
          <w:rFonts w:hint="eastAsia" w:asciiTheme="minorEastAsia" w:hAnsiTheme="minorEastAsia" w:eastAsiaTheme="minorEastAsia" w:cstheme="minorEastAsia"/>
          <w:spacing w:val="2"/>
          <w:position w:val="17"/>
          <w:sz w:val="24"/>
          <w:szCs w:val="24"/>
        </w:rPr>
        <w:t>评标委员会将根据各投标人的评标排序，依次推荐本项目（各采购包）的中标候选人，起草并签署评标报告。本项目（采购包）评标委员会共推荐3 名中标候选人。</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5.报告违法行为</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评标委员会在评标过程中发现投标人有行贿、提供虚假材料或者串通等违法行为时，有向采购人、采购代理机构或者有关部门报告的职责。</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6.确定中标人</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采购人应当在收到评标报告之日起5个工作日内，在评标报告确定的中标候选人名单中按顺序确定中标人。</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7.投标人存在下列情况之一的，投标无效：</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（1）投标文件未按招标文件要求签署、盖章的；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（2）不具备招标文件中规定的资格要求的；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（3）报价超过招标文件中规定的预算金额或者最高限价的；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（4）投标文件含有采购人不能接受的附加条件的；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（5）不符合应提交投标文件资料数量要求的；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（6）开标解密时未在规定时间（30分钟）内进行解密成功的视为撤销其投标文件（因电子开标系统原因除外）；</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（7）电子投标文件未使用电子营业执照认证并加密的；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（8）未在投标截止时间前完成上传的；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（9）法律、法规和招标文件规定的其他无效情形。</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8.在招标采购中，出现下列情形之一的，应予废标：</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（1）符合专业条件的供应商或者对招标文件作实质性响应的供应商不足三家的；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（2）出现影响采购公正的违法、违规行为的；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（3）投标人的报价均超过了预算金额，采购人不能支付的；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（4）因重大变故，采购任务取消的。</w:t>
      </w:r>
    </w:p>
    <w:p>
      <w:pPr>
        <w:wordWrap w:val="0"/>
        <w:spacing w:line="360" w:lineRule="auto"/>
        <w:ind w:firstLine="488"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spacing w:val="2"/>
          <w:position w:val="17"/>
          <w:sz w:val="24"/>
          <w:szCs w:val="24"/>
        </w:rPr>
        <w:t>废标后，应当在指定媒体发布公告，将废标理由通知所有投标人。</w:t>
      </w:r>
      <w:bookmarkEnd w:id="7"/>
    </w:p>
    <w:p>
      <w:pPr>
        <w:pStyle w:val="2"/>
        <w:ind w:firstLine="0" w:firstLineChars="0"/>
      </w:pPr>
    </w:p>
    <w:p>
      <w:pPr>
        <w:pStyle w:val="2"/>
        <w:rPr>
          <w:rFonts w:hint="eastAsia"/>
        </w:rPr>
      </w:pPr>
      <w:bookmarkStart w:id="12" w:name="_Toc33217862"/>
      <w:bookmarkStart w:id="13" w:name="_Toc144974577"/>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lang w:eastAsia="zh-CN"/>
        </w:rPr>
      </w:pPr>
      <w:r>
        <w:rPr>
          <w:rFonts w:hint="eastAsia"/>
          <w:lang w:eastAsia="zh-CN"/>
        </w:rPr>
        <w:t>、</w:t>
      </w: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rPr>
      </w:pPr>
    </w:p>
    <w:p>
      <w:pPr>
        <w:pStyle w:val="2"/>
      </w:pPr>
      <w:r>
        <w:rPr>
          <w:rFonts w:hint="eastAsia"/>
        </w:rPr>
        <w:t>评分标准</w:t>
      </w:r>
    </w:p>
    <w:p>
      <w:pPr>
        <w:spacing w:line="460" w:lineRule="exact"/>
        <w:ind w:left="567" w:hanging="567"/>
        <w:jc w:val="center"/>
        <w:rPr>
          <w:b/>
          <w:sz w:val="24"/>
          <w:szCs w:val="24"/>
        </w:rPr>
      </w:pPr>
      <w:r>
        <w:rPr>
          <w:rFonts w:hint="eastAsia"/>
          <w:b/>
          <w:sz w:val="24"/>
          <w:szCs w:val="24"/>
        </w:rPr>
        <w:t xml:space="preserve">采用综合评分法,满分 100 分。 </w:t>
      </w:r>
    </w:p>
    <w:tbl>
      <w:tblPr>
        <w:tblStyle w:val="27"/>
        <w:tblW w:w="997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8"/>
        <w:gridCol w:w="1061"/>
        <w:gridCol w:w="5034"/>
        <w:gridCol w:w="1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58" w:type="dxa"/>
            <w:noWrap w:val="0"/>
            <w:vAlign w:val="center"/>
          </w:tcPr>
          <w:p>
            <w:pPr>
              <w:jc w:val="center"/>
              <w:rPr>
                <w:rFonts w:ascii="宋体" w:hAnsi="宋体"/>
                <w:color w:val="auto"/>
                <w:szCs w:val="21"/>
                <w:highlight w:val="none"/>
              </w:rPr>
            </w:pPr>
            <w:r>
              <w:rPr>
                <w:rFonts w:ascii="宋体" w:hAnsi="宋体"/>
                <w:color w:val="auto"/>
                <w:szCs w:val="21"/>
                <w:highlight w:val="none"/>
              </w:rPr>
              <w:t>分值构成</w:t>
            </w:r>
          </w:p>
          <w:p>
            <w:pPr>
              <w:jc w:val="center"/>
              <w:rPr>
                <w:rFonts w:ascii="宋体" w:hAnsi="宋体"/>
                <w:color w:val="auto"/>
                <w:szCs w:val="21"/>
                <w:highlight w:val="none"/>
              </w:rPr>
            </w:pPr>
            <w:r>
              <w:rPr>
                <w:rFonts w:ascii="宋体" w:hAnsi="宋体"/>
                <w:color w:val="auto"/>
                <w:szCs w:val="21"/>
                <w:highlight w:val="none"/>
              </w:rPr>
              <w:t>(总分100分)</w:t>
            </w:r>
          </w:p>
        </w:tc>
        <w:tc>
          <w:tcPr>
            <w:tcW w:w="8012" w:type="dxa"/>
            <w:gridSpan w:val="3"/>
            <w:noWrap w:val="0"/>
            <w:vAlign w:val="center"/>
          </w:tcPr>
          <w:p>
            <w:pPr>
              <w:rPr>
                <w:rFonts w:hint="eastAsia"/>
                <w:color w:val="auto"/>
                <w:highlight w:val="none"/>
              </w:rPr>
            </w:pPr>
            <w:r>
              <w:rPr>
                <w:rFonts w:hint="eastAsia"/>
                <w:color w:val="auto"/>
                <w:highlight w:val="none"/>
                <w:lang w:val="en-US" w:eastAsia="zh-CN"/>
              </w:rPr>
              <w:t>投标</w:t>
            </w:r>
            <w:r>
              <w:rPr>
                <w:rFonts w:hint="eastAsia"/>
                <w:color w:val="auto"/>
                <w:highlight w:val="none"/>
              </w:rPr>
              <w:t>报价：</w:t>
            </w:r>
            <w:r>
              <w:rPr>
                <w:rFonts w:hint="eastAsia"/>
                <w:color w:val="auto"/>
                <w:highlight w:val="none"/>
                <w:u w:val="single"/>
              </w:rPr>
              <w:t xml:space="preserve">  </w:t>
            </w:r>
            <w:r>
              <w:rPr>
                <w:rFonts w:hint="eastAsia"/>
                <w:color w:val="auto"/>
                <w:highlight w:val="none"/>
                <w:u w:val="single"/>
                <w:lang w:val="en-US" w:eastAsia="zh-CN"/>
              </w:rPr>
              <w:t>25</w:t>
            </w:r>
            <w:r>
              <w:rPr>
                <w:rFonts w:hint="eastAsia"/>
                <w:color w:val="auto"/>
                <w:highlight w:val="none"/>
                <w:u w:val="single"/>
              </w:rPr>
              <w:t xml:space="preserve">  </w:t>
            </w:r>
            <w:r>
              <w:rPr>
                <w:rFonts w:hint="eastAsia"/>
                <w:color w:val="auto"/>
                <w:highlight w:val="none"/>
              </w:rPr>
              <w:t>分</w:t>
            </w:r>
          </w:p>
          <w:p>
            <w:pPr>
              <w:rPr>
                <w:rFonts w:hint="eastAsia"/>
                <w:color w:val="auto"/>
                <w:highlight w:val="none"/>
              </w:rPr>
            </w:pPr>
            <w:r>
              <w:rPr>
                <w:rFonts w:hint="eastAsia"/>
                <w:color w:val="auto"/>
                <w:highlight w:val="none"/>
              </w:rPr>
              <w:t>综合标：</w:t>
            </w:r>
            <w:r>
              <w:rPr>
                <w:rFonts w:hint="eastAsia"/>
                <w:color w:val="auto"/>
                <w:highlight w:val="none"/>
                <w:u w:val="single"/>
              </w:rPr>
              <w:t xml:space="preserve">  </w:t>
            </w:r>
            <w:r>
              <w:rPr>
                <w:rFonts w:hint="eastAsia"/>
                <w:color w:val="auto"/>
                <w:highlight w:val="none"/>
                <w:u w:val="single"/>
                <w:lang w:val="en-US" w:eastAsia="zh-CN"/>
              </w:rPr>
              <w:t>25</w:t>
            </w:r>
            <w:r>
              <w:rPr>
                <w:rFonts w:hint="eastAsia"/>
                <w:color w:val="auto"/>
                <w:highlight w:val="none"/>
                <w:u w:val="single"/>
              </w:rPr>
              <w:t xml:space="preserve">  </w:t>
            </w:r>
            <w:r>
              <w:rPr>
                <w:rFonts w:hint="eastAsia"/>
                <w:color w:val="auto"/>
                <w:highlight w:val="none"/>
              </w:rPr>
              <w:t>分</w:t>
            </w:r>
          </w:p>
          <w:p>
            <w:pPr>
              <w:rPr>
                <w:rFonts w:hint="eastAsia"/>
                <w:color w:val="auto"/>
                <w:highlight w:val="none"/>
              </w:rPr>
            </w:pPr>
            <w:r>
              <w:rPr>
                <w:rFonts w:hint="eastAsia"/>
                <w:color w:val="auto"/>
                <w:highlight w:val="none"/>
              </w:rPr>
              <w:t>技术标：</w:t>
            </w:r>
            <w:r>
              <w:rPr>
                <w:rFonts w:hint="eastAsia"/>
                <w:color w:val="auto"/>
                <w:highlight w:val="none"/>
                <w:u w:val="single"/>
              </w:rPr>
              <w:t xml:space="preserve">  </w:t>
            </w:r>
            <w:r>
              <w:rPr>
                <w:rFonts w:hint="eastAsia"/>
                <w:color w:val="auto"/>
                <w:highlight w:val="none"/>
                <w:u w:val="single"/>
                <w:lang w:val="en-US" w:eastAsia="zh-CN"/>
              </w:rPr>
              <w:t>50</w:t>
            </w:r>
            <w:r>
              <w:rPr>
                <w:rFonts w:hint="eastAsia"/>
                <w:color w:val="auto"/>
                <w:highlight w:val="none"/>
                <w:u w:val="single"/>
              </w:rPr>
              <w:t xml:space="preserve">  </w:t>
            </w:r>
            <w:r>
              <w:rPr>
                <w:rFonts w:hint="eastAsia"/>
                <w:color w:val="auto"/>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958" w:type="dxa"/>
            <w:noWrap w:val="0"/>
            <w:vAlign w:val="center"/>
          </w:tcPr>
          <w:p>
            <w:pPr>
              <w:jc w:val="center"/>
              <w:rPr>
                <w:rFonts w:ascii="宋体" w:hAnsi="宋体"/>
                <w:color w:val="auto"/>
                <w:szCs w:val="21"/>
                <w:highlight w:val="none"/>
              </w:rPr>
            </w:pPr>
            <w:r>
              <w:rPr>
                <w:rFonts w:ascii="宋体" w:hAnsi="宋体"/>
                <w:b/>
                <w:color w:val="auto"/>
                <w:szCs w:val="21"/>
                <w:highlight w:val="none"/>
              </w:rPr>
              <w:t>条款号</w:t>
            </w:r>
          </w:p>
        </w:tc>
        <w:tc>
          <w:tcPr>
            <w:tcW w:w="6095" w:type="dxa"/>
            <w:gridSpan w:val="2"/>
            <w:noWrap w:val="0"/>
            <w:vAlign w:val="center"/>
          </w:tcPr>
          <w:p>
            <w:pPr>
              <w:jc w:val="center"/>
              <w:rPr>
                <w:rFonts w:ascii="宋体" w:hAnsi="宋体"/>
                <w:color w:val="auto"/>
                <w:szCs w:val="21"/>
                <w:highlight w:val="none"/>
              </w:rPr>
            </w:pPr>
            <w:r>
              <w:rPr>
                <w:rFonts w:ascii="宋体" w:hAnsi="宋体"/>
                <w:color w:val="auto"/>
                <w:szCs w:val="21"/>
                <w:highlight w:val="none"/>
              </w:rPr>
              <w:t>评分因素</w:t>
            </w:r>
          </w:p>
        </w:tc>
        <w:tc>
          <w:tcPr>
            <w:tcW w:w="1917" w:type="dxa"/>
            <w:noWrap w:val="0"/>
            <w:vAlign w:val="center"/>
          </w:tcPr>
          <w:p>
            <w:pPr>
              <w:jc w:val="center"/>
              <w:rPr>
                <w:rFonts w:ascii="宋体" w:hAnsi="宋体"/>
                <w:color w:val="auto"/>
                <w:szCs w:val="21"/>
                <w:highlight w:val="none"/>
              </w:rPr>
            </w:pPr>
            <w:r>
              <w:rPr>
                <w:rFonts w:ascii="宋体" w:hAnsi="宋体"/>
                <w:b/>
                <w:color w:val="auto"/>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1" w:hRule="atLeast"/>
        </w:trPr>
        <w:tc>
          <w:tcPr>
            <w:tcW w:w="1958" w:type="dxa"/>
            <w:noWrap w:val="0"/>
            <w:vAlign w:val="center"/>
          </w:tcPr>
          <w:p>
            <w:pPr>
              <w:jc w:val="center"/>
              <w:rPr>
                <w:rFonts w:hint="eastAsia" w:ascii="宋体" w:hAnsi="宋体"/>
                <w:b/>
                <w:color w:val="auto"/>
                <w:szCs w:val="21"/>
                <w:highlight w:val="none"/>
              </w:rPr>
            </w:pPr>
            <w:r>
              <w:rPr>
                <w:rFonts w:hint="eastAsia"/>
                <w:b/>
                <w:color w:val="auto"/>
                <w:szCs w:val="21"/>
                <w:highlight w:val="none"/>
                <w:lang w:val="en-US" w:eastAsia="zh-CN"/>
              </w:rPr>
              <w:t>投标</w:t>
            </w:r>
            <w:r>
              <w:rPr>
                <w:rFonts w:hint="eastAsia" w:ascii="宋体" w:hAnsi="宋体"/>
                <w:b/>
                <w:color w:val="auto"/>
                <w:szCs w:val="21"/>
                <w:highlight w:val="none"/>
              </w:rPr>
              <w:t>报价</w:t>
            </w:r>
          </w:p>
          <w:p>
            <w:pPr>
              <w:jc w:val="center"/>
              <w:rPr>
                <w:rFonts w:hint="eastAsia" w:ascii="宋体" w:hAnsi="宋体"/>
                <w:b/>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val="en-US" w:eastAsia="zh-CN"/>
              </w:rPr>
              <w:t>25</w:t>
            </w:r>
            <w:r>
              <w:rPr>
                <w:rFonts w:hint="eastAsia" w:ascii="宋体" w:hAnsi="宋体"/>
                <w:b/>
                <w:color w:val="auto"/>
                <w:szCs w:val="21"/>
                <w:highlight w:val="none"/>
              </w:rPr>
              <w:t>分）</w:t>
            </w:r>
          </w:p>
        </w:tc>
        <w:tc>
          <w:tcPr>
            <w:tcW w:w="8012" w:type="dxa"/>
            <w:gridSpan w:val="3"/>
            <w:noWrap w:val="0"/>
            <w:vAlign w:val="center"/>
          </w:tcPr>
          <w:p>
            <w:pPr>
              <w:ind w:firstLine="440" w:firstLineChars="200"/>
              <w:rPr>
                <w:color w:val="auto"/>
                <w:szCs w:val="22"/>
                <w:highlight w:val="none"/>
              </w:rPr>
            </w:pPr>
            <w:r>
              <w:rPr>
                <w:color w:val="auto"/>
                <w:szCs w:val="22"/>
                <w:highlight w:val="none"/>
              </w:rPr>
              <w:t>价格分统一采用低价优先法计算，即满足</w:t>
            </w:r>
            <w:r>
              <w:rPr>
                <w:rFonts w:hint="eastAsia"/>
                <w:color w:val="auto"/>
                <w:szCs w:val="22"/>
                <w:highlight w:val="none"/>
                <w:lang w:val="en-US" w:eastAsia="zh-CN"/>
              </w:rPr>
              <w:t>招标</w:t>
            </w:r>
            <w:r>
              <w:rPr>
                <w:color w:val="auto"/>
                <w:szCs w:val="22"/>
                <w:highlight w:val="none"/>
              </w:rPr>
              <w:t>文件要求且</w:t>
            </w:r>
            <w:r>
              <w:rPr>
                <w:rFonts w:hint="eastAsia"/>
                <w:color w:val="auto"/>
                <w:szCs w:val="22"/>
                <w:highlight w:val="none"/>
                <w:lang w:val="en-US" w:eastAsia="zh-CN"/>
              </w:rPr>
              <w:t>投标</w:t>
            </w:r>
            <w:r>
              <w:rPr>
                <w:color w:val="auto"/>
                <w:szCs w:val="22"/>
                <w:highlight w:val="none"/>
              </w:rPr>
              <w:t>价格最低的</w:t>
            </w:r>
            <w:r>
              <w:rPr>
                <w:rFonts w:hint="eastAsia"/>
                <w:color w:val="auto"/>
                <w:szCs w:val="22"/>
                <w:highlight w:val="none"/>
                <w:lang w:val="en-US" w:eastAsia="zh-CN"/>
              </w:rPr>
              <w:t>投标</w:t>
            </w:r>
            <w:r>
              <w:rPr>
                <w:color w:val="auto"/>
                <w:szCs w:val="22"/>
                <w:highlight w:val="none"/>
              </w:rPr>
              <w:t>报价为评标基准价，其价格分为满分。其他</w:t>
            </w:r>
            <w:r>
              <w:rPr>
                <w:rFonts w:hint="eastAsia"/>
                <w:color w:val="auto"/>
                <w:szCs w:val="22"/>
                <w:highlight w:val="none"/>
              </w:rPr>
              <w:t>供应商</w:t>
            </w:r>
            <w:r>
              <w:rPr>
                <w:color w:val="auto"/>
                <w:szCs w:val="22"/>
                <w:highlight w:val="none"/>
              </w:rPr>
              <w:t>的价格分统一按照下列公式计算：</w:t>
            </w:r>
          </w:p>
          <w:p>
            <w:pPr>
              <w:ind w:firstLine="442" w:firstLineChars="200"/>
              <w:rPr>
                <w:rFonts w:hint="eastAsia"/>
                <w:b/>
                <w:color w:val="auto"/>
                <w:szCs w:val="22"/>
                <w:highlight w:val="none"/>
              </w:rPr>
            </w:pPr>
            <w:r>
              <w:rPr>
                <w:rFonts w:hint="eastAsia"/>
                <w:b/>
                <w:color w:val="auto"/>
                <w:szCs w:val="22"/>
                <w:highlight w:val="none"/>
                <w:lang w:val="en-US" w:eastAsia="zh-CN"/>
              </w:rPr>
              <w:t>投标</w:t>
            </w:r>
            <w:r>
              <w:rPr>
                <w:b/>
                <w:color w:val="auto"/>
                <w:szCs w:val="22"/>
                <w:highlight w:val="none"/>
              </w:rPr>
              <w:t>报价得分=</w:t>
            </w:r>
            <w:r>
              <w:rPr>
                <w:rFonts w:hint="eastAsia"/>
                <w:b/>
                <w:color w:val="auto"/>
                <w:szCs w:val="22"/>
                <w:highlight w:val="none"/>
              </w:rPr>
              <w:t>（</w:t>
            </w:r>
            <w:r>
              <w:rPr>
                <w:b/>
                <w:color w:val="auto"/>
                <w:szCs w:val="22"/>
                <w:highlight w:val="none"/>
              </w:rPr>
              <w:t>评标基准价／</w:t>
            </w:r>
            <w:r>
              <w:rPr>
                <w:rFonts w:hint="eastAsia"/>
                <w:b/>
                <w:color w:val="auto"/>
                <w:szCs w:val="22"/>
                <w:highlight w:val="none"/>
              </w:rPr>
              <w:t>最终</w:t>
            </w:r>
            <w:r>
              <w:rPr>
                <w:rFonts w:hint="eastAsia"/>
                <w:b/>
                <w:color w:val="auto"/>
                <w:szCs w:val="22"/>
                <w:highlight w:val="none"/>
                <w:lang w:val="en-US" w:eastAsia="zh-CN"/>
              </w:rPr>
              <w:t>投标</w:t>
            </w:r>
            <w:r>
              <w:rPr>
                <w:b/>
                <w:color w:val="auto"/>
                <w:szCs w:val="22"/>
                <w:highlight w:val="none"/>
              </w:rPr>
              <w:t>报价</w:t>
            </w:r>
            <w:r>
              <w:rPr>
                <w:rFonts w:hint="eastAsia"/>
                <w:b/>
                <w:color w:val="auto"/>
                <w:szCs w:val="22"/>
                <w:highlight w:val="none"/>
              </w:rPr>
              <w:t>）</w:t>
            </w:r>
            <w:r>
              <w:rPr>
                <w:b/>
                <w:color w:val="auto"/>
                <w:szCs w:val="22"/>
                <w:highlight w:val="none"/>
              </w:rPr>
              <w:t>×100×</w:t>
            </w:r>
            <w:r>
              <w:rPr>
                <w:rFonts w:hint="eastAsia"/>
                <w:b/>
                <w:color w:val="auto"/>
                <w:szCs w:val="22"/>
                <w:highlight w:val="none"/>
                <w:lang w:val="en-US" w:eastAsia="zh-CN"/>
              </w:rPr>
              <w:t>2</w:t>
            </w:r>
            <w:r>
              <w:rPr>
                <w:rFonts w:hint="eastAsia"/>
                <w:b/>
                <w:color w:val="auto"/>
                <w:szCs w:val="22"/>
                <w:highlight w:val="none"/>
              </w:rPr>
              <w:t>5%</w:t>
            </w:r>
          </w:p>
          <w:p>
            <w:pPr>
              <w:kinsoku w:val="0"/>
              <w:overflowPunct w:val="0"/>
              <w:autoSpaceDE w:val="0"/>
              <w:autoSpaceDN w:val="0"/>
              <w:adjustRightInd w:val="0"/>
              <w:snapToGrid w:val="0"/>
              <w:ind w:firstLine="440" w:firstLineChars="200"/>
              <w:jc w:val="left"/>
              <w:rPr>
                <w:rFonts w:hint="eastAsia" w:ascii="新宋体" w:hAnsi="新宋体" w:eastAsia="新宋体" w:cs="新宋体"/>
                <w:color w:val="auto"/>
                <w:szCs w:val="21"/>
                <w:highlight w:val="none"/>
              </w:rPr>
            </w:pPr>
            <w:r>
              <w:rPr>
                <w:rFonts w:hint="eastAsia" w:ascii="新宋体" w:hAnsi="新宋体" w:eastAsia="新宋体" w:cs="新宋体"/>
                <w:color w:val="auto"/>
                <w:szCs w:val="21"/>
                <w:highlight w:val="none"/>
              </w:rPr>
              <w:t>特别提示：</w:t>
            </w:r>
          </w:p>
          <w:p>
            <w:pPr>
              <w:kinsoku w:val="0"/>
              <w:overflowPunct w:val="0"/>
              <w:autoSpaceDE w:val="0"/>
              <w:autoSpaceDN w:val="0"/>
              <w:adjustRightInd w:val="0"/>
              <w:snapToGrid w:val="0"/>
              <w:ind w:firstLine="440" w:firstLineChars="200"/>
              <w:jc w:val="left"/>
              <w:rPr>
                <w:rFonts w:hint="eastAsia" w:ascii="新宋体" w:hAnsi="新宋体" w:eastAsia="新宋体" w:cs="新宋体"/>
                <w:color w:val="auto"/>
                <w:szCs w:val="21"/>
                <w:highlight w:val="none"/>
              </w:rPr>
            </w:pPr>
            <w:r>
              <w:rPr>
                <w:rFonts w:hint="eastAsia" w:ascii="新宋体" w:hAnsi="新宋体" w:eastAsia="新宋体" w:cs="新宋体"/>
                <w:color w:val="auto"/>
                <w:szCs w:val="21"/>
                <w:highlight w:val="none"/>
              </w:rPr>
              <w:t>1、项目评审过程中，不得去掉最后报价中的最高报价和最低报价。</w:t>
            </w:r>
          </w:p>
          <w:p>
            <w:pPr>
              <w:kinsoku w:val="0"/>
              <w:overflowPunct w:val="0"/>
              <w:autoSpaceDE w:val="0"/>
              <w:autoSpaceDN w:val="0"/>
              <w:adjustRightInd w:val="0"/>
              <w:snapToGrid w:val="0"/>
              <w:ind w:firstLine="440" w:firstLineChars="200"/>
              <w:jc w:val="left"/>
              <w:rPr>
                <w:rFonts w:hint="eastAsia" w:ascii="新宋体" w:hAnsi="新宋体" w:eastAsia="新宋体" w:cs="新宋体"/>
                <w:color w:val="auto"/>
                <w:szCs w:val="21"/>
                <w:highlight w:val="none"/>
              </w:rPr>
            </w:pPr>
            <w:r>
              <w:rPr>
                <w:rFonts w:hint="eastAsia" w:ascii="新宋体" w:hAnsi="新宋体" w:eastAsia="新宋体" w:cs="新宋体"/>
                <w:color w:val="auto"/>
                <w:szCs w:val="21"/>
                <w:highlight w:val="none"/>
              </w:rPr>
              <w:t>2、</w:t>
            </w:r>
            <w:r>
              <w:rPr>
                <w:rFonts w:hint="eastAsia" w:eastAsia="新宋体"/>
                <w:color w:val="auto"/>
                <w:szCs w:val="22"/>
                <w:highlight w:val="none"/>
                <w:lang w:val="en-US" w:eastAsia="zh-CN"/>
              </w:rPr>
              <w:t>投标</w:t>
            </w:r>
            <w:r>
              <w:rPr>
                <w:rFonts w:hint="eastAsia"/>
                <w:color w:val="auto"/>
                <w:szCs w:val="22"/>
                <w:highlight w:val="none"/>
              </w:rPr>
              <w:t>报价应是在保证采购要求和质量的基础上投报的全费用价格。</w:t>
            </w:r>
            <w:r>
              <w:rPr>
                <w:rFonts w:hint="eastAsia"/>
                <w:color w:val="auto"/>
                <w:szCs w:val="22"/>
                <w:highlight w:val="none"/>
                <w:lang w:val="en-US" w:eastAsia="zh-CN"/>
              </w:rPr>
              <w:t>评标</w:t>
            </w:r>
            <w:r>
              <w:rPr>
                <w:rFonts w:hint="eastAsia" w:ascii="宋体" w:hAnsi="宋体" w:cs="宋体"/>
                <w:bCs/>
                <w:color w:val="auto"/>
                <w:szCs w:val="21"/>
                <w:highlight w:val="none"/>
              </w:rPr>
              <w:t>小组认为供应商的报价明显低于其他通过资格、符合性审查的供应商的报价时，最低</w:t>
            </w:r>
            <w:r>
              <w:rPr>
                <w:rFonts w:hint="eastAsia" w:cs="宋体"/>
                <w:bCs/>
                <w:color w:val="auto"/>
                <w:szCs w:val="21"/>
                <w:highlight w:val="none"/>
                <w:lang w:val="en-US" w:eastAsia="zh-CN"/>
              </w:rPr>
              <w:t>投标</w:t>
            </w:r>
            <w:r>
              <w:rPr>
                <w:rFonts w:hint="eastAsia" w:ascii="宋体" w:hAnsi="宋体" w:cs="宋体"/>
                <w:bCs/>
                <w:color w:val="auto"/>
                <w:szCs w:val="21"/>
                <w:highlight w:val="none"/>
              </w:rPr>
              <w:t>报价的供应商将有可能影响服务质量或者不能诚信履约，</w:t>
            </w:r>
            <w:r>
              <w:rPr>
                <w:rFonts w:hint="eastAsia" w:cs="宋体"/>
                <w:bCs/>
                <w:color w:val="auto"/>
                <w:szCs w:val="21"/>
                <w:highlight w:val="none"/>
                <w:lang w:val="en-US" w:eastAsia="zh-CN"/>
              </w:rPr>
              <w:t>评标</w:t>
            </w:r>
            <w:r>
              <w:rPr>
                <w:rFonts w:hint="eastAsia" w:ascii="宋体" w:hAnsi="宋体" w:cs="宋体"/>
                <w:bCs/>
                <w:color w:val="auto"/>
                <w:szCs w:val="21"/>
                <w:highlight w:val="none"/>
              </w:rPr>
              <w:t>小组应当要求其在评标现场合理的时间内提供说明，必要时提交相关证明材料；供应商不能证明其报价合理性的，</w:t>
            </w:r>
            <w:r>
              <w:rPr>
                <w:rFonts w:hint="eastAsia" w:cs="宋体"/>
                <w:bCs/>
                <w:color w:val="auto"/>
                <w:szCs w:val="21"/>
                <w:highlight w:val="none"/>
                <w:lang w:val="en-US" w:eastAsia="zh-CN"/>
              </w:rPr>
              <w:t>评标</w:t>
            </w:r>
            <w:r>
              <w:rPr>
                <w:rFonts w:hint="eastAsia" w:ascii="宋体" w:hAnsi="宋体" w:cs="宋体"/>
                <w:bCs/>
                <w:color w:val="auto"/>
                <w:szCs w:val="21"/>
                <w:highlight w:val="none"/>
              </w:rPr>
              <w:t>小组应当将其作为无效投标处理。</w:t>
            </w:r>
          </w:p>
          <w:p>
            <w:pPr>
              <w:ind w:firstLine="442" w:firstLineChars="200"/>
              <w:rPr>
                <w:rFonts w:hint="eastAsia"/>
                <w:b/>
                <w:color w:val="auto"/>
                <w:highlight w:val="none"/>
              </w:rPr>
            </w:pPr>
            <w:r>
              <w:rPr>
                <w:b/>
                <w:color w:val="auto"/>
                <w:szCs w:val="22"/>
                <w:highlight w:val="none"/>
              </w:rPr>
              <w:t>注：本项目为专门面向中小企业采购的项目，不再执行价格评审优惠的扶持政策。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1958" w:type="dxa"/>
            <w:vMerge w:val="restart"/>
            <w:noWrap w:val="0"/>
            <w:vAlign w:val="center"/>
          </w:tcPr>
          <w:p>
            <w:pPr>
              <w:jc w:val="center"/>
              <w:rPr>
                <w:rFonts w:hint="eastAsia" w:ascii="宋体" w:hAnsi="宋体"/>
                <w:b/>
                <w:color w:val="auto"/>
                <w:szCs w:val="21"/>
                <w:highlight w:val="none"/>
              </w:rPr>
            </w:pPr>
            <w:r>
              <w:rPr>
                <w:rFonts w:hint="eastAsia" w:ascii="宋体" w:hAnsi="宋体"/>
                <w:b/>
                <w:color w:val="auto"/>
                <w:szCs w:val="21"/>
                <w:highlight w:val="none"/>
              </w:rPr>
              <w:t>综合标</w:t>
            </w:r>
          </w:p>
          <w:p>
            <w:pPr>
              <w:jc w:val="center"/>
              <w:rPr>
                <w:rFonts w:hint="eastAsia" w:ascii="宋体" w:hAnsi="宋体"/>
                <w:b/>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val="en-US" w:eastAsia="zh-CN"/>
              </w:rPr>
              <w:t>25</w:t>
            </w:r>
            <w:r>
              <w:rPr>
                <w:rFonts w:hint="eastAsia" w:ascii="宋体" w:hAnsi="宋体"/>
                <w:b/>
                <w:color w:val="auto"/>
                <w:szCs w:val="21"/>
                <w:highlight w:val="none"/>
              </w:rPr>
              <w:t>分）</w:t>
            </w:r>
          </w:p>
        </w:tc>
        <w:tc>
          <w:tcPr>
            <w:tcW w:w="1061" w:type="dxa"/>
            <w:noWrap w:val="0"/>
            <w:vAlign w:val="center"/>
          </w:tcPr>
          <w:p>
            <w:pPr>
              <w:spacing w:line="296" w:lineRule="exact"/>
              <w:jc w:val="center"/>
              <w:rPr>
                <w:rFonts w:hint="eastAsia" w:ascii="新宋体" w:hAnsi="新宋体" w:eastAsia="新宋体" w:cs="新宋体"/>
                <w:color w:val="auto"/>
                <w:szCs w:val="21"/>
                <w:highlight w:val="none"/>
                <w:lang w:eastAsia="zh-CN"/>
              </w:rPr>
            </w:pPr>
            <w:r>
              <w:rPr>
                <w:rFonts w:hint="eastAsia" w:ascii="新宋体" w:hAnsi="新宋体" w:eastAsia="新宋体" w:cs="新宋体"/>
                <w:color w:val="auto"/>
                <w:szCs w:val="21"/>
                <w:highlight w:val="none"/>
              </w:rPr>
              <w:t>类似</w:t>
            </w:r>
            <w:r>
              <w:rPr>
                <w:rFonts w:hint="eastAsia" w:ascii="新宋体" w:hAnsi="新宋体" w:eastAsia="新宋体" w:cs="新宋体"/>
                <w:color w:val="auto"/>
                <w:szCs w:val="21"/>
                <w:highlight w:val="none"/>
                <w:lang w:eastAsia="zh-CN"/>
              </w:rPr>
              <w:t>业绩</w:t>
            </w:r>
          </w:p>
          <w:p>
            <w:pPr>
              <w:spacing w:line="296" w:lineRule="exact"/>
              <w:jc w:val="center"/>
              <w:rPr>
                <w:rFonts w:hint="eastAsia" w:ascii="新宋体" w:hAnsi="新宋体" w:eastAsia="新宋体" w:cs="新宋体"/>
                <w:color w:val="auto"/>
                <w:kern w:val="2"/>
                <w:sz w:val="21"/>
                <w:szCs w:val="21"/>
                <w:highlight w:val="none"/>
                <w:lang w:val="zh-CN" w:eastAsia="zh-CN" w:bidi="ar-SA"/>
              </w:rPr>
            </w:pPr>
            <w:r>
              <w:rPr>
                <w:rFonts w:hint="eastAsia" w:ascii="新宋体" w:hAnsi="新宋体" w:eastAsia="新宋体" w:cs="新宋体"/>
                <w:color w:val="auto"/>
                <w:szCs w:val="21"/>
                <w:highlight w:val="none"/>
                <w:lang w:val="zh-CN"/>
              </w:rPr>
              <w:t>（0-</w:t>
            </w:r>
            <w:r>
              <w:rPr>
                <w:rFonts w:hint="eastAsia" w:ascii="新宋体" w:hAnsi="新宋体" w:eastAsia="新宋体" w:cs="新宋体"/>
                <w:color w:val="auto"/>
                <w:szCs w:val="21"/>
                <w:highlight w:val="none"/>
                <w:lang w:val="en-US" w:eastAsia="zh-CN"/>
              </w:rPr>
              <w:t>6</w:t>
            </w:r>
            <w:r>
              <w:rPr>
                <w:rFonts w:hint="eastAsia" w:ascii="新宋体" w:hAnsi="新宋体" w:eastAsia="新宋体" w:cs="新宋体"/>
                <w:color w:val="auto"/>
                <w:szCs w:val="21"/>
                <w:highlight w:val="none"/>
                <w:lang w:val="zh-CN"/>
              </w:rPr>
              <w:t>分）</w:t>
            </w:r>
          </w:p>
        </w:tc>
        <w:tc>
          <w:tcPr>
            <w:tcW w:w="6951" w:type="dxa"/>
            <w:gridSpan w:val="2"/>
            <w:noWrap w:val="0"/>
            <w:vAlign w:val="center"/>
          </w:tcPr>
          <w:p>
            <w:pPr>
              <w:ind w:firstLine="44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自</w:t>
            </w:r>
            <w:r>
              <w:rPr>
                <w:rFonts w:hint="eastAsia" w:ascii="宋体" w:hAnsi="宋体" w:eastAsia="宋体" w:cs="宋体"/>
                <w:color w:val="auto"/>
                <w:kern w:val="0"/>
                <w:szCs w:val="21"/>
                <w:highlight w:val="none"/>
                <w:lang w:val="en-US" w:eastAsia="zh-CN"/>
              </w:rPr>
              <w:t>2020</w:t>
            </w:r>
            <w:r>
              <w:rPr>
                <w:rFonts w:hint="eastAsia" w:ascii="宋体" w:hAnsi="宋体" w:eastAsia="宋体" w:cs="宋体"/>
                <w:color w:val="auto"/>
                <w:kern w:val="0"/>
                <w:szCs w:val="21"/>
                <w:highlight w:val="none"/>
              </w:rPr>
              <w:t>年01月01日以来，供应商每提供一份</w:t>
            </w:r>
            <w:r>
              <w:rPr>
                <w:rFonts w:hint="eastAsia" w:ascii="宋体" w:hAnsi="宋体" w:cs="宋体"/>
                <w:color w:val="auto"/>
                <w:kern w:val="0"/>
                <w:szCs w:val="21"/>
                <w:highlight w:val="none"/>
                <w:lang w:eastAsia="zh-CN"/>
              </w:rPr>
              <w:t>类似项目</w:t>
            </w:r>
            <w:r>
              <w:rPr>
                <w:rFonts w:hint="eastAsia" w:ascii="宋体" w:hAnsi="宋体" w:eastAsia="宋体" w:cs="宋体"/>
                <w:color w:val="auto"/>
                <w:kern w:val="0"/>
                <w:szCs w:val="21"/>
                <w:highlight w:val="none"/>
              </w:rPr>
              <w:t>经验得</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分，最多得</w:t>
            </w: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分(须同时提供合同及中标通知书，日期以合同签订时间为准)。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trPr>
        <w:tc>
          <w:tcPr>
            <w:tcW w:w="1958" w:type="dxa"/>
            <w:vMerge w:val="continue"/>
            <w:noWrap w:val="0"/>
            <w:vAlign w:val="center"/>
          </w:tcPr>
          <w:p>
            <w:pPr>
              <w:jc w:val="center"/>
              <w:rPr>
                <w:rFonts w:hint="eastAsia" w:ascii="宋体" w:hAnsi="宋体"/>
                <w:b/>
                <w:color w:val="auto"/>
                <w:szCs w:val="21"/>
                <w:highlight w:val="none"/>
              </w:rPr>
            </w:pPr>
          </w:p>
        </w:tc>
        <w:tc>
          <w:tcPr>
            <w:tcW w:w="1061" w:type="dxa"/>
            <w:noWrap w:val="0"/>
            <w:vAlign w:val="center"/>
          </w:tcPr>
          <w:p>
            <w:pPr>
              <w:spacing w:line="296" w:lineRule="exact"/>
              <w:jc w:val="center"/>
              <w:rPr>
                <w:rFonts w:hint="eastAsia" w:ascii="新宋体" w:hAnsi="新宋体" w:eastAsia="新宋体" w:cs="新宋体"/>
                <w:color w:val="auto"/>
                <w:szCs w:val="21"/>
                <w:highlight w:val="none"/>
                <w:lang w:val="zh-CN"/>
              </w:rPr>
            </w:pPr>
            <w:r>
              <w:rPr>
                <w:rFonts w:hint="eastAsia" w:ascii="新宋体" w:hAnsi="新宋体" w:eastAsia="新宋体" w:cs="新宋体"/>
                <w:color w:val="auto"/>
                <w:szCs w:val="21"/>
                <w:highlight w:val="none"/>
              </w:rPr>
              <w:t>项目负责人</w:t>
            </w:r>
            <w:r>
              <w:rPr>
                <w:rFonts w:hint="eastAsia" w:ascii="新宋体" w:hAnsi="新宋体" w:eastAsia="新宋体" w:cs="新宋体"/>
                <w:color w:val="auto"/>
                <w:szCs w:val="21"/>
                <w:highlight w:val="none"/>
                <w:lang w:val="zh-CN"/>
              </w:rPr>
              <w:t>（0-</w:t>
            </w:r>
            <w:r>
              <w:rPr>
                <w:rFonts w:hint="eastAsia" w:ascii="新宋体" w:hAnsi="新宋体" w:eastAsia="新宋体" w:cs="新宋体"/>
                <w:color w:val="auto"/>
                <w:szCs w:val="21"/>
                <w:highlight w:val="none"/>
                <w:lang w:val="en-US" w:eastAsia="zh-CN"/>
              </w:rPr>
              <w:t>7</w:t>
            </w:r>
            <w:r>
              <w:rPr>
                <w:rFonts w:hint="eastAsia" w:ascii="新宋体" w:hAnsi="新宋体" w:eastAsia="新宋体" w:cs="新宋体"/>
                <w:color w:val="auto"/>
                <w:szCs w:val="21"/>
                <w:highlight w:val="none"/>
                <w:lang w:val="zh-CN"/>
              </w:rPr>
              <w:t>分）</w:t>
            </w:r>
          </w:p>
        </w:tc>
        <w:tc>
          <w:tcPr>
            <w:tcW w:w="6951" w:type="dxa"/>
            <w:gridSpan w:val="2"/>
            <w:noWrap w:val="0"/>
            <w:vAlign w:val="center"/>
          </w:tcPr>
          <w:p>
            <w:pPr>
              <w:ind w:firstLine="420" w:firstLineChars="200"/>
              <w:rPr>
                <w:rFonts w:hint="default" w:ascii="宋体" w:hAnsi="宋体" w:eastAsia="宋体" w:cs="宋体"/>
                <w:color w:val="auto"/>
                <w:kern w:val="0"/>
                <w:szCs w:val="21"/>
                <w:highlight w:val="none"/>
                <w:lang w:val="en-US"/>
              </w:rPr>
            </w:pPr>
            <w:r>
              <w:rPr>
                <w:rFonts w:hint="eastAsia" w:ascii="宋体" w:hAnsi="宋体" w:eastAsia="宋体" w:cs="宋体"/>
                <w:sz w:val="21"/>
                <w:szCs w:val="21"/>
                <w:lang w:eastAsia="zh-CN"/>
              </w:rPr>
              <w:t>项目负责人为土地评估师，并具有从业十年以上从业经验(以取得证书时间为准)，具备者得</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分，从业经验每少一年扣1分，最多扣</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分；项目负责人另外具有房地产估价师、资产评估师、相关专业高级职称的，每增加一项加</w:t>
            </w:r>
            <w:r>
              <w:rPr>
                <w:rFonts w:hint="eastAsia" w:ascii="宋体" w:hAnsi="宋体" w:eastAsia="宋体" w:cs="宋体"/>
                <w:sz w:val="21"/>
                <w:szCs w:val="21"/>
                <w:lang w:val="en-US" w:eastAsia="zh-CN"/>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958" w:type="dxa"/>
            <w:vMerge w:val="continue"/>
            <w:noWrap w:val="0"/>
            <w:vAlign w:val="center"/>
          </w:tcPr>
          <w:p>
            <w:pPr>
              <w:ind w:firstLine="440" w:firstLineChars="200"/>
            </w:pPr>
          </w:p>
        </w:tc>
        <w:tc>
          <w:tcPr>
            <w:tcW w:w="1061" w:type="dxa"/>
            <w:noWrap w:val="0"/>
            <w:vAlign w:val="center"/>
          </w:tcPr>
          <w:p>
            <w:pPr>
              <w:rPr>
                <w:rFonts w:hint="eastAsia" w:eastAsia="新宋体"/>
                <w:color w:val="auto"/>
                <w:highlight w:val="none"/>
                <w:lang w:eastAsia="zh-CN"/>
              </w:rPr>
            </w:pPr>
            <w:r>
              <w:rPr>
                <w:rFonts w:hint="eastAsia" w:eastAsia="新宋体"/>
                <w:color w:val="auto"/>
                <w:highlight w:val="none"/>
                <w:lang w:eastAsia="zh-CN"/>
              </w:rPr>
              <w:t>专业人员构成情况(</w:t>
            </w:r>
            <w:r>
              <w:rPr>
                <w:rFonts w:hint="eastAsia" w:eastAsia="新宋体"/>
                <w:color w:val="auto"/>
                <w:highlight w:val="none"/>
                <w:lang w:val="en-US" w:eastAsia="zh-CN"/>
              </w:rPr>
              <w:t>10</w:t>
            </w:r>
            <w:r>
              <w:rPr>
                <w:rFonts w:hint="eastAsia" w:eastAsia="新宋体"/>
                <w:color w:val="auto"/>
                <w:highlight w:val="none"/>
                <w:lang w:eastAsia="zh-CN"/>
              </w:rPr>
              <w:t>分)</w:t>
            </w:r>
          </w:p>
        </w:tc>
        <w:tc>
          <w:tcPr>
            <w:tcW w:w="6951" w:type="dxa"/>
            <w:gridSpan w:val="2"/>
            <w:noWrap w:val="0"/>
            <w:vAlign w:val="center"/>
          </w:tcPr>
          <w:p>
            <w:pPr>
              <w:pStyle w:val="13"/>
              <w:keepNext w:val="0"/>
              <w:keepLines w:val="0"/>
              <w:pageBreakBefore w:val="0"/>
              <w:widowControl w:val="0"/>
              <w:numPr>
                <w:ilvl w:val="0"/>
                <w:numId w:val="0"/>
              </w:numPr>
              <w:kinsoku/>
              <w:wordWrap/>
              <w:overflowPunct/>
              <w:topLinePunct w:val="0"/>
              <w:autoSpaceDE w:val="0"/>
              <w:autoSpaceDN w:val="0"/>
              <w:bidi w:val="0"/>
              <w:adjustRightInd/>
              <w:snapToGrid/>
              <w:spacing w:line="340" w:lineRule="exact"/>
              <w:textAlignment w:val="auto"/>
              <w:rPr>
                <w:rFonts w:hint="eastAsia" w:eastAsia="新宋体"/>
                <w:color w:val="auto"/>
                <w:highlight w:val="none"/>
                <w:lang w:eastAsia="zh-CN"/>
              </w:rPr>
            </w:pPr>
            <w:r>
              <w:rPr>
                <w:rFonts w:hint="eastAsia" w:ascii="宋体" w:hAnsi="宋体" w:eastAsia="宋体" w:cs="宋体"/>
                <w:sz w:val="21"/>
                <w:szCs w:val="21"/>
                <w:lang w:eastAsia="zh-CN"/>
              </w:rPr>
              <w:t xml:space="preserve"> 拥有注册土地评估师2名的得</w:t>
            </w:r>
            <w:r>
              <w:rPr>
                <w:rFonts w:hint="eastAsia" w:ascii="宋体" w:hAnsi="宋体" w:cs="宋体"/>
                <w:sz w:val="21"/>
                <w:szCs w:val="21"/>
                <w:lang w:val="en-US" w:eastAsia="zh-CN"/>
              </w:rPr>
              <w:t>6</w:t>
            </w:r>
            <w:r>
              <w:rPr>
                <w:rFonts w:hint="eastAsia" w:ascii="宋体" w:hAnsi="宋体" w:eastAsia="宋体" w:cs="宋体"/>
                <w:sz w:val="21"/>
                <w:szCs w:val="21"/>
                <w:lang w:eastAsia="zh-CN"/>
              </w:rPr>
              <w:t>分，每增加1个加1分，此项最多得</w:t>
            </w:r>
            <w:r>
              <w:rPr>
                <w:rFonts w:hint="eastAsia" w:ascii="宋体" w:hAnsi="宋体" w:cs="宋体"/>
                <w:sz w:val="21"/>
                <w:szCs w:val="21"/>
                <w:lang w:val="en-US" w:eastAsia="zh-CN"/>
              </w:rPr>
              <w:t>10</w:t>
            </w:r>
            <w:r>
              <w:rPr>
                <w:rFonts w:hint="eastAsia" w:ascii="宋体" w:hAnsi="宋体" w:eastAsia="宋体" w:cs="宋体"/>
                <w:sz w:val="21"/>
                <w:szCs w:val="21"/>
                <w:lang w:eastAsia="zh-CN"/>
              </w:rPr>
              <w:t>分（提供证书证明资料）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958" w:type="dxa"/>
            <w:vMerge w:val="continue"/>
            <w:noWrap w:val="0"/>
            <w:vAlign w:val="center"/>
          </w:tcPr>
          <w:p>
            <w:pPr>
              <w:ind w:firstLine="440" w:firstLineChars="200"/>
              <w:rPr>
                <w:rFonts w:hint="eastAsia" w:eastAsia="新宋体"/>
                <w:color w:val="auto"/>
                <w:highlight w:val="none"/>
                <w:lang w:eastAsia="zh-CN"/>
              </w:rPr>
            </w:pPr>
          </w:p>
        </w:tc>
        <w:tc>
          <w:tcPr>
            <w:tcW w:w="1061" w:type="dxa"/>
            <w:noWrap w:val="0"/>
            <w:vAlign w:val="center"/>
          </w:tcPr>
          <w:p>
            <w:pPr>
              <w:spacing w:line="296"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sz w:val="21"/>
                <w:szCs w:val="21"/>
                <w:lang w:eastAsia="zh-CN"/>
              </w:rPr>
              <w:t>其他人员构成(</w:t>
            </w:r>
            <w:r>
              <w:rPr>
                <w:rFonts w:hint="eastAsia" w:ascii="宋体" w:hAnsi="宋体" w:cs="宋体"/>
                <w:sz w:val="21"/>
                <w:szCs w:val="21"/>
                <w:lang w:val="en-US" w:eastAsia="zh-CN"/>
              </w:rPr>
              <w:t>2</w:t>
            </w:r>
            <w:r>
              <w:rPr>
                <w:rFonts w:hint="eastAsia" w:ascii="宋体" w:hAnsi="宋体" w:eastAsia="宋体" w:cs="宋体"/>
                <w:sz w:val="21"/>
                <w:szCs w:val="21"/>
                <w:lang w:eastAsia="zh-CN"/>
              </w:rPr>
              <w:t>分)</w:t>
            </w:r>
          </w:p>
        </w:tc>
        <w:tc>
          <w:tcPr>
            <w:tcW w:w="6951" w:type="dxa"/>
            <w:gridSpan w:val="2"/>
            <w:noWrap w:val="0"/>
            <w:vAlign w:val="center"/>
          </w:tcPr>
          <w:p>
            <w:pPr>
              <w:pStyle w:val="13"/>
              <w:keepNext w:val="0"/>
              <w:keepLines w:val="0"/>
              <w:pageBreakBefore w:val="0"/>
              <w:widowControl w:val="0"/>
              <w:numPr>
                <w:ilvl w:val="0"/>
                <w:numId w:val="0"/>
              </w:numPr>
              <w:kinsoku/>
              <w:wordWrap/>
              <w:overflowPunct/>
              <w:topLinePunct w:val="0"/>
              <w:autoSpaceDE w:val="0"/>
              <w:autoSpaceDN w:val="0"/>
              <w:bidi w:val="0"/>
              <w:adjustRightInd/>
              <w:snapToGrid/>
              <w:spacing w:line="34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w:t>
            </w:r>
          </w:p>
          <w:p>
            <w:pPr>
              <w:pStyle w:val="13"/>
              <w:keepNext w:val="0"/>
              <w:keepLines w:val="0"/>
              <w:pageBreakBefore w:val="0"/>
              <w:widowControl w:val="0"/>
              <w:numPr>
                <w:ilvl w:val="0"/>
                <w:numId w:val="0"/>
              </w:numPr>
              <w:kinsoku/>
              <w:wordWrap/>
              <w:overflowPunct/>
              <w:topLinePunct w:val="0"/>
              <w:autoSpaceDE w:val="0"/>
              <w:autoSpaceDN w:val="0"/>
              <w:bidi w:val="0"/>
              <w:adjustRightInd/>
              <w:snapToGrid/>
              <w:spacing w:line="34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具备房地产估价师、资产评估师每人加1分，满分为止。</w:t>
            </w:r>
          </w:p>
          <w:p>
            <w:pPr>
              <w:ind w:firstLine="420" w:firstLineChars="200"/>
              <w:rPr>
                <w:rFonts w:hint="eastAsia" w:ascii="宋体" w:hAnsi="宋体" w:eastAsia="宋体" w:cs="宋体"/>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1958" w:type="dxa"/>
            <w:vMerge w:val="restart"/>
            <w:noWrap w:val="0"/>
            <w:vAlign w:val="center"/>
          </w:tcPr>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p>
          <w:p>
            <w:pPr>
              <w:jc w:val="center"/>
              <w:rPr>
                <w:rFonts w:hint="eastAsia" w:ascii="宋体" w:hAnsi="宋体"/>
                <w:b/>
                <w:color w:val="auto"/>
                <w:szCs w:val="21"/>
                <w:highlight w:val="none"/>
              </w:rPr>
            </w:pPr>
            <w:r>
              <w:rPr>
                <w:rFonts w:hint="eastAsia" w:ascii="宋体" w:hAnsi="宋体"/>
                <w:b/>
                <w:color w:val="auto"/>
                <w:szCs w:val="21"/>
                <w:highlight w:val="none"/>
              </w:rPr>
              <w:t>技术标</w:t>
            </w:r>
          </w:p>
          <w:p>
            <w:pPr>
              <w:jc w:val="center"/>
              <w:rPr>
                <w:rFonts w:hint="eastAsia" w:ascii="宋体" w:hAnsi="宋体"/>
                <w:b/>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val="en-US" w:eastAsia="zh-CN"/>
              </w:rPr>
              <w:t>50</w:t>
            </w:r>
            <w:r>
              <w:rPr>
                <w:rFonts w:hint="eastAsia" w:ascii="宋体" w:hAnsi="宋体"/>
                <w:b/>
                <w:color w:val="auto"/>
                <w:szCs w:val="21"/>
                <w:highlight w:val="none"/>
              </w:rPr>
              <w:t>分）</w:t>
            </w:r>
          </w:p>
        </w:tc>
        <w:tc>
          <w:tcPr>
            <w:tcW w:w="1061" w:type="dxa"/>
            <w:noWrap w:val="0"/>
            <w:vAlign w:val="center"/>
          </w:tcPr>
          <w:p>
            <w:pPr>
              <w:spacing w:line="296" w:lineRule="exact"/>
              <w:jc w:val="center"/>
              <w:rPr>
                <w:rFonts w:hint="eastAsia"/>
                <w:color w:val="auto"/>
                <w:highlight w:val="none"/>
                <w:lang w:val="zh-CN"/>
              </w:rPr>
            </w:pPr>
            <w:r>
              <w:rPr>
                <w:rFonts w:hint="eastAsia"/>
                <w:color w:val="auto"/>
                <w:highlight w:val="none"/>
              </w:rPr>
              <w:t>1、对项目的理解及认识</w:t>
            </w:r>
          </w:p>
          <w:p>
            <w:pPr>
              <w:spacing w:line="296" w:lineRule="exact"/>
              <w:jc w:val="center"/>
              <w:rPr>
                <w:rFonts w:hint="eastAsia"/>
                <w:color w:val="auto"/>
                <w:highlight w:val="none"/>
                <w:lang w:val="zh-CN"/>
              </w:rPr>
            </w:pPr>
            <w:r>
              <w:rPr>
                <w:rFonts w:hint="eastAsia" w:ascii="新宋体" w:hAnsi="新宋体" w:eastAsia="新宋体" w:cs="新宋体"/>
                <w:color w:val="auto"/>
                <w:szCs w:val="21"/>
                <w:highlight w:val="none"/>
                <w:lang w:val="zh-CN"/>
              </w:rPr>
              <w:t>（</w:t>
            </w:r>
            <w:r>
              <w:rPr>
                <w:rFonts w:hint="eastAsia" w:ascii="新宋体" w:hAnsi="新宋体" w:eastAsia="新宋体" w:cs="新宋体"/>
                <w:color w:val="auto"/>
                <w:szCs w:val="21"/>
                <w:highlight w:val="none"/>
              </w:rPr>
              <w:t>0-</w:t>
            </w:r>
            <w:r>
              <w:rPr>
                <w:rFonts w:hint="eastAsia" w:ascii="新宋体" w:hAnsi="新宋体" w:eastAsia="新宋体" w:cs="新宋体"/>
                <w:color w:val="auto"/>
                <w:szCs w:val="21"/>
                <w:highlight w:val="none"/>
                <w:lang w:val="en-US" w:eastAsia="zh-CN"/>
              </w:rPr>
              <w:t>4</w:t>
            </w:r>
            <w:r>
              <w:rPr>
                <w:rFonts w:hint="eastAsia" w:ascii="新宋体" w:hAnsi="新宋体" w:eastAsia="新宋体" w:cs="新宋体"/>
                <w:color w:val="auto"/>
                <w:szCs w:val="21"/>
                <w:highlight w:val="none"/>
                <w:lang w:val="zh-CN"/>
              </w:rPr>
              <w:t>分）</w:t>
            </w:r>
          </w:p>
        </w:tc>
        <w:tc>
          <w:tcPr>
            <w:tcW w:w="6951" w:type="dxa"/>
            <w:gridSpan w:val="2"/>
            <w:noWrap w:val="0"/>
            <w:vAlign w:val="center"/>
          </w:tcPr>
          <w:p>
            <w:pPr>
              <w:ind w:firstLine="44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从服务好业主角度出发对项目的整体统筹规划认识深刻、定位合理的得</w:t>
            </w:r>
            <w:r>
              <w:rPr>
                <w:rFonts w:hint="eastAsia" w:ascii="宋体" w:hAnsi="宋体" w:cs="宋体"/>
                <w:color w:val="auto"/>
                <w:kern w:val="0"/>
                <w:szCs w:val="21"/>
                <w:highlight w:val="none"/>
                <w:lang w:val="en-US" w:eastAsia="zh-CN"/>
              </w:rPr>
              <w:t>2-4</w:t>
            </w:r>
            <w:r>
              <w:rPr>
                <w:rFonts w:hint="eastAsia" w:ascii="宋体" w:hAnsi="宋体" w:cs="宋体"/>
                <w:color w:val="auto"/>
                <w:kern w:val="0"/>
                <w:szCs w:val="21"/>
                <w:highlight w:val="none"/>
              </w:rPr>
              <w:t>分，较为符合的得</w:t>
            </w:r>
            <w:r>
              <w:rPr>
                <w:rFonts w:hint="eastAsia" w:ascii="宋体" w:hAnsi="宋体" w:cs="宋体"/>
                <w:color w:val="auto"/>
                <w:kern w:val="0"/>
                <w:szCs w:val="21"/>
                <w:highlight w:val="none"/>
                <w:lang w:val="en-US" w:eastAsia="zh-CN"/>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分，不符合或缺项的不得分。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1958" w:type="dxa"/>
            <w:vMerge w:val="continue"/>
            <w:noWrap w:val="0"/>
            <w:vAlign w:val="center"/>
          </w:tcPr>
          <w:p>
            <w:pPr>
              <w:jc w:val="center"/>
              <w:rPr>
                <w:rFonts w:hint="eastAsia" w:ascii="宋体" w:hAnsi="宋体"/>
                <w:b/>
                <w:color w:val="auto"/>
                <w:szCs w:val="21"/>
                <w:highlight w:val="none"/>
              </w:rPr>
            </w:pPr>
          </w:p>
        </w:tc>
        <w:tc>
          <w:tcPr>
            <w:tcW w:w="1061" w:type="dxa"/>
            <w:noWrap w:val="0"/>
            <w:vAlign w:val="center"/>
          </w:tcPr>
          <w:p>
            <w:pPr>
              <w:spacing w:line="296" w:lineRule="exact"/>
              <w:jc w:val="center"/>
              <w:rPr>
                <w:rFonts w:hint="eastAsia"/>
                <w:color w:val="auto"/>
                <w:highlight w:val="none"/>
              </w:rPr>
            </w:pPr>
            <w:r>
              <w:rPr>
                <w:rFonts w:hint="eastAsia"/>
                <w:color w:val="auto"/>
                <w:highlight w:val="none"/>
              </w:rPr>
              <w:t>2、工作方案的编制</w:t>
            </w:r>
          </w:p>
          <w:p>
            <w:pPr>
              <w:spacing w:line="296" w:lineRule="exact"/>
              <w:jc w:val="center"/>
              <w:rPr>
                <w:rFonts w:hint="eastAsia"/>
                <w:color w:val="auto"/>
                <w:highlight w:val="none"/>
                <w:lang w:val="zh-CN"/>
              </w:rPr>
            </w:pPr>
            <w:r>
              <w:rPr>
                <w:rFonts w:hint="eastAsia" w:ascii="新宋体" w:hAnsi="新宋体" w:eastAsia="新宋体" w:cs="新宋体"/>
                <w:color w:val="auto"/>
                <w:szCs w:val="21"/>
                <w:highlight w:val="none"/>
                <w:lang w:val="zh-CN"/>
              </w:rPr>
              <w:t>（</w:t>
            </w:r>
            <w:r>
              <w:rPr>
                <w:rFonts w:hint="eastAsia" w:ascii="新宋体" w:hAnsi="新宋体" w:eastAsia="新宋体" w:cs="新宋体"/>
                <w:color w:val="auto"/>
                <w:szCs w:val="21"/>
                <w:highlight w:val="none"/>
              </w:rPr>
              <w:t>0-</w:t>
            </w:r>
            <w:r>
              <w:rPr>
                <w:rFonts w:hint="eastAsia" w:ascii="新宋体" w:hAnsi="新宋体" w:eastAsia="新宋体" w:cs="新宋体"/>
                <w:color w:val="auto"/>
                <w:szCs w:val="21"/>
                <w:highlight w:val="none"/>
                <w:lang w:val="en-US" w:eastAsia="zh-CN"/>
              </w:rPr>
              <w:t>10</w:t>
            </w:r>
            <w:r>
              <w:rPr>
                <w:rFonts w:hint="eastAsia" w:ascii="新宋体" w:hAnsi="新宋体" w:eastAsia="新宋体" w:cs="新宋体"/>
                <w:color w:val="auto"/>
                <w:szCs w:val="21"/>
                <w:highlight w:val="none"/>
                <w:lang w:val="zh-CN"/>
              </w:rPr>
              <w:t>分）</w:t>
            </w:r>
          </w:p>
        </w:tc>
        <w:tc>
          <w:tcPr>
            <w:tcW w:w="6951" w:type="dxa"/>
            <w:gridSpan w:val="2"/>
            <w:noWrap w:val="0"/>
            <w:vAlign w:val="center"/>
          </w:tcPr>
          <w:p>
            <w:pPr>
              <w:ind w:firstLine="44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（1）工作方案编制科学合理，服务体系完备，方案优越性和可行性高的得</w:t>
            </w:r>
            <w:r>
              <w:rPr>
                <w:rFonts w:hint="eastAsia" w:ascii="宋体" w:hAnsi="宋体" w:cs="宋体"/>
                <w:color w:val="auto"/>
                <w:kern w:val="0"/>
                <w:szCs w:val="21"/>
                <w:highlight w:val="none"/>
                <w:lang w:val="en-US" w:eastAsia="zh-CN"/>
              </w:rPr>
              <w:t>3-6</w:t>
            </w:r>
            <w:r>
              <w:rPr>
                <w:rFonts w:hint="eastAsia" w:ascii="宋体" w:hAnsi="宋体" w:cs="宋体"/>
                <w:color w:val="auto"/>
                <w:kern w:val="0"/>
                <w:szCs w:val="21"/>
                <w:highlight w:val="none"/>
              </w:rPr>
              <w:t>分，较高的得</w:t>
            </w:r>
            <w:r>
              <w:rPr>
                <w:rFonts w:hint="eastAsia" w:ascii="宋体" w:hAnsi="宋体" w:cs="宋体"/>
                <w:color w:val="auto"/>
                <w:kern w:val="0"/>
                <w:szCs w:val="21"/>
                <w:highlight w:val="none"/>
                <w:lang w:eastAsia="zh-CN"/>
              </w:rPr>
              <w:t>0-</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分，不符合或缺项的不得分；</w:t>
            </w:r>
          </w:p>
          <w:p>
            <w:pPr>
              <w:ind w:firstLine="44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（2）工作方案满足</w:t>
            </w:r>
            <w:r>
              <w:rPr>
                <w:rFonts w:hint="eastAsia" w:cs="宋体"/>
                <w:color w:val="auto"/>
                <w:kern w:val="0"/>
                <w:szCs w:val="21"/>
                <w:highlight w:val="none"/>
                <w:lang w:val="en-US" w:eastAsia="zh-CN"/>
              </w:rPr>
              <w:t>投标</w:t>
            </w:r>
            <w:r>
              <w:rPr>
                <w:rFonts w:hint="eastAsia" w:ascii="宋体" w:hAnsi="宋体" w:cs="宋体"/>
                <w:color w:val="auto"/>
                <w:kern w:val="0"/>
                <w:szCs w:val="21"/>
                <w:highlight w:val="none"/>
              </w:rPr>
              <w:t>文件要求的得</w:t>
            </w:r>
            <w:r>
              <w:rPr>
                <w:rFonts w:hint="eastAsia" w:ascii="宋体" w:hAnsi="宋体" w:cs="宋体"/>
                <w:color w:val="auto"/>
                <w:kern w:val="0"/>
                <w:szCs w:val="21"/>
                <w:highlight w:val="none"/>
                <w:lang w:val="en-US" w:eastAsia="zh-CN"/>
              </w:rPr>
              <w:t>2-4</w:t>
            </w:r>
            <w:r>
              <w:rPr>
                <w:rFonts w:hint="eastAsia" w:ascii="宋体" w:hAnsi="宋体" w:cs="宋体"/>
                <w:color w:val="auto"/>
                <w:kern w:val="0"/>
                <w:szCs w:val="21"/>
                <w:highlight w:val="none"/>
              </w:rPr>
              <w:t>分，较为符合的得</w:t>
            </w:r>
            <w:r>
              <w:rPr>
                <w:rFonts w:hint="eastAsia" w:ascii="宋体" w:hAnsi="宋体" w:cs="宋体"/>
                <w:color w:val="auto"/>
                <w:kern w:val="0"/>
                <w:szCs w:val="21"/>
                <w:highlight w:val="none"/>
                <w:lang w:eastAsia="zh-CN"/>
              </w:rPr>
              <w:t>0-</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分，不符合或缺项的不得分。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958" w:type="dxa"/>
            <w:vMerge w:val="continue"/>
            <w:noWrap w:val="0"/>
            <w:vAlign w:val="center"/>
          </w:tcPr>
          <w:p>
            <w:pPr>
              <w:jc w:val="center"/>
              <w:rPr>
                <w:rFonts w:hint="eastAsia" w:ascii="宋体" w:hAnsi="宋体"/>
                <w:b/>
                <w:color w:val="auto"/>
                <w:szCs w:val="21"/>
                <w:highlight w:val="none"/>
              </w:rPr>
            </w:pPr>
          </w:p>
        </w:tc>
        <w:tc>
          <w:tcPr>
            <w:tcW w:w="1061" w:type="dxa"/>
            <w:noWrap w:val="0"/>
            <w:vAlign w:val="center"/>
          </w:tcPr>
          <w:p>
            <w:pPr>
              <w:spacing w:line="296" w:lineRule="exact"/>
              <w:jc w:val="center"/>
              <w:rPr>
                <w:rFonts w:hint="eastAsia"/>
                <w:color w:val="auto"/>
                <w:highlight w:val="none"/>
              </w:rPr>
            </w:pPr>
            <w:r>
              <w:rPr>
                <w:rFonts w:hint="eastAsia"/>
                <w:color w:val="auto"/>
                <w:highlight w:val="none"/>
              </w:rPr>
              <w:t>3、对项目重点、难点的分析认识</w:t>
            </w:r>
          </w:p>
          <w:p>
            <w:pPr>
              <w:spacing w:line="296" w:lineRule="exact"/>
              <w:jc w:val="center"/>
              <w:rPr>
                <w:rFonts w:hint="eastAsia"/>
                <w:color w:val="auto"/>
                <w:highlight w:val="none"/>
              </w:rPr>
            </w:pPr>
            <w:r>
              <w:rPr>
                <w:rFonts w:hint="eastAsia" w:ascii="新宋体" w:hAnsi="新宋体" w:eastAsia="新宋体" w:cs="新宋体"/>
                <w:color w:val="auto"/>
                <w:szCs w:val="21"/>
                <w:highlight w:val="none"/>
                <w:lang w:val="zh-CN"/>
              </w:rPr>
              <w:t>（0-</w:t>
            </w:r>
            <w:r>
              <w:rPr>
                <w:rFonts w:hint="eastAsia" w:ascii="新宋体" w:hAnsi="新宋体" w:eastAsia="新宋体" w:cs="新宋体"/>
                <w:color w:val="auto"/>
                <w:szCs w:val="21"/>
                <w:highlight w:val="none"/>
                <w:lang w:val="en-US" w:eastAsia="zh-CN"/>
              </w:rPr>
              <w:t>8</w:t>
            </w:r>
            <w:r>
              <w:rPr>
                <w:rFonts w:hint="eastAsia" w:ascii="新宋体" w:hAnsi="新宋体" w:eastAsia="新宋体" w:cs="新宋体"/>
                <w:color w:val="auto"/>
                <w:szCs w:val="21"/>
                <w:highlight w:val="none"/>
                <w:lang w:val="zh-CN"/>
              </w:rPr>
              <w:t>分）</w:t>
            </w:r>
          </w:p>
        </w:tc>
        <w:tc>
          <w:tcPr>
            <w:tcW w:w="6951" w:type="dxa"/>
            <w:gridSpan w:val="2"/>
            <w:noWrap w:val="0"/>
            <w:vAlign w:val="center"/>
          </w:tcPr>
          <w:p>
            <w:pPr>
              <w:ind w:firstLine="44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（1）项目重点、难点分析：对项目的重点和难点分别进行分析，分析内容和结果科学合理，符合本项目特点和服务要求的得</w:t>
            </w:r>
            <w:r>
              <w:rPr>
                <w:rFonts w:hint="eastAsia" w:ascii="宋体" w:hAnsi="宋体" w:cs="宋体"/>
                <w:color w:val="auto"/>
                <w:kern w:val="0"/>
                <w:szCs w:val="21"/>
                <w:highlight w:val="none"/>
                <w:lang w:val="en-US" w:eastAsia="zh-CN"/>
              </w:rPr>
              <w:t>2-4</w:t>
            </w:r>
            <w:r>
              <w:rPr>
                <w:rFonts w:hint="eastAsia" w:ascii="宋体" w:hAnsi="宋体" w:cs="宋体"/>
                <w:color w:val="auto"/>
                <w:kern w:val="0"/>
                <w:szCs w:val="21"/>
                <w:highlight w:val="none"/>
              </w:rPr>
              <w:t>分，较为符合的得</w:t>
            </w:r>
            <w:r>
              <w:rPr>
                <w:rFonts w:hint="eastAsia" w:ascii="宋体" w:hAnsi="宋体" w:cs="宋体"/>
                <w:color w:val="auto"/>
                <w:kern w:val="0"/>
                <w:szCs w:val="21"/>
                <w:highlight w:val="none"/>
                <w:lang w:eastAsia="zh-CN"/>
              </w:rPr>
              <w:t>0-</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分，不符合或缺项的不得分；</w:t>
            </w:r>
          </w:p>
          <w:p>
            <w:pPr>
              <w:ind w:firstLine="44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（2）针对项目重点和难点内容的对策和措施：阐述的对策和措施具体、明确且具备可实施性的得</w:t>
            </w:r>
            <w:r>
              <w:rPr>
                <w:rFonts w:hint="eastAsia" w:ascii="宋体" w:hAnsi="宋体" w:cs="宋体"/>
                <w:color w:val="auto"/>
                <w:kern w:val="0"/>
                <w:szCs w:val="21"/>
                <w:highlight w:val="none"/>
                <w:lang w:val="en-US" w:eastAsia="zh-CN"/>
              </w:rPr>
              <w:t>2-4</w:t>
            </w:r>
            <w:r>
              <w:rPr>
                <w:rFonts w:hint="eastAsia" w:ascii="宋体" w:hAnsi="宋体" w:cs="宋体"/>
                <w:color w:val="auto"/>
                <w:kern w:val="0"/>
                <w:szCs w:val="21"/>
                <w:highlight w:val="none"/>
              </w:rPr>
              <w:t>分，较为符合的得</w:t>
            </w:r>
            <w:r>
              <w:rPr>
                <w:rFonts w:hint="eastAsia" w:ascii="宋体" w:hAnsi="宋体" w:cs="宋体"/>
                <w:color w:val="auto"/>
                <w:kern w:val="0"/>
                <w:szCs w:val="21"/>
                <w:highlight w:val="none"/>
                <w:lang w:eastAsia="zh-CN"/>
              </w:rPr>
              <w:t>0-</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分，不符合或缺项的不得分。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8" w:type="dxa"/>
            <w:vMerge w:val="continue"/>
            <w:noWrap w:val="0"/>
            <w:vAlign w:val="center"/>
          </w:tcPr>
          <w:p>
            <w:pPr>
              <w:ind w:firstLine="440" w:firstLineChars="200"/>
              <w:rPr>
                <w:color w:val="auto"/>
                <w:highlight w:val="none"/>
              </w:rPr>
            </w:pPr>
          </w:p>
        </w:tc>
        <w:tc>
          <w:tcPr>
            <w:tcW w:w="1061" w:type="dxa"/>
            <w:noWrap w:val="0"/>
            <w:vAlign w:val="center"/>
          </w:tcPr>
          <w:p>
            <w:pPr>
              <w:spacing w:line="296" w:lineRule="exact"/>
              <w:jc w:val="center"/>
              <w:rPr>
                <w:rFonts w:hint="eastAsia"/>
                <w:color w:val="auto"/>
                <w:highlight w:val="none"/>
              </w:rPr>
            </w:pPr>
            <w:r>
              <w:rPr>
                <w:rFonts w:hint="eastAsia"/>
                <w:color w:val="auto"/>
                <w:highlight w:val="none"/>
              </w:rPr>
              <w:t>4、后续服务与承诺</w:t>
            </w:r>
          </w:p>
          <w:p>
            <w:pPr>
              <w:spacing w:line="296" w:lineRule="exact"/>
              <w:jc w:val="center"/>
              <w:rPr>
                <w:rFonts w:hint="eastAsia"/>
                <w:color w:val="auto"/>
                <w:highlight w:val="none"/>
              </w:rPr>
            </w:pPr>
            <w:r>
              <w:rPr>
                <w:rFonts w:hint="eastAsia" w:ascii="新宋体" w:hAnsi="新宋体" w:eastAsia="新宋体" w:cs="新宋体"/>
                <w:color w:val="auto"/>
                <w:szCs w:val="21"/>
                <w:highlight w:val="none"/>
                <w:lang w:val="zh-CN"/>
              </w:rPr>
              <w:t>（0-</w:t>
            </w:r>
            <w:r>
              <w:rPr>
                <w:rFonts w:hint="eastAsia" w:ascii="新宋体" w:hAnsi="新宋体" w:eastAsia="新宋体" w:cs="新宋体"/>
                <w:color w:val="auto"/>
                <w:szCs w:val="21"/>
                <w:highlight w:val="none"/>
                <w:lang w:val="en-US" w:eastAsia="zh-CN"/>
              </w:rPr>
              <w:t>8</w:t>
            </w:r>
            <w:r>
              <w:rPr>
                <w:rFonts w:hint="eastAsia" w:ascii="新宋体" w:hAnsi="新宋体" w:eastAsia="新宋体" w:cs="新宋体"/>
                <w:color w:val="auto"/>
                <w:szCs w:val="21"/>
                <w:highlight w:val="none"/>
                <w:lang w:val="zh-CN"/>
              </w:rPr>
              <w:t>分）</w:t>
            </w:r>
          </w:p>
        </w:tc>
        <w:tc>
          <w:tcPr>
            <w:tcW w:w="6951" w:type="dxa"/>
            <w:gridSpan w:val="2"/>
            <w:noWrap w:val="0"/>
            <w:vAlign w:val="center"/>
          </w:tcPr>
          <w:p>
            <w:pPr>
              <w:ind w:firstLine="44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）后续服务与承诺：后续服务响应时间明确，响应程度和解决问题的措施明确，服务承诺明确符合的得</w:t>
            </w:r>
            <w:r>
              <w:rPr>
                <w:rFonts w:hint="eastAsia" w:ascii="宋体" w:hAnsi="宋体" w:cs="宋体"/>
                <w:color w:val="auto"/>
                <w:kern w:val="0"/>
                <w:szCs w:val="21"/>
                <w:highlight w:val="none"/>
                <w:lang w:val="en-US" w:eastAsia="zh-CN"/>
              </w:rPr>
              <w:t>4-8</w:t>
            </w:r>
            <w:r>
              <w:rPr>
                <w:rFonts w:hint="eastAsia" w:ascii="宋体" w:hAnsi="宋体" w:cs="宋体"/>
                <w:color w:val="auto"/>
                <w:kern w:val="0"/>
                <w:szCs w:val="21"/>
                <w:highlight w:val="none"/>
              </w:rPr>
              <w:t>分，较为符合的得</w:t>
            </w:r>
            <w:r>
              <w:rPr>
                <w:rFonts w:hint="eastAsia" w:ascii="宋体" w:hAnsi="宋体" w:cs="宋体"/>
                <w:color w:val="auto"/>
                <w:kern w:val="0"/>
                <w:szCs w:val="21"/>
                <w:highlight w:val="none"/>
                <w:lang w:eastAsia="zh-CN"/>
              </w:rPr>
              <w:t>0-</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分，不符合或缺项的不得分。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8" w:type="dxa"/>
            <w:vMerge w:val="continue"/>
            <w:noWrap w:val="0"/>
            <w:vAlign w:val="center"/>
          </w:tcPr>
          <w:p>
            <w:pPr>
              <w:ind w:firstLine="440" w:firstLineChars="200"/>
              <w:rPr>
                <w:rFonts w:hint="eastAsia"/>
                <w:color w:val="auto"/>
                <w:szCs w:val="22"/>
                <w:highlight w:val="none"/>
              </w:rPr>
            </w:pPr>
          </w:p>
        </w:tc>
        <w:tc>
          <w:tcPr>
            <w:tcW w:w="1061" w:type="dxa"/>
            <w:noWrap w:val="0"/>
            <w:vAlign w:val="center"/>
          </w:tcPr>
          <w:p>
            <w:pPr>
              <w:spacing w:line="296" w:lineRule="exact"/>
              <w:jc w:val="center"/>
              <w:rPr>
                <w:rFonts w:hint="eastAsia"/>
                <w:color w:val="auto"/>
                <w:highlight w:val="none"/>
              </w:rPr>
            </w:pPr>
            <w:r>
              <w:rPr>
                <w:rFonts w:hint="eastAsia"/>
                <w:color w:val="auto"/>
                <w:highlight w:val="none"/>
              </w:rPr>
              <w:t>5、质量保证</w:t>
            </w:r>
            <w:r>
              <w:rPr>
                <w:rFonts w:hint="eastAsia" w:ascii="新宋体" w:hAnsi="新宋体" w:eastAsia="新宋体" w:cs="新宋体"/>
                <w:color w:val="auto"/>
                <w:szCs w:val="21"/>
                <w:highlight w:val="none"/>
                <w:lang w:val="zh-CN"/>
              </w:rPr>
              <w:t>（0-</w:t>
            </w:r>
            <w:r>
              <w:rPr>
                <w:rFonts w:hint="eastAsia" w:ascii="新宋体" w:hAnsi="新宋体" w:eastAsia="新宋体" w:cs="新宋体"/>
                <w:color w:val="auto"/>
                <w:szCs w:val="21"/>
                <w:highlight w:val="none"/>
                <w:lang w:val="en-US" w:eastAsia="zh-CN"/>
              </w:rPr>
              <w:t>8</w:t>
            </w:r>
            <w:r>
              <w:rPr>
                <w:rFonts w:hint="eastAsia" w:ascii="新宋体" w:hAnsi="新宋体" w:eastAsia="新宋体" w:cs="新宋体"/>
                <w:color w:val="auto"/>
                <w:szCs w:val="21"/>
                <w:highlight w:val="none"/>
                <w:lang w:val="zh-CN"/>
              </w:rPr>
              <w:t>分）</w:t>
            </w:r>
          </w:p>
        </w:tc>
        <w:tc>
          <w:tcPr>
            <w:tcW w:w="6951" w:type="dxa"/>
            <w:gridSpan w:val="2"/>
            <w:noWrap w:val="0"/>
            <w:vAlign w:val="center"/>
          </w:tcPr>
          <w:p>
            <w:pPr>
              <w:ind w:firstLine="44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方案中明确有详细的质量保证措施，措施分析具体可行，且措施满足本项目成果要求的得</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分，较为符合的得</w:t>
            </w:r>
            <w:r>
              <w:rPr>
                <w:rFonts w:hint="eastAsia" w:ascii="宋体" w:hAnsi="宋体" w:cs="宋体"/>
                <w:color w:val="auto"/>
                <w:kern w:val="0"/>
                <w:szCs w:val="21"/>
                <w:highlight w:val="none"/>
                <w:lang w:eastAsia="zh-CN"/>
              </w:rPr>
              <w:t>0-</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分，不符合或缺项的不得分。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8" w:type="dxa"/>
            <w:vMerge w:val="continue"/>
            <w:noWrap w:val="0"/>
            <w:vAlign w:val="center"/>
          </w:tcPr>
          <w:p>
            <w:pPr>
              <w:ind w:firstLine="440" w:firstLineChars="200"/>
              <w:rPr>
                <w:rFonts w:hint="eastAsia"/>
                <w:color w:val="auto"/>
                <w:szCs w:val="22"/>
                <w:highlight w:val="none"/>
              </w:rPr>
            </w:pPr>
          </w:p>
        </w:tc>
        <w:tc>
          <w:tcPr>
            <w:tcW w:w="1061" w:type="dxa"/>
            <w:noWrap w:val="0"/>
            <w:vAlign w:val="center"/>
          </w:tcPr>
          <w:p>
            <w:pPr>
              <w:spacing w:line="296" w:lineRule="exact"/>
              <w:jc w:val="center"/>
              <w:rPr>
                <w:rFonts w:hint="eastAsia"/>
                <w:color w:val="auto"/>
                <w:highlight w:val="none"/>
              </w:rPr>
            </w:pPr>
            <w:r>
              <w:rPr>
                <w:rFonts w:hint="eastAsia"/>
                <w:color w:val="auto"/>
                <w:highlight w:val="none"/>
              </w:rPr>
              <w:t>6、进度保证</w:t>
            </w:r>
            <w:r>
              <w:rPr>
                <w:rFonts w:hint="eastAsia" w:ascii="新宋体" w:hAnsi="新宋体" w:eastAsia="新宋体" w:cs="新宋体"/>
                <w:color w:val="auto"/>
                <w:szCs w:val="21"/>
                <w:highlight w:val="none"/>
                <w:lang w:val="zh-CN"/>
              </w:rPr>
              <w:t>（0-</w:t>
            </w:r>
            <w:r>
              <w:rPr>
                <w:rFonts w:hint="eastAsia" w:ascii="新宋体" w:hAnsi="新宋体" w:eastAsia="新宋体" w:cs="新宋体"/>
                <w:color w:val="auto"/>
                <w:szCs w:val="21"/>
                <w:highlight w:val="none"/>
              </w:rPr>
              <w:t>12</w:t>
            </w:r>
            <w:r>
              <w:rPr>
                <w:rFonts w:hint="eastAsia" w:ascii="新宋体" w:hAnsi="新宋体" w:eastAsia="新宋体" w:cs="新宋体"/>
                <w:color w:val="auto"/>
                <w:szCs w:val="21"/>
                <w:highlight w:val="none"/>
                <w:lang w:val="zh-CN"/>
              </w:rPr>
              <w:t>分）</w:t>
            </w:r>
          </w:p>
        </w:tc>
        <w:tc>
          <w:tcPr>
            <w:tcW w:w="6951" w:type="dxa"/>
            <w:gridSpan w:val="2"/>
            <w:noWrap w:val="0"/>
            <w:vAlign w:val="center"/>
          </w:tcPr>
          <w:p>
            <w:pPr>
              <w:ind w:firstLine="44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（1）进度计划：有明确的计划时间节点，以进度计划图表形式呈现得3-6分，较为符合的得</w:t>
            </w:r>
            <w:r>
              <w:rPr>
                <w:rFonts w:hint="eastAsia" w:ascii="宋体" w:hAnsi="宋体" w:cs="宋体"/>
                <w:color w:val="auto"/>
                <w:kern w:val="0"/>
                <w:szCs w:val="21"/>
                <w:highlight w:val="none"/>
                <w:lang w:eastAsia="zh-CN"/>
              </w:rPr>
              <w:t>0-</w:t>
            </w:r>
            <w:r>
              <w:rPr>
                <w:rFonts w:hint="eastAsia" w:ascii="宋体" w:hAnsi="宋体" w:cs="宋体"/>
                <w:color w:val="auto"/>
                <w:kern w:val="0"/>
                <w:szCs w:val="21"/>
                <w:highlight w:val="none"/>
              </w:rPr>
              <w:t>3分，不符合或缺项的不得分；</w:t>
            </w:r>
          </w:p>
          <w:p>
            <w:pPr>
              <w:ind w:firstLine="44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（2）进度保证措施：从管理、经济、技术等方面保证进度顺利实施的，且措施明确具体的得3-6分，较为符合的</w:t>
            </w:r>
            <w:r>
              <w:rPr>
                <w:rFonts w:hint="eastAsia" w:ascii="宋体" w:hAnsi="宋体" w:cs="宋体"/>
                <w:color w:val="auto"/>
                <w:kern w:val="0"/>
                <w:szCs w:val="21"/>
                <w:highlight w:val="none"/>
                <w:lang w:eastAsia="zh-CN"/>
              </w:rPr>
              <w:t>0-</w:t>
            </w:r>
            <w:r>
              <w:rPr>
                <w:rFonts w:hint="eastAsia" w:ascii="宋体" w:hAnsi="宋体" w:cs="宋体"/>
                <w:color w:val="auto"/>
                <w:kern w:val="0"/>
                <w:szCs w:val="21"/>
                <w:highlight w:val="none"/>
              </w:rPr>
              <w:t>3分，不符合或缺项的不得分。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970" w:type="dxa"/>
            <w:gridSpan w:val="4"/>
            <w:noWrap w:val="0"/>
            <w:vAlign w:val="top"/>
          </w:tcPr>
          <w:p>
            <w:pPr>
              <w:ind w:firstLine="440" w:firstLineChars="200"/>
              <w:rPr>
                <w:rFonts w:hint="eastAsia" w:eastAsia="宋体"/>
                <w:color w:val="auto"/>
                <w:highlight w:val="none"/>
                <w:lang w:val="en-US" w:eastAsia="zh-CN"/>
              </w:rPr>
            </w:pPr>
            <w:r>
              <w:rPr>
                <w:rFonts w:hint="eastAsia"/>
                <w:color w:val="auto"/>
                <w:highlight w:val="none"/>
                <w:lang w:val="en-US" w:eastAsia="zh-CN"/>
              </w:rPr>
              <w:t>备注：</w:t>
            </w:r>
          </w:p>
        </w:tc>
      </w:tr>
    </w:tbl>
    <w:p>
      <w:pPr>
        <w:wordWrap w:val="0"/>
        <w:spacing w:line="360" w:lineRule="auto"/>
        <w:jc w:val="both"/>
        <w:rPr>
          <w:rFonts w:hint="eastAsia" w:asciiTheme="minorEastAsia" w:hAnsiTheme="minorEastAsia" w:eastAsiaTheme="minorEastAsia" w:cstheme="minorEastAsia"/>
          <w:b/>
          <w:bCs/>
          <w:spacing w:val="2"/>
          <w:position w:val="17"/>
          <w:sz w:val="24"/>
          <w:szCs w:val="24"/>
        </w:rPr>
      </w:pPr>
    </w:p>
    <w:p>
      <w:pPr>
        <w:wordWrap w:val="0"/>
        <w:spacing w:line="360" w:lineRule="auto"/>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六.中标通知及签订合同</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1.中标通知</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1.1 中标人被正式确定后，将在《中国招标投标公共服务平台》《河南省电子招标投标公共服务平台》《河南省政府采购网》《淅川县公共资源交易中心》上公告中标结果，同时向中标人</w:t>
      </w:r>
      <w:r>
        <w:rPr>
          <w:rFonts w:hint="eastAsia" w:asciiTheme="minorEastAsia" w:hAnsiTheme="minorEastAsia" w:eastAsiaTheme="minorEastAsia" w:cstheme="minorEastAsia"/>
          <w:spacing w:val="2"/>
          <w:position w:val="17"/>
          <w:sz w:val="24"/>
          <w:szCs w:val="24"/>
          <w:lang w:val="en-US" w:eastAsia="zh-CN"/>
        </w:rPr>
        <w:t>在系统线上</w:t>
      </w:r>
      <w:r>
        <w:rPr>
          <w:rFonts w:hint="eastAsia" w:asciiTheme="minorEastAsia" w:hAnsiTheme="minorEastAsia" w:eastAsiaTheme="minorEastAsia" w:cstheme="minorEastAsia"/>
          <w:spacing w:val="2"/>
          <w:position w:val="17"/>
          <w:sz w:val="24"/>
          <w:szCs w:val="24"/>
        </w:rPr>
        <w:t>发出《中标通知书》。</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1.2 《中标通知书》将作为签订合同的依据之一。</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1.3 《中标通知书》发放办法：政府采购项目通过“</w:t>
      </w:r>
      <w:r>
        <w:rPr>
          <w:rFonts w:hint="eastAsia" w:asciiTheme="minorEastAsia" w:hAnsiTheme="minorEastAsia" w:eastAsiaTheme="minorEastAsia" w:cstheme="minorEastAsia"/>
          <w:spacing w:val="2"/>
          <w:position w:val="17"/>
          <w:sz w:val="24"/>
          <w:szCs w:val="24"/>
          <w:lang w:val="en-US" w:eastAsia="zh-CN"/>
        </w:rPr>
        <w:t>淅川县</w:t>
      </w:r>
      <w:r>
        <w:rPr>
          <w:rFonts w:hint="eastAsia" w:asciiTheme="minorEastAsia" w:hAnsiTheme="minorEastAsia" w:eastAsiaTheme="minorEastAsia" w:cstheme="minorEastAsia"/>
          <w:spacing w:val="2"/>
          <w:position w:val="17"/>
          <w:sz w:val="24"/>
          <w:szCs w:val="24"/>
        </w:rPr>
        <w:t>公共资源交易中心公共服务平台”</w:t>
      </w:r>
      <w:r>
        <w:rPr>
          <w:rFonts w:hint="eastAsia" w:asciiTheme="minorEastAsia" w:hAnsiTheme="minorEastAsia" w:eastAsiaTheme="minorEastAsia" w:cstheme="minorEastAsia"/>
          <w:spacing w:val="2"/>
          <w:position w:val="17"/>
          <w:sz w:val="24"/>
          <w:szCs w:val="24"/>
          <w:lang w:val="en-US" w:eastAsia="zh-CN"/>
        </w:rPr>
        <w:t>线上</w:t>
      </w:r>
      <w:r>
        <w:rPr>
          <w:rFonts w:hint="eastAsia" w:asciiTheme="minorEastAsia" w:hAnsiTheme="minorEastAsia" w:eastAsiaTheme="minorEastAsia" w:cstheme="minorEastAsia"/>
          <w:spacing w:val="2"/>
          <w:position w:val="17"/>
          <w:sz w:val="24"/>
          <w:szCs w:val="24"/>
        </w:rPr>
        <w:t>向中标人发出电子《中标通知书》后，中标供应商可登录系统，自行打印加盖电子签章的《中标通知书》。</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2.签订合同</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2.1中标供应商</w:t>
      </w:r>
      <w:r>
        <w:rPr>
          <w:rFonts w:hint="eastAsia" w:asciiTheme="minorEastAsia" w:hAnsiTheme="minorEastAsia" w:eastAsiaTheme="minorEastAsia" w:cstheme="minorEastAsia"/>
          <w:spacing w:val="2"/>
          <w:position w:val="17"/>
          <w:sz w:val="24"/>
          <w:szCs w:val="24"/>
          <w:lang w:val="en-US" w:eastAsia="zh-CN"/>
        </w:rPr>
        <w:t>收到</w:t>
      </w:r>
      <w:r>
        <w:rPr>
          <w:rFonts w:hint="eastAsia" w:asciiTheme="minorEastAsia" w:hAnsiTheme="minorEastAsia" w:eastAsiaTheme="minorEastAsia" w:cstheme="minorEastAsia"/>
          <w:spacing w:val="2"/>
          <w:position w:val="17"/>
          <w:sz w:val="24"/>
          <w:szCs w:val="24"/>
        </w:rPr>
        <w:t>《中标通知书》后</w:t>
      </w:r>
      <w:r>
        <w:rPr>
          <w:rFonts w:hint="eastAsia" w:asciiTheme="minorEastAsia" w:hAnsiTheme="minorEastAsia" w:eastAsiaTheme="minorEastAsia" w:cstheme="minorEastAsia"/>
          <w:spacing w:val="2"/>
          <w:position w:val="17"/>
          <w:sz w:val="24"/>
          <w:szCs w:val="24"/>
          <w:lang w:val="en-US" w:eastAsia="zh-CN"/>
        </w:rPr>
        <w:t>在3个工作日内</w:t>
      </w:r>
      <w:r>
        <w:rPr>
          <w:rFonts w:hint="eastAsia" w:asciiTheme="minorEastAsia" w:hAnsiTheme="minorEastAsia" w:eastAsiaTheme="minorEastAsia" w:cstheme="minorEastAsia"/>
          <w:spacing w:val="2"/>
          <w:position w:val="17"/>
          <w:sz w:val="24"/>
          <w:szCs w:val="24"/>
        </w:rPr>
        <w:t>与采购人</w:t>
      </w:r>
      <w:r>
        <w:rPr>
          <w:rFonts w:hint="eastAsia" w:asciiTheme="minorEastAsia" w:hAnsiTheme="minorEastAsia" w:eastAsiaTheme="minorEastAsia" w:cstheme="minorEastAsia"/>
          <w:spacing w:val="2"/>
          <w:position w:val="17"/>
          <w:sz w:val="24"/>
          <w:szCs w:val="24"/>
          <w:lang w:val="en-US" w:eastAsia="zh-CN"/>
        </w:rPr>
        <w:t>交易系统线上</w:t>
      </w:r>
      <w:r>
        <w:rPr>
          <w:rFonts w:hint="eastAsia" w:asciiTheme="minorEastAsia" w:hAnsiTheme="minorEastAsia" w:eastAsiaTheme="minorEastAsia" w:cstheme="minorEastAsia"/>
          <w:spacing w:val="2"/>
          <w:position w:val="17"/>
          <w:sz w:val="24"/>
          <w:szCs w:val="24"/>
        </w:rPr>
        <w:t>签订政府采购合同。合同签订后，采购人应通过“河南省电子化政府采购系统”(www.hngp.gov.cn)合同管理栏目上传合同原件扫描件完成备案。</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2.2招标文件、投标文件、答疑及澄清文件，均为签订合同的依据。</w:t>
      </w:r>
    </w:p>
    <w:p>
      <w:pPr>
        <w:wordWrap w:val="0"/>
        <w:spacing w:line="360" w:lineRule="auto"/>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七.质疑与答复</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w:t>
      </w:r>
      <w:r>
        <w:rPr>
          <w:rFonts w:asciiTheme="minorEastAsia" w:hAnsiTheme="minorEastAsia" w:eastAsiaTheme="minorEastAsia" w:cstheme="minorEastAsia"/>
          <w:spacing w:val="2"/>
          <w:position w:val="17"/>
          <w:sz w:val="24"/>
          <w:szCs w:val="24"/>
        </w:rPr>
        <w:t>根据《政府采购质疑和投诉办法》（中华人民共和国财政部第94号令）的有关规定，供应商认为采购文件、采购过程、中标或者成交结果使自己的权益受到损害的，可以在知道或者应知其权益受到损害之日起7个工作日内，以</w:t>
      </w:r>
      <w:r>
        <w:rPr>
          <w:rFonts w:hint="eastAsia" w:asciiTheme="minorEastAsia" w:hAnsiTheme="minorEastAsia" w:eastAsiaTheme="minorEastAsia" w:cstheme="minorEastAsia"/>
          <w:spacing w:val="2"/>
          <w:position w:val="17"/>
          <w:sz w:val="24"/>
          <w:szCs w:val="24"/>
          <w:lang w:val="en-US" w:eastAsia="zh-CN"/>
        </w:rPr>
        <w:t>交易系统线上或</w:t>
      </w:r>
      <w:r>
        <w:rPr>
          <w:rFonts w:asciiTheme="minorEastAsia" w:hAnsiTheme="minorEastAsia" w:eastAsiaTheme="minorEastAsia" w:cstheme="minorEastAsia"/>
          <w:spacing w:val="2"/>
          <w:position w:val="17"/>
          <w:sz w:val="24"/>
          <w:szCs w:val="24"/>
        </w:rPr>
        <w:t>书面形式向采购人、采购代理机构提出质疑。供应商须在法定质疑期内一次性提出针对同一采购程序环节的质疑。</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w:t>
      </w:r>
      <w:r>
        <w:rPr>
          <w:rFonts w:asciiTheme="minorEastAsia" w:hAnsiTheme="minorEastAsia" w:eastAsiaTheme="minorEastAsia" w:cstheme="minorEastAsia"/>
          <w:spacing w:val="2"/>
          <w:position w:val="17"/>
          <w:sz w:val="24"/>
          <w:szCs w:val="24"/>
        </w:rPr>
        <w:t>质疑函须按照财政</w:t>
      </w:r>
      <w:r>
        <w:rPr>
          <w:rFonts w:hint="eastAsia" w:asciiTheme="minorEastAsia" w:hAnsiTheme="minorEastAsia" w:eastAsiaTheme="minorEastAsia" w:cstheme="minorEastAsia"/>
          <w:spacing w:val="2"/>
          <w:position w:val="17"/>
          <w:sz w:val="24"/>
          <w:szCs w:val="24"/>
        </w:rPr>
        <w:t>部门</w:t>
      </w:r>
      <w:r>
        <w:rPr>
          <w:rFonts w:asciiTheme="minorEastAsia" w:hAnsiTheme="minorEastAsia" w:eastAsiaTheme="minorEastAsia" w:cstheme="minorEastAsia"/>
          <w:spacing w:val="2"/>
          <w:position w:val="17"/>
          <w:sz w:val="24"/>
          <w:szCs w:val="24"/>
        </w:rPr>
        <w:t>发布的质疑函范本格式编制，质疑事项应具体、明确，并有必要的事实依据和法律依据。</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w:t>
      </w:r>
      <w:r>
        <w:rPr>
          <w:rFonts w:asciiTheme="minorEastAsia" w:hAnsiTheme="minorEastAsia" w:eastAsiaTheme="minorEastAsia" w:cstheme="minorEastAsia"/>
          <w:spacing w:val="2"/>
          <w:position w:val="17"/>
          <w:sz w:val="24"/>
          <w:szCs w:val="24"/>
        </w:rPr>
        <w:t>接收质疑的方式：</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 xml:space="preserve">3.1 </w:t>
      </w:r>
      <w:r>
        <w:rPr>
          <w:rFonts w:asciiTheme="minorEastAsia" w:hAnsiTheme="minorEastAsia" w:eastAsiaTheme="minorEastAsia" w:cstheme="minorEastAsia"/>
          <w:spacing w:val="2"/>
          <w:position w:val="17"/>
          <w:sz w:val="24"/>
          <w:szCs w:val="24"/>
        </w:rPr>
        <w:t>在线接收，请质疑人上传质疑函原件扫描件到</w:t>
      </w:r>
      <w:r>
        <w:rPr>
          <w:rFonts w:hint="eastAsia" w:asciiTheme="minorEastAsia" w:hAnsiTheme="minorEastAsia" w:eastAsiaTheme="minorEastAsia" w:cstheme="minorEastAsia"/>
          <w:spacing w:val="2"/>
          <w:position w:val="17"/>
          <w:sz w:val="24"/>
          <w:szCs w:val="24"/>
          <w:lang w:val="en-US" w:eastAsia="zh-CN"/>
        </w:rPr>
        <w:t>淅川县</w:t>
      </w:r>
      <w:r>
        <w:rPr>
          <w:rFonts w:asciiTheme="minorEastAsia" w:hAnsiTheme="minorEastAsia" w:eastAsiaTheme="minorEastAsia" w:cstheme="minorEastAsia"/>
          <w:spacing w:val="2"/>
          <w:position w:val="17"/>
          <w:sz w:val="24"/>
          <w:szCs w:val="24"/>
        </w:rPr>
        <w:t>公共资源交易系统并电话通知到项目负责人。</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 xml:space="preserve">3.2 </w:t>
      </w:r>
      <w:r>
        <w:rPr>
          <w:rFonts w:asciiTheme="minorEastAsia" w:hAnsiTheme="minorEastAsia" w:eastAsiaTheme="minorEastAsia" w:cstheme="minorEastAsia"/>
          <w:spacing w:val="2"/>
          <w:position w:val="17"/>
          <w:sz w:val="24"/>
          <w:szCs w:val="24"/>
        </w:rPr>
        <w:t>书面提交，请质疑人将质疑函原件送达或邮寄至采购单位联系人和</w:t>
      </w:r>
      <w:r>
        <w:rPr>
          <w:rFonts w:hint="eastAsia" w:asciiTheme="minorEastAsia" w:hAnsiTheme="minorEastAsia" w:eastAsiaTheme="minorEastAsia" w:cstheme="minorEastAsia"/>
          <w:spacing w:val="2"/>
          <w:position w:val="17"/>
          <w:sz w:val="24"/>
          <w:szCs w:val="24"/>
        </w:rPr>
        <w:t>采购代理机构</w:t>
      </w:r>
      <w:r>
        <w:rPr>
          <w:rFonts w:asciiTheme="minorEastAsia" w:hAnsiTheme="minorEastAsia" w:eastAsiaTheme="minorEastAsia" w:cstheme="minorEastAsia"/>
          <w:spacing w:val="2"/>
          <w:position w:val="17"/>
          <w:sz w:val="24"/>
          <w:szCs w:val="24"/>
        </w:rPr>
        <w:t>项目负责人，联系方式及地址详见采购公告。</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w:t>
      </w:r>
      <w:r>
        <w:rPr>
          <w:rFonts w:asciiTheme="minorEastAsia" w:hAnsiTheme="minorEastAsia" w:eastAsiaTheme="minorEastAsia" w:cstheme="minorEastAsia"/>
          <w:spacing w:val="2"/>
          <w:position w:val="17"/>
          <w:sz w:val="24"/>
          <w:szCs w:val="24"/>
        </w:rPr>
        <w:t>超出法定质疑期的、重复提出的、分次提出的或内容、形式不符合《政府采购质疑和投诉办法》的，采购人和采购代理机构可以拒收，质疑供应商将依法承担不利后果。</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5.</w:t>
      </w:r>
      <w:r>
        <w:rPr>
          <w:rFonts w:asciiTheme="minorEastAsia" w:hAnsiTheme="minorEastAsia" w:eastAsiaTheme="minorEastAsia" w:cstheme="minorEastAsia"/>
          <w:spacing w:val="2"/>
          <w:position w:val="17"/>
          <w:sz w:val="24"/>
          <w:szCs w:val="24"/>
        </w:rPr>
        <w:t>采购人和采购代理机构在收到质疑函后7个工作日内作出答复，并以</w:t>
      </w:r>
      <w:r>
        <w:rPr>
          <w:rFonts w:hint="eastAsia" w:asciiTheme="minorEastAsia" w:hAnsiTheme="minorEastAsia" w:eastAsiaTheme="minorEastAsia" w:cstheme="minorEastAsia"/>
          <w:spacing w:val="2"/>
          <w:position w:val="17"/>
          <w:sz w:val="24"/>
          <w:szCs w:val="24"/>
          <w:lang w:val="en-US" w:eastAsia="zh-CN"/>
        </w:rPr>
        <w:t>系统线上或</w:t>
      </w:r>
      <w:r>
        <w:rPr>
          <w:rFonts w:asciiTheme="minorEastAsia" w:hAnsiTheme="minorEastAsia" w:eastAsiaTheme="minorEastAsia" w:cstheme="minorEastAsia"/>
          <w:spacing w:val="2"/>
          <w:position w:val="17"/>
          <w:sz w:val="24"/>
          <w:szCs w:val="24"/>
        </w:rPr>
        <w:t>书面形式通知质疑供应商和其他有关供应商。</w:t>
      </w:r>
    </w:p>
    <w:p>
      <w:pPr>
        <w:wordWrap w:val="0"/>
        <w:spacing w:line="360" w:lineRule="auto"/>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八、相关注意事项</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1</w:t>
      </w:r>
      <w:r>
        <w:rPr>
          <w:rFonts w:hint="eastAsia" w:asciiTheme="minorEastAsia" w:hAnsiTheme="minorEastAsia" w:eastAsiaTheme="minorEastAsia" w:cstheme="minorEastAsia"/>
          <w:spacing w:val="2"/>
          <w:position w:val="17"/>
          <w:sz w:val="24"/>
          <w:szCs w:val="24"/>
        </w:rPr>
        <w:t>.各投标人应保证：投标文件中涉及到的所有内容，不会出现因第三方提出侵权而引发法律及经济纠纷，不论何种情况下若发生此类情况，其相应责任由投标人自行承担。</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rPr>
        <w:t>.为了保证评标的公正性，除询标外，评委不得与投标人交换意见。无论评标工作结束与否，参与评标的任何人均不得私下向外透露评标中的任何情况。</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rPr>
        <w:t>.投标人应本着公平竞争的原则参与投标，不得用任何方式对其它投标人恶意攻击。</w:t>
      </w:r>
    </w:p>
    <w:p>
      <w:r>
        <w:rPr>
          <w:rFonts w:hint="eastAsia" w:asciiTheme="minorEastAsia" w:hAnsiTheme="minorEastAsia" w:eastAsiaTheme="minorEastAsia" w:cstheme="minorEastAsia"/>
          <w:spacing w:val="2"/>
          <w:position w:val="17"/>
          <w:sz w:val="24"/>
          <w:szCs w:val="24"/>
          <w:lang w:val="en-US" w:eastAsia="zh-CN"/>
        </w:rPr>
        <w:t>4</w:t>
      </w:r>
      <w:r>
        <w:rPr>
          <w:rFonts w:hint="eastAsia" w:asciiTheme="minorEastAsia" w:hAnsiTheme="minorEastAsia" w:eastAsiaTheme="minorEastAsia" w:cstheme="minorEastAsia"/>
          <w:spacing w:val="2"/>
          <w:position w:val="17"/>
          <w:sz w:val="24"/>
          <w:szCs w:val="24"/>
        </w:rPr>
        <w:t>.投标人如有违反上述要求或违反国家法律、法规的行为，无论评标结果如何，其投标资格将被取消。</w:t>
      </w:r>
    </w:p>
    <w:p>
      <w:pPr>
        <w:wordWrap w:val="0"/>
        <w:spacing w:line="360" w:lineRule="auto"/>
        <w:jc w:val="center"/>
        <w:rPr>
          <w:rFonts w:hint="eastAsia" w:asciiTheme="minorEastAsia" w:hAnsiTheme="minorEastAsia" w:eastAsiaTheme="minorEastAsia" w:cstheme="minorEastAsia"/>
          <w:b/>
          <w:bCs/>
          <w:spacing w:val="2"/>
          <w:position w:val="17"/>
          <w:sz w:val="32"/>
          <w:szCs w:val="32"/>
        </w:rPr>
      </w:pPr>
    </w:p>
    <w:p>
      <w:pPr>
        <w:wordWrap w:val="0"/>
        <w:spacing w:line="360" w:lineRule="auto"/>
        <w:jc w:val="center"/>
        <w:rPr>
          <w:rFonts w:hint="eastAsia" w:asciiTheme="minorEastAsia" w:hAnsiTheme="minorEastAsia" w:eastAsiaTheme="minorEastAsia" w:cstheme="minorEastAsia"/>
          <w:b/>
          <w:bCs/>
          <w:spacing w:val="2"/>
          <w:position w:val="17"/>
          <w:sz w:val="32"/>
          <w:szCs w:val="32"/>
        </w:rPr>
      </w:pPr>
    </w:p>
    <w:p>
      <w:pPr>
        <w:wordWrap w:val="0"/>
        <w:spacing w:line="360" w:lineRule="auto"/>
        <w:jc w:val="center"/>
        <w:rPr>
          <w:rFonts w:hint="eastAsia" w:asciiTheme="minorEastAsia" w:hAnsiTheme="minorEastAsia" w:eastAsiaTheme="minorEastAsia" w:cstheme="minorEastAsia"/>
          <w:b/>
          <w:bCs/>
          <w:spacing w:val="2"/>
          <w:position w:val="17"/>
          <w:sz w:val="32"/>
          <w:szCs w:val="32"/>
        </w:rPr>
      </w:pPr>
    </w:p>
    <w:p>
      <w:pPr>
        <w:wordWrap w:val="0"/>
        <w:spacing w:line="360" w:lineRule="auto"/>
        <w:jc w:val="center"/>
        <w:rPr>
          <w:rFonts w:hint="eastAsia" w:asciiTheme="minorEastAsia" w:hAnsiTheme="minorEastAsia" w:eastAsiaTheme="minorEastAsia" w:cstheme="minorEastAsia"/>
          <w:b/>
          <w:bCs/>
          <w:spacing w:val="2"/>
          <w:position w:val="17"/>
          <w:sz w:val="32"/>
          <w:szCs w:val="32"/>
        </w:rPr>
      </w:pPr>
    </w:p>
    <w:p>
      <w:pPr>
        <w:wordWrap w:val="0"/>
        <w:spacing w:line="360" w:lineRule="auto"/>
        <w:jc w:val="center"/>
        <w:rPr>
          <w:rFonts w:hint="eastAsia" w:asciiTheme="minorEastAsia" w:hAnsiTheme="minorEastAsia" w:eastAsiaTheme="minorEastAsia" w:cstheme="minorEastAsia"/>
          <w:b/>
          <w:bCs/>
          <w:spacing w:val="2"/>
          <w:position w:val="17"/>
          <w:sz w:val="32"/>
          <w:szCs w:val="32"/>
        </w:rPr>
      </w:pPr>
    </w:p>
    <w:p>
      <w:pPr>
        <w:wordWrap w:val="0"/>
        <w:spacing w:line="360" w:lineRule="auto"/>
        <w:jc w:val="center"/>
        <w:rPr>
          <w:rFonts w:asciiTheme="minorEastAsia" w:hAnsiTheme="minorEastAsia" w:eastAsiaTheme="minorEastAsia" w:cstheme="minorEastAsia"/>
          <w:spacing w:val="2"/>
          <w:position w:val="17"/>
          <w:sz w:val="32"/>
          <w:szCs w:val="32"/>
        </w:rPr>
      </w:pPr>
      <w:r>
        <w:rPr>
          <w:rFonts w:hint="eastAsia" w:asciiTheme="minorEastAsia" w:hAnsiTheme="minorEastAsia" w:eastAsiaTheme="minorEastAsia" w:cstheme="minorEastAsia"/>
          <w:b/>
          <w:bCs/>
          <w:spacing w:val="2"/>
          <w:position w:val="17"/>
          <w:sz w:val="32"/>
          <w:szCs w:val="32"/>
        </w:rPr>
        <w:t>河南省政府采购合同融资政策告知函</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各供应商：</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欢迎贵公司参与河南省政府采购活动!</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贷款渠道和提供贷款的金融机构，可在河南省政府采购网“河南省政府采购合同融资平台”查询联系。</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为更大力度激发市场活力和社会创造力，增强发展动力，进一步加强政府采购合同线上融资一站式服务（简称“政采贷”），有需求的供应商，可按上述通知要求办理政采贷。</w:t>
      </w:r>
    </w:p>
    <w:p>
      <w:pPr>
        <w:pStyle w:val="95"/>
        <w:wordWrap w:val="0"/>
        <w:jc w:val="both"/>
        <w:sectPr>
          <w:footerReference r:id="rId6" w:type="default"/>
          <w:pgSz w:w="11907" w:h="16840"/>
          <w:pgMar w:top="1440" w:right="1800" w:bottom="1440" w:left="1800" w:header="878" w:footer="886" w:gutter="0"/>
          <w:pgNumType w:start="1"/>
          <w:cols w:space="720" w:num="1"/>
        </w:sectPr>
      </w:pPr>
    </w:p>
    <w:p>
      <w:pPr>
        <w:pStyle w:val="2"/>
        <w:ind w:firstLine="1846" w:firstLineChars="500"/>
      </w:pPr>
      <w:r>
        <w:rPr>
          <w:rFonts w:hint="eastAsia"/>
        </w:rPr>
        <w:t>第五章 政府采购合同</w:t>
      </w:r>
    </w:p>
    <w:p>
      <w:pPr>
        <w:pStyle w:val="95"/>
        <w:jc w:val="both"/>
      </w:pP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说明：</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合同类型按照中华人民共和国民法典规定的典型合同类别，结合采购标的的实际情况确定。合同文本应当符合中华人民共和国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2.合同条款中应规定，乙方完全遵守《中华人民共和国妇女权益保障法》中关于劳动和社会保障权益的有关要求。</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3.对于通过预留采购项目、预留专门采购包等措施签订的采购合同，应当明确标注本合同为中小企业预留合同。</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4.政府采购合同设定预付款支付方式的，预付款支付比例原则上不低于合同金额的50%；对于中小企业，预付款支付比例原则上不低于合同金额的70%。</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5.政府采购合同应当约定资金支付的方式、时间和条件，明确逾期支付资金的违约责任。对于满足合同约定支付条件的，采购人应当自收到发票后1日内将资金支付到合同约定的供应商账户，不得以机构变动、人员更替、政策调整等为由延迟付款，不得将采购文件和合同中未规定的义务作为向供应商付款的条件。</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6.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7.当采购项目涉及数据中心相关设备、运维服务时，采购需求应当符合《绿色数据中心政府采购需求标准（试行）》（财库〔2023〕7号）的有关要求，并在合同中明确对相关指标的验收方式和违约责任。</w:t>
      </w:r>
    </w:p>
    <w:p>
      <w:pPr>
        <w:pStyle w:val="3"/>
        <w:widowControl/>
        <w:spacing w:before="240" w:after="240" w:line="360" w:lineRule="auto"/>
        <w:ind w:firstLine="2560" w:firstLineChars="800"/>
        <w:rPr>
          <w:b w:val="0"/>
          <w:bCs w:val="0"/>
          <w:sz w:val="32"/>
          <w:szCs w:val="32"/>
        </w:rPr>
      </w:pPr>
    </w:p>
    <w:p>
      <w:pPr>
        <w:pStyle w:val="3"/>
        <w:widowControl/>
        <w:spacing w:before="240" w:after="240" w:line="360" w:lineRule="auto"/>
        <w:ind w:firstLine="2560" w:firstLineChars="800"/>
        <w:rPr>
          <w:b w:val="0"/>
          <w:bCs w:val="0"/>
          <w:sz w:val="32"/>
          <w:szCs w:val="32"/>
        </w:rPr>
      </w:pPr>
      <w:r>
        <w:rPr>
          <w:rFonts w:hint="eastAsia"/>
          <w:b w:val="0"/>
          <w:bCs w:val="0"/>
          <w:sz w:val="32"/>
          <w:szCs w:val="32"/>
        </w:rPr>
        <w:t>本项目合同条款及格式</w:t>
      </w:r>
    </w:p>
    <w:p>
      <w:pPr>
        <w:pStyle w:val="3"/>
        <w:ind w:firstLine="1920" w:firstLineChars="600"/>
        <w:rPr>
          <w:sz w:val="32"/>
          <w:szCs w:val="32"/>
        </w:rPr>
      </w:pPr>
      <w:bookmarkStart w:id="14" w:name="_Toc222031060"/>
      <w:bookmarkEnd w:id="14"/>
      <w:bookmarkStart w:id="15" w:name="_Toc507192673"/>
      <w:bookmarkEnd w:id="15"/>
      <w:bookmarkStart w:id="16" w:name="_Toc222029558"/>
      <w:bookmarkEnd w:id="16"/>
      <w:bookmarkStart w:id="17" w:name="_Toc144974855"/>
      <w:bookmarkEnd w:id="17"/>
      <w:bookmarkStart w:id="18" w:name="_Toc222032727"/>
      <w:bookmarkEnd w:id="18"/>
      <w:bookmarkStart w:id="19" w:name="_Toc229305417"/>
      <w:bookmarkEnd w:id="19"/>
      <w:bookmarkStart w:id="20" w:name="_Toc168475913"/>
      <w:bookmarkEnd w:id="20"/>
      <w:bookmarkStart w:id="21" w:name="_Toc222033909"/>
      <w:bookmarkEnd w:id="21"/>
      <w:bookmarkStart w:id="22" w:name="_Toc221951909"/>
      <w:bookmarkEnd w:id="22"/>
      <w:r>
        <w:rPr>
          <w:rFonts w:hint="eastAsia"/>
          <w:b w:val="0"/>
          <w:bCs w:val="0"/>
          <w:sz w:val="32"/>
          <w:szCs w:val="32"/>
        </w:rPr>
        <w:t>（由招标人和中标人自行商定）</w:t>
      </w:r>
    </w:p>
    <w:p>
      <w:pPr>
        <w:wordWrap w:val="0"/>
        <w:spacing w:line="220" w:lineRule="auto"/>
        <w:jc w:val="both"/>
        <w:rPr>
          <w:rFonts w:asciiTheme="minorEastAsia" w:hAnsiTheme="minorEastAsia" w:eastAsiaTheme="minorEastAsia" w:cstheme="minorEastAsia"/>
          <w:sz w:val="24"/>
          <w:szCs w:val="24"/>
        </w:rPr>
        <w:sectPr>
          <w:headerReference r:id="rId7" w:type="default"/>
          <w:footerReference r:id="rId8" w:type="default"/>
          <w:pgSz w:w="11907" w:h="16840"/>
          <w:pgMar w:top="1440" w:right="1800" w:bottom="1440" w:left="1800" w:header="878" w:footer="886" w:gutter="0"/>
          <w:cols w:space="720" w:num="1"/>
        </w:sectPr>
      </w:pP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投标人编制文件须知</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1.投标人按照本部分的顺序编制投标文件（资格证明文件）、投标文件（商务技术文件），编制中涉及格式资料的，应按照本部分提供的内容和格式（所有表格的格式可扩展）填写提交。</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2.全部声明和问题的回答及所附材料必须是真实的、准确的和完整的。</w:t>
      </w:r>
    </w:p>
    <w:p>
      <w:pPr>
        <w:pStyle w:val="2"/>
        <w:ind w:firstLine="0" w:firstLineChars="0"/>
        <w:rPr>
          <w:b w:val="0"/>
          <w:spacing w:val="2"/>
          <w:position w:val="17"/>
          <w:sz w:val="24"/>
          <w:szCs w:val="24"/>
        </w:rPr>
      </w:pPr>
    </w:p>
    <w:p>
      <w:pPr>
        <w:pStyle w:val="2"/>
        <w:ind w:firstLine="2456" w:firstLineChars="600"/>
        <w:rPr>
          <w:rStyle w:val="47"/>
        </w:rPr>
      </w:pPr>
      <w:r>
        <w:rPr>
          <w:rStyle w:val="47"/>
          <w:rFonts w:hint="eastAsia"/>
          <w:sz w:val="36"/>
          <w:szCs w:val="36"/>
        </w:rPr>
        <w:t xml:space="preserve">第六章 </w:t>
      </w:r>
      <w:r>
        <w:rPr>
          <w:rStyle w:val="47"/>
          <w:sz w:val="36"/>
          <w:szCs w:val="36"/>
        </w:rPr>
        <w:t xml:space="preserve"> </w:t>
      </w:r>
      <w:r>
        <w:rPr>
          <w:rStyle w:val="47"/>
          <w:rFonts w:hint="eastAsia"/>
          <w:sz w:val="36"/>
          <w:szCs w:val="36"/>
        </w:rPr>
        <w:t>投标文件格式</w:t>
      </w:r>
    </w:p>
    <w:p>
      <w:pPr>
        <w:wordWrap w:val="0"/>
        <w:spacing w:line="253" w:lineRule="auto"/>
        <w:jc w:val="both"/>
        <w:rPr>
          <w:rFonts w:asciiTheme="minorEastAsia" w:hAnsiTheme="minorEastAsia" w:eastAsiaTheme="minorEastAsia" w:cstheme="minorEastAsia"/>
        </w:rPr>
      </w:pPr>
    </w:p>
    <w:p>
      <w:pPr>
        <w:jc w:val="center"/>
        <w:rPr>
          <w:b/>
          <w:sz w:val="28"/>
        </w:rPr>
      </w:pPr>
      <w:r>
        <w:rPr>
          <w:rFonts w:hint="eastAsia"/>
          <w:b/>
          <w:sz w:val="28"/>
        </w:rPr>
        <w:t xml:space="preserve">                                                    </w:t>
      </w:r>
    </w:p>
    <w:p>
      <w:pPr>
        <w:spacing w:line="530" w:lineRule="exact"/>
        <w:jc w:val="center"/>
        <w:rPr>
          <w:b/>
          <w:bCs/>
          <w:sz w:val="44"/>
          <w:szCs w:val="44"/>
          <w:u w:val="single"/>
        </w:rPr>
      </w:pPr>
      <w:r>
        <w:rPr>
          <w:rFonts w:hint="eastAsia"/>
          <w:b/>
          <w:bCs/>
          <w:sz w:val="44"/>
          <w:szCs w:val="44"/>
          <w:u w:val="single"/>
        </w:rPr>
        <w:t xml:space="preserve">      </w:t>
      </w:r>
      <w:r>
        <w:rPr>
          <w:rFonts w:hint="eastAsia"/>
          <w:b/>
          <w:bCs/>
          <w:sz w:val="32"/>
          <w:szCs w:val="32"/>
          <w:u w:val="single"/>
        </w:rPr>
        <w:t>（项目名称）</w:t>
      </w:r>
      <w:r>
        <w:rPr>
          <w:rFonts w:hint="eastAsia"/>
          <w:b/>
          <w:bCs/>
          <w:sz w:val="44"/>
          <w:szCs w:val="44"/>
          <w:u w:val="single"/>
        </w:rPr>
        <w:t xml:space="preserve">     </w:t>
      </w:r>
    </w:p>
    <w:p>
      <w:pPr>
        <w:rPr>
          <w:b/>
          <w:sz w:val="28"/>
        </w:rPr>
      </w:pPr>
      <w:r>
        <w:rPr>
          <w:rFonts w:hint="eastAsia"/>
          <w:b/>
          <w:sz w:val="32"/>
          <w:szCs w:val="32"/>
        </w:rPr>
        <w:t xml:space="preserve">  </w:t>
      </w:r>
    </w:p>
    <w:p>
      <w:pPr>
        <w:pStyle w:val="2"/>
      </w:pPr>
    </w:p>
    <w:p>
      <w:pPr>
        <w:pStyle w:val="2"/>
      </w:pPr>
      <w:r>
        <w:rPr>
          <w:rFonts w:hint="eastAsia"/>
        </w:rPr>
        <w:t>投  标  文  件</w:t>
      </w:r>
    </w:p>
    <w:p>
      <w:pPr>
        <w:ind w:firstLine="3654" w:firstLineChars="1300"/>
        <w:rPr>
          <w:b/>
          <w:sz w:val="44"/>
          <w:szCs w:val="44"/>
        </w:rPr>
      </w:pPr>
      <w:r>
        <w:rPr>
          <w:rFonts w:hint="eastAsia"/>
          <w:b/>
          <w:sz w:val="28"/>
        </w:rPr>
        <w:t>项目编号：</w:t>
      </w:r>
      <w:r>
        <w:rPr>
          <w:b/>
          <w:sz w:val="28"/>
          <w:u w:val="single"/>
        </w:rPr>
        <w:t xml:space="preserve">        </w:t>
      </w:r>
    </w:p>
    <w:p>
      <w:pPr>
        <w:jc w:val="center"/>
        <w:rPr>
          <w:b/>
          <w:sz w:val="28"/>
        </w:rPr>
      </w:pPr>
    </w:p>
    <w:p>
      <w:pPr>
        <w:jc w:val="center"/>
        <w:rPr>
          <w:b/>
          <w:sz w:val="28"/>
        </w:rPr>
      </w:pPr>
    </w:p>
    <w:p>
      <w:pPr>
        <w:jc w:val="center"/>
        <w:rPr>
          <w:b/>
          <w:sz w:val="28"/>
        </w:rPr>
      </w:pPr>
    </w:p>
    <w:p>
      <w:pPr>
        <w:jc w:val="center"/>
        <w:rPr>
          <w:b/>
          <w:sz w:val="28"/>
        </w:rPr>
      </w:pPr>
    </w:p>
    <w:p>
      <w:pPr>
        <w:rPr>
          <w:b/>
          <w:sz w:val="28"/>
          <w:szCs w:val="24"/>
        </w:rPr>
      </w:pPr>
    </w:p>
    <w:p/>
    <w:p>
      <w:pPr>
        <w:pStyle w:val="2"/>
      </w:pPr>
    </w:p>
    <w:p/>
    <w:p>
      <w:pPr>
        <w:rPr>
          <w:b/>
          <w:sz w:val="28"/>
        </w:rPr>
      </w:pPr>
    </w:p>
    <w:p>
      <w:pPr>
        <w:rPr>
          <w:b/>
          <w:sz w:val="28"/>
        </w:rPr>
      </w:pPr>
      <w:r>
        <w:rPr>
          <w:rFonts w:hint="eastAsia"/>
          <w:b/>
          <w:sz w:val="28"/>
        </w:rPr>
        <w:t xml:space="preserve">         投  标  人：</w:t>
      </w:r>
      <w:r>
        <w:rPr>
          <w:rFonts w:hint="eastAsia"/>
          <w:b/>
          <w:sz w:val="28"/>
          <w:u w:val="single"/>
        </w:rPr>
        <w:t xml:space="preserve">           （盖章）          </w:t>
      </w:r>
      <w:r>
        <w:rPr>
          <w:rFonts w:hint="eastAsia"/>
          <w:b/>
          <w:sz w:val="28"/>
        </w:rPr>
        <w:t xml:space="preserve">         </w:t>
      </w:r>
    </w:p>
    <w:p>
      <w:pPr>
        <w:rPr>
          <w:b/>
          <w:sz w:val="28"/>
        </w:rPr>
      </w:pPr>
      <w:r>
        <w:rPr>
          <w:rFonts w:hint="eastAsia"/>
          <w:b/>
          <w:sz w:val="28"/>
        </w:rPr>
        <w:t xml:space="preserve">         法人代表或授权代表人：</w:t>
      </w:r>
      <w:r>
        <w:rPr>
          <w:rFonts w:hint="eastAsia"/>
          <w:b/>
          <w:sz w:val="28"/>
          <w:u w:val="single"/>
        </w:rPr>
        <w:t xml:space="preserve">   (签字或盖章 )   </w:t>
      </w:r>
      <w:r>
        <w:rPr>
          <w:rFonts w:hint="eastAsia"/>
          <w:b/>
          <w:sz w:val="28"/>
        </w:rPr>
        <w:t xml:space="preserve">       </w:t>
      </w:r>
    </w:p>
    <w:p>
      <w:pPr>
        <w:rPr>
          <w:b/>
          <w:sz w:val="28"/>
          <w:u w:val="single"/>
        </w:rPr>
      </w:pPr>
      <w:r>
        <w:rPr>
          <w:rFonts w:hint="eastAsia"/>
          <w:b/>
          <w:sz w:val="28"/>
        </w:rPr>
        <w:t xml:space="preserve">         日      期：</w:t>
      </w:r>
      <w:r>
        <w:rPr>
          <w:rFonts w:hint="eastAsia"/>
          <w:b/>
          <w:sz w:val="28"/>
          <w:u w:val="single"/>
        </w:rPr>
        <w:t xml:space="preserve">                             </w:t>
      </w:r>
    </w:p>
    <w:p>
      <w:pPr>
        <w:rPr>
          <w:b/>
          <w:sz w:val="28"/>
          <w:u w:val="single"/>
        </w:rPr>
      </w:pPr>
    </w:p>
    <w:p>
      <w:pPr>
        <w:pStyle w:val="2"/>
      </w:pPr>
    </w:p>
    <w:p>
      <w:pPr>
        <w:pStyle w:val="2"/>
      </w:pPr>
    </w:p>
    <w:p>
      <w:pPr>
        <w:pStyle w:val="2"/>
      </w:pPr>
      <w:r>
        <w:rPr>
          <w:rFonts w:hint="eastAsia"/>
        </w:rPr>
        <w:t>一、资格证明文件格式</w:t>
      </w:r>
    </w:p>
    <w:p>
      <w:pPr>
        <w:wordWrap w:val="0"/>
        <w:spacing w:line="360" w:lineRule="auto"/>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1、开标一览表</w:t>
      </w:r>
    </w:p>
    <w:tbl>
      <w:tblPr>
        <w:tblStyle w:val="27"/>
        <w:tblW w:w="9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7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项目名称</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项目编号</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投标人</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投标报价</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大写：</w:t>
            </w:r>
          </w:p>
          <w:p>
            <w:pPr>
              <w:wordWrap w:val="0"/>
              <w:spacing w:line="360" w:lineRule="auto"/>
              <w:jc w:val="both"/>
              <w:rPr>
                <w:rFonts w:asciiTheme="minorEastAsia" w:hAnsiTheme="minorEastAsia" w:eastAsiaTheme="minorEastAsia" w:cstheme="minorEastAsia"/>
                <w:spacing w:val="24"/>
                <w:sz w:val="24"/>
                <w:szCs w:val="24"/>
              </w:rPr>
            </w:pPr>
            <w:r>
              <w:rPr>
                <w:rFonts w:hint="eastAsia" w:asciiTheme="minorEastAsia" w:hAnsiTheme="minorEastAsia" w:eastAsiaTheme="minorEastAsia" w:cstheme="minorEastAsia"/>
                <w:spacing w:val="-8"/>
                <w:sz w:val="24"/>
                <w:szCs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合同履行期限</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质量要求</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备注</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p>
            <w:pPr>
              <w:wordWrap w:val="0"/>
              <w:spacing w:line="360" w:lineRule="auto"/>
              <w:jc w:val="both"/>
              <w:rPr>
                <w:rFonts w:asciiTheme="minorEastAsia" w:hAnsiTheme="minorEastAsia" w:eastAsiaTheme="minorEastAsia" w:cstheme="minorEastAsia"/>
                <w:spacing w:val="24"/>
                <w:sz w:val="24"/>
                <w:szCs w:val="24"/>
              </w:rPr>
            </w:pPr>
          </w:p>
        </w:tc>
      </w:tr>
    </w:tbl>
    <w:p>
      <w:pPr>
        <w:spacing w:before="79" w:line="520" w:lineRule="exact"/>
        <w:ind w:left="51" w:right="57" w:hanging="13"/>
        <w:rPr>
          <w:sz w:val="24"/>
        </w:rPr>
      </w:pPr>
      <w:r>
        <w:rPr>
          <w:spacing w:val="-4"/>
          <w:sz w:val="24"/>
        </w:rPr>
        <w:t xml:space="preserve">注：1.上述价格应包括投标人履行本项目所必须的所有成本费用和投标人应承担的一切税 </w:t>
      </w:r>
      <w:r>
        <w:rPr>
          <w:spacing w:val="-1"/>
          <w:sz w:val="24"/>
        </w:rPr>
        <w:t>费，包括但不限于办公、交通、人员、业务</w:t>
      </w:r>
      <w:r>
        <w:rPr>
          <w:spacing w:val="-2"/>
          <w:sz w:val="24"/>
        </w:rPr>
        <w:t>、差旅、调研、资料收集、报告编制、印刷、</w:t>
      </w:r>
      <w:r>
        <w:rPr>
          <w:spacing w:val="-3"/>
          <w:sz w:val="24"/>
        </w:rPr>
        <w:t>管理、税费、测试工具费用及其他管理费用等。</w:t>
      </w:r>
    </w:p>
    <w:p>
      <w:pPr>
        <w:spacing w:before="119" w:line="520" w:lineRule="exact"/>
        <w:ind w:left="485"/>
        <w:rPr>
          <w:sz w:val="24"/>
        </w:rPr>
      </w:pPr>
      <w:r>
        <w:rPr>
          <w:spacing w:val="-1"/>
          <w:sz w:val="24"/>
        </w:rPr>
        <w:t>2.若用文字表示的数值与用数字表示的数值不一致，以</w:t>
      </w:r>
      <w:r>
        <w:rPr>
          <w:spacing w:val="-2"/>
          <w:sz w:val="24"/>
        </w:rPr>
        <w:t>文字表示的数值为准。</w:t>
      </w:r>
    </w:p>
    <w:p>
      <w:pPr>
        <w:spacing w:before="79" w:line="520" w:lineRule="exact"/>
        <w:ind w:left="51" w:right="57" w:hanging="13"/>
        <w:rPr>
          <w:spacing w:val="-2"/>
          <w:sz w:val="24"/>
        </w:rPr>
      </w:pPr>
      <w:r>
        <w:rPr>
          <w:rFonts w:hint="eastAsia"/>
          <w:spacing w:val="-2"/>
          <w:sz w:val="24"/>
        </w:rPr>
        <w:t>投标人（公章）：</w:t>
      </w:r>
    </w:p>
    <w:p>
      <w:pPr>
        <w:spacing w:before="79" w:line="520" w:lineRule="exact"/>
        <w:ind w:left="51" w:right="57" w:hanging="13"/>
        <w:rPr>
          <w:spacing w:val="-2"/>
          <w:sz w:val="24"/>
        </w:rPr>
      </w:pPr>
      <w:r>
        <w:rPr>
          <w:rFonts w:hint="eastAsia"/>
          <w:spacing w:val="-2"/>
          <w:sz w:val="24"/>
        </w:rPr>
        <w:t>法定代表人（负责人）或授权代表（签字）：</w:t>
      </w:r>
    </w:p>
    <w:p>
      <w:pPr>
        <w:spacing w:before="79" w:line="520" w:lineRule="exact"/>
        <w:ind w:left="51" w:right="57" w:hanging="13"/>
        <w:rPr>
          <w:spacing w:val="-2"/>
          <w:sz w:val="24"/>
        </w:rPr>
      </w:pPr>
      <w:r>
        <w:rPr>
          <w:rFonts w:hint="eastAsia"/>
          <w:spacing w:val="-2"/>
          <w:sz w:val="24"/>
        </w:rPr>
        <w:t>日期：年月日</w:t>
      </w:r>
    </w:p>
    <w:p>
      <w:pPr>
        <w:wordWrap w:val="0"/>
        <w:spacing w:line="360" w:lineRule="auto"/>
        <w:jc w:val="both"/>
        <w:rPr>
          <w:rFonts w:asciiTheme="minorEastAsia" w:hAnsiTheme="minorEastAsia" w:eastAsiaTheme="minorEastAsia" w:cstheme="minorEastAsia"/>
          <w:b/>
          <w:sz w:val="24"/>
          <w:szCs w:val="24"/>
        </w:rPr>
      </w:pPr>
    </w:p>
    <w:p>
      <w:pPr>
        <w:wordWrap w:val="0"/>
        <w:spacing w:line="360" w:lineRule="auto"/>
        <w:jc w:val="both"/>
        <w:rPr>
          <w:rFonts w:asciiTheme="minorEastAsia" w:hAnsiTheme="minorEastAsia" w:eastAsiaTheme="minorEastAsia" w:cstheme="minorEastAsia"/>
          <w:b/>
          <w:sz w:val="24"/>
          <w:szCs w:val="24"/>
        </w:rPr>
      </w:pPr>
    </w:p>
    <w:p>
      <w:pPr>
        <w:wordWrap w:val="0"/>
        <w:spacing w:line="360" w:lineRule="auto"/>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2.授权书格式</w:t>
      </w:r>
    </w:p>
    <w:p>
      <w:pPr>
        <w:wordWrap w:val="0"/>
        <w:spacing w:line="360" w:lineRule="auto"/>
        <w:ind w:firstLine="567"/>
        <w:jc w:val="center"/>
        <w:rPr>
          <w:rFonts w:asciiTheme="minorEastAsia" w:hAnsiTheme="minorEastAsia" w:eastAsiaTheme="minorEastAsia" w:cstheme="minorEastAsia"/>
          <w:b/>
          <w:sz w:val="24"/>
          <w:szCs w:val="24"/>
        </w:rPr>
      </w:pPr>
    </w:p>
    <w:p>
      <w:pPr>
        <w:wordWrap w:val="0"/>
        <w:spacing w:line="360" w:lineRule="auto"/>
        <w:ind w:firstLine="56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法定代表人（负责人）授权委托书</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委托单位：</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法定代表人（负责人）：</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授权代表姓名：性别：出生日期：年月日</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所在单位：职务：</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身份证：现住：</w:t>
      </w:r>
    </w:p>
    <w:p>
      <w:pPr>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兹委托参加项目事宜，并授权其全权办理以下事宜：</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1、参加投标活动；</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2、签订与中标事宜有关的合同。</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授权代表在办理上述事宜过程中以其自己的名义所签署的所有文件我均予以承认。</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授权代表无转委权。</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委托期限：至上述事宜处理完毕止。</w:t>
      </w:r>
    </w:p>
    <w:p>
      <w:pPr>
        <w:pStyle w:val="26"/>
        <w:wordWrap w:val="0"/>
        <w:ind w:left="440" w:firstLine="480"/>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委托单位（公章）：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法定代表人（负责人）（签字）：</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授权代表（签字）：</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pacing w:val="-8"/>
          <w:sz w:val="24"/>
          <w:szCs w:val="24"/>
        </w:rPr>
        <w:t>年月日</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附：法定代表人（负责人）的身份证及授权代表的身份证</w:t>
      </w: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b/>
          <w:sz w:val="24"/>
          <w:szCs w:val="24"/>
        </w:rPr>
      </w:pPr>
    </w:p>
    <w:p>
      <w:pPr>
        <w:wordWrap w:val="0"/>
        <w:spacing w:line="360" w:lineRule="auto"/>
        <w:jc w:val="both"/>
        <w:rPr>
          <w:rFonts w:ascii="仿宋_GB2312" w:eastAsia="仿宋_GB2312"/>
          <w:sz w:val="28"/>
          <w:szCs w:val="28"/>
        </w:rPr>
      </w:pPr>
      <w:r>
        <w:rPr>
          <w:rFonts w:hint="eastAsia" w:asciiTheme="minorEastAsia" w:hAnsiTheme="minorEastAsia" w:eastAsiaTheme="minorEastAsia" w:cstheme="minorEastAsia"/>
          <w:b/>
          <w:sz w:val="24"/>
          <w:szCs w:val="24"/>
        </w:rPr>
        <w:t>3.资格声明函格式</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关于资格的声明函</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采购人或代理机构名称：</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关于贵方编号为公开招标，本签字人愿意参加投标，提供“采购内容及要求”中规定的服务，并证明提交的下列文件和说明是准确的真实的。</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1、由市场监管局签发的我方工商营业执照副本。</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2、法定代表人（负责人）授权书。</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3、法定代表人（负责人）或授权代表身份证（答疑时出示原件）。</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4、公司地址、联系电话、传真等。</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5、法定代表人（负责人）或授权代表的联系电话。</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6、招标项目要求的其他文件。</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7、本签字人确认资格文件中的说明是真实的、准确的。</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投标人（公章）：法定代表人（负责人）或授权代表（签字）：</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日期：年月日</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sectPr>
          <w:headerReference r:id="rId9" w:type="default"/>
          <w:footerReference r:id="rId10" w:type="default"/>
          <w:pgSz w:w="11907" w:h="16840"/>
          <w:pgMar w:top="1440" w:right="1800" w:bottom="1440" w:left="1800" w:header="878" w:footer="886" w:gutter="0"/>
          <w:cols w:space="720" w:num="1"/>
        </w:sectPr>
      </w:pPr>
      <w:r>
        <w:rPr>
          <w:rFonts w:hint="eastAsia" w:asciiTheme="minorEastAsia" w:hAnsiTheme="minorEastAsia" w:eastAsiaTheme="minorEastAsia" w:cstheme="minorEastAsia"/>
          <w:sz w:val="24"/>
          <w:szCs w:val="24"/>
        </w:rPr>
        <w:t>说明：供应商承诺不实的，依据《中华人民共和国政府采购法》第七十七条供虚假材料谋取中标、成交的</w:t>
      </w:r>
      <w:r>
        <w:rPr>
          <w:rFonts w:hint="eastAsia" w:asciiTheme="minorEastAsia" w:hAnsiTheme="minorEastAsia" w:eastAsiaTheme="minorEastAsia" w:cstheme="minorEastAsia"/>
          <w:sz w:val="24"/>
          <w:szCs w:val="24"/>
          <w:lang w:val="en-US" w:bidi="ar-SA"/>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8"/>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sz w:val="24"/>
          <w:szCs w:val="24"/>
        </w:rPr>
        <w:t>有关规定予以处理。</w:t>
      </w:r>
    </w:p>
    <w:p>
      <w:pPr>
        <w:wordWrap w:val="0"/>
        <w:spacing w:line="256" w:lineRule="auto"/>
        <w:jc w:val="both"/>
        <w:rPr>
          <w:rFonts w:asciiTheme="minorEastAsia" w:hAnsiTheme="minorEastAsia" w:eastAsiaTheme="minorEastAsia" w:cstheme="minorEastAsia"/>
        </w:rPr>
      </w:pPr>
    </w:p>
    <w:p>
      <w:pPr>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4.承诺函格式</w:t>
      </w:r>
    </w:p>
    <w:p>
      <w:pPr>
        <w:wordWrap w:val="0"/>
        <w:spacing w:line="360" w:lineRule="auto"/>
        <w:jc w:val="center"/>
        <w:rPr>
          <w:rFonts w:asciiTheme="minorEastAsia" w:hAnsiTheme="minorEastAsia" w:eastAsiaTheme="minorEastAsia" w:cstheme="minorEastAsia"/>
          <w:b/>
          <w:bCs/>
          <w:sz w:val="24"/>
          <w:szCs w:val="24"/>
        </w:rPr>
      </w:pPr>
    </w:p>
    <w:p>
      <w:pPr>
        <w:wordWrap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投标人承诺函</w:t>
      </w:r>
    </w:p>
    <w:p>
      <w:pPr>
        <w:pStyle w:val="2"/>
        <w:ind w:firstLine="2160"/>
        <w:rPr>
          <w:b w:val="0"/>
          <w:spacing w:val="0"/>
          <w:sz w:val="24"/>
          <w:szCs w:val="24"/>
        </w:rPr>
      </w:pPr>
    </w:p>
    <w:p>
      <w:pPr>
        <w:wordWrap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采购人或代理机构名称：</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很荣幸能参与项目编号为项目的投标。</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我代表（投标人名称），在此作如下承诺：</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1、完全理解和接受本项目招标文件的一切规定和要求；</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2、我方递交的投标文件中所有的资料均为真实的、准确的，无任何虚假内容。若存在有虚假内容，我方愿意承担法律责任。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若中标，我方将按照招标文件的具体规定与采购人签订供货安装调试或服务合同，并且严格按合同履行义务，按时交付使用，保证设备或服务质量符合招标文件要求，并提供优质服务。如果在合同执行过程中，发现问题，我方一定尽快对其进行调整，并承担相应的经济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4、若中标，本承诺将成为合同不可分割的一部分，与合同具有同等的法律效力。</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5、我方同意招标文件所附的合同文本作为与采购方签约的合同文本，非经双方一致同意，不得改变原合同文本的条款。</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我方保证，严格遵守《中华人民共和国政府采购法》《中华人民共和国政府采购法实施条例》《政府采购货物和服务招标投标管理办法》及其他相关法律法规的规定，若有违反上述法律法规的行为，愿意接受处罚并承担相应的法律责任。</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投标人（公章）：法定代表人（负责人）或授权代表（签字）：</w:t>
      </w:r>
    </w:p>
    <w:p>
      <w:pPr>
        <w:wordWrap w:val="0"/>
        <w:spacing w:line="360" w:lineRule="auto"/>
        <w:ind w:firstLine="720" w:firstLineChars="3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pacing w:val="-8"/>
          <w:sz w:val="24"/>
          <w:szCs w:val="24"/>
        </w:rPr>
        <w:t>年月日</w:t>
      </w:r>
    </w:p>
    <w:p>
      <w:pPr>
        <w:wordWrap w:val="0"/>
        <w:spacing w:line="256" w:lineRule="auto"/>
        <w:jc w:val="both"/>
        <w:rPr>
          <w:rFonts w:asciiTheme="minorEastAsia" w:hAnsiTheme="minorEastAsia" w:eastAsiaTheme="minorEastAsia" w:cstheme="minorEastAsia"/>
        </w:rPr>
      </w:pPr>
    </w:p>
    <w:p>
      <w:pPr>
        <w:wordWrap w:val="0"/>
        <w:spacing w:line="256" w:lineRule="auto"/>
        <w:jc w:val="both"/>
        <w:rPr>
          <w:rFonts w:asciiTheme="minorEastAsia" w:hAnsiTheme="minorEastAsia" w:eastAsiaTheme="minorEastAsia" w:cstheme="minorEastAsia"/>
        </w:rPr>
      </w:pPr>
    </w:p>
    <w:p>
      <w:pPr>
        <w:wordWrap w:val="0"/>
        <w:spacing w:line="256" w:lineRule="auto"/>
        <w:jc w:val="both"/>
        <w:rPr>
          <w:rFonts w:asciiTheme="minorEastAsia" w:hAnsiTheme="minorEastAsia" w:eastAsiaTheme="minorEastAsia" w:cstheme="minorEastAsia"/>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5.营业执照副本或其他资格证明文件</w:t>
      </w: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6.具有履行合同所必需的设备和专业技术能力的承诺</w:t>
      </w: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7</w:t>
      </w:r>
      <w:r>
        <w:rPr>
          <w:rFonts w:hint="eastAsia" w:asciiTheme="minorEastAsia" w:hAnsiTheme="minorEastAsia" w:eastAsiaTheme="minorEastAsia" w:cstheme="minorEastAsia"/>
          <w:b/>
          <w:bCs/>
          <w:sz w:val="24"/>
          <w:szCs w:val="24"/>
        </w:rPr>
        <w:t>.投标人出具参加政府采购活动前三年内，在经营活动中没有重大违法记录的书面声明（加盖单位公章）</w:t>
      </w: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pStyle w:val="2"/>
        <w:rPr>
          <w:rFonts w:asciiTheme="minorEastAsia" w:hAnsiTheme="minorEastAsia" w:eastAsiaTheme="minorEastAsia" w:cstheme="minorEastAsia"/>
          <w:b/>
          <w:bCs/>
          <w:sz w:val="24"/>
          <w:szCs w:val="24"/>
        </w:rPr>
      </w:pPr>
    </w:p>
    <w:p>
      <w:pPr>
        <w:pStyle w:val="2"/>
        <w:rPr>
          <w:rFonts w:asciiTheme="minorEastAsia" w:hAnsiTheme="minorEastAsia" w:eastAsiaTheme="minorEastAsia" w:cstheme="minorEastAsia"/>
          <w:b/>
          <w:bCs/>
          <w:sz w:val="24"/>
          <w:szCs w:val="24"/>
        </w:rPr>
      </w:pPr>
    </w:p>
    <w:p>
      <w:pPr>
        <w:pStyle w:val="2"/>
        <w:rPr>
          <w:rFonts w:asciiTheme="minorEastAsia" w:hAnsiTheme="minorEastAsia" w:eastAsiaTheme="minorEastAsia" w:cstheme="minorEastAsia"/>
          <w:b/>
          <w:bCs/>
          <w:sz w:val="24"/>
          <w:szCs w:val="24"/>
        </w:rPr>
      </w:pPr>
    </w:p>
    <w:p>
      <w:pPr>
        <w:pStyle w:val="2"/>
        <w:rPr>
          <w:rFonts w:asciiTheme="minorEastAsia" w:hAnsiTheme="minorEastAsia" w:eastAsiaTheme="minorEastAsia" w:cstheme="minorEastAsia"/>
          <w:b/>
          <w:bCs/>
          <w:sz w:val="24"/>
          <w:szCs w:val="24"/>
        </w:rPr>
      </w:pPr>
    </w:p>
    <w:p>
      <w:pPr>
        <w:pStyle w:val="2"/>
        <w:rPr>
          <w:rFonts w:asciiTheme="minorEastAsia" w:hAnsiTheme="minorEastAsia" w:eastAsiaTheme="minorEastAsia" w:cstheme="minorEastAsia"/>
          <w:b/>
          <w:bCs/>
          <w:sz w:val="24"/>
          <w:szCs w:val="24"/>
        </w:rPr>
      </w:pPr>
    </w:p>
    <w:p>
      <w:pPr>
        <w:pStyle w:val="2"/>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8</w:t>
      </w:r>
      <w:r>
        <w:rPr>
          <w:rFonts w:hint="eastAsia" w:asciiTheme="minorEastAsia" w:hAnsiTheme="minorEastAsia" w:eastAsiaTheme="minorEastAsia" w:cstheme="minorEastAsia"/>
          <w:b/>
          <w:bCs/>
          <w:sz w:val="24"/>
          <w:szCs w:val="24"/>
        </w:rPr>
        <w:t>.投标人诚信承诺书</w:t>
      </w:r>
    </w:p>
    <w:p>
      <w:pPr>
        <w:wordWrap w:val="0"/>
        <w:spacing w:line="360" w:lineRule="auto"/>
        <w:jc w:val="center"/>
        <w:rPr>
          <w:rFonts w:asciiTheme="minorEastAsia" w:hAnsiTheme="minorEastAsia" w:eastAsiaTheme="minorEastAsia" w:cstheme="minorEastAsia"/>
          <w:b/>
          <w:bCs/>
          <w:sz w:val="24"/>
          <w:szCs w:val="24"/>
        </w:rPr>
      </w:pPr>
    </w:p>
    <w:p>
      <w:pPr>
        <w:wordWrap w:val="0"/>
        <w:spacing w:line="360" w:lineRule="auto"/>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诚信承诺书</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为维护市场公平竞争，营造诚实守信的公共资源交易环境，本公司郑重承诺：</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2、本公司在参加本项目过程中严格遵守各项诚信廉洁规定，如有违反，自愿按规定接受处罚。</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承诺人法定名称（盖章）：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承诺人法定地址：</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授权代表（签字或盖章）：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p>
      <w:pPr>
        <w:wordWrap w:val="0"/>
        <w:spacing w:line="360" w:lineRule="auto"/>
        <w:ind w:firstLine="672" w:firstLineChars="3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日期：年月日</w:t>
      </w:r>
    </w:p>
    <w:p>
      <w:pPr>
        <w:wordWrap w:val="0"/>
        <w:spacing w:line="360" w:lineRule="auto"/>
        <w:ind w:firstLine="607" w:firstLineChars="252"/>
        <w:jc w:val="both"/>
        <w:rPr>
          <w:rFonts w:asciiTheme="minorEastAsia" w:hAnsiTheme="minorEastAsia" w:eastAsiaTheme="minorEastAsia" w:cstheme="minorEastAsia"/>
          <w:b/>
          <w:bCs/>
          <w:sz w:val="24"/>
          <w:szCs w:val="24"/>
        </w:rPr>
      </w:pPr>
    </w:p>
    <w:p>
      <w:pPr>
        <w:wordWrap w:val="0"/>
        <w:spacing w:line="360" w:lineRule="auto"/>
        <w:ind w:firstLine="607" w:firstLineChars="252"/>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rPr>
        <w:t>.投标人出具信用记录查询结果网页截图</w:t>
      </w: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lang w:val="en-US" w:eastAsia="zh-CN"/>
        </w:rPr>
        <w:t>0</w:t>
      </w:r>
      <w:r>
        <w:rPr>
          <w:rFonts w:hint="eastAsia" w:asciiTheme="minorEastAsia" w:hAnsiTheme="minorEastAsia" w:eastAsiaTheme="minorEastAsia" w:cstheme="minorEastAsia"/>
          <w:b/>
          <w:bCs/>
          <w:sz w:val="24"/>
          <w:szCs w:val="24"/>
        </w:rPr>
        <w:t>.其他资格证明</w:t>
      </w:r>
    </w:p>
    <w:p>
      <w:pPr>
        <w:wordWrap w:val="0"/>
        <w:spacing w:line="360" w:lineRule="auto"/>
        <w:jc w:val="both"/>
        <w:rPr>
          <w:rFonts w:asciiTheme="minorEastAsia" w:hAnsiTheme="minorEastAsia" w:eastAsiaTheme="minorEastAsia" w:cstheme="minorEastAsia"/>
          <w:b/>
          <w:bCs/>
          <w:sz w:val="24"/>
          <w:szCs w:val="24"/>
        </w:rPr>
      </w:pPr>
    </w:p>
    <w:p>
      <w:pPr>
        <w:pStyle w:val="5"/>
        <w:jc w:val="left"/>
        <w:rPr>
          <w:u w:color="000000"/>
        </w:rPr>
      </w:pPr>
    </w:p>
    <w:p>
      <w:pPr>
        <w:pStyle w:val="96"/>
      </w:pPr>
    </w:p>
    <w:p>
      <w:pPr>
        <w:pStyle w:val="96"/>
      </w:pPr>
    </w:p>
    <w:p>
      <w:pPr>
        <w:pStyle w:val="96"/>
      </w:pPr>
    </w:p>
    <w:p>
      <w:pPr>
        <w:pStyle w:val="2"/>
        <w:keepNext w:val="0"/>
        <w:keepLines w:val="0"/>
        <w:pageBreakBefore w:val="0"/>
        <w:kinsoku/>
        <w:wordWrap w:val="0"/>
        <w:overflowPunct/>
        <w:topLinePunct w:val="0"/>
        <w:bidi w:val="0"/>
        <w:spacing w:line="360" w:lineRule="auto"/>
        <w:ind w:left="0" w:leftChars="0" w:firstLine="0" w:firstLineChars="0"/>
        <w:jc w:val="center"/>
        <w:rPr>
          <w:rFonts w:hint="eastAsia" w:asciiTheme="minorEastAsia" w:hAnsiTheme="minorEastAsia" w:eastAsiaTheme="minorEastAsia" w:cstheme="minorEastAsia"/>
          <w:b/>
          <w:bCs/>
          <w:snapToGrid w:val="0"/>
          <w:color w:val="000000"/>
          <w:kern w:val="0"/>
          <w:sz w:val="32"/>
          <w:szCs w:val="32"/>
          <w:lang w:val="zh-CN" w:eastAsia="zh-CN" w:bidi="ar-SA"/>
        </w:rPr>
      </w:pPr>
      <w:r>
        <w:rPr>
          <w:rFonts w:hint="eastAsia" w:asciiTheme="minorEastAsia" w:hAnsiTheme="minorEastAsia" w:eastAsiaTheme="minorEastAsia" w:cstheme="minorEastAsia"/>
          <w:b/>
          <w:bCs/>
          <w:snapToGrid w:val="0"/>
          <w:color w:val="000000"/>
          <w:kern w:val="0"/>
          <w:sz w:val="32"/>
          <w:szCs w:val="32"/>
          <w:lang w:val="zh-CN" w:eastAsia="zh-CN" w:bidi="ar-SA"/>
        </w:rPr>
        <w:t>南阳市政府采购供应商信用承诺函</w:t>
      </w:r>
    </w:p>
    <w:p>
      <w:pPr>
        <w:keepNext w:val="0"/>
        <w:keepLines w:val="0"/>
        <w:pageBreakBefore w:val="0"/>
        <w:widowControl w:val="0"/>
        <w:kinsoku/>
        <w:wordWrap w:val="0"/>
        <w:overflowPunct/>
        <w:topLinePunct w:val="0"/>
        <w:autoSpaceDE w:val="0"/>
        <w:autoSpaceDN w:val="0"/>
        <w:bidi w:val="0"/>
        <w:adjustRightInd w:val="0"/>
        <w:spacing w:line="360" w:lineRule="auto"/>
        <w:jc w:val="center"/>
        <w:rPr>
          <w:rFonts w:hint="eastAsia" w:asciiTheme="minorEastAsia" w:hAnsiTheme="minorEastAsia" w:eastAsiaTheme="minorEastAsia" w:cstheme="minorEastAsia"/>
          <w:b/>
          <w:bCs/>
          <w:snapToGrid w:val="0"/>
          <w:color w:val="000000"/>
          <w:kern w:val="0"/>
          <w:sz w:val="24"/>
          <w:szCs w:val="24"/>
          <w:lang w:val="zh-CN" w:eastAsia="zh-CN" w:bidi="ar-SA"/>
        </w:rPr>
      </w:pP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sectPr>
          <w:headerReference r:id="rId11" w:type="default"/>
          <w:footerReference r:id="rId12"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p>
      <w:pPr>
        <w:pStyle w:val="2"/>
        <w:ind w:firstLine="2216" w:firstLineChars="600"/>
      </w:pPr>
      <w:r>
        <w:rPr>
          <w:rFonts w:hint="eastAsia"/>
        </w:rPr>
        <w:t>二、商务技术文件格式</w:t>
      </w:r>
    </w:p>
    <w:p>
      <w:pPr>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1.投标书格式</w:t>
      </w:r>
    </w:p>
    <w:p>
      <w:pPr>
        <w:wordWrap w:val="0"/>
        <w:spacing w:line="360" w:lineRule="auto"/>
        <w:ind w:firstLine="607" w:firstLineChars="25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投标书</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致：采购人或采购代理机构</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根据贵方招标编号为（）的公开招标公告，签字代表（全名、职务）经正式授权并代表投标人（投标人名称、地址）提交电子投标文件一份，并对之负法律责任。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投标文件组成资格证明文件第1至项，商务技术文件第1至项。</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据此函，签字代表宣布同意如下：</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1、所附服务报价为以开标一览表为准。</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2、如果我们的投标书被接受，我们将履行招标文件中规定的每一项要求，按期、按质、按量履行合同。</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3、我方愿按《中华人民共和国政府采购法》和《中华人民共和国民法典》履行我方的全部责任。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4、我方已详细审查全部招标文件，包括修改文件以及全部参考资料和有关附件。我们完全理解并同意放弃对这方面有不明白及误解的权力。</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5、本投标自开标之日起有效期为60天。</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电话（传真）：</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法定代表人（负责人）或授权代表（签字）：</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投标人名称（公章）：</w:t>
      </w:r>
    </w:p>
    <w:p>
      <w:pPr>
        <w:pStyle w:val="26"/>
        <w:spacing w:line="520" w:lineRule="exact"/>
        <w:ind w:left="418" w:leftChars="190" w:firstLineChars="175"/>
        <w:outlineLvl w:val="0"/>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pacing w:val="-8"/>
          <w:sz w:val="24"/>
          <w:szCs w:val="24"/>
        </w:rPr>
        <w:t>年月日</w:t>
      </w:r>
    </w:p>
    <w:p>
      <w:pPr>
        <w:wordWrap w:val="0"/>
        <w:spacing w:line="360" w:lineRule="auto"/>
        <w:ind w:firstLine="604" w:firstLineChars="252"/>
        <w:jc w:val="both"/>
        <w:rPr>
          <w:rFonts w:asciiTheme="minorEastAsia" w:hAnsiTheme="minorEastAsia" w:eastAsiaTheme="minorEastAsia" w:cstheme="minorEastAsia"/>
          <w:sz w:val="24"/>
          <w:szCs w:val="24"/>
        </w:rPr>
        <w:sectPr>
          <w:headerReference r:id="rId13" w:type="default"/>
          <w:footerReference r:id="rId14" w:type="default"/>
          <w:pgSz w:w="11907" w:h="16840"/>
          <w:pgMar w:top="1440" w:right="1800" w:bottom="1440" w:left="1800" w:header="878" w:footer="886" w:gutter="0"/>
          <w:cols w:space="720" w:num="1"/>
        </w:sectPr>
      </w:pPr>
    </w:p>
    <w:p>
      <w:pPr>
        <w:wordWrap w:val="0"/>
        <w:jc w:val="both"/>
        <w:rPr>
          <w:rFonts w:asciiTheme="minorEastAsia" w:hAnsiTheme="minorEastAsia" w:eastAsiaTheme="minorEastAsia" w:cstheme="minorEastAsia"/>
          <w:b/>
          <w:sz w:val="24"/>
          <w:szCs w:val="24"/>
        </w:rPr>
      </w:pPr>
    </w:p>
    <w:p>
      <w:pPr>
        <w:wordWrap w:val="0"/>
        <w:spacing w:line="240" w:lineRule="atLeast"/>
        <w:jc w:val="both"/>
        <w:rPr>
          <w:rFonts w:asciiTheme="minorEastAsia" w:hAnsiTheme="minorEastAsia" w:eastAsiaTheme="minorEastAsia" w:cstheme="minorEastAsia"/>
          <w:b/>
          <w:bCs/>
          <w:sz w:val="24"/>
          <w:szCs w:val="24"/>
        </w:rPr>
      </w:pPr>
    </w:p>
    <w:p>
      <w:pPr>
        <w:wordWrap w:val="0"/>
        <w:spacing w:line="360" w:lineRule="auto"/>
        <w:ind w:firstLine="576" w:firstLineChars="200"/>
        <w:jc w:val="both"/>
        <w:rPr>
          <w:rFonts w:asciiTheme="minorEastAsia" w:hAnsiTheme="minorEastAsia" w:eastAsiaTheme="minorEastAsia" w:cstheme="minorEastAsia"/>
          <w:spacing w:val="24"/>
          <w:sz w:val="24"/>
          <w:szCs w:val="24"/>
        </w:rPr>
      </w:pPr>
      <w:r>
        <w:rPr>
          <w:rFonts w:asciiTheme="minorEastAsia" w:hAnsiTheme="minorEastAsia" w:eastAsiaTheme="minorEastAsia" w:cstheme="minorEastAsia"/>
          <w:spacing w:val="24"/>
          <w:sz w:val="24"/>
          <w:szCs w:val="24"/>
        </w:rPr>
        <w:t>2</w:t>
      </w:r>
      <w:r>
        <w:rPr>
          <w:rFonts w:hint="eastAsia" w:asciiTheme="minorEastAsia" w:hAnsiTheme="minorEastAsia" w:eastAsiaTheme="minorEastAsia" w:cstheme="minorEastAsia"/>
          <w:spacing w:val="24"/>
          <w:sz w:val="24"/>
          <w:szCs w:val="24"/>
        </w:rPr>
        <w:t>.投标人人员基本情况表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1107"/>
        <w:gridCol w:w="1330"/>
        <w:gridCol w:w="1331"/>
        <w:gridCol w:w="1106"/>
        <w:gridCol w:w="225"/>
        <w:gridCol w:w="1465"/>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52" w:type="dxa"/>
            <w:vAlign w:val="center"/>
          </w:tcPr>
          <w:p>
            <w:pPr>
              <w:adjustRightInd w:val="0"/>
              <w:spacing w:line="520" w:lineRule="exact"/>
              <w:jc w:val="center"/>
              <w:rPr>
                <w:sz w:val="24"/>
              </w:rPr>
            </w:pPr>
            <w:r>
              <w:rPr>
                <w:rFonts w:hint="eastAsia"/>
                <w:sz w:val="24"/>
              </w:rPr>
              <w:t>投标人名称</w:t>
            </w:r>
          </w:p>
        </w:tc>
        <w:tc>
          <w:tcPr>
            <w:tcW w:w="7761" w:type="dxa"/>
            <w:gridSpan w:val="7"/>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52" w:type="dxa"/>
            <w:vAlign w:val="center"/>
          </w:tcPr>
          <w:p>
            <w:pPr>
              <w:adjustRightInd w:val="0"/>
              <w:spacing w:line="520" w:lineRule="exact"/>
              <w:jc w:val="center"/>
              <w:rPr>
                <w:sz w:val="24"/>
              </w:rPr>
            </w:pPr>
            <w:r>
              <w:rPr>
                <w:rFonts w:hint="eastAsia"/>
                <w:sz w:val="24"/>
              </w:rPr>
              <w:t>注册地址</w:t>
            </w:r>
          </w:p>
        </w:tc>
        <w:tc>
          <w:tcPr>
            <w:tcW w:w="3768" w:type="dxa"/>
            <w:gridSpan w:val="3"/>
            <w:vAlign w:val="center"/>
          </w:tcPr>
          <w:p>
            <w:pPr>
              <w:adjustRightInd w:val="0"/>
              <w:spacing w:line="520" w:lineRule="exact"/>
              <w:jc w:val="center"/>
              <w:rPr>
                <w:sz w:val="24"/>
              </w:rPr>
            </w:pPr>
          </w:p>
        </w:tc>
        <w:tc>
          <w:tcPr>
            <w:tcW w:w="1331" w:type="dxa"/>
            <w:gridSpan w:val="2"/>
            <w:vAlign w:val="center"/>
          </w:tcPr>
          <w:p>
            <w:pPr>
              <w:adjustRightInd w:val="0"/>
              <w:spacing w:line="520" w:lineRule="exact"/>
              <w:jc w:val="center"/>
              <w:rPr>
                <w:sz w:val="24"/>
              </w:rPr>
            </w:pPr>
            <w:r>
              <w:rPr>
                <w:rFonts w:hint="eastAsia"/>
                <w:sz w:val="24"/>
              </w:rPr>
              <w:t>邮政编码</w:t>
            </w:r>
          </w:p>
        </w:tc>
        <w:tc>
          <w:tcPr>
            <w:tcW w:w="2662" w:type="dxa"/>
            <w:gridSpan w:val="2"/>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Merge w:val="restart"/>
            <w:vAlign w:val="center"/>
          </w:tcPr>
          <w:p>
            <w:pPr>
              <w:adjustRightInd w:val="0"/>
              <w:spacing w:line="520" w:lineRule="exact"/>
              <w:jc w:val="center"/>
              <w:rPr>
                <w:sz w:val="24"/>
              </w:rPr>
            </w:pPr>
            <w:r>
              <w:rPr>
                <w:rFonts w:hint="eastAsia"/>
                <w:sz w:val="24"/>
              </w:rPr>
              <w:t>联系方式</w:t>
            </w:r>
          </w:p>
        </w:tc>
        <w:tc>
          <w:tcPr>
            <w:tcW w:w="1107" w:type="dxa"/>
            <w:vAlign w:val="center"/>
          </w:tcPr>
          <w:p>
            <w:pPr>
              <w:adjustRightInd w:val="0"/>
              <w:spacing w:line="520" w:lineRule="exact"/>
              <w:jc w:val="center"/>
              <w:rPr>
                <w:sz w:val="24"/>
              </w:rPr>
            </w:pPr>
            <w:r>
              <w:rPr>
                <w:rFonts w:hint="eastAsia"/>
                <w:sz w:val="24"/>
              </w:rPr>
              <w:t>联系人</w:t>
            </w:r>
          </w:p>
        </w:tc>
        <w:tc>
          <w:tcPr>
            <w:tcW w:w="2661" w:type="dxa"/>
            <w:gridSpan w:val="2"/>
            <w:vAlign w:val="center"/>
          </w:tcPr>
          <w:p>
            <w:pPr>
              <w:adjustRightInd w:val="0"/>
              <w:spacing w:line="520" w:lineRule="exact"/>
              <w:jc w:val="center"/>
              <w:rPr>
                <w:sz w:val="24"/>
              </w:rPr>
            </w:pPr>
          </w:p>
        </w:tc>
        <w:tc>
          <w:tcPr>
            <w:tcW w:w="1331" w:type="dxa"/>
            <w:gridSpan w:val="2"/>
            <w:vAlign w:val="center"/>
          </w:tcPr>
          <w:p>
            <w:pPr>
              <w:adjustRightInd w:val="0"/>
              <w:spacing w:line="520" w:lineRule="exact"/>
              <w:jc w:val="center"/>
              <w:rPr>
                <w:sz w:val="24"/>
              </w:rPr>
            </w:pPr>
            <w:r>
              <w:rPr>
                <w:rFonts w:hint="eastAsia"/>
                <w:sz w:val="24"/>
              </w:rPr>
              <w:t>电 话</w:t>
            </w:r>
          </w:p>
        </w:tc>
        <w:tc>
          <w:tcPr>
            <w:tcW w:w="2662" w:type="dxa"/>
            <w:gridSpan w:val="2"/>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 w:hRule="atLeast"/>
          <w:jc w:val="center"/>
        </w:trPr>
        <w:tc>
          <w:tcPr>
            <w:tcW w:w="1552" w:type="dxa"/>
            <w:vMerge w:val="continue"/>
            <w:vAlign w:val="center"/>
          </w:tcPr>
          <w:p>
            <w:pPr>
              <w:adjustRightInd w:val="0"/>
              <w:spacing w:line="520" w:lineRule="exact"/>
              <w:jc w:val="center"/>
              <w:rPr>
                <w:sz w:val="24"/>
              </w:rPr>
            </w:pPr>
          </w:p>
        </w:tc>
        <w:tc>
          <w:tcPr>
            <w:tcW w:w="1107" w:type="dxa"/>
            <w:vAlign w:val="center"/>
          </w:tcPr>
          <w:p>
            <w:pPr>
              <w:adjustRightInd w:val="0"/>
              <w:spacing w:line="520" w:lineRule="exact"/>
              <w:jc w:val="center"/>
              <w:rPr>
                <w:sz w:val="24"/>
              </w:rPr>
            </w:pPr>
            <w:r>
              <w:rPr>
                <w:rFonts w:hint="eastAsia"/>
                <w:sz w:val="24"/>
              </w:rPr>
              <w:t>传  真</w:t>
            </w:r>
          </w:p>
        </w:tc>
        <w:tc>
          <w:tcPr>
            <w:tcW w:w="2661" w:type="dxa"/>
            <w:gridSpan w:val="2"/>
            <w:vAlign w:val="center"/>
          </w:tcPr>
          <w:p>
            <w:pPr>
              <w:adjustRightInd w:val="0"/>
              <w:spacing w:line="520" w:lineRule="exact"/>
              <w:jc w:val="center"/>
              <w:rPr>
                <w:sz w:val="24"/>
              </w:rPr>
            </w:pPr>
          </w:p>
        </w:tc>
        <w:tc>
          <w:tcPr>
            <w:tcW w:w="1331" w:type="dxa"/>
            <w:gridSpan w:val="2"/>
            <w:vAlign w:val="center"/>
          </w:tcPr>
          <w:p>
            <w:pPr>
              <w:adjustRightInd w:val="0"/>
              <w:spacing w:line="520" w:lineRule="exact"/>
              <w:jc w:val="center"/>
              <w:rPr>
                <w:sz w:val="24"/>
              </w:rPr>
            </w:pPr>
            <w:r>
              <w:rPr>
                <w:rFonts w:hint="eastAsia"/>
                <w:sz w:val="24"/>
              </w:rPr>
              <w:t>网 址</w:t>
            </w:r>
          </w:p>
        </w:tc>
        <w:tc>
          <w:tcPr>
            <w:tcW w:w="2662" w:type="dxa"/>
            <w:gridSpan w:val="2"/>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52" w:type="dxa"/>
            <w:vAlign w:val="center"/>
          </w:tcPr>
          <w:p>
            <w:pPr>
              <w:adjustRightInd w:val="0"/>
              <w:spacing w:line="520" w:lineRule="exact"/>
              <w:jc w:val="center"/>
              <w:rPr>
                <w:sz w:val="24"/>
              </w:rPr>
            </w:pPr>
            <w:r>
              <w:rPr>
                <w:rFonts w:hint="eastAsia"/>
                <w:sz w:val="24"/>
              </w:rPr>
              <w:t>组织结构</w:t>
            </w:r>
          </w:p>
        </w:tc>
        <w:tc>
          <w:tcPr>
            <w:tcW w:w="7761" w:type="dxa"/>
            <w:gridSpan w:val="7"/>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52" w:type="dxa"/>
            <w:vAlign w:val="center"/>
          </w:tcPr>
          <w:p>
            <w:pPr>
              <w:adjustRightInd w:val="0"/>
              <w:spacing w:line="520" w:lineRule="exact"/>
              <w:jc w:val="center"/>
              <w:rPr>
                <w:sz w:val="24"/>
              </w:rPr>
            </w:pPr>
            <w:r>
              <w:rPr>
                <w:rFonts w:hint="eastAsia"/>
                <w:sz w:val="24"/>
              </w:rPr>
              <w:t>法定代表人</w:t>
            </w:r>
          </w:p>
        </w:tc>
        <w:tc>
          <w:tcPr>
            <w:tcW w:w="1107" w:type="dxa"/>
            <w:vAlign w:val="center"/>
          </w:tcPr>
          <w:p>
            <w:pPr>
              <w:adjustRightInd w:val="0"/>
              <w:spacing w:line="520" w:lineRule="exact"/>
              <w:jc w:val="center"/>
              <w:rPr>
                <w:sz w:val="24"/>
              </w:rPr>
            </w:pPr>
            <w:r>
              <w:rPr>
                <w:rFonts w:hint="eastAsia"/>
                <w:sz w:val="24"/>
              </w:rPr>
              <w:t>姓 名</w:t>
            </w:r>
          </w:p>
        </w:tc>
        <w:tc>
          <w:tcPr>
            <w:tcW w:w="1330" w:type="dxa"/>
            <w:vAlign w:val="center"/>
          </w:tcPr>
          <w:p>
            <w:pPr>
              <w:adjustRightInd w:val="0"/>
              <w:spacing w:line="520" w:lineRule="exact"/>
              <w:jc w:val="center"/>
              <w:rPr>
                <w:sz w:val="24"/>
              </w:rPr>
            </w:pPr>
          </w:p>
        </w:tc>
        <w:tc>
          <w:tcPr>
            <w:tcW w:w="1331" w:type="dxa"/>
            <w:vAlign w:val="center"/>
          </w:tcPr>
          <w:p>
            <w:pPr>
              <w:adjustRightInd w:val="0"/>
              <w:spacing w:line="520" w:lineRule="exact"/>
              <w:jc w:val="center"/>
              <w:rPr>
                <w:sz w:val="24"/>
              </w:rPr>
            </w:pPr>
            <w:r>
              <w:rPr>
                <w:rFonts w:hint="eastAsia"/>
                <w:sz w:val="24"/>
              </w:rPr>
              <w:t>技术职称</w:t>
            </w:r>
          </w:p>
        </w:tc>
        <w:tc>
          <w:tcPr>
            <w:tcW w:w="1331" w:type="dxa"/>
            <w:gridSpan w:val="2"/>
            <w:vAlign w:val="center"/>
          </w:tcPr>
          <w:p>
            <w:pPr>
              <w:adjustRightInd w:val="0"/>
              <w:spacing w:line="520" w:lineRule="exact"/>
              <w:jc w:val="center"/>
              <w:rPr>
                <w:sz w:val="24"/>
              </w:rPr>
            </w:pPr>
          </w:p>
        </w:tc>
        <w:tc>
          <w:tcPr>
            <w:tcW w:w="1465" w:type="dxa"/>
            <w:vAlign w:val="center"/>
          </w:tcPr>
          <w:p>
            <w:pPr>
              <w:adjustRightInd w:val="0"/>
              <w:spacing w:line="520" w:lineRule="exact"/>
              <w:jc w:val="center"/>
              <w:rPr>
                <w:sz w:val="24"/>
              </w:rPr>
            </w:pPr>
            <w:r>
              <w:rPr>
                <w:rFonts w:hint="eastAsia"/>
                <w:sz w:val="24"/>
              </w:rPr>
              <w:t>电 话</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52" w:type="dxa"/>
            <w:vAlign w:val="center"/>
          </w:tcPr>
          <w:p>
            <w:pPr>
              <w:adjustRightInd w:val="0"/>
              <w:spacing w:line="520" w:lineRule="exact"/>
              <w:jc w:val="center"/>
              <w:rPr>
                <w:sz w:val="24"/>
              </w:rPr>
            </w:pPr>
            <w:r>
              <w:rPr>
                <w:rFonts w:hint="eastAsia"/>
                <w:sz w:val="24"/>
              </w:rPr>
              <w:t>技术负责人</w:t>
            </w:r>
          </w:p>
        </w:tc>
        <w:tc>
          <w:tcPr>
            <w:tcW w:w="1107" w:type="dxa"/>
            <w:vAlign w:val="center"/>
          </w:tcPr>
          <w:p>
            <w:pPr>
              <w:adjustRightInd w:val="0"/>
              <w:spacing w:line="520" w:lineRule="exact"/>
              <w:jc w:val="center"/>
              <w:rPr>
                <w:sz w:val="24"/>
              </w:rPr>
            </w:pPr>
            <w:r>
              <w:rPr>
                <w:rFonts w:hint="eastAsia"/>
                <w:sz w:val="24"/>
              </w:rPr>
              <w:t>姓 名</w:t>
            </w:r>
          </w:p>
        </w:tc>
        <w:tc>
          <w:tcPr>
            <w:tcW w:w="1330" w:type="dxa"/>
            <w:vAlign w:val="center"/>
          </w:tcPr>
          <w:p>
            <w:pPr>
              <w:adjustRightInd w:val="0"/>
              <w:spacing w:line="520" w:lineRule="exact"/>
              <w:jc w:val="center"/>
              <w:rPr>
                <w:sz w:val="24"/>
              </w:rPr>
            </w:pPr>
          </w:p>
        </w:tc>
        <w:tc>
          <w:tcPr>
            <w:tcW w:w="1331" w:type="dxa"/>
            <w:vAlign w:val="center"/>
          </w:tcPr>
          <w:p>
            <w:pPr>
              <w:adjustRightInd w:val="0"/>
              <w:spacing w:line="520" w:lineRule="exact"/>
              <w:jc w:val="center"/>
              <w:rPr>
                <w:sz w:val="24"/>
              </w:rPr>
            </w:pPr>
            <w:r>
              <w:rPr>
                <w:rFonts w:hint="eastAsia"/>
                <w:sz w:val="24"/>
              </w:rPr>
              <w:t>技术职称</w:t>
            </w:r>
          </w:p>
        </w:tc>
        <w:tc>
          <w:tcPr>
            <w:tcW w:w="1331" w:type="dxa"/>
            <w:gridSpan w:val="2"/>
            <w:vAlign w:val="center"/>
          </w:tcPr>
          <w:p>
            <w:pPr>
              <w:adjustRightInd w:val="0"/>
              <w:spacing w:line="520" w:lineRule="exact"/>
              <w:jc w:val="center"/>
              <w:rPr>
                <w:sz w:val="24"/>
              </w:rPr>
            </w:pPr>
          </w:p>
        </w:tc>
        <w:tc>
          <w:tcPr>
            <w:tcW w:w="1465" w:type="dxa"/>
            <w:vAlign w:val="center"/>
          </w:tcPr>
          <w:p>
            <w:pPr>
              <w:adjustRightInd w:val="0"/>
              <w:spacing w:line="520" w:lineRule="exact"/>
              <w:jc w:val="center"/>
              <w:rPr>
                <w:sz w:val="24"/>
              </w:rPr>
            </w:pPr>
            <w:r>
              <w:rPr>
                <w:rFonts w:hint="eastAsia"/>
                <w:sz w:val="24"/>
              </w:rPr>
              <w:t>电 话</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52" w:type="dxa"/>
            <w:vAlign w:val="center"/>
          </w:tcPr>
          <w:p>
            <w:pPr>
              <w:adjustRightInd w:val="0"/>
              <w:spacing w:line="520" w:lineRule="exact"/>
              <w:jc w:val="center"/>
              <w:rPr>
                <w:sz w:val="24"/>
              </w:rPr>
            </w:pPr>
            <w:r>
              <w:rPr>
                <w:rFonts w:hint="eastAsia"/>
                <w:sz w:val="24"/>
              </w:rPr>
              <w:t>成立时间</w:t>
            </w:r>
          </w:p>
        </w:tc>
        <w:tc>
          <w:tcPr>
            <w:tcW w:w="3768" w:type="dxa"/>
            <w:gridSpan w:val="3"/>
            <w:vAlign w:val="center"/>
          </w:tcPr>
          <w:p>
            <w:pPr>
              <w:adjustRightInd w:val="0"/>
              <w:spacing w:line="520" w:lineRule="exact"/>
              <w:jc w:val="center"/>
              <w:rPr>
                <w:sz w:val="24"/>
              </w:rPr>
            </w:pPr>
          </w:p>
        </w:tc>
        <w:tc>
          <w:tcPr>
            <w:tcW w:w="3993" w:type="dxa"/>
            <w:gridSpan w:val="4"/>
            <w:vAlign w:val="center"/>
          </w:tcPr>
          <w:p>
            <w:pPr>
              <w:adjustRightInd w:val="0"/>
              <w:spacing w:line="520" w:lineRule="exact"/>
              <w:jc w:val="center"/>
              <w:rPr>
                <w:sz w:val="24"/>
              </w:rPr>
            </w:pPr>
            <w:r>
              <w:rPr>
                <w:rFonts w:hint="eastAsia"/>
                <w:sz w:val="24"/>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Align w:val="center"/>
          </w:tcPr>
          <w:p>
            <w:pPr>
              <w:adjustRightInd w:val="0"/>
              <w:spacing w:line="520" w:lineRule="exact"/>
              <w:jc w:val="center"/>
              <w:rPr>
                <w:sz w:val="24"/>
              </w:rPr>
            </w:pPr>
            <w:r>
              <w:rPr>
                <w:rFonts w:hint="eastAsia"/>
                <w:sz w:val="24"/>
              </w:rPr>
              <w:t xml:space="preserve">企业资质  等 </w:t>
            </w:r>
            <w:r>
              <w:rPr>
                <w:sz w:val="24"/>
              </w:rPr>
              <w:t xml:space="preserve">   </w:t>
            </w:r>
            <w:r>
              <w:rPr>
                <w:rFonts w:hint="eastAsia"/>
                <w:sz w:val="24"/>
              </w:rPr>
              <w:t>级</w:t>
            </w:r>
          </w:p>
        </w:tc>
        <w:tc>
          <w:tcPr>
            <w:tcW w:w="3768" w:type="dxa"/>
            <w:gridSpan w:val="3"/>
            <w:vAlign w:val="center"/>
          </w:tcPr>
          <w:p>
            <w:pPr>
              <w:adjustRightInd w:val="0"/>
              <w:spacing w:line="520" w:lineRule="exact"/>
              <w:jc w:val="center"/>
              <w:rPr>
                <w:sz w:val="24"/>
              </w:rPr>
            </w:pPr>
          </w:p>
        </w:tc>
        <w:tc>
          <w:tcPr>
            <w:tcW w:w="1106" w:type="dxa"/>
            <w:vMerge w:val="restart"/>
            <w:vAlign w:val="center"/>
          </w:tcPr>
          <w:p>
            <w:pPr>
              <w:adjustRightInd w:val="0"/>
              <w:spacing w:line="520" w:lineRule="exact"/>
              <w:jc w:val="center"/>
              <w:rPr>
                <w:sz w:val="24"/>
              </w:rPr>
            </w:pPr>
            <w:r>
              <w:rPr>
                <w:rFonts w:hint="eastAsia"/>
                <w:sz w:val="24"/>
              </w:rPr>
              <w:t>其中</w:t>
            </w:r>
          </w:p>
        </w:tc>
        <w:tc>
          <w:tcPr>
            <w:tcW w:w="1690" w:type="dxa"/>
            <w:gridSpan w:val="2"/>
            <w:vAlign w:val="center"/>
          </w:tcPr>
          <w:p>
            <w:pPr>
              <w:adjustRightInd w:val="0"/>
              <w:spacing w:line="520" w:lineRule="exact"/>
              <w:jc w:val="center"/>
              <w:rPr>
                <w:sz w:val="24"/>
              </w:rPr>
            </w:pPr>
            <w:r>
              <w:rPr>
                <w:rFonts w:hint="eastAsia"/>
                <w:sz w:val="24"/>
              </w:rPr>
              <w:t>项目</w:t>
            </w:r>
            <w:r>
              <w:rPr>
                <w:rFonts w:hint="eastAsia"/>
                <w:sz w:val="24"/>
                <w:lang w:val="en-US"/>
              </w:rPr>
              <w:t>负责人</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1552" w:type="dxa"/>
            <w:vAlign w:val="center"/>
          </w:tcPr>
          <w:p>
            <w:pPr>
              <w:adjustRightInd w:val="0"/>
              <w:spacing w:line="520" w:lineRule="exact"/>
              <w:jc w:val="center"/>
              <w:rPr>
                <w:sz w:val="24"/>
              </w:rPr>
            </w:pPr>
            <w:r>
              <w:rPr>
                <w:rFonts w:hint="eastAsia"/>
                <w:sz w:val="24"/>
              </w:rPr>
              <w:t>营业执照号</w:t>
            </w:r>
          </w:p>
        </w:tc>
        <w:tc>
          <w:tcPr>
            <w:tcW w:w="3768" w:type="dxa"/>
            <w:gridSpan w:val="3"/>
            <w:vAlign w:val="center"/>
          </w:tcPr>
          <w:p>
            <w:pPr>
              <w:adjustRightInd w:val="0"/>
              <w:spacing w:line="520" w:lineRule="exact"/>
              <w:jc w:val="center"/>
              <w:rPr>
                <w:sz w:val="24"/>
              </w:rPr>
            </w:pPr>
          </w:p>
        </w:tc>
        <w:tc>
          <w:tcPr>
            <w:tcW w:w="1106" w:type="dxa"/>
            <w:vMerge w:val="continue"/>
            <w:vAlign w:val="center"/>
          </w:tcPr>
          <w:p>
            <w:pPr>
              <w:adjustRightInd w:val="0"/>
              <w:spacing w:line="520" w:lineRule="exact"/>
              <w:jc w:val="center"/>
              <w:rPr>
                <w:sz w:val="24"/>
              </w:rPr>
            </w:pPr>
          </w:p>
        </w:tc>
        <w:tc>
          <w:tcPr>
            <w:tcW w:w="1690" w:type="dxa"/>
            <w:gridSpan w:val="2"/>
            <w:vAlign w:val="center"/>
          </w:tcPr>
          <w:p>
            <w:pPr>
              <w:adjustRightInd w:val="0"/>
              <w:spacing w:line="520" w:lineRule="exact"/>
              <w:jc w:val="center"/>
              <w:rPr>
                <w:sz w:val="24"/>
              </w:rPr>
            </w:pPr>
            <w:r>
              <w:rPr>
                <w:rFonts w:hint="eastAsia"/>
                <w:sz w:val="24"/>
              </w:rPr>
              <w:t>高级职称人员</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Align w:val="center"/>
          </w:tcPr>
          <w:p>
            <w:pPr>
              <w:adjustRightInd w:val="0"/>
              <w:spacing w:line="520" w:lineRule="exact"/>
              <w:jc w:val="center"/>
              <w:rPr>
                <w:sz w:val="24"/>
              </w:rPr>
            </w:pPr>
            <w:r>
              <w:rPr>
                <w:rFonts w:hint="eastAsia"/>
                <w:sz w:val="24"/>
              </w:rPr>
              <w:t>注册资金</w:t>
            </w:r>
          </w:p>
        </w:tc>
        <w:tc>
          <w:tcPr>
            <w:tcW w:w="3768" w:type="dxa"/>
            <w:gridSpan w:val="3"/>
            <w:vAlign w:val="center"/>
          </w:tcPr>
          <w:p>
            <w:pPr>
              <w:adjustRightInd w:val="0"/>
              <w:spacing w:line="520" w:lineRule="exact"/>
              <w:jc w:val="center"/>
              <w:rPr>
                <w:sz w:val="24"/>
              </w:rPr>
            </w:pPr>
          </w:p>
        </w:tc>
        <w:tc>
          <w:tcPr>
            <w:tcW w:w="1106" w:type="dxa"/>
            <w:vMerge w:val="continue"/>
            <w:vAlign w:val="center"/>
          </w:tcPr>
          <w:p>
            <w:pPr>
              <w:adjustRightInd w:val="0"/>
              <w:spacing w:line="520" w:lineRule="exact"/>
              <w:jc w:val="center"/>
              <w:rPr>
                <w:sz w:val="24"/>
              </w:rPr>
            </w:pPr>
          </w:p>
        </w:tc>
        <w:tc>
          <w:tcPr>
            <w:tcW w:w="1690" w:type="dxa"/>
            <w:gridSpan w:val="2"/>
            <w:vAlign w:val="center"/>
          </w:tcPr>
          <w:p>
            <w:pPr>
              <w:adjustRightInd w:val="0"/>
              <w:spacing w:line="520" w:lineRule="exact"/>
              <w:jc w:val="center"/>
              <w:rPr>
                <w:sz w:val="24"/>
              </w:rPr>
            </w:pPr>
            <w:r>
              <w:rPr>
                <w:rFonts w:hint="eastAsia"/>
                <w:sz w:val="24"/>
              </w:rPr>
              <w:t>中级职称人员</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1552" w:type="dxa"/>
            <w:vAlign w:val="center"/>
          </w:tcPr>
          <w:p>
            <w:pPr>
              <w:adjustRightInd w:val="0"/>
              <w:spacing w:line="520" w:lineRule="exact"/>
              <w:jc w:val="center"/>
              <w:rPr>
                <w:sz w:val="24"/>
              </w:rPr>
            </w:pPr>
            <w:r>
              <w:rPr>
                <w:rFonts w:hint="eastAsia"/>
                <w:sz w:val="24"/>
              </w:rPr>
              <w:t>开户银行</w:t>
            </w:r>
          </w:p>
        </w:tc>
        <w:tc>
          <w:tcPr>
            <w:tcW w:w="3768" w:type="dxa"/>
            <w:gridSpan w:val="3"/>
            <w:vAlign w:val="center"/>
          </w:tcPr>
          <w:p>
            <w:pPr>
              <w:adjustRightInd w:val="0"/>
              <w:spacing w:line="520" w:lineRule="exact"/>
              <w:jc w:val="center"/>
              <w:rPr>
                <w:sz w:val="24"/>
              </w:rPr>
            </w:pPr>
          </w:p>
        </w:tc>
        <w:tc>
          <w:tcPr>
            <w:tcW w:w="1106" w:type="dxa"/>
            <w:vMerge w:val="continue"/>
            <w:vAlign w:val="center"/>
          </w:tcPr>
          <w:p>
            <w:pPr>
              <w:adjustRightInd w:val="0"/>
              <w:spacing w:line="520" w:lineRule="exact"/>
              <w:jc w:val="center"/>
              <w:rPr>
                <w:sz w:val="24"/>
              </w:rPr>
            </w:pPr>
          </w:p>
        </w:tc>
        <w:tc>
          <w:tcPr>
            <w:tcW w:w="1690" w:type="dxa"/>
            <w:gridSpan w:val="2"/>
            <w:vAlign w:val="center"/>
          </w:tcPr>
          <w:p>
            <w:pPr>
              <w:adjustRightInd w:val="0"/>
              <w:spacing w:line="520" w:lineRule="exact"/>
              <w:jc w:val="center"/>
              <w:rPr>
                <w:sz w:val="24"/>
              </w:rPr>
            </w:pPr>
            <w:r>
              <w:rPr>
                <w:rFonts w:hint="eastAsia"/>
                <w:sz w:val="24"/>
              </w:rPr>
              <w:t>初级职称人员</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Align w:val="center"/>
          </w:tcPr>
          <w:p>
            <w:pPr>
              <w:adjustRightInd w:val="0"/>
              <w:spacing w:line="520" w:lineRule="exact"/>
              <w:jc w:val="center"/>
              <w:rPr>
                <w:sz w:val="24"/>
              </w:rPr>
            </w:pPr>
            <w:r>
              <w:rPr>
                <w:rFonts w:hint="eastAsia"/>
                <w:sz w:val="24"/>
              </w:rPr>
              <w:t xml:space="preserve">账 </w:t>
            </w:r>
            <w:r>
              <w:rPr>
                <w:sz w:val="24"/>
              </w:rPr>
              <w:t xml:space="preserve">  </w:t>
            </w:r>
            <w:r>
              <w:rPr>
                <w:rFonts w:hint="eastAsia"/>
                <w:sz w:val="24"/>
              </w:rPr>
              <w:t>号</w:t>
            </w:r>
          </w:p>
        </w:tc>
        <w:tc>
          <w:tcPr>
            <w:tcW w:w="3768" w:type="dxa"/>
            <w:gridSpan w:val="3"/>
            <w:vAlign w:val="center"/>
          </w:tcPr>
          <w:p>
            <w:pPr>
              <w:adjustRightInd w:val="0"/>
              <w:spacing w:line="520" w:lineRule="exact"/>
              <w:jc w:val="center"/>
              <w:rPr>
                <w:sz w:val="24"/>
              </w:rPr>
            </w:pPr>
          </w:p>
        </w:tc>
        <w:tc>
          <w:tcPr>
            <w:tcW w:w="1106" w:type="dxa"/>
            <w:vMerge w:val="continue"/>
            <w:vAlign w:val="center"/>
          </w:tcPr>
          <w:p>
            <w:pPr>
              <w:adjustRightInd w:val="0"/>
              <w:spacing w:line="520" w:lineRule="exact"/>
              <w:jc w:val="center"/>
              <w:rPr>
                <w:sz w:val="24"/>
              </w:rPr>
            </w:pPr>
          </w:p>
        </w:tc>
        <w:tc>
          <w:tcPr>
            <w:tcW w:w="1690" w:type="dxa"/>
            <w:gridSpan w:val="2"/>
            <w:vAlign w:val="center"/>
          </w:tcPr>
          <w:p>
            <w:pPr>
              <w:adjustRightInd w:val="0"/>
              <w:spacing w:line="520" w:lineRule="exact"/>
              <w:jc w:val="center"/>
              <w:rPr>
                <w:sz w:val="24"/>
              </w:rPr>
            </w:pPr>
            <w:r>
              <w:rPr>
                <w:rFonts w:hint="eastAsia"/>
                <w:sz w:val="24"/>
              </w:rPr>
              <w:t xml:space="preserve">技 </w:t>
            </w:r>
            <w:r>
              <w:rPr>
                <w:sz w:val="24"/>
              </w:rPr>
              <w:t xml:space="preserve">       </w:t>
            </w:r>
            <w:r>
              <w:rPr>
                <w:rFonts w:hint="eastAsia"/>
                <w:sz w:val="24"/>
              </w:rPr>
              <w:t>工</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1" w:hRule="atLeast"/>
          <w:jc w:val="center"/>
        </w:trPr>
        <w:tc>
          <w:tcPr>
            <w:tcW w:w="1552" w:type="dxa"/>
            <w:vAlign w:val="center"/>
          </w:tcPr>
          <w:p>
            <w:pPr>
              <w:adjustRightInd w:val="0"/>
              <w:spacing w:line="520" w:lineRule="exact"/>
              <w:jc w:val="center"/>
              <w:rPr>
                <w:sz w:val="24"/>
              </w:rPr>
            </w:pPr>
            <w:r>
              <w:rPr>
                <w:rFonts w:hint="eastAsia"/>
                <w:sz w:val="24"/>
              </w:rPr>
              <w:t>经营范围</w:t>
            </w:r>
          </w:p>
        </w:tc>
        <w:tc>
          <w:tcPr>
            <w:tcW w:w="7761" w:type="dxa"/>
            <w:gridSpan w:val="7"/>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552" w:type="dxa"/>
            <w:vAlign w:val="center"/>
          </w:tcPr>
          <w:p>
            <w:pPr>
              <w:adjustRightInd w:val="0"/>
              <w:spacing w:line="520" w:lineRule="exact"/>
              <w:jc w:val="center"/>
              <w:rPr>
                <w:sz w:val="24"/>
              </w:rPr>
            </w:pPr>
            <w:r>
              <w:rPr>
                <w:rFonts w:hint="eastAsia"/>
                <w:sz w:val="24"/>
              </w:rPr>
              <w:t>备注</w:t>
            </w:r>
          </w:p>
        </w:tc>
        <w:tc>
          <w:tcPr>
            <w:tcW w:w="7761" w:type="dxa"/>
            <w:gridSpan w:val="7"/>
            <w:vAlign w:val="center"/>
          </w:tcPr>
          <w:p>
            <w:pPr>
              <w:adjustRightInd w:val="0"/>
              <w:spacing w:line="520" w:lineRule="exact"/>
              <w:jc w:val="center"/>
              <w:rPr>
                <w:sz w:val="24"/>
              </w:rPr>
            </w:pPr>
          </w:p>
        </w:tc>
      </w:tr>
    </w:tbl>
    <w:p>
      <w:pPr>
        <w:adjustRightInd w:val="0"/>
        <w:spacing w:line="520" w:lineRule="exact"/>
        <w:rPr>
          <w:b/>
          <w:bCs/>
          <w:sz w:val="24"/>
        </w:rPr>
      </w:pPr>
      <w:r>
        <w:rPr>
          <w:rFonts w:hint="eastAsia"/>
          <w:b/>
          <w:bCs/>
          <w:sz w:val="24"/>
        </w:rPr>
        <w:t>备注：应附投标人营业执照副本、资质证书副本等材料的复印件并加盖公章。</w:t>
      </w:r>
    </w:p>
    <w:p>
      <w:pPr>
        <w:adjustRightInd w:val="0"/>
        <w:spacing w:line="520" w:lineRule="exact"/>
        <w:rPr>
          <w:sz w:val="24"/>
        </w:rPr>
      </w:pPr>
    </w:p>
    <w:p>
      <w:pPr>
        <w:adjustRightInd w:val="0"/>
        <w:spacing w:line="520" w:lineRule="exact"/>
        <w:ind w:firstLine="3373" w:firstLineChars="1400"/>
        <w:rPr>
          <w:b/>
          <w:sz w:val="24"/>
        </w:rPr>
      </w:pPr>
    </w:p>
    <w:p>
      <w:pPr>
        <w:adjustRightInd w:val="0"/>
        <w:spacing w:line="520" w:lineRule="exact"/>
        <w:rPr>
          <w:b/>
          <w:sz w:val="24"/>
        </w:rPr>
      </w:pPr>
    </w:p>
    <w:p>
      <w:pPr>
        <w:adjustRightInd w:val="0"/>
        <w:spacing w:line="520" w:lineRule="exact"/>
        <w:rPr>
          <w:rFonts w:asciiTheme="minorEastAsia" w:hAnsiTheme="minorEastAsia" w:eastAsiaTheme="minorEastAsia" w:cstheme="minorEastAsia"/>
          <w:spacing w:val="24"/>
          <w:sz w:val="24"/>
          <w:szCs w:val="24"/>
        </w:rPr>
      </w:pPr>
      <w:r>
        <w:rPr>
          <w:rFonts w:hint="eastAsia" w:asciiTheme="minorEastAsia" w:hAnsiTheme="minorEastAsia" w:eastAsiaTheme="minorEastAsia" w:cstheme="minorEastAsia"/>
          <w:spacing w:val="24"/>
          <w:sz w:val="24"/>
          <w:szCs w:val="24"/>
        </w:rPr>
        <w:t>2</w:t>
      </w:r>
      <w:r>
        <w:rPr>
          <w:rFonts w:asciiTheme="minorEastAsia" w:hAnsiTheme="minorEastAsia" w:eastAsiaTheme="minorEastAsia" w:cstheme="minorEastAsia"/>
          <w:spacing w:val="24"/>
          <w:sz w:val="24"/>
          <w:szCs w:val="24"/>
        </w:rPr>
        <w:t>.1</w:t>
      </w:r>
      <w:r>
        <w:rPr>
          <w:rFonts w:hint="eastAsia" w:asciiTheme="minorEastAsia" w:hAnsiTheme="minorEastAsia" w:eastAsiaTheme="minorEastAsia" w:cstheme="minorEastAsia"/>
          <w:spacing w:val="24"/>
          <w:sz w:val="24"/>
          <w:szCs w:val="24"/>
        </w:rPr>
        <w:t>投标人项目管理机构组成表</w:t>
      </w:r>
    </w:p>
    <w:p>
      <w:pPr>
        <w:adjustRightInd w:val="0"/>
        <w:spacing w:line="520" w:lineRule="exact"/>
        <w:rPr>
          <w:sz w:val="24"/>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1034"/>
        <w:gridCol w:w="1035"/>
        <w:gridCol w:w="1157"/>
        <w:gridCol w:w="913"/>
        <w:gridCol w:w="1035"/>
        <w:gridCol w:w="1035"/>
        <w:gridCol w:w="1169"/>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1034" w:type="dxa"/>
            <w:vMerge w:val="restart"/>
            <w:vAlign w:val="center"/>
          </w:tcPr>
          <w:p>
            <w:pPr>
              <w:adjustRightInd w:val="0"/>
              <w:spacing w:line="520" w:lineRule="exact"/>
              <w:jc w:val="center"/>
              <w:rPr>
                <w:sz w:val="24"/>
              </w:rPr>
            </w:pPr>
            <w:r>
              <w:rPr>
                <w:rFonts w:hint="eastAsia"/>
                <w:sz w:val="24"/>
              </w:rPr>
              <w:t>职务</w:t>
            </w:r>
          </w:p>
        </w:tc>
        <w:tc>
          <w:tcPr>
            <w:tcW w:w="1034" w:type="dxa"/>
            <w:vMerge w:val="restart"/>
            <w:vAlign w:val="center"/>
          </w:tcPr>
          <w:p>
            <w:pPr>
              <w:adjustRightInd w:val="0"/>
              <w:spacing w:line="520" w:lineRule="exact"/>
              <w:jc w:val="center"/>
              <w:rPr>
                <w:sz w:val="24"/>
              </w:rPr>
            </w:pPr>
            <w:r>
              <w:rPr>
                <w:rFonts w:hint="eastAsia"/>
                <w:sz w:val="24"/>
              </w:rPr>
              <w:t>姓名</w:t>
            </w:r>
          </w:p>
        </w:tc>
        <w:tc>
          <w:tcPr>
            <w:tcW w:w="1035" w:type="dxa"/>
            <w:vMerge w:val="restart"/>
            <w:vAlign w:val="center"/>
          </w:tcPr>
          <w:p>
            <w:pPr>
              <w:adjustRightInd w:val="0"/>
              <w:spacing w:line="520" w:lineRule="exact"/>
              <w:jc w:val="center"/>
              <w:rPr>
                <w:sz w:val="24"/>
              </w:rPr>
            </w:pPr>
            <w:r>
              <w:rPr>
                <w:rFonts w:hint="eastAsia"/>
                <w:sz w:val="24"/>
              </w:rPr>
              <w:t>职称</w:t>
            </w:r>
          </w:p>
        </w:tc>
        <w:tc>
          <w:tcPr>
            <w:tcW w:w="5309" w:type="dxa"/>
            <w:gridSpan w:val="5"/>
            <w:vAlign w:val="center"/>
          </w:tcPr>
          <w:p>
            <w:pPr>
              <w:adjustRightInd w:val="0"/>
              <w:spacing w:line="520" w:lineRule="exact"/>
              <w:jc w:val="center"/>
              <w:rPr>
                <w:sz w:val="24"/>
              </w:rPr>
            </w:pPr>
            <w:r>
              <w:rPr>
                <w:rFonts w:hint="eastAsia"/>
                <w:sz w:val="24"/>
              </w:rPr>
              <w:t>执业或职业资格证明</w:t>
            </w:r>
          </w:p>
        </w:tc>
        <w:tc>
          <w:tcPr>
            <w:tcW w:w="901" w:type="dxa"/>
            <w:vAlign w:val="center"/>
          </w:tcPr>
          <w:p>
            <w:pPr>
              <w:adjustRightInd w:val="0"/>
              <w:spacing w:line="520" w:lineRule="exact"/>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034" w:type="dxa"/>
            <w:vMerge w:val="continue"/>
            <w:vAlign w:val="center"/>
          </w:tcPr>
          <w:p>
            <w:pPr>
              <w:adjustRightInd w:val="0"/>
              <w:spacing w:line="520" w:lineRule="exact"/>
              <w:jc w:val="center"/>
              <w:rPr>
                <w:sz w:val="24"/>
              </w:rPr>
            </w:pPr>
          </w:p>
        </w:tc>
        <w:tc>
          <w:tcPr>
            <w:tcW w:w="1034" w:type="dxa"/>
            <w:vMerge w:val="continue"/>
            <w:vAlign w:val="center"/>
          </w:tcPr>
          <w:p>
            <w:pPr>
              <w:adjustRightInd w:val="0"/>
              <w:spacing w:line="520" w:lineRule="exact"/>
              <w:jc w:val="center"/>
              <w:rPr>
                <w:sz w:val="24"/>
              </w:rPr>
            </w:pPr>
          </w:p>
        </w:tc>
        <w:tc>
          <w:tcPr>
            <w:tcW w:w="1035" w:type="dxa"/>
            <w:vMerge w:val="continue"/>
            <w:vAlign w:val="center"/>
          </w:tcPr>
          <w:p>
            <w:pPr>
              <w:adjustRightInd w:val="0"/>
              <w:spacing w:line="520" w:lineRule="exact"/>
              <w:jc w:val="center"/>
              <w:rPr>
                <w:sz w:val="24"/>
              </w:rPr>
            </w:pPr>
          </w:p>
        </w:tc>
        <w:tc>
          <w:tcPr>
            <w:tcW w:w="1157" w:type="dxa"/>
            <w:vAlign w:val="center"/>
          </w:tcPr>
          <w:p>
            <w:pPr>
              <w:adjustRightInd w:val="0"/>
              <w:spacing w:line="520" w:lineRule="exact"/>
              <w:jc w:val="center"/>
              <w:rPr>
                <w:sz w:val="24"/>
              </w:rPr>
            </w:pPr>
            <w:r>
              <w:rPr>
                <w:rFonts w:hint="eastAsia"/>
                <w:sz w:val="24"/>
              </w:rPr>
              <w:t>证书</w:t>
            </w:r>
          </w:p>
          <w:p>
            <w:pPr>
              <w:adjustRightInd w:val="0"/>
              <w:spacing w:line="520" w:lineRule="exact"/>
              <w:jc w:val="center"/>
              <w:rPr>
                <w:sz w:val="24"/>
              </w:rPr>
            </w:pPr>
            <w:r>
              <w:rPr>
                <w:rFonts w:hint="eastAsia"/>
                <w:sz w:val="24"/>
              </w:rPr>
              <w:t>名称</w:t>
            </w:r>
          </w:p>
        </w:tc>
        <w:tc>
          <w:tcPr>
            <w:tcW w:w="913" w:type="dxa"/>
            <w:vAlign w:val="center"/>
          </w:tcPr>
          <w:p>
            <w:pPr>
              <w:adjustRightInd w:val="0"/>
              <w:spacing w:line="520" w:lineRule="exact"/>
              <w:jc w:val="center"/>
              <w:rPr>
                <w:sz w:val="24"/>
              </w:rPr>
            </w:pPr>
            <w:r>
              <w:rPr>
                <w:rFonts w:hint="eastAsia"/>
                <w:sz w:val="24"/>
              </w:rPr>
              <w:t>级别</w:t>
            </w:r>
          </w:p>
        </w:tc>
        <w:tc>
          <w:tcPr>
            <w:tcW w:w="1035" w:type="dxa"/>
            <w:vAlign w:val="center"/>
          </w:tcPr>
          <w:p>
            <w:pPr>
              <w:adjustRightInd w:val="0"/>
              <w:spacing w:line="520" w:lineRule="exact"/>
              <w:jc w:val="center"/>
              <w:rPr>
                <w:sz w:val="24"/>
              </w:rPr>
            </w:pPr>
            <w:r>
              <w:rPr>
                <w:rFonts w:hint="eastAsia"/>
                <w:sz w:val="24"/>
              </w:rPr>
              <w:t>证号</w:t>
            </w:r>
          </w:p>
        </w:tc>
        <w:tc>
          <w:tcPr>
            <w:tcW w:w="1035" w:type="dxa"/>
            <w:vAlign w:val="center"/>
          </w:tcPr>
          <w:p>
            <w:pPr>
              <w:adjustRightInd w:val="0"/>
              <w:spacing w:line="520" w:lineRule="exact"/>
              <w:jc w:val="center"/>
              <w:rPr>
                <w:sz w:val="24"/>
              </w:rPr>
            </w:pPr>
            <w:r>
              <w:rPr>
                <w:rFonts w:hint="eastAsia"/>
                <w:sz w:val="24"/>
              </w:rPr>
              <w:t>专业</w:t>
            </w:r>
          </w:p>
        </w:tc>
        <w:tc>
          <w:tcPr>
            <w:tcW w:w="1169" w:type="dxa"/>
            <w:vAlign w:val="center"/>
          </w:tcPr>
          <w:p>
            <w:pPr>
              <w:adjustRightInd w:val="0"/>
              <w:spacing w:line="520" w:lineRule="exact"/>
              <w:jc w:val="center"/>
              <w:rPr>
                <w:sz w:val="24"/>
              </w:rPr>
            </w:pPr>
            <w:r>
              <w:rPr>
                <w:rFonts w:hint="eastAsia"/>
                <w:sz w:val="24"/>
              </w:rPr>
              <w:t>养老</w:t>
            </w:r>
          </w:p>
          <w:p>
            <w:pPr>
              <w:adjustRightInd w:val="0"/>
              <w:spacing w:line="520" w:lineRule="exact"/>
              <w:jc w:val="center"/>
              <w:rPr>
                <w:sz w:val="24"/>
              </w:rPr>
            </w:pPr>
            <w:r>
              <w:rPr>
                <w:rFonts w:hint="eastAsia"/>
                <w:sz w:val="24"/>
              </w:rPr>
              <w:t>保险</w:t>
            </w:r>
          </w:p>
        </w:tc>
        <w:tc>
          <w:tcPr>
            <w:tcW w:w="901"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034" w:type="dxa"/>
            <w:vAlign w:val="center"/>
          </w:tcPr>
          <w:p>
            <w:pPr>
              <w:adjustRightInd w:val="0"/>
              <w:spacing w:line="520" w:lineRule="exact"/>
              <w:jc w:val="center"/>
              <w:rPr>
                <w:sz w:val="24"/>
              </w:rPr>
            </w:pPr>
          </w:p>
        </w:tc>
        <w:tc>
          <w:tcPr>
            <w:tcW w:w="1034"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57" w:type="dxa"/>
            <w:vAlign w:val="center"/>
          </w:tcPr>
          <w:p>
            <w:pPr>
              <w:adjustRightInd w:val="0"/>
              <w:spacing w:line="520" w:lineRule="exact"/>
              <w:jc w:val="center"/>
              <w:rPr>
                <w:sz w:val="24"/>
              </w:rPr>
            </w:pPr>
          </w:p>
        </w:tc>
        <w:tc>
          <w:tcPr>
            <w:tcW w:w="913"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69" w:type="dxa"/>
            <w:vAlign w:val="center"/>
          </w:tcPr>
          <w:p>
            <w:pPr>
              <w:adjustRightInd w:val="0"/>
              <w:spacing w:line="520" w:lineRule="exact"/>
              <w:jc w:val="center"/>
              <w:rPr>
                <w:sz w:val="24"/>
              </w:rPr>
            </w:pPr>
          </w:p>
        </w:tc>
        <w:tc>
          <w:tcPr>
            <w:tcW w:w="901"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1034" w:type="dxa"/>
            <w:vAlign w:val="center"/>
          </w:tcPr>
          <w:p>
            <w:pPr>
              <w:adjustRightInd w:val="0"/>
              <w:spacing w:line="520" w:lineRule="exact"/>
              <w:jc w:val="center"/>
              <w:rPr>
                <w:sz w:val="24"/>
              </w:rPr>
            </w:pPr>
          </w:p>
        </w:tc>
        <w:tc>
          <w:tcPr>
            <w:tcW w:w="1034"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57" w:type="dxa"/>
            <w:vAlign w:val="center"/>
          </w:tcPr>
          <w:p>
            <w:pPr>
              <w:adjustRightInd w:val="0"/>
              <w:spacing w:line="520" w:lineRule="exact"/>
              <w:jc w:val="center"/>
              <w:rPr>
                <w:sz w:val="24"/>
              </w:rPr>
            </w:pPr>
          </w:p>
        </w:tc>
        <w:tc>
          <w:tcPr>
            <w:tcW w:w="913"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69" w:type="dxa"/>
            <w:vAlign w:val="center"/>
          </w:tcPr>
          <w:p>
            <w:pPr>
              <w:adjustRightInd w:val="0"/>
              <w:spacing w:line="520" w:lineRule="exact"/>
              <w:jc w:val="center"/>
              <w:rPr>
                <w:sz w:val="24"/>
              </w:rPr>
            </w:pPr>
          </w:p>
        </w:tc>
        <w:tc>
          <w:tcPr>
            <w:tcW w:w="901"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034" w:type="dxa"/>
            <w:vAlign w:val="center"/>
          </w:tcPr>
          <w:p>
            <w:pPr>
              <w:adjustRightInd w:val="0"/>
              <w:spacing w:line="520" w:lineRule="exact"/>
              <w:jc w:val="center"/>
              <w:rPr>
                <w:sz w:val="24"/>
              </w:rPr>
            </w:pPr>
          </w:p>
        </w:tc>
        <w:tc>
          <w:tcPr>
            <w:tcW w:w="1034"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57" w:type="dxa"/>
            <w:vAlign w:val="center"/>
          </w:tcPr>
          <w:p>
            <w:pPr>
              <w:adjustRightInd w:val="0"/>
              <w:spacing w:line="520" w:lineRule="exact"/>
              <w:jc w:val="center"/>
              <w:rPr>
                <w:sz w:val="24"/>
              </w:rPr>
            </w:pPr>
          </w:p>
        </w:tc>
        <w:tc>
          <w:tcPr>
            <w:tcW w:w="913"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69" w:type="dxa"/>
            <w:vAlign w:val="center"/>
          </w:tcPr>
          <w:p>
            <w:pPr>
              <w:adjustRightInd w:val="0"/>
              <w:spacing w:line="520" w:lineRule="exact"/>
              <w:jc w:val="center"/>
              <w:rPr>
                <w:sz w:val="24"/>
              </w:rPr>
            </w:pPr>
          </w:p>
        </w:tc>
        <w:tc>
          <w:tcPr>
            <w:tcW w:w="901" w:type="dxa"/>
            <w:vAlign w:val="center"/>
          </w:tcPr>
          <w:p>
            <w:pPr>
              <w:adjustRightInd w:val="0"/>
              <w:spacing w:line="520" w:lineRule="exact"/>
              <w:jc w:val="center"/>
              <w:rPr>
                <w:sz w:val="24"/>
              </w:rPr>
            </w:pPr>
          </w:p>
        </w:tc>
      </w:tr>
    </w:tbl>
    <w:p>
      <w:pPr>
        <w:pStyle w:val="26"/>
        <w:spacing w:line="520" w:lineRule="exact"/>
        <w:ind w:left="880" w:leftChars="400" w:firstLine="482"/>
        <w:jc w:val="center"/>
        <w:outlineLvl w:val="0"/>
        <w:rPr>
          <w:rFonts w:ascii="宋体" w:hAnsi="宋体" w:cs="宋体"/>
          <w:b/>
          <w:bCs/>
          <w:sz w:val="24"/>
        </w:rPr>
      </w:pPr>
    </w:p>
    <w:p>
      <w:pPr>
        <w:pStyle w:val="26"/>
        <w:spacing w:line="520" w:lineRule="exact"/>
        <w:ind w:left="880" w:leftChars="400" w:firstLine="482"/>
        <w:jc w:val="center"/>
        <w:outlineLvl w:val="0"/>
        <w:rPr>
          <w:rFonts w:ascii="宋体" w:hAnsi="宋体" w:cs="宋体"/>
          <w:b/>
          <w:bCs/>
          <w:sz w:val="24"/>
        </w:rPr>
      </w:pPr>
    </w:p>
    <w:p>
      <w:pPr>
        <w:wordWrap w:val="0"/>
        <w:spacing w:line="360" w:lineRule="auto"/>
        <w:jc w:val="both"/>
        <w:rPr>
          <w:b/>
          <w:sz w:val="24"/>
          <w:szCs w:val="24"/>
        </w:rPr>
      </w:pPr>
    </w:p>
    <w:p>
      <w:pPr>
        <w:pStyle w:val="26"/>
        <w:spacing w:line="520" w:lineRule="exact"/>
        <w:ind w:left="0" w:leftChars="0" w:firstLine="0" w:firstLineChars="0"/>
        <w:outlineLvl w:val="0"/>
        <w:rPr>
          <w:rFonts w:ascii="宋体" w:hAnsi="宋体" w:cs="宋体"/>
          <w:b/>
          <w:bCs/>
          <w:sz w:val="24"/>
        </w:rPr>
      </w:pPr>
      <w:r>
        <w:rPr>
          <w:rFonts w:asciiTheme="minorEastAsia" w:hAnsiTheme="minorEastAsia" w:eastAsiaTheme="minorEastAsia" w:cstheme="minorEastAsia"/>
          <w:b/>
          <w:sz w:val="24"/>
          <w:szCs w:val="24"/>
        </w:rPr>
        <w:t>3</w:t>
      </w:r>
      <w:r>
        <w:rPr>
          <w:rFonts w:hint="eastAsia" w:asciiTheme="minorEastAsia" w:hAnsiTheme="minorEastAsia" w:eastAsiaTheme="minorEastAsia" w:cstheme="minorEastAsia"/>
          <w:b/>
          <w:sz w:val="24"/>
          <w:szCs w:val="24"/>
        </w:rPr>
        <w:t>.投标人业绩、企业实力</w:t>
      </w:r>
      <w:r>
        <w:rPr>
          <w:rFonts w:hint="eastAsia"/>
          <w:sz w:val="24"/>
        </w:rPr>
        <w:t>（投标人自拟，可参考评分办法中商务部分的内容）</w:t>
      </w:r>
    </w:p>
    <w:p>
      <w:pPr>
        <w:adjustRightInd w:val="0"/>
        <w:spacing w:line="520" w:lineRule="exact"/>
        <w:rPr>
          <w:sz w:val="24"/>
        </w:rPr>
      </w:pPr>
    </w:p>
    <w:p>
      <w:pPr>
        <w:adjustRightInd w:val="0"/>
        <w:spacing w:line="520" w:lineRule="exact"/>
        <w:ind w:left="561" w:hanging="561" w:hangingChars="233"/>
        <w:rPr>
          <w:sz w:val="24"/>
        </w:rPr>
      </w:pPr>
      <w:r>
        <w:rPr>
          <w:rFonts w:hint="eastAsia" w:asciiTheme="minorEastAsia" w:hAnsiTheme="minorEastAsia" w:eastAsiaTheme="minorEastAsia" w:cstheme="minorEastAsia"/>
          <w:b/>
          <w:sz w:val="24"/>
          <w:szCs w:val="24"/>
        </w:rPr>
        <w:t>4、服务方案</w:t>
      </w:r>
      <w:r>
        <w:rPr>
          <w:rFonts w:hint="eastAsia"/>
          <w:sz w:val="24"/>
        </w:rPr>
        <w:t>（投标人自拟，可参考第三章评分办法中技术部分的内容）</w:t>
      </w:r>
    </w:p>
    <w:p>
      <w:pPr>
        <w:wordWrap w:val="0"/>
        <w:spacing w:line="360" w:lineRule="auto"/>
        <w:jc w:val="both"/>
        <w:rPr>
          <w:rFonts w:asciiTheme="minorEastAsia" w:hAnsiTheme="minorEastAsia" w:eastAsiaTheme="minorEastAsia" w:cstheme="minorEastAsia"/>
          <w:b/>
          <w:sz w:val="24"/>
          <w:szCs w:val="24"/>
        </w:rPr>
      </w:pPr>
    </w:p>
    <w:p>
      <w:pPr>
        <w:wordWrap w:val="0"/>
        <w:spacing w:after="120" w:line="360" w:lineRule="auto"/>
        <w:jc w:val="both"/>
        <w:rPr>
          <w:rFonts w:asciiTheme="minorEastAsia" w:hAnsiTheme="minorEastAsia" w:eastAsiaTheme="minorEastAsia" w:cstheme="minorEastAsia"/>
          <w:b/>
          <w:sz w:val="24"/>
          <w:szCs w:val="24"/>
        </w:rPr>
      </w:pPr>
    </w:p>
    <w:p>
      <w:pPr>
        <w:pStyle w:val="2"/>
      </w:pPr>
    </w:p>
    <w:p/>
    <w:p>
      <w:pPr>
        <w:pStyle w:val="2"/>
      </w:pPr>
    </w:p>
    <w:p/>
    <w:p/>
    <w:p>
      <w:pPr>
        <w:pStyle w:val="2"/>
      </w:pPr>
    </w:p>
    <w:p>
      <w:pPr>
        <w:adjustRightInd w:val="0"/>
        <w:spacing w:line="520" w:lineRule="exact"/>
        <w:ind w:left="561" w:hanging="561" w:hangingChars="23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5.中小企业、监狱企业或残疾人福利性单位声明函</w:t>
      </w:r>
    </w:p>
    <w:p>
      <w:pPr>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（对于专门面向中小企业采购的项目必须提供，不专门面向的项目可选择提供）</w:t>
      </w:r>
    </w:p>
    <w:p>
      <w:pPr>
        <w:wordWrap w:val="0"/>
        <w:spacing w:line="360" w:lineRule="auto"/>
        <w:ind w:firstLine="723" w:firstLineChars="3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中小企业声明函（工程、服务）格式</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议的中小企业）的具体情况如下：</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1.（标的名称），属于（采购文件中明确的所属行业）行业；承建（承接）企业为（企业名称），从业人员人，营业收入为万元，资产总额为万元1，属于（中型企业、小型企业、微型企业）；</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2.（标的名称），属于（采购文件中明确的所属行业）行业；承建（承接）企业为（企业名称），从业人员人，营业收入为万元，资产总额为万元，属于（中型企业、小型企业、微型企业）；</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以上企业，不属于大企业的分支机构，不存在控股股东为大企业的情形，也不存在与大企业的负责让你为同一人的情形。</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本企业对上述声明内容的真实性负责。如有虚假，将依法承担相应责任。</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企业名称（盖章）：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日期：年月日</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备注：从业人员、营业收入、资产总额填报上一年度数据，无上一年度数据的新成立企业可不填报。</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7" w:firstLineChars="252"/>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残疾人福利性单位声明函格式</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本单位郑重声明，根据《财政部民政部中国残疾人联合会关于促进残疾人就</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业政府采购政策的通知》（财库〔2017〕141号）的规定，本单位（请进行选择）：</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□不属于符合条件的残疾人福利性单位。</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属于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本单位对上述声明的真实性负责。如有虚假，将依法承担相应责任。</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单位名称（盖章）：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日期：年月日</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36"/>
          <w:szCs w:val="36"/>
        </w:rPr>
      </w:pPr>
    </w:p>
    <w:p>
      <w:pPr>
        <w:wordWrap w:val="0"/>
        <w:spacing w:line="360" w:lineRule="auto"/>
        <w:jc w:val="both"/>
        <w:rPr>
          <w:rFonts w:asciiTheme="minorEastAsia" w:hAnsiTheme="minorEastAsia" w:eastAsiaTheme="minorEastAsia" w:cstheme="minorEastAsia"/>
          <w:sz w:val="36"/>
          <w:szCs w:val="36"/>
        </w:rPr>
      </w:pPr>
    </w:p>
    <w:p>
      <w:pPr>
        <w:wordWrap w:val="0"/>
        <w:spacing w:line="360" w:lineRule="auto"/>
        <w:jc w:val="both"/>
        <w:rPr>
          <w:rFonts w:asciiTheme="minorEastAsia" w:hAnsiTheme="minorEastAsia" w:eastAsiaTheme="minorEastAsia" w:cstheme="minorEastAsia"/>
          <w:sz w:val="36"/>
          <w:szCs w:val="36"/>
        </w:rPr>
      </w:pPr>
    </w:p>
    <w:p>
      <w:pPr>
        <w:wordWrap w:val="0"/>
        <w:spacing w:line="360" w:lineRule="auto"/>
        <w:rPr>
          <w:rFonts w:asciiTheme="minorEastAsia" w:hAnsiTheme="minorEastAsia" w:eastAsiaTheme="minorEastAsia" w:cstheme="minorEastAsia"/>
          <w:sz w:val="36"/>
          <w:szCs w:val="36"/>
        </w:rPr>
      </w:pPr>
    </w:p>
    <w:p>
      <w:pPr>
        <w:wordWrap w:val="0"/>
        <w:spacing w:line="360" w:lineRule="auto"/>
        <w:jc w:val="center"/>
        <w:rPr>
          <w:rFonts w:asciiTheme="minorEastAsia" w:hAnsiTheme="minorEastAsia" w:eastAsiaTheme="minorEastAsia" w:cstheme="minorEastAsia"/>
          <w:sz w:val="36"/>
          <w:szCs w:val="36"/>
        </w:rPr>
      </w:pPr>
    </w:p>
    <w:p>
      <w:pPr>
        <w:wordWrap w:val="0"/>
        <w:spacing w:line="360" w:lineRule="auto"/>
        <w:jc w:val="center"/>
        <w:rPr>
          <w:rFonts w:asciiTheme="minorEastAsia" w:hAnsiTheme="minorEastAsia" w:eastAsiaTheme="minorEastAsia" w:cstheme="minorEastAsia"/>
          <w:sz w:val="36"/>
          <w:szCs w:val="36"/>
        </w:rPr>
      </w:pPr>
    </w:p>
    <w:p>
      <w:pPr>
        <w:wordWrap w:val="0"/>
        <w:spacing w:line="360" w:lineRule="auto"/>
        <w:jc w:val="both"/>
        <w:rPr>
          <w:b/>
          <w:bCs/>
          <w:sz w:val="30"/>
          <w:szCs w:val="30"/>
        </w:rPr>
      </w:pPr>
      <w:r>
        <w:rPr>
          <w:rFonts w:hint="eastAsia" w:asciiTheme="minorEastAsia" w:hAnsiTheme="minorEastAsia" w:eastAsiaTheme="minorEastAsia" w:cstheme="minorEastAsia"/>
          <w:b/>
          <w:bCs/>
          <w:sz w:val="30"/>
          <w:szCs w:val="30"/>
        </w:rPr>
        <w:t>监狱企业声明函格式</w:t>
      </w:r>
    </w:p>
    <w:p>
      <w:pPr>
        <w:wordWrap w:val="0"/>
        <w:spacing w:line="360" w:lineRule="auto"/>
        <w:jc w:val="both"/>
        <w:rPr>
          <w:b/>
          <w:sz w:val="28"/>
          <w:szCs w:val="28"/>
        </w:rPr>
      </w:pPr>
    </w:p>
    <w:p>
      <w:pPr>
        <w:wordWrap w:val="0"/>
        <w:spacing w:line="360" w:lineRule="auto"/>
        <w:ind w:firstLine="508" w:firstLineChars="200"/>
        <w:jc w:val="both"/>
        <w:rPr>
          <w:rFonts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pPr>
        <w:wordWrap w:val="0"/>
        <w:spacing w:line="360" w:lineRule="auto"/>
        <w:ind w:firstLine="508" w:firstLineChars="200"/>
        <w:jc w:val="both"/>
        <w:rPr>
          <w:rFonts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本企业对上述声明的真实性负责。如有虚假，将依法承担相应责任。</w:t>
      </w:r>
    </w:p>
    <w:p>
      <w:pPr>
        <w:tabs>
          <w:tab w:val="left" w:pos="4860"/>
        </w:tabs>
        <w:wordWrap w:val="0"/>
        <w:spacing w:line="360" w:lineRule="auto"/>
        <w:ind w:firstLine="508" w:firstLineChars="200"/>
        <w:jc w:val="both"/>
        <w:rPr>
          <w:rFonts w:asciiTheme="minorEastAsia" w:hAnsiTheme="minorEastAsia" w:eastAsiaTheme="minorEastAsia" w:cstheme="minorEastAsia"/>
          <w:spacing w:val="7"/>
          <w:sz w:val="24"/>
          <w:szCs w:val="24"/>
        </w:rPr>
      </w:pPr>
    </w:p>
    <w:p>
      <w:pPr>
        <w:tabs>
          <w:tab w:val="left" w:pos="4860"/>
        </w:tabs>
        <w:wordWrap w:val="0"/>
        <w:spacing w:line="360" w:lineRule="auto"/>
        <w:ind w:firstLine="508" w:firstLineChars="200"/>
        <w:jc w:val="both"/>
        <w:rPr>
          <w:rFonts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 xml:space="preserve">                             企业名称（盖章）： </w:t>
      </w:r>
    </w:p>
    <w:p>
      <w:pPr>
        <w:wordWrap w:val="0"/>
        <w:spacing w:line="360" w:lineRule="auto"/>
        <w:ind w:firstLine="4320" w:firstLineChars="1800"/>
        <w:jc w:val="both"/>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日期：</w:t>
      </w:r>
      <w:r>
        <w:rPr>
          <w:rFonts w:hint="eastAsia" w:asciiTheme="minorEastAsia" w:hAnsiTheme="minorEastAsia" w:eastAsiaTheme="minorEastAsia" w:cstheme="minorEastAsia"/>
          <w:spacing w:val="-8"/>
          <w:sz w:val="24"/>
          <w:szCs w:val="24"/>
        </w:rPr>
        <w:t>年月日</w:t>
      </w:r>
    </w:p>
    <w:p>
      <w:pPr>
        <w:adjustRightInd w:val="0"/>
        <w:spacing w:line="520" w:lineRule="exact"/>
        <w:ind w:left="561" w:hanging="561" w:hangingChars="23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6.招标文件要求的其它材料：</w:t>
      </w:r>
    </w:p>
    <w:p/>
    <w:p>
      <w:pPr>
        <w:pStyle w:val="2"/>
      </w:pPr>
    </w:p>
    <w:p/>
    <w:p>
      <w:pPr>
        <w:pStyle w:val="2"/>
      </w:pPr>
    </w:p>
    <w:p/>
    <w:bookmarkEnd w:id="12"/>
    <w:bookmarkEnd w:id="13"/>
    <w:p>
      <w:pPr>
        <w:spacing w:line="360" w:lineRule="auto"/>
        <w:ind w:firstLine="2650" w:firstLineChars="600"/>
        <w:rPr>
          <w:rFonts w:cs="黑体"/>
          <w:b/>
          <w:sz w:val="44"/>
          <w:szCs w:val="44"/>
        </w:rPr>
      </w:pPr>
      <w:bookmarkStart w:id="23" w:name="_Toc33217864"/>
      <w:bookmarkEnd w:id="23"/>
      <w:bookmarkStart w:id="24" w:name="_Toc12036"/>
      <w:bookmarkEnd w:id="24"/>
    </w:p>
    <w:sectPr>
      <w:headerReference r:id="rId15" w:type="default"/>
      <w:footerReference r:id="rId16" w:type="default"/>
      <w:pgSz w:w="12240" w:h="15840"/>
      <w:pgMar w:top="1440" w:right="1080" w:bottom="1440" w:left="1080" w:header="825" w:footer="83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lang w:val="en-US" w:bidi="ar-S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47"/>
      <w:rPr>
        <w:sz w:val="18"/>
        <w:szCs w:val="18"/>
      </w:rPr>
    </w:pPr>
    <w:r>
      <w:rPr>
        <w:snapToGrid w:val="0"/>
        <w:sz w:val="18"/>
        <w:szCs w:val="21"/>
        <w:lang w:eastAsia="en-US"/>
      </w:rPr>
      <w:pict>
        <v:shape id="_x0000_s3073" o:spid="_x0000_s307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weight="0.5pt" joinstyle="miter"/>
          <v:imagedata o:title=""/>
          <o:lock v:ext="edit"/>
          <v:textbox inset="0mm,0mm,0mm,0mm" style="mso-fit-shape-to-text:t;">
            <w:txbxContent>
              <w:p>
                <w:pPr>
                  <w:pStyle w:val="18"/>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sz w:val="18"/>
        <w:szCs w:val="18"/>
      </w:rPr>
    </w:pPr>
    <w:r>
      <w:rPr>
        <w:snapToGrid w:val="0"/>
        <w:sz w:val="18"/>
        <w:szCs w:val="21"/>
        <w:lang w:val="en-US"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7635" cy="131445"/>
              <wp:effectExtent l="0" t="0" r="12065" b="0"/>
              <wp:wrapNone/>
              <wp:docPr id="14" name="文本框 14"/>
              <wp:cNvGraphicFramePr/>
              <a:graphic xmlns:a="http://schemas.openxmlformats.org/drawingml/2006/main">
                <a:graphicData uri="http://schemas.microsoft.com/office/word/2010/wordprocessingShape">
                  <wps:wsp>
                    <wps:cNvSpPr txBox="1"/>
                    <wps:spPr>
                      <a:xfrm>
                        <a:off x="0" y="0"/>
                        <a:ext cx="127635" cy="131445"/>
                      </a:xfrm>
                      <a:prstGeom prst="rect">
                        <a:avLst/>
                      </a:prstGeom>
                      <a:noFill/>
                      <a:ln w="6350">
                        <a:noFill/>
                      </a:ln>
                    </wps:spPr>
                    <wps:txbx>
                      <w:txbxContent>
                        <w:p>
                          <w:pPr>
                            <w:pStyle w:val="18"/>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10.05pt;mso-position-horizontal:center;mso-position-horizontal-relative:margin;mso-wrap-style:none;z-index:251664384;mso-width-relative:page;mso-height-relative:page;" filled="f" stroked="f" coordsize="21600,21600" o:gfxdata="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hX8bd0AAAAAMBAAAPAAAAAAAAAAEAIAAAACIAAABkcnMvZG93bnJldi54bWxQSwECFAAUAAAA&#10;CACHTuJAF9KgGi8CAABVBAAADgAAAAAAAAABACAAAAAfAQAAZHJzL2Uyb0RvYy54bWxQSwUGAAAA&#10;AAYABgBZAQAAwAUAAAAA&#10;">
              <v:fill on="f" focussize="0,0"/>
              <v:stroke on="f" weight="0.5pt"/>
              <v:imagedata o:title=""/>
              <o:lock v:ext="edit" aspectratio="f"/>
              <v:textbox inset="0mm,0mm,0mm,0mm" style="mso-fit-shape-to-text:t;">
                <w:txbxContent>
                  <w:p>
                    <w:pPr>
                      <w:pStyle w:val="18"/>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sz w:val="18"/>
        <w:szCs w:val="18"/>
      </w:rPr>
    </w:pPr>
    <w:r>
      <w:rPr>
        <w:snapToGrid w:val="0"/>
        <w:sz w:val="18"/>
        <w:szCs w:val="21"/>
        <w:lang w:val="en-US"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27635" cy="131445"/>
              <wp:effectExtent l="0" t="0" r="12065" b="0"/>
              <wp:wrapNone/>
              <wp:docPr id="19" name="文本框 19"/>
              <wp:cNvGraphicFramePr/>
              <a:graphic xmlns:a="http://schemas.openxmlformats.org/drawingml/2006/main">
                <a:graphicData uri="http://schemas.microsoft.com/office/word/2010/wordprocessingShape">
                  <wps:wsp>
                    <wps:cNvSpPr txBox="1"/>
                    <wps:spPr>
                      <a:xfrm>
                        <a:off x="0" y="0"/>
                        <a:ext cx="127635" cy="131445"/>
                      </a:xfrm>
                      <a:prstGeom prst="rect">
                        <a:avLst/>
                      </a:prstGeom>
                      <a:noFill/>
                      <a:ln w="6350">
                        <a:noFill/>
                      </a:ln>
                    </wps:spPr>
                    <wps:txbx>
                      <w:txbxContent>
                        <w:p>
                          <w:pPr>
                            <w:pStyle w:val="18"/>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10.05pt;mso-position-horizontal:center;mso-position-horizontal-relative:margin;mso-wrap-style:none;z-index:251666432;mso-width-relative:page;mso-height-relative:page;" filled="f" stroked="f" coordsize="21600,21600" o:gfxdata="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hX8bd0AAAAAMBAAAPAAAAAAAAAAEAIAAAACIAAABkcnMvZG93bnJldi54bWxQSwECFAAUAAAA&#10;CACHTuJAhHv/wi8CAABVBAAADgAAAAAAAAABACAAAAAfAQAAZHJzL2Uyb0RvYy54bWxQSwUGAAAA&#10;AAYABgBZAQAAwAUAAAAA&#10;">
              <v:fill on="f" focussize="0,0"/>
              <v:stroke on="f" weight="0.5pt"/>
              <v:imagedata o:title=""/>
              <o:lock v:ext="edit" aspectratio="f"/>
              <v:textbox inset="0mm,0mm,0mm,0mm" style="mso-fit-shape-to-text:t;">
                <w:txbxContent>
                  <w:p>
                    <w:pPr>
                      <w:pStyle w:val="18"/>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290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290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38"/>
      <w:rPr>
        <w:sz w:val="18"/>
        <w:szCs w:val="18"/>
      </w:rPr>
    </w:pPr>
    <w:r>
      <w:rPr>
        <w:snapToGrid w:val="0"/>
        <w:sz w:val="18"/>
        <w:szCs w:val="21"/>
        <w:lang w:val="en-US"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27635" cy="131445"/>
              <wp:effectExtent l="0" t="0" r="12065" b="0"/>
              <wp:wrapNone/>
              <wp:docPr id="2" name="文本框 2"/>
              <wp:cNvGraphicFramePr/>
              <a:graphic xmlns:a="http://schemas.openxmlformats.org/drawingml/2006/main">
                <a:graphicData uri="http://schemas.microsoft.com/office/word/2010/wordprocessingShape">
                  <wps:wsp>
                    <wps:cNvSpPr txBox="1"/>
                    <wps:spPr>
                      <a:xfrm>
                        <a:off x="0" y="0"/>
                        <a:ext cx="127635" cy="131445"/>
                      </a:xfrm>
                      <a:prstGeom prst="rect">
                        <a:avLst/>
                      </a:prstGeom>
                      <a:noFill/>
                      <a:ln w="6350">
                        <a:noFill/>
                      </a:ln>
                    </wps:spPr>
                    <wps:txbx>
                      <w:txbxContent>
                        <w:p>
                          <w:pPr>
                            <w:pStyle w:val="18"/>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10.05pt;mso-position-horizontal:center;mso-position-horizontal-relative:margin;mso-wrap-style:none;z-index:251667456;mso-width-relative:page;mso-height-relative:page;" filled="f" stroked="f" coordsize="21600,21600" o:gfxdata="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hX8bd0AAAAAMBAAAPAAAAAAAAAAEAIAAAACIAAABkcnMvZG93bnJldi54bWxQSwECFAAUAAAA&#10;CACHTuJAkcGd6C8CAABTBAAADgAAAAAAAAABACAAAAAfAQAAZHJzL2Uyb0RvYy54bWxQSwUGAAAA&#10;AAYABgBZAQAAwAUAAAAA&#10;">
              <v:fill on="f" focussize="0,0"/>
              <v:stroke on="f" weight="0.5pt"/>
              <v:imagedata o:title=""/>
              <o:lock v:ext="edit" aspectratio="f"/>
              <v:textbox inset="0mm,0mm,0mm,0mm" style="mso-fit-shape-to-text:t;">
                <w:txbxContent>
                  <w:p>
                    <w:pPr>
                      <w:pStyle w:val="18"/>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2891"/>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1226185</wp:posOffset>
              </wp:positionH>
              <wp:positionV relativeFrom="page">
                <wp:posOffset>9389110</wp:posOffset>
              </wp:positionV>
              <wp:extent cx="92710" cy="160020"/>
              <wp:effectExtent l="0" t="0" r="0" b="0"/>
              <wp:wrapNone/>
              <wp:docPr id="23" name="文本框 20"/>
              <wp:cNvGraphicFramePr/>
              <a:graphic xmlns:a="http://schemas.openxmlformats.org/drawingml/2006/main">
                <a:graphicData uri="http://schemas.microsoft.com/office/word/2010/wordprocessingShape">
                  <wps:wsp>
                    <wps:cNvSpPr txBox="1"/>
                    <wps:spPr>
                      <a:xfrm>
                        <a:off x="0" y="0"/>
                        <a:ext cx="92710" cy="160020"/>
                      </a:xfrm>
                      <a:prstGeom prst="rect">
                        <a:avLst/>
                      </a:prstGeom>
                      <a:noFill/>
                      <a:ln>
                        <a:noFill/>
                      </a:ln>
                    </wps:spPr>
                    <wps:txbx>
                      <w:txbxContent>
                        <w:p>
                          <w:pPr>
                            <w:spacing w:line="251" w:lineRule="exact"/>
                            <w:ind w:left="20"/>
                            <w:rPr>
                              <w:sz w:val="21"/>
                            </w:rPr>
                          </w:pPr>
                          <w:r>
                            <w:rPr>
                              <w:sz w:val="21"/>
                            </w:rPr>
                            <w:t xml:space="preserve"> </w:t>
                          </w:r>
                        </w:p>
                      </w:txbxContent>
                    </wps:txbx>
                    <wps:bodyPr lIns="0" tIns="0" rIns="0" bIns="0" upright="1"/>
                  </wps:wsp>
                </a:graphicData>
              </a:graphic>
            </wp:anchor>
          </w:drawing>
        </mc:Choice>
        <mc:Fallback>
          <w:pict>
            <v:shape id="文本框 20" o:spid="_x0000_s1026" o:spt="202" type="#_x0000_t202" style="position:absolute;left:0pt;margin-left:96.55pt;margin-top:739.3pt;height:12.6pt;width:7.3pt;mso-position-horizontal-relative:page;mso-position-vertical-relative:page;z-index:-251655168;mso-width-relative:page;mso-height-relative:page;" filled="f" stroked="f" coordsize="21600,21600" o:gfxdata="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tvYg2wAAAA0BAAAPAAAAAAAAAAEAIAAAACIAAABkcnMvZG93bnJldi54bWxQSwEC&#10;FAAUAAAACACHTuJAmHUq57gBAAByAwAADgAAAAAAAAABACAAAAAqAQAAZHJzL2Uyb0RvYy54bWxQ&#10;SwUGAAAAAAYABgBZAQAAVAUAAAAA&#10;">
              <v:fill on="f" focussize="0,0"/>
              <v:stroke on="f"/>
              <v:imagedata o:title=""/>
              <o:lock v:ext="edit" aspectratio="f"/>
              <v:textbox inset="0mm,0mm,0mm,0mm">
                <w:txbxContent>
                  <w:p>
                    <w:pPr>
                      <w:spacing w:line="251" w:lineRule="exact"/>
                      <w:ind w:left="20"/>
                      <w:rPr>
                        <w:sz w:val="21"/>
                      </w:rPr>
                    </w:pPr>
                    <w:r>
                      <w:rPr>
                        <w:sz w:val="21"/>
                      </w:rPr>
                      <w:t xml:space="preserve"> </w:t>
                    </w:r>
                  </w:p>
                </w:txbxContent>
              </v:textbox>
            </v:shape>
          </w:pict>
        </mc:Fallback>
      </mc:AlternateContent>
    </w:r>
    <w:r>
      <w:rPr>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67005" cy="139700"/>
              <wp:effectExtent l="0" t="0" r="0" b="0"/>
              <wp:wrapNone/>
              <wp:docPr id="24" name="文本框 21"/>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rPr>
                              <w:rFonts w:ascii="Calibri"/>
                              <w:sz w:val="18"/>
                            </w:rPr>
                            <w:t>46</w:t>
                          </w:r>
                          <w:r>
                            <w:fldChar w:fldCharType="end"/>
                          </w:r>
                        </w:p>
                      </w:txbxContent>
                    </wps:txbx>
                    <wps:bodyPr lIns="0" tIns="0" rIns="0" bIns="0" upright="1"/>
                  </wps:wsp>
                </a:graphicData>
              </a:graphic>
            </wp:anchor>
          </w:drawing>
        </mc:Choice>
        <mc:Fallback>
          <w:pict>
            <v:shape id="文本框 21" o:spid="_x0000_s1026" o:spt="202" type="#_x0000_t202" style="position:absolute;left:0pt;margin-top:0pt;height:11pt;width:13.15pt;mso-position-horizontal:center;mso-position-horizontal-relative:margin;z-index:251663360;mso-width-relative:page;mso-height-relative:page;" filled="f" stroked="f" coordsize="21600,21600" o:gfxdata="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bJP2jTAAAAAwEAAA8AAAAAAAAAAQAgAAAAIgAAAGRycy9kb3ducmV2LnhtbFBLAQIUABQAAAAI&#10;AIdO4kBsfNCeuQEAAHMDAAAOAAAAAAAAAAEAIAAAACIBAABkcnMvZTJvRG9jLnhtbFBLBQYAAAAA&#10;BgAGAFkBAABNBQAAAAA=&#10;">
              <v:fill on="f" focussize="0,0"/>
              <v:stroke on="f"/>
              <v:imagedata o:title=""/>
              <o:lock v:ext="edit" aspectratio="f"/>
              <v:textbox inset="0mm,0mm,0mm,0mm">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rPr>
                        <w:rFonts w:ascii="Calibri"/>
                        <w:sz w:val="18"/>
                      </w:rP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2891"/>
      <w:rPr>
        <w:sz w:val="20"/>
      </w:rPr>
    </w:pPr>
    <w:r>
      <w:rPr>
        <w:lang w:val="en-US" w:bidi="ar-SA"/>
      </w:rPr>
      <mc:AlternateContent>
        <mc:Choice Requires="wps">
          <w:drawing>
            <wp:anchor distT="0" distB="0" distL="114300" distR="114300" simplePos="0" relativeHeight="251662336" behindDoc="1" locked="0" layoutInCell="1" allowOverlap="1">
              <wp:simplePos x="0" y="0"/>
              <wp:positionH relativeFrom="page">
                <wp:posOffset>1017270</wp:posOffset>
              </wp:positionH>
              <wp:positionV relativeFrom="page">
                <wp:posOffset>510540</wp:posOffset>
              </wp:positionV>
              <wp:extent cx="81280" cy="152400"/>
              <wp:effectExtent l="0" t="0" r="13970" b="0"/>
              <wp:wrapNone/>
              <wp:docPr id="4" name="文本框 4"/>
              <wp:cNvGraphicFramePr/>
              <a:graphic xmlns:a="http://schemas.openxmlformats.org/drawingml/2006/main">
                <a:graphicData uri="http://schemas.microsoft.com/office/word/2010/wordprocessingShape">
                  <wps:wsp>
                    <wps:cNvSpPr txBox="1"/>
                    <wps:spPr>
                      <a:xfrm>
                        <a:off x="0" y="0"/>
                        <a:ext cx="81280" cy="152400"/>
                      </a:xfrm>
                      <a:prstGeom prst="rect">
                        <a:avLst/>
                      </a:prstGeom>
                      <a:noFill/>
                      <a:ln>
                        <a:noFill/>
                      </a:ln>
                    </wps:spPr>
                    <wps:txbx>
                      <w:txbxContent>
                        <w:p>
                          <w:pPr>
                            <w:spacing w:line="239" w:lineRule="exact"/>
                            <w:ind w:left="20"/>
                            <w:rPr>
                              <w:sz w:val="20"/>
                            </w:rPr>
                          </w:pPr>
                          <w:r>
                            <w:rPr>
                              <w:w w:val="87"/>
                              <w:sz w:val="20"/>
                            </w:rPr>
                            <w:t xml:space="preserve"> </w:t>
                          </w:r>
                        </w:p>
                      </w:txbxContent>
                    </wps:txbx>
                    <wps:bodyPr lIns="0" tIns="0" rIns="0" bIns="0" upright="1"/>
                  </wps:wsp>
                </a:graphicData>
              </a:graphic>
            </wp:anchor>
          </w:drawing>
        </mc:Choice>
        <mc:Fallback>
          <w:pict>
            <v:shape id="_x0000_s1026" o:spid="_x0000_s1026" o:spt="202" type="#_x0000_t202" style="position:absolute;left:0pt;margin-left:80.1pt;margin-top:40.2pt;height:12pt;width:6.4pt;mso-position-horizontal-relative:page;mso-position-vertical-relative:page;z-index:-251654144;mso-width-relative:page;mso-height-relative:page;" filled="f" stroked="f" coordsize="21600,21600" o:gfxdata="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3rbsB1wAAAAoBAAAPAAAAAAAAAAEAIAAAACIAAABkcnMvZG93bnJldi54bWxQSwECFAAU&#10;AAAACACHTuJAa1Vo5rkBAABwAwAADgAAAAAAAAABACAAAAAmAQAAZHJzL2Uyb0RvYy54bWxQSwUG&#10;AAAAAAYABgBZAQAAUQUAAAAA&#10;">
              <v:fill on="f" focussize="0,0"/>
              <v:stroke on="f"/>
              <v:imagedata o:title=""/>
              <o:lock v:ext="edit" aspectratio="f"/>
              <v:textbox inset="0mm,0mm,0mm,0mm">
                <w:txbxContent>
                  <w:p>
                    <w:pPr>
                      <w:spacing w:line="239" w:lineRule="exact"/>
                      <w:ind w:left="20"/>
                      <w:rPr>
                        <w:sz w:val="20"/>
                      </w:rPr>
                    </w:pPr>
                    <w:r>
                      <w:rPr>
                        <w:w w:val="87"/>
                        <w:sz w:val="20"/>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left="4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left="4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left="44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2891"/>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953770</wp:posOffset>
              </wp:positionH>
              <wp:positionV relativeFrom="page">
                <wp:posOffset>685800</wp:posOffset>
              </wp:positionV>
              <wp:extent cx="5936615" cy="0"/>
              <wp:effectExtent l="0" t="0" r="0" b="0"/>
              <wp:wrapNone/>
              <wp:docPr id="21" name="直线 18"/>
              <wp:cNvGraphicFramePr/>
              <a:graphic xmlns:a="http://schemas.openxmlformats.org/drawingml/2006/main">
                <a:graphicData uri="http://schemas.microsoft.com/office/word/2010/wordprocessingShape">
                  <wps:wsp>
                    <wps:cNvCnPr/>
                    <wps:spPr>
                      <a:xfrm>
                        <a:off x="0" y="0"/>
                        <a:ext cx="5936615"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8" o:spid="_x0000_s1026" o:spt="20" style="position:absolute;left:0pt;margin-left:75.1pt;margin-top:54pt;height:0pt;width:467.45pt;mso-position-horizontal-relative:page;mso-position-vertical-relative:page;z-index:-251657216;mso-width-relative:page;mso-height-relative:page;" filled="f" stroked="t" coordsize="21600,21600" o:gfxdata="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QATNYAAAAMAQAA&#10;DwAAAAAAAAABACAAAAAiAAAAZHJzL2Rvd25yZXYueG1sUEsBAhQAFAAAAAgAh07iQKg/vATiAQAA&#10;0QMAAA4AAAAAAAAAAQAgAAAAJQEAAGRycy9lMm9Eb2MueG1sUEsFBgAAAAAGAAYAWQEAAHkFAAAA&#10;AA==&#10;">
              <v:fill on="f" focussize="0,0"/>
              <v:stroke weight="0.72pt" color="#000000" joinstyle="round"/>
              <v:imagedata o:title=""/>
              <o:lock v:ext="edit" aspectratio="f"/>
            </v:line>
          </w:pict>
        </mc:Fallback>
      </mc:AlternateContent>
    </w:r>
    <w:r>
      <w:rPr>
        <w:lang w:val="en-US" w:bidi="ar-SA"/>
      </w:rPr>
      <mc:AlternateContent>
        <mc:Choice Requires="wps">
          <w:drawing>
            <wp:anchor distT="0" distB="0" distL="114300" distR="114300" simplePos="0" relativeHeight="251660288" behindDoc="1" locked="0" layoutInCell="1" allowOverlap="1">
              <wp:simplePos x="0" y="0"/>
              <wp:positionH relativeFrom="page">
                <wp:posOffset>959485</wp:posOffset>
              </wp:positionH>
              <wp:positionV relativeFrom="page">
                <wp:posOffset>510540</wp:posOffset>
              </wp:positionV>
              <wp:extent cx="81280" cy="152400"/>
              <wp:effectExtent l="0" t="0" r="0" b="0"/>
              <wp:wrapNone/>
              <wp:docPr id="22" name="文本框 19"/>
              <wp:cNvGraphicFramePr/>
              <a:graphic xmlns:a="http://schemas.openxmlformats.org/drawingml/2006/main">
                <a:graphicData uri="http://schemas.microsoft.com/office/word/2010/wordprocessingShape">
                  <wps:wsp>
                    <wps:cNvSpPr txBox="1"/>
                    <wps:spPr>
                      <a:xfrm>
                        <a:off x="0" y="0"/>
                        <a:ext cx="81280" cy="152400"/>
                      </a:xfrm>
                      <a:prstGeom prst="rect">
                        <a:avLst/>
                      </a:prstGeom>
                      <a:noFill/>
                      <a:ln>
                        <a:noFill/>
                      </a:ln>
                    </wps:spPr>
                    <wps:txbx>
                      <w:txbxContent>
                        <w:p>
                          <w:pPr>
                            <w:spacing w:line="239" w:lineRule="exact"/>
                            <w:ind w:left="20"/>
                            <w:rPr>
                              <w:sz w:val="20"/>
                            </w:rPr>
                          </w:pPr>
                          <w:r>
                            <w:rPr>
                              <w:w w:val="87"/>
                              <w:sz w:val="20"/>
                            </w:rPr>
                            <w:t xml:space="preserve"> </w:t>
                          </w:r>
                        </w:p>
                      </w:txbxContent>
                    </wps:txbx>
                    <wps:bodyPr lIns="0" tIns="0" rIns="0" bIns="0" upright="1"/>
                  </wps:wsp>
                </a:graphicData>
              </a:graphic>
            </wp:anchor>
          </w:drawing>
        </mc:Choice>
        <mc:Fallback>
          <w:pict>
            <v:shape id="文本框 19" o:spid="_x0000_s1026" o:spt="202" type="#_x0000_t202" style="position:absolute;left:0pt;margin-left:75.55pt;margin-top:40.2pt;height:12pt;width:6.4pt;mso-position-horizontal-relative:page;mso-position-vertical-relative:page;z-index:-251656192;mso-width-relative:page;mso-height-relative:page;" filled="f" stroked="f" coordsize="21600,21600" o:gfxdata="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OjSMrYAAAACgEAAA8AAAAAAAAAAQAgAAAAIgAAAGRycy9kb3ducmV2LnhtbFBLAQIU&#10;ABQAAAAIAIdO4kB9djKKugEAAHIDAAAOAAAAAAAAAAEAIAAAACcBAABkcnMvZTJvRG9jLnhtbFBL&#10;BQYAAAAABgAGAFkBAABTBQAAAAA=&#10;">
              <v:fill on="f" focussize="0,0"/>
              <v:stroke on="f"/>
              <v:imagedata o:title=""/>
              <o:lock v:ext="edit" aspectratio="f"/>
              <v:textbox inset="0mm,0mm,0mm,0mm">
                <w:txbxContent>
                  <w:p>
                    <w:pPr>
                      <w:spacing w:line="239" w:lineRule="exact"/>
                      <w:ind w:left="20"/>
                      <w:rPr>
                        <w:sz w:val="20"/>
                      </w:rPr>
                    </w:pPr>
                    <w:r>
                      <w:rPr>
                        <w:w w:val="87"/>
                        <w:sz w:val="20"/>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78CE3"/>
    <w:multiLevelType w:val="singleLevel"/>
    <w:tmpl w:val="91578CE3"/>
    <w:lvl w:ilvl="0" w:tentative="0">
      <w:start w:val="1"/>
      <w:numFmt w:val="chineseCounting"/>
      <w:suff w:val="space"/>
      <w:lvlText w:val="第%1章"/>
      <w:lvlJc w:val="left"/>
      <w:rPr>
        <w:rFonts w:hint="eastAsia"/>
      </w:rPr>
    </w:lvl>
  </w:abstractNum>
  <w:abstractNum w:abstractNumId="1">
    <w:nsid w:val="44BA8576"/>
    <w:multiLevelType w:val="singleLevel"/>
    <w:tmpl w:val="44BA8576"/>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FmNDNhNDIyNjhkZWE2M2M4M2NlZjE1Yzg2NWMzMjAifQ=="/>
  </w:docVars>
  <w:rsids>
    <w:rsidRoot w:val="00B551ED"/>
    <w:rsid w:val="0000303D"/>
    <w:rsid w:val="00005559"/>
    <w:rsid w:val="00005BEC"/>
    <w:rsid w:val="000075A2"/>
    <w:rsid w:val="00007A47"/>
    <w:rsid w:val="00007BDC"/>
    <w:rsid w:val="00012D32"/>
    <w:rsid w:val="00012E04"/>
    <w:rsid w:val="00014978"/>
    <w:rsid w:val="00014FA2"/>
    <w:rsid w:val="000152A1"/>
    <w:rsid w:val="00015534"/>
    <w:rsid w:val="00016774"/>
    <w:rsid w:val="00025518"/>
    <w:rsid w:val="000260C3"/>
    <w:rsid w:val="000261F0"/>
    <w:rsid w:val="0002630F"/>
    <w:rsid w:val="000266DA"/>
    <w:rsid w:val="0002730E"/>
    <w:rsid w:val="00027788"/>
    <w:rsid w:val="00027D1F"/>
    <w:rsid w:val="00030109"/>
    <w:rsid w:val="0003072D"/>
    <w:rsid w:val="00034F65"/>
    <w:rsid w:val="000353BE"/>
    <w:rsid w:val="00035B35"/>
    <w:rsid w:val="000366AC"/>
    <w:rsid w:val="00036F38"/>
    <w:rsid w:val="000409E8"/>
    <w:rsid w:val="00041232"/>
    <w:rsid w:val="000422D3"/>
    <w:rsid w:val="00043C26"/>
    <w:rsid w:val="00043C3B"/>
    <w:rsid w:val="00046B78"/>
    <w:rsid w:val="00046B9A"/>
    <w:rsid w:val="00046CC8"/>
    <w:rsid w:val="00046CE1"/>
    <w:rsid w:val="00047DDD"/>
    <w:rsid w:val="0005092D"/>
    <w:rsid w:val="00051766"/>
    <w:rsid w:val="00053342"/>
    <w:rsid w:val="00054CDF"/>
    <w:rsid w:val="0005561A"/>
    <w:rsid w:val="000601A7"/>
    <w:rsid w:val="00060545"/>
    <w:rsid w:val="00061A93"/>
    <w:rsid w:val="00061D78"/>
    <w:rsid w:val="00063B9B"/>
    <w:rsid w:val="0006423B"/>
    <w:rsid w:val="00066239"/>
    <w:rsid w:val="00066EBC"/>
    <w:rsid w:val="000709B6"/>
    <w:rsid w:val="000711D3"/>
    <w:rsid w:val="000741DB"/>
    <w:rsid w:val="00074CB6"/>
    <w:rsid w:val="000759A7"/>
    <w:rsid w:val="00076436"/>
    <w:rsid w:val="00077D15"/>
    <w:rsid w:val="00080295"/>
    <w:rsid w:val="00082F0F"/>
    <w:rsid w:val="00083B40"/>
    <w:rsid w:val="0008488B"/>
    <w:rsid w:val="00085298"/>
    <w:rsid w:val="0009071C"/>
    <w:rsid w:val="00093127"/>
    <w:rsid w:val="00093C54"/>
    <w:rsid w:val="00095724"/>
    <w:rsid w:val="00097214"/>
    <w:rsid w:val="00097701"/>
    <w:rsid w:val="00097D58"/>
    <w:rsid w:val="000A2700"/>
    <w:rsid w:val="000A2A01"/>
    <w:rsid w:val="000A41A0"/>
    <w:rsid w:val="000A4CBC"/>
    <w:rsid w:val="000A6978"/>
    <w:rsid w:val="000A7DC0"/>
    <w:rsid w:val="000B079D"/>
    <w:rsid w:val="000B1178"/>
    <w:rsid w:val="000B2D41"/>
    <w:rsid w:val="000B36E4"/>
    <w:rsid w:val="000B4820"/>
    <w:rsid w:val="000B7A98"/>
    <w:rsid w:val="000C2BC2"/>
    <w:rsid w:val="000C48BA"/>
    <w:rsid w:val="000C4B20"/>
    <w:rsid w:val="000C62B3"/>
    <w:rsid w:val="000C7599"/>
    <w:rsid w:val="000D1F36"/>
    <w:rsid w:val="000D39B5"/>
    <w:rsid w:val="000D47DA"/>
    <w:rsid w:val="000D714F"/>
    <w:rsid w:val="000E00E1"/>
    <w:rsid w:val="000E13CF"/>
    <w:rsid w:val="000E223E"/>
    <w:rsid w:val="000E347F"/>
    <w:rsid w:val="000E4087"/>
    <w:rsid w:val="000E58CA"/>
    <w:rsid w:val="000E5FDD"/>
    <w:rsid w:val="000E7138"/>
    <w:rsid w:val="000E7581"/>
    <w:rsid w:val="000E79A2"/>
    <w:rsid w:val="000F2F6D"/>
    <w:rsid w:val="000F4280"/>
    <w:rsid w:val="000F52E9"/>
    <w:rsid w:val="000F5E20"/>
    <w:rsid w:val="000F7785"/>
    <w:rsid w:val="001009F3"/>
    <w:rsid w:val="0010120E"/>
    <w:rsid w:val="001017B7"/>
    <w:rsid w:val="001047ED"/>
    <w:rsid w:val="0010618E"/>
    <w:rsid w:val="001106CF"/>
    <w:rsid w:val="001131BA"/>
    <w:rsid w:val="0011485D"/>
    <w:rsid w:val="001179B4"/>
    <w:rsid w:val="00117E1E"/>
    <w:rsid w:val="00123209"/>
    <w:rsid w:val="001248BC"/>
    <w:rsid w:val="00126772"/>
    <w:rsid w:val="00126E38"/>
    <w:rsid w:val="001321D4"/>
    <w:rsid w:val="001346DF"/>
    <w:rsid w:val="00134F9D"/>
    <w:rsid w:val="001364A4"/>
    <w:rsid w:val="001367D5"/>
    <w:rsid w:val="00147FC3"/>
    <w:rsid w:val="0015021F"/>
    <w:rsid w:val="00152839"/>
    <w:rsid w:val="001537EC"/>
    <w:rsid w:val="001544AB"/>
    <w:rsid w:val="001562E5"/>
    <w:rsid w:val="00157016"/>
    <w:rsid w:val="001602D8"/>
    <w:rsid w:val="00160C37"/>
    <w:rsid w:val="0016344E"/>
    <w:rsid w:val="00163EAD"/>
    <w:rsid w:val="0016661D"/>
    <w:rsid w:val="00167CAC"/>
    <w:rsid w:val="00171007"/>
    <w:rsid w:val="00171855"/>
    <w:rsid w:val="00173036"/>
    <w:rsid w:val="00173C38"/>
    <w:rsid w:val="00174676"/>
    <w:rsid w:val="001746E9"/>
    <w:rsid w:val="001758DF"/>
    <w:rsid w:val="00175B1C"/>
    <w:rsid w:val="00175C1C"/>
    <w:rsid w:val="00180B7C"/>
    <w:rsid w:val="00181D74"/>
    <w:rsid w:val="00182696"/>
    <w:rsid w:val="00182F68"/>
    <w:rsid w:val="001857C6"/>
    <w:rsid w:val="00186014"/>
    <w:rsid w:val="00186983"/>
    <w:rsid w:val="00187B79"/>
    <w:rsid w:val="00187FEA"/>
    <w:rsid w:val="0019057D"/>
    <w:rsid w:val="001913D5"/>
    <w:rsid w:val="001920A9"/>
    <w:rsid w:val="00194A04"/>
    <w:rsid w:val="00194B64"/>
    <w:rsid w:val="001974E2"/>
    <w:rsid w:val="001A1384"/>
    <w:rsid w:val="001A4905"/>
    <w:rsid w:val="001A60BD"/>
    <w:rsid w:val="001A6CB9"/>
    <w:rsid w:val="001A792E"/>
    <w:rsid w:val="001B2694"/>
    <w:rsid w:val="001B5D8E"/>
    <w:rsid w:val="001B747B"/>
    <w:rsid w:val="001C007C"/>
    <w:rsid w:val="001C0B51"/>
    <w:rsid w:val="001C558F"/>
    <w:rsid w:val="001D0D48"/>
    <w:rsid w:val="001D174C"/>
    <w:rsid w:val="001D32F0"/>
    <w:rsid w:val="001D3418"/>
    <w:rsid w:val="001E0FA2"/>
    <w:rsid w:val="001E4A64"/>
    <w:rsid w:val="001E5646"/>
    <w:rsid w:val="001E7396"/>
    <w:rsid w:val="001F1178"/>
    <w:rsid w:val="001F452C"/>
    <w:rsid w:val="001F72B2"/>
    <w:rsid w:val="001F7E89"/>
    <w:rsid w:val="00201F27"/>
    <w:rsid w:val="00203E12"/>
    <w:rsid w:val="00204F6C"/>
    <w:rsid w:val="0020553A"/>
    <w:rsid w:val="002114F6"/>
    <w:rsid w:val="00211E04"/>
    <w:rsid w:val="00213CF6"/>
    <w:rsid w:val="00216B9C"/>
    <w:rsid w:val="00216CCB"/>
    <w:rsid w:val="002170D2"/>
    <w:rsid w:val="00217DFF"/>
    <w:rsid w:val="00220A39"/>
    <w:rsid w:val="00222484"/>
    <w:rsid w:val="002273A1"/>
    <w:rsid w:val="002324E8"/>
    <w:rsid w:val="002328BB"/>
    <w:rsid w:val="00235417"/>
    <w:rsid w:val="002357DB"/>
    <w:rsid w:val="00235E1E"/>
    <w:rsid w:val="00236570"/>
    <w:rsid w:val="00236F40"/>
    <w:rsid w:val="00241A53"/>
    <w:rsid w:val="002420E6"/>
    <w:rsid w:val="00242580"/>
    <w:rsid w:val="00242D39"/>
    <w:rsid w:val="00242FE4"/>
    <w:rsid w:val="00242FE7"/>
    <w:rsid w:val="00243DF7"/>
    <w:rsid w:val="002452FB"/>
    <w:rsid w:val="0024620D"/>
    <w:rsid w:val="002476C4"/>
    <w:rsid w:val="002510DB"/>
    <w:rsid w:val="00251451"/>
    <w:rsid w:val="0025150B"/>
    <w:rsid w:val="00252491"/>
    <w:rsid w:val="002530E9"/>
    <w:rsid w:val="00253574"/>
    <w:rsid w:val="00255916"/>
    <w:rsid w:val="0025743D"/>
    <w:rsid w:val="0026115F"/>
    <w:rsid w:val="00262388"/>
    <w:rsid w:val="00264654"/>
    <w:rsid w:val="00265A34"/>
    <w:rsid w:val="0026675A"/>
    <w:rsid w:val="00267847"/>
    <w:rsid w:val="0026789F"/>
    <w:rsid w:val="002706FB"/>
    <w:rsid w:val="00270980"/>
    <w:rsid w:val="00270A6B"/>
    <w:rsid w:val="002729EC"/>
    <w:rsid w:val="00273022"/>
    <w:rsid w:val="00274AE9"/>
    <w:rsid w:val="00275E3F"/>
    <w:rsid w:val="002801B8"/>
    <w:rsid w:val="00282947"/>
    <w:rsid w:val="0028305F"/>
    <w:rsid w:val="00283339"/>
    <w:rsid w:val="00283AD0"/>
    <w:rsid w:val="00283C63"/>
    <w:rsid w:val="002847D6"/>
    <w:rsid w:val="00284C3F"/>
    <w:rsid w:val="00285DF6"/>
    <w:rsid w:val="00285E27"/>
    <w:rsid w:val="0028711B"/>
    <w:rsid w:val="0028788C"/>
    <w:rsid w:val="002879D1"/>
    <w:rsid w:val="0029104B"/>
    <w:rsid w:val="0029105F"/>
    <w:rsid w:val="00291A33"/>
    <w:rsid w:val="00291ECE"/>
    <w:rsid w:val="0029221F"/>
    <w:rsid w:val="00294127"/>
    <w:rsid w:val="0029449F"/>
    <w:rsid w:val="00296031"/>
    <w:rsid w:val="00296FA6"/>
    <w:rsid w:val="002A0D4B"/>
    <w:rsid w:val="002A19A5"/>
    <w:rsid w:val="002A1B5E"/>
    <w:rsid w:val="002A229A"/>
    <w:rsid w:val="002B0BCD"/>
    <w:rsid w:val="002B0E2B"/>
    <w:rsid w:val="002B19BE"/>
    <w:rsid w:val="002B33A4"/>
    <w:rsid w:val="002B3605"/>
    <w:rsid w:val="002B3D33"/>
    <w:rsid w:val="002B3DBE"/>
    <w:rsid w:val="002B42B1"/>
    <w:rsid w:val="002B5B0A"/>
    <w:rsid w:val="002B5EEA"/>
    <w:rsid w:val="002B60CA"/>
    <w:rsid w:val="002B6B96"/>
    <w:rsid w:val="002B7C17"/>
    <w:rsid w:val="002C09C8"/>
    <w:rsid w:val="002C0EC3"/>
    <w:rsid w:val="002C28CC"/>
    <w:rsid w:val="002C3EB9"/>
    <w:rsid w:val="002C49E8"/>
    <w:rsid w:val="002C59C2"/>
    <w:rsid w:val="002C75EF"/>
    <w:rsid w:val="002D2035"/>
    <w:rsid w:val="002D2582"/>
    <w:rsid w:val="002D33A2"/>
    <w:rsid w:val="002D35BF"/>
    <w:rsid w:val="002D435F"/>
    <w:rsid w:val="002D5A1E"/>
    <w:rsid w:val="002E03DD"/>
    <w:rsid w:val="002E1967"/>
    <w:rsid w:val="002E2AEA"/>
    <w:rsid w:val="002E4800"/>
    <w:rsid w:val="002F0992"/>
    <w:rsid w:val="002F11A7"/>
    <w:rsid w:val="002F29BD"/>
    <w:rsid w:val="002F2C6A"/>
    <w:rsid w:val="002F3E03"/>
    <w:rsid w:val="002F6C8E"/>
    <w:rsid w:val="002F75A8"/>
    <w:rsid w:val="002F768C"/>
    <w:rsid w:val="002F7B7E"/>
    <w:rsid w:val="00304AC4"/>
    <w:rsid w:val="00306A2A"/>
    <w:rsid w:val="00307847"/>
    <w:rsid w:val="0031010A"/>
    <w:rsid w:val="003117B3"/>
    <w:rsid w:val="00312750"/>
    <w:rsid w:val="00313CC8"/>
    <w:rsid w:val="00313E43"/>
    <w:rsid w:val="003159EB"/>
    <w:rsid w:val="00320590"/>
    <w:rsid w:val="0032484A"/>
    <w:rsid w:val="00324C03"/>
    <w:rsid w:val="00326D1C"/>
    <w:rsid w:val="00326D5D"/>
    <w:rsid w:val="00330491"/>
    <w:rsid w:val="003338FE"/>
    <w:rsid w:val="0033404B"/>
    <w:rsid w:val="003343C4"/>
    <w:rsid w:val="00336717"/>
    <w:rsid w:val="00344959"/>
    <w:rsid w:val="003462F8"/>
    <w:rsid w:val="00347AC6"/>
    <w:rsid w:val="00347ADA"/>
    <w:rsid w:val="00351372"/>
    <w:rsid w:val="00353D19"/>
    <w:rsid w:val="003561AC"/>
    <w:rsid w:val="00356D94"/>
    <w:rsid w:val="003612C0"/>
    <w:rsid w:val="00361315"/>
    <w:rsid w:val="0036453C"/>
    <w:rsid w:val="003666C8"/>
    <w:rsid w:val="003671D2"/>
    <w:rsid w:val="00372236"/>
    <w:rsid w:val="003729B8"/>
    <w:rsid w:val="003745BA"/>
    <w:rsid w:val="003764D5"/>
    <w:rsid w:val="00380573"/>
    <w:rsid w:val="00383DA0"/>
    <w:rsid w:val="003845C1"/>
    <w:rsid w:val="003850B4"/>
    <w:rsid w:val="00386512"/>
    <w:rsid w:val="00387C10"/>
    <w:rsid w:val="00387D63"/>
    <w:rsid w:val="00387E27"/>
    <w:rsid w:val="00390884"/>
    <w:rsid w:val="00392C9C"/>
    <w:rsid w:val="0039350E"/>
    <w:rsid w:val="0039391B"/>
    <w:rsid w:val="003944A8"/>
    <w:rsid w:val="00397A10"/>
    <w:rsid w:val="00397EA6"/>
    <w:rsid w:val="003A0CCA"/>
    <w:rsid w:val="003A17DE"/>
    <w:rsid w:val="003A188B"/>
    <w:rsid w:val="003A1ABB"/>
    <w:rsid w:val="003A2C43"/>
    <w:rsid w:val="003A668D"/>
    <w:rsid w:val="003A6996"/>
    <w:rsid w:val="003A7105"/>
    <w:rsid w:val="003A75B4"/>
    <w:rsid w:val="003B03D7"/>
    <w:rsid w:val="003B061A"/>
    <w:rsid w:val="003B1048"/>
    <w:rsid w:val="003B2A16"/>
    <w:rsid w:val="003B61AF"/>
    <w:rsid w:val="003C0F9F"/>
    <w:rsid w:val="003C4981"/>
    <w:rsid w:val="003C65EB"/>
    <w:rsid w:val="003C70BE"/>
    <w:rsid w:val="003C756F"/>
    <w:rsid w:val="003C7DF4"/>
    <w:rsid w:val="003D170B"/>
    <w:rsid w:val="003D223A"/>
    <w:rsid w:val="003D28AA"/>
    <w:rsid w:val="003D336E"/>
    <w:rsid w:val="003D4809"/>
    <w:rsid w:val="003D657B"/>
    <w:rsid w:val="003D66ED"/>
    <w:rsid w:val="003D7F4B"/>
    <w:rsid w:val="003E0C31"/>
    <w:rsid w:val="003E19E7"/>
    <w:rsid w:val="003E3D8C"/>
    <w:rsid w:val="003E59FB"/>
    <w:rsid w:val="003E6B84"/>
    <w:rsid w:val="003E7AE6"/>
    <w:rsid w:val="003E7CE4"/>
    <w:rsid w:val="003F742B"/>
    <w:rsid w:val="003F7F00"/>
    <w:rsid w:val="00400210"/>
    <w:rsid w:val="00402048"/>
    <w:rsid w:val="004046C9"/>
    <w:rsid w:val="004052E2"/>
    <w:rsid w:val="00406D31"/>
    <w:rsid w:val="004076AD"/>
    <w:rsid w:val="004076FC"/>
    <w:rsid w:val="00410C5B"/>
    <w:rsid w:val="0041172E"/>
    <w:rsid w:val="00413041"/>
    <w:rsid w:val="004131C1"/>
    <w:rsid w:val="004167FD"/>
    <w:rsid w:val="00417C18"/>
    <w:rsid w:val="004206E6"/>
    <w:rsid w:val="0042383E"/>
    <w:rsid w:val="00423A14"/>
    <w:rsid w:val="00423E80"/>
    <w:rsid w:val="004240AC"/>
    <w:rsid w:val="00424AF9"/>
    <w:rsid w:val="00425AC6"/>
    <w:rsid w:val="004278F0"/>
    <w:rsid w:val="0043091D"/>
    <w:rsid w:val="00431C7E"/>
    <w:rsid w:val="00434396"/>
    <w:rsid w:val="00434672"/>
    <w:rsid w:val="0043518F"/>
    <w:rsid w:val="0043683F"/>
    <w:rsid w:val="004376B6"/>
    <w:rsid w:val="004377F7"/>
    <w:rsid w:val="00444E00"/>
    <w:rsid w:val="00444E43"/>
    <w:rsid w:val="004471CA"/>
    <w:rsid w:val="004507B6"/>
    <w:rsid w:val="004507C9"/>
    <w:rsid w:val="00452A03"/>
    <w:rsid w:val="00452B1E"/>
    <w:rsid w:val="00457F1B"/>
    <w:rsid w:val="00460E38"/>
    <w:rsid w:val="00460F1A"/>
    <w:rsid w:val="0046104E"/>
    <w:rsid w:val="004611B4"/>
    <w:rsid w:val="00461A95"/>
    <w:rsid w:val="00461B27"/>
    <w:rsid w:val="0046269A"/>
    <w:rsid w:val="004636E6"/>
    <w:rsid w:val="00463D56"/>
    <w:rsid w:val="00464E65"/>
    <w:rsid w:val="004678D0"/>
    <w:rsid w:val="00471838"/>
    <w:rsid w:val="00473697"/>
    <w:rsid w:val="00474333"/>
    <w:rsid w:val="004745AF"/>
    <w:rsid w:val="0047505D"/>
    <w:rsid w:val="0047531C"/>
    <w:rsid w:val="00475D75"/>
    <w:rsid w:val="004774A0"/>
    <w:rsid w:val="004803B0"/>
    <w:rsid w:val="00480DB3"/>
    <w:rsid w:val="00486649"/>
    <w:rsid w:val="00486D3F"/>
    <w:rsid w:val="00487C2B"/>
    <w:rsid w:val="004900AE"/>
    <w:rsid w:val="0049290B"/>
    <w:rsid w:val="0049325B"/>
    <w:rsid w:val="00493F61"/>
    <w:rsid w:val="00497C53"/>
    <w:rsid w:val="004A036C"/>
    <w:rsid w:val="004A0B83"/>
    <w:rsid w:val="004A0E67"/>
    <w:rsid w:val="004A4C2B"/>
    <w:rsid w:val="004A6A61"/>
    <w:rsid w:val="004B027A"/>
    <w:rsid w:val="004B08C9"/>
    <w:rsid w:val="004B3383"/>
    <w:rsid w:val="004B53EA"/>
    <w:rsid w:val="004B69CB"/>
    <w:rsid w:val="004C007F"/>
    <w:rsid w:val="004C25B1"/>
    <w:rsid w:val="004C3306"/>
    <w:rsid w:val="004C332A"/>
    <w:rsid w:val="004C63C0"/>
    <w:rsid w:val="004C63C1"/>
    <w:rsid w:val="004C76A8"/>
    <w:rsid w:val="004D006C"/>
    <w:rsid w:val="004D02E7"/>
    <w:rsid w:val="004D082F"/>
    <w:rsid w:val="004D09AD"/>
    <w:rsid w:val="004D0ACD"/>
    <w:rsid w:val="004D1605"/>
    <w:rsid w:val="004D1D16"/>
    <w:rsid w:val="004D26F2"/>
    <w:rsid w:val="004D47EA"/>
    <w:rsid w:val="004D4C1C"/>
    <w:rsid w:val="004D54F0"/>
    <w:rsid w:val="004D7585"/>
    <w:rsid w:val="004E05A8"/>
    <w:rsid w:val="004E09A4"/>
    <w:rsid w:val="004E0B18"/>
    <w:rsid w:val="004E1127"/>
    <w:rsid w:val="004E2A3E"/>
    <w:rsid w:val="004E3397"/>
    <w:rsid w:val="004E3631"/>
    <w:rsid w:val="004E5699"/>
    <w:rsid w:val="004E6A0F"/>
    <w:rsid w:val="004F13D4"/>
    <w:rsid w:val="004F249B"/>
    <w:rsid w:val="004F2D63"/>
    <w:rsid w:val="004F2FD4"/>
    <w:rsid w:val="004F4626"/>
    <w:rsid w:val="004F4C56"/>
    <w:rsid w:val="004F4CE7"/>
    <w:rsid w:val="004F5074"/>
    <w:rsid w:val="004F67E7"/>
    <w:rsid w:val="004F77DD"/>
    <w:rsid w:val="005008A0"/>
    <w:rsid w:val="00501E10"/>
    <w:rsid w:val="00501E30"/>
    <w:rsid w:val="005048F6"/>
    <w:rsid w:val="00505A0A"/>
    <w:rsid w:val="00507906"/>
    <w:rsid w:val="00507C1C"/>
    <w:rsid w:val="00511EF1"/>
    <w:rsid w:val="00514AF0"/>
    <w:rsid w:val="00515217"/>
    <w:rsid w:val="00520A95"/>
    <w:rsid w:val="0052102C"/>
    <w:rsid w:val="00521A35"/>
    <w:rsid w:val="00523464"/>
    <w:rsid w:val="00527484"/>
    <w:rsid w:val="00530542"/>
    <w:rsid w:val="005310B4"/>
    <w:rsid w:val="005313C9"/>
    <w:rsid w:val="00532038"/>
    <w:rsid w:val="00533255"/>
    <w:rsid w:val="00535A9D"/>
    <w:rsid w:val="00536CD2"/>
    <w:rsid w:val="00540F7D"/>
    <w:rsid w:val="005419A1"/>
    <w:rsid w:val="00543075"/>
    <w:rsid w:val="00546724"/>
    <w:rsid w:val="005472ED"/>
    <w:rsid w:val="0055786D"/>
    <w:rsid w:val="00557C83"/>
    <w:rsid w:val="0056117B"/>
    <w:rsid w:val="00561215"/>
    <w:rsid w:val="005625A0"/>
    <w:rsid w:val="00563243"/>
    <w:rsid w:val="00564419"/>
    <w:rsid w:val="005648B2"/>
    <w:rsid w:val="005659CE"/>
    <w:rsid w:val="00565B06"/>
    <w:rsid w:val="005719D3"/>
    <w:rsid w:val="00571B1F"/>
    <w:rsid w:val="00572866"/>
    <w:rsid w:val="00572C0A"/>
    <w:rsid w:val="00574583"/>
    <w:rsid w:val="00576FE4"/>
    <w:rsid w:val="0057753A"/>
    <w:rsid w:val="0058013C"/>
    <w:rsid w:val="0058531E"/>
    <w:rsid w:val="005867F5"/>
    <w:rsid w:val="00587F1E"/>
    <w:rsid w:val="005902A2"/>
    <w:rsid w:val="00590B1A"/>
    <w:rsid w:val="005919D3"/>
    <w:rsid w:val="00591AC5"/>
    <w:rsid w:val="005935BB"/>
    <w:rsid w:val="005938F6"/>
    <w:rsid w:val="00593BFF"/>
    <w:rsid w:val="0059597E"/>
    <w:rsid w:val="00596F3C"/>
    <w:rsid w:val="0059764E"/>
    <w:rsid w:val="005A001C"/>
    <w:rsid w:val="005A330B"/>
    <w:rsid w:val="005A34E0"/>
    <w:rsid w:val="005A4285"/>
    <w:rsid w:val="005A69D9"/>
    <w:rsid w:val="005B0C07"/>
    <w:rsid w:val="005B1643"/>
    <w:rsid w:val="005B2AC3"/>
    <w:rsid w:val="005B334D"/>
    <w:rsid w:val="005B3DC4"/>
    <w:rsid w:val="005B52BB"/>
    <w:rsid w:val="005B679A"/>
    <w:rsid w:val="005B70DA"/>
    <w:rsid w:val="005B71BB"/>
    <w:rsid w:val="005C1A70"/>
    <w:rsid w:val="005C2AA4"/>
    <w:rsid w:val="005C392C"/>
    <w:rsid w:val="005C3C04"/>
    <w:rsid w:val="005C5C4E"/>
    <w:rsid w:val="005D4696"/>
    <w:rsid w:val="005D65D4"/>
    <w:rsid w:val="005E0742"/>
    <w:rsid w:val="005E17FE"/>
    <w:rsid w:val="005E1BC4"/>
    <w:rsid w:val="005E2468"/>
    <w:rsid w:val="005E29BF"/>
    <w:rsid w:val="005E319B"/>
    <w:rsid w:val="005E3BA8"/>
    <w:rsid w:val="005E56E1"/>
    <w:rsid w:val="005E6542"/>
    <w:rsid w:val="005E78D3"/>
    <w:rsid w:val="005E7B6E"/>
    <w:rsid w:val="005F06DF"/>
    <w:rsid w:val="005F3506"/>
    <w:rsid w:val="005F6CA5"/>
    <w:rsid w:val="00600069"/>
    <w:rsid w:val="00601A96"/>
    <w:rsid w:val="006028B5"/>
    <w:rsid w:val="006030F9"/>
    <w:rsid w:val="006047D4"/>
    <w:rsid w:val="00605624"/>
    <w:rsid w:val="00606908"/>
    <w:rsid w:val="0060703A"/>
    <w:rsid w:val="00607173"/>
    <w:rsid w:val="006100D9"/>
    <w:rsid w:val="00614176"/>
    <w:rsid w:val="006143EC"/>
    <w:rsid w:val="00614776"/>
    <w:rsid w:val="006150E0"/>
    <w:rsid w:val="006153F9"/>
    <w:rsid w:val="00616A0C"/>
    <w:rsid w:val="00620610"/>
    <w:rsid w:val="00621114"/>
    <w:rsid w:val="00621C49"/>
    <w:rsid w:val="006225EF"/>
    <w:rsid w:val="00622681"/>
    <w:rsid w:val="00623071"/>
    <w:rsid w:val="00624E17"/>
    <w:rsid w:val="00625257"/>
    <w:rsid w:val="0062612A"/>
    <w:rsid w:val="0062621B"/>
    <w:rsid w:val="0062704A"/>
    <w:rsid w:val="00631D94"/>
    <w:rsid w:val="006352EE"/>
    <w:rsid w:val="00635611"/>
    <w:rsid w:val="00635A61"/>
    <w:rsid w:val="00636171"/>
    <w:rsid w:val="00641590"/>
    <w:rsid w:val="00644F20"/>
    <w:rsid w:val="0064629F"/>
    <w:rsid w:val="0064766C"/>
    <w:rsid w:val="00647C95"/>
    <w:rsid w:val="00651830"/>
    <w:rsid w:val="00651D79"/>
    <w:rsid w:val="00652015"/>
    <w:rsid w:val="00652900"/>
    <w:rsid w:val="0065338D"/>
    <w:rsid w:val="006538AC"/>
    <w:rsid w:val="0065395E"/>
    <w:rsid w:val="00653A4A"/>
    <w:rsid w:val="00653FBF"/>
    <w:rsid w:val="00657EFA"/>
    <w:rsid w:val="006604CE"/>
    <w:rsid w:val="00660FB8"/>
    <w:rsid w:val="00661DC4"/>
    <w:rsid w:val="00662B73"/>
    <w:rsid w:val="00664737"/>
    <w:rsid w:val="00664C20"/>
    <w:rsid w:val="00666A3F"/>
    <w:rsid w:val="00667353"/>
    <w:rsid w:val="00667412"/>
    <w:rsid w:val="00670C8A"/>
    <w:rsid w:val="00671430"/>
    <w:rsid w:val="00672474"/>
    <w:rsid w:val="00672E96"/>
    <w:rsid w:val="00673EA0"/>
    <w:rsid w:val="00676752"/>
    <w:rsid w:val="00677B9E"/>
    <w:rsid w:val="00683637"/>
    <w:rsid w:val="00683C91"/>
    <w:rsid w:val="00685504"/>
    <w:rsid w:val="00686B42"/>
    <w:rsid w:val="00686DFE"/>
    <w:rsid w:val="00686F6D"/>
    <w:rsid w:val="00687427"/>
    <w:rsid w:val="0069026F"/>
    <w:rsid w:val="00691C7F"/>
    <w:rsid w:val="00692480"/>
    <w:rsid w:val="00693C38"/>
    <w:rsid w:val="006956F4"/>
    <w:rsid w:val="00695974"/>
    <w:rsid w:val="006962E6"/>
    <w:rsid w:val="006969A5"/>
    <w:rsid w:val="00697DC6"/>
    <w:rsid w:val="006A180D"/>
    <w:rsid w:val="006A18E1"/>
    <w:rsid w:val="006A41DD"/>
    <w:rsid w:val="006A4220"/>
    <w:rsid w:val="006A5D7D"/>
    <w:rsid w:val="006A78F2"/>
    <w:rsid w:val="006B0111"/>
    <w:rsid w:val="006B0C5F"/>
    <w:rsid w:val="006B313B"/>
    <w:rsid w:val="006B32D3"/>
    <w:rsid w:val="006B4AE0"/>
    <w:rsid w:val="006B5521"/>
    <w:rsid w:val="006B58A9"/>
    <w:rsid w:val="006B7AC4"/>
    <w:rsid w:val="006C0161"/>
    <w:rsid w:val="006C06DF"/>
    <w:rsid w:val="006C169C"/>
    <w:rsid w:val="006C2E2F"/>
    <w:rsid w:val="006C6E75"/>
    <w:rsid w:val="006D0551"/>
    <w:rsid w:val="006D1635"/>
    <w:rsid w:val="006D2336"/>
    <w:rsid w:val="006D23B3"/>
    <w:rsid w:val="006D2ADD"/>
    <w:rsid w:val="006D3D13"/>
    <w:rsid w:val="006D4E1B"/>
    <w:rsid w:val="006D568D"/>
    <w:rsid w:val="006D6D1E"/>
    <w:rsid w:val="006E054D"/>
    <w:rsid w:val="006E0C92"/>
    <w:rsid w:val="006E134C"/>
    <w:rsid w:val="006E227A"/>
    <w:rsid w:val="006E2431"/>
    <w:rsid w:val="006E3161"/>
    <w:rsid w:val="006E4350"/>
    <w:rsid w:val="006E5A97"/>
    <w:rsid w:val="006E6210"/>
    <w:rsid w:val="006E6614"/>
    <w:rsid w:val="006E79DC"/>
    <w:rsid w:val="006F29D5"/>
    <w:rsid w:val="006F6F2A"/>
    <w:rsid w:val="006F7DC2"/>
    <w:rsid w:val="0070077D"/>
    <w:rsid w:val="00703837"/>
    <w:rsid w:val="00706844"/>
    <w:rsid w:val="00707056"/>
    <w:rsid w:val="00714797"/>
    <w:rsid w:val="007153E1"/>
    <w:rsid w:val="00715D2B"/>
    <w:rsid w:val="007160EB"/>
    <w:rsid w:val="007171F3"/>
    <w:rsid w:val="00722BB6"/>
    <w:rsid w:val="00725707"/>
    <w:rsid w:val="0073524A"/>
    <w:rsid w:val="00736663"/>
    <w:rsid w:val="00737486"/>
    <w:rsid w:val="007379A1"/>
    <w:rsid w:val="007402D8"/>
    <w:rsid w:val="00740EDB"/>
    <w:rsid w:val="0075169D"/>
    <w:rsid w:val="007523F3"/>
    <w:rsid w:val="007530FD"/>
    <w:rsid w:val="007533E9"/>
    <w:rsid w:val="00753605"/>
    <w:rsid w:val="00756A4D"/>
    <w:rsid w:val="00757F7F"/>
    <w:rsid w:val="00760161"/>
    <w:rsid w:val="00760400"/>
    <w:rsid w:val="00760908"/>
    <w:rsid w:val="00760F26"/>
    <w:rsid w:val="0076197C"/>
    <w:rsid w:val="007658F4"/>
    <w:rsid w:val="00766978"/>
    <w:rsid w:val="00766E5E"/>
    <w:rsid w:val="007677DB"/>
    <w:rsid w:val="00770B15"/>
    <w:rsid w:val="00770FA5"/>
    <w:rsid w:val="00775872"/>
    <w:rsid w:val="00775C0B"/>
    <w:rsid w:val="00776B11"/>
    <w:rsid w:val="00782F37"/>
    <w:rsid w:val="00783C38"/>
    <w:rsid w:val="00783FFB"/>
    <w:rsid w:val="007857E1"/>
    <w:rsid w:val="00786F65"/>
    <w:rsid w:val="0078786F"/>
    <w:rsid w:val="00787EEC"/>
    <w:rsid w:val="007929A9"/>
    <w:rsid w:val="007944AD"/>
    <w:rsid w:val="007A0D48"/>
    <w:rsid w:val="007A1200"/>
    <w:rsid w:val="007A365F"/>
    <w:rsid w:val="007A60EC"/>
    <w:rsid w:val="007A6530"/>
    <w:rsid w:val="007A669A"/>
    <w:rsid w:val="007A70B6"/>
    <w:rsid w:val="007B09AC"/>
    <w:rsid w:val="007B11A2"/>
    <w:rsid w:val="007B17B5"/>
    <w:rsid w:val="007B1DCA"/>
    <w:rsid w:val="007B32B4"/>
    <w:rsid w:val="007B49DA"/>
    <w:rsid w:val="007B54A6"/>
    <w:rsid w:val="007B64FD"/>
    <w:rsid w:val="007B7A5B"/>
    <w:rsid w:val="007B7DA6"/>
    <w:rsid w:val="007C0488"/>
    <w:rsid w:val="007C48C9"/>
    <w:rsid w:val="007C6275"/>
    <w:rsid w:val="007C70D8"/>
    <w:rsid w:val="007C7DCF"/>
    <w:rsid w:val="007D0FCB"/>
    <w:rsid w:val="007D1F47"/>
    <w:rsid w:val="007D2637"/>
    <w:rsid w:val="007D2F91"/>
    <w:rsid w:val="007D4FE7"/>
    <w:rsid w:val="007D5900"/>
    <w:rsid w:val="007D68E2"/>
    <w:rsid w:val="007D77FD"/>
    <w:rsid w:val="007D7EA8"/>
    <w:rsid w:val="007E10CC"/>
    <w:rsid w:val="007E29B2"/>
    <w:rsid w:val="007E7515"/>
    <w:rsid w:val="007E7B73"/>
    <w:rsid w:val="007F13FD"/>
    <w:rsid w:val="007F702B"/>
    <w:rsid w:val="0080154D"/>
    <w:rsid w:val="00802DAD"/>
    <w:rsid w:val="00803889"/>
    <w:rsid w:val="00804172"/>
    <w:rsid w:val="00804A19"/>
    <w:rsid w:val="00812D33"/>
    <w:rsid w:val="008137B7"/>
    <w:rsid w:val="008147EB"/>
    <w:rsid w:val="00814C5B"/>
    <w:rsid w:val="00816397"/>
    <w:rsid w:val="00816BA6"/>
    <w:rsid w:val="00816F92"/>
    <w:rsid w:val="00820631"/>
    <w:rsid w:val="008214F4"/>
    <w:rsid w:val="0082341F"/>
    <w:rsid w:val="008235BC"/>
    <w:rsid w:val="00826353"/>
    <w:rsid w:val="00826C22"/>
    <w:rsid w:val="008276BE"/>
    <w:rsid w:val="00830CB0"/>
    <w:rsid w:val="008331D3"/>
    <w:rsid w:val="00835E9D"/>
    <w:rsid w:val="00836881"/>
    <w:rsid w:val="00842365"/>
    <w:rsid w:val="00842ADE"/>
    <w:rsid w:val="008439F1"/>
    <w:rsid w:val="00844B3B"/>
    <w:rsid w:val="0084791B"/>
    <w:rsid w:val="00850C17"/>
    <w:rsid w:val="00850F6D"/>
    <w:rsid w:val="00851500"/>
    <w:rsid w:val="00853964"/>
    <w:rsid w:val="0085501C"/>
    <w:rsid w:val="00857DD5"/>
    <w:rsid w:val="008606BC"/>
    <w:rsid w:val="00861246"/>
    <w:rsid w:val="008613E3"/>
    <w:rsid w:val="00862527"/>
    <w:rsid w:val="008629A8"/>
    <w:rsid w:val="00862C41"/>
    <w:rsid w:val="00864BFB"/>
    <w:rsid w:val="00865A2D"/>
    <w:rsid w:val="0087363F"/>
    <w:rsid w:val="00875283"/>
    <w:rsid w:val="00880931"/>
    <w:rsid w:val="00882519"/>
    <w:rsid w:val="00883705"/>
    <w:rsid w:val="00885722"/>
    <w:rsid w:val="00885807"/>
    <w:rsid w:val="00886BCD"/>
    <w:rsid w:val="008904CF"/>
    <w:rsid w:val="00893944"/>
    <w:rsid w:val="00896CA0"/>
    <w:rsid w:val="008A12DD"/>
    <w:rsid w:val="008A40A5"/>
    <w:rsid w:val="008A5366"/>
    <w:rsid w:val="008A536B"/>
    <w:rsid w:val="008A73EC"/>
    <w:rsid w:val="008A7A10"/>
    <w:rsid w:val="008A7A4F"/>
    <w:rsid w:val="008A7D8B"/>
    <w:rsid w:val="008B18AB"/>
    <w:rsid w:val="008B2572"/>
    <w:rsid w:val="008B48CF"/>
    <w:rsid w:val="008C0187"/>
    <w:rsid w:val="008C0784"/>
    <w:rsid w:val="008C2196"/>
    <w:rsid w:val="008C330D"/>
    <w:rsid w:val="008C4907"/>
    <w:rsid w:val="008C7641"/>
    <w:rsid w:val="008C7D60"/>
    <w:rsid w:val="008D2935"/>
    <w:rsid w:val="008D3771"/>
    <w:rsid w:val="008D6E7C"/>
    <w:rsid w:val="008D7B1C"/>
    <w:rsid w:val="008E0D06"/>
    <w:rsid w:val="008E0EA0"/>
    <w:rsid w:val="008E10BD"/>
    <w:rsid w:val="008E10C1"/>
    <w:rsid w:val="008E29BF"/>
    <w:rsid w:val="008E3BC4"/>
    <w:rsid w:val="008E451F"/>
    <w:rsid w:val="008E5925"/>
    <w:rsid w:val="008E625E"/>
    <w:rsid w:val="008E65C5"/>
    <w:rsid w:val="008E7657"/>
    <w:rsid w:val="008F1C76"/>
    <w:rsid w:val="008F2972"/>
    <w:rsid w:val="008F2F19"/>
    <w:rsid w:val="008F33E2"/>
    <w:rsid w:val="008F4524"/>
    <w:rsid w:val="008F6BE1"/>
    <w:rsid w:val="008F7CB3"/>
    <w:rsid w:val="009001D9"/>
    <w:rsid w:val="00900FDC"/>
    <w:rsid w:val="009039D0"/>
    <w:rsid w:val="00903C2A"/>
    <w:rsid w:val="00903E3C"/>
    <w:rsid w:val="00904DD9"/>
    <w:rsid w:val="0090554D"/>
    <w:rsid w:val="00905F51"/>
    <w:rsid w:val="0091497A"/>
    <w:rsid w:val="00915DD3"/>
    <w:rsid w:val="00917014"/>
    <w:rsid w:val="00917D5E"/>
    <w:rsid w:val="00926228"/>
    <w:rsid w:val="009268D7"/>
    <w:rsid w:val="00931674"/>
    <w:rsid w:val="00937068"/>
    <w:rsid w:val="009372F2"/>
    <w:rsid w:val="00940115"/>
    <w:rsid w:val="00940D7E"/>
    <w:rsid w:val="009415BF"/>
    <w:rsid w:val="00941D54"/>
    <w:rsid w:val="00941E20"/>
    <w:rsid w:val="009425CC"/>
    <w:rsid w:val="00942A2A"/>
    <w:rsid w:val="009438EE"/>
    <w:rsid w:val="0094590B"/>
    <w:rsid w:val="00946024"/>
    <w:rsid w:val="00947808"/>
    <w:rsid w:val="00950767"/>
    <w:rsid w:val="00950A30"/>
    <w:rsid w:val="00951A4D"/>
    <w:rsid w:val="00952D68"/>
    <w:rsid w:val="00953797"/>
    <w:rsid w:val="00955C60"/>
    <w:rsid w:val="00956175"/>
    <w:rsid w:val="00961154"/>
    <w:rsid w:val="00962F72"/>
    <w:rsid w:val="00963E9C"/>
    <w:rsid w:val="0096435D"/>
    <w:rsid w:val="009651EA"/>
    <w:rsid w:val="009660C3"/>
    <w:rsid w:val="009666B3"/>
    <w:rsid w:val="009675FC"/>
    <w:rsid w:val="009720C9"/>
    <w:rsid w:val="00972188"/>
    <w:rsid w:val="00973FE5"/>
    <w:rsid w:val="009746C1"/>
    <w:rsid w:val="00975E41"/>
    <w:rsid w:val="00985C4B"/>
    <w:rsid w:val="00986F87"/>
    <w:rsid w:val="00987471"/>
    <w:rsid w:val="00987DB7"/>
    <w:rsid w:val="0099070E"/>
    <w:rsid w:val="00990AD1"/>
    <w:rsid w:val="00990E06"/>
    <w:rsid w:val="0099192C"/>
    <w:rsid w:val="0099385D"/>
    <w:rsid w:val="00994CB8"/>
    <w:rsid w:val="009950F6"/>
    <w:rsid w:val="00995C81"/>
    <w:rsid w:val="0099631F"/>
    <w:rsid w:val="009A37B2"/>
    <w:rsid w:val="009A37EF"/>
    <w:rsid w:val="009A419C"/>
    <w:rsid w:val="009A42F5"/>
    <w:rsid w:val="009A4CCD"/>
    <w:rsid w:val="009A7167"/>
    <w:rsid w:val="009A74CE"/>
    <w:rsid w:val="009B08E8"/>
    <w:rsid w:val="009B3D25"/>
    <w:rsid w:val="009B51AB"/>
    <w:rsid w:val="009B545D"/>
    <w:rsid w:val="009B58E4"/>
    <w:rsid w:val="009B7786"/>
    <w:rsid w:val="009C0F2F"/>
    <w:rsid w:val="009C2D7E"/>
    <w:rsid w:val="009C35C6"/>
    <w:rsid w:val="009C50F7"/>
    <w:rsid w:val="009C5378"/>
    <w:rsid w:val="009C7956"/>
    <w:rsid w:val="009D025D"/>
    <w:rsid w:val="009D0A89"/>
    <w:rsid w:val="009D0E14"/>
    <w:rsid w:val="009D61DF"/>
    <w:rsid w:val="009D75CC"/>
    <w:rsid w:val="009E245B"/>
    <w:rsid w:val="009E392C"/>
    <w:rsid w:val="009E3B4A"/>
    <w:rsid w:val="009E3EC5"/>
    <w:rsid w:val="009E4028"/>
    <w:rsid w:val="009E51F6"/>
    <w:rsid w:val="009E5D09"/>
    <w:rsid w:val="009E7D0F"/>
    <w:rsid w:val="009F0809"/>
    <w:rsid w:val="009F0A4C"/>
    <w:rsid w:val="009F10DE"/>
    <w:rsid w:val="009F3961"/>
    <w:rsid w:val="009F3BD3"/>
    <w:rsid w:val="009F5EC3"/>
    <w:rsid w:val="009F75CE"/>
    <w:rsid w:val="00A003C1"/>
    <w:rsid w:val="00A00EEA"/>
    <w:rsid w:val="00A01F89"/>
    <w:rsid w:val="00A0204E"/>
    <w:rsid w:val="00A02647"/>
    <w:rsid w:val="00A02DDE"/>
    <w:rsid w:val="00A02E0C"/>
    <w:rsid w:val="00A02F10"/>
    <w:rsid w:val="00A057AD"/>
    <w:rsid w:val="00A062B1"/>
    <w:rsid w:val="00A067E9"/>
    <w:rsid w:val="00A06B5C"/>
    <w:rsid w:val="00A074C9"/>
    <w:rsid w:val="00A078AF"/>
    <w:rsid w:val="00A07C62"/>
    <w:rsid w:val="00A1166C"/>
    <w:rsid w:val="00A15256"/>
    <w:rsid w:val="00A17D49"/>
    <w:rsid w:val="00A2082B"/>
    <w:rsid w:val="00A219E0"/>
    <w:rsid w:val="00A2424D"/>
    <w:rsid w:val="00A242F4"/>
    <w:rsid w:val="00A249F6"/>
    <w:rsid w:val="00A262FD"/>
    <w:rsid w:val="00A2639F"/>
    <w:rsid w:val="00A269EE"/>
    <w:rsid w:val="00A26A7D"/>
    <w:rsid w:val="00A302D1"/>
    <w:rsid w:val="00A30ED4"/>
    <w:rsid w:val="00A3672E"/>
    <w:rsid w:val="00A37D64"/>
    <w:rsid w:val="00A41154"/>
    <w:rsid w:val="00A415BA"/>
    <w:rsid w:val="00A41EE6"/>
    <w:rsid w:val="00A42B34"/>
    <w:rsid w:val="00A4330F"/>
    <w:rsid w:val="00A43BEB"/>
    <w:rsid w:val="00A45299"/>
    <w:rsid w:val="00A46EDE"/>
    <w:rsid w:val="00A50818"/>
    <w:rsid w:val="00A50E8E"/>
    <w:rsid w:val="00A5161B"/>
    <w:rsid w:val="00A51CFD"/>
    <w:rsid w:val="00A521A7"/>
    <w:rsid w:val="00A52F06"/>
    <w:rsid w:val="00A55D0C"/>
    <w:rsid w:val="00A61256"/>
    <w:rsid w:val="00A63C47"/>
    <w:rsid w:val="00A6489E"/>
    <w:rsid w:val="00A67086"/>
    <w:rsid w:val="00A703B1"/>
    <w:rsid w:val="00A70A13"/>
    <w:rsid w:val="00A72889"/>
    <w:rsid w:val="00A72A5F"/>
    <w:rsid w:val="00A76380"/>
    <w:rsid w:val="00A77A69"/>
    <w:rsid w:val="00A801FB"/>
    <w:rsid w:val="00A86214"/>
    <w:rsid w:val="00A87F04"/>
    <w:rsid w:val="00A9350E"/>
    <w:rsid w:val="00A93C63"/>
    <w:rsid w:val="00A95286"/>
    <w:rsid w:val="00A95DCC"/>
    <w:rsid w:val="00A9751C"/>
    <w:rsid w:val="00AA1F0D"/>
    <w:rsid w:val="00AA48B2"/>
    <w:rsid w:val="00AA4B05"/>
    <w:rsid w:val="00AA5286"/>
    <w:rsid w:val="00AA58A6"/>
    <w:rsid w:val="00AA6083"/>
    <w:rsid w:val="00AA7694"/>
    <w:rsid w:val="00AB02CB"/>
    <w:rsid w:val="00AB084D"/>
    <w:rsid w:val="00AB4B6C"/>
    <w:rsid w:val="00AB5CC2"/>
    <w:rsid w:val="00AC00F6"/>
    <w:rsid w:val="00AC04A7"/>
    <w:rsid w:val="00AC09E9"/>
    <w:rsid w:val="00AC23D5"/>
    <w:rsid w:val="00AC6AA9"/>
    <w:rsid w:val="00AC7763"/>
    <w:rsid w:val="00AC786E"/>
    <w:rsid w:val="00AC7A63"/>
    <w:rsid w:val="00AD10F6"/>
    <w:rsid w:val="00AD2DF4"/>
    <w:rsid w:val="00AD466C"/>
    <w:rsid w:val="00AD532E"/>
    <w:rsid w:val="00AD579A"/>
    <w:rsid w:val="00AD5E1F"/>
    <w:rsid w:val="00AD5EAD"/>
    <w:rsid w:val="00AE183E"/>
    <w:rsid w:val="00AE2739"/>
    <w:rsid w:val="00AE31A6"/>
    <w:rsid w:val="00AE585B"/>
    <w:rsid w:val="00AF234A"/>
    <w:rsid w:val="00AF54E0"/>
    <w:rsid w:val="00AF780B"/>
    <w:rsid w:val="00B00CB0"/>
    <w:rsid w:val="00B014B8"/>
    <w:rsid w:val="00B01B97"/>
    <w:rsid w:val="00B02308"/>
    <w:rsid w:val="00B05A7E"/>
    <w:rsid w:val="00B06350"/>
    <w:rsid w:val="00B07560"/>
    <w:rsid w:val="00B12E51"/>
    <w:rsid w:val="00B1384F"/>
    <w:rsid w:val="00B15757"/>
    <w:rsid w:val="00B20FF0"/>
    <w:rsid w:val="00B213E7"/>
    <w:rsid w:val="00B243F1"/>
    <w:rsid w:val="00B26156"/>
    <w:rsid w:val="00B26C70"/>
    <w:rsid w:val="00B26D14"/>
    <w:rsid w:val="00B278DA"/>
    <w:rsid w:val="00B30DEE"/>
    <w:rsid w:val="00B31ECE"/>
    <w:rsid w:val="00B3547A"/>
    <w:rsid w:val="00B36FC8"/>
    <w:rsid w:val="00B40A9A"/>
    <w:rsid w:val="00B40E42"/>
    <w:rsid w:val="00B41740"/>
    <w:rsid w:val="00B4182E"/>
    <w:rsid w:val="00B42B49"/>
    <w:rsid w:val="00B43B3C"/>
    <w:rsid w:val="00B46210"/>
    <w:rsid w:val="00B46E41"/>
    <w:rsid w:val="00B477BD"/>
    <w:rsid w:val="00B50280"/>
    <w:rsid w:val="00B510B5"/>
    <w:rsid w:val="00B52391"/>
    <w:rsid w:val="00B543F4"/>
    <w:rsid w:val="00B551ED"/>
    <w:rsid w:val="00B56610"/>
    <w:rsid w:val="00B56BCB"/>
    <w:rsid w:val="00B6030F"/>
    <w:rsid w:val="00B62ABC"/>
    <w:rsid w:val="00B63091"/>
    <w:rsid w:val="00B63755"/>
    <w:rsid w:val="00B63FC4"/>
    <w:rsid w:val="00B644FA"/>
    <w:rsid w:val="00B65DF6"/>
    <w:rsid w:val="00B67920"/>
    <w:rsid w:val="00B70D21"/>
    <w:rsid w:val="00B70FFA"/>
    <w:rsid w:val="00B72C3D"/>
    <w:rsid w:val="00B74FEF"/>
    <w:rsid w:val="00B7545A"/>
    <w:rsid w:val="00B75A37"/>
    <w:rsid w:val="00B75B08"/>
    <w:rsid w:val="00B771EB"/>
    <w:rsid w:val="00B77CE6"/>
    <w:rsid w:val="00B84383"/>
    <w:rsid w:val="00B85A4F"/>
    <w:rsid w:val="00B87074"/>
    <w:rsid w:val="00B875AF"/>
    <w:rsid w:val="00B87F20"/>
    <w:rsid w:val="00B901F2"/>
    <w:rsid w:val="00B90894"/>
    <w:rsid w:val="00B91367"/>
    <w:rsid w:val="00B919C3"/>
    <w:rsid w:val="00B91BF8"/>
    <w:rsid w:val="00B9316E"/>
    <w:rsid w:val="00B94EC2"/>
    <w:rsid w:val="00B9571A"/>
    <w:rsid w:val="00B959B0"/>
    <w:rsid w:val="00B95F5A"/>
    <w:rsid w:val="00B970BB"/>
    <w:rsid w:val="00BA3F43"/>
    <w:rsid w:val="00BA5841"/>
    <w:rsid w:val="00BA6465"/>
    <w:rsid w:val="00BB2F88"/>
    <w:rsid w:val="00BB32AD"/>
    <w:rsid w:val="00BB56AD"/>
    <w:rsid w:val="00BB5955"/>
    <w:rsid w:val="00BB724B"/>
    <w:rsid w:val="00BC41AF"/>
    <w:rsid w:val="00BC619E"/>
    <w:rsid w:val="00BD0056"/>
    <w:rsid w:val="00BD0CF5"/>
    <w:rsid w:val="00BD1580"/>
    <w:rsid w:val="00BD17DF"/>
    <w:rsid w:val="00BD1DC0"/>
    <w:rsid w:val="00BD3193"/>
    <w:rsid w:val="00BD3588"/>
    <w:rsid w:val="00BD486B"/>
    <w:rsid w:val="00BD5072"/>
    <w:rsid w:val="00BD6C2A"/>
    <w:rsid w:val="00BE1007"/>
    <w:rsid w:val="00BE19CB"/>
    <w:rsid w:val="00BE1D86"/>
    <w:rsid w:val="00BE23F0"/>
    <w:rsid w:val="00BE2800"/>
    <w:rsid w:val="00BE4381"/>
    <w:rsid w:val="00BE51D0"/>
    <w:rsid w:val="00BE6241"/>
    <w:rsid w:val="00BE6AC9"/>
    <w:rsid w:val="00BF2B68"/>
    <w:rsid w:val="00BF4B11"/>
    <w:rsid w:val="00BF7BA9"/>
    <w:rsid w:val="00C02546"/>
    <w:rsid w:val="00C0285E"/>
    <w:rsid w:val="00C03B3B"/>
    <w:rsid w:val="00C03B60"/>
    <w:rsid w:val="00C03D51"/>
    <w:rsid w:val="00C05C7A"/>
    <w:rsid w:val="00C06F84"/>
    <w:rsid w:val="00C1121B"/>
    <w:rsid w:val="00C1193E"/>
    <w:rsid w:val="00C11967"/>
    <w:rsid w:val="00C11E57"/>
    <w:rsid w:val="00C1259F"/>
    <w:rsid w:val="00C13BBB"/>
    <w:rsid w:val="00C13D39"/>
    <w:rsid w:val="00C163DF"/>
    <w:rsid w:val="00C16AEF"/>
    <w:rsid w:val="00C17451"/>
    <w:rsid w:val="00C24F39"/>
    <w:rsid w:val="00C252AA"/>
    <w:rsid w:val="00C2671D"/>
    <w:rsid w:val="00C271E6"/>
    <w:rsid w:val="00C34673"/>
    <w:rsid w:val="00C351AD"/>
    <w:rsid w:val="00C3548A"/>
    <w:rsid w:val="00C35D06"/>
    <w:rsid w:val="00C366B1"/>
    <w:rsid w:val="00C374AA"/>
    <w:rsid w:val="00C40CC0"/>
    <w:rsid w:val="00C40E60"/>
    <w:rsid w:val="00C427A3"/>
    <w:rsid w:val="00C460F0"/>
    <w:rsid w:val="00C46290"/>
    <w:rsid w:val="00C46C6F"/>
    <w:rsid w:val="00C4799D"/>
    <w:rsid w:val="00C503AA"/>
    <w:rsid w:val="00C50577"/>
    <w:rsid w:val="00C51005"/>
    <w:rsid w:val="00C54489"/>
    <w:rsid w:val="00C5757F"/>
    <w:rsid w:val="00C60610"/>
    <w:rsid w:val="00C60A1F"/>
    <w:rsid w:val="00C6467B"/>
    <w:rsid w:val="00C66808"/>
    <w:rsid w:val="00C674D5"/>
    <w:rsid w:val="00C67F83"/>
    <w:rsid w:val="00C7296A"/>
    <w:rsid w:val="00C736C1"/>
    <w:rsid w:val="00C73C2A"/>
    <w:rsid w:val="00C73F84"/>
    <w:rsid w:val="00C743FC"/>
    <w:rsid w:val="00C74ED5"/>
    <w:rsid w:val="00C76469"/>
    <w:rsid w:val="00C76A2D"/>
    <w:rsid w:val="00C804F1"/>
    <w:rsid w:val="00C827EE"/>
    <w:rsid w:val="00C83FF3"/>
    <w:rsid w:val="00C853E1"/>
    <w:rsid w:val="00C859B4"/>
    <w:rsid w:val="00C86D8F"/>
    <w:rsid w:val="00C92EB2"/>
    <w:rsid w:val="00C9389F"/>
    <w:rsid w:val="00C9423F"/>
    <w:rsid w:val="00C94510"/>
    <w:rsid w:val="00C946EC"/>
    <w:rsid w:val="00C97EE7"/>
    <w:rsid w:val="00CA1FE8"/>
    <w:rsid w:val="00CA2D8B"/>
    <w:rsid w:val="00CA5B09"/>
    <w:rsid w:val="00CA5C10"/>
    <w:rsid w:val="00CA6E9F"/>
    <w:rsid w:val="00CA7849"/>
    <w:rsid w:val="00CA78F5"/>
    <w:rsid w:val="00CA7CD9"/>
    <w:rsid w:val="00CB44B3"/>
    <w:rsid w:val="00CB7931"/>
    <w:rsid w:val="00CB795A"/>
    <w:rsid w:val="00CC3CF1"/>
    <w:rsid w:val="00CC58E9"/>
    <w:rsid w:val="00CD0ACA"/>
    <w:rsid w:val="00CD167C"/>
    <w:rsid w:val="00CD2034"/>
    <w:rsid w:val="00CD3D8A"/>
    <w:rsid w:val="00CD3DFA"/>
    <w:rsid w:val="00CD5104"/>
    <w:rsid w:val="00CD5115"/>
    <w:rsid w:val="00CD76B8"/>
    <w:rsid w:val="00CD7FC3"/>
    <w:rsid w:val="00CE08FB"/>
    <w:rsid w:val="00CE37D0"/>
    <w:rsid w:val="00CE383E"/>
    <w:rsid w:val="00CE525C"/>
    <w:rsid w:val="00CE6A1D"/>
    <w:rsid w:val="00CE72D2"/>
    <w:rsid w:val="00CE7FD9"/>
    <w:rsid w:val="00CF21DD"/>
    <w:rsid w:val="00CF52D1"/>
    <w:rsid w:val="00CF5BBA"/>
    <w:rsid w:val="00CF77DC"/>
    <w:rsid w:val="00D005E4"/>
    <w:rsid w:val="00D05A2B"/>
    <w:rsid w:val="00D061DE"/>
    <w:rsid w:val="00D06C0B"/>
    <w:rsid w:val="00D106EB"/>
    <w:rsid w:val="00D132B2"/>
    <w:rsid w:val="00D14016"/>
    <w:rsid w:val="00D14447"/>
    <w:rsid w:val="00D14829"/>
    <w:rsid w:val="00D1583A"/>
    <w:rsid w:val="00D15C28"/>
    <w:rsid w:val="00D178B5"/>
    <w:rsid w:val="00D17B1C"/>
    <w:rsid w:val="00D17E05"/>
    <w:rsid w:val="00D208F2"/>
    <w:rsid w:val="00D22193"/>
    <w:rsid w:val="00D252AE"/>
    <w:rsid w:val="00D272CA"/>
    <w:rsid w:val="00D30575"/>
    <w:rsid w:val="00D36FB2"/>
    <w:rsid w:val="00D37AC7"/>
    <w:rsid w:val="00D40E40"/>
    <w:rsid w:val="00D414F5"/>
    <w:rsid w:val="00D41887"/>
    <w:rsid w:val="00D42BE2"/>
    <w:rsid w:val="00D456CA"/>
    <w:rsid w:val="00D468AF"/>
    <w:rsid w:val="00D47990"/>
    <w:rsid w:val="00D47C1E"/>
    <w:rsid w:val="00D50106"/>
    <w:rsid w:val="00D510BE"/>
    <w:rsid w:val="00D518B6"/>
    <w:rsid w:val="00D52D88"/>
    <w:rsid w:val="00D530F4"/>
    <w:rsid w:val="00D542AC"/>
    <w:rsid w:val="00D54D1C"/>
    <w:rsid w:val="00D550C0"/>
    <w:rsid w:val="00D5510A"/>
    <w:rsid w:val="00D55CB0"/>
    <w:rsid w:val="00D56DFA"/>
    <w:rsid w:val="00D57624"/>
    <w:rsid w:val="00D62CB0"/>
    <w:rsid w:val="00D63662"/>
    <w:rsid w:val="00D6419C"/>
    <w:rsid w:val="00D6467F"/>
    <w:rsid w:val="00D649AC"/>
    <w:rsid w:val="00D65CA2"/>
    <w:rsid w:val="00D664F7"/>
    <w:rsid w:val="00D66F80"/>
    <w:rsid w:val="00D670BA"/>
    <w:rsid w:val="00D676EF"/>
    <w:rsid w:val="00D710BB"/>
    <w:rsid w:val="00D72BF3"/>
    <w:rsid w:val="00D76B34"/>
    <w:rsid w:val="00D80E5E"/>
    <w:rsid w:val="00D82624"/>
    <w:rsid w:val="00D83522"/>
    <w:rsid w:val="00D844A2"/>
    <w:rsid w:val="00D86F9D"/>
    <w:rsid w:val="00D87668"/>
    <w:rsid w:val="00D92C30"/>
    <w:rsid w:val="00D93527"/>
    <w:rsid w:val="00D93C1E"/>
    <w:rsid w:val="00D97663"/>
    <w:rsid w:val="00DA1611"/>
    <w:rsid w:val="00DA43B6"/>
    <w:rsid w:val="00DB0565"/>
    <w:rsid w:val="00DB2815"/>
    <w:rsid w:val="00DB5859"/>
    <w:rsid w:val="00DB6664"/>
    <w:rsid w:val="00DC07F2"/>
    <w:rsid w:val="00DC0E17"/>
    <w:rsid w:val="00DC22A6"/>
    <w:rsid w:val="00DC24C3"/>
    <w:rsid w:val="00DC334B"/>
    <w:rsid w:val="00DC3DDB"/>
    <w:rsid w:val="00DC5CCF"/>
    <w:rsid w:val="00DC7EBB"/>
    <w:rsid w:val="00DD0AF5"/>
    <w:rsid w:val="00DD3E0B"/>
    <w:rsid w:val="00DD56DE"/>
    <w:rsid w:val="00DD620D"/>
    <w:rsid w:val="00DE1A58"/>
    <w:rsid w:val="00DE261C"/>
    <w:rsid w:val="00DE5737"/>
    <w:rsid w:val="00DE59E0"/>
    <w:rsid w:val="00DE7C9A"/>
    <w:rsid w:val="00DF0E26"/>
    <w:rsid w:val="00E05A7D"/>
    <w:rsid w:val="00E072E9"/>
    <w:rsid w:val="00E11689"/>
    <w:rsid w:val="00E12AE1"/>
    <w:rsid w:val="00E13DC3"/>
    <w:rsid w:val="00E16AFF"/>
    <w:rsid w:val="00E16BEC"/>
    <w:rsid w:val="00E177EF"/>
    <w:rsid w:val="00E21783"/>
    <w:rsid w:val="00E2562E"/>
    <w:rsid w:val="00E25699"/>
    <w:rsid w:val="00E25DC5"/>
    <w:rsid w:val="00E25EA9"/>
    <w:rsid w:val="00E25FDF"/>
    <w:rsid w:val="00E274E2"/>
    <w:rsid w:val="00E27722"/>
    <w:rsid w:val="00E30054"/>
    <w:rsid w:val="00E308D1"/>
    <w:rsid w:val="00E31387"/>
    <w:rsid w:val="00E31606"/>
    <w:rsid w:val="00E32457"/>
    <w:rsid w:val="00E3288E"/>
    <w:rsid w:val="00E32FBF"/>
    <w:rsid w:val="00E33F67"/>
    <w:rsid w:val="00E33F6F"/>
    <w:rsid w:val="00E34B6C"/>
    <w:rsid w:val="00E36FA7"/>
    <w:rsid w:val="00E3718F"/>
    <w:rsid w:val="00E42C8F"/>
    <w:rsid w:val="00E43B76"/>
    <w:rsid w:val="00E43BEC"/>
    <w:rsid w:val="00E44E99"/>
    <w:rsid w:val="00E50BA4"/>
    <w:rsid w:val="00E50E52"/>
    <w:rsid w:val="00E516F5"/>
    <w:rsid w:val="00E51D32"/>
    <w:rsid w:val="00E556E2"/>
    <w:rsid w:val="00E56350"/>
    <w:rsid w:val="00E60582"/>
    <w:rsid w:val="00E633F1"/>
    <w:rsid w:val="00E63702"/>
    <w:rsid w:val="00E64A6C"/>
    <w:rsid w:val="00E64C22"/>
    <w:rsid w:val="00E72065"/>
    <w:rsid w:val="00E727E0"/>
    <w:rsid w:val="00E7297F"/>
    <w:rsid w:val="00E75B28"/>
    <w:rsid w:val="00E763FF"/>
    <w:rsid w:val="00E767BA"/>
    <w:rsid w:val="00E77D5D"/>
    <w:rsid w:val="00E849E8"/>
    <w:rsid w:val="00E860F3"/>
    <w:rsid w:val="00E86A30"/>
    <w:rsid w:val="00E906AF"/>
    <w:rsid w:val="00E9125B"/>
    <w:rsid w:val="00E921E7"/>
    <w:rsid w:val="00E92E87"/>
    <w:rsid w:val="00E9541E"/>
    <w:rsid w:val="00EA12A7"/>
    <w:rsid w:val="00EA1374"/>
    <w:rsid w:val="00EA314B"/>
    <w:rsid w:val="00EA3298"/>
    <w:rsid w:val="00EA4943"/>
    <w:rsid w:val="00EA4C99"/>
    <w:rsid w:val="00EA5DCC"/>
    <w:rsid w:val="00EA606A"/>
    <w:rsid w:val="00EA7A40"/>
    <w:rsid w:val="00EB13A5"/>
    <w:rsid w:val="00EB1D54"/>
    <w:rsid w:val="00EB2770"/>
    <w:rsid w:val="00EB3CBC"/>
    <w:rsid w:val="00EB6E3D"/>
    <w:rsid w:val="00EB7581"/>
    <w:rsid w:val="00EC29B7"/>
    <w:rsid w:val="00EC3388"/>
    <w:rsid w:val="00EC46F6"/>
    <w:rsid w:val="00ED09DE"/>
    <w:rsid w:val="00ED4FCC"/>
    <w:rsid w:val="00ED5672"/>
    <w:rsid w:val="00ED687C"/>
    <w:rsid w:val="00EE080E"/>
    <w:rsid w:val="00EE2C56"/>
    <w:rsid w:val="00EE48B2"/>
    <w:rsid w:val="00EE4E16"/>
    <w:rsid w:val="00EE54EA"/>
    <w:rsid w:val="00EE5B2A"/>
    <w:rsid w:val="00EE668B"/>
    <w:rsid w:val="00EE68A6"/>
    <w:rsid w:val="00EF07D6"/>
    <w:rsid w:val="00EF1E1F"/>
    <w:rsid w:val="00EF246F"/>
    <w:rsid w:val="00EF347B"/>
    <w:rsid w:val="00EF356F"/>
    <w:rsid w:val="00EF4168"/>
    <w:rsid w:val="00EF4EB8"/>
    <w:rsid w:val="00EF532F"/>
    <w:rsid w:val="00EF5377"/>
    <w:rsid w:val="00F03646"/>
    <w:rsid w:val="00F05454"/>
    <w:rsid w:val="00F05D79"/>
    <w:rsid w:val="00F06482"/>
    <w:rsid w:val="00F06D2C"/>
    <w:rsid w:val="00F1150B"/>
    <w:rsid w:val="00F11924"/>
    <w:rsid w:val="00F12ADC"/>
    <w:rsid w:val="00F12E4B"/>
    <w:rsid w:val="00F13466"/>
    <w:rsid w:val="00F13730"/>
    <w:rsid w:val="00F1421E"/>
    <w:rsid w:val="00F14AF1"/>
    <w:rsid w:val="00F17A27"/>
    <w:rsid w:val="00F17F9E"/>
    <w:rsid w:val="00F214B0"/>
    <w:rsid w:val="00F24E1D"/>
    <w:rsid w:val="00F30F0F"/>
    <w:rsid w:val="00F33DBB"/>
    <w:rsid w:val="00F34F4F"/>
    <w:rsid w:val="00F37DDB"/>
    <w:rsid w:val="00F4117A"/>
    <w:rsid w:val="00F4140D"/>
    <w:rsid w:val="00F4315B"/>
    <w:rsid w:val="00F4441A"/>
    <w:rsid w:val="00F4478E"/>
    <w:rsid w:val="00F451E0"/>
    <w:rsid w:val="00F46BE9"/>
    <w:rsid w:val="00F5006B"/>
    <w:rsid w:val="00F521E0"/>
    <w:rsid w:val="00F53B04"/>
    <w:rsid w:val="00F60CEA"/>
    <w:rsid w:val="00F62206"/>
    <w:rsid w:val="00F62DE9"/>
    <w:rsid w:val="00F64035"/>
    <w:rsid w:val="00F65897"/>
    <w:rsid w:val="00F661BE"/>
    <w:rsid w:val="00F66656"/>
    <w:rsid w:val="00F67257"/>
    <w:rsid w:val="00F67996"/>
    <w:rsid w:val="00F67AE8"/>
    <w:rsid w:val="00F701FC"/>
    <w:rsid w:val="00F7116C"/>
    <w:rsid w:val="00F71E86"/>
    <w:rsid w:val="00F72E82"/>
    <w:rsid w:val="00F73BFB"/>
    <w:rsid w:val="00F80C93"/>
    <w:rsid w:val="00F838AB"/>
    <w:rsid w:val="00F838CD"/>
    <w:rsid w:val="00F8643A"/>
    <w:rsid w:val="00F871D5"/>
    <w:rsid w:val="00F90173"/>
    <w:rsid w:val="00F916A7"/>
    <w:rsid w:val="00F9232A"/>
    <w:rsid w:val="00F93A45"/>
    <w:rsid w:val="00F9748D"/>
    <w:rsid w:val="00F97F6F"/>
    <w:rsid w:val="00FA06B5"/>
    <w:rsid w:val="00FA107E"/>
    <w:rsid w:val="00FA25B5"/>
    <w:rsid w:val="00FA4077"/>
    <w:rsid w:val="00FA7519"/>
    <w:rsid w:val="00FB0634"/>
    <w:rsid w:val="00FB08C5"/>
    <w:rsid w:val="00FB0A8E"/>
    <w:rsid w:val="00FB2B1C"/>
    <w:rsid w:val="00FB3BBF"/>
    <w:rsid w:val="00FB3DBA"/>
    <w:rsid w:val="00FB62E9"/>
    <w:rsid w:val="00FB7D6B"/>
    <w:rsid w:val="00FC023F"/>
    <w:rsid w:val="00FC170E"/>
    <w:rsid w:val="00FC7420"/>
    <w:rsid w:val="00FD1C54"/>
    <w:rsid w:val="00FD2346"/>
    <w:rsid w:val="00FD32DB"/>
    <w:rsid w:val="00FD4CE5"/>
    <w:rsid w:val="00FD7EC2"/>
    <w:rsid w:val="00FE1259"/>
    <w:rsid w:val="00FE1885"/>
    <w:rsid w:val="00FE330F"/>
    <w:rsid w:val="00FE3520"/>
    <w:rsid w:val="00FE581F"/>
    <w:rsid w:val="00FE6296"/>
    <w:rsid w:val="00FE6BB7"/>
    <w:rsid w:val="00FF344C"/>
    <w:rsid w:val="00FF3807"/>
    <w:rsid w:val="00FF3DBE"/>
    <w:rsid w:val="00FF420D"/>
    <w:rsid w:val="00FF47A6"/>
    <w:rsid w:val="00FF49C8"/>
    <w:rsid w:val="00FF738C"/>
    <w:rsid w:val="00FF7D02"/>
    <w:rsid w:val="010D427B"/>
    <w:rsid w:val="01DF79C5"/>
    <w:rsid w:val="02533F0F"/>
    <w:rsid w:val="047C3304"/>
    <w:rsid w:val="04A171B4"/>
    <w:rsid w:val="05CF5FA2"/>
    <w:rsid w:val="071D0390"/>
    <w:rsid w:val="07824729"/>
    <w:rsid w:val="07D63618"/>
    <w:rsid w:val="086F75C9"/>
    <w:rsid w:val="08DA0EE6"/>
    <w:rsid w:val="0AC0410C"/>
    <w:rsid w:val="0B2E72C7"/>
    <w:rsid w:val="0B354AFA"/>
    <w:rsid w:val="0B642CE9"/>
    <w:rsid w:val="0BD74A8E"/>
    <w:rsid w:val="0BEC5F87"/>
    <w:rsid w:val="0C6D2071"/>
    <w:rsid w:val="0CDF4D1D"/>
    <w:rsid w:val="0E656DD2"/>
    <w:rsid w:val="0E71409B"/>
    <w:rsid w:val="0E7363F1"/>
    <w:rsid w:val="0F1A64E0"/>
    <w:rsid w:val="0F8751F8"/>
    <w:rsid w:val="0FA24268"/>
    <w:rsid w:val="10A32505"/>
    <w:rsid w:val="119476D4"/>
    <w:rsid w:val="11B83D8F"/>
    <w:rsid w:val="11E65A2D"/>
    <w:rsid w:val="12016CDB"/>
    <w:rsid w:val="1261065C"/>
    <w:rsid w:val="12C7072D"/>
    <w:rsid w:val="12C93F22"/>
    <w:rsid w:val="137464E8"/>
    <w:rsid w:val="137A57A0"/>
    <w:rsid w:val="151439D2"/>
    <w:rsid w:val="153951E6"/>
    <w:rsid w:val="166471D8"/>
    <w:rsid w:val="166E3321"/>
    <w:rsid w:val="175C5D77"/>
    <w:rsid w:val="18A07E2C"/>
    <w:rsid w:val="19410B0E"/>
    <w:rsid w:val="19717D18"/>
    <w:rsid w:val="19836A30"/>
    <w:rsid w:val="198F01DA"/>
    <w:rsid w:val="19FD4787"/>
    <w:rsid w:val="1A1F0E4F"/>
    <w:rsid w:val="1B6805D3"/>
    <w:rsid w:val="1BC05D1A"/>
    <w:rsid w:val="1CCD3C1B"/>
    <w:rsid w:val="1D43546B"/>
    <w:rsid w:val="1DFE6FCD"/>
    <w:rsid w:val="1E2E78B2"/>
    <w:rsid w:val="1E8E3369"/>
    <w:rsid w:val="1EC040E0"/>
    <w:rsid w:val="1F280373"/>
    <w:rsid w:val="1F7E03C6"/>
    <w:rsid w:val="1FD20E4C"/>
    <w:rsid w:val="20F722D6"/>
    <w:rsid w:val="21B82963"/>
    <w:rsid w:val="22244B28"/>
    <w:rsid w:val="23294AEC"/>
    <w:rsid w:val="242204F2"/>
    <w:rsid w:val="25186BC6"/>
    <w:rsid w:val="25197619"/>
    <w:rsid w:val="25A155AC"/>
    <w:rsid w:val="25D845A8"/>
    <w:rsid w:val="26177200"/>
    <w:rsid w:val="261E0951"/>
    <w:rsid w:val="2628435C"/>
    <w:rsid w:val="26EF64F6"/>
    <w:rsid w:val="27626048"/>
    <w:rsid w:val="27637EA1"/>
    <w:rsid w:val="289D1414"/>
    <w:rsid w:val="2A127CEE"/>
    <w:rsid w:val="2ACD2B1E"/>
    <w:rsid w:val="2B620B9B"/>
    <w:rsid w:val="2B9C3CC9"/>
    <w:rsid w:val="2BF867B1"/>
    <w:rsid w:val="2C03133D"/>
    <w:rsid w:val="2D934ECE"/>
    <w:rsid w:val="2E764BAD"/>
    <w:rsid w:val="2E8D1978"/>
    <w:rsid w:val="2EE339AF"/>
    <w:rsid w:val="2FAF1ED5"/>
    <w:rsid w:val="2FB75D14"/>
    <w:rsid w:val="314E571E"/>
    <w:rsid w:val="31B71515"/>
    <w:rsid w:val="31D9592F"/>
    <w:rsid w:val="32290665"/>
    <w:rsid w:val="32957AA8"/>
    <w:rsid w:val="32B70AF4"/>
    <w:rsid w:val="336517B3"/>
    <w:rsid w:val="34A00986"/>
    <w:rsid w:val="34A0793F"/>
    <w:rsid w:val="361C228F"/>
    <w:rsid w:val="36E83F1F"/>
    <w:rsid w:val="370E3B34"/>
    <w:rsid w:val="37C30C14"/>
    <w:rsid w:val="38CD6649"/>
    <w:rsid w:val="3950297B"/>
    <w:rsid w:val="3A2E433E"/>
    <w:rsid w:val="3B102D3A"/>
    <w:rsid w:val="3B2C6AD0"/>
    <w:rsid w:val="3B7E2844"/>
    <w:rsid w:val="3C353577"/>
    <w:rsid w:val="3D0E510B"/>
    <w:rsid w:val="3D255ECD"/>
    <w:rsid w:val="3D5E6421"/>
    <w:rsid w:val="3D8E7E90"/>
    <w:rsid w:val="3E974BA8"/>
    <w:rsid w:val="3EDA6843"/>
    <w:rsid w:val="3EFC0DC7"/>
    <w:rsid w:val="40002DC6"/>
    <w:rsid w:val="40BE5A4D"/>
    <w:rsid w:val="40C906B6"/>
    <w:rsid w:val="40DC4931"/>
    <w:rsid w:val="41A41AB6"/>
    <w:rsid w:val="43B104BA"/>
    <w:rsid w:val="443D75FE"/>
    <w:rsid w:val="453D34D2"/>
    <w:rsid w:val="45AB3BB0"/>
    <w:rsid w:val="4629616A"/>
    <w:rsid w:val="46F56980"/>
    <w:rsid w:val="484E4529"/>
    <w:rsid w:val="48FF3A76"/>
    <w:rsid w:val="4A4C10F7"/>
    <w:rsid w:val="4A594E02"/>
    <w:rsid w:val="4B9F32EE"/>
    <w:rsid w:val="4BD016F9"/>
    <w:rsid w:val="4C216F66"/>
    <w:rsid w:val="4C373527"/>
    <w:rsid w:val="4D3006A2"/>
    <w:rsid w:val="4E810761"/>
    <w:rsid w:val="4F194DE6"/>
    <w:rsid w:val="50544478"/>
    <w:rsid w:val="50D43A3A"/>
    <w:rsid w:val="50E30DEA"/>
    <w:rsid w:val="52102850"/>
    <w:rsid w:val="52E15F9A"/>
    <w:rsid w:val="543C792C"/>
    <w:rsid w:val="553E1E95"/>
    <w:rsid w:val="56384123"/>
    <w:rsid w:val="56FA162E"/>
    <w:rsid w:val="57AB0F4E"/>
    <w:rsid w:val="57B2196D"/>
    <w:rsid w:val="589917F1"/>
    <w:rsid w:val="59021F27"/>
    <w:rsid w:val="597E09E7"/>
    <w:rsid w:val="5A963B0E"/>
    <w:rsid w:val="5AEB3E5A"/>
    <w:rsid w:val="5C5F714F"/>
    <w:rsid w:val="5CC130C4"/>
    <w:rsid w:val="5D6F00CB"/>
    <w:rsid w:val="5DAD189A"/>
    <w:rsid w:val="5F700DD2"/>
    <w:rsid w:val="5FEB66AA"/>
    <w:rsid w:val="61F335F4"/>
    <w:rsid w:val="623600B0"/>
    <w:rsid w:val="643635B8"/>
    <w:rsid w:val="64C51710"/>
    <w:rsid w:val="64F16511"/>
    <w:rsid w:val="652437FE"/>
    <w:rsid w:val="660B1854"/>
    <w:rsid w:val="668F7D8F"/>
    <w:rsid w:val="66DD4F9F"/>
    <w:rsid w:val="67B101D9"/>
    <w:rsid w:val="689A7F2C"/>
    <w:rsid w:val="68D51CA5"/>
    <w:rsid w:val="69CE2ACE"/>
    <w:rsid w:val="69DA57C5"/>
    <w:rsid w:val="6A331379"/>
    <w:rsid w:val="6AE34B4E"/>
    <w:rsid w:val="6AE93D85"/>
    <w:rsid w:val="6AF428B7"/>
    <w:rsid w:val="6B80239C"/>
    <w:rsid w:val="6B8B5E1E"/>
    <w:rsid w:val="6C1B6077"/>
    <w:rsid w:val="6D394EF9"/>
    <w:rsid w:val="6E0077C5"/>
    <w:rsid w:val="6F071693"/>
    <w:rsid w:val="6F296A85"/>
    <w:rsid w:val="6F5B0DCC"/>
    <w:rsid w:val="6F845140"/>
    <w:rsid w:val="70161521"/>
    <w:rsid w:val="707232B8"/>
    <w:rsid w:val="71597917"/>
    <w:rsid w:val="71C72AD3"/>
    <w:rsid w:val="71F65166"/>
    <w:rsid w:val="727A5D97"/>
    <w:rsid w:val="72F877B8"/>
    <w:rsid w:val="732C6966"/>
    <w:rsid w:val="73C57043"/>
    <w:rsid w:val="748A428C"/>
    <w:rsid w:val="756D3991"/>
    <w:rsid w:val="766B4167"/>
    <w:rsid w:val="77961E4C"/>
    <w:rsid w:val="77CB499F"/>
    <w:rsid w:val="78540E39"/>
    <w:rsid w:val="78E23EC0"/>
    <w:rsid w:val="797D43BF"/>
    <w:rsid w:val="7A6B23A5"/>
    <w:rsid w:val="7A8F19D7"/>
    <w:rsid w:val="7AD75724"/>
    <w:rsid w:val="7BD07FC9"/>
    <w:rsid w:val="7C39281F"/>
    <w:rsid w:val="7C662EE9"/>
    <w:rsid w:val="7C8410A5"/>
    <w:rsid w:val="7CAD1C88"/>
    <w:rsid w:val="7CCA791B"/>
    <w:rsid w:val="7CEC1CD1"/>
    <w:rsid w:val="7D1D5FA8"/>
    <w:rsid w:val="7D7D2BE0"/>
    <w:rsid w:val="7FC50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nhideWhenUsed="0" w:uiPriority="1"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link w:val="67"/>
    <w:autoRedefine/>
    <w:qFormat/>
    <w:uiPriority w:val="0"/>
    <w:pPr>
      <w:spacing w:before="38"/>
      <w:ind w:left="20"/>
      <w:outlineLvl w:val="0"/>
    </w:pPr>
    <w:rPr>
      <w:b/>
      <w:bCs/>
      <w:sz w:val="44"/>
      <w:szCs w:val="44"/>
    </w:rPr>
  </w:style>
  <w:style w:type="paragraph" w:styleId="4">
    <w:name w:val="heading 2"/>
    <w:basedOn w:val="1"/>
    <w:next w:val="1"/>
    <w:link w:val="68"/>
    <w:autoRedefine/>
    <w:qFormat/>
    <w:uiPriority w:val="0"/>
    <w:pPr>
      <w:ind w:left="2266"/>
      <w:outlineLvl w:val="1"/>
    </w:pPr>
    <w:rPr>
      <w:b/>
      <w:bCs/>
      <w:sz w:val="32"/>
      <w:szCs w:val="32"/>
    </w:rPr>
  </w:style>
  <w:style w:type="paragraph" w:styleId="5">
    <w:name w:val="heading 3"/>
    <w:basedOn w:val="1"/>
    <w:next w:val="1"/>
    <w:link w:val="54"/>
    <w:autoRedefine/>
    <w:qFormat/>
    <w:uiPriority w:val="0"/>
    <w:pPr>
      <w:spacing w:before="61"/>
      <w:jc w:val="center"/>
      <w:outlineLvl w:val="2"/>
    </w:pPr>
    <w:rPr>
      <w:b/>
      <w:bCs/>
      <w:sz w:val="28"/>
      <w:szCs w:val="28"/>
    </w:rPr>
  </w:style>
  <w:style w:type="paragraph" w:styleId="6">
    <w:name w:val="heading 4"/>
    <w:basedOn w:val="1"/>
    <w:next w:val="1"/>
    <w:link w:val="84"/>
    <w:autoRedefine/>
    <w:qFormat/>
    <w:uiPriority w:val="1"/>
    <w:pPr>
      <w:spacing w:before="62"/>
      <w:ind w:left="542"/>
      <w:outlineLvl w:val="3"/>
    </w:pPr>
    <w:rPr>
      <w:sz w:val="28"/>
      <w:szCs w:val="28"/>
    </w:rPr>
  </w:style>
  <w:style w:type="paragraph" w:styleId="7">
    <w:name w:val="heading 5"/>
    <w:basedOn w:val="1"/>
    <w:next w:val="1"/>
    <w:link w:val="85"/>
    <w:autoRedefine/>
    <w:qFormat/>
    <w:uiPriority w:val="1"/>
    <w:pPr>
      <w:outlineLvl w:val="4"/>
    </w:pPr>
    <w:rPr>
      <w:b/>
      <w:bCs/>
      <w:sz w:val="24"/>
      <w:szCs w:val="24"/>
    </w:rPr>
  </w:style>
  <w:style w:type="paragraph" w:styleId="8">
    <w:name w:val="heading 6"/>
    <w:basedOn w:val="1"/>
    <w:next w:val="1"/>
    <w:link w:val="86"/>
    <w:autoRedefine/>
    <w:unhideWhenUsed/>
    <w:qFormat/>
    <w:uiPriority w:val="0"/>
    <w:pPr>
      <w:keepNext/>
      <w:keepLines/>
      <w:spacing w:before="240" w:after="64" w:line="317" w:lineRule="auto"/>
      <w:outlineLvl w:val="5"/>
    </w:pPr>
    <w:rPr>
      <w:rFonts w:ascii="Arial" w:hAnsi="Arial" w:eastAsia="黑体"/>
      <w:b/>
      <w:sz w:val="24"/>
    </w:rPr>
  </w:style>
  <w:style w:type="character" w:default="1" w:styleId="29">
    <w:name w:val="Default Paragraph Font"/>
    <w:autoRedefine/>
    <w:semiHidden/>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64"/>
    <w:autoRedefine/>
    <w:qFormat/>
    <w:uiPriority w:val="0"/>
    <w:pPr>
      <w:wordWrap w:val="0"/>
      <w:spacing w:before="78" w:line="360" w:lineRule="auto"/>
      <w:ind w:firstLine="3323" w:firstLineChars="900"/>
      <w:jc w:val="both"/>
      <w:outlineLvl w:val="2"/>
    </w:pPr>
    <w:rPr>
      <w:rFonts w:asciiTheme="minorEastAsia" w:hAnsiTheme="minorEastAsia" w:eastAsiaTheme="minorEastAsia" w:cstheme="minorEastAsia"/>
      <w:b/>
      <w:spacing w:val="24"/>
      <w:sz w:val="32"/>
      <w:szCs w:val="32"/>
    </w:rPr>
  </w:style>
  <w:style w:type="paragraph" w:styleId="9">
    <w:name w:val="caption"/>
    <w:basedOn w:val="1"/>
    <w:next w:val="1"/>
    <w:autoRedefine/>
    <w:unhideWhenUsed/>
    <w:qFormat/>
    <w:uiPriority w:val="0"/>
    <w:pPr>
      <w:tabs>
        <w:tab w:val="left" w:pos="1050"/>
      </w:tabs>
      <w:suppressAutoHyphens/>
      <w:autoSpaceDE/>
      <w:autoSpaceDN/>
      <w:spacing w:line="400" w:lineRule="exact"/>
      <w:ind w:firstLine="100"/>
      <w:jc w:val="both"/>
    </w:pPr>
    <w:rPr>
      <w:rFonts w:ascii="Times New Roman" w:hAnsi="Times New Roman" w:cs="Times New Roman"/>
      <w:kern w:val="1"/>
      <w:sz w:val="28"/>
      <w:szCs w:val="24"/>
      <w:lang w:val="en-US" w:bidi="ar-SA"/>
    </w:rPr>
  </w:style>
  <w:style w:type="paragraph" w:styleId="10">
    <w:name w:val="Document Map"/>
    <w:basedOn w:val="1"/>
    <w:link w:val="75"/>
    <w:autoRedefine/>
    <w:qFormat/>
    <w:uiPriority w:val="0"/>
    <w:pPr>
      <w:shd w:val="clear" w:color="auto" w:fill="000080"/>
      <w:autoSpaceDE/>
      <w:autoSpaceDN/>
      <w:jc w:val="both"/>
    </w:pPr>
    <w:rPr>
      <w:rFonts w:ascii="Times New Roman" w:hAnsi="Times New Roman" w:cs="Times New Roman"/>
      <w:szCs w:val="20"/>
      <w:lang w:val="en-US" w:bidi="ar-SA"/>
    </w:rPr>
  </w:style>
  <w:style w:type="paragraph" w:styleId="11">
    <w:name w:val="annotation text"/>
    <w:basedOn w:val="1"/>
    <w:link w:val="79"/>
    <w:autoRedefine/>
    <w:qFormat/>
    <w:uiPriority w:val="0"/>
    <w:pPr>
      <w:autoSpaceDE/>
      <w:autoSpaceDN/>
    </w:pPr>
    <w:rPr>
      <w:rFonts w:ascii="Times New Roman" w:hAnsi="Times New Roman" w:cs="Times New Roman"/>
      <w:szCs w:val="20"/>
      <w:lang w:val="en-US" w:bidi="ar-SA"/>
    </w:rPr>
  </w:style>
  <w:style w:type="paragraph" w:styleId="12">
    <w:name w:val="Body Text Indent"/>
    <w:basedOn w:val="1"/>
    <w:next w:val="1"/>
    <w:link w:val="76"/>
    <w:autoRedefine/>
    <w:unhideWhenUsed/>
    <w:qFormat/>
    <w:uiPriority w:val="0"/>
    <w:pPr>
      <w:autoSpaceDE/>
      <w:autoSpaceDN/>
      <w:spacing w:after="120"/>
      <w:ind w:left="420" w:leftChars="200"/>
      <w:jc w:val="both"/>
    </w:pPr>
    <w:rPr>
      <w:rFonts w:ascii="Times New Roman" w:hAnsi="Times New Roman" w:cs="Times New Roman"/>
      <w:szCs w:val="20"/>
      <w:lang w:val="en-US" w:bidi="ar-SA"/>
    </w:rPr>
  </w:style>
  <w:style w:type="paragraph" w:styleId="13">
    <w:name w:val="toc 3"/>
    <w:basedOn w:val="1"/>
    <w:next w:val="1"/>
    <w:autoRedefine/>
    <w:qFormat/>
    <w:uiPriority w:val="0"/>
    <w:pPr>
      <w:ind w:left="840" w:leftChars="400"/>
    </w:pPr>
    <w:rPr>
      <w:rFonts w:ascii="Times New Roman" w:hAnsi="Times New Roman" w:eastAsia="宋体" w:cs="Times New Roman"/>
      <w:sz w:val="24"/>
    </w:rPr>
  </w:style>
  <w:style w:type="paragraph" w:styleId="14">
    <w:name w:val="Plain Text"/>
    <w:basedOn w:val="1"/>
    <w:link w:val="82"/>
    <w:autoRedefine/>
    <w:unhideWhenUsed/>
    <w:qFormat/>
    <w:uiPriority w:val="99"/>
    <w:pPr>
      <w:widowControl/>
      <w:autoSpaceDE/>
      <w:autoSpaceDN/>
    </w:pPr>
    <w:rPr>
      <w:rFonts w:ascii="Courier New" w:hAnsi="Courier New" w:cs="Times New Roman"/>
      <w:szCs w:val="21"/>
      <w:lang w:val="en-US" w:bidi="ar-SA"/>
    </w:rPr>
  </w:style>
  <w:style w:type="paragraph" w:styleId="15">
    <w:name w:val="Date"/>
    <w:basedOn w:val="1"/>
    <w:next w:val="1"/>
    <w:link w:val="60"/>
    <w:autoRedefine/>
    <w:qFormat/>
    <w:uiPriority w:val="0"/>
    <w:pPr>
      <w:autoSpaceDE/>
      <w:autoSpaceDN/>
      <w:jc w:val="both"/>
    </w:pPr>
    <w:rPr>
      <w:rFonts w:ascii="Times New Roman" w:hAnsi="Times New Roman" w:cs="Times New Roman"/>
      <w:kern w:val="2"/>
      <w:sz w:val="28"/>
      <w:szCs w:val="20"/>
      <w:lang w:val="en-US" w:bidi="ar-SA"/>
    </w:rPr>
  </w:style>
  <w:style w:type="paragraph" w:styleId="16">
    <w:name w:val="Body Text Indent 2"/>
    <w:basedOn w:val="1"/>
    <w:link w:val="80"/>
    <w:autoRedefine/>
    <w:qFormat/>
    <w:uiPriority w:val="0"/>
    <w:pPr>
      <w:autoSpaceDE/>
      <w:autoSpaceDN/>
      <w:spacing w:after="120" w:line="480" w:lineRule="auto"/>
      <w:ind w:left="420" w:leftChars="200"/>
      <w:jc w:val="both"/>
    </w:pPr>
    <w:rPr>
      <w:rFonts w:ascii="Times New Roman" w:hAnsi="Times New Roman" w:cs="Times New Roman"/>
      <w:sz w:val="20"/>
      <w:szCs w:val="20"/>
      <w:lang w:val="en-US" w:bidi="ar-SA"/>
    </w:rPr>
  </w:style>
  <w:style w:type="paragraph" w:styleId="17">
    <w:name w:val="Balloon Text"/>
    <w:basedOn w:val="1"/>
    <w:link w:val="78"/>
    <w:autoRedefine/>
    <w:qFormat/>
    <w:uiPriority w:val="0"/>
    <w:pPr>
      <w:autoSpaceDE/>
      <w:autoSpaceDN/>
      <w:jc w:val="both"/>
    </w:pPr>
    <w:rPr>
      <w:rFonts w:ascii="Times New Roman" w:hAnsi="Times New Roman" w:cs="Times New Roman"/>
      <w:sz w:val="18"/>
      <w:szCs w:val="18"/>
      <w:lang w:val="en-US" w:bidi="ar-SA"/>
    </w:rPr>
  </w:style>
  <w:style w:type="paragraph" w:styleId="18">
    <w:name w:val="footer"/>
    <w:basedOn w:val="1"/>
    <w:link w:val="63"/>
    <w:autoRedefine/>
    <w:qFormat/>
    <w:uiPriority w:val="0"/>
    <w:pPr>
      <w:tabs>
        <w:tab w:val="center" w:pos="4153"/>
        <w:tab w:val="right" w:pos="8306"/>
      </w:tabs>
      <w:snapToGrid w:val="0"/>
    </w:pPr>
    <w:rPr>
      <w:sz w:val="18"/>
    </w:rPr>
  </w:style>
  <w:style w:type="paragraph" w:styleId="19">
    <w:name w:val="header"/>
    <w:basedOn w:val="1"/>
    <w:link w:val="50"/>
    <w:autoRedefine/>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uiPriority w:val="39"/>
    <w:pPr>
      <w:tabs>
        <w:tab w:val="right" w:leader="dot" w:pos="9629"/>
      </w:tabs>
      <w:autoSpaceDE/>
      <w:autoSpaceDN/>
      <w:jc w:val="both"/>
    </w:pPr>
    <w:rPr>
      <w:rFonts w:cs="Times New Roman"/>
      <w:bCs/>
      <w:kern w:val="2"/>
      <w:sz w:val="28"/>
      <w:szCs w:val="20"/>
      <w:lang w:val="en-US" w:bidi="ar-SA"/>
    </w:rPr>
  </w:style>
  <w:style w:type="paragraph" w:styleId="21">
    <w:name w:val="table of figures"/>
    <w:basedOn w:val="1"/>
    <w:next w:val="1"/>
    <w:autoRedefine/>
    <w:qFormat/>
    <w:uiPriority w:val="0"/>
    <w:pPr>
      <w:ind w:left="200" w:leftChars="200" w:hanging="200" w:hangingChars="200"/>
    </w:pPr>
  </w:style>
  <w:style w:type="paragraph" w:styleId="22">
    <w:name w:val="Body Text 2"/>
    <w:basedOn w:val="1"/>
    <w:link w:val="51"/>
    <w:autoRedefine/>
    <w:qFormat/>
    <w:uiPriority w:val="0"/>
    <w:pPr>
      <w:spacing w:after="120" w:line="480" w:lineRule="auto"/>
    </w:pPr>
  </w:style>
  <w:style w:type="paragraph" w:styleId="23">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cs="Times New Roman"/>
      <w:szCs w:val="24"/>
    </w:rPr>
  </w:style>
  <w:style w:type="paragraph" w:styleId="24">
    <w:name w:val="Normal (Web)"/>
    <w:basedOn w:val="1"/>
    <w:autoRedefine/>
    <w:qFormat/>
    <w:uiPriority w:val="0"/>
    <w:rPr>
      <w:sz w:val="24"/>
    </w:rPr>
  </w:style>
  <w:style w:type="paragraph" w:styleId="25">
    <w:name w:val="Body Text First Indent"/>
    <w:basedOn w:val="2"/>
    <w:link w:val="74"/>
    <w:autoRedefine/>
    <w:qFormat/>
    <w:uiPriority w:val="0"/>
    <w:pPr>
      <w:autoSpaceDE/>
      <w:autoSpaceDN/>
      <w:spacing w:line="480" w:lineRule="exact"/>
      <w:ind w:firstLine="440" w:firstLineChars="200"/>
    </w:pPr>
    <w:rPr>
      <w:rFonts w:ascii="Times New Roman" w:hAnsi="Times New Roman" w:cs="Times New Roman"/>
      <w:sz w:val="22"/>
      <w:szCs w:val="20"/>
      <w:lang w:val="en-US" w:bidi="ar-SA"/>
    </w:rPr>
  </w:style>
  <w:style w:type="paragraph" w:styleId="26">
    <w:name w:val="Body Text First Indent 2"/>
    <w:basedOn w:val="12"/>
    <w:next w:val="1"/>
    <w:link w:val="77"/>
    <w:autoRedefine/>
    <w:qFormat/>
    <w:uiPriority w:val="0"/>
    <w:pPr>
      <w:ind w:firstLine="420" w:firstLineChars="200"/>
    </w:pPr>
  </w:style>
  <w:style w:type="table" w:styleId="28">
    <w:name w:val="Table Grid"/>
    <w:basedOn w:val="27"/>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rPr>
  </w:style>
  <w:style w:type="character" w:styleId="31">
    <w:name w:val="page number"/>
    <w:autoRedefine/>
    <w:qFormat/>
    <w:uiPriority w:val="0"/>
    <w:rPr>
      <w:rFonts w:ascii="Arial" w:hAnsi="Arial" w:eastAsia="黑体"/>
      <w:kern w:val="2"/>
      <w:sz w:val="21"/>
      <w:szCs w:val="21"/>
      <w:lang w:val="en-US" w:eastAsia="zh-CN" w:bidi="ar-SA"/>
    </w:rPr>
  </w:style>
  <w:style w:type="character" w:styleId="32">
    <w:name w:val="FollowedHyperlink"/>
    <w:basedOn w:val="29"/>
    <w:autoRedefine/>
    <w:qFormat/>
    <w:uiPriority w:val="99"/>
    <w:rPr>
      <w:color w:val="C81207"/>
      <w:u w:val="single"/>
    </w:rPr>
  </w:style>
  <w:style w:type="character" w:styleId="33">
    <w:name w:val="HTML Definition"/>
    <w:basedOn w:val="29"/>
    <w:autoRedefine/>
    <w:qFormat/>
    <w:uiPriority w:val="0"/>
  </w:style>
  <w:style w:type="character" w:styleId="34">
    <w:name w:val="HTML Typewriter"/>
    <w:basedOn w:val="29"/>
    <w:autoRedefine/>
    <w:qFormat/>
    <w:uiPriority w:val="0"/>
    <w:rPr>
      <w:rFonts w:hint="default" w:ascii="monospace" w:hAnsi="monospace" w:eastAsia="monospace" w:cs="monospace"/>
      <w:sz w:val="20"/>
    </w:rPr>
  </w:style>
  <w:style w:type="character" w:styleId="35">
    <w:name w:val="HTML Acronym"/>
    <w:basedOn w:val="29"/>
    <w:autoRedefine/>
    <w:qFormat/>
    <w:uiPriority w:val="0"/>
  </w:style>
  <w:style w:type="character" w:styleId="36">
    <w:name w:val="HTML Variable"/>
    <w:basedOn w:val="29"/>
    <w:autoRedefine/>
    <w:qFormat/>
    <w:uiPriority w:val="0"/>
  </w:style>
  <w:style w:type="character" w:styleId="37">
    <w:name w:val="Hyperlink"/>
    <w:basedOn w:val="29"/>
    <w:autoRedefine/>
    <w:qFormat/>
    <w:uiPriority w:val="99"/>
    <w:rPr>
      <w:color w:val="000000"/>
      <w:u w:val="none"/>
    </w:rPr>
  </w:style>
  <w:style w:type="character" w:styleId="38">
    <w:name w:val="HTML Code"/>
    <w:basedOn w:val="29"/>
    <w:autoRedefine/>
    <w:qFormat/>
    <w:uiPriority w:val="0"/>
    <w:rPr>
      <w:rFonts w:hint="default" w:ascii="monospace" w:hAnsi="monospace" w:eastAsia="monospace" w:cs="monospace"/>
      <w:sz w:val="20"/>
    </w:rPr>
  </w:style>
  <w:style w:type="character" w:styleId="39">
    <w:name w:val="HTML Cite"/>
    <w:basedOn w:val="29"/>
    <w:autoRedefine/>
    <w:qFormat/>
    <w:uiPriority w:val="0"/>
  </w:style>
  <w:style w:type="character" w:styleId="40">
    <w:name w:val="HTML Keyboard"/>
    <w:basedOn w:val="29"/>
    <w:autoRedefine/>
    <w:qFormat/>
    <w:uiPriority w:val="0"/>
    <w:rPr>
      <w:rFonts w:ascii="monospace" w:hAnsi="monospace" w:eastAsia="monospace" w:cs="monospace"/>
      <w:sz w:val="20"/>
    </w:rPr>
  </w:style>
  <w:style w:type="character" w:styleId="41">
    <w:name w:val="HTML Sample"/>
    <w:basedOn w:val="29"/>
    <w:autoRedefine/>
    <w:qFormat/>
    <w:uiPriority w:val="0"/>
    <w:rPr>
      <w:rFonts w:hint="default" w:ascii="monospace" w:hAnsi="monospace" w:eastAsia="monospace" w:cs="monospace"/>
    </w:rPr>
  </w:style>
  <w:style w:type="paragraph" w:customStyle="1" w:styleId="42">
    <w:name w:val="Default"/>
    <w:next w:val="21"/>
    <w:link w:val="87"/>
    <w:autoRedefine/>
    <w:qFormat/>
    <w:uiPriority w:val="0"/>
    <w:pPr>
      <w:widowControl w:val="0"/>
      <w:autoSpaceDE w:val="0"/>
      <w:autoSpaceDN w:val="0"/>
      <w:adjustRightInd w:val="0"/>
      <w:spacing w:after="200" w:line="276" w:lineRule="auto"/>
    </w:pPr>
    <w:rPr>
      <w:rFonts w:ascii="宋体" w:hAnsi="Times New Roman" w:eastAsia="宋体" w:cs="宋体"/>
      <w:color w:val="000000"/>
      <w:sz w:val="24"/>
      <w:szCs w:val="24"/>
      <w:lang w:val="en-US" w:eastAsia="zh-CN" w:bidi="ar-SA"/>
    </w:rPr>
  </w:style>
  <w:style w:type="table" w:customStyle="1" w:styleId="43">
    <w:name w:val="Table Normal"/>
    <w:autoRedefine/>
    <w:unhideWhenUsed/>
    <w:qFormat/>
    <w:uiPriority w:val="0"/>
    <w:tblPr>
      <w:tblCellMar>
        <w:top w:w="0" w:type="dxa"/>
        <w:left w:w="0" w:type="dxa"/>
        <w:bottom w:w="0" w:type="dxa"/>
        <w:right w:w="0" w:type="dxa"/>
      </w:tblCellMar>
    </w:tblPr>
  </w:style>
  <w:style w:type="paragraph" w:styleId="44">
    <w:name w:val="List Paragraph"/>
    <w:basedOn w:val="1"/>
    <w:autoRedefine/>
    <w:qFormat/>
    <w:uiPriority w:val="34"/>
    <w:pPr>
      <w:spacing w:before="5"/>
      <w:ind w:left="562" w:hanging="601"/>
    </w:pPr>
  </w:style>
  <w:style w:type="paragraph" w:customStyle="1" w:styleId="45">
    <w:name w:val="Table Paragraph"/>
    <w:basedOn w:val="1"/>
    <w:autoRedefine/>
    <w:qFormat/>
    <w:uiPriority w:val="1"/>
  </w:style>
  <w:style w:type="paragraph" w:customStyle="1" w:styleId="46">
    <w:name w:val="_Style 1"/>
    <w:basedOn w:val="1"/>
    <w:autoRedefine/>
    <w:qFormat/>
    <w:uiPriority w:val="34"/>
    <w:pPr>
      <w:ind w:firstLine="420" w:firstLineChars="200"/>
    </w:pPr>
  </w:style>
  <w:style w:type="character" w:customStyle="1" w:styleId="47">
    <w:name w:val="down"/>
    <w:basedOn w:val="29"/>
    <w:autoRedefine/>
    <w:qFormat/>
    <w:uiPriority w:val="0"/>
  </w:style>
  <w:style w:type="character" w:customStyle="1" w:styleId="48">
    <w:name w:val="down1"/>
    <w:basedOn w:val="29"/>
    <w:autoRedefine/>
    <w:qFormat/>
    <w:uiPriority w:val="0"/>
  </w:style>
  <w:style w:type="character" w:customStyle="1" w:styleId="49">
    <w:name w:val="gb-jt"/>
    <w:basedOn w:val="29"/>
    <w:autoRedefine/>
    <w:qFormat/>
    <w:uiPriority w:val="0"/>
  </w:style>
  <w:style w:type="character" w:customStyle="1" w:styleId="50">
    <w:name w:val="页眉 字符"/>
    <w:basedOn w:val="29"/>
    <w:link w:val="19"/>
    <w:autoRedefine/>
    <w:qFormat/>
    <w:uiPriority w:val="99"/>
    <w:rPr>
      <w:rFonts w:ascii="宋体" w:hAnsi="宋体" w:cs="宋体"/>
      <w:sz w:val="18"/>
      <w:szCs w:val="18"/>
      <w:lang w:val="zh-CN" w:bidi="zh-CN"/>
    </w:rPr>
  </w:style>
  <w:style w:type="character" w:customStyle="1" w:styleId="51">
    <w:name w:val="正文文本 2 字符"/>
    <w:basedOn w:val="29"/>
    <w:link w:val="22"/>
    <w:autoRedefine/>
    <w:qFormat/>
    <w:uiPriority w:val="0"/>
    <w:rPr>
      <w:rFonts w:ascii="宋体" w:hAnsi="宋体" w:cs="宋体"/>
      <w:sz w:val="22"/>
      <w:szCs w:val="22"/>
      <w:lang w:val="zh-CN" w:bidi="zh-CN"/>
    </w:rPr>
  </w:style>
  <w:style w:type="character" w:customStyle="1" w:styleId="52">
    <w:name w:val="标题 1 Char"/>
    <w:autoRedefine/>
    <w:qFormat/>
    <w:uiPriority w:val="9"/>
    <w:rPr>
      <w:rFonts w:ascii="Tahoma" w:hAnsi="Tahoma" w:eastAsia="微软雅黑"/>
      <w:b/>
      <w:bCs/>
      <w:kern w:val="44"/>
      <w:sz w:val="44"/>
      <w:szCs w:val="44"/>
    </w:rPr>
  </w:style>
  <w:style w:type="character" w:customStyle="1" w:styleId="53">
    <w:name w:val="标题 2 Char"/>
    <w:autoRedefine/>
    <w:semiHidden/>
    <w:qFormat/>
    <w:uiPriority w:val="9"/>
    <w:rPr>
      <w:rFonts w:ascii="Cambria" w:hAnsi="Cambria" w:eastAsia="宋体" w:cs="Times New Roman"/>
      <w:b/>
      <w:bCs/>
      <w:kern w:val="0"/>
      <w:sz w:val="32"/>
      <w:szCs w:val="32"/>
    </w:rPr>
  </w:style>
  <w:style w:type="character" w:customStyle="1" w:styleId="54">
    <w:name w:val="标题 3 字符"/>
    <w:link w:val="5"/>
    <w:autoRedefine/>
    <w:qFormat/>
    <w:uiPriority w:val="0"/>
    <w:rPr>
      <w:rFonts w:ascii="宋体" w:hAnsi="宋体" w:cs="宋体"/>
      <w:b/>
      <w:bCs/>
      <w:sz w:val="28"/>
      <w:szCs w:val="28"/>
      <w:lang w:val="zh-CN" w:bidi="zh-CN"/>
    </w:rPr>
  </w:style>
  <w:style w:type="character" w:customStyle="1" w:styleId="55">
    <w:name w:val="正文文本 Char"/>
    <w:autoRedefine/>
    <w:qFormat/>
    <w:uiPriority w:val="0"/>
    <w:rPr>
      <w:rFonts w:ascii="Tahoma" w:hAnsi="Tahoma" w:eastAsia="微软雅黑"/>
      <w:kern w:val="0"/>
      <w:sz w:val="22"/>
    </w:rPr>
  </w:style>
  <w:style w:type="character" w:customStyle="1" w:styleId="56">
    <w:name w:val="文档结构图 Char"/>
    <w:basedOn w:val="29"/>
    <w:autoRedefine/>
    <w:qFormat/>
    <w:uiPriority w:val="0"/>
    <w:rPr>
      <w:rFonts w:ascii="宋体" w:hAnsi="宋体" w:cs="宋体"/>
      <w:sz w:val="18"/>
      <w:szCs w:val="18"/>
      <w:lang w:val="zh-CN" w:bidi="zh-CN"/>
    </w:rPr>
  </w:style>
  <w:style w:type="character" w:customStyle="1" w:styleId="57">
    <w:name w:val="批注文字 Char"/>
    <w:basedOn w:val="29"/>
    <w:autoRedefine/>
    <w:qFormat/>
    <w:uiPriority w:val="0"/>
    <w:rPr>
      <w:rFonts w:ascii="宋体" w:hAnsi="宋体" w:cs="宋体"/>
      <w:sz w:val="22"/>
      <w:szCs w:val="22"/>
      <w:lang w:val="zh-CN" w:bidi="zh-CN"/>
    </w:rPr>
  </w:style>
  <w:style w:type="character" w:customStyle="1" w:styleId="58">
    <w:name w:val="正文文本缩进 Char"/>
    <w:basedOn w:val="29"/>
    <w:autoRedefine/>
    <w:qFormat/>
    <w:uiPriority w:val="0"/>
    <w:rPr>
      <w:rFonts w:ascii="宋体" w:hAnsi="宋体" w:cs="宋体"/>
      <w:sz w:val="22"/>
      <w:szCs w:val="22"/>
      <w:lang w:val="zh-CN" w:bidi="zh-CN"/>
    </w:rPr>
  </w:style>
  <w:style w:type="character" w:customStyle="1" w:styleId="59">
    <w:name w:val="纯文本 Char"/>
    <w:basedOn w:val="29"/>
    <w:autoRedefine/>
    <w:qFormat/>
    <w:uiPriority w:val="99"/>
    <w:rPr>
      <w:rFonts w:ascii="宋体" w:hAnsi="Courier New" w:cs="Courier New"/>
      <w:sz w:val="21"/>
      <w:szCs w:val="21"/>
      <w:lang w:val="zh-CN" w:bidi="zh-CN"/>
    </w:rPr>
  </w:style>
  <w:style w:type="character" w:customStyle="1" w:styleId="60">
    <w:name w:val="日期 字符"/>
    <w:basedOn w:val="29"/>
    <w:link w:val="15"/>
    <w:autoRedefine/>
    <w:qFormat/>
    <w:uiPriority w:val="0"/>
    <w:rPr>
      <w:kern w:val="2"/>
      <w:sz w:val="28"/>
    </w:rPr>
  </w:style>
  <w:style w:type="character" w:customStyle="1" w:styleId="61">
    <w:name w:val="正文文本缩进 2 Char"/>
    <w:basedOn w:val="29"/>
    <w:autoRedefine/>
    <w:qFormat/>
    <w:uiPriority w:val="99"/>
    <w:rPr>
      <w:rFonts w:ascii="宋体" w:hAnsi="宋体" w:cs="宋体"/>
      <w:sz w:val="22"/>
      <w:szCs w:val="22"/>
      <w:lang w:val="zh-CN" w:bidi="zh-CN"/>
    </w:rPr>
  </w:style>
  <w:style w:type="character" w:customStyle="1" w:styleId="62">
    <w:name w:val="批注框文本 Char"/>
    <w:basedOn w:val="29"/>
    <w:autoRedefine/>
    <w:qFormat/>
    <w:uiPriority w:val="0"/>
    <w:rPr>
      <w:rFonts w:ascii="宋体" w:hAnsi="宋体" w:cs="宋体"/>
      <w:sz w:val="18"/>
      <w:szCs w:val="18"/>
      <w:lang w:val="zh-CN" w:bidi="zh-CN"/>
    </w:rPr>
  </w:style>
  <w:style w:type="character" w:customStyle="1" w:styleId="63">
    <w:name w:val="页脚 字符"/>
    <w:link w:val="18"/>
    <w:autoRedefine/>
    <w:qFormat/>
    <w:uiPriority w:val="0"/>
    <w:rPr>
      <w:rFonts w:ascii="宋体" w:hAnsi="宋体" w:cs="宋体"/>
      <w:sz w:val="18"/>
      <w:szCs w:val="22"/>
      <w:lang w:val="zh-CN" w:bidi="zh-CN"/>
    </w:rPr>
  </w:style>
  <w:style w:type="character" w:customStyle="1" w:styleId="64">
    <w:name w:val="正文文本 字符"/>
    <w:basedOn w:val="29"/>
    <w:link w:val="2"/>
    <w:autoRedefine/>
    <w:qFormat/>
    <w:uiPriority w:val="0"/>
    <w:rPr>
      <w:rFonts w:asciiTheme="minorEastAsia" w:hAnsiTheme="minorEastAsia" w:eastAsiaTheme="minorEastAsia" w:cstheme="minorEastAsia"/>
      <w:b/>
      <w:spacing w:val="24"/>
      <w:sz w:val="32"/>
      <w:szCs w:val="32"/>
      <w:lang w:val="zh-CN" w:bidi="zh-CN"/>
    </w:rPr>
  </w:style>
  <w:style w:type="character" w:customStyle="1" w:styleId="65">
    <w:name w:val="正文首行缩进 Char"/>
    <w:basedOn w:val="64"/>
    <w:autoRedefine/>
    <w:qFormat/>
    <w:uiPriority w:val="0"/>
    <w:rPr>
      <w:rFonts w:ascii="宋体" w:hAnsi="宋体" w:cs="宋体" w:eastAsiaTheme="minorEastAsia"/>
      <w:spacing w:val="-1"/>
      <w:sz w:val="22"/>
      <w:szCs w:val="22"/>
      <w:lang w:val="zh-CN" w:bidi="zh-CN"/>
    </w:rPr>
  </w:style>
  <w:style w:type="character" w:customStyle="1" w:styleId="66">
    <w:name w:val="正文首行缩进 2 Char"/>
    <w:basedOn w:val="58"/>
    <w:autoRedefine/>
    <w:qFormat/>
    <w:uiPriority w:val="0"/>
    <w:rPr>
      <w:rFonts w:ascii="宋体" w:hAnsi="宋体" w:cs="宋体"/>
      <w:sz w:val="22"/>
      <w:szCs w:val="22"/>
      <w:lang w:val="zh-CN" w:bidi="zh-CN"/>
    </w:rPr>
  </w:style>
  <w:style w:type="character" w:customStyle="1" w:styleId="67">
    <w:name w:val="标题 1 字符"/>
    <w:link w:val="3"/>
    <w:autoRedefine/>
    <w:qFormat/>
    <w:uiPriority w:val="0"/>
    <w:rPr>
      <w:rFonts w:ascii="宋体" w:hAnsi="宋体" w:cs="宋体"/>
      <w:b/>
      <w:bCs/>
      <w:sz w:val="44"/>
      <w:szCs w:val="44"/>
      <w:lang w:val="zh-CN" w:bidi="zh-CN"/>
    </w:rPr>
  </w:style>
  <w:style w:type="character" w:customStyle="1" w:styleId="68">
    <w:name w:val="标题 2 字符"/>
    <w:link w:val="4"/>
    <w:autoRedefine/>
    <w:qFormat/>
    <w:uiPriority w:val="0"/>
    <w:rPr>
      <w:rFonts w:ascii="宋体" w:hAnsi="宋体" w:cs="宋体"/>
      <w:b/>
      <w:bCs/>
      <w:sz w:val="32"/>
      <w:szCs w:val="32"/>
      <w:lang w:val="zh-CN" w:bidi="zh-CN"/>
    </w:rPr>
  </w:style>
  <w:style w:type="character" w:customStyle="1" w:styleId="69">
    <w:name w:val="正文文本 2 Char1"/>
    <w:autoRedefine/>
    <w:qFormat/>
    <w:uiPriority w:val="0"/>
    <w:rPr>
      <w:rFonts w:ascii="楷体_GB2312" w:hAnsi="Times New Roman" w:eastAsia="楷体_GB2312" w:cs="Times New Roman"/>
      <w:b/>
      <w:kern w:val="0"/>
      <w:sz w:val="36"/>
      <w:szCs w:val="20"/>
    </w:rPr>
  </w:style>
  <w:style w:type="character" w:customStyle="1" w:styleId="70">
    <w:name w:val="font41"/>
    <w:autoRedefine/>
    <w:qFormat/>
    <w:uiPriority w:val="0"/>
    <w:rPr>
      <w:rFonts w:hint="eastAsia" w:ascii="宋体" w:hAnsi="宋体" w:eastAsia="宋体" w:cs="宋体"/>
      <w:color w:val="000000"/>
      <w:sz w:val="20"/>
      <w:szCs w:val="20"/>
      <w:u w:val="none"/>
    </w:rPr>
  </w:style>
  <w:style w:type="character" w:customStyle="1" w:styleId="71">
    <w:name w:val="font61"/>
    <w:autoRedefine/>
    <w:qFormat/>
    <w:uiPriority w:val="0"/>
    <w:rPr>
      <w:rFonts w:hint="eastAsia" w:ascii="宋体" w:hAnsi="宋体" w:eastAsia="宋体" w:cs="宋体"/>
      <w:color w:val="000000"/>
      <w:sz w:val="20"/>
      <w:szCs w:val="20"/>
      <w:u w:val="none"/>
    </w:rPr>
  </w:style>
  <w:style w:type="character" w:customStyle="1" w:styleId="72">
    <w:name w:val="apple-converted-space"/>
    <w:autoRedefine/>
    <w:qFormat/>
    <w:uiPriority w:val="0"/>
    <w:rPr>
      <w:szCs w:val="24"/>
    </w:rPr>
  </w:style>
  <w:style w:type="character" w:customStyle="1" w:styleId="73">
    <w:name w:val="font01"/>
    <w:autoRedefine/>
    <w:qFormat/>
    <w:uiPriority w:val="0"/>
    <w:rPr>
      <w:rFonts w:ascii="Tahoma" w:hAnsi="Tahoma" w:eastAsia="Tahoma" w:cs="Tahoma"/>
      <w:color w:val="000000"/>
      <w:sz w:val="20"/>
      <w:szCs w:val="20"/>
      <w:u w:val="none"/>
    </w:rPr>
  </w:style>
  <w:style w:type="character" w:customStyle="1" w:styleId="74">
    <w:name w:val="正文首行缩进 字符"/>
    <w:link w:val="25"/>
    <w:autoRedefine/>
    <w:qFormat/>
    <w:uiPriority w:val="0"/>
    <w:rPr>
      <w:sz w:val="22"/>
    </w:rPr>
  </w:style>
  <w:style w:type="character" w:customStyle="1" w:styleId="75">
    <w:name w:val="文档结构图 字符"/>
    <w:link w:val="10"/>
    <w:autoRedefine/>
    <w:qFormat/>
    <w:uiPriority w:val="0"/>
    <w:rPr>
      <w:sz w:val="22"/>
      <w:shd w:val="clear" w:color="auto" w:fill="000080"/>
    </w:rPr>
  </w:style>
  <w:style w:type="character" w:customStyle="1" w:styleId="76">
    <w:name w:val="正文文本缩进 字符"/>
    <w:link w:val="12"/>
    <w:autoRedefine/>
    <w:qFormat/>
    <w:uiPriority w:val="0"/>
    <w:rPr>
      <w:sz w:val="22"/>
    </w:rPr>
  </w:style>
  <w:style w:type="character" w:customStyle="1" w:styleId="77">
    <w:name w:val="正文首行缩进 2 字符"/>
    <w:link w:val="26"/>
    <w:autoRedefine/>
    <w:qFormat/>
    <w:uiPriority w:val="0"/>
    <w:rPr>
      <w:sz w:val="22"/>
    </w:rPr>
  </w:style>
  <w:style w:type="character" w:customStyle="1" w:styleId="78">
    <w:name w:val="批注框文本 字符"/>
    <w:link w:val="17"/>
    <w:autoRedefine/>
    <w:qFormat/>
    <w:uiPriority w:val="0"/>
    <w:rPr>
      <w:sz w:val="18"/>
      <w:szCs w:val="18"/>
    </w:rPr>
  </w:style>
  <w:style w:type="character" w:customStyle="1" w:styleId="79">
    <w:name w:val="批注文字 字符"/>
    <w:link w:val="11"/>
    <w:autoRedefine/>
    <w:qFormat/>
    <w:uiPriority w:val="0"/>
    <w:rPr>
      <w:sz w:val="22"/>
    </w:rPr>
  </w:style>
  <w:style w:type="character" w:customStyle="1" w:styleId="80">
    <w:name w:val="正文文本缩进 2 字符"/>
    <w:link w:val="16"/>
    <w:autoRedefine/>
    <w:qFormat/>
    <w:uiPriority w:val="0"/>
  </w:style>
  <w:style w:type="character" w:customStyle="1" w:styleId="81">
    <w:name w:val="未处理的提及"/>
    <w:autoRedefine/>
    <w:semiHidden/>
    <w:unhideWhenUsed/>
    <w:qFormat/>
    <w:uiPriority w:val="99"/>
    <w:rPr>
      <w:color w:val="605E5C"/>
      <w:szCs w:val="24"/>
      <w:shd w:val="clear" w:color="auto" w:fill="E1DFDD"/>
    </w:rPr>
  </w:style>
  <w:style w:type="character" w:customStyle="1" w:styleId="82">
    <w:name w:val="纯文本 字符"/>
    <w:link w:val="14"/>
    <w:autoRedefine/>
    <w:qFormat/>
    <w:uiPriority w:val="99"/>
    <w:rPr>
      <w:rFonts w:ascii="Courier New" w:hAnsi="Courier New"/>
      <w:sz w:val="22"/>
      <w:szCs w:val="21"/>
    </w:rPr>
  </w:style>
  <w:style w:type="paragraph" w:customStyle="1" w:styleId="83">
    <w:name w:val="_Style 59"/>
    <w:autoRedefine/>
    <w:unhideWhenUsed/>
    <w:qFormat/>
    <w:uiPriority w:val="99"/>
    <w:pPr>
      <w:adjustRightInd w:val="0"/>
      <w:snapToGrid w:val="0"/>
      <w:spacing w:after="200"/>
    </w:pPr>
    <w:rPr>
      <w:rFonts w:ascii="Tahoma" w:hAnsi="Tahoma" w:eastAsia="微软雅黑" w:cs="Times New Roman"/>
      <w:sz w:val="22"/>
      <w:szCs w:val="22"/>
      <w:lang w:val="en-US" w:eastAsia="zh-CN" w:bidi="ar-SA"/>
    </w:rPr>
  </w:style>
  <w:style w:type="character" w:customStyle="1" w:styleId="84">
    <w:name w:val="标题 4 字符"/>
    <w:link w:val="6"/>
    <w:autoRedefine/>
    <w:qFormat/>
    <w:uiPriority w:val="1"/>
    <w:rPr>
      <w:rFonts w:ascii="宋体" w:hAnsi="宋体" w:cs="宋体"/>
      <w:sz w:val="28"/>
      <w:szCs w:val="28"/>
      <w:lang w:val="zh-CN" w:bidi="zh-CN"/>
    </w:rPr>
  </w:style>
  <w:style w:type="character" w:customStyle="1" w:styleId="85">
    <w:name w:val="标题 5 字符"/>
    <w:link w:val="7"/>
    <w:autoRedefine/>
    <w:qFormat/>
    <w:uiPriority w:val="1"/>
    <w:rPr>
      <w:rFonts w:ascii="宋体" w:hAnsi="宋体" w:cs="宋体"/>
      <w:b/>
      <w:bCs/>
      <w:sz w:val="24"/>
      <w:szCs w:val="24"/>
      <w:lang w:val="zh-CN" w:bidi="zh-CN"/>
    </w:rPr>
  </w:style>
  <w:style w:type="character" w:customStyle="1" w:styleId="86">
    <w:name w:val="标题 6 字符"/>
    <w:link w:val="8"/>
    <w:autoRedefine/>
    <w:qFormat/>
    <w:uiPriority w:val="0"/>
    <w:rPr>
      <w:rFonts w:ascii="Arial" w:hAnsi="Arial" w:eastAsia="黑体" w:cs="宋体"/>
      <w:b/>
      <w:sz w:val="24"/>
      <w:szCs w:val="22"/>
      <w:lang w:val="zh-CN" w:bidi="zh-CN"/>
    </w:rPr>
  </w:style>
  <w:style w:type="character" w:customStyle="1" w:styleId="87">
    <w:name w:val="Default Char Char"/>
    <w:link w:val="42"/>
    <w:autoRedefine/>
    <w:qFormat/>
    <w:uiPriority w:val="0"/>
    <w:rPr>
      <w:rFonts w:ascii="宋体" w:cs="宋体"/>
      <w:color w:val="000000"/>
      <w:sz w:val="24"/>
      <w:szCs w:val="24"/>
    </w:rPr>
  </w:style>
  <w:style w:type="paragraph" w:customStyle="1" w:styleId="88">
    <w:name w:val="文档正文"/>
    <w:basedOn w:val="1"/>
    <w:autoRedefine/>
    <w:qFormat/>
    <w:uiPriority w:val="0"/>
    <w:pPr>
      <w:autoSpaceDE/>
      <w:autoSpaceDN/>
      <w:adjustRightInd w:val="0"/>
      <w:spacing w:line="480" w:lineRule="atLeast"/>
      <w:ind w:firstLine="567"/>
      <w:jc w:val="both"/>
      <w:textAlignment w:val="baseline"/>
    </w:pPr>
    <w:rPr>
      <w:rFonts w:hAnsi="Times New Roman" w:cs="Times New Roman"/>
      <w:sz w:val="28"/>
      <w:szCs w:val="20"/>
      <w:lang w:val="en-US" w:bidi="ar-SA"/>
    </w:rPr>
  </w:style>
  <w:style w:type="paragraph" w:customStyle="1" w:styleId="89">
    <w:name w:val="Table Text"/>
    <w:basedOn w:val="1"/>
    <w:autoRedefine/>
    <w:semiHidden/>
    <w:qFormat/>
    <w:uiPriority w:val="0"/>
    <w:pPr>
      <w:autoSpaceDE/>
      <w:autoSpaceDN/>
      <w:spacing w:before="49" w:line="199" w:lineRule="auto"/>
      <w:ind w:left="440" w:firstLine="512"/>
    </w:pPr>
    <w:rPr>
      <w:kern w:val="2"/>
      <w:sz w:val="24"/>
      <w:szCs w:val="24"/>
      <w:lang w:val="en-US" w:eastAsia="en-US" w:bidi="ar-SA"/>
    </w:rPr>
  </w:style>
  <w:style w:type="paragraph" w:customStyle="1" w:styleId="90">
    <w:name w:val="正文11"/>
    <w:basedOn w:val="1"/>
    <w:autoRedefine/>
    <w:qFormat/>
    <w:uiPriority w:val="0"/>
    <w:pPr>
      <w:suppressAutoHyphens/>
      <w:autoSpaceDE/>
      <w:autoSpaceDN/>
      <w:spacing w:line="360" w:lineRule="auto"/>
      <w:ind w:firstLine="200"/>
      <w:jc w:val="both"/>
    </w:pPr>
    <w:rPr>
      <w:kern w:val="1"/>
      <w:sz w:val="24"/>
      <w:szCs w:val="24"/>
      <w:lang w:val="en-US" w:bidi="ar-SA"/>
    </w:rPr>
  </w:style>
  <w:style w:type="paragraph" w:customStyle="1" w:styleId="91">
    <w:name w:val="无间隔2"/>
    <w:basedOn w:val="1"/>
    <w:autoRedefine/>
    <w:qFormat/>
    <w:uiPriority w:val="0"/>
    <w:pPr>
      <w:autoSpaceDE/>
      <w:autoSpaceDN/>
      <w:spacing w:line="400" w:lineRule="exact"/>
      <w:jc w:val="both"/>
    </w:pPr>
    <w:rPr>
      <w:rFonts w:ascii="Times New Roman" w:hAnsi="Times New Roman" w:cs="Times New Roman"/>
      <w:kern w:val="2"/>
      <w:sz w:val="24"/>
      <w:szCs w:val="24"/>
      <w:lang w:val="en-US" w:bidi="ar-SA"/>
    </w:rPr>
  </w:style>
  <w:style w:type="paragraph" w:customStyle="1" w:styleId="92">
    <w:name w:val="Heading #3|1"/>
    <w:basedOn w:val="1"/>
    <w:autoRedefine/>
    <w:qFormat/>
    <w:uiPriority w:val="99"/>
    <w:pPr>
      <w:autoSpaceDE/>
      <w:autoSpaceDN/>
      <w:spacing w:line="619" w:lineRule="exact"/>
      <w:ind w:firstLine="660"/>
      <w:jc w:val="both"/>
      <w:outlineLvl w:val="2"/>
    </w:pPr>
    <w:rPr>
      <w:b/>
      <w:bCs/>
      <w:kern w:val="2"/>
      <w:sz w:val="32"/>
      <w:szCs w:val="32"/>
      <w:lang w:val="zh-TW" w:eastAsia="zh-TW" w:bidi="ar-SA"/>
    </w:rPr>
  </w:style>
  <w:style w:type="paragraph" w:customStyle="1" w:styleId="93">
    <w:name w:val="Heading #4|1"/>
    <w:basedOn w:val="1"/>
    <w:autoRedefine/>
    <w:qFormat/>
    <w:uiPriority w:val="99"/>
    <w:pPr>
      <w:autoSpaceDE/>
      <w:autoSpaceDN/>
      <w:spacing w:after="380"/>
      <w:jc w:val="center"/>
      <w:outlineLvl w:val="3"/>
    </w:pPr>
    <w:rPr>
      <w:b/>
      <w:bCs/>
      <w:kern w:val="2"/>
      <w:sz w:val="32"/>
      <w:szCs w:val="32"/>
      <w:lang w:val="zh-TW" w:eastAsia="zh-TW" w:bidi="ar-SA"/>
    </w:rPr>
  </w:style>
  <w:style w:type="paragraph" w:customStyle="1" w:styleId="94">
    <w:name w:val="Body text|1"/>
    <w:basedOn w:val="1"/>
    <w:autoRedefine/>
    <w:qFormat/>
    <w:uiPriority w:val="99"/>
    <w:pPr>
      <w:autoSpaceDE/>
      <w:autoSpaceDN/>
      <w:spacing w:line="466" w:lineRule="exact"/>
      <w:ind w:firstLine="480"/>
      <w:jc w:val="both"/>
    </w:pPr>
    <w:rPr>
      <w:kern w:val="2"/>
      <w:sz w:val="26"/>
      <w:szCs w:val="26"/>
      <w:lang w:val="zh-TW" w:eastAsia="zh-TW" w:bidi="ar-SA"/>
    </w:rPr>
  </w:style>
  <w:style w:type="paragraph" w:customStyle="1" w:styleId="95">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paragraph" w:customStyle="1" w:styleId="96">
    <w:name w:val="无间隔1"/>
    <w:basedOn w:val="1"/>
    <w:autoRedefine/>
    <w:qFormat/>
    <w:uiPriority w:val="1"/>
    <w:pPr>
      <w:adjustRightInd w:val="0"/>
      <w:snapToGrid w:val="0"/>
      <w:spacing w:line="360" w:lineRule="auto"/>
    </w:pPr>
    <w:rPr>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wimxt.com</Company>
  <Pages>53</Pages>
  <Words>24130</Words>
  <Characters>25413</Characters>
  <Lines>196</Lines>
  <Paragraphs>55</Paragraphs>
  <TotalTime>4</TotalTime>
  <ScaleCrop>false</ScaleCrop>
  <LinksUpToDate>false</LinksUpToDate>
  <CharactersWithSpaces>25825</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2024-04-30T08:35:00Z</dcterms:created>
  <dc:creator>丰汇国际项目管理有限公司:01a18ff0_丰汇国际项目管理有限公司</dc:creator>
  <cp:lastModifiedBy>曹果</cp:lastModifiedBy>
  <cp:lastPrinted>2024-05-28T01:13:00Z</cp:lastPrinted>
  <dcterms:modified xsi:type="dcterms:W3CDTF">2024-06-25T08:06:57Z</dcterms:modified>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2021-02-25T00:00:00Z</vt:filetime>
  </property>
  <property fmtid="{D5CDD505-2E9C-101B-9397-08002B2CF9AE}" pid="3" name="Creator">
    <vt:lpwstr>Microsoft® Office Word 2007</vt:lpwstr>
  </property>
  <property fmtid="{D5CDD505-2E9C-101B-9397-08002B2CF9AE}" pid="4" name="LastSaved">
    <vt:filetime>2021-05-25T00:00:00Z</vt:filetime>
  </property>
  <property fmtid="{D5CDD505-2E9C-101B-9397-08002B2CF9AE}" pid="5" name="KSOProductBuildVer">
    <vt:lpwstr>2052-12.1.0.16412</vt:lpwstr>
  </property>
  <property fmtid="{D5CDD505-2E9C-101B-9397-08002B2CF9AE}" pid="6" name="ICV">
    <vt:lpwstr>14C93A4602114005BD36BC35FA53155E_13</vt:lpwstr>
  </property>
</Properties>
</file>