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b/>
          <w:bCs/>
          <w:sz w:val="52"/>
          <w:szCs w:val="52"/>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b/>
          <w:bCs/>
          <w:sz w:val="44"/>
          <w:szCs w:val="44"/>
          <w:lang w:val="en-US" w:eastAsia="zh-CN"/>
        </w:rPr>
      </w:pPr>
      <w:r>
        <w:rPr>
          <w:rFonts w:hint="eastAsia" w:ascii="宋体" w:hAnsi="宋体" w:eastAsia="宋体" w:cs="宋体"/>
          <w:b/>
          <w:bCs/>
          <w:sz w:val="52"/>
          <w:szCs w:val="52"/>
          <w:lang w:val="en-US" w:eastAsia="zh-CN"/>
        </w:rPr>
        <w:t>唐河县景庄休闲游园项目工程</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1"/>
          <w:sz w:val="56"/>
          <w:szCs w:val="56"/>
          <w14:textOutline w14:w="3844" w14:cap="flat" w14:cmpd="sng">
            <w14:solidFill>
              <w14:srgbClr w14:val="000000"/>
            </w14:solidFill>
            <w14:prstDash w14:val="solid"/>
            <w14:miter w14:val="0"/>
          </w14:textOutline>
        </w:rPr>
      </w:pPr>
      <w:bookmarkStart w:id="0" w:name="_Toc22582"/>
      <w:r>
        <w:rPr>
          <w:rFonts w:hint="eastAsia" w:ascii="宋体" w:hAnsi="宋体" w:eastAsia="宋体" w:cs="宋体"/>
          <w:spacing w:val="-1"/>
          <w:sz w:val="56"/>
          <w:szCs w:val="56"/>
          <w14:textOutline w14:w="3844" w14:cap="flat" w14:cmpd="sng">
            <w14:solidFill>
              <w14:srgbClr w14:val="000000"/>
            </w14:solidFill>
            <w14:prstDash w14:val="solid"/>
            <w14:miter w14:val="0"/>
          </w14:textOutline>
        </w:rPr>
        <w:t>竞争性磋商文件</w:t>
      </w:r>
      <w:bookmarkEnd w:id="0"/>
    </w:p>
    <w:p>
      <w:pPr>
        <w:pStyle w:val="2"/>
        <w:ind w:firstLine="3348" w:firstLineChars="600"/>
        <w:jc w:val="both"/>
        <w:rPr>
          <w:rFonts w:hint="default" w:ascii="宋体" w:hAnsi="宋体" w:eastAsia="宋体" w:cs="宋体"/>
          <w:snapToGrid w:val="0"/>
          <w:color w:val="000000"/>
          <w:spacing w:val="-1"/>
          <w:kern w:val="0"/>
          <w:sz w:val="56"/>
          <w:szCs w:val="56"/>
          <w:lang w:val="en-US" w:eastAsia="zh-CN" w:bidi="ar-SA"/>
          <w14:textOutline w14:w="3844" w14:cap="flat" w14:cmpd="sng">
            <w14:solidFill>
              <w14:srgbClr w14:val="000000"/>
            </w14:solidFill>
            <w14:prstDash w14:val="solid"/>
            <w14:miter w14:val="0"/>
          </w14:textOutline>
        </w:rPr>
      </w:pPr>
      <w:r>
        <w:rPr>
          <w:rFonts w:hint="eastAsia" w:ascii="宋体" w:hAnsi="宋体" w:eastAsia="宋体" w:cs="宋体"/>
          <w:snapToGrid w:val="0"/>
          <w:color w:val="000000"/>
          <w:spacing w:val="-1"/>
          <w:kern w:val="0"/>
          <w:sz w:val="56"/>
          <w:szCs w:val="56"/>
          <w:lang w:val="en-US" w:eastAsia="zh-CN" w:bidi="ar-SA"/>
          <w14:textOutline w14:w="3844" w14:cap="flat" w14:cmpd="sng">
            <w14:solidFill>
              <w14:srgbClr w14:val="000000"/>
            </w14:solidFill>
            <w14:prstDash w14:val="solid"/>
            <w14:miter w14:val="0"/>
          </w14:textOutline>
        </w:rPr>
        <w:t>（非最终版）</w:t>
      </w:r>
    </w:p>
    <w:p>
      <w:pPr>
        <w:keepNext w:val="0"/>
        <w:keepLines w:val="0"/>
        <w:pageBreakBefore w:val="0"/>
        <w:kinsoku/>
        <w:wordWrap w:val="0"/>
        <w:overflowPunct/>
        <w:topLinePunct w:val="0"/>
        <w:bidi w:val="0"/>
        <w:spacing w:line="248"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kinsoku/>
        <w:wordWrap w:val="0"/>
        <w:overflowPunct/>
        <w:topLinePunct w:val="0"/>
        <w:bidi w:val="0"/>
        <w:spacing w:line="249" w:lineRule="auto"/>
        <w:jc w:val="both"/>
        <w:rPr>
          <w:rFonts w:ascii="Arial"/>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eastAsia"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唐河县景庄休闲游园项目工程</w:t>
      </w: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唐财采购竞争性磋商-2024-79</w:t>
      </w: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en-US" w:eastAsia="zh-CN"/>
        </w:rPr>
        <w:t>1标段</w:t>
      </w: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唐河县兴唐街道办事处 </w:t>
      </w: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eastAsia"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唐河县龙建工程管理有限公司</w:t>
      </w:r>
    </w:p>
    <w:p>
      <w:pPr>
        <w:keepNext w:val="0"/>
        <w:keepLines w:val="0"/>
        <w:pageBreakBefore w:val="0"/>
        <w:widowControl/>
        <w:kinsoku/>
        <w:wordWrap w:val="0"/>
        <w:overflowPunct/>
        <w:topLinePunct w:val="0"/>
        <w:autoSpaceDE w:val="0"/>
        <w:autoSpaceDN w:val="0"/>
        <w:bidi w:val="0"/>
        <w:adjustRightInd w:val="0"/>
        <w:snapToGrid w:val="0"/>
        <w:spacing w:line="360" w:lineRule="auto"/>
        <w:ind w:left="2100" w:leftChars="10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u w:val="none"/>
          <w:lang w:val="en-US" w:eastAsia="zh-CN"/>
        </w:rPr>
        <w:t>日期：</w:t>
      </w:r>
      <w:r>
        <w:rPr>
          <w:rFonts w:hint="eastAsia" w:asciiTheme="minorEastAsia" w:hAnsiTheme="minorEastAsia" w:eastAsiaTheme="minorEastAsia" w:cstheme="minorEastAsia"/>
          <w:b/>
          <w:bCs/>
          <w:spacing w:val="-17"/>
          <w:sz w:val="32"/>
          <w:szCs w:val="32"/>
          <w:u w:val="single"/>
          <w:lang w:val="en-US" w:eastAsia="zh-CN"/>
        </w:rPr>
        <w:t>二零二四年六月</w:t>
      </w:r>
    </w:p>
    <w:p>
      <w:pPr>
        <w:keepNext w:val="0"/>
        <w:keepLines w:val="0"/>
        <w:pageBreakBefore w:val="0"/>
        <w:widowControl/>
        <w:overflowPunct/>
        <w:topLinePunct w:val="0"/>
        <w:autoSpaceDE w:val="0"/>
        <w:autoSpaceDN w:val="0"/>
        <w:bidi w:val="0"/>
        <w:adjustRightInd w:val="0"/>
        <w:snapToGrid w:val="0"/>
        <w:spacing w:before="0" w:beforeLines="0" w:after="0" w:afterLines="0" w:line="240" w:lineRule="auto"/>
        <w:ind w:left="2100" w:leftChars="1000" w:right="0" w:rightChars="0" w:firstLine="0" w:firstLineChars="0"/>
        <w:jc w:val="center"/>
        <w:textAlignment w:val="baseline"/>
        <w:rPr>
          <w:rFonts w:ascii="宋体" w:hAnsi="宋体" w:eastAsia="宋体" w:cs="Arial"/>
          <w:snapToGrid w:val="0"/>
          <w:color w:val="000000"/>
          <w:kern w:val="0"/>
          <w:sz w:val="21"/>
          <w:szCs w:val="21"/>
          <w:lang w:val="en-US" w:eastAsia="en-US" w:bidi="ar-SA"/>
        </w:rPr>
        <w:sectPr>
          <w:footerReference r:id="rId5" w:type="default"/>
          <w:pgSz w:w="11910" w:h="16840"/>
          <w:pgMar w:top="1440" w:right="1080" w:bottom="1440" w:left="1080" w:header="964" w:footer="805" w:gutter="0"/>
          <w:pgNumType w:fmt="decimal" w:start="1"/>
          <w:cols w:space="720" w:num="1"/>
        </w:sectPr>
      </w:pPr>
    </w:p>
    <w:sdt>
      <w:sdtPr>
        <w:rPr>
          <w:rFonts w:ascii="宋体" w:hAnsi="宋体" w:eastAsia="宋体" w:cs="Arial"/>
          <w:snapToGrid w:val="0"/>
          <w:color w:val="000000"/>
          <w:kern w:val="0"/>
          <w:sz w:val="21"/>
          <w:szCs w:val="21"/>
          <w:lang w:val="en-US" w:eastAsia="en-US" w:bidi="ar-SA"/>
        </w:rPr>
        <w:id w:val="147459004"/>
        <w15:color w:val="DBDBDB"/>
        <w:docPartObj>
          <w:docPartGallery w:val="Table of Contents"/>
          <w:docPartUnique/>
        </w:docPartObj>
      </w:sdtPr>
      <w:sdtEndPr>
        <w:rPr>
          <w:rFonts w:ascii="宋体" w:hAnsi="宋体" w:eastAsia="宋体" w:cs="宋体"/>
          <w:b/>
          <w:snapToGrid w:val="0"/>
          <w:color w:val="000000"/>
          <w:spacing w:val="-1"/>
          <w:kern w:val="0"/>
          <w:sz w:val="31"/>
          <w:szCs w:val="36"/>
          <w:lang w:val="en-US" w:eastAsia="en-US" w:bidi="ar-SA"/>
          <w14:textOutline w14:w="2306" w14:cap="flat" w14:cmpd="sng">
            <w14:solidFill>
              <w14:srgbClr w14:val="000000"/>
            </w14:solidFill>
            <w14:prstDash w14:val="solid"/>
            <w14:miter w14:val="0"/>
          </w14:textOutline>
        </w:rPr>
      </w:sdtEndPr>
      <w:sdtContent>
        <w:p>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pPr>
            <w:spacing w:before="0" w:beforeLines="0" w:after="0" w:afterLines="0" w:line="240" w:lineRule="auto"/>
            <w:ind w:left="0" w:leftChars="0" w:right="0" w:rightChars="0" w:firstLine="0" w:firstLineChars="0"/>
            <w:jc w:val="center"/>
            <w:rPr>
              <w:b/>
              <w:bCs/>
              <w:sz w:val="40"/>
              <w:szCs w:val="40"/>
            </w:rPr>
          </w:pPr>
          <w:r>
            <w:rPr>
              <w:rFonts w:ascii="宋体" w:hAnsi="宋体" w:eastAsia="宋体"/>
              <w:b/>
              <w:bCs/>
              <w:sz w:val="40"/>
              <w:szCs w:val="40"/>
            </w:rPr>
            <w:t>目</w:t>
          </w:r>
          <w:r>
            <w:rPr>
              <w:rFonts w:hint="eastAsia" w:ascii="宋体" w:hAnsi="宋体" w:eastAsia="宋体"/>
              <w:b/>
              <w:bCs/>
              <w:sz w:val="40"/>
              <w:szCs w:val="40"/>
              <w:lang w:val="en-US" w:eastAsia="zh-CN"/>
            </w:rPr>
            <w:t xml:space="preserve">   </w:t>
          </w:r>
          <w:r>
            <w:rPr>
              <w:rFonts w:ascii="宋体" w:hAnsi="宋体" w:eastAsia="宋体"/>
              <w:b/>
              <w:bCs/>
              <w:sz w:val="40"/>
              <w:szCs w:val="40"/>
            </w:rPr>
            <w:t>录</w:t>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TOC \o "1-2" \h \u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_Toc1508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第一章 竞争性磋商公告</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_Toc1508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_Toc29153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第二章 采购需求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_Toc29153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_Toc9659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一、采购内容及要求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_Toc9659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_Toc11121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二、项目商务要求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_Toc11121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_Toc8690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第三章 供应商须知</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_Toc8690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8</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_Toc9525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一、说明</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_Toc9525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9</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_Toc11788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二、竞争性磋商文件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_Toc11788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_Toc18131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三、响应文件的编制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_Toc18131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_Toc24840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四、响应文件的提交</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_Toc24840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16</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_Toc10621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第四章 评审程序、评审方法和评审标准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_Toc10621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_Toc31954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一、编制、确认竞争性磋商文件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_Toc31954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_Toc26340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二、发布竞争性磋商公告，邀请供应商参加磋商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_Toc26340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_Toc32234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三、组建磋商小组</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_Toc32234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_Toc29911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四、解密电子响应文件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_Toc29911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_Toc6867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五、评审</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_Toc6867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_Toc14600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六、</w:t>
          </w:r>
          <w:r>
            <w:rPr>
              <w:rFonts w:hint="eastAsia" w:asciiTheme="minorEastAsia" w:hAnsiTheme="minorEastAsia" w:eastAsiaTheme="minorEastAsia" w:cstheme="minorEastAsia"/>
              <w:bCs/>
              <w:snapToGrid w:val="0"/>
              <w:spacing w:val="3"/>
              <w:kern w:val="0"/>
              <w:sz w:val="20"/>
              <w:szCs w:val="24"/>
              <w:lang w:val="en-US" w:eastAsia="en-US" w:bidi="ar-SA"/>
            </w:rPr>
            <w:t>成交</w:t>
          </w:r>
          <w:r>
            <w:rPr>
              <w:rFonts w:hint="eastAsia" w:asciiTheme="minorEastAsia" w:hAnsiTheme="minorEastAsia" w:eastAsiaTheme="minorEastAsia" w:cstheme="minorEastAsia"/>
              <w:bCs/>
              <w:snapToGrid w:val="0"/>
              <w:spacing w:val="3"/>
              <w:kern w:val="0"/>
              <w:sz w:val="20"/>
              <w:szCs w:val="24"/>
              <w:lang w:val="en-US" w:eastAsia="zh-CN" w:bidi="ar-SA"/>
            </w:rPr>
            <w:t>通知及</w:t>
          </w:r>
          <w:r>
            <w:rPr>
              <w:rFonts w:hint="eastAsia" w:asciiTheme="minorEastAsia" w:hAnsiTheme="minorEastAsia" w:eastAsiaTheme="minorEastAsia" w:cstheme="minorEastAsia"/>
              <w:bCs/>
              <w:snapToGrid w:val="0"/>
              <w:spacing w:val="3"/>
              <w:kern w:val="0"/>
              <w:sz w:val="20"/>
              <w:szCs w:val="24"/>
              <w:lang w:val="en-US" w:eastAsia="en-US" w:bidi="ar-SA"/>
            </w:rPr>
            <w:t>签订合同</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_Toc14600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_Toc32673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七、</w:t>
          </w:r>
          <w:r>
            <w:rPr>
              <w:rFonts w:hint="eastAsia" w:asciiTheme="minorEastAsia" w:hAnsiTheme="minorEastAsia" w:eastAsiaTheme="minorEastAsia" w:cstheme="minorEastAsia"/>
              <w:bCs/>
              <w:snapToGrid w:val="0"/>
              <w:spacing w:val="3"/>
              <w:kern w:val="0"/>
              <w:sz w:val="20"/>
              <w:szCs w:val="24"/>
              <w:lang w:val="en-US" w:eastAsia="en-US" w:bidi="ar-SA"/>
            </w:rPr>
            <w:t>质疑与答复</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_Toc32673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_Toc5287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八、</w:t>
          </w:r>
          <w:r>
            <w:rPr>
              <w:rFonts w:hint="eastAsia" w:asciiTheme="minorEastAsia" w:hAnsiTheme="minorEastAsia" w:eastAsiaTheme="minorEastAsia" w:cstheme="minorEastAsia"/>
              <w:bCs/>
              <w:snapToGrid w:val="0"/>
              <w:spacing w:val="3"/>
              <w:kern w:val="0"/>
              <w:sz w:val="20"/>
              <w:szCs w:val="24"/>
              <w:lang w:val="en-US" w:eastAsia="en-US" w:bidi="ar-SA"/>
            </w:rPr>
            <w:t>注意事项</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_Toc5287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_Toc15215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第五章 合同草案条款</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_Toc15215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2"/>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_Toc31124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第六章 响应文件格式</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_Toc31124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29</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_Toc15370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一、磋商函及磋商一览表</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2</w:t>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_Toc13448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二、法定代表人身份证明</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_Toc13448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_Toc31696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三、授权委托书</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5</w:t>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_Toc27812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四、技术标部分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_Toc27812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_Toc31572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五、供应商类似业绩</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6</w:t>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_Toc19499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六、供应商基本情况表</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0</w:t>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_Toc16799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七、中小微企业声明函</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_Toc16799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45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pPr>
            <w:pStyle w:val="33"/>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default"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_Toc19787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八、其他需提供的资料</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t>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t>6</w:t>
          </w:r>
        </w:p>
        <w:p>
          <w:pPr>
            <w:pStyle w:val="32"/>
            <w:keepNext w:val="0"/>
            <w:keepLines w:val="0"/>
            <w:pageBreakBefore w:val="0"/>
            <w:widowControl/>
            <w:tabs>
              <w:tab w:val="right" w:leader="dot" w:pos="9750"/>
            </w:tabs>
            <w:kinsoku/>
            <w:overflowPunct/>
            <w:topLinePunct w:val="0"/>
            <w:bidi w:val="0"/>
            <w:spacing w:after="0" w:afterLines="1" w:line="440" w:lineRule="exact"/>
            <w:rPr>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_Toc17438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告知函</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_Toc17438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48</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sdtContent>
    </w:sdt>
    <w:p>
      <w:pPr>
        <w:pStyle w:val="3"/>
        <w:keepNext w:val="0"/>
        <w:keepLines w:val="0"/>
        <w:pageBreakBefore w:val="0"/>
        <w:kinsoku/>
        <w:wordWrap w:val="0"/>
        <w:overflowPunct/>
        <w:topLinePunct w:val="0"/>
        <w:bidi w:val="0"/>
        <w:spacing w:before="358" w:line="360" w:lineRule="auto"/>
        <w:jc w:val="center"/>
        <w:outlineLvl w:val="0"/>
        <w:rPr>
          <w:rFonts w:ascii="Arial"/>
          <w:sz w:val="21"/>
        </w:rPr>
      </w:pPr>
      <w:bookmarkStart w:id="1" w:name="_Toc1508"/>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竞争性磋商公告</w:t>
      </w:r>
      <w:bookmarkEnd w:id="1"/>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rPr>
          <w:rFonts w:hint="eastAsia" w:ascii="宋体" w:hAnsi="宋体" w:eastAsia="宋体" w:cs="宋体"/>
          <w:b/>
          <w:bCs/>
          <w:spacing w:val="-1"/>
          <w:kern w:val="0"/>
          <w:sz w:val="24"/>
          <w:szCs w:val="24"/>
          <w:lang w:val="en-US" w:eastAsia="zh-CN" w:bidi="ar-SA"/>
        </w:rPr>
      </w:pPr>
      <w:r>
        <w:rPr>
          <w:rFonts w:hint="eastAsia" w:ascii="宋体" w:hAnsi="宋体" w:eastAsia="宋体" w:cs="宋体"/>
          <w:b/>
          <w:bCs/>
          <w:spacing w:val="-1"/>
          <w:kern w:val="0"/>
          <w:sz w:val="24"/>
          <w:szCs w:val="24"/>
          <w:lang w:val="en-US" w:eastAsia="zh-CN" w:bidi="ar-SA"/>
        </w:rPr>
        <w:t>项目概况</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cs="宋体"/>
          <w:spacing w:val="-1"/>
          <w:kern w:val="0"/>
          <w:sz w:val="24"/>
          <w:szCs w:val="24"/>
          <w:lang w:val="en-US" w:eastAsia="zh-CN" w:bidi="ar-SA"/>
        </w:rPr>
        <w:t>唐河县景庄休闲游园项目工程</w:t>
      </w:r>
      <w:r>
        <w:rPr>
          <w:rFonts w:hint="eastAsia" w:ascii="宋体" w:hAnsi="宋体" w:eastAsia="宋体" w:cs="宋体"/>
          <w:spacing w:val="-1"/>
          <w:kern w:val="0"/>
          <w:sz w:val="24"/>
          <w:szCs w:val="24"/>
          <w:lang w:val="en-US" w:eastAsia="zh-CN" w:bidi="ar-SA"/>
        </w:rPr>
        <w:t>的潜在投标人应在唐河县公共资源交易中心网站（http://www.thggzy.cn）获取招标文件，并于2024年7月24日09时30分（北京时间）前递交响应文件。</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outlineLvl w:val="1"/>
        <w:rPr>
          <w:rFonts w:hint="eastAsia" w:ascii="宋体" w:hAnsi="宋体" w:eastAsia="宋体" w:cs="宋体"/>
          <w:b/>
          <w:bCs/>
          <w:spacing w:val="-1"/>
          <w:kern w:val="0"/>
          <w:sz w:val="24"/>
          <w:szCs w:val="24"/>
          <w:lang w:val="en-US" w:eastAsia="zh-CN" w:bidi="ar-SA"/>
        </w:rPr>
      </w:pPr>
      <w:bookmarkStart w:id="2" w:name="_Toc6345"/>
      <w:r>
        <w:rPr>
          <w:rFonts w:hint="eastAsia" w:ascii="宋体" w:hAnsi="宋体" w:eastAsia="宋体" w:cs="宋体"/>
          <w:b/>
          <w:bCs/>
          <w:spacing w:val="-1"/>
          <w:kern w:val="0"/>
          <w:sz w:val="24"/>
          <w:szCs w:val="24"/>
          <w:lang w:val="en-US" w:eastAsia="zh-CN" w:bidi="ar-SA"/>
        </w:rPr>
        <w:t>一、项目基本情况</w:t>
      </w:r>
      <w:bookmarkEnd w:id="2"/>
    </w:p>
    <w:p>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1.项目编号：唐财采购竞争性磋商-2024-79</w:t>
      </w:r>
    </w:p>
    <w:p>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2.项目名称：唐河县景庄休闲游园项目工程</w:t>
      </w:r>
    </w:p>
    <w:p>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3.采购方式：竞争性磋商</w:t>
      </w:r>
    </w:p>
    <w:p>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4.项目预算金额：3805016.52元         项目最高限价： 3805016.52元</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1293"/>
        <w:gridCol w:w="1786"/>
        <w:gridCol w:w="1484"/>
        <w:gridCol w:w="1616"/>
        <w:gridCol w:w="1494"/>
        <w:gridCol w:w="1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序号</w:t>
            </w:r>
          </w:p>
        </w:tc>
        <w:tc>
          <w:tcPr>
            <w:tcW w:w="129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包号</w:t>
            </w:r>
          </w:p>
        </w:tc>
        <w:tc>
          <w:tcPr>
            <w:tcW w:w="178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包名称</w:t>
            </w:r>
          </w:p>
        </w:tc>
        <w:tc>
          <w:tcPr>
            <w:tcW w:w="148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包预算（元）</w:t>
            </w:r>
          </w:p>
        </w:tc>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最高限价（元）</w:t>
            </w:r>
          </w:p>
        </w:tc>
        <w:tc>
          <w:tcPr>
            <w:tcW w:w="149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宋体" w:hAnsi="宋体" w:cs="宋体"/>
                <w:bCs/>
                <w:sz w:val="24"/>
                <w:szCs w:val="24"/>
                <w:shd w:val="clear" w:color="auto" w:fill="FFFFFF"/>
                <w:lang w:val="en-US" w:eastAsia="zh-CN"/>
              </w:rPr>
              <w:t>是否专门面向中小企业</w:t>
            </w:r>
          </w:p>
        </w:tc>
        <w:tc>
          <w:tcPr>
            <w:tcW w:w="1642"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cs="宋体"/>
                <w:bCs/>
                <w:sz w:val="24"/>
                <w:szCs w:val="24"/>
                <w:shd w:val="clear" w:color="auto" w:fill="FFFFFF"/>
                <w:lang w:val="en-US" w:eastAsia="zh-CN"/>
              </w:rPr>
            </w:pPr>
            <w:r>
              <w:rPr>
                <w:rFonts w:hint="eastAsia" w:ascii="宋体" w:hAnsi="宋体" w:cs="宋体"/>
                <w:bCs/>
                <w:sz w:val="24"/>
                <w:szCs w:val="24"/>
                <w:shd w:val="clear" w:color="auto" w:fill="FFFFFF"/>
                <w:lang w:val="en-US" w:eastAsia="zh-CN"/>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1</w:t>
            </w:r>
          </w:p>
        </w:tc>
        <w:tc>
          <w:tcPr>
            <w:tcW w:w="129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Cs/>
                <w:sz w:val="24"/>
                <w:szCs w:val="24"/>
                <w:shd w:val="clear" w:color="auto" w:fill="FFFFFF"/>
                <w:lang w:val="en-US" w:eastAsia="zh-CN"/>
              </w:rPr>
            </w:pPr>
            <w:r>
              <w:rPr>
                <w:rFonts w:hint="default" w:ascii="宋体" w:hAnsi="宋体" w:eastAsia="宋体" w:cs="宋体"/>
                <w:bCs/>
                <w:sz w:val="24"/>
                <w:szCs w:val="24"/>
                <w:shd w:val="clear" w:color="auto" w:fill="FFFFFF"/>
                <w:lang w:val="en-US" w:eastAsia="zh-CN"/>
              </w:rPr>
              <w:t>唐财采购竞争性磋商-2024-</w:t>
            </w:r>
            <w:r>
              <w:rPr>
                <w:rFonts w:hint="eastAsia" w:ascii="宋体" w:hAnsi="宋体" w:eastAsia="宋体" w:cs="宋体"/>
                <w:bCs/>
                <w:sz w:val="24"/>
                <w:szCs w:val="24"/>
                <w:shd w:val="clear" w:color="auto" w:fill="FFFFFF"/>
                <w:lang w:val="en-US" w:eastAsia="zh-CN"/>
              </w:rPr>
              <w:t xml:space="preserve">79-1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 xml:space="preserve"> </w:t>
            </w:r>
          </w:p>
        </w:tc>
        <w:tc>
          <w:tcPr>
            <w:tcW w:w="178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Cs/>
                <w:sz w:val="24"/>
                <w:szCs w:val="24"/>
                <w:shd w:val="clear" w:color="auto" w:fill="FFFFFF"/>
                <w:lang w:val="en-US" w:eastAsia="zh-CN"/>
              </w:rPr>
            </w:pPr>
            <w:r>
              <w:rPr>
                <w:rFonts w:hint="eastAsia" w:cs="宋体"/>
                <w:snapToGrid w:val="0"/>
                <w:color w:val="000000"/>
                <w:spacing w:val="-1"/>
                <w:kern w:val="0"/>
                <w:sz w:val="24"/>
                <w:szCs w:val="24"/>
                <w:lang w:val="en-US" w:eastAsia="zh-CN" w:bidi="ar-SA"/>
              </w:rPr>
              <w:t>唐河县景庄休闲游园项目工程</w:t>
            </w:r>
          </w:p>
        </w:tc>
        <w:tc>
          <w:tcPr>
            <w:tcW w:w="148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cs="宋体"/>
                <w:snapToGrid w:val="0"/>
                <w:color w:val="000000"/>
                <w:spacing w:val="-1"/>
                <w:kern w:val="0"/>
                <w:sz w:val="24"/>
                <w:szCs w:val="24"/>
                <w:lang w:val="en-US" w:eastAsia="zh-CN" w:bidi="ar-SA"/>
              </w:rPr>
              <w:t>3805016.52</w:t>
            </w:r>
          </w:p>
        </w:tc>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cs="宋体"/>
                <w:snapToGrid w:val="0"/>
                <w:color w:val="000000"/>
                <w:spacing w:val="-1"/>
                <w:kern w:val="0"/>
                <w:sz w:val="24"/>
                <w:szCs w:val="24"/>
                <w:lang w:val="en-US" w:eastAsia="zh-CN" w:bidi="ar-SA"/>
              </w:rPr>
              <w:t>3805016.52</w:t>
            </w:r>
          </w:p>
        </w:tc>
        <w:tc>
          <w:tcPr>
            <w:tcW w:w="1494"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是</w:t>
            </w:r>
          </w:p>
        </w:tc>
        <w:tc>
          <w:tcPr>
            <w:tcW w:w="1642"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cs="宋体"/>
                <w:snapToGrid w:val="0"/>
                <w:color w:val="000000"/>
                <w:spacing w:val="-1"/>
                <w:kern w:val="0"/>
                <w:sz w:val="24"/>
                <w:szCs w:val="24"/>
                <w:lang w:val="en-US" w:eastAsia="zh-CN" w:bidi="ar-SA"/>
              </w:rPr>
              <w:t>3805016.52</w:t>
            </w:r>
          </w:p>
        </w:tc>
      </w:tr>
    </w:tbl>
    <w:p>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2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5.采购需求：</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（1）项目实施地点：</w:t>
      </w:r>
      <w:r>
        <w:rPr>
          <w:rFonts w:hint="eastAsia" w:cs="宋体"/>
          <w:spacing w:val="-1"/>
          <w:kern w:val="0"/>
          <w:sz w:val="24"/>
          <w:szCs w:val="24"/>
          <w:lang w:val="en-US" w:eastAsia="zh-CN" w:bidi="ar-SA"/>
        </w:rPr>
        <w:t>唐河县景庄</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采购内容：唐河县景庄休闲游园项目工程涉及挖淤泥，人行道块料铺设，车轮定位器，警示桩，混凝土管，浆砌块料，栈道，石材楼地面，金属扶手，竹木(复合)地板等工程。详见本项目采购文件、工程量清单及施工图纸范围内的所有工程施工（以清单为准）。</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（3）质量要求：合格；</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（4）标段划分：共一个标段。</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default"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6.合同履行期限：60日历天</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7、本项目是否接受联合体投标：否</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8、是否接受进口产品：否</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9、是否专门面向中小企业：是</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b/>
          <w:bCs/>
          <w:spacing w:val="-1"/>
          <w:kern w:val="0"/>
          <w:sz w:val="24"/>
          <w:szCs w:val="24"/>
          <w:lang w:val="en-US" w:eastAsia="zh-CN" w:bidi="ar-SA"/>
        </w:rPr>
      </w:pPr>
      <w:bookmarkStart w:id="3" w:name="_Toc6785"/>
      <w:r>
        <w:rPr>
          <w:rFonts w:hint="eastAsia" w:ascii="宋体" w:hAnsi="宋体" w:eastAsia="宋体" w:cs="宋体"/>
          <w:b/>
          <w:bCs/>
          <w:spacing w:val="-1"/>
          <w:kern w:val="0"/>
          <w:sz w:val="24"/>
          <w:szCs w:val="24"/>
          <w:lang w:val="en-US" w:eastAsia="zh-CN" w:bidi="ar-SA"/>
        </w:rPr>
        <w:t>二、申请人的资格要求（须同时满足）</w:t>
      </w:r>
      <w:bookmarkEnd w:id="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1、满足《中华人民共和国政府采购法》第二十二条规定；</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2、落实政府采购政策满足的资格要求：</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本项目执行扶持中小企业、监狱企业和残疾人福利性单位发展的政策。</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3、本项目的特定资格要求：</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3.1供应商具有独立法人资格，具有有效的营业执照、税务登记证、组织机构代码证（或三证合一）；</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3.2供应商须具有市政公用工程施工总承包叁级及以上资质等级，且具有有效的安全生产许可证，并在人员、设备、资金等方面具有相应的施工能力；</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3.3拟派项目经理须具备相关专业贰级及以上注册建造师资格证书及有效的安全生产考核合格证，且未担任其他在建工程的项目经理并作出承诺；技术负责人具有相关专业中级及以上工程技术职称；</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3.4参加本次政府采购活动前三年内，在经营活动中没有重大违法犯罪记录；</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3.5财务状况良好，没有处于被责令停业、破产状态，各投标人须提供具有近三年（2021年度、2022年度、2023年度）经审计的财务报告，信誉良好（成立不足三年的企业，从成立之日算起）。</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3.6供应商依法缴纳税收（提供2024年1月1日以来任意三个月完税证明或缴税凭证）和社会保障资金（提供2024年1月1日以来任意三个月的社保缴纳凭证或社保缴费记录)。依法免税或不需要缴纳社会保障资金的供应商，应提供相应证明文件。</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3.7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3.8本次招标不接受联合体投标，不允许分包和转包。</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3.9满足法律、行政法规及本项目磋商文件规定的其他条件。</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注：本项目实行资格后审，审查内容以投标截止时间前上传企业诚信库信息（南阳市诚信库网站www.ggzyjy.nanyang.gov.cn）为准，过期更改的诚信库（南阳市）信息不做为本项目评审依据。开标现场不接受诚信库（南阳市）信息原件。诚信库（南阳市）上传信息必须内容齐全，真实有效，原件扫描清晰可辨。否则，由此造成应得分而未得分或审查不合格情况的，由投标企业承担责任。</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4" w:name="_Toc31637"/>
      <w:bookmarkStart w:id="5" w:name="_Toc27065"/>
      <w:r>
        <w:rPr>
          <w:rFonts w:hint="eastAsia" w:ascii="宋体" w:hAnsi="宋体" w:eastAsia="宋体" w:cs="宋体"/>
          <w:b/>
          <w:bCs/>
          <w:spacing w:val="-1"/>
          <w:kern w:val="0"/>
          <w:sz w:val="24"/>
          <w:szCs w:val="24"/>
          <w:lang w:val="en-US" w:eastAsia="zh-CN" w:bidi="ar-SA"/>
        </w:rPr>
        <w:t>三、获取采购文件</w:t>
      </w:r>
      <w:bookmarkEnd w:id="4"/>
      <w:bookmarkEnd w:id="5"/>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1.时间：2024年7月2日至2024年7月8日，每天上午08:00至12:00，下午12:00至18:00（北京时间，法定节假日除外。）</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2.地点：唐河县公共资源交易中心网站（http://www.thggzy.cn）</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方式：网上下载。潜在供应商在南阳市公共资源交易中心办理CA数字证书，在南阳市交易平台诚信库进行登记注册，验证通过后可直接运用CA证书登录唐河县公共资源交易中心网站（www.thggzy.cn）诚信库会员系统进行网上下载采购文件。唐河县公共资源交易平台与南阳市公共资源交易平台诚信库系统互认共享、CA数字证书互认共享。</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4.售价：0元</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6" w:name="_Toc9557"/>
      <w:bookmarkStart w:id="7" w:name="_Toc29217"/>
      <w:r>
        <w:rPr>
          <w:rFonts w:hint="eastAsia" w:ascii="宋体" w:hAnsi="宋体" w:eastAsia="宋体" w:cs="宋体"/>
          <w:b/>
          <w:bCs/>
          <w:spacing w:val="-1"/>
          <w:kern w:val="0"/>
          <w:sz w:val="24"/>
          <w:szCs w:val="24"/>
          <w:lang w:val="en-US" w:eastAsia="zh-CN" w:bidi="ar-SA"/>
        </w:rPr>
        <w:t>四、响应文件提交</w:t>
      </w:r>
      <w:bookmarkEnd w:id="6"/>
      <w:bookmarkEnd w:id="7"/>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1.截止时间：2024年7月24日09时30分（北京时间）</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2.地点：唐河县公共资源交易中心网站，加密版响应文件应在磋商文件规定的开标截止时间前上传至交易系统，逾期上传交易系统或未上传成功的电子投标文件视为放弃本次投标。</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8" w:name="_Toc529"/>
      <w:bookmarkStart w:id="9" w:name="_Toc5182"/>
      <w:r>
        <w:rPr>
          <w:rFonts w:hint="eastAsia" w:ascii="宋体" w:hAnsi="宋体" w:eastAsia="宋体" w:cs="宋体"/>
          <w:b/>
          <w:bCs/>
          <w:spacing w:val="-1"/>
          <w:kern w:val="0"/>
          <w:sz w:val="24"/>
          <w:szCs w:val="24"/>
          <w:lang w:val="en-US" w:eastAsia="zh-CN" w:bidi="ar-SA"/>
        </w:rPr>
        <w:t>五、响应文件开启</w:t>
      </w:r>
      <w:bookmarkEnd w:id="8"/>
      <w:bookmarkEnd w:id="9"/>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1.时间：2024年7月24日09时30分（北京时间）</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2.地点：采用网上不见面方式开标，投标供应商无需到达开标现场参与投标。各供应商根据手册要求，自行提前做好所有相关准备工作，自行上传响应文件，无需寄送和递交非加密响应文件光盘等。需提前登录不见面开标系统，过程中如遇到紧急事项，可在不见面开标大厅中进行提出异议或文字交流。如供应商准备不到位，或因网络等问题造成无法及时解密、开标无法继续的，视为该供应商自动放弃投标（30分钟内）将被退回响应文件；附件：操作手册在下载中心或办事指南中自行下载，不见面开标大厅地址：唐河县公共资源交易中心网站首页“不见面开标大厅”模块。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10" w:name="_Toc23316"/>
      <w:bookmarkStart w:id="11" w:name="_Toc28"/>
      <w:r>
        <w:rPr>
          <w:rFonts w:hint="eastAsia" w:ascii="宋体" w:hAnsi="宋体" w:eastAsia="宋体" w:cs="宋体"/>
          <w:b/>
          <w:bCs/>
          <w:spacing w:val="-1"/>
          <w:kern w:val="0"/>
          <w:sz w:val="24"/>
          <w:szCs w:val="24"/>
          <w:lang w:val="en-US" w:eastAsia="zh-CN" w:bidi="ar-SA"/>
        </w:rPr>
        <w:t>六、发布公告的媒介及招标公告期限</w:t>
      </w:r>
      <w:bookmarkEnd w:id="10"/>
      <w:bookmarkEnd w:id="11"/>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本次招标公告在《河南省政府采购网》、《南阳市政府采购网》、《中国招标投标公共服务平台》、《唐河县公共资源交易中心》上发布， 招标公告期限为三个工作日。</w:t>
      </w:r>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12" w:name="_Toc19158"/>
      <w:bookmarkStart w:id="13" w:name="_Toc31057"/>
      <w:r>
        <w:rPr>
          <w:rFonts w:hint="eastAsia" w:ascii="宋体" w:hAnsi="宋体" w:eastAsia="宋体" w:cs="宋体"/>
          <w:b/>
          <w:bCs/>
          <w:spacing w:val="-1"/>
          <w:kern w:val="0"/>
          <w:sz w:val="24"/>
          <w:szCs w:val="24"/>
          <w:lang w:val="en-US" w:eastAsia="zh-CN" w:bidi="ar-SA"/>
        </w:rPr>
        <w:t>七、其他补充事宜</w:t>
      </w:r>
      <w:bookmarkEnd w:id="12"/>
      <w:bookmarkEnd w:id="13"/>
      <w:r>
        <w:rPr>
          <w:rFonts w:hint="eastAsia" w:ascii="宋体" w:hAnsi="宋体" w:eastAsia="宋体" w:cs="宋体"/>
          <w:spacing w:val="-1"/>
          <w:kern w:val="0"/>
          <w:sz w:val="24"/>
          <w:szCs w:val="24"/>
          <w:lang w:val="en-US" w:eastAsia="zh-CN" w:bidi="ar-SA"/>
        </w:rPr>
        <w:tab/>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无</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ab/>
      </w:r>
      <w:bookmarkStart w:id="14" w:name="_Toc31993"/>
      <w:r>
        <w:rPr>
          <w:rFonts w:hint="eastAsia" w:ascii="宋体" w:hAnsi="宋体" w:eastAsia="宋体" w:cs="宋体"/>
          <w:b/>
          <w:bCs/>
          <w:spacing w:val="-1"/>
          <w:kern w:val="0"/>
          <w:sz w:val="24"/>
          <w:szCs w:val="24"/>
          <w:lang w:val="en-US" w:eastAsia="zh-CN" w:bidi="ar-SA"/>
        </w:rPr>
        <w:t>八、凡对本次招标提出询问，请按照以下方式联系</w:t>
      </w:r>
      <w:bookmarkEnd w:id="14"/>
      <w:r>
        <w:rPr>
          <w:rFonts w:hint="eastAsia" w:ascii="宋体" w:hAnsi="宋体" w:eastAsia="宋体" w:cs="宋体"/>
          <w:spacing w:val="-1"/>
          <w:kern w:val="0"/>
          <w:sz w:val="24"/>
          <w:szCs w:val="24"/>
          <w:lang w:val="en-US" w:eastAsia="zh-CN" w:bidi="ar-SA"/>
        </w:rPr>
        <w:tab/>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1. 采购人信息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名称：</w:t>
      </w:r>
      <w:r>
        <w:rPr>
          <w:rFonts w:hint="eastAsia" w:cs="宋体"/>
          <w:spacing w:val="-1"/>
          <w:kern w:val="0"/>
          <w:sz w:val="24"/>
          <w:szCs w:val="24"/>
          <w:lang w:val="en-US" w:eastAsia="zh-CN" w:bidi="ar-SA"/>
        </w:rPr>
        <w:t>唐河县兴唐街道办事处</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地址：唐河县星江路</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联系人：肖先生</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联系方式：15838772799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2.采购代理机构信息（如有）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名称：唐河县龙建工程管理有限公司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地址：唐河县文峰街道飞凤路飞凤游园管理楼二楼</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联系人：白女士</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联系方式：13782062519</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3.项目联系方式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项目联系人：白女士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宋体" w:hAnsi="宋体" w:eastAsia="宋体" w:cs="宋体"/>
          <w:spacing w:val="-1"/>
          <w:kern w:val="0"/>
          <w:sz w:val="24"/>
          <w:szCs w:val="24"/>
          <w:lang w:val="en-US" w:eastAsia="zh-CN" w:bidi="ar-SA"/>
        </w:rPr>
        <w:t>联系方式：13782062519</w:t>
      </w:r>
    </w:p>
    <w:p>
      <w:pPr>
        <w:pStyle w:val="20"/>
        <w:rPr>
          <w:rFonts w:hint="eastAsia"/>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bookmarkStart w:id="15" w:name="_Toc29153"/>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4"/>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rPr>
          <w:rFonts w:hint="eastAsia"/>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bookmarkEnd w:id="15"/>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lang w:eastAsia="zh-CN"/>
        </w:rPr>
      </w:pPr>
      <w:bookmarkStart w:id="16" w:name="_Toc9659"/>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bookmarkEnd w:id="16"/>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工程量清单详见附件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bookmarkStart w:id="17" w:name="_Toc11121"/>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bookmarkEnd w:id="17"/>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工期：60日历天      </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地点：唐河县景庄。</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2.付款方式（应符合南阳市财政局关于印发《关于压缩各环节时间进一步优化政府采购营商环境的通知》（宛财购〔2022〕5号）的要求）：(1)预付款:合同签订后7日内拨付给承包人合同总价的30%；(2)进度款:整体工程形象进度达到80%时，15日内拨付给承包人合同总价的40%，此时承包人应收到合同总价的70%；(3)竣工结算款:工程竣工验收合格后15日内，拨付给承包人合同价款的剩余30%。</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outlineLvl w:val="9"/>
        <w:rPr>
          <w:rFonts w:hint="default"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pacing w:val="-8"/>
          <w:sz w:val="24"/>
          <w:szCs w:val="24"/>
          <w:highlight w:val="none"/>
          <w:lang w:val="en-US" w:eastAsia="zh-CN"/>
        </w:rPr>
        <w:t>3</w:t>
      </w:r>
      <w:r>
        <w:rPr>
          <w:rFonts w:hint="eastAsia" w:asciiTheme="minorEastAsia" w:hAnsiTheme="minorEastAsia" w:eastAsiaTheme="minorEastAsia" w:cstheme="minorEastAsia"/>
          <w:spacing w:val="-8"/>
          <w:sz w:val="24"/>
          <w:szCs w:val="24"/>
          <w:highlight w:val="none"/>
        </w:rPr>
        <w:t>.</w:t>
      </w:r>
      <w:r>
        <w:rPr>
          <w:rFonts w:hint="eastAsia" w:asciiTheme="minorEastAsia" w:hAnsiTheme="minorEastAsia" w:eastAsiaTheme="minorEastAsia" w:cstheme="minorEastAsia"/>
          <w:spacing w:val="-8"/>
          <w:sz w:val="24"/>
          <w:szCs w:val="24"/>
          <w:highlight w:val="none"/>
          <w:lang w:val="en-US" w:eastAsia="zh-CN"/>
        </w:rPr>
        <w:t>缺陷责任期：自工程通过竣（交）工验收之日起计 24 个月</w:t>
      </w:r>
    </w:p>
    <w:p>
      <w:pPr>
        <w:pStyle w:val="3"/>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pPr>
        <w:pStyle w:val="2"/>
        <w:ind w:left="0" w:leftChars="0" w:firstLine="0" w:firstLineChars="0"/>
        <w:rPr>
          <w:rFonts w:hint="eastAsia"/>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bookmarkStart w:id="18" w:name="_Toc8690"/>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bookmarkEnd w:id="18"/>
    </w:p>
    <w:p>
      <w:pPr>
        <w:pStyle w:val="3"/>
        <w:keepNext w:val="0"/>
        <w:keepLines w:val="0"/>
        <w:pageBreakBefore w:val="0"/>
        <w:kinsoku/>
        <w:wordWrap w:val="0"/>
        <w:overflowPunct/>
        <w:topLinePunct w:val="0"/>
        <w:bidi w:val="0"/>
        <w:spacing w:line="220" w:lineRule="auto"/>
        <w:ind w:left="3861"/>
        <w:jc w:val="both"/>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7"/>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2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pPr>
              <w:pStyle w:val="2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lang w:val="en-US"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7"/>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27"/>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shd w:val="clear"/>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shd w:val="clear"/>
                <w:lang w:val="en-US" w:eastAsia="zh-CN" w:bidi="ar-SA"/>
              </w:rPr>
              <w:t xml:space="preserve"> 建筑业 </w:t>
            </w:r>
          </w:p>
          <w:p>
            <w:pPr>
              <w:pStyle w:val="2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10 </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7"/>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sz w:val="24"/>
                <w:szCs w:val="24"/>
              </w:rPr>
            </w:pPr>
          </w:p>
          <w:p>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报价的特殊规定：</w:t>
            </w:r>
          </w:p>
          <w:p>
            <w:pPr>
              <w:pStyle w:val="27"/>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27"/>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pPr>
              <w:pStyle w:val="27"/>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2"/>
                <w:sz w:val="24"/>
                <w:szCs w:val="24"/>
                <w:u w:val="none"/>
                <w:lang w:val="en-US" w:eastAsia="zh-CN"/>
              </w:rPr>
              <w:t>小写：3805016.52元    大写：叁佰捌拾万零伍仟零壹拾陆元伍角贰分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7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24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09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30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7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24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09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30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磋商小组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p>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pacing w:val="14"/>
                <w:sz w:val="24"/>
                <w:szCs w:val="24"/>
                <w:lang w:val="en-US" w:eastAsia="zh-CN"/>
              </w:rPr>
              <w:t>由磋商小组推荐成交供应商2名，采购人出具成交确认书确定成交供应商。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7"/>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lang w:val="en-US" w:eastAsia="zh-CN"/>
              </w:rPr>
              <w:t>集中采购机构不收费</w:t>
            </w:r>
          </w:p>
          <w:p>
            <w:pPr>
              <w:pStyle w:val="27"/>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z w:val="24"/>
                <w:szCs w:val="24"/>
                <w:lang w:val="en-US" w:eastAsia="zh-CN"/>
              </w:rPr>
              <w:t>收费对象：</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采购人</w:t>
            </w: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中标人</w:t>
            </w:r>
          </w:p>
          <w:p>
            <w:pPr>
              <w:pStyle w:val="27"/>
              <w:keepNext w:val="0"/>
              <w:keepLines w:val="0"/>
              <w:pageBreakBefore w:val="0"/>
              <w:kinsoku/>
              <w:wordWrap w:val="0"/>
              <w:overflowPunct/>
              <w:topLinePunct w:val="0"/>
              <w:bidi w:val="0"/>
              <w:spacing w:before="1" w:line="220" w:lineRule="auto"/>
              <w:ind w:left="126" w:leftChars="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13"/>
                <w:sz w:val="24"/>
                <w:szCs w:val="24"/>
                <w:lang w:val="en-US" w:eastAsia="zh-CN"/>
              </w:rPr>
              <w:t>收费标准：</w:t>
            </w:r>
            <w:r>
              <w:rPr>
                <w:rFonts w:hint="eastAsia" w:asciiTheme="minorEastAsia" w:hAnsiTheme="minorEastAsia" w:eastAsiaTheme="minorEastAsia" w:cstheme="minorEastAsia"/>
                <w:spacing w:val="-13"/>
                <w:sz w:val="24"/>
                <w:szCs w:val="24"/>
                <w:highlight w:val="none"/>
                <w:shd w:val="clear"/>
                <w:lang w:val="en-US" w:eastAsia="zh-CN"/>
              </w:rPr>
              <w:t>按照豫招协【2023】002号文规定之招标代理服务收费计算标准，向中标、成交供应商收取，不足1万按1万元收取。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hint="eastAsia" w:asciiTheme="minorEastAsia" w:hAnsiTheme="minorEastAsia" w:eastAsiaTheme="minorEastAsia" w:cstheme="minorEastAsia"/>
                <w:sz w:val="24"/>
                <w:szCs w:val="24"/>
                <w:lang w:val="en-US" w:eastAsia="zh-CN"/>
              </w:rPr>
            </w:pPr>
            <w:r>
              <w:rPr>
                <w:color w:val="000000" w:themeColor="text1"/>
                <w:spacing w:val="0"/>
                <w:sz w:val="24"/>
                <w:szCs w:val="24"/>
                <w14:textFill>
                  <w14:solidFill>
                    <w14:schemeClr w14:val="tx1"/>
                  </w14:solidFill>
                </w14:textFill>
              </w:rPr>
              <w:t>解释权</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Theme="minorEastAsia" w:hAnsiTheme="minorEastAsia" w:eastAsiaTheme="minorEastAsia" w:cstheme="minorEastAsia"/>
                <w:spacing w:val="-13"/>
                <w:sz w:val="24"/>
                <w:szCs w:val="24"/>
                <w:lang w:val="en-US" w:eastAsia="zh-CN"/>
              </w:rPr>
            </w:pPr>
            <w:r>
              <w:rPr>
                <w:color w:val="000000" w:themeColor="text1"/>
                <w:spacing w:val="0"/>
                <w:sz w:val="24"/>
                <w:szCs w:val="24"/>
                <w14:textFill>
                  <w14:solidFill>
                    <w14:schemeClr w14:val="tx1"/>
                  </w14:solidFill>
                </w14:textFill>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供应商提出问题的截止时间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both"/>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递交响应性文件的截止之日5日前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其他说明</w:t>
            </w:r>
          </w:p>
        </w:tc>
        <w:tc>
          <w:tcPr>
            <w:tcW w:w="7305" w:type="dxa"/>
            <w:tcBorders>
              <w:top w:val="single" w:color="auto" w:sz="6" w:space="0"/>
              <w:left w:val="single" w:color="auto" w:sz="6" w:space="0"/>
              <w:bottom w:val="single" w:color="auto" w:sz="12" w:space="0"/>
              <w:right w:val="single" w:color="auto" w:sz="12" w:space="0"/>
            </w:tcBorders>
            <w:noWrap w:val="0"/>
            <w:vAlign w:val="top"/>
          </w:tcPr>
          <w:p>
            <w:pPr>
              <w:pStyle w:val="28"/>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“招标人”与“采购人”，“投标人”与“供应商”按照同一意思理解。</w:t>
            </w:r>
          </w:p>
        </w:tc>
      </w:tr>
    </w:tbl>
    <w:p>
      <w:pPr>
        <w:pStyle w:val="3"/>
        <w:keepNext w:val="0"/>
        <w:keepLines w:val="0"/>
        <w:pageBreakBefore w:val="0"/>
        <w:kinsoku/>
        <w:wordWrap w:val="0"/>
        <w:overflowPunct/>
        <w:topLinePunct w:val="0"/>
        <w:bidi w:val="0"/>
        <w:spacing w:before="91" w:line="360" w:lineRule="auto"/>
        <w:ind w:left="3844"/>
        <w:jc w:val="both"/>
        <w:rPr>
          <w:sz w:val="28"/>
          <w:szCs w:val="28"/>
        </w:rPr>
      </w:pPr>
      <w:r>
        <w:rPr>
          <w:spacing w:val="-1"/>
          <w:sz w:val="28"/>
          <w:szCs w:val="28"/>
          <w14:textOutline w14:w="1800" w14:cap="flat" w14:cmpd="sng">
            <w14:solidFill>
              <w14:srgbClr w14:val="000000"/>
            </w14:solidFill>
            <w14:prstDash w14:val="solid"/>
            <w14:miter w14:val="0"/>
          </w14:textOutline>
        </w:rPr>
        <w:t>供应商须知</w:t>
      </w:r>
    </w:p>
    <w:p>
      <w:pPr>
        <w:pStyle w:val="3"/>
        <w:keepNext w:val="0"/>
        <w:keepLines w:val="0"/>
        <w:pageBreakBefore w:val="0"/>
        <w:kinsoku/>
        <w:wordWrap w:val="0"/>
        <w:overflowPunct/>
        <w:topLinePunct w:val="0"/>
        <w:bidi w:val="0"/>
        <w:spacing w:before="270" w:line="360" w:lineRule="auto"/>
        <w:jc w:val="both"/>
        <w:outlineLvl w:val="1"/>
        <w:rPr>
          <w:rFonts w:hint="eastAsia" w:asciiTheme="minorEastAsia" w:hAnsiTheme="minorEastAsia" w:eastAsiaTheme="minorEastAsia" w:cstheme="minorEastAsia"/>
          <w:spacing w:val="-1"/>
          <w:sz w:val="24"/>
          <w:szCs w:val="24"/>
        </w:rPr>
      </w:pPr>
      <w:bookmarkStart w:id="19" w:name="_Toc9525"/>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bookmarkEnd w:id="19"/>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2.1</w:t>
      </w:r>
      <w:r>
        <w:rPr>
          <w:rFonts w:hint="eastAsia" w:asciiTheme="minorEastAsia" w:hAnsiTheme="minorEastAsia" w:eastAsiaTheme="minorEastAsia" w:cstheme="minorEastAsia"/>
          <w:spacing w:val="7"/>
          <w:sz w:val="24"/>
          <w:szCs w:val="24"/>
          <w:highlight w:val="none"/>
          <w:lang w:val="en-US" w:eastAsia="zh-CN"/>
        </w:rPr>
        <w:t xml:space="preserve"> </w:t>
      </w:r>
      <w:r>
        <w:rPr>
          <w:rFonts w:hint="eastAsia" w:asciiTheme="minorEastAsia" w:hAnsiTheme="minorEastAsia" w:eastAsiaTheme="minorEastAsia" w:cstheme="minorEastAsia"/>
          <w:spacing w:val="7"/>
          <w:sz w:val="24"/>
          <w:szCs w:val="24"/>
          <w:highlight w:val="none"/>
        </w:rPr>
        <w:t>资金来源为财政性资金</w:t>
      </w:r>
      <w:r>
        <w:rPr>
          <w:rFonts w:hint="eastAsia" w:asciiTheme="minorEastAsia" w:hAnsiTheme="minorEastAsia" w:eastAsiaTheme="minorEastAsia" w:cstheme="minorEastAsia"/>
          <w:spacing w:val="-9"/>
          <w:sz w:val="24"/>
          <w:szCs w:val="24"/>
          <w:highlight w:val="none"/>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val="en-US" w:eastAsia="zh-CN"/>
        </w:rPr>
        <w:t>供应商</w:t>
      </w:r>
      <w:r>
        <w:rPr>
          <w:rFonts w:hint="eastAsia" w:asciiTheme="minorEastAsia" w:hAnsiTheme="minorEastAsia" w:eastAsiaTheme="minorEastAsia" w:cstheme="minorEastAsia"/>
          <w:spacing w:val="3"/>
          <w:sz w:val="24"/>
          <w:szCs w:val="24"/>
          <w:lang w:eastAsia="zh-CN"/>
        </w:rPr>
        <w:t>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val="en-US"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rPr>
        <w:t>自行承担不利评审后果。</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以及唐河县财政局的具体规定</w:t>
      </w:r>
      <w:r>
        <w:rPr>
          <w:rFonts w:hint="eastAsia" w:asciiTheme="minorEastAsia" w:hAnsiTheme="minorEastAsia" w:eastAsiaTheme="minorEastAsia" w:cstheme="minorEastAsia"/>
          <w:spacing w:val="5"/>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竞争性磋商公告</w:t>
      </w:r>
      <w:r>
        <w:rPr>
          <w:rFonts w:hint="eastAsia" w:asciiTheme="minorEastAsia" w:hAnsiTheme="minorEastAsia" w:eastAsiaTheme="minorEastAsia" w:cstheme="minorEastAsia"/>
          <w:spacing w:val="-8"/>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程序、评审方法和评审标准》。（如涉及）。</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val="en-US" w:eastAsia="zh-CN"/>
        </w:rPr>
        <w:t>5.采购</w:t>
      </w:r>
      <w:r>
        <w:rPr>
          <w:rFonts w:hint="eastAsia" w:asciiTheme="minorEastAsia" w:hAnsiTheme="minorEastAsia" w:eastAsiaTheme="minorEastAsia" w:cstheme="minorEastAsia"/>
          <w:b/>
          <w:bCs/>
          <w:spacing w:val="-2"/>
          <w:sz w:val="24"/>
          <w:szCs w:val="24"/>
        </w:rPr>
        <w:t>费用</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6.采购范围及适用法律</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唐河县财政局 </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    </w:t>
      </w:r>
      <w:r>
        <w:rPr>
          <w:rFonts w:hint="eastAsia" w:asciiTheme="minorEastAsia" w:hAnsiTheme="minorEastAsia" w:eastAsiaTheme="minorEastAsia" w:cstheme="minorEastAsia"/>
          <w:snapToGrid w:val="0"/>
          <w:color w:val="000000"/>
          <w:spacing w:val="-12"/>
          <w:kern w:val="0"/>
          <w:sz w:val="24"/>
          <w:szCs w:val="24"/>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6.4 “服务”指采购文件规定供应商应承担的</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工程施工及缺陷责任期内 </w:t>
      </w: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服务。</w:t>
      </w:r>
    </w:p>
    <w:p>
      <w:pPr>
        <w:pStyle w:val="3"/>
        <w:keepNext w:val="0"/>
        <w:keepLines w:val="0"/>
        <w:pageBreakBefore w:val="0"/>
        <w:kinsoku/>
        <w:wordWrap w:val="0"/>
        <w:overflowPunct/>
        <w:topLinePunct w:val="0"/>
        <w:bidi w:val="0"/>
        <w:spacing w:before="91" w:line="360" w:lineRule="auto"/>
        <w:jc w:val="both"/>
        <w:outlineLvl w:val="1"/>
        <w:rPr>
          <w:rFonts w:hint="eastAsia"/>
          <w:sz w:val="24"/>
          <w:szCs w:val="24"/>
          <w:lang w:val="en-US" w:eastAsia="zh-CN"/>
        </w:rPr>
      </w:pPr>
      <w:bookmarkStart w:id="20" w:name="_Toc11788"/>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竞争性磋商文件</w:t>
      </w:r>
      <w:bookmarkEnd w:id="20"/>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rPr>
      </w:pPr>
      <w:r>
        <w:rPr>
          <w:rFonts w:hint="eastAsia"/>
          <w:b/>
          <w:bCs/>
          <w:sz w:val="24"/>
          <w:szCs w:val="24"/>
          <w:lang w:val="en-US" w:eastAsia="zh-CN"/>
        </w:rPr>
        <w:t>7.</w:t>
      </w:r>
      <w:r>
        <w:rPr>
          <w:b/>
          <w:bCs/>
          <w:sz w:val="24"/>
          <w:szCs w:val="24"/>
        </w:rPr>
        <w:t>竞争性磋商文件构成</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7</w:t>
      </w:r>
      <w:r>
        <w:rPr>
          <w:spacing w:val="-1"/>
          <w:sz w:val="24"/>
          <w:szCs w:val="24"/>
        </w:rPr>
        <w:t>.1</w:t>
      </w:r>
      <w:r>
        <w:rPr>
          <w:rFonts w:hint="eastAsia"/>
          <w:spacing w:val="-1"/>
          <w:sz w:val="24"/>
          <w:szCs w:val="24"/>
          <w:lang w:val="en-US" w:eastAsia="zh-CN"/>
        </w:rPr>
        <w:t xml:space="preserve"> </w:t>
      </w:r>
      <w:r>
        <w:rPr>
          <w:spacing w:val="-1"/>
          <w:sz w:val="24"/>
          <w:szCs w:val="24"/>
        </w:rPr>
        <w:t>竞争性磋商文件包括以下部分：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竞争性磋商公告</w:t>
      </w:r>
      <w:r>
        <w:rPr>
          <w:spacing w:val="-1"/>
          <w:sz w:val="24"/>
          <w:szCs w:val="24"/>
        </w:rPr>
        <w:fldChar w:fldCharType="end"/>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8.对竞争性磋商文件的澄清或修改</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可用补充文件的方式修正竞争性磋商文件，补充文件内容以公告的形式告知所有竞争性磋商文件收受人，该补充文件将成为竞争性磋商文件的组成部分，并替代所修正的部分。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可以酌情延长上传截止时间，并将此变更以公告形式通知所有竞争性磋商文件收受人。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通知所有获取磋商文件的供应商；不足5日的，将顺延上传响应文件截止时间。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val="en-US" w:eastAsia="zh-CN"/>
        </w:rPr>
        <w:t>采购人或采购代理机构</w:t>
      </w:r>
      <w:r>
        <w:rPr>
          <w:rFonts w:hint="eastAsia"/>
          <w:b/>
          <w:bCs/>
          <w:spacing w:val="-1"/>
          <w:sz w:val="24"/>
          <w:szCs w:val="24"/>
          <w:lang w:val="en-US" w:eastAsia="zh-CN"/>
        </w:rPr>
        <w:t>发布的一切公告信息（包括采购公告、变更公告、澄清公告等）均在“河南省政府采购网”“唐河县公共资源交易中心网”等媒体发布，请潜在供应商随时查询有关公告信息。若因潜在供应商没有及时查看到公告信息而造成的失误，责任自负。</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sz w:val="24"/>
          <w:szCs w:val="24"/>
        </w:rPr>
      </w:pPr>
      <w:r>
        <w:rPr>
          <w:rFonts w:hint="eastAsia" w:asciiTheme="minorEastAsia" w:hAnsiTheme="minorEastAsia" w:eastAsiaTheme="minorEastAsia" w:cstheme="minorEastAsia"/>
          <w:b/>
          <w:bCs/>
          <w:spacing w:val="-8"/>
          <w:sz w:val="24"/>
          <w:szCs w:val="24"/>
          <w:lang w:val="en-US" w:eastAsia="zh-CN"/>
        </w:rPr>
        <w:t>8.5 供应商应关注是否有发布最新的澄清更正公告和更正的最新磋商文件（电子答疑文件），如有则需下载最新的磋商文件，并在此基础上制作最新的响应文件并上传。</w:t>
      </w:r>
    </w:p>
    <w:p>
      <w:pPr>
        <w:pStyle w:val="3"/>
        <w:keepNext w:val="0"/>
        <w:keepLines w:val="0"/>
        <w:pageBreakBefore w:val="0"/>
        <w:kinsoku/>
        <w:wordWrap w:val="0"/>
        <w:overflowPunct/>
        <w:topLinePunct w:val="0"/>
        <w:bidi w:val="0"/>
        <w:spacing w:before="91" w:line="360" w:lineRule="auto"/>
        <w:jc w:val="both"/>
        <w:outlineLvl w:val="1"/>
        <w:rPr>
          <w:rFonts w:hint="eastAsia" w:ascii="Arial" w:hAnsi="Arial" w:eastAsia="宋体" w:cs="Arial"/>
          <w:sz w:val="24"/>
          <w:szCs w:val="24"/>
          <w:lang w:val="en-US" w:eastAsia="zh-CN"/>
        </w:rPr>
      </w:pPr>
      <w:bookmarkStart w:id="21" w:name="_Toc18131"/>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bookmarkEnd w:id="21"/>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9.响应范围、竞争性磋商文件中计量单位的使用及磋商语言</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除竞争性磋商文件有特殊要求外，本项目磋商所使用的计量单位，应采用中华人民共和国法定计量单位。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10.响应文件构成</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10.1 供应商应当按照竞争性磋商文件的要求编制响应文件，并对其提交的响应文件的真实性、合法性承担法律责任。响应文件的部分格式要求，见第六章《响应文件格式》。</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根据磋商文件中规定的下载平台要求，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磋商文件</w:t>
      </w:r>
      <w:r>
        <w:rPr>
          <w:rFonts w:hint="eastAsia" w:asciiTheme="minorEastAsia" w:hAnsiTheme="minorEastAsia" w:eastAsiaTheme="minorEastAsia" w:cstheme="minorEastAsia"/>
          <w:sz w:val="24"/>
          <w:szCs w:val="24"/>
        </w:rPr>
        <w:t>中有特殊规定的，从其规定。</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w:t>
      </w:r>
      <w:r>
        <w:rPr>
          <w:rFonts w:hint="eastAsia" w:asciiTheme="minorEastAsia" w:hAnsiTheme="minorEastAsia" w:eastAsiaTheme="minorEastAsia" w:cstheme="minorEastAsia"/>
          <w:sz w:val="24"/>
          <w:szCs w:val="24"/>
          <w:highlight w:val="none"/>
          <w:lang w:val="en-US" w:eastAsia="zh-CN"/>
        </w:rPr>
        <w:t xml:space="preserve">1 </w:t>
      </w:r>
      <w:r>
        <w:rPr>
          <w:rFonts w:hint="eastAsia" w:asciiTheme="minorEastAsia" w:hAnsiTheme="minorEastAsia" w:eastAsiaTheme="minorEastAsia" w:cstheme="minorEastAsia"/>
          <w:sz w:val="24"/>
          <w:szCs w:val="24"/>
          <w:highlight w:val="none"/>
          <w:lang w:eastAsia="zh-CN"/>
        </w:rPr>
        <w:t>所投</w:t>
      </w:r>
      <w:r>
        <w:rPr>
          <w:rFonts w:hint="eastAsia" w:asciiTheme="minorEastAsia" w:hAnsiTheme="minorEastAsia" w:eastAsiaTheme="minorEastAsia" w:cstheme="minorEastAsia"/>
          <w:sz w:val="24"/>
          <w:szCs w:val="24"/>
          <w:highlight w:val="none"/>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highlight w:val="none"/>
          <w:lang w:eastAsia="zh-CN"/>
        </w:rPr>
        <w:t>报价时应详细列出所投产品的生产厂商、品牌、型号、单价、数量、总价等。</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11.5 本项目将按供应商所提交的单价和总价来支付本项目所需的费用。对供应商没有填写单价和总价的内容,将被认为这些项目费用已包括在报价中。</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11.6 磋商结束，供应商进行网上最终报价。</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11.7 本次采购设有预算，供应商最终报价超过预算的，磋商小组将不予评议。</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11.8 供应商的所有报价不得低于成本恶意竞争。</w:t>
      </w:r>
    </w:p>
    <w:p>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12.响应有效期</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13.响应</w:t>
      </w:r>
      <w:r>
        <w:rPr>
          <w:rFonts w:hint="eastAsia" w:asciiTheme="minorEastAsia" w:hAnsiTheme="minorEastAsia" w:eastAsiaTheme="minorEastAsia" w:cstheme="minorEastAsia"/>
          <w:b/>
          <w:bCs/>
          <w:sz w:val="24"/>
          <w:szCs w:val="24"/>
        </w:rPr>
        <w:t>文件的签署、盖章</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13.1 电子响应文件必须在规定签章处电子签章或手写签字后扫描上传进响应文件。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13.2 竞争性磋商文件要求盖章的内容，一般通过CA证书加盖电子签章。</w:t>
      </w:r>
    </w:p>
    <w:p>
      <w:pPr>
        <w:pStyle w:val="3"/>
        <w:keepNext w:val="0"/>
        <w:keepLines w:val="0"/>
        <w:pageBreakBefore w:val="0"/>
        <w:kinsoku/>
        <w:wordWrap w:val="0"/>
        <w:overflowPunct/>
        <w:topLinePunct w:val="0"/>
        <w:bidi w:val="0"/>
        <w:spacing w:before="122" w:line="360" w:lineRule="auto"/>
        <w:jc w:val="both"/>
        <w:outlineLvl w:val="1"/>
        <w:rPr>
          <w:rFonts w:hint="eastAsia" w:ascii="宋体" w:hAnsi="宋体" w:eastAsia="宋体" w:cs="宋体"/>
          <w:snapToGrid w:val="0"/>
          <w:color w:val="000000"/>
          <w:spacing w:val="-1"/>
          <w:kern w:val="0"/>
          <w:sz w:val="24"/>
          <w:szCs w:val="24"/>
          <w:lang w:val="en-US" w:eastAsia="zh-CN" w:bidi="ar-SA"/>
        </w:rPr>
      </w:pPr>
      <w:bookmarkStart w:id="22" w:name="_Toc24840"/>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bookmarkEnd w:id="22"/>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14.响应文件的提交</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唐河县公共资源交易中心网上交易系统在上传截止时间前完成制作软件生成的加密电子响应文件的上传。未在上传截止时间前完成上传的，视为逾期提交。逾期提交的响应文件不予受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15.响应文件上传截止时间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供应商应在竞争性磋商文件要求响应文件上传截止时间前，将电子响应文件提交至电子交易平台。</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16.响应文件的修改与撤回</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在采购文件规定的电子响应文件上传截止时间前，供应商可以修改或撤回已上传的电子响应文件，最终电子响应文件以上传截止时间前完成上传至唐河县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pPr>
        <w:pStyle w:val="3"/>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bookmarkStart w:id="23" w:name="_Toc10621"/>
    </w:p>
    <w:p>
      <w:pPr>
        <w:pStyle w:val="3"/>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jc w:val="center"/>
        <w:outlineLvl w:val="0"/>
        <w:rPr>
          <w:spacing w:val="-1"/>
          <w:sz w:val="36"/>
          <w:szCs w:val="36"/>
          <w14:textOutline w14:w="2306" w14:cap="flat" w14:cmpd="sng">
            <w14:solidFill>
              <w14:srgbClr w14:val="000000"/>
            </w14:solidFill>
            <w14:prstDash w14:val="solid"/>
            <w14:miter w14:val="0"/>
          </w14:textOutline>
        </w:rPr>
      </w:pPr>
    </w:p>
    <w:p>
      <w:pPr>
        <w:pStyle w:val="3"/>
        <w:keepNext w:val="0"/>
        <w:keepLines w:val="0"/>
        <w:pageBreakBefore w:val="0"/>
        <w:kinsoku/>
        <w:wordWrap w:val="0"/>
        <w:overflowPunct/>
        <w:topLinePunct w:val="0"/>
        <w:bidi w:val="0"/>
        <w:spacing w:before="358" w:line="360" w:lineRule="auto"/>
        <w:jc w:val="center"/>
        <w:outlineLvl w:val="0"/>
        <w:rPr>
          <w:spacing w:val="-2"/>
          <w:sz w:val="24"/>
          <w:szCs w:val="24"/>
          <w14:textOutline w14:w="1537" w14:cap="flat" w14:cmpd="sng">
            <w14:solidFill>
              <w14:srgbClr w14:val="000000"/>
            </w14:solidFill>
            <w14:prstDash w14:val="solid"/>
            <w14:miter w14:val="0"/>
          </w14:textOutline>
        </w:rPr>
      </w:pPr>
      <w:r>
        <w:rPr>
          <w:spacing w:val="-1"/>
          <w:sz w:val="36"/>
          <w:szCs w:val="36"/>
          <w14:textOutline w14:w="2306" w14:cap="flat" w14:cmpd="sng">
            <w14:solidFill>
              <w14:srgbClr w14:val="000000"/>
            </w14:solidFill>
            <w14:prstDash w14:val="solid"/>
            <w14:miter w14:val="0"/>
          </w14:textOutline>
        </w:rPr>
        <w:t>第</w:t>
      </w:r>
      <w:r>
        <w:rPr>
          <w:rFonts w:hint="eastAsia"/>
          <w:spacing w:val="-1"/>
          <w:sz w:val="36"/>
          <w:szCs w:val="36"/>
          <w:lang w:val="en-US" w:eastAsia="zh-CN"/>
          <w14:textOutline w14:w="2306" w14:cap="flat" w14:cmpd="sng">
            <w14:solidFill>
              <w14:srgbClr w14:val="000000"/>
            </w14:solidFill>
            <w14:prstDash w14:val="solid"/>
            <w14:miter w14:val="0"/>
          </w14:textOutline>
        </w:rPr>
        <w:t>四</w:t>
      </w:r>
      <w:r>
        <w:rPr>
          <w:spacing w:val="-1"/>
          <w:sz w:val="36"/>
          <w:szCs w:val="36"/>
          <w14:textOutline w14:w="2306" w14:cap="flat" w14:cmpd="sng">
            <w14:solidFill>
              <w14:srgbClr w14:val="000000"/>
            </w14:solidFill>
            <w14:prstDash w14:val="solid"/>
            <w14:miter w14:val="0"/>
          </w14:textOutline>
        </w:rPr>
        <w:t>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14:textOutline w14:w="2306" w14:cap="flat" w14:cmpd="sng">
            <w14:solidFill>
              <w14:srgbClr w14:val="000000"/>
            </w14:solidFill>
            <w14:prstDash w14:val="solid"/>
            <w14:miter w14:val="0"/>
          </w14:textOutline>
        </w:rPr>
        <w:t>评</w:t>
      </w:r>
      <w:r>
        <w:rPr>
          <w:rFonts w:hint="eastAsia"/>
          <w:spacing w:val="-1"/>
          <w:sz w:val="36"/>
          <w:szCs w:val="36"/>
          <w:lang w:val="en-US" w:eastAsia="zh-CN"/>
          <w14:textOutline w14:w="2306" w14:cap="flat" w14:cmpd="sng">
            <w14:solidFill>
              <w14:srgbClr w14:val="000000"/>
            </w14:solidFill>
            <w14:prstDash w14:val="solid"/>
            <w14:miter w14:val="0"/>
          </w14:textOutline>
        </w:rPr>
        <w:t>审</w:t>
      </w:r>
      <w:r>
        <w:rPr>
          <w:rFonts w:hint="eastAsia"/>
          <w:spacing w:val="-1"/>
          <w:sz w:val="36"/>
          <w:szCs w:val="36"/>
          <w14:textOutline w14:w="2306" w14:cap="flat" w14:cmpd="sng">
            <w14:solidFill>
              <w14:srgbClr w14:val="000000"/>
            </w14:solidFill>
            <w14:prstDash w14:val="solid"/>
            <w14:miter w14:val="0"/>
          </w14:textOutline>
        </w:rPr>
        <w:t>程序、</w:t>
      </w:r>
      <w:r>
        <w:rPr>
          <w:spacing w:val="-1"/>
          <w:sz w:val="36"/>
          <w:szCs w:val="36"/>
          <w14:textOutline w14:w="2306" w14:cap="flat" w14:cmpd="sng">
            <w14:solidFill>
              <w14:srgbClr w14:val="000000"/>
            </w14:solidFill>
            <w14:prstDash w14:val="solid"/>
            <w14:miter w14:val="0"/>
          </w14:textOutline>
        </w:rPr>
        <w:t>评审方法和评审标准</w:t>
      </w:r>
      <w:bookmarkEnd w:id="23"/>
    </w:p>
    <w:p>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4" w:name="_Toc31954"/>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一、编制、确认竞争性磋商文件</w:t>
      </w:r>
      <w:bookmarkEnd w:id="24"/>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根据采购项目特点和采购实际需求编制竞争性磋商文件，编制的竞争性磋商文件应由采购人审核并确认。</w:t>
      </w:r>
    </w:p>
    <w:p>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5" w:name="_Toc26340"/>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二、发布竞争性磋商公告，邀请供应商参加磋商</w:t>
      </w:r>
      <w:bookmarkEnd w:id="25"/>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竞争性磋商文件经采购人书面确认后，将在指定媒体和唐河县公共资源交易中心网发布竞争性磋商公告。供应商按照公告和竞争性磋商文件要求制作并递交响应文件。</w:t>
      </w:r>
    </w:p>
    <w:p>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6" w:name="_Toc32234"/>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三、组建磋商小组</w:t>
      </w:r>
      <w:bookmarkEnd w:id="26"/>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竞争性磋商小组负责对响应文件进行评审、质疑、评估、比较、评分，组织磋商和最后报价。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评审专家应当严格遵守评审工作纪律，按照客观、公正、审慎的原则，根据磋商文件规定的评审程序、评审方法和评审标准进行独立评审。</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bookmarkStart w:id="27" w:name="_Toc29911"/>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bookmarkEnd w:id="27"/>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8" w:name="_Toc26883"/>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证书进行加密，供应商在解密前须自行检查CA证书的有效性。解密时未在开启响应文件时间后30分钟内进行解密成功的视为撤销其响应文件（因电子开标系统原因除外）。</w:t>
      </w:r>
      <w:bookmarkEnd w:id="28"/>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bookmarkStart w:id="29" w:name="_Toc6867"/>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bookmarkEnd w:id="29"/>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磋商小组对供应商提交的响应文件进行评审。主要对响应文件的有效性、完整性和响应程度进行审查，具体包括：</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资格性审查</w:t>
      </w:r>
    </w:p>
    <w:tbl>
      <w:tblPr>
        <w:tblStyle w:val="26"/>
        <w:tblW w:w="97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4773"/>
        <w:gridCol w:w="32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8"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4773"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3227" w:type="dxa"/>
            <w:vAlign w:val="top"/>
          </w:tcPr>
          <w:p>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pPr>
              <w:pStyle w:val="27"/>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pPr>
              <w:pStyle w:val="27"/>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4773"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（1）供应商具有独立法人资格，具有有效的营业执照、税务登记证、组织机构代码证（或三证合一）；</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（2）供应商须具有市政公用工程施工总承包叁级及以上资质等级，且具有有效的安全生产许可证，并在人员、设备、资金等方面具有相应的施工能力；</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（3）拟派项目经理须具备相关专业贰级及以上注册建造师资格证书及有效的安全生产考核合格证，且未担任其他在建工程的项目经理并作出承诺；技术负责人具有相关专业中级及以上工程技术职称；</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（4）参加本次政府采购活动前三年内，在经营活动中没有重大违法犯罪记录；</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（5）财务状况良好，没有处于被责令停业、破产状态，各投标人须提供具有近三年（2021年度、2022年度、2023年度）经审计的财务报告，信誉良好（成立不足三年的企业，从成立之日算起）。</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供应商依法缴纳税收（提供2024年1月1日以来任意三个月完税证明或缴税凭证）和社会保障资金（提供2024年1月1日以来任意三个月的社保缴纳凭证或社保缴费记录)。依法免税或不需要缴纳社会保障资金的供应商，应提供相应证明文件。</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（8）本次招标不接受联合体投标，不允许分包和转包。</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（9）满足法律、行政法规及本项目磋商文件规定的其他条件。</w:t>
            </w:r>
          </w:p>
        </w:tc>
        <w:tc>
          <w:tcPr>
            <w:tcW w:w="3227" w:type="dxa"/>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bl>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b/>
          <w:bCs/>
          <w:snapToGrid w:val="0"/>
          <w:color w:val="000000"/>
          <w:kern w:val="0"/>
          <w:sz w:val="24"/>
          <w:szCs w:val="24"/>
          <w:lang w:val="en-US" w:eastAsia="zh-CN" w:bidi="ar-SA"/>
        </w:rPr>
        <w:t>备注：以上材料以供应商南阳市公共资源交易中心企业诚信库“投标所需的其他材料”中上传的原件扫描件为准，由磋商小组依据投标企业在南阳市公共资源交易中心网站诚信库填报的信息资料扫描件进行审查。以投标截止时间前填报上传企业诚信库信息为准，过期更改的诚信库信息不作为本项目评审依据。开评标现场不接受诚信库信息原件。诚信库上传信息必须内容齐全，真实有效，原件扫描件清晰可辨。否则，由此造成资格审查不合格等情况的，由投标企业承担责任。</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lang w:val="en-US" w:eastAsia="zh-CN" w:bidi="ar-SA"/>
        </w:rPr>
        <w:t>。</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是否符合竞争性磋商文件的各项要求。</w:t>
      </w:r>
    </w:p>
    <w:tbl>
      <w:tblPr>
        <w:tblStyle w:val="16"/>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3621"/>
        <w:gridCol w:w="5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blHeader/>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rPr>
              <w:t>序</w:t>
            </w:r>
            <w:r>
              <w:rPr>
                <w:rFonts w:hint="eastAsia" w:ascii="宋体" w:hAnsi="宋体" w:cs="宋体"/>
                <w:b/>
                <w:snapToGrid w:val="0"/>
                <w:color w:val="000000"/>
                <w:kern w:val="0"/>
                <w:sz w:val="24"/>
                <w:lang w:eastAsia="en-US"/>
              </w:rPr>
              <w:t>号</w:t>
            </w:r>
          </w:p>
        </w:tc>
        <w:tc>
          <w:tcPr>
            <w:tcW w:w="3621" w:type="dxa"/>
            <w:noWrap w:val="0"/>
            <w:vAlign w:val="center"/>
          </w:tcPr>
          <w:p>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lang w:eastAsia="en-US"/>
              </w:rPr>
              <w:t>评审因素</w:t>
            </w:r>
          </w:p>
        </w:tc>
        <w:tc>
          <w:tcPr>
            <w:tcW w:w="5259" w:type="dxa"/>
            <w:noWrap w:val="0"/>
            <w:vAlign w:val="center"/>
          </w:tcPr>
          <w:p>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lang w:eastAsia="en-US"/>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1</w:t>
            </w:r>
          </w:p>
        </w:tc>
        <w:tc>
          <w:tcPr>
            <w:tcW w:w="3621" w:type="dxa"/>
            <w:noWrap w:val="0"/>
            <w:vAlign w:val="center"/>
          </w:tcPr>
          <w:p>
            <w:pPr>
              <w:widowControl/>
              <w:kinsoku w:val="0"/>
              <w:autoSpaceDE w:val="0"/>
              <w:autoSpaceDN w:val="0"/>
              <w:adjustRightInd w:val="0"/>
              <w:snapToGrid w:val="0"/>
              <w:ind w:left="537"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供应商名称</w:t>
            </w:r>
          </w:p>
        </w:tc>
        <w:tc>
          <w:tcPr>
            <w:tcW w:w="5259" w:type="dxa"/>
            <w:noWrap w:val="0"/>
            <w:vAlign w:val="center"/>
          </w:tcPr>
          <w:p>
            <w:pPr>
              <w:widowControl/>
              <w:kinsoku w:val="0"/>
              <w:autoSpaceDE w:val="0"/>
              <w:autoSpaceDN w:val="0"/>
              <w:adjustRightInd w:val="0"/>
              <w:snapToGrid w:val="0"/>
              <w:ind w:left="43"/>
              <w:jc w:val="center"/>
              <w:textAlignment w:val="baseline"/>
              <w:rPr>
                <w:rFonts w:ascii="宋体" w:hAnsi="宋体" w:cs="宋体"/>
                <w:snapToGrid w:val="0"/>
                <w:color w:val="000000"/>
                <w:kern w:val="0"/>
                <w:sz w:val="24"/>
              </w:rPr>
            </w:pPr>
            <w:r>
              <w:rPr>
                <w:rFonts w:hint="eastAsia"/>
                <w:sz w:val="24"/>
              </w:rPr>
              <w:t>与营业执照或其他资格证明文件（</w:t>
            </w:r>
            <w:r>
              <w:rPr>
                <w:rFonts w:hint="eastAsia" w:ascii="宋体" w:hAnsi="宋体" w:cs="宋体"/>
                <w:spacing w:val="-2"/>
                <w:sz w:val="24"/>
              </w:rPr>
              <w:t>如事业单位法人证书等</w:t>
            </w:r>
            <w:r>
              <w:rPr>
                <w:rFonts w:hint="eastAsia"/>
                <w:sz w:val="24"/>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2</w:t>
            </w:r>
          </w:p>
        </w:tc>
        <w:tc>
          <w:tcPr>
            <w:tcW w:w="3621" w:type="dxa"/>
            <w:noWrap w:val="0"/>
            <w:vAlign w:val="center"/>
          </w:tcPr>
          <w:p>
            <w:pPr>
              <w:widowControl/>
              <w:kinsoku w:val="0"/>
              <w:autoSpaceDE w:val="0"/>
              <w:autoSpaceDN w:val="0"/>
              <w:adjustRightInd w:val="0"/>
              <w:snapToGrid w:val="0"/>
              <w:spacing w:before="157"/>
              <w:ind w:left="498"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响应文件签字盖章</w:t>
            </w:r>
          </w:p>
        </w:tc>
        <w:tc>
          <w:tcPr>
            <w:tcW w:w="5259" w:type="dxa"/>
            <w:noWrap w:val="0"/>
            <w:vAlign w:val="center"/>
          </w:tcPr>
          <w:p>
            <w:pPr>
              <w:widowControl/>
              <w:kinsoku w:val="0"/>
              <w:autoSpaceDE w:val="0"/>
              <w:autoSpaceDN w:val="0"/>
              <w:adjustRightInd w:val="0"/>
              <w:snapToGrid w:val="0"/>
              <w:spacing w:before="157"/>
              <w:ind w:left="4"/>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3</w:t>
            </w:r>
          </w:p>
        </w:tc>
        <w:tc>
          <w:tcPr>
            <w:tcW w:w="3621" w:type="dxa"/>
            <w:noWrap w:val="0"/>
            <w:vAlign w:val="center"/>
          </w:tcPr>
          <w:p>
            <w:pPr>
              <w:widowControl/>
              <w:kinsoku w:val="0"/>
              <w:autoSpaceDE w:val="0"/>
              <w:autoSpaceDN w:val="0"/>
              <w:adjustRightInd w:val="0"/>
              <w:snapToGrid w:val="0"/>
              <w:ind w:right="492" w:firstLine="960" w:firstLineChars="400"/>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响应文件格式</w:t>
            </w:r>
          </w:p>
        </w:tc>
        <w:tc>
          <w:tcPr>
            <w:tcW w:w="5259" w:type="dxa"/>
            <w:noWrap w:val="0"/>
            <w:vAlign w:val="center"/>
          </w:tcPr>
          <w:p>
            <w:pPr>
              <w:widowControl/>
              <w:kinsoku w:val="0"/>
              <w:autoSpaceDE w:val="0"/>
              <w:autoSpaceDN w:val="0"/>
              <w:adjustRightInd w:val="0"/>
              <w:snapToGrid w:val="0"/>
              <w:ind w:left="43"/>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符合第六章</w:t>
            </w:r>
            <w:r>
              <w:rPr>
                <w:rFonts w:ascii="宋体" w:hAnsi="宋体" w:cs="宋体"/>
                <w:snapToGrid w:val="0"/>
                <w:color w:val="000000"/>
                <w:kern w:val="0"/>
                <w:sz w:val="24"/>
              </w:rPr>
              <w:t>“</w:t>
            </w:r>
            <w:r>
              <w:rPr>
                <w:rFonts w:hint="eastAsia" w:ascii="宋体" w:hAnsi="宋体" w:cs="宋体"/>
                <w:snapToGrid w:val="0"/>
                <w:color w:val="000000"/>
                <w:kern w:val="0"/>
                <w:sz w:val="24"/>
              </w:rPr>
              <w:t>响应文件格式</w:t>
            </w:r>
            <w:r>
              <w:rPr>
                <w:rFonts w:ascii="宋体" w:hAnsi="宋体" w:cs="宋体"/>
                <w:snapToGrid w:val="0"/>
                <w:color w:val="000000"/>
                <w:kern w:val="0"/>
                <w:sz w:val="24"/>
              </w:rPr>
              <w:t>”</w:t>
            </w:r>
            <w:r>
              <w:rPr>
                <w:rFonts w:hint="eastAsia" w:ascii="宋体" w:hAnsi="宋体" w:cs="宋体"/>
                <w:snapToGrid w:val="0"/>
                <w:color w:val="000000"/>
                <w:kern w:val="0"/>
                <w:sz w:val="24"/>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4</w:t>
            </w:r>
          </w:p>
        </w:tc>
        <w:tc>
          <w:tcPr>
            <w:tcW w:w="3621" w:type="dxa"/>
            <w:noWrap w:val="0"/>
            <w:vAlign w:val="center"/>
          </w:tcPr>
          <w:p>
            <w:pPr>
              <w:widowControl/>
              <w:kinsoku w:val="0"/>
              <w:autoSpaceDE w:val="0"/>
              <w:autoSpaceDN w:val="0"/>
              <w:adjustRightInd w:val="0"/>
              <w:snapToGrid w:val="0"/>
              <w:spacing w:before="157"/>
              <w:ind w:left="498"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报价唯一</w:t>
            </w:r>
          </w:p>
        </w:tc>
        <w:tc>
          <w:tcPr>
            <w:tcW w:w="5259" w:type="dxa"/>
            <w:noWrap w:val="0"/>
            <w:vAlign w:val="center"/>
          </w:tcPr>
          <w:p>
            <w:pPr>
              <w:widowControl/>
              <w:kinsoku w:val="0"/>
              <w:autoSpaceDE w:val="0"/>
              <w:autoSpaceDN w:val="0"/>
              <w:adjustRightInd w:val="0"/>
              <w:snapToGrid w:val="0"/>
              <w:spacing w:before="157"/>
              <w:ind w:left="4"/>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只有一个有效报价且不超过最高限价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5</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响应范围</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6</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lang w:eastAsia="zh-CN"/>
              </w:rPr>
            </w:pPr>
            <w:r>
              <w:rPr>
                <w:rFonts w:hint="eastAsia" w:ascii="宋体" w:hAnsi="宋体" w:eastAsia="宋体" w:cs="宋体"/>
                <w:snapToGrid w:val="0"/>
                <w:color w:val="000000"/>
                <w:kern w:val="0"/>
                <w:sz w:val="24"/>
                <w:lang w:val="en-US" w:eastAsia="zh-CN"/>
              </w:rPr>
              <w:t>工期</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7</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lang w:eastAsia="zh-CN"/>
              </w:rPr>
            </w:pPr>
            <w:r>
              <w:rPr>
                <w:rFonts w:hint="eastAsia" w:ascii="宋体" w:hAnsi="宋体" w:eastAsia="宋体" w:cs="宋体"/>
                <w:snapToGrid w:val="0"/>
                <w:color w:val="000000"/>
                <w:kern w:val="0"/>
                <w:sz w:val="24"/>
                <w:lang w:val="en-US" w:eastAsia="zh-CN"/>
              </w:rPr>
              <w:t>缺陷责任期</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8</w:t>
            </w:r>
          </w:p>
        </w:tc>
        <w:tc>
          <w:tcPr>
            <w:tcW w:w="3621" w:type="dxa"/>
            <w:noWrap w:val="0"/>
            <w:vAlign w:val="center"/>
          </w:tcPr>
          <w:p>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质量要求</w:t>
            </w:r>
          </w:p>
        </w:tc>
        <w:tc>
          <w:tcPr>
            <w:tcW w:w="5259" w:type="dxa"/>
            <w:noWrap w:val="0"/>
            <w:vAlign w:val="center"/>
          </w:tcPr>
          <w:p>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79" w:type="dxa"/>
            <w:noWrap w:val="0"/>
            <w:vAlign w:val="center"/>
          </w:tcPr>
          <w:p>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9</w:t>
            </w:r>
          </w:p>
        </w:tc>
        <w:tc>
          <w:tcPr>
            <w:tcW w:w="3621" w:type="dxa"/>
            <w:noWrap w:val="0"/>
            <w:vAlign w:val="center"/>
          </w:tcPr>
          <w:p>
            <w:pPr>
              <w:widowControl/>
              <w:kinsoku w:val="0"/>
              <w:autoSpaceDE w:val="0"/>
              <w:autoSpaceDN w:val="0"/>
              <w:adjustRightInd w:val="0"/>
              <w:snapToGrid w:val="0"/>
              <w:ind w:firstLine="1200" w:firstLineChars="500"/>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响应有效期</w:t>
            </w:r>
          </w:p>
        </w:tc>
        <w:tc>
          <w:tcPr>
            <w:tcW w:w="5259" w:type="dxa"/>
            <w:noWrap w:val="0"/>
            <w:vAlign w:val="center"/>
          </w:tcPr>
          <w:p>
            <w:pPr>
              <w:widowControl/>
              <w:kinsoku w:val="0"/>
              <w:autoSpaceDE w:val="0"/>
              <w:autoSpaceDN w:val="0"/>
              <w:adjustRightInd w:val="0"/>
              <w:snapToGrid w:val="0"/>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bl>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未实质性响应磋商文件的响应文件按无效响应处理，磋商小组应当告知提交响应文件的供应商。</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资格证明文件不全的，或者不符合竞争性磋商文件标明的资格要求的；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lang w:val="en-US" w:eastAsia="en-US" w:bidi="ar-SA"/>
        </w:rPr>
        <w:t>加密的；</w:t>
      </w:r>
    </w:p>
    <w:p>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其他不符合磋商文件实质性要求的。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磋商、响应文件有关事项的澄清、说明或者更正和最后报价</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sz w:val="24"/>
          <w:szCs w:val="24"/>
        </w:rPr>
        <w:t>磋商小组所有成员将集中与单一供应商分别进行磋商，并给予所有参加磋商的供应商平等的磋商机会。</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在磋商过程中，磋商小组可以根据磋商文件和磋商情况实质性变动采购需求中的技术、服务要求以及合同草案条款，但不得变动磋商文件中的其他内容。实质性变动的内容，须经采购人代表确认。</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对磋商文件作出的实质性变动是磋商文件的有效组成部分，磋商小组应当及时</w:t>
      </w:r>
      <w:r>
        <w:rPr>
          <w:rFonts w:hint="eastAsia"/>
          <w:sz w:val="24"/>
          <w:szCs w:val="24"/>
          <w:lang w:val="en-US"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w:t>
      </w:r>
      <w:r>
        <w:rPr>
          <w:rFonts w:hint="eastAsia" w:ascii="宋体" w:hAnsi="宋体" w:eastAsia="宋体" w:cs="宋体"/>
          <w:snapToGrid w:val="0"/>
          <w:color w:val="000000"/>
          <w:kern w:val="0"/>
          <w:sz w:val="24"/>
          <w:szCs w:val="24"/>
          <w:lang w:val="en-US" w:eastAsia="en-US" w:bidi="ar-SA"/>
        </w:rPr>
        <w:t>签章。</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政府采购竞争性磋商采购方式管理暂行办法</w:t>
      </w:r>
      <w:r>
        <w:rPr>
          <w:rFonts w:hint="eastAsia" w:ascii="宋体" w:hAnsi="宋体" w:eastAsia="宋体" w:cs="宋体"/>
          <w:snapToGrid w:val="0"/>
          <w:color w:val="000000"/>
          <w:kern w:val="0"/>
          <w:sz w:val="24"/>
          <w:szCs w:val="24"/>
          <w:lang w:val="en-US" w:eastAsia="en-US" w:bidi="ar-SA"/>
        </w:rPr>
        <w:t>》第</w:t>
      </w:r>
      <w:r>
        <w:rPr>
          <w:rFonts w:hint="eastAsia" w:ascii="宋体" w:hAnsi="宋体" w:eastAsia="宋体" w:cs="宋体"/>
          <w:snapToGrid w:val="0"/>
          <w:color w:val="000000"/>
          <w:kern w:val="0"/>
          <w:sz w:val="24"/>
          <w:szCs w:val="24"/>
          <w:lang w:val="en-US" w:eastAsia="zh-CN" w:bidi="ar-SA"/>
        </w:rPr>
        <w:t>三</w:t>
      </w:r>
      <w:r>
        <w:rPr>
          <w:rFonts w:hint="eastAsia" w:ascii="宋体" w:hAnsi="宋体" w:eastAsia="宋体" w:cs="宋体"/>
          <w:snapToGrid w:val="0"/>
          <w:color w:val="000000"/>
          <w:kern w:val="0"/>
          <w:sz w:val="24"/>
          <w:szCs w:val="24"/>
          <w:lang w:val="en-US" w:eastAsia="en-US" w:bidi="ar-SA"/>
        </w:rPr>
        <w:t>条第</w:t>
      </w:r>
      <w:r>
        <w:rPr>
          <w:rFonts w:hint="eastAsia" w:ascii="宋体" w:hAnsi="宋体" w:eastAsia="宋体" w:cs="宋体"/>
          <w:snapToGrid w:val="0"/>
          <w:color w:val="000000"/>
          <w:kern w:val="0"/>
          <w:sz w:val="24"/>
          <w:szCs w:val="24"/>
          <w:lang w:val="en-US" w:eastAsia="zh-CN" w:bidi="ar-SA"/>
        </w:rPr>
        <w:t>四项</w:t>
      </w:r>
      <w:r>
        <w:rPr>
          <w:rFonts w:hint="eastAsia" w:ascii="宋体" w:hAnsi="宋体" w:eastAsia="宋体" w:cs="宋体"/>
          <w:snapToGrid w:val="0"/>
          <w:color w:val="000000"/>
          <w:kern w:val="0"/>
          <w:sz w:val="24"/>
          <w:szCs w:val="24"/>
          <w:lang w:val="en-US" w:eastAsia="en-US" w:bidi="ar-SA"/>
        </w:rPr>
        <w:t>规定的情形除外。最后报价是响应文件的有效组成部分。</w:t>
      </w:r>
    </w:p>
    <w:p>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交最后报价的供应商可以为2家；政府购买服务项目（含政府和社会资本合作项目），在采购过程中符合要求的供应商（社会资本）只有2家的，竞争性磋商采购活动可以继续进行。</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交最后报价之前，可以根据磋商情况退出磋商。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lang w:val="en-US" w:eastAsia="zh-CN" w:bidi="ar-SA"/>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评审方法和评审标准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本项目采用的评审方法为</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综合评分法。综合评分法，是指响应文件满足磋商文件全部实质性要求且按评审因素的量化指标评审得分最高的供应商为成交候选供应商的评审方法。</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.2</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竞争性磋商文件中没有规定的评审标准不得作为评审依据。</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.3</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.4</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关于无线局域网认证产品政府采购清单中的产品，优先采购的具体规定（如涉及）</w:t>
      </w:r>
      <w:r>
        <w:rPr>
          <w:spacing w:val="-25"/>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确定成交候选人名单</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9</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 xml:space="preserve">2 </w:t>
      </w:r>
      <w:r>
        <w:rPr>
          <w:rFonts w:hint="eastAsia" w:cs="宋体"/>
          <w:b/>
          <w:bCs/>
          <w:snapToGrid w:val="0"/>
          <w:color w:val="000000"/>
          <w:kern w:val="0"/>
          <w:sz w:val="24"/>
          <w:szCs w:val="24"/>
          <w:lang w:val="en-US" w:eastAsia="en-US" w:bidi="ar-SA"/>
        </w:rPr>
        <w:t>磋商小组要对评分汇总情况进行复核，特别是对排名第一的、报价最低的、响应文件被认定为无效的情形进行重点复核。</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w:t>
      </w:r>
      <w:r>
        <w:rPr>
          <w:rFonts w:hint="eastAsia" w:cs="宋体"/>
          <w:snapToGrid w:val="0"/>
          <w:color w:val="000000"/>
          <w:kern w:val="0"/>
          <w:sz w:val="24"/>
          <w:szCs w:val="24"/>
          <w:lang w:val="en-US" w:eastAsia="en-US" w:bidi="ar-SA"/>
        </w:rPr>
        <w:t>磋商小组根据上述供应商排序，依次推荐排序前</w:t>
      </w:r>
      <w:r>
        <w:rPr>
          <w:rFonts w:hint="eastAsia" w:cs="宋体"/>
          <w:snapToGrid w:val="0"/>
          <w:color w:val="000000"/>
          <w:kern w:val="0"/>
          <w:sz w:val="24"/>
          <w:szCs w:val="24"/>
          <w:lang w:val="en-US" w:eastAsia="zh-CN" w:bidi="ar-SA"/>
        </w:rPr>
        <w:t>2</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报告违法行为</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磋商小组在评审过程中发现供应商有行贿、</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供虚假材料或者串通等违法行为时，有向采购人、采购代理机构或者有关部门报告的职责。</w:t>
      </w:r>
      <w:bookmarkStart w:id="30" w:name="_Toc20187"/>
    </w:p>
    <w:p>
      <w:pPr>
        <w:pStyle w:val="3"/>
        <w:keepNext w:val="0"/>
        <w:keepLines w:val="0"/>
        <w:pageBreakBefore w:val="0"/>
        <w:kinsoku/>
        <w:wordWrap w:val="0"/>
        <w:overflowPunct/>
        <w:topLinePunct w:val="0"/>
        <w:bidi w:val="0"/>
        <w:spacing w:before="78" w:line="221" w:lineRule="auto"/>
        <w:jc w:val="center"/>
        <w:outlineLvl w:val="1"/>
        <w:rPr>
          <w:spacing w:val="-2"/>
          <w:sz w:val="24"/>
          <w:szCs w:val="24"/>
          <w14:textOutline w14:w="1537" w14:cap="flat" w14:cmpd="sng">
            <w14:solidFill>
              <w14:srgbClr w14:val="000000"/>
            </w14:solidFill>
            <w14:prstDash w14:val="solid"/>
            <w14:miter w14:val="0"/>
          </w14:textOutline>
        </w:rPr>
      </w:pPr>
      <w:r>
        <w:rPr>
          <w:spacing w:val="-2"/>
          <w:sz w:val="24"/>
          <w:szCs w:val="24"/>
          <w14:textOutline w14:w="1537" w14:cap="flat" w14:cmpd="sng">
            <w14:solidFill>
              <w14:srgbClr w14:val="000000"/>
            </w14:solidFill>
            <w14:prstDash w14:val="solid"/>
            <w14:miter w14:val="0"/>
          </w14:textOutline>
        </w:rPr>
        <w:t>评审标准</w:t>
      </w:r>
      <w:bookmarkEnd w:id="30"/>
    </w:p>
    <w:tbl>
      <w:tblPr>
        <w:tblStyle w:val="26"/>
        <w:tblW w:w="97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595"/>
        <w:gridCol w:w="883"/>
        <w:gridCol w:w="1972"/>
        <w:gridCol w:w="44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9" w:type="dxa"/>
            <w:vAlign w:val="top"/>
          </w:tcPr>
          <w:p>
            <w:pPr>
              <w:keepNext w:val="0"/>
              <w:keepLines w:val="0"/>
              <w:pageBreakBefore w:val="0"/>
              <w:kinsoku/>
              <w:wordWrap w:val="0"/>
              <w:overflowPunct/>
              <w:topLinePunct w:val="0"/>
              <w:bidi w:val="0"/>
              <w:spacing w:before="40" w:line="208" w:lineRule="auto"/>
              <w:ind w:left="198"/>
              <w:jc w:val="both"/>
              <w:rPr>
                <w:rFonts w:hint="eastAsia" w:ascii="仿宋" w:hAnsi="仿宋" w:eastAsia="仿宋" w:cs="仿宋"/>
                <w:sz w:val="24"/>
                <w:szCs w:val="24"/>
              </w:rPr>
            </w:pPr>
            <w:r>
              <w:rPr>
                <w:rFonts w:hint="eastAsia" w:ascii="仿宋" w:hAnsi="仿宋" w:eastAsia="仿宋" w:cs="仿宋"/>
                <w:spacing w:val="-3"/>
                <w:sz w:val="24"/>
                <w:szCs w:val="24"/>
                <w14:textOutline w14:w="1537" w14:cap="flat" w14:cmpd="sng">
                  <w14:solidFill>
                    <w14:srgbClr w14:val="000000"/>
                  </w14:solidFill>
                  <w14:prstDash w14:val="solid"/>
                  <w14:miter w14:val="0"/>
                </w14:textOutline>
              </w:rPr>
              <w:t>序号</w:t>
            </w:r>
          </w:p>
        </w:tc>
        <w:tc>
          <w:tcPr>
            <w:tcW w:w="1595" w:type="dxa"/>
            <w:vAlign w:val="top"/>
          </w:tcPr>
          <w:p>
            <w:pPr>
              <w:keepNext w:val="0"/>
              <w:keepLines w:val="0"/>
              <w:pageBreakBefore w:val="0"/>
              <w:kinsoku/>
              <w:wordWrap w:val="0"/>
              <w:overflowPunct/>
              <w:topLinePunct w:val="0"/>
              <w:bidi w:val="0"/>
              <w:spacing w:before="40" w:line="208" w:lineRule="auto"/>
              <w:ind w:left="268"/>
              <w:jc w:val="both"/>
              <w:rPr>
                <w:rFonts w:hint="eastAsia" w:ascii="仿宋" w:hAnsi="仿宋" w:eastAsia="仿宋" w:cs="仿宋"/>
                <w:sz w:val="24"/>
                <w:szCs w:val="24"/>
              </w:rPr>
            </w:pPr>
            <w:r>
              <w:rPr>
                <w:rFonts w:hint="eastAsia" w:ascii="仿宋" w:hAnsi="仿宋" w:eastAsia="仿宋" w:cs="仿宋"/>
                <w:spacing w:val="-2"/>
                <w:sz w:val="24"/>
                <w:szCs w:val="24"/>
                <w14:textOutline w14:w="1537" w14:cap="flat" w14:cmpd="sng">
                  <w14:solidFill>
                    <w14:srgbClr w14:val="000000"/>
                  </w14:solidFill>
                  <w14:prstDash w14:val="solid"/>
                  <w14:miter w14:val="0"/>
                </w14:textOutline>
              </w:rPr>
              <w:t>评分因素</w:t>
            </w:r>
          </w:p>
        </w:tc>
        <w:tc>
          <w:tcPr>
            <w:tcW w:w="883" w:type="dxa"/>
            <w:vAlign w:val="top"/>
          </w:tcPr>
          <w:p>
            <w:pPr>
              <w:keepNext w:val="0"/>
              <w:keepLines w:val="0"/>
              <w:pageBreakBefore w:val="0"/>
              <w:kinsoku/>
              <w:wordWrap w:val="0"/>
              <w:overflowPunct/>
              <w:topLinePunct w:val="0"/>
              <w:bidi w:val="0"/>
              <w:spacing w:before="40" w:line="208" w:lineRule="auto"/>
              <w:ind w:firstLine="232" w:firstLineChars="100"/>
              <w:jc w:val="center"/>
              <w:rPr>
                <w:rFonts w:hint="eastAsia" w:ascii="仿宋" w:hAnsi="仿宋" w:eastAsia="仿宋" w:cs="仿宋"/>
                <w:sz w:val="24"/>
                <w:szCs w:val="24"/>
              </w:rPr>
            </w:pPr>
            <w:r>
              <w:rPr>
                <w:rFonts w:hint="eastAsia" w:ascii="仿宋" w:hAnsi="仿宋" w:eastAsia="仿宋" w:cs="仿宋"/>
                <w:spacing w:val="-4"/>
                <w:sz w:val="24"/>
                <w:szCs w:val="24"/>
                <w14:textOutline w14:w="1537" w14:cap="flat" w14:cmpd="sng">
                  <w14:solidFill>
                    <w14:srgbClr w14:val="000000"/>
                  </w14:solidFill>
                  <w14:prstDash w14:val="solid"/>
                  <w14:miter w14:val="0"/>
                </w14:textOutline>
              </w:rPr>
              <w:t>分值</w:t>
            </w:r>
          </w:p>
        </w:tc>
        <w:tc>
          <w:tcPr>
            <w:tcW w:w="1972" w:type="dxa"/>
            <w:vAlign w:val="top"/>
          </w:tcPr>
          <w:p>
            <w:pPr>
              <w:keepNext w:val="0"/>
              <w:keepLines w:val="0"/>
              <w:pageBreakBefore w:val="0"/>
              <w:kinsoku/>
              <w:wordWrap w:val="0"/>
              <w:overflowPunct/>
              <w:topLinePunct w:val="0"/>
              <w:bidi w:val="0"/>
              <w:spacing w:before="40" w:line="208" w:lineRule="auto"/>
              <w:jc w:val="center"/>
              <w:rPr>
                <w:rFonts w:hint="eastAsia" w:ascii="仿宋" w:hAnsi="仿宋" w:eastAsia="仿宋" w:cs="仿宋"/>
                <w:sz w:val="24"/>
                <w:szCs w:val="24"/>
              </w:rPr>
            </w:pPr>
            <w:r>
              <w:rPr>
                <w:rFonts w:hint="eastAsia" w:ascii="仿宋" w:hAnsi="仿宋" w:eastAsia="仿宋" w:cs="仿宋"/>
                <w:spacing w:val="-2"/>
                <w:sz w:val="24"/>
                <w:szCs w:val="24"/>
                <w14:textOutline w14:w="1537" w14:cap="flat" w14:cmpd="sng">
                  <w14:solidFill>
                    <w14:srgbClr w14:val="000000"/>
                  </w14:solidFill>
                  <w14:prstDash w14:val="solid"/>
                  <w14:miter w14:val="0"/>
                </w14:textOutline>
              </w:rPr>
              <w:t>评分标准</w:t>
            </w:r>
          </w:p>
        </w:tc>
        <w:tc>
          <w:tcPr>
            <w:tcW w:w="4461" w:type="dxa"/>
            <w:vAlign w:val="top"/>
          </w:tcPr>
          <w:p>
            <w:pPr>
              <w:keepNext w:val="0"/>
              <w:keepLines w:val="0"/>
              <w:pageBreakBefore w:val="0"/>
              <w:kinsoku/>
              <w:wordWrap w:val="0"/>
              <w:overflowPunct/>
              <w:topLinePunct w:val="0"/>
              <w:bidi w:val="0"/>
              <w:spacing w:before="40" w:line="208" w:lineRule="auto"/>
              <w:jc w:val="center"/>
              <w:rPr>
                <w:rFonts w:hint="eastAsia" w:ascii="仿宋" w:hAnsi="仿宋" w:eastAsia="仿宋" w:cs="仿宋"/>
                <w:sz w:val="24"/>
                <w:szCs w:val="24"/>
              </w:rPr>
            </w:pPr>
            <w:r>
              <w:rPr>
                <w:rFonts w:hint="eastAsia" w:ascii="仿宋" w:hAnsi="仿宋" w:eastAsia="仿宋" w:cs="仿宋"/>
                <w:spacing w:val="-4"/>
                <w:sz w:val="24"/>
                <w:szCs w:val="24"/>
                <w14:textOutline w14:w="1537" w14:cap="flat" w14:cmpd="sng">
                  <w14:solidFill>
                    <w14:srgbClr w14:val="000000"/>
                  </w14:solidFill>
                  <w14:prstDash w14:val="solid"/>
                  <w14:miter w14:val="0"/>
                </w14:textOutline>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39"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lang w:val="en-US" w:eastAsia="zh-CN"/>
              </w:rPr>
            </w:pPr>
          </w:p>
          <w:p>
            <w:pPr>
              <w:pStyle w:val="27"/>
              <w:keepNext w:val="0"/>
              <w:keepLines w:val="0"/>
              <w:pageBreakBefore w:val="0"/>
              <w:kinsoku/>
              <w:wordWrap w:val="0"/>
              <w:overflowPunct/>
              <w:topLinePunct w:val="0"/>
              <w:bidi w:val="0"/>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w:t>
            </w:r>
          </w:p>
        </w:tc>
        <w:tc>
          <w:tcPr>
            <w:tcW w:w="1595" w:type="dxa"/>
            <w:vAlign w:val="center"/>
          </w:tcPr>
          <w:p>
            <w:pPr>
              <w:pStyle w:val="27"/>
              <w:keepNext w:val="0"/>
              <w:keepLines w:val="0"/>
              <w:pageBreakBefore w:val="0"/>
              <w:kinsoku/>
              <w:wordWrap w:val="0"/>
              <w:overflowPunct/>
              <w:topLinePunct w:val="0"/>
              <w:bidi w:val="0"/>
              <w:spacing w:line="295" w:lineRule="auto"/>
              <w:jc w:val="center"/>
              <w:rPr>
                <w:rFonts w:hint="eastAsia" w:ascii="仿宋" w:hAnsi="仿宋" w:eastAsia="仿宋" w:cs="仿宋"/>
              </w:rPr>
            </w:pPr>
          </w:p>
          <w:p>
            <w:pPr>
              <w:keepNext w:val="0"/>
              <w:keepLines w:val="0"/>
              <w:pageBreakBefore w:val="0"/>
              <w:kinsoku/>
              <w:wordWrap w:val="0"/>
              <w:overflowPunct/>
              <w:topLinePunct w:val="0"/>
              <w:bidi w:val="0"/>
              <w:spacing w:before="78" w:line="219" w:lineRule="auto"/>
              <w:jc w:val="center"/>
              <w:rPr>
                <w:rFonts w:hint="eastAsia" w:ascii="仿宋" w:hAnsi="仿宋" w:eastAsia="仿宋" w:cs="仿宋"/>
                <w:sz w:val="24"/>
                <w:szCs w:val="24"/>
              </w:rPr>
            </w:pPr>
            <w:r>
              <w:rPr>
                <w:rFonts w:hint="eastAsia" w:ascii="仿宋" w:hAnsi="仿宋" w:eastAsia="仿宋" w:cs="仿宋"/>
                <w:spacing w:val="-3"/>
                <w:sz w:val="24"/>
                <w:szCs w:val="24"/>
                <w:lang w:val="en-US" w:eastAsia="zh-CN"/>
              </w:rPr>
              <w:t>磋商</w:t>
            </w:r>
            <w:r>
              <w:rPr>
                <w:rFonts w:hint="eastAsia" w:ascii="仿宋" w:hAnsi="仿宋" w:eastAsia="仿宋" w:cs="仿宋"/>
                <w:spacing w:val="-3"/>
                <w:sz w:val="24"/>
                <w:szCs w:val="24"/>
              </w:rPr>
              <w:t>报价</w:t>
            </w: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lang w:val="en-US" w:eastAsia="zh-CN"/>
              </w:rPr>
            </w:pPr>
            <w:r>
              <w:rPr>
                <w:rFonts w:hint="eastAsia" w:ascii="仿宋" w:hAnsi="仿宋" w:eastAsia="仿宋" w:cs="仿宋"/>
                <w:lang w:val="en-US" w:eastAsia="zh-CN"/>
              </w:rPr>
              <w:t>30分</w:t>
            </w:r>
          </w:p>
        </w:tc>
        <w:tc>
          <w:tcPr>
            <w:tcW w:w="1972" w:type="dxa"/>
            <w:vAlign w:val="center"/>
          </w:tcPr>
          <w:p>
            <w:pPr>
              <w:keepNext w:val="0"/>
              <w:keepLines w:val="0"/>
              <w:pageBreakBefore w:val="0"/>
              <w:kinsoku/>
              <w:wordWrap w:val="0"/>
              <w:overflowPunct/>
              <w:topLinePunct w:val="0"/>
              <w:bidi w:val="0"/>
              <w:spacing w:before="191" w:line="235" w:lineRule="auto"/>
              <w:ind w:left="113" w:right="103"/>
              <w:jc w:val="left"/>
              <w:rPr>
                <w:rFonts w:hint="eastAsia" w:ascii="仿宋" w:hAnsi="仿宋" w:eastAsia="仿宋" w:cs="仿宋"/>
                <w:sz w:val="24"/>
                <w:szCs w:val="24"/>
              </w:rPr>
            </w:pPr>
            <w:r>
              <w:rPr>
                <w:rFonts w:hint="eastAsia" w:ascii="仿宋" w:hAnsi="仿宋" w:eastAsia="仿宋" w:cs="仿宋"/>
                <w:spacing w:val="10"/>
                <w:sz w:val="24"/>
                <w:szCs w:val="24"/>
              </w:rPr>
              <w:t>满足</w:t>
            </w:r>
            <w:r>
              <w:rPr>
                <w:rFonts w:hint="eastAsia" w:ascii="仿宋" w:hAnsi="仿宋" w:eastAsia="仿宋" w:cs="仿宋"/>
                <w:snapToGrid w:val="0"/>
                <w:color w:val="000000"/>
                <w:spacing w:val="-2"/>
                <w:kern w:val="0"/>
                <w:sz w:val="24"/>
                <w:szCs w:val="24"/>
                <w:lang w:val="en-US" w:eastAsia="zh-CN" w:bidi="ar-SA"/>
              </w:rPr>
              <w:t>竞争性磋商</w:t>
            </w:r>
            <w:r>
              <w:rPr>
                <w:rFonts w:hint="eastAsia" w:ascii="仿宋" w:hAnsi="仿宋" w:eastAsia="仿宋" w:cs="仿宋"/>
                <w:spacing w:val="10"/>
                <w:sz w:val="24"/>
                <w:szCs w:val="24"/>
              </w:rPr>
              <w:t>文件要求且</w:t>
            </w:r>
            <w:r>
              <w:rPr>
                <w:rFonts w:hint="eastAsia" w:ascii="仿宋" w:hAnsi="仿宋" w:eastAsia="仿宋" w:cs="仿宋"/>
                <w:spacing w:val="10"/>
                <w:sz w:val="24"/>
                <w:szCs w:val="24"/>
                <w:lang w:val="en-US" w:eastAsia="zh-CN"/>
              </w:rPr>
              <w:t>磋商</w:t>
            </w:r>
            <w:r>
              <w:rPr>
                <w:rFonts w:hint="eastAsia" w:ascii="仿宋" w:hAnsi="仿宋" w:eastAsia="仿宋" w:cs="仿宋"/>
                <w:spacing w:val="10"/>
                <w:sz w:val="24"/>
                <w:szCs w:val="24"/>
              </w:rPr>
              <w:t>价格最低</w:t>
            </w:r>
            <w:r>
              <w:rPr>
                <w:rFonts w:hint="eastAsia" w:ascii="仿宋" w:hAnsi="仿宋" w:eastAsia="仿宋" w:cs="仿宋"/>
                <w:spacing w:val="-13"/>
                <w:sz w:val="24"/>
                <w:szCs w:val="24"/>
              </w:rPr>
              <w:t>的</w:t>
            </w:r>
            <w:r>
              <w:rPr>
                <w:rFonts w:hint="eastAsia" w:ascii="仿宋" w:hAnsi="仿宋" w:eastAsia="仿宋" w:cs="仿宋"/>
                <w:spacing w:val="-13"/>
                <w:sz w:val="24"/>
                <w:szCs w:val="24"/>
                <w:lang w:val="en-US" w:eastAsia="zh-CN"/>
              </w:rPr>
              <w:t>磋商</w:t>
            </w:r>
            <w:r>
              <w:rPr>
                <w:rFonts w:hint="eastAsia" w:ascii="仿宋" w:hAnsi="仿宋" w:eastAsia="仿宋" w:cs="仿宋"/>
                <w:spacing w:val="-13"/>
                <w:sz w:val="24"/>
                <w:szCs w:val="24"/>
              </w:rPr>
              <w:t>报价为评标基准价，其价格分</w:t>
            </w:r>
            <w:r>
              <w:rPr>
                <w:rFonts w:hint="eastAsia" w:ascii="仿宋" w:hAnsi="仿宋" w:eastAsia="仿宋" w:cs="仿宋"/>
                <w:spacing w:val="-6"/>
                <w:sz w:val="24"/>
                <w:szCs w:val="24"/>
              </w:rPr>
              <w:t>为满分。其他</w:t>
            </w:r>
            <w:r>
              <w:rPr>
                <w:rFonts w:hint="eastAsia" w:ascii="仿宋" w:hAnsi="仿宋" w:eastAsia="仿宋" w:cs="仿宋"/>
                <w:spacing w:val="2"/>
                <w:sz w:val="24"/>
                <w:szCs w:val="24"/>
              </w:rPr>
              <w:t>供应商</w:t>
            </w:r>
            <w:r>
              <w:rPr>
                <w:rFonts w:hint="eastAsia" w:ascii="仿宋" w:hAnsi="仿宋" w:eastAsia="仿宋" w:cs="仿宋"/>
                <w:spacing w:val="-6"/>
                <w:sz w:val="24"/>
                <w:szCs w:val="24"/>
              </w:rPr>
              <w:t>的价格分统一按</w:t>
            </w:r>
            <w:r>
              <w:rPr>
                <w:rFonts w:hint="eastAsia" w:ascii="仿宋" w:hAnsi="仿宋" w:eastAsia="仿宋" w:cs="仿宋"/>
                <w:spacing w:val="-8"/>
                <w:sz w:val="24"/>
                <w:szCs w:val="24"/>
              </w:rPr>
              <w:t>照下列公式计算：</w:t>
            </w:r>
          </w:p>
          <w:p>
            <w:pPr>
              <w:pStyle w:val="27"/>
              <w:keepNext w:val="0"/>
              <w:keepLines w:val="0"/>
              <w:pageBreakBefore w:val="0"/>
              <w:kinsoku/>
              <w:wordWrap w:val="0"/>
              <w:overflowPunct/>
              <w:topLinePunct w:val="0"/>
              <w:bidi w:val="0"/>
              <w:spacing w:before="26" w:line="228" w:lineRule="auto"/>
              <w:ind w:left="111" w:right="103" w:firstLine="4"/>
              <w:jc w:val="left"/>
              <w:rPr>
                <w:rFonts w:hint="eastAsia" w:ascii="仿宋" w:hAnsi="仿宋" w:eastAsia="仿宋" w:cs="仿宋"/>
                <w:sz w:val="24"/>
                <w:szCs w:val="24"/>
              </w:rPr>
            </w:pPr>
            <w:r>
              <w:rPr>
                <w:rFonts w:hint="eastAsia" w:ascii="仿宋" w:hAnsi="仿宋" w:eastAsia="仿宋" w:cs="仿宋"/>
                <w:spacing w:val="7"/>
                <w:sz w:val="24"/>
                <w:szCs w:val="24"/>
                <w:lang w:val="en-US" w:eastAsia="zh-CN"/>
              </w:rPr>
              <w:t>磋商</w:t>
            </w:r>
            <w:r>
              <w:rPr>
                <w:rFonts w:hint="eastAsia" w:ascii="仿宋" w:hAnsi="仿宋" w:eastAsia="仿宋" w:cs="仿宋"/>
                <w:spacing w:val="7"/>
                <w:sz w:val="24"/>
                <w:szCs w:val="24"/>
              </w:rPr>
              <w:t>报价得分</w:t>
            </w:r>
            <w:r>
              <w:rPr>
                <w:rFonts w:hint="eastAsia" w:ascii="仿宋" w:hAnsi="仿宋" w:eastAsia="仿宋" w:cs="仿宋"/>
                <w:spacing w:val="-8"/>
                <w:sz w:val="24"/>
                <w:szCs w:val="24"/>
              </w:rPr>
              <w:t>＝（</w:t>
            </w:r>
            <w:r>
              <w:rPr>
                <w:rFonts w:hint="eastAsia" w:ascii="仿宋" w:hAnsi="仿宋" w:eastAsia="仿宋" w:cs="仿宋"/>
                <w:spacing w:val="7"/>
                <w:sz w:val="24"/>
                <w:szCs w:val="24"/>
              </w:rPr>
              <w:t>评标基准价/</w:t>
            </w:r>
            <w:r>
              <w:rPr>
                <w:rFonts w:hint="eastAsia" w:ascii="仿宋" w:hAnsi="仿宋" w:eastAsia="仿宋" w:cs="仿宋"/>
                <w:spacing w:val="7"/>
                <w:sz w:val="24"/>
                <w:szCs w:val="24"/>
                <w:lang w:val="en-US" w:eastAsia="zh-CN"/>
              </w:rPr>
              <w:t>磋商</w:t>
            </w:r>
            <w:r>
              <w:rPr>
                <w:rFonts w:hint="eastAsia" w:ascii="仿宋" w:hAnsi="仿宋" w:eastAsia="仿宋" w:cs="仿宋"/>
                <w:spacing w:val="-12"/>
                <w:sz w:val="24"/>
                <w:szCs w:val="24"/>
              </w:rPr>
              <w:t>报价）×</w:t>
            </w:r>
            <w:r>
              <w:rPr>
                <w:rFonts w:hint="eastAsia" w:ascii="仿宋" w:hAnsi="仿宋" w:eastAsia="仿宋" w:cs="仿宋"/>
                <w:spacing w:val="-12"/>
                <w:sz w:val="24"/>
                <w:szCs w:val="24"/>
                <w:lang w:val="en-US" w:eastAsia="zh-CN"/>
              </w:rPr>
              <w:t>30</w:t>
            </w:r>
            <w:r>
              <w:rPr>
                <w:rFonts w:hint="eastAsia" w:ascii="仿宋" w:hAnsi="仿宋" w:eastAsia="仿宋" w:cs="仿宋"/>
                <w:spacing w:val="-12"/>
                <w:sz w:val="24"/>
                <w:szCs w:val="24"/>
              </w:rPr>
              <w:t>。</w:t>
            </w:r>
          </w:p>
        </w:tc>
        <w:tc>
          <w:tcPr>
            <w:tcW w:w="4461" w:type="dxa"/>
            <w:vAlign w:val="center"/>
          </w:tcPr>
          <w:p>
            <w:pPr>
              <w:keepNext w:val="0"/>
              <w:keepLines w:val="0"/>
              <w:pageBreakBefore w:val="0"/>
              <w:kinsoku/>
              <w:wordWrap w:val="0"/>
              <w:overflowPunct/>
              <w:topLinePunct w:val="0"/>
              <w:bidi w:val="0"/>
              <w:spacing w:before="191" w:line="235" w:lineRule="auto"/>
              <w:ind w:left="113" w:right="103"/>
              <w:jc w:val="both"/>
              <w:rPr>
                <w:rFonts w:hint="eastAsia" w:ascii="仿宋" w:hAnsi="仿宋" w:eastAsia="仿宋" w:cs="仿宋"/>
                <w:sz w:val="24"/>
                <w:szCs w:val="24"/>
              </w:rPr>
            </w:pPr>
            <w:r>
              <w:rPr>
                <w:rFonts w:hint="eastAsia" w:ascii="仿宋" w:hAnsi="仿宋" w:eastAsia="仿宋" w:cs="仿宋"/>
                <w:spacing w:val="-13"/>
                <w:sz w:val="24"/>
                <w:szCs w:val="24"/>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仿宋" w:hAnsi="仿宋" w:eastAsia="仿宋" w:cs="仿宋"/>
                <w:snapToGrid w:val="0"/>
                <w:color w:val="000000"/>
                <w:spacing w:val="-1"/>
                <w:kern w:val="0"/>
                <w:sz w:val="24"/>
                <w:szCs w:val="24"/>
                <w:lang w:val="en-US" w:eastAsia="zh-CN" w:bidi="ar-SA"/>
              </w:rPr>
              <w:t>响应</w:t>
            </w:r>
            <w:r>
              <w:rPr>
                <w:rFonts w:hint="eastAsia" w:ascii="仿宋" w:hAnsi="仿宋" w:eastAsia="仿宋" w:cs="仿宋"/>
                <w:spacing w:val="-13"/>
                <w:sz w:val="24"/>
                <w:szCs w:val="24"/>
                <w:lang w:eastAsia="zh-CN"/>
              </w:rPr>
              <w:t>文件中提交了《</w:t>
            </w:r>
            <w:r>
              <w:rPr>
                <w:rFonts w:hint="eastAsia" w:ascii="仿宋" w:hAnsi="仿宋" w:eastAsia="仿宋" w:cs="仿宋"/>
                <w:spacing w:val="2"/>
                <w:sz w:val="24"/>
                <w:szCs w:val="24"/>
              </w:rPr>
              <w:t>供应商</w:t>
            </w:r>
            <w:r>
              <w:rPr>
                <w:rFonts w:hint="eastAsia" w:ascii="仿宋" w:hAnsi="仿宋" w:eastAsia="仿宋" w:cs="仿宋"/>
                <w:spacing w:val="-13"/>
                <w:sz w:val="24"/>
                <w:szCs w:val="24"/>
                <w:lang w:eastAsia="zh-CN"/>
              </w:rPr>
              <w:t>企业类型声明函》或《残疾人福利性单位声明函》或省级以上监狱管理局、戒毒管理局（含新疆生产建设兵团）出具的属于监狱企业的证明文件的</w:t>
            </w:r>
            <w:r>
              <w:rPr>
                <w:rFonts w:hint="eastAsia" w:ascii="仿宋" w:hAnsi="仿宋" w:eastAsia="仿宋" w:cs="仿宋"/>
                <w:spacing w:val="2"/>
                <w:sz w:val="24"/>
                <w:szCs w:val="24"/>
              </w:rPr>
              <w:t>供应商</w:t>
            </w:r>
            <w:r>
              <w:rPr>
                <w:rFonts w:hint="eastAsia" w:ascii="仿宋" w:hAnsi="仿宋" w:eastAsia="仿宋" w:cs="仿宋"/>
                <w:spacing w:val="-13"/>
                <w:sz w:val="24"/>
                <w:szCs w:val="24"/>
                <w:lang w:eastAsia="zh-CN"/>
              </w:rPr>
              <w:t>，其</w:t>
            </w:r>
            <w:r>
              <w:rPr>
                <w:rFonts w:hint="eastAsia" w:ascii="仿宋" w:hAnsi="仿宋" w:eastAsia="仿宋" w:cs="仿宋"/>
                <w:spacing w:val="-13"/>
                <w:sz w:val="24"/>
                <w:szCs w:val="24"/>
                <w:lang w:val="en-US" w:eastAsia="zh-CN"/>
              </w:rPr>
              <w:t>磋商</w:t>
            </w:r>
            <w:r>
              <w:rPr>
                <w:rFonts w:hint="eastAsia" w:ascii="仿宋" w:hAnsi="仿宋" w:eastAsia="仿宋" w:cs="仿宋"/>
                <w:spacing w:val="-13"/>
                <w:sz w:val="24"/>
                <w:szCs w:val="24"/>
                <w:lang w:eastAsia="zh-CN"/>
              </w:rPr>
              <w:t>报价扣除</w:t>
            </w:r>
            <w:r>
              <w:rPr>
                <w:rFonts w:hint="eastAsia" w:ascii="仿宋" w:hAnsi="仿宋" w:eastAsia="仿宋" w:cs="仿宋"/>
                <w:color w:val="auto"/>
                <w:spacing w:val="-13"/>
                <w:sz w:val="24"/>
                <w:szCs w:val="24"/>
                <w:u w:val="single"/>
                <w:lang w:val="en-US" w:eastAsia="zh-CN"/>
              </w:rPr>
              <w:t xml:space="preserve">  10  </w:t>
            </w:r>
            <w:r>
              <w:rPr>
                <w:rFonts w:hint="eastAsia" w:ascii="仿宋" w:hAnsi="仿宋" w:eastAsia="仿宋" w:cs="仿宋"/>
                <w:spacing w:val="-13"/>
                <w:sz w:val="24"/>
                <w:szCs w:val="24"/>
                <w:lang w:eastAsia="zh-CN"/>
              </w:rPr>
              <w:t>%后参与评审。对于同时属于小微企业、监狱企业或残疾人福利性单位的，不重复进行</w:t>
            </w:r>
            <w:r>
              <w:rPr>
                <w:rFonts w:hint="eastAsia" w:ascii="仿宋" w:hAnsi="仿宋" w:eastAsia="仿宋" w:cs="仿宋"/>
                <w:spacing w:val="-13"/>
                <w:sz w:val="24"/>
                <w:szCs w:val="24"/>
                <w:lang w:val="en-US" w:eastAsia="zh-CN"/>
              </w:rPr>
              <w:t>磋商</w:t>
            </w:r>
            <w:r>
              <w:rPr>
                <w:rFonts w:hint="eastAsia" w:ascii="仿宋" w:hAnsi="仿宋" w:eastAsia="仿宋" w:cs="仿宋"/>
                <w:spacing w:val="-13"/>
                <w:sz w:val="24"/>
                <w:szCs w:val="24"/>
                <w:lang w:eastAsia="zh-CN"/>
              </w:rPr>
              <w:t>报价扣除。（</w:t>
            </w:r>
            <w:r>
              <w:rPr>
                <w:rFonts w:hint="eastAsia" w:ascii="仿宋" w:hAnsi="仿宋" w:eastAsia="仿宋" w:cs="仿宋"/>
                <w:spacing w:val="-13"/>
                <w:sz w:val="24"/>
                <w:szCs w:val="24"/>
                <w:lang w:val="en-US" w:eastAsia="zh-CN"/>
              </w:rPr>
              <w:t>专门面向中小企业的项目除外</w:t>
            </w:r>
            <w:r>
              <w:rPr>
                <w:rFonts w:hint="eastAsia" w:ascii="仿宋" w:hAnsi="仿宋" w:eastAsia="仿宋" w:cs="仿宋"/>
                <w:spacing w:val="-1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napToGrid w:val="0"/>
                <w:color w:val="000000"/>
                <w:spacing w:val="-13"/>
                <w:kern w:val="0"/>
                <w:sz w:val="24"/>
                <w:szCs w:val="24"/>
                <w:lang w:val="en-US" w:eastAsia="zh-CN" w:bidi="ar-SA"/>
              </w:rPr>
              <w:t>2</w:t>
            </w:r>
          </w:p>
        </w:tc>
        <w:tc>
          <w:tcPr>
            <w:tcW w:w="1595" w:type="dxa"/>
            <w:vMerge w:val="restart"/>
            <w:vAlign w:val="center"/>
          </w:tcPr>
          <w:p>
            <w:pPr>
              <w:keepNext w:val="0"/>
              <w:keepLines w:val="0"/>
              <w:pageBreakBefore w:val="0"/>
              <w:kinsoku/>
              <w:wordWrap w:val="0"/>
              <w:overflowPunct/>
              <w:topLinePunct w:val="0"/>
              <w:bidi w:val="0"/>
              <w:spacing w:before="78" w:line="219" w:lineRule="auto"/>
              <w:ind w:firstLine="214" w:firstLineChars="10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napToGrid w:val="0"/>
                <w:color w:val="000000"/>
                <w:spacing w:val="-13"/>
                <w:kern w:val="0"/>
                <w:sz w:val="24"/>
                <w:szCs w:val="24"/>
                <w:lang w:val="en-US" w:eastAsia="zh-CN" w:bidi="ar-SA"/>
              </w:rPr>
              <w:t>技术标评分标准</w:t>
            </w: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施工方案和技术措施</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w:t>
            </w:r>
            <w:r>
              <w:rPr>
                <w:rFonts w:hint="eastAsia" w:ascii="仿宋" w:hAnsi="仿宋" w:eastAsia="仿宋" w:cs="仿宋"/>
                <w:spacing w:val="0"/>
                <w:sz w:val="24"/>
                <w:szCs w:val="24"/>
                <w:lang w:val="zh-CN" w:eastAsia="zh-CN"/>
              </w:rPr>
              <w:t>施工方案和技术措施</w:t>
            </w:r>
            <w:r>
              <w:rPr>
                <w:rFonts w:hint="eastAsia" w:ascii="仿宋" w:hAnsi="仿宋" w:eastAsia="仿宋" w:cs="仿宋"/>
                <w:spacing w:val="0"/>
                <w:sz w:val="24"/>
                <w:szCs w:val="24"/>
                <w:lang w:val="en-US" w:eastAsia="zh-CN"/>
              </w:rPr>
              <w:t>内容合理、针对性强，得8分；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w:t>
            </w:r>
            <w:r>
              <w:rPr>
                <w:rFonts w:hint="eastAsia" w:ascii="仿宋" w:hAnsi="仿宋" w:eastAsia="仿宋" w:cs="仿宋"/>
                <w:spacing w:val="0"/>
                <w:sz w:val="24"/>
                <w:szCs w:val="24"/>
                <w:lang w:val="zh-CN" w:eastAsia="zh-CN"/>
              </w:rPr>
              <w:t>施工方案和技术措施</w:t>
            </w:r>
            <w:r>
              <w:rPr>
                <w:rFonts w:hint="eastAsia" w:ascii="仿宋" w:hAnsi="仿宋" w:eastAsia="仿宋" w:cs="仿宋"/>
                <w:spacing w:val="0"/>
                <w:sz w:val="24"/>
                <w:szCs w:val="24"/>
                <w:lang w:val="en-US" w:eastAsia="zh-CN"/>
              </w:rPr>
              <w:t>内容较合理、但针对性不强，较完整得5分；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三档：</w:t>
            </w:r>
            <w:r>
              <w:rPr>
                <w:rFonts w:hint="eastAsia" w:ascii="仿宋" w:hAnsi="仿宋" w:eastAsia="仿宋" w:cs="仿宋"/>
                <w:spacing w:val="0"/>
                <w:sz w:val="24"/>
                <w:szCs w:val="24"/>
                <w:lang w:val="zh-CN" w:eastAsia="zh-CN"/>
              </w:rPr>
              <w:t>施工方案和技术措施</w:t>
            </w:r>
            <w:r>
              <w:rPr>
                <w:rFonts w:hint="eastAsia" w:ascii="仿宋" w:hAnsi="仿宋" w:eastAsia="仿宋" w:cs="仿宋"/>
                <w:spacing w:val="0"/>
                <w:sz w:val="24"/>
                <w:szCs w:val="24"/>
                <w:lang w:val="en-US" w:eastAsia="zh-CN"/>
              </w:rPr>
              <w:t>内容欠合理、针对性不强，不完整得3分。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rPr>
              <w:t>未提供或提供的内容完全与本项目无关的，得0分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质量管理体系与措施</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一档：质量体系与措施合理、针对性强，完整得8分；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二档：质量体系与措施较合理、但针对性不强，较完整得5分；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三档：质量体系与措施欠合理、针对性不强，不完整得3分。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rPr>
              <w:t>未提供或提供的内容完全与本项目无关的，得0分</w:t>
            </w:r>
            <w:r>
              <w:rPr>
                <w:rFonts w:hint="eastAsia" w:ascii="仿宋" w:hAnsi="仿宋" w:eastAsia="仿宋" w:cs="仿宋"/>
                <w:spacing w:val="0"/>
                <w:sz w:val="24"/>
                <w:szCs w:val="24"/>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安全管理体系与措施</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一档：安全体系与措施合理、针对性强，完整得8分；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二档：安全体系与措施较合理、但针对性不强，较完整得5分；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三档：安全体系与措施欠合理、针对性不强，不完整得3分。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rPr>
              <w:t>未提供或提供的内容完全与本项目无关的，得0分</w:t>
            </w:r>
            <w:r>
              <w:rPr>
                <w:rFonts w:hint="eastAsia" w:ascii="仿宋" w:hAnsi="仿宋" w:eastAsia="仿宋" w:cs="仿宋"/>
                <w:spacing w:val="0"/>
                <w:sz w:val="24"/>
                <w:szCs w:val="24"/>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工程进度计划与措施</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snapToGrid w:val="0"/>
                <w:color w:val="000000"/>
                <w:spacing w:val="0"/>
                <w:kern w:val="0"/>
                <w:sz w:val="24"/>
                <w:szCs w:val="24"/>
                <w:lang w:val="en-US" w:eastAsia="en-US" w:bidi="ar-SA"/>
              </w:rPr>
            </w:pPr>
          </w:p>
        </w:tc>
        <w:tc>
          <w:tcPr>
            <w:tcW w:w="4461" w:type="dxa"/>
            <w:vAlign w:val="center"/>
          </w:tcPr>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一档：进度计划与措施合理、针对性强，完整得8分；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二档：进度计划与措施较合理、但针对性不强，较完整得5分；</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 xml:space="preserve">三档：进度计划与措施欠合理、针对性不强，不完整得3分。 </w:t>
            </w:r>
          </w:p>
          <w:p>
            <w:pPr>
              <w:pStyle w:val="28"/>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pacing w:val="0"/>
                <w:sz w:val="24"/>
                <w:szCs w:val="24"/>
                <w:lang w:val="en-US" w:eastAsia="zh-CN"/>
              </w:rPr>
              <w:t xml:space="preserve">未提供或提供的内容完全与本项目无关的，得0分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8分</w:t>
            </w:r>
          </w:p>
        </w:tc>
        <w:tc>
          <w:tcPr>
            <w:tcW w:w="1972" w:type="dxa"/>
            <w:vAlign w:val="center"/>
          </w:tcPr>
          <w:p>
            <w:pPr>
              <w:pStyle w:val="21"/>
              <w:spacing w:line="240" w:lineRule="atLeast"/>
              <w:jc w:val="center"/>
              <w:rPr>
                <w:rFonts w:hint="eastAsia" w:ascii="仿宋" w:hAnsi="仿宋" w:eastAsia="仿宋" w:cs="仿宋"/>
                <w:snapToGrid w:val="0"/>
                <w:color w:val="000000"/>
                <w:spacing w:val="0"/>
                <w:kern w:val="0"/>
                <w:sz w:val="24"/>
                <w:szCs w:val="24"/>
                <w:lang w:val="en-US" w:eastAsia="en-US" w:bidi="ar-SA"/>
              </w:rPr>
            </w:pPr>
            <w:r>
              <w:rPr>
                <w:rFonts w:hint="eastAsia" w:ascii="宋体" w:hAnsi="宋体" w:eastAsia="仿宋" w:cs="宋体"/>
                <w:color w:val="auto"/>
                <w:kern w:val="0"/>
                <w:sz w:val="24"/>
                <w:szCs w:val="21"/>
                <w:highlight w:val="none"/>
                <w:lang w:val="en-US" w:eastAsia="zh-CN" w:bidi="zh-CN"/>
              </w:rPr>
              <w:t>拟投入资源配备计划（含项目组成员）</w:t>
            </w:r>
          </w:p>
        </w:tc>
        <w:tc>
          <w:tcPr>
            <w:tcW w:w="4461" w:type="dxa"/>
            <w:vAlign w:val="center"/>
          </w:tcPr>
          <w:p>
            <w:pPr>
              <w:pStyle w:val="21"/>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一档：资源计划和成员配备合理、符合项目实际，完整</w:t>
            </w:r>
            <w:r>
              <w:rPr>
                <w:rFonts w:hint="eastAsia" w:ascii="宋体" w:hAnsi="宋体" w:eastAsia="仿宋" w:cs="宋体"/>
                <w:color w:val="auto"/>
                <w:kern w:val="0"/>
                <w:sz w:val="24"/>
                <w:szCs w:val="21"/>
                <w:highlight w:val="none"/>
                <w:lang w:val="en-US" w:eastAsia="zh-CN" w:bidi="zh-CN"/>
              </w:rPr>
              <w:t>8分</w:t>
            </w:r>
            <w:r>
              <w:rPr>
                <w:rFonts w:hint="eastAsia" w:hAnsi="宋体" w:eastAsia="仿宋" w:cs="宋体"/>
                <w:color w:val="auto"/>
                <w:kern w:val="0"/>
                <w:sz w:val="24"/>
                <w:szCs w:val="21"/>
                <w:highlight w:val="none"/>
                <w:lang w:val="en-US" w:eastAsia="zh-CN" w:bidi="zh-CN"/>
              </w:rPr>
              <w:t>；</w:t>
            </w:r>
          </w:p>
          <w:p>
            <w:pPr>
              <w:pStyle w:val="21"/>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二档：资源计划和成员配备较合理，较符合项目实际，较完整</w:t>
            </w:r>
            <w:r>
              <w:rPr>
                <w:rFonts w:hint="eastAsia" w:ascii="宋体" w:hAnsi="宋体" w:eastAsia="仿宋" w:cs="宋体"/>
                <w:color w:val="auto"/>
                <w:kern w:val="0"/>
                <w:sz w:val="24"/>
                <w:szCs w:val="21"/>
                <w:highlight w:val="none"/>
                <w:lang w:val="en-US" w:eastAsia="zh-CN" w:bidi="zh-CN"/>
              </w:rPr>
              <w:t>5分</w:t>
            </w:r>
            <w:r>
              <w:rPr>
                <w:rFonts w:hint="eastAsia" w:hAnsi="宋体" w:eastAsia="仿宋" w:cs="宋体"/>
                <w:color w:val="auto"/>
                <w:kern w:val="0"/>
                <w:sz w:val="24"/>
                <w:szCs w:val="21"/>
                <w:highlight w:val="none"/>
                <w:lang w:val="en-US" w:eastAsia="zh-CN" w:bidi="zh-CN"/>
              </w:rPr>
              <w:t>；</w:t>
            </w:r>
          </w:p>
          <w:p>
            <w:pPr>
              <w:pStyle w:val="21"/>
              <w:spacing w:line="240" w:lineRule="atLeast"/>
              <w:jc w:val="left"/>
              <w:rPr>
                <w:rFonts w:hint="eastAsia" w:ascii="宋体"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三档：资源计划和成员配备欠合理，基本符合项目实际，不完整</w:t>
            </w:r>
            <w:r>
              <w:rPr>
                <w:rFonts w:hint="eastAsia" w:ascii="宋体" w:hAnsi="宋体" w:eastAsia="仿宋" w:cs="宋体"/>
                <w:color w:val="auto"/>
                <w:kern w:val="0"/>
                <w:sz w:val="24"/>
                <w:szCs w:val="21"/>
                <w:highlight w:val="none"/>
                <w:lang w:val="en-US" w:eastAsia="zh-CN" w:bidi="zh-CN"/>
              </w:rPr>
              <w:t xml:space="preserve">3分。 </w:t>
            </w:r>
          </w:p>
          <w:p>
            <w:pPr>
              <w:rPr>
                <w:rFonts w:hint="eastAsia" w:ascii="仿宋" w:hAnsi="仿宋" w:eastAsia="仿宋" w:cs="仿宋"/>
                <w:snapToGrid w:val="0"/>
                <w:color w:val="000000"/>
                <w:spacing w:val="0"/>
                <w:kern w:val="0"/>
                <w:sz w:val="24"/>
                <w:szCs w:val="24"/>
                <w:lang w:val="en-US" w:eastAsia="en-US" w:bidi="ar-SA"/>
              </w:rPr>
            </w:pPr>
            <w:r>
              <w:rPr>
                <w:rFonts w:hint="eastAsia" w:hAnsi="宋体" w:eastAsia="仿宋" w:cs="宋体"/>
                <w:color w:val="auto"/>
                <w:kern w:val="0"/>
                <w:sz w:val="24"/>
                <w:szCs w:val="21"/>
                <w:highlight w:val="none"/>
                <w:lang w:val="en-US" w:eastAsia="zh-CN" w:bidi="zh-CN"/>
              </w:rPr>
              <w:t>未提供或提供的内容完全与本项目无关的，得0分。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219" w:lineRule="auto"/>
              <w:ind w:firstLine="214" w:firstLineChars="100"/>
              <w:jc w:val="both"/>
              <w:rPr>
                <w:rFonts w:hint="eastAsia" w:ascii="仿宋" w:hAnsi="仿宋" w:eastAsia="仿宋" w:cs="仿宋"/>
                <w:snapToGrid w:val="0"/>
                <w:color w:val="000000"/>
                <w:spacing w:val="-13"/>
                <w:kern w:val="0"/>
                <w:sz w:val="24"/>
                <w:szCs w:val="24"/>
                <w:lang w:val="en-US" w:eastAsia="zh-CN" w:bidi="ar-SA"/>
              </w:rPr>
            </w:pP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pacing w:val="0"/>
                <w:sz w:val="24"/>
                <w:szCs w:val="24"/>
                <w:lang w:val="en-US" w:eastAsia="zh-CN"/>
              </w:rPr>
              <w:t>5分</w:t>
            </w:r>
          </w:p>
        </w:tc>
        <w:tc>
          <w:tcPr>
            <w:tcW w:w="1972" w:type="dxa"/>
            <w:vAlign w:val="center"/>
          </w:tcPr>
          <w:p>
            <w:pPr>
              <w:pStyle w:val="21"/>
              <w:spacing w:line="240" w:lineRule="atLeast"/>
              <w:jc w:val="center"/>
              <w:rPr>
                <w:rFonts w:hint="default" w:ascii="仿宋" w:hAnsi="仿宋" w:eastAsia="仿宋" w:cs="仿宋"/>
                <w:snapToGrid w:val="0"/>
                <w:color w:val="000000"/>
                <w:spacing w:val="0"/>
                <w:kern w:val="0"/>
                <w:sz w:val="24"/>
                <w:szCs w:val="24"/>
                <w:lang w:val="en-US" w:eastAsia="en-US" w:bidi="ar-SA"/>
              </w:rPr>
            </w:pPr>
            <w:r>
              <w:rPr>
                <w:rFonts w:hint="eastAsia" w:hAnsi="宋体" w:eastAsia="仿宋" w:cs="宋体"/>
                <w:color w:val="auto"/>
                <w:kern w:val="0"/>
                <w:sz w:val="24"/>
                <w:szCs w:val="21"/>
                <w:highlight w:val="none"/>
                <w:lang w:val="en-US" w:eastAsia="zh-CN" w:bidi="zh-CN"/>
              </w:rPr>
              <w:t xml:space="preserve">内容完整性和编制水平（评委根据技术方案内容进行评分） </w:t>
            </w:r>
          </w:p>
        </w:tc>
        <w:tc>
          <w:tcPr>
            <w:tcW w:w="4461" w:type="dxa"/>
            <w:vAlign w:val="center"/>
          </w:tcPr>
          <w:p>
            <w:pPr>
              <w:pStyle w:val="21"/>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一档：内容合理、针对性强，得5分；</w:t>
            </w:r>
          </w:p>
          <w:p>
            <w:pPr>
              <w:pStyle w:val="21"/>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二档：内容较合理、但针对性不强，较完整得4分；</w:t>
            </w:r>
          </w:p>
          <w:p>
            <w:pPr>
              <w:pStyle w:val="21"/>
              <w:spacing w:line="240" w:lineRule="atLeast"/>
              <w:jc w:val="left"/>
              <w:rPr>
                <w:rFonts w:hint="eastAsia" w:hAnsi="宋体" w:eastAsia="仿宋" w:cs="宋体"/>
                <w:color w:val="auto"/>
                <w:kern w:val="0"/>
                <w:sz w:val="24"/>
                <w:szCs w:val="21"/>
                <w:highlight w:val="none"/>
                <w:lang w:val="en-US" w:eastAsia="zh-CN" w:bidi="zh-CN"/>
              </w:rPr>
            </w:pPr>
            <w:r>
              <w:rPr>
                <w:rFonts w:hint="eastAsia" w:hAnsi="宋体" w:eastAsia="仿宋" w:cs="宋体"/>
                <w:color w:val="auto"/>
                <w:kern w:val="0"/>
                <w:sz w:val="24"/>
                <w:szCs w:val="21"/>
                <w:highlight w:val="none"/>
                <w:lang w:val="en-US" w:eastAsia="zh-CN" w:bidi="zh-CN"/>
              </w:rPr>
              <w:t xml:space="preserve">三档：内容欠合理、针对性不强，不完整得1分。 </w:t>
            </w:r>
          </w:p>
          <w:p>
            <w:pPr>
              <w:rPr>
                <w:rFonts w:hint="eastAsia" w:ascii="仿宋" w:hAnsi="仿宋" w:eastAsia="仿宋" w:cs="仿宋"/>
                <w:snapToGrid w:val="0"/>
                <w:color w:val="000000"/>
                <w:spacing w:val="0"/>
                <w:kern w:val="0"/>
                <w:sz w:val="24"/>
                <w:szCs w:val="24"/>
                <w:lang w:val="en-US" w:eastAsia="en-US" w:bidi="ar-SA"/>
              </w:rPr>
            </w:pPr>
            <w:r>
              <w:rPr>
                <w:rFonts w:hint="eastAsia" w:hAnsi="宋体" w:eastAsia="仿宋" w:cs="宋体"/>
                <w:color w:val="auto"/>
                <w:kern w:val="0"/>
                <w:sz w:val="24"/>
                <w:szCs w:val="21"/>
                <w:highlight w:val="none"/>
                <w:lang w:val="en-US" w:eastAsia="zh-CN" w:bidi="zh-CN"/>
              </w:rPr>
              <w:t>未提供或提供的内容完全与本项目无关的，得0分。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kern w:val="0"/>
                <w:sz w:val="21"/>
                <w:szCs w:val="21"/>
                <w:lang w:val="en-US" w:eastAsia="zh-CN" w:bidi="ar-SA"/>
              </w:rPr>
            </w:pPr>
            <w:r>
              <w:rPr>
                <w:rFonts w:hint="eastAsia" w:ascii="仿宋" w:hAnsi="仿宋" w:eastAsia="仿宋" w:cs="仿宋"/>
                <w:lang w:val="en-US" w:eastAsia="zh-CN"/>
              </w:rPr>
              <w:t>3</w:t>
            </w:r>
          </w:p>
        </w:tc>
        <w:tc>
          <w:tcPr>
            <w:tcW w:w="1595" w:type="dxa"/>
            <w:vMerge w:val="restart"/>
            <w:vAlign w:val="center"/>
          </w:tcPr>
          <w:p>
            <w:pPr>
              <w:keepNext w:val="0"/>
              <w:keepLines w:val="0"/>
              <w:pageBreakBefore w:val="0"/>
              <w:kinsoku/>
              <w:wordWrap w:val="0"/>
              <w:overflowPunct/>
              <w:topLinePunct w:val="0"/>
              <w:bidi w:val="0"/>
              <w:spacing w:before="157" w:line="220" w:lineRule="auto"/>
              <w:ind w:left="148" w:leftChars="0"/>
              <w:jc w:val="both"/>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color w:val="auto"/>
                <w:kern w:val="0"/>
                <w:sz w:val="24"/>
                <w:szCs w:val="21"/>
                <w:highlight w:val="none"/>
                <w:lang w:val="en-US" w:eastAsia="zh-CN" w:bidi="zh-CN"/>
              </w:rPr>
              <w:t>综合标部分</w:t>
            </w:r>
          </w:p>
        </w:tc>
        <w:tc>
          <w:tcPr>
            <w:tcW w:w="883" w:type="dxa"/>
            <w:vAlign w:val="center"/>
          </w:tcPr>
          <w:p>
            <w:pPr>
              <w:pStyle w:val="27"/>
              <w:keepNext w:val="0"/>
              <w:keepLines w:val="0"/>
              <w:pageBreakBefore w:val="0"/>
              <w:kinsoku/>
              <w:wordWrap w:val="0"/>
              <w:overflowPunct/>
              <w:topLinePunct w:val="0"/>
              <w:bidi w:val="0"/>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napToGrid w:val="0"/>
                <w:color w:val="000000"/>
                <w:spacing w:val="-13"/>
                <w:kern w:val="0"/>
                <w:sz w:val="24"/>
                <w:szCs w:val="24"/>
                <w:lang w:val="en-US" w:eastAsia="zh-CN" w:bidi="ar-SA"/>
              </w:rPr>
              <w:t>2分</w:t>
            </w:r>
          </w:p>
        </w:tc>
        <w:tc>
          <w:tcPr>
            <w:tcW w:w="1972" w:type="dxa"/>
            <w:vAlign w:val="center"/>
          </w:tcPr>
          <w:p>
            <w:pPr>
              <w:pStyle w:val="21"/>
              <w:spacing w:line="240" w:lineRule="atLeast"/>
              <w:jc w:val="left"/>
              <w:rPr>
                <w:rFonts w:hint="eastAsia" w:ascii="仿宋" w:hAnsi="仿宋" w:eastAsia="仿宋" w:cs="仿宋"/>
                <w:snapToGrid w:val="0"/>
                <w:color w:val="000000"/>
                <w:spacing w:val="-13"/>
                <w:kern w:val="0"/>
                <w:sz w:val="24"/>
                <w:szCs w:val="24"/>
                <w:lang w:val="en-US" w:eastAsia="en-US" w:bidi="ar-SA"/>
              </w:rPr>
            </w:pPr>
            <w:r>
              <w:rPr>
                <w:rFonts w:hint="eastAsia" w:ascii="仿宋" w:hAnsi="仿宋" w:eastAsia="仿宋" w:cs="仿宋"/>
                <w:color w:val="auto"/>
                <w:kern w:val="0"/>
                <w:sz w:val="24"/>
                <w:szCs w:val="21"/>
                <w:highlight w:val="none"/>
                <w:lang w:val="en-US" w:eastAsia="zh-CN" w:bidi="zh-CN"/>
              </w:rPr>
              <w:t>投标人的业绩、类似工程经历0-2分</w:t>
            </w:r>
          </w:p>
        </w:tc>
        <w:tc>
          <w:tcPr>
            <w:tcW w:w="4461" w:type="dxa"/>
            <w:vAlign w:val="center"/>
          </w:tcPr>
          <w:p>
            <w:pPr>
              <w:pStyle w:val="21"/>
              <w:spacing w:line="240" w:lineRule="atLeast"/>
              <w:jc w:val="left"/>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color w:val="auto"/>
                <w:kern w:val="0"/>
                <w:sz w:val="24"/>
                <w:szCs w:val="21"/>
                <w:highlight w:val="none"/>
                <w:lang w:val="en-US" w:eastAsia="zh-CN" w:bidi="zh-CN"/>
              </w:rPr>
              <w:t>2021年1月1日（合同签订时间）以来，承担过类似工程施工，每有1项得1分，最多得2分。否则不计分。投标文件中提供中标通知书、合同复印件，否则不得分；注：需提供合同（响应文件中附扫描件）。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220" w:lineRule="auto"/>
              <w:ind w:left="148" w:leftChars="0"/>
              <w:jc w:val="both"/>
              <w:rPr>
                <w:rFonts w:hint="eastAsia" w:ascii="仿宋" w:hAnsi="仿宋" w:eastAsia="仿宋" w:cs="仿宋"/>
                <w:spacing w:val="-2"/>
                <w:sz w:val="24"/>
                <w:szCs w:val="24"/>
                <w:lang w:val="en-US" w:eastAsia="zh-CN"/>
              </w:rPr>
            </w:pPr>
          </w:p>
        </w:tc>
        <w:tc>
          <w:tcPr>
            <w:tcW w:w="883" w:type="dxa"/>
            <w:vAlign w:val="center"/>
          </w:tcPr>
          <w:p>
            <w:pPr>
              <w:pStyle w:val="27"/>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仿宋" w:hAnsi="仿宋" w:eastAsia="仿宋" w:cs="仿宋"/>
                <w:snapToGrid w:val="0"/>
                <w:color w:val="000000"/>
                <w:spacing w:val="0"/>
                <w:kern w:val="0"/>
                <w:sz w:val="24"/>
                <w:szCs w:val="24"/>
                <w:lang w:val="en-US" w:eastAsia="en-US" w:bidi="ar-SA"/>
              </w:rPr>
            </w:pPr>
            <w:r>
              <w:rPr>
                <w:rFonts w:hint="eastAsia" w:ascii="仿宋" w:hAnsi="仿宋" w:eastAsia="仿宋" w:cs="仿宋"/>
                <w:snapToGrid w:val="0"/>
                <w:color w:val="000000"/>
                <w:spacing w:val="0"/>
                <w:kern w:val="0"/>
                <w:sz w:val="24"/>
                <w:szCs w:val="24"/>
                <w:lang w:val="en-US" w:eastAsia="zh-CN" w:bidi="ar-SA"/>
              </w:rPr>
              <w:t>15分</w:t>
            </w:r>
          </w:p>
        </w:tc>
        <w:tc>
          <w:tcPr>
            <w:tcW w:w="1972" w:type="dxa"/>
            <w:vAlign w:val="center"/>
          </w:tcPr>
          <w:p>
            <w:pPr>
              <w:autoSpaceDE w:val="0"/>
              <w:autoSpaceDN w:val="0"/>
              <w:adjustRightInd w:val="0"/>
              <w:spacing w:line="320" w:lineRule="exact"/>
              <w:rPr>
                <w:rFonts w:hint="eastAsia" w:ascii="仿宋" w:hAnsi="仿宋" w:eastAsia="仿宋" w:cs="仿宋"/>
                <w:snapToGrid w:val="0"/>
                <w:color w:val="000000"/>
                <w:spacing w:val="0"/>
                <w:kern w:val="0"/>
                <w:sz w:val="24"/>
                <w:szCs w:val="24"/>
                <w:highlight w:val="yellow"/>
                <w:lang w:val="en-US" w:eastAsia="en-US" w:bidi="ar-SA"/>
              </w:rPr>
            </w:pPr>
            <w:r>
              <w:rPr>
                <w:rFonts w:hint="eastAsia" w:ascii="仿宋" w:hAnsi="仿宋" w:eastAsia="仿宋" w:cs="仿宋"/>
                <w:color w:val="auto"/>
                <w:kern w:val="0"/>
                <w:sz w:val="24"/>
                <w:szCs w:val="21"/>
                <w:highlight w:val="none"/>
                <w:lang w:val="en-US" w:eastAsia="zh-CN" w:bidi="zh-CN"/>
              </w:rPr>
              <w:t>服务承诺（0-15分）</w:t>
            </w:r>
          </w:p>
        </w:tc>
        <w:tc>
          <w:tcPr>
            <w:tcW w:w="4461" w:type="dxa"/>
            <w:vAlign w:val="center"/>
          </w:tcPr>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 xml:space="preserve">1、有关于不拖欠农民工资的实质性承诺得5分，没有得0分； </w:t>
            </w:r>
          </w:p>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 xml:space="preserve">2、有保证连续施工的实质性承诺情况得5分，没有得0分； </w:t>
            </w:r>
          </w:p>
          <w:p>
            <w:pPr>
              <w:autoSpaceDE w:val="0"/>
              <w:autoSpaceDN w:val="0"/>
              <w:adjustRightInd w:val="0"/>
              <w:spacing w:line="320" w:lineRule="exact"/>
              <w:rPr>
                <w:rFonts w:hint="eastAsia" w:ascii="仿宋" w:hAnsi="仿宋" w:eastAsia="仿宋" w:cs="仿宋"/>
                <w:snapToGrid w:val="0"/>
                <w:color w:val="000000"/>
                <w:spacing w:val="0"/>
                <w:kern w:val="0"/>
                <w:sz w:val="24"/>
                <w:szCs w:val="24"/>
                <w:highlight w:val="yellow"/>
                <w:lang w:val="en-US" w:eastAsia="zh-CN" w:bidi="ar-SA"/>
              </w:rPr>
            </w:pPr>
            <w:r>
              <w:rPr>
                <w:rFonts w:hint="eastAsia" w:ascii="仿宋" w:hAnsi="仿宋" w:eastAsia="仿宋" w:cs="仿宋"/>
                <w:color w:val="auto"/>
                <w:kern w:val="0"/>
                <w:sz w:val="24"/>
                <w:szCs w:val="21"/>
                <w:highlight w:val="none"/>
                <w:lang w:val="en-US" w:eastAsia="zh-CN" w:bidi="zh-CN"/>
              </w:rPr>
              <w:t xml:space="preserve">3、有其他实质性承诺情况得5分，没有得0分；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7"/>
              <w:keepNext w:val="0"/>
              <w:keepLines w:val="0"/>
              <w:pageBreakBefore w:val="0"/>
              <w:kinsoku/>
              <w:wordWrap w:val="0"/>
              <w:overflowPunct/>
              <w:topLinePunct w:val="0"/>
              <w:bidi w:val="0"/>
              <w:jc w:val="center"/>
              <w:rPr>
                <w:rFonts w:hint="eastAsia" w:ascii="仿宋" w:hAnsi="仿宋" w:eastAsia="仿宋" w:cs="仿宋"/>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220" w:lineRule="auto"/>
              <w:ind w:left="148" w:leftChars="0"/>
              <w:jc w:val="both"/>
              <w:rPr>
                <w:rFonts w:hint="eastAsia" w:ascii="仿宋" w:hAnsi="仿宋" w:eastAsia="仿宋" w:cs="仿宋"/>
                <w:spacing w:val="-2"/>
                <w:sz w:val="24"/>
                <w:szCs w:val="24"/>
                <w:lang w:val="en-US" w:eastAsia="zh-CN"/>
              </w:rPr>
            </w:pPr>
          </w:p>
        </w:tc>
        <w:tc>
          <w:tcPr>
            <w:tcW w:w="883" w:type="dxa"/>
            <w:vAlign w:val="center"/>
          </w:tcPr>
          <w:p>
            <w:pPr>
              <w:pStyle w:val="27"/>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仿宋" w:hAnsi="仿宋" w:eastAsia="仿宋" w:cs="仿宋"/>
                <w:snapToGrid w:val="0"/>
                <w:color w:val="000000"/>
                <w:spacing w:val="0"/>
                <w:kern w:val="0"/>
                <w:sz w:val="24"/>
                <w:szCs w:val="24"/>
                <w:lang w:val="en-US" w:eastAsia="zh-CN" w:bidi="ar-SA"/>
              </w:rPr>
            </w:pPr>
            <w:r>
              <w:rPr>
                <w:rFonts w:hint="eastAsia" w:ascii="仿宋" w:hAnsi="仿宋" w:eastAsia="仿宋" w:cs="仿宋"/>
                <w:snapToGrid w:val="0"/>
                <w:color w:val="000000"/>
                <w:spacing w:val="0"/>
                <w:kern w:val="0"/>
                <w:sz w:val="24"/>
                <w:szCs w:val="24"/>
                <w:lang w:val="en-US" w:eastAsia="zh-CN" w:bidi="ar-SA"/>
              </w:rPr>
              <w:t>8分</w:t>
            </w:r>
          </w:p>
        </w:tc>
        <w:tc>
          <w:tcPr>
            <w:tcW w:w="1972" w:type="dxa"/>
            <w:vAlign w:val="center"/>
          </w:tcPr>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 xml:space="preserve">响应文件总体评价 </w:t>
            </w:r>
          </w:p>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1"/>
                <w:highlight w:val="none"/>
                <w:lang w:val="en-US" w:eastAsia="zh-CN" w:bidi="zh-CN"/>
              </w:rPr>
              <w:t>（0-8分）</w:t>
            </w:r>
          </w:p>
        </w:tc>
        <w:tc>
          <w:tcPr>
            <w:tcW w:w="4461" w:type="dxa"/>
            <w:vAlign w:val="center"/>
          </w:tcPr>
          <w:p>
            <w:pPr>
              <w:autoSpaceDE w:val="0"/>
              <w:autoSpaceDN w:val="0"/>
              <w:adjustRightInd w:val="0"/>
              <w:spacing w:line="320" w:lineRule="exact"/>
              <w:rPr>
                <w:rFonts w:hint="eastAsia" w:ascii="仿宋" w:hAnsi="仿宋" w:eastAsia="仿宋" w:cs="仿宋"/>
                <w:color w:val="auto"/>
                <w:kern w:val="0"/>
                <w:sz w:val="24"/>
                <w:szCs w:val="24"/>
                <w:highlight w:val="none"/>
                <w:lang w:val="en-US" w:eastAsia="zh-CN" w:bidi="zh-CN"/>
              </w:rPr>
            </w:pPr>
            <w:r>
              <w:rPr>
                <w:rFonts w:hint="eastAsia" w:ascii="仿宋" w:hAnsi="仿宋" w:eastAsia="仿宋" w:cs="仿宋"/>
                <w:color w:val="auto"/>
                <w:kern w:val="0"/>
                <w:sz w:val="24"/>
                <w:szCs w:val="24"/>
                <w:highlight w:val="none"/>
                <w:lang w:val="en-US" w:eastAsia="zh-CN" w:bidi="zh-CN"/>
              </w:rPr>
              <w:t>评委会根据投标人的投标文件完整性，商务响应及技术应答是否具体、详实进行打分：</w:t>
            </w:r>
          </w:p>
          <w:p>
            <w:pPr>
              <w:autoSpaceDE w:val="0"/>
              <w:autoSpaceDN w:val="0"/>
              <w:adjustRightInd w:val="0"/>
              <w:spacing w:line="320" w:lineRule="exact"/>
              <w:rPr>
                <w:rFonts w:hint="eastAsia" w:ascii="仿宋" w:hAnsi="仿宋" w:eastAsia="仿宋" w:cs="仿宋"/>
                <w:color w:val="auto"/>
                <w:kern w:val="0"/>
                <w:sz w:val="24"/>
                <w:szCs w:val="24"/>
                <w:highlight w:val="none"/>
                <w:lang w:val="en-US" w:eastAsia="zh-CN" w:bidi="zh-CN"/>
              </w:rPr>
            </w:pPr>
            <w:r>
              <w:rPr>
                <w:rFonts w:hint="eastAsia" w:ascii="仿宋" w:hAnsi="仿宋" w:eastAsia="仿宋" w:cs="仿宋"/>
                <w:color w:val="auto"/>
                <w:kern w:val="0"/>
                <w:sz w:val="24"/>
                <w:szCs w:val="24"/>
                <w:highlight w:val="none"/>
                <w:lang w:val="en-US" w:eastAsia="zh-CN" w:bidi="zh-CN"/>
              </w:rPr>
              <w:t>1.投标文件完整，商务响应及技术应答具体、详实得5-8分；</w:t>
            </w:r>
          </w:p>
          <w:p>
            <w:pPr>
              <w:autoSpaceDE w:val="0"/>
              <w:autoSpaceDN w:val="0"/>
              <w:adjustRightInd w:val="0"/>
              <w:spacing w:line="320" w:lineRule="exact"/>
              <w:rPr>
                <w:rFonts w:hint="eastAsia" w:ascii="仿宋" w:hAnsi="仿宋" w:eastAsia="仿宋" w:cs="仿宋"/>
                <w:color w:val="auto"/>
                <w:kern w:val="0"/>
                <w:sz w:val="24"/>
                <w:szCs w:val="24"/>
                <w:highlight w:val="none"/>
                <w:lang w:val="en-US" w:eastAsia="zh-CN" w:bidi="zh-CN"/>
              </w:rPr>
            </w:pPr>
            <w:r>
              <w:rPr>
                <w:rFonts w:hint="eastAsia" w:ascii="仿宋" w:hAnsi="仿宋" w:eastAsia="仿宋" w:cs="仿宋"/>
                <w:color w:val="auto"/>
                <w:kern w:val="0"/>
                <w:sz w:val="24"/>
                <w:szCs w:val="24"/>
                <w:highlight w:val="none"/>
                <w:lang w:val="en-US" w:eastAsia="zh-CN" w:bidi="zh-CN"/>
              </w:rPr>
              <w:t>2.投标文件较完整，商务响应及技术应答较具体、详实得2-4分；</w:t>
            </w:r>
          </w:p>
          <w:p>
            <w:pPr>
              <w:autoSpaceDE w:val="0"/>
              <w:autoSpaceDN w:val="0"/>
              <w:adjustRightInd w:val="0"/>
              <w:spacing w:line="320" w:lineRule="exact"/>
              <w:rPr>
                <w:rFonts w:hint="eastAsia" w:ascii="仿宋" w:hAnsi="仿宋" w:eastAsia="仿宋" w:cs="仿宋"/>
                <w:color w:val="auto"/>
                <w:kern w:val="0"/>
                <w:sz w:val="24"/>
                <w:szCs w:val="21"/>
                <w:highlight w:val="none"/>
                <w:lang w:val="en-US" w:eastAsia="zh-CN" w:bidi="zh-CN"/>
              </w:rPr>
            </w:pPr>
            <w:r>
              <w:rPr>
                <w:rFonts w:hint="eastAsia" w:ascii="仿宋" w:hAnsi="仿宋" w:eastAsia="仿宋" w:cs="仿宋"/>
                <w:color w:val="auto"/>
                <w:kern w:val="0"/>
                <w:sz w:val="24"/>
                <w:szCs w:val="24"/>
                <w:highlight w:val="none"/>
                <w:lang w:val="en-US" w:eastAsia="zh-CN" w:bidi="zh-CN"/>
              </w:rPr>
              <w:t>3.投标文件不完整，商务响应及技术应答不具体、详实得0-1分；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434" w:type="dxa"/>
            <w:gridSpan w:val="2"/>
            <w:vAlign w:val="top"/>
          </w:tcPr>
          <w:p>
            <w:pPr>
              <w:keepNext w:val="0"/>
              <w:keepLines w:val="0"/>
              <w:pageBreakBefore w:val="0"/>
              <w:kinsoku/>
              <w:wordWrap w:val="0"/>
              <w:overflowPunct/>
              <w:topLinePunct w:val="0"/>
              <w:bidi w:val="0"/>
              <w:spacing w:before="42" w:line="206" w:lineRule="auto"/>
              <w:ind w:left="932"/>
              <w:jc w:val="both"/>
              <w:rPr>
                <w:rFonts w:hint="eastAsia" w:ascii="仿宋" w:hAnsi="仿宋" w:eastAsia="仿宋" w:cs="仿宋"/>
                <w:sz w:val="24"/>
                <w:szCs w:val="24"/>
              </w:rPr>
            </w:pPr>
            <w:r>
              <w:rPr>
                <w:rFonts w:hint="eastAsia" w:ascii="仿宋" w:hAnsi="仿宋" w:eastAsia="仿宋" w:cs="仿宋"/>
                <w:spacing w:val="-3"/>
                <w:sz w:val="24"/>
                <w:szCs w:val="24"/>
              </w:rPr>
              <w:t>合计</w:t>
            </w:r>
          </w:p>
        </w:tc>
        <w:tc>
          <w:tcPr>
            <w:tcW w:w="883" w:type="dxa"/>
            <w:vAlign w:val="top"/>
          </w:tcPr>
          <w:p>
            <w:pPr>
              <w:pStyle w:val="27"/>
              <w:keepNext w:val="0"/>
              <w:keepLines w:val="0"/>
              <w:pageBreakBefore w:val="0"/>
              <w:kinsoku/>
              <w:wordWrap w:val="0"/>
              <w:overflowPunct/>
              <w:topLinePunct w:val="0"/>
              <w:bidi w:val="0"/>
              <w:spacing w:before="59" w:line="202" w:lineRule="auto"/>
              <w:ind w:left="265"/>
              <w:jc w:val="both"/>
              <w:rPr>
                <w:rFonts w:hint="eastAsia" w:ascii="仿宋" w:hAnsi="仿宋" w:eastAsia="仿宋" w:cs="仿宋"/>
                <w:sz w:val="24"/>
                <w:szCs w:val="24"/>
              </w:rPr>
            </w:pPr>
            <w:r>
              <w:rPr>
                <w:rFonts w:hint="eastAsia" w:ascii="仿宋" w:hAnsi="仿宋" w:eastAsia="仿宋" w:cs="仿宋"/>
                <w:spacing w:val="9"/>
                <w:sz w:val="24"/>
                <w:szCs w:val="24"/>
              </w:rPr>
              <w:t>100</w:t>
            </w:r>
          </w:p>
        </w:tc>
        <w:tc>
          <w:tcPr>
            <w:tcW w:w="6433" w:type="dxa"/>
            <w:gridSpan w:val="2"/>
            <w:vAlign w:val="top"/>
          </w:tcPr>
          <w:p>
            <w:pPr>
              <w:pStyle w:val="27"/>
              <w:keepNext w:val="0"/>
              <w:keepLines w:val="0"/>
              <w:pageBreakBefore w:val="0"/>
              <w:kinsoku/>
              <w:wordWrap w:val="0"/>
              <w:overflowPunct/>
              <w:topLinePunct w:val="0"/>
              <w:bidi w:val="0"/>
              <w:jc w:val="both"/>
              <w:rPr>
                <w:rFonts w:hint="eastAsia" w:ascii="仿宋" w:hAnsi="仿宋" w:eastAsia="仿宋" w:cs="仿宋"/>
              </w:rPr>
            </w:pPr>
          </w:p>
        </w:tc>
      </w:tr>
    </w:tbl>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备注：严格执行《南阳市政府采购负面清单》，根据实际项目需要设置科学合理的评分因素及分值。</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有下列情况之一的，</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宣布本项目终止：</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11.1 </w:t>
      </w:r>
      <w:r>
        <w:rPr>
          <w:rFonts w:hint="eastAsia" w:ascii="宋体" w:hAnsi="宋体" w:eastAsia="宋体" w:cs="宋体"/>
          <w:snapToGrid w:val="0"/>
          <w:color w:val="000000"/>
          <w:kern w:val="0"/>
          <w:sz w:val="24"/>
          <w:szCs w:val="24"/>
          <w:lang w:val="en-US" w:eastAsia="en-US" w:bidi="ar-SA"/>
        </w:rPr>
        <w:t>因情况变化，不再符合规定的竞争性磋商采购方式适用情形的；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11.2 </w:t>
      </w:r>
      <w:r>
        <w:rPr>
          <w:rFonts w:hint="eastAsia" w:ascii="宋体" w:hAnsi="宋体" w:eastAsia="宋体" w:cs="宋体"/>
          <w:snapToGrid w:val="0"/>
          <w:color w:val="000000"/>
          <w:kern w:val="0"/>
          <w:sz w:val="24"/>
          <w:szCs w:val="24"/>
          <w:lang w:val="en-US" w:eastAsia="en-US" w:bidi="ar-SA"/>
        </w:rPr>
        <w:t>出现影响采购公正的违法、违规行为的；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11.3 </w:t>
      </w:r>
      <w:r>
        <w:rPr>
          <w:rFonts w:hint="eastAsia" w:ascii="宋体" w:hAnsi="宋体" w:eastAsia="宋体" w:cs="宋体"/>
          <w:snapToGrid w:val="0"/>
          <w:color w:val="000000"/>
          <w:kern w:val="0"/>
          <w:sz w:val="24"/>
          <w:szCs w:val="24"/>
          <w:lang w:val="en-US" w:eastAsia="en-US" w:bidi="ar-SA"/>
        </w:rPr>
        <w:t>法律法规规定的其他情况。</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lang w:val="en-US" w:eastAsia="zh-CN"/>
        </w:rPr>
      </w:pPr>
      <w:r>
        <w:rPr>
          <w:rFonts w:hint="eastAsia" w:ascii="宋体" w:hAnsi="宋体" w:eastAsia="宋体" w:cs="宋体"/>
          <w:snapToGrid w:val="0"/>
          <w:color w:val="000000"/>
          <w:kern w:val="0"/>
          <w:sz w:val="24"/>
          <w:szCs w:val="24"/>
          <w:lang w:val="en-US" w:eastAsia="zh-CN" w:bidi="ar-SA"/>
        </w:rPr>
        <w:t>12.</w:t>
      </w:r>
      <w:r>
        <w:rPr>
          <w:rFonts w:hint="eastAsia" w:ascii="宋体" w:hAnsi="宋体" w:eastAsia="宋体" w:cs="宋体"/>
          <w:snapToGrid w:val="0"/>
          <w:color w:val="000000"/>
          <w:kern w:val="0"/>
          <w:sz w:val="24"/>
          <w:szCs w:val="24"/>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w:t>
      </w:r>
      <w:r>
        <w:rPr>
          <w:rFonts w:hint="eastAsia" w:asciiTheme="minorEastAsia" w:hAnsiTheme="minorEastAsia" w:eastAsiaTheme="minorEastAsia" w:cstheme="minorEastAsia"/>
          <w:spacing w:val="-13"/>
          <w:sz w:val="24"/>
          <w:szCs w:val="24"/>
          <w:lang w:val="en-US" w:eastAsia="zh-CN"/>
        </w:rPr>
        <w:t>15</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napToGrid w:val="0"/>
          <w:color w:val="000000"/>
          <w:kern w:val="0"/>
          <w:sz w:val="24"/>
          <w:szCs w:val="24"/>
          <w:lang w:val="en-US" w:eastAsia="en-US" w:bidi="ar-SA"/>
        </w:rPr>
        <w:t>124号）等规定执行。</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snapToGrid w:val="0"/>
          <w:color w:val="000000"/>
          <w:kern w:val="0"/>
          <w:sz w:val="24"/>
          <w:szCs w:val="24"/>
          <w:lang w:val="en-US" w:eastAsia="en-US" w:bidi="ar-SA"/>
        </w:rPr>
      </w:pPr>
      <w:bookmarkStart w:id="31" w:name="_Toc14600"/>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bookmarkEnd w:id="31"/>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将在“河南省政府采购网”和“</w:t>
      </w:r>
      <w:r>
        <w:rPr>
          <w:rFonts w:hint="eastAsia" w:ascii="宋体" w:hAnsi="宋体" w:eastAsia="宋体" w:cs="宋体"/>
          <w:snapToGrid w:val="0"/>
          <w:color w:val="000000"/>
          <w:kern w:val="0"/>
          <w:sz w:val="24"/>
          <w:szCs w:val="24"/>
          <w:lang w:val="en-US" w:eastAsia="zh-CN" w:bidi="ar-SA"/>
        </w:rPr>
        <w:t>唐河县</w:t>
      </w:r>
      <w:r>
        <w:rPr>
          <w:rFonts w:hint="eastAsia" w:ascii="宋体" w:hAnsi="宋体" w:eastAsia="宋体" w:cs="宋体"/>
          <w:snapToGrid w:val="0"/>
          <w:color w:val="000000"/>
          <w:kern w:val="0"/>
          <w:sz w:val="24"/>
          <w:szCs w:val="24"/>
          <w:lang w:val="en-US" w:eastAsia="en-US" w:bidi="ar-SA"/>
        </w:rPr>
        <w:t>公共资源交易中心网”上发布成交公告。</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w:t>
      </w:r>
      <w:r>
        <w:rPr>
          <w:rFonts w:hint="eastAsia" w:ascii="宋体" w:hAnsi="宋体" w:eastAsia="宋体" w:cs="宋体"/>
          <w:snapToGrid w:val="0"/>
          <w:color w:val="000000"/>
          <w:kern w:val="0"/>
          <w:sz w:val="24"/>
          <w:szCs w:val="24"/>
          <w:lang w:val="en-US" w:eastAsia="zh-CN" w:bidi="ar-SA"/>
        </w:rPr>
        <w:t>唐河县</w:t>
      </w:r>
      <w:r>
        <w:rPr>
          <w:rFonts w:hint="eastAsia" w:ascii="宋体" w:hAnsi="宋体" w:eastAsia="宋体" w:cs="宋体"/>
          <w:snapToGrid w:val="0"/>
          <w:color w:val="000000"/>
          <w:kern w:val="0"/>
          <w:sz w:val="24"/>
          <w:szCs w:val="24"/>
          <w:lang w:val="en-US" w:eastAsia="en-US" w:bidi="ar-SA"/>
        </w:rPr>
        <w:t>公共资源交易中心</w:t>
      </w:r>
      <w:r>
        <w:rPr>
          <w:rFonts w:hint="eastAsia" w:ascii="宋体" w:hAnsi="宋体" w:eastAsia="宋体" w:cs="宋体"/>
          <w:snapToGrid w:val="0"/>
          <w:color w:val="000000"/>
          <w:kern w:val="0"/>
          <w:sz w:val="24"/>
          <w:szCs w:val="24"/>
          <w:lang w:val="en-US" w:eastAsia="zh-CN" w:bidi="ar-SA"/>
        </w:rPr>
        <w:t>公共服务平台</w:t>
      </w:r>
      <w:r>
        <w:rPr>
          <w:rFonts w:hint="eastAsia" w:ascii="宋体" w:hAnsi="宋体" w:eastAsia="宋体" w:cs="宋体"/>
          <w:snapToGrid w:val="0"/>
          <w:color w:val="000000"/>
          <w:kern w:val="0"/>
          <w:sz w:val="24"/>
          <w:szCs w:val="24"/>
          <w:lang w:val="en-US" w:eastAsia="en-US" w:bidi="ar-SA"/>
        </w:rPr>
        <w:t>”向成交供应商发出电子成交通知书，成交供应商可登陆</w:t>
      </w:r>
      <w:r>
        <w:rPr>
          <w:rFonts w:hint="eastAsia" w:ascii="宋体" w:hAnsi="宋体" w:eastAsia="宋体" w:cs="宋体"/>
          <w:snapToGrid w:val="0"/>
          <w:color w:val="000000"/>
          <w:kern w:val="0"/>
          <w:sz w:val="24"/>
          <w:szCs w:val="24"/>
          <w:lang w:val="en-US" w:eastAsia="zh-CN" w:bidi="ar-SA"/>
        </w:rPr>
        <w:t>唐河县公共资源交易平台会员系统</w:t>
      </w:r>
      <w:r>
        <w:rPr>
          <w:rFonts w:hint="eastAsia" w:ascii="宋体" w:hAnsi="宋体" w:eastAsia="宋体" w:cs="宋体"/>
          <w:snapToGrid w:val="0"/>
          <w:color w:val="000000"/>
          <w:kern w:val="0"/>
          <w:sz w:val="24"/>
          <w:szCs w:val="24"/>
          <w:lang w:val="en-US" w:eastAsia="en-US" w:bidi="ar-SA"/>
        </w:rPr>
        <w:t>，自行打印加盖电子签章的成交通知书。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签订政府采购合同，逾期无故不签订的，按《政府采购竞争性磋商采购方式管理暂行办法》及有关规定处理。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竞争性磋商文件、响应文件、供应商在磋商过程中的承诺以及确认材料，均为合同的有效组成部分。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如果成交供应商不按其响应文件承诺和竞争性磋商文件要求签订政府采购合同，采购人将取消其成交资格。</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b/>
          <w:bCs/>
          <w:snapToGrid w:val="0"/>
          <w:color w:val="000000"/>
          <w:kern w:val="0"/>
          <w:sz w:val="24"/>
          <w:szCs w:val="24"/>
          <w:lang w:val="en-US" w:eastAsia="en-US" w:bidi="ar-SA"/>
        </w:rPr>
      </w:pPr>
      <w:bookmarkStart w:id="32" w:name="_Toc32673"/>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bookmarkEnd w:id="32"/>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唐河县</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公共资源交易系统并电话通知到项目负责人。</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b/>
          <w:bCs/>
          <w:snapToGrid w:val="0"/>
          <w:color w:val="000000"/>
          <w:kern w:val="0"/>
          <w:sz w:val="24"/>
          <w:szCs w:val="24"/>
          <w:lang w:val="en-US" w:eastAsia="en-US" w:bidi="ar-SA"/>
        </w:rPr>
      </w:pPr>
      <w:bookmarkStart w:id="33" w:name="_Toc5287"/>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bookmarkEnd w:id="33"/>
    </w:p>
    <w:p>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供应商必须由法定代表人或授权代表参加磋商，随时接受磋商小组的询问、质疑，并按照磋商小组的要求答复。</w:t>
      </w:r>
    </w:p>
    <w:p>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供应商自行承担参加竞争性磋商的全部费用。</w:t>
      </w:r>
    </w:p>
    <w:p>
      <w:pPr>
        <w:keepNext w:val="0"/>
        <w:keepLines w:val="0"/>
        <w:pageBreakBefore w:val="0"/>
        <w:widowControl/>
        <w:kinsoku/>
        <w:wordWrap w:val="0"/>
        <w:overflowPunct/>
        <w:topLinePunct w:val="0"/>
        <w:autoSpaceDE w:val="0"/>
        <w:autoSpaceDN w:val="0"/>
        <w:bidi w:val="0"/>
        <w:adjustRightInd w:val="0"/>
        <w:snapToGrid w:val="0"/>
        <w:spacing w:line="560" w:lineRule="exact"/>
        <w:ind w:firstLine="480"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本竞争性磋商文件最终解释权归</w:t>
      </w:r>
      <w:r>
        <w:rPr>
          <w:rFonts w:hint="eastAsia" w:ascii="宋体" w:hAnsi="宋体" w:eastAsia="宋体" w:cs="宋体"/>
          <w:snapToGrid w:val="0"/>
          <w:color w:val="000000"/>
          <w:kern w:val="0"/>
          <w:sz w:val="24"/>
          <w:szCs w:val="24"/>
          <w:lang w:val="en-US" w:eastAsia="zh-CN" w:bidi="ar-SA"/>
        </w:rPr>
        <w:t>采购代理机构</w:t>
      </w:r>
      <w:r>
        <w:rPr>
          <w:rFonts w:hint="eastAsia" w:ascii="宋体" w:hAnsi="宋体" w:eastAsia="宋体" w:cs="宋体"/>
          <w:snapToGrid w:val="0"/>
          <w:color w:val="000000"/>
          <w:kern w:val="0"/>
          <w:sz w:val="24"/>
          <w:szCs w:val="24"/>
          <w:lang w:val="en-US" w:eastAsia="en-US" w:bidi="ar-SA"/>
        </w:rPr>
        <w:t>。</w:t>
      </w:r>
    </w:p>
    <w:p>
      <w:pP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bookmarkStart w:id="34" w:name="_Toc29335"/>
    </w:p>
    <w:p>
      <w:pPr>
        <w:pStyle w:val="2"/>
        <w:rPr>
          <w:rFonts w:hint="eastAsia"/>
          <w:lang w:val="en-US" w:eastAsia="zh-CN"/>
        </w:rPr>
      </w:pPr>
    </w:p>
    <w:p>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唐河县政府采购合同融资政策告知函</w:t>
      </w:r>
      <w:bookmarkEnd w:id="34"/>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bookmarkStart w:id="35" w:name="_Toc15215"/>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2"/>
        <w:ind w:left="0" w:leftChars="0" w:firstLine="0" w:firstLineChars="0"/>
        <w:rPr>
          <w:rFonts w:hint="eastAsia"/>
        </w:rPr>
      </w:pPr>
    </w:p>
    <w:p>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ascii="Arial"/>
          <w:sz w:val="21"/>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bookmarkEnd w:id="3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center"/>
        <w:textAlignment w:val="auto"/>
        <w:rPr>
          <w:rFonts w:hint="eastAsia"/>
          <w:sz w:val="24"/>
          <w:szCs w:val="24"/>
        </w:rPr>
      </w:pPr>
      <w:bookmarkStart w:id="36" w:name="_Toc25052_WPSOffice_Level1"/>
      <w:bookmarkStart w:id="37" w:name="_Toc32620"/>
      <w:bookmarkStart w:id="38" w:name="_Toc22497_WPSOffice_Level2"/>
      <w:bookmarkStart w:id="39" w:name="_Toc23433_WPSOffice_Level2"/>
      <w:bookmarkStart w:id="40" w:name="_Toc15882"/>
      <w:bookmarkStart w:id="41" w:name="_Toc30188_WPSOffice_Level2"/>
      <w:bookmarkStart w:id="42" w:name="_Toc23567_WPSOffice_Level2"/>
      <w:bookmarkStart w:id="43" w:name="_Toc2983_WPSOffice_Level2"/>
      <w:bookmarkStart w:id="44" w:name="_Toc30530_WPSOffice_Level2"/>
      <w:r>
        <w:rPr>
          <w:rFonts w:hint="eastAsia"/>
          <w:sz w:val="24"/>
          <w:szCs w:val="24"/>
        </w:rPr>
        <w:t>（以签订正式合同时为准）</w:t>
      </w:r>
      <w:bookmarkEnd w:id="36"/>
      <w:bookmarkEnd w:id="37"/>
      <w:bookmarkEnd w:id="38"/>
      <w:bookmarkEnd w:id="39"/>
      <w:bookmarkEnd w:id="40"/>
      <w:bookmarkEnd w:id="41"/>
      <w:bookmarkEnd w:id="42"/>
      <w:bookmarkEnd w:id="43"/>
      <w:bookmarkEnd w:id="4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《中华人民共和国招标投标法》、《中华人民共和国政府采购法》和其他法律、法规的规定，并按照公正、平等、自愿、诚实信用的原则，同意按照以下条款和条件，签署本合同。</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5" w:name="_Toc22466_WPSOffice_Level2"/>
      <w:r>
        <w:rPr>
          <w:rFonts w:hint="eastAsia" w:eastAsia="宋体"/>
          <w:sz w:val="24"/>
          <w:szCs w:val="24"/>
          <w:lang w:val="en-US" w:eastAsia="zh-CN"/>
        </w:rPr>
        <w:t>一、</w:t>
      </w:r>
      <w:r>
        <w:rPr>
          <w:rFonts w:hint="eastAsia"/>
          <w:sz w:val="24"/>
          <w:szCs w:val="24"/>
        </w:rPr>
        <w:t>合同文件</w:t>
      </w:r>
      <w:bookmarkEnd w:id="4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6" w:name="_Toc25689"/>
      <w:bookmarkStart w:id="47" w:name="_Toc20611"/>
      <w:r>
        <w:rPr>
          <w:rFonts w:hint="eastAsia"/>
          <w:sz w:val="24"/>
          <w:szCs w:val="24"/>
        </w:rPr>
        <w:t>本合同所附下列文件是构成本合同不可分割的部分：</w:t>
      </w:r>
      <w:bookmarkEnd w:id="46"/>
      <w:bookmarkEnd w:id="47"/>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8" w:name="_Toc12304"/>
      <w:bookmarkStart w:id="49" w:name="_Toc25255"/>
      <w:r>
        <w:rPr>
          <w:rFonts w:hint="eastAsia"/>
          <w:sz w:val="24"/>
          <w:szCs w:val="24"/>
        </w:rPr>
        <w:t>（一）本项目</w:t>
      </w:r>
      <w:r>
        <w:rPr>
          <w:rFonts w:hint="eastAsia"/>
          <w:sz w:val="24"/>
          <w:szCs w:val="24"/>
          <w:lang w:val="en-US" w:eastAsia="zh-CN"/>
        </w:rPr>
        <w:t>磋商</w:t>
      </w:r>
      <w:r>
        <w:rPr>
          <w:rFonts w:hint="eastAsia"/>
          <w:sz w:val="24"/>
          <w:szCs w:val="24"/>
        </w:rPr>
        <w:t>文件</w:t>
      </w:r>
      <w:bookmarkEnd w:id="48"/>
      <w:bookmarkEnd w:id="4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0" w:name="_Toc3310"/>
      <w:bookmarkStart w:id="51" w:name="_Toc8524"/>
      <w:r>
        <w:rPr>
          <w:rFonts w:hint="eastAsia"/>
          <w:sz w:val="24"/>
          <w:szCs w:val="24"/>
        </w:rPr>
        <w:t>（二）</w:t>
      </w:r>
      <w:r>
        <w:rPr>
          <w:rFonts w:hint="eastAsia"/>
          <w:sz w:val="24"/>
          <w:szCs w:val="24"/>
          <w:lang w:val="en-US" w:eastAsia="zh-CN"/>
        </w:rPr>
        <w:t>供应商</w:t>
      </w:r>
      <w:r>
        <w:rPr>
          <w:rFonts w:hint="eastAsia"/>
          <w:sz w:val="24"/>
          <w:szCs w:val="24"/>
        </w:rPr>
        <w:t>的</w:t>
      </w:r>
      <w:r>
        <w:rPr>
          <w:rFonts w:hint="eastAsia"/>
          <w:sz w:val="24"/>
          <w:szCs w:val="24"/>
          <w:lang w:val="en-US" w:eastAsia="zh-CN"/>
        </w:rPr>
        <w:t>响应</w:t>
      </w:r>
      <w:r>
        <w:rPr>
          <w:rFonts w:hint="eastAsia"/>
          <w:sz w:val="24"/>
          <w:szCs w:val="24"/>
        </w:rPr>
        <w:t>文件</w:t>
      </w:r>
      <w:bookmarkEnd w:id="50"/>
      <w:bookmarkEnd w:id="51"/>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2" w:name="_Toc11043"/>
      <w:bookmarkStart w:id="53" w:name="_Toc13552"/>
      <w:r>
        <w:rPr>
          <w:rFonts w:hint="eastAsia"/>
          <w:sz w:val="24"/>
          <w:szCs w:val="24"/>
        </w:rPr>
        <w:t>（三）合同格式、合同条款</w:t>
      </w:r>
      <w:bookmarkEnd w:id="52"/>
      <w:bookmarkEnd w:id="5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4" w:name="_Toc17684"/>
      <w:bookmarkStart w:id="55" w:name="_Toc3434"/>
      <w:r>
        <w:rPr>
          <w:rFonts w:hint="eastAsia"/>
          <w:sz w:val="24"/>
          <w:szCs w:val="24"/>
        </w:rPr>
        <w:t>（四）中标人在评标过程中做出的有关澄清、说明或者补正文件</w:t>
      </w:r>
      <w:bookmarkEnd w:id="54"/>
      <w:bookmarkEnd w:id="5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6" w:name="_Toc17949"/>
      <w:bookmarkStart w:id="57" w:name="_Toc24029"/>
      <w:r>
        <w:rPr>
          <w:rFonts w:hint="eastAsia"/>
          <w:sz w:val="24"/>
          <w:szCs w:val="24"/>
        </w:rPr>
        <w:t>（五）</w:t>
      </w:r>
      <w:r>
        <w:rPr>
          <w:rFonts w:hint="eastAsia"/>
          <w:sz w:val="24"/>
          <w:szCs w:val="24"/>
          <w:lang w:val="en-US" w:eastAsia="zh-CN"/>
        </w:rPr>
        <w:t>成交</w:t>
      </w:r>
      <w:r>
        <w:rPr>
          <w:rFonts w:hint="eastAsia"/>
          <w:sz w:val="24"/>
          <w:szCs w:val="24"/>
        </w:rPr>
        <w:t>通知书</w:t>
      </w:r>
      <w:bookmarkEnd w:id="56"/>
      <w:bookmarkEnd w:id="57"/>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8" w:name="_Toc4313"/>
      <w:bookmarkStart w:id="59" w:name="_Toc25248"/>
      <w:r>
        <w:rPr>
          <w:rFonts w:hint="eastAsia"/>
          <w:sz w:val="24"/>
          <w:szCs w:val="24"/>
        </w:rPr>
        <w:t>（六）本合同附件</w:t>
      </w:r>
      <w:bookmarkEnd w:id="58"/>
      <w:bookmarkEnd w:id="5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rPr>
      </w:pPr>
      <w:bookmarkStart w:id="60" w:name="_Toc11434"/>
      <w:bookmarkStart w:id="61" w:name="_Toc7727"/>
      <w:bookmarkStart w:id="62" w:name="_Toc13630_WPSOffice_Level2"/>
      <w:bookmarkStart w:id="63" w:name="_Toc24717"/>
      <w:bookmarkStart w:id="64" w:name="_Toc19424"/>
      <w:r>
        <w:rPr>
          <w:rFonts w:hint="eastAsia"/>
          <w:sz w:val="24"/>
          <w:szCs w:val="24"/>
        </w:rPr>
        <w:t>二、合同的范围和条件</w:t>
      </w:r>
      <w:bookmarkEnd w:id="60"/>
      <w:bookmarkEnd w:id="61"/>
      <w:bookmarkEnd w:id="62"/>
      <w:bookmarkEnd w:id="63"/>
      <w:bookmarkEnd w:id="6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本合同的范围和条件应与上述合同文件的规定相一致。</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rPr>
      </w:pPr>
      <w:r>
        <w:rPr>
          <w:rFonts w:hint="eastAsia"/>
          <w:sz w:val="24"/>
          <w:szCs w:val="24"/>
        </w:rPr>
        <w:t xml:space="preserve"> </w:t>
      </w:r>
      <w:bookmarkStart w:id="65" w:name="_Toc18794"/>
      <w:bookmarkStart w:id="66" w:name="_Toc21864"/>
      <w:bookmarkStart w:id="67" w:name="_Toc2465"/>
      <w:bookmarkStart w:id="68" w:name="_Toc24787"/>
      <w:bookmarkStart w:id="69" w:name="_Toc15521_WPSOffice_Level2"/>
      <w:r>
        <w:rPr>
          <w:rFonts w:hint="eastAsia"/>
          <w:sz w:val="24"/>
          <w:szCs w:val="24"/>
        </w:rPr>
        <w:t>三、合同金额</w:t>
      </w:r>
      <w:bookmarkEnd w:id="65"/>
      <w:bookmarkEnd w:id="66"/>
      <w:bookmarkEnd w:id="67"/>
      <w:bookmarkEnd w:id="68"/>
      <w:bookmarkEnd w:id="6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0" w:name="_Toc12265"/>
      <w:bookmarkStart w:id="71" w:name="_Toc15284"/>
      <w:r>
        <w:rPr>
          <w:rFonts w:hint="eastAsia"/>
          <w:sz w:val="24"/>
          <w:szCs w:val="24"/>
        </w:rPr>
        <w:t xml:space="preserve">合同总金额：人民币： </w:t>
      </w:r>
      <w:r>
        <w:rPr>
          <w:rFonts w:hint="eastAsia"/>
          <w:sz w:val="24"/>
          <w:szCs w:val="24"/>
        </w:rPr>
        <w:tab/>
      </w:r>
      <w:r>
        <w:rPr>
          <w:rFonts w:hint="eastAsia"/>
          <w:sz w:val="24"/>
          <w:szCs w:val="24"/>
        </w:rPr>
        <w:t xml:space="preserve">元（大写） 人民币： </w:t>
      </w:r>
      <w:r>
        <w:rPr>
          <w:rFonts w:hint="eastAsia"/>
          <w:sz w:val="24"/>
          <w:szCs w:val="24"/>
        </w:rPr>
        <w:tab/>
      </w:r>
      <w:r>
        <w:rPr>
          <w:rFonts w:hint="eastAsia"/>
          <w:sz w:val="24"/>
          <w:szCs w:val="24"/>
        </w:rPr>
        <w:t>元（小写）</w:t>
      </w:r>
      <w:bookmarkEnd w:id="70"/>
      <w:bookmarkEnd w:id="71"/>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2" w:name="_Toc26017_WPSOffice_Level2"/>
      <w:r>
        <w:rPr>
          <w:rFonts w:hint="eastAsia"/>
          <w:sz w:val="24"/>
          <w:szCs w:val="24"/>
        </w:rPr>
        <w:t>质量要求：</w:t>
      </w:r>
      <w:bookmarkEnd w:id="72"/>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lang w:val="en-US" w:eastAsia="zh-CN"/>
        </w:rPr>
      </w:pPr>
      <w:bookmarkStart w:id="73" w:name="_Toc4377_WPSOffice_Level2"/>
      <w:r>
        <w:rPr>
          <w:rFonts w:hint="eastAsia" w:eastAsia="宋体"/>
          <w:sz w:val="24"/>
          <w:szCs w:val="24"/>
          <w:lang w:val="en-US" w:eastAsia="zh-CN"/>
        </w:rPr>
        <w:t>四、</w:t>
      </w:r>
      <w:r>
        <w:rPr>
          <w:rFonts w:hint="eastAsia"/>
          <w:sz w:val="24"/>
          <w:szCs w:val="24"/>
        </w:rPr>
        <w:t>付款方式</w:t>
      </w:r>
      <w:bookmarkEnd w:id="7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lang w:val="en-US" w:eastAsia="zh-CN"/>
        </w:rPr>
      </w:pPr>
      <w:r>
        <w:rPr>
          <w:rFonts w:hint="eastAsia"/>
          <w:sz w:val="24"/>
          <w:szCs w:val="24"/>
        </w:rPr>
        <w:t>付款方式：</w:t>
      </w:r>
      <w:r>
        <w:rPr>
          <w:rFonts w:hint="eastAsia"/>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4" w:name="_Toc12155_WPSOffice_Level2"/>
      <w:r>
        <w:rPr>
          <w:rFonts w:hint="eastAsia" w:eastAsia="宋体"/>
          <w:sz w:val="24"/>
          <w:szCs w:val="24"/>
          <w:lang w:val="en-US" w:eastAsia="zh-CN"/>
        </w:rPr>
        <w:t>五、</w:t>
      </w:r>
      <w:r>
        <w:rPr>
          <w:rFonts w:hint="eastAsia"/>
          <w:sz w:val="24"/>
          <w:szCs w:val="24"/>
        </w:rPr>
        <w:t>服务日期、地点</w:t>
      </w:r>
      <w:bookmarkEnd w:id="7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 xml:space="preserve">服务时间：于 </w:t>
      </w: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日以前完成。</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地点：甲方指定地点。</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5" w:name="_Toc30055_WPSOffice_Level2"/>
      <w:r>
        <w:rPr>
          <w:rFonts w:hint="eastAsia" w:eastAsia="宋体"/>
          <w:sz w:val="24"/>
          <w:szCs w:val="24"/>
          <w:lang w:val="en-US" w:eastAsia="zh-CN"/>
        </w:rPr>
        <w:t>六、</w:t>
      </w:r>
      <w:r>
        <w:rPr>
          <w:rFonts w:hint="eastAsia"/>
          <w:sz w:val="24"/>
          <w:szCs w:val="24"/>
        </w:rPr>
        <w:t>合同保存</w:t>
      </w:r>
      <w:bookmarkEnd w:id="7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r>
        <w:rPr>
          <w:rFonts w:hint="eastAsia"/>
          <w:sz w:val="24"/>
          <w:szCs w:val="24"/>
        </w:rPr>
        <w:t xml:space="preserve">本合同一式 </w:t>
      </w:r>
      <w:r>
        <w:rPr>
          <w:rFonts w:hint="eastAsia"/>
          <w:sz w:val="24"/>
          <w:szCs w:val="24"/>
        </w:rPr>
        <w:tab/>
      </w:r>
      <w:r>
        <w:rPr>
          <w:rFonts w:hint="eastAsia"/>
          <w:sz w:val="24"/>
          <w:szCs w:val="24"/>
        </w:rPr>
        <w:t xml:space="preserve">份，甲方 </w:t>
      </w:r>
      <w:r>
        <w:rPr>
          <w:rFonts w:hint="eastAsia"/>
          <w:sz w:val="24"/>
          <w:szCs w:val="24"/>
        </w:rPr>
        <w:tab/>
      </w:r>
      <w:r>
        <w:rPr>
          <w:rFonts w:hint="eastAsia"/>
          <w:sz w:val="24"/>
          <w:szCs w:val="24"/>
        </w:rPr>
        <w:t xml:space="preserve">份，乙方 </w:t>
      </w:r>
      <w:r>
        <w:rPr>
          <w:rFonts w:hint="eastAsia"/>
          <w:sz w:val="24"/>
          <w:szCs w:val="24"/>
        </w:rPr>
        <w:tab/>
      </w:r>
      <w:r>
        <w:rPr>
          <w:rFonts w:hint="eastAsia"/>
          <w:sz w:val="24"/>
          <w:szCs w:val="24"/>
        </w:rPr>
        <w:t xml:space="preserve">份，采购代理机构 </w:t>
      </w:r>
      <w:r>
        <w:rPr>
          <w:rFonts w:hint="eastAsia"/>
          <w:sz w:val="24"/>
          <w:szCs w:val="24"/>
        </w:rPr>
        <w:tab/>
      </w:r>
      <w:r>
        <w:rPr>
          <w:rFonts w:hint="eastAsia"/>
          <w:sz w:val="24"/>
          <w:szCs w:val="24"/>
        </w:rPr>
        <w:t>份。</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76" w:name="_Toc30238_WPSOffice_Level2"/>
      <w:r>
        <w:rPr>
          <w:rFonts w:hint="eastAsia" w:eastAsia="宋体"/>
          <w:sz w:val="24"/>
          <w:szCs w:val="24"/>
          <w:lang w:val="en-US" w:eastAsia="zh-CN"/>
        </w:rPr>
        <w:t>七、</w:t>
      </w:r>
      <w:r>
        <w:rPr>
          <w:rFonts w:hint="eastAsia"/>
          <w:sz w:val="24"/>
          <w:szCs w:val="24"/>
        </w:rPr>
        <w:t>违约条款</w:t>
      </w:r>
      <w:bookmarkEnd w:id="76"/>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r>
        <w:rPr>
          <w:rFonts w:hint="eastAsia"/>
          <w:sz w:val="24"/>
          <w:szCs w:val="24"/>
        </w:rPr>
        <w:t>（1）合同一方违约，违约方向对方支付违约金，违约金额为中标金额的 10%。乙方违约， 直接从进度款或履约保金中扣除；甲方违约，从合同款项中扣除。</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77" w:name="_Toc8155"/>
      <w:bookmarkStart w:id="78" w:name="_Toc1630"/>
      <w:r>
        <w:rPr>
          <w:rFonts w:hint="eastAsia"/>
          <w:sz w:val="24"/>
          <w:szCs w:val="24"/>
        </w:rPr>
        <w:t>（2）乙方给用户造成的实际损失高于违约金的，乙方应给用户对高出违约金的部分予以赔偿。</w:t>
      </w:r>
      <w:bookmarkEnd w:id="77"/>
      <w:bookmarkEnd w:id="78"/>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79" w:name="_Toc23941"/>
      <w:bookmarkStart w:id="80" w:name="_Toc15751"/>
      <w:r>
        <w:rPr>
          <w:rFonts w:hint="eastAsia"/>
          <w:sz w:val="24"/>
          <w:szCs w:val="24"/>
        </w:rPr>
        <w:t>（3）乙方迟延履行合同、不完全履行合同或提供的服务不符合招标文件的要求，除支付违约金外，仍应实际履行合同或重新提供符合要求的服务。</w:t>
      </w:r>
      <w:bookmarkEnd w:id="79"/>
      <w:bookmarkEnd w:id="80"/>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1" w:name="_Toc21648"/>
      <w:bookmarkStart w:id="82" w:name="_Toc25387"/>
      <w:r>
        <w:rPr>
          <w:rFonts w:hint="eastAsia"/>
          <w:sz w:val="24"/>
          <w:szCs w:val="24"/>
        </w:rPr>
        <w:t>（4）由于乙方原因造成的延期，每延期一天，需支付甲方损失为合同总价款的 1‰。</w:t>
      </w:r>
      <w:bookmarkEnd w:id="81"/>
      <w:bookmarkEnd w:id="82"/>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3" w:name="_Toc5115"/>
      <w:bookmarkStart w:id="84" w:name="_Toc8408"/>
      <w:r>
        <w:rPr>
          <w:rFonts w:hint="eastAsia"/>
          <w:sz w:val="24"/>
          <w:szCs w:val="24"/>
        </w:rPr>
        <w:t>（5）甲方和乙方若需签订补充协议，补充协议与该合同具有同等法律效力。</w:t>
      </w:r>
      <w:bookmarkEnd w:id="83"/>
      <w:bookmarkEnd w:id="84"/>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5" w:name="_Toc2579"/>
      <w:bookmarkStart w:id="86" w:name="_Toc27685"/>
      <w:r>
        <w:rPr>
          <w:rFonts w:hint="eastAsia"/>
          <w:sz w:val="24"/>
          <w:szCs w:val="24"/>
        </w:rPr>
        <w:t xml:space="preserve">（6）其它未尽事宜，以《中华人民共和国合同法》规定为准。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r>
        <w:rPr>
          <w:rFonts w:hint="eastAsia" w:eastAsia="宋体"/>
          <w:sz w:val="24"/>
          <w:szCs w:val="24"/>
          <w:lang w:val="en-US" w:eastAsia="zh-CN"/>
        </w:rPr>
        <w:t>八</w:t>
      </w:r>
      <w:r>
        <w:rPr>
          <w:rFonts w:hint="eastAsia"/>
          <w:sz w:val="24"/>
          <w:szCs w:val="24"/>
        </w:rPr>
        <w:t>、合同生效及其它</w:t>
      </w:r>
      <w:bookmarkEnd w:id="85"/>
      <w:bookmarkEnd w:id="86"/>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7" w:name="_Toc1264"/>
      <w:bookmarkStart w:id="88" w:name="_Toc27824"/>
      <w:r>
        <w:rPr>
          <w:rFonts w:hint="eastAsia"/>
          <w:sz w:val="24"/>
          <w:szCs w:val="24"/>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87"/>
      <w:bookmarkEnd w:id="88"/>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89" w:name="_Toc13678"/>
      <w:bookmarkStart w:id="90" w:name="_Toc20058"/>
      <w:r>
        <w:rPr>
          <w:rFonts w:hint="eastAsia"/>
          <w:sz w:val="24"/>
          <w:szCs w:val="24"/>
        </w:rPr>
        <w:t>（2）合同在执行过程中出现的未尽事宜，双方在不违背本合同和招标文件的原则下协商解决，协商结果以书面形式盖章记录在案，作为本合同的附件，与本合同具有同等效力。</w:t>
      </w:r>
      <w:bookmarkEnd w:id="89"/>
      <w:bookmarkEnd w:id="90"/>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91" w:name="_Toc4045"/>
      <w:bookmarkStart w:id="92" w:name="_Toc20805_WPSOffice_Level2"/>
      <w:bookmarkStart w:id="93" w:name="_Toc10619_WPSOffice_Level2"/>
      <w:bookmarkStart w:id="94" w:name="_Toc16421_WPSOffice_Level2"/>
      <w:bookmarkStart w:id="95" w:name="_Toc7032_WPSOffice_Level1"/>
      <w:bookmarkStart w:id="96" w:name="_Toc13056_WPSOffice_Level2"/>
      <w:bookmarkStart w:id="97" w:name="_Toc29610_WPSOffice_Level2"/>
      <w:bookmarkStart w:id="98" w:name="_Toc3081_WPSOffice_Level2"/>
      <w:bookmarkStart w:id="99" w:name="_Toc26378"/>
      <w:r>
        <w:rPr>
          <w:rFonts w:hint="eastAsia"/>
          <w:sz w:val="24"/>
          <w:szCs w:val="24"/>
        </w:rPr>
        <w:t>甲</w:t>
      </w:r>
      <w:r>
        <w:rPr>
          <w:rFonts w:hint="eastAsia"/>
          <w:sz w:val="24"/>
          <w:szCs w:val="24"/>
        </w:rPr>
        <w:tab/>
      </w:r>
      <w:r>
        <w:rPr>
          <w:rFonts w:hint="eastAsia"/>
          <w:sz w:val="24"/>
          <w:szCs w:val="24"/>
        </w:rPr>
        <w:t>方（公章）：</w:t>
      </w:r>
      <w:r>
        <w:rPr>
          <w:rFonts w:hint="eastAsia"/>
          <w:sz w:val="24"/>
          <w:szCs w:val="24"/>
        </w:rPr>
        <w:tab/>
      </w:r>
      <w:r>
        <w:rPr>
          <w:rFonts w:hint="eastAsia"/>
          <w:sz w:val="24"/>
          <w:szCs w:val="24"/>
          <w:lang w:val="en-US" w:eastAsia="zh-CN"/>
        </w:rPr>
        <w:t xml:space="preserve">             </w:t>
      </w:r>
      <w:r>
        <w:rPr>
          <w:rFonts w:hint="eastAsia"/>
          <w:sz w:val="24"/>
          <w:szCs w:val="24"/>
        </w:rPr>
        <w:t>乙</w:t>
      </w:r>
      <w:r>
        <w:rPr>
          <w:rFonts w:hint="eastAsia"/>
          <w:sz w:val="24"/>
          <w:szCs w:val="24"/>
        </w:rPr>
        <w:tab/>
      </w:r>
      <w:r>
        <w:rPr>
          <w:rFonts w:hint="eastAsia"/>
          <w:sz w:val="24"/>
          <w:szCs w:val="24"/>
        </w:rPr>
        <w:t>方（公章）：</w:t>
      </w:r>
      <w:bookmarkEnd w:id="91"/>
      <w:bookmarkEnd w:id="92"/>
      <w:bookmarkEnd w:id="93"/>
      <w:bookmarkEnd w:id="94"/>
      <w:bookmarkEnd w:id="95"/>
      <w:bookmarkEnd w:id="96"/>
      <w:bookmarkEnd w:id="97"/>
      <w:bookmarkEnd w:id="98"/>
      <w:bookmarkEnd w:id="9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lang w:val="en-US" w:eastAsia="zh-CN"/>
        </w:rPr>
      </w:pPr>
      <w:bookmarkStart w:id="100" w:name="_Toc11748"/>
      <w:bookmarkStart w:id="101" w:name="_Toc20300"/>
      <w:r>
        <w:rPr>
          <w:rFonts w:hint="eastAsia"/>
          <w:sz w:val="24"/>
          <w:szCs w:val="24"/>
        </w:rPr>
        <w:t>法定代表人或授权代理人：（签字）</w:t>
      </w:r>
      <w:r>
        <w:rPr>
          <w:rFonts w:hint="eastAsia"/>
          <w:sz w:val="24"/>
          <w:szCs w:val="24"/>
        </w:rPr>
        <w:tab/>
      </w:r>
      <w:r>
        <w:rPr>
          <w:rFonts w:hint="eastAsia"/>
          <w:sz w:val="24"/>
          <w:szCs w:val="24"/>
        </w:rPr>
        <w:t>法定代表人或授权代理人：（签字）</w:t>
      </w:r>
      <w:bookmarkEnd w:id="100"/>
      <w:bookmarkEnd w:id="101"/>
      <w:r>
        <w:rPr>
          <w:rFonts w:hint="eastAsia"/>
          <w:sz w:val="24"/>
          <w:szCs w:val="24"/>
        </w:rPr>
        <w:t xml:space="preserve"> </w:t>
      </w:r>
      <w:r>
        <w:rPr>
          <w:rFonts w:hint="eastAsia"/>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2" w:name="_Toc2236"/>
      <w:bookmarkStart w:id="103" w:name="_Toc11893"/>
      <w:r>
        <w:rPr>
          <w:rFonts w:hint="eastAsia"/>
          <w:sz w:val="24"/>
          <w:szCs w:val="24"/>
        </w:rPr>
        <w:t>开户单位：</w:t>
      </w:r>
      <w:r>
        <w:rPr>
          <w:rFonts w:hint="eastAsia"/>
          <w:sz w:val="24"/>
          <w:szCs w:val="24"/>
          <w:lang w:val="en-US" w:eastAsia="zh-CN"/>
        </w:rPr>
        <w:t xml:space="preserve">                        </w:t>
      </w:r>
      <w:r>
        <w:rPr>
          <w:rFonts w:hint="eastAsia"/>
          <w:sz w:val="24"/>
          <w:szCs w:val="24"/>
        </w:rPr>
        <w:t>开户单位：</w:t>
      </w:r>
      <w:bookmarkEnd w:id="102"/>
      <w:bookmarkEnd w:id="103"/>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4" w:name="_Toc25263"/>
      <w:bookmarkStart w:id="105" w:name="_Toc31863"/>
      <w:r>
        <w:rPr>
          <w:rFonts w:hint="eastAsia"/>
          <w:sz w:val="24"/>
          <w:szCs w:val="24"/>
        </w:rPr>
        <w:t>开户银行：</w:t>
      </w:r>
      <w:r>
        <w:rPr>
          <w:rFonts w:hint="eastAsia"/>
          <w:sz w:val="24"/>
          <w:szCs w:val="24"/>
        </w:rPr>
        <w:tab/>
      </w:r>
      <w:r>
        <w:rPr>
          <w:rFonts w:hint="eastAsia"/>
          <w:sz w:val="24"/>
          <w:szCs w:val="24"/>
          <w:lang w:val="en-US" w:eastAsia="zh-CN"/>
        </w:rPr>
        <w:t xml:space="preserve">                    </w:t>
      </w:r>
      <w:r>
        <w:rPr>
          <w:rFonts w:hint="eastAsia"/>
          <w:sz w:val="24"/>
          <w:szCs w:val="24"/>
        </w:rPr>
        <w:t>开户银行：</w:t>
      </w:r>
      <w:bookmarkEnd w:id="104"/>
      <w:bookmarkEnd w:id="105"/>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6" w:name="_Toc27472"/>
      <w:bookmarkStart w:id="107" w:name="_Toc17067"/>
      <w:r>
        <w:rPr>
          <w:rFonts w:hint="eastAsia"/>
          <w:sz w:val="24"/>
          <w:szCs w:val="24"/>
        </w:rPr>
        <w:t>帐</w:t>
      </w:r>
      <w:r>
        <w:rPr>
          <w:rFonts w:hint="eastAsia"/>
          <w:sz w:val="24"/>
          <w:szCs w:val="24"/>
        </w:rPr>
        <w:tab/>
      </w:r>
      <w:r>
        <w:rPr>
          <w:rFonts w:hint="eastAsia"/>
          <w:sz w:val="24"/>
          <w:szCs w:val="24"/>
        </w:rPr>
        <w:t>号：</w:t>
      </w:r>
      <w:r>
        <w:rPr>
          <w:rFonts w:hint="eastAsia"/>
          <w:sz w:val="24"/>
          <w:szCs w:val="24"/>
        </w:rPr>
        <w:tab/>
      </w:r>
      <w:r>
        <w:rPr>
          <w:rFonts w:hint="eastAsia"/>
          <w:sz w:val="24"/>
          <w:szCs w:val="24"/>
          <w:lang w:val="en-US" w:eastAsia="zh-CN"/>
        </w:rPr>
        <w:t xml:space="preserve">                            </w:t>
      </w:r>
      <w:r>
        <w:rPr>
          <w:rFonts w:hint="eastAsia"/>
          <w:sz w:val="24"/>
          <w:szCs w:val="24"/>
        </w:rPr>
        <w:t>帐</w:t>
      </w:r>
      <w:r>
        <w:rPr>
          <w:rFonts w:hint="eastAsia"/>
          <w:sz w:val="24"/>
          <w:szCs w:val="24"/>
        </w:rPr>
        <w:tab/>
      </w:r>
      <w:r>
        <w:rPr>
          <w:rFonts w:hint="eastAsia"/>
          <w:sz w:val="24"/>
          <w:szCs w:val="24"/>
        </w:rPr>
        <w:t>号：</w:t>
      </w:r>
      <w:bookmarkEnd w:id="106"/>
      <w:bookmarkEnd w:id="107"/>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08" w:name="_Toc18260"/>
      <w:bookmarkStart w:id="109" w:name="_Toc19503"/>
      <w:r>
        <w:rPr>
          <w:rFonts w:hint="eastAsia"/>
          <w:sz w:val="24"/>
          <w:szCs w:val="24"/>
        </w:rPr>
        <w:t>地</w:t>
      </w:r>
      <w:r>
        <w:rPr>
          <w:rFonts w:hint="eastAsia"/>
          <w:sz w:val="24"/>
          <w:szCs w:val="24"/>
        </w:rPr>
        <w:tab/>
      </w:r>
      <w:r>
        <w:rPr>
          <w:rFonts w:hint="eastAsia"/>
          <w:sz w:val="24"/>
          <w:szCs w:val="24"/>
        </w:rPr>
        <w:t>址：</w:t>
      </w:r>
      <w:r>
        <w:rPr>
          <w:rFonts w:hint="eastAsia"/>
          <w:sz w:val="24"/>
          <w:szCs w:val="24"/>
        </w:rPr>
        <w:tab/>
      </w:r>
      <w:r>
        <w:rPr>
          <w:rFonts w:hint="eastAsia"/>
          <w:sz w:val="24"/>
          <w:szCs w:val="24"/>
          <w:lang w:val="en-US" w:eastAsia="zh-CN"/>
        </w:rPr>
        <w:t xml:space="preserve">                           </w:t>
      </w:r>
      <w:r>
        <w:rPr>
          <w:rFonts w:hint="eastAsia"/>
          <w:sz w:val="24"/>
          <w:szCs w:val="24"/>
        </w:rPr>
        <w:t>地</w:t>
      </w:r>
      <w:r>
        <w:rPr>
          <w:rFonts w:hint="eastAsia"/>
          <w:sz w:val="24"/>
          <w:szCs w:val="24"/>
        </w:rPr>
        <w:tab/>
      </w:r>
      <w:r>
        <w:rPr>
          <w:rFonts w:hint="eastAsia"/>
          <w:sz w:val="24"/>
          <w:szCs w:val="24"/>
        </w:rPr>
        <w:t>址：</w:t>
      </w:r>
      <w:bookmarkEnd w:id="108"/>
      <w:bookmarkEnd w:id="109"/>
    </w:p>
    <w:p>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rPr>
      </w:pPr>
      <w:bookmarkStart w:id="110" w:name="_Toc16058"/>
      <w:bookmarkStart w:id="111" w:name="_Toc15291"/>
      <w:r>
        <w:rPr>
          <w:rFonts w:hint="eastAsia"/>
          <w:sz w:val="24"/>
          <w:szCs w:val="24"/>
        </w:rPr>
        <w:t>电</w:t>
      </w:r>
      <w:r>
        <w:rPr>
          <w:rFonts w:hint="eastAsia"/>
          <w:sz w:val="24"/>
          <w:szCs w:val="24"/>
        </w:rPr>
        <w:tab/>
      </w:r>
      <w:r>
        <w:rPr>
          <w:rFonts w:hint="eastAsia"/>
          <w:sz w:val="24"/>
          <w:szCs w:val="24"/>
        </w:rPr>
        <w:t>话：</w:t>
      </w:r>
      <w:r>
        <w:rPr>
          <w:rFonts w:hint="eastAsia"/>
          <w:sz w:val="24"/>
          <w:szCs w:val="24"/>
        </w:rPr>
        <w:tab/>
      </w:r>
      <w:r>
        <w:rPr>
          <w:rFonts w:hint="eastAsia"/>
          <w:sz w:val="24"/>
          <w:szCs w:val="24"/>
          <w:lang w:val="en-US" w:eastAsia="zh-CN"/>
        </w:rPr>
        <w:t xml:space="preserve">                           </w:t>
      </w:r>
      <w:r>
        <w:rPr>
          <w:rFonts w:hint="eastAsia"/>
          <w:sz w:val="24"/>
          <w:szCs w:val="24"/>
        </w:rPr>
        <w:t>电</w:t>
      </w:r>
      <w:r>
        <w:rPr>
          <w:rFonts w:hint="eastAsia"/>
          <w:sz w:val="24"/>
          <w:szCs w:val="24"/>
        </w:rPr>
        <w:tab/>
      </w:r>
      <w:r>
        <w:rPr>
          <w:rFonts w:hint="eastAsia"/>
          <w:sz w:val="24"/>
          <w:szCs w:val="24"/>
        </w:rPr>
        <w:t>话：</w:t>
      </w:r>
      <w:bookmarkEnd w:id="110"/>
      <w:bookmarkEnd w:id="111"/>
    </w:p>
    <w:p>
      <w:pPr>
        <w:pStyle w:val="3"/>
        <w:keepNext w:val="0"/>
        <w:keepLines w:val="0"/>
        <w:pageBreakBefore w:val="0"/>
        <w:kinsoku/>
        <w:wordWrap w:val="0"/>
        <w:overflowPunct/>
        <w:topLinePunct w:val="0"/>
        <w:autoSpaceDE w:val="0"/>
        <w:autoSpaceDN w:val="0"/>
        <w:bidi w:val="0"/>
        <w:spacing w:before="0" w:beforeLines="1" w:after="0" w:afterLines="1" w:line="540" w:lineRule="exact"/>
        <w:ind w:left="237" w:leftChars="113" w:firstLine="223" w:firstLineChars="93"/>
        <w:jc w:val="both"/>
        <w:rPr>
          <w:rFonts w:hint="eastAsia"/>
          <w:sz w:val="24"/>
          <w:szCs w:val="24"/>
          <w:lang w:eastAsia="zh-CN"/>
        </w:rPr>
      </w:pPr>
      <w:bookmarkStart w:id="112" w:name="_Toc22352"/>
      <w:bookmarkStart w:id="113" w:name="_Toc32463"/>
      <w:r>
        <w:rPr>
          <w:rFonts w:hint="eastAsia"/>
          <w:sz w:val="24"/>
          <w:szCs w:val="24"/>
        </w:rPr>
        <w:t>签订时间：</w:t>
      </w:r>
      <w:r>
        <w:rPr>
          <w:rFonts w:hint="eastAsia"/>
          <w:sz w:val="24"/>
          <w:szCs w:val="24"/>
        </w:rPr>
        <w:tab/>
      </w:r>
      <w:r>
        <w:rPr>
          <w:rFonts w:hint="eastAsia"/>
          <w:sz w:val="24"/>
          <w:szCs w:val="24"/>
          <w:lang w:val="en-US" w:eastAsia="zh-CN"/>
        </w:rPr>
        <w:t xml:space="preserve">           </w:t>
      </w:r>
      <w:r>
        <w:rPr>
          <w:rFonts w:hint="eastAsia"/>
          <w:sz w:val="24"/>
          <w:szCs w:val="24"/>
        </w:rPr>
        <w:t>签订时间</w:t>
      </w:r>
      <w:r>
        <w:rPr>
          <w:rFonts w:hint="eastAsia"/>
          <w:sz w:val="24"/>
          <w:szCs w:val="24"/>
          <w:lang w:eastAsia="zh-CN"/>
        </w:rPr>
        <w:t>：</w:t>
      </w:r>
      <w:bookmarkEnd w:id="112"/>
      <w:bookmarkEnd w:id="113"/>
    </w:p>
    <w:p>
      <w:pPr>
        <w:pStyle w:val="21"/>
        <w:rPr>
          <w:rFonts w:hint="eastAsia"/>
          <w:sz w:val="24"/>
          <w:szCs w:val="24"/>
          <w:lang w:eastAsia="zh-CN"/>
        </w:rPr>
      </w:pPr>
    </w:p>
    <w:p>
      <w:pPr>
        <w:pStyle w:val="22"/>
        <w:rPr>
          <w:rFonts w:hint="eastAsia"/>
          <w:sz w:val="24"/>
          <w:szCs w:val="24"/>
          <w:lang w:eastAsia="zh-CN"/>
        </w:rPr>
      </w:pPr>
    </w:p>
    <w:p>
      <w:pPr>
        <w:pStyle w:val="2"/>
        <w:ind w:left="0" w:leftChars="0" w:firstLine="0" w:firstLineChars="0"/>
        <w:rPr>
          <w:rFonts w:hint="eastAsia"/>
          <w:sz w:val="24"/>
          <w:szCs w:val="24"/>
          <w:lang w:eastAsia="zh-CN"/>
        </w:rPr>
      </w:pPr>
    </w:p>
    <w:p>
      <w:pPr>
        <w:pStyle w:val="3"/>
        <w:keepNext w:val="0"/>
        <w:keepLines w:val="0"/>
        <w:pageBreakBefore w:val="0"/>
        <w:numPr>
          <w:ilvl w:val="0"/>
          <w:numId w:val="1"/>
        </w:numPr>
        <w:kinsoku/>
        <w:wordWrap w:val="0"/>
        <w:overflowPunct/>
        <w:topLinePunct w:val="0"/>
        <w:bidi w:val="0"/>
        <w:spacing w:before="353" w:line="360" w:lineRule="auto"/>
        <w:ind w:left="14" w:leftChars="0" w:hanging="14" w:firstLineChars="0"/>
        <w:jc w:val="center"/>
        <w:outlineLvl w:val="0"/>
        <w:rPr>
          <w:spacing w:val="-5"/>
          <w:sz w:val="36"/>
          <w:szCs w:val="36"/>
          <w14:textOutline w14:w="2306" w14:cap="flat" w14:cmpd="sng">
            <w14:solidFill>
              <w14:srgbClr w14:val="000000"/>
            </w14:solidFill>
            <w14:prstDash w14:val="solid"/>
            <w14:miter w14:val="0"/>
          </w14:textOutline>
        </w:rPr>
      </w:pPr>
      <w:bookmarkStart w:id="114" w:name="_Toc31124"/>
      <w:r>
        <w:rPr>
          <w:spacing w:val="-5"/>
          <w:sz w:val="36"/>
          <w:szCs w:val="36"/>
          <w14:textOutline w14:w="2306" w14:cap="flat" w14:cmpd="sng">
            <w14:solidFill>
              <w14:srgbClr w14:val="000000"/>
            </w14:solidFill>
            <w14:prstDash w14:val="solid"/>
            <w14:miter w14:val="0"/>
          </w14:textOutline>
        </w:rPr>
        <w:t>响应文件格式</w:t>
      </w:r>
      <w:bookmarkEnd w:id="114"/>
    </w:p>
    <w:p>
      <w:pPr>
        <w:pStyle w:val="20"/>
      </w:pPr>
    </w:p>
    <w:p>
      <w:pPr>
        <w:rPr>
          <w:rFonts w:hint="eastAsia"/>
          <w:b/>
          <w:bCs/>
          <w:sz w:val="28"/>
          <w:szCs w:val="28"/>
        </w:rPr>
      </w:pPr>
      <w:r>
        <w:rPr>
          <w:rFonts w:hint="eastAsia"/>
          <w:b/>
          <w:bCs/>
          <w:sz w:val="28"/>
          <w:szCs w:val="28"/>
        </w:rPr>
        <w:t>供应商编制文件须知</w:t>
      </w:r>
    </w:p>
    <w:p>
      <w:pPr>
        <w:rPr>
          <w:rFonts w:hint="eastAsia"/>
          <w:b/>
          <w:bCs/>
          <w:sz w:val="28"/>
          <w:szCs w:val="28"/>
        </w:rPr>
      </w:pPr>
      <w:r>
        <w:rPr>
          <w:rFonts w:hint="eastAsia"/>
          <w:b/>
          <w:bCs/>
          <w:sz w:val="28"/>
          <w:szCs w:val="28"/>
        </w:rPr>
        <w:t>1.供应商按照本部分的顺序编制响应文件，编制中涉及格式资料的，应按照本部分提供的内容和格式（所有表格的格式可扩展）填写提交。</w:t>
      </w:r>
    </w:p>
    <w:p>
      <w:pPr>
        <w:rPr>
          <w:rFonts w:hint="eastAsia"/>
          <w:b/>
          <w:bCs/>
          <w:sz w:val="28"/>
          <w:szCs w:val="28"/>
        </w:rPr>
      </w:pPr>
      <w:r>
        <w:rPr>
          <w:rFonts w:hint="eastAsia"/>
          <w:b/>
          <w:bCs/>
          <w:sz w:val="28"/>
          <w:szCs w:val="28"/>
        </w:rPr>
        <w:t>2.全部声明和问题的回答及所附材料必须是真实的、准确的和完整的。</w:t>
      </w:r>
    </w:p>
    <w:p/>
    <w:p>
      <w:pPr>
        <w:pStyle w:val="20"/>
      </w:pPr>
    </w:p>
    <w:p/>
    <w:p/>
    <w:p/>
    <w:p/>
    <w:p/>
    <w:p/>
    <w:p/>
    <w:p/>
    <w:p/>
    <w:p/>
    <w:p/>
    <w:p/>
    <w:p/>
    <w:p/>
    <w:p/>
    <w:p/>
    <w:p/>
    <w:p/>
    <w:p/>
    <w:p/>
    <w:p/>
    <w:p/>
    <w:p/>
    <w:p/>
    <w:p/>
    <w:p/>
    <w:p/>
    <w:p/>
    <w:p/>
    <w:p/>
    <w:p/>
    <w:p/>
    <w:p/>
    <w:p/>
    <w:p/>
    <w:p/>
    <w:p/>
    <w:p/>
    <w:p/>
    <w:p/>
    <w:p/>
    <w:p/>
    <w:p/>
    <w:p/>
    <w:p/>
    <w:p/>
    <w:p/>
    <w:p/>
    <w:p>
      <w:pPr>
        <w:spacing w:before="0"/>
        <w:ind w:left="220" w:right="0" w:firstLine="0"/>
        <w:jc w:val="left"/>
        <w:rPr>
          <w:b/>
          <w:bCs/>
          <w:sz w:val="24"/>
        </w:rPr>
      </w:pPr>
      <w:bookmarkStart w:id="115" w:name="_Toc5802"/>
      <w:r>
        <w:rPr>
          <w:b/>
          <w:bCs/>
          <w:sz w:val="24"/>
        </w:rPr>
        <w:t>响应文件封面格式</w:t>
      </w:r>
    </w:p>
    <w:p>
      <w:pPr>
        <w:pStyle w:val="3"/>
        <w:rPr>
          <w:sz w:val="20"/>
        </w:rPr>
      </w:pPr>
    </w:p>
    <w:p>
      <w:pPr>
        <w:pStyle w:val="3"/>
        <w:rPr>
          <w:sz w:val="20"/>
        </w:rPr>
      </w:pPr>
    </w:p>
    <w:p>
      <w:pPr>
        <w:pStyle w:val="3"/>
        <w:rPr>
          <w:sz w:val="20"/>
        </w:rPr>
      </w:pPr>
    </w:p>
    <w:p>
      <w:pPr>
        <w:pStyle w:val="3"/>
        <w:spacing w:before="4"/>
        <w:rPr>
          <w:sz w:val="16"/>
        </w:rPr>
      </w:pPr>
    </w:p>
    <w:p>
      <w:pPr>
        <w:tabs>
          <w:tab w:val="left" w:pos="4419"/>
        </w:tabs>
        <w:spacing w:before="57"/>
        <w:ind w:left="0" w:right="16" w:firstLine="0"/>
        <w:jc w:val="center"/>
        <w:rPr>
          <w:b/>
          <w:sz w:val="40"/>
        </w:rPr>
      </w:pPr>
      <w:r>
        <w:rPr>
          <w:rFonts w:ascii="Times New Roman" w:eastAsia="Times New Roman"/>
          <w:b/>
          <w:w w:val="100"/>
          <w:sz w:val="40"/>
          <w:u w:val="thick"/>
        </w:rPr>
        <w:t xml:space="preserve"> </w:t>
      </w:r>
      <w:r>
        <w:rPr>
          <w:rFonts w:ascii="Times New Roman" w:eastAsia="Times New Roman"/>
          <w:b/>
          <w:sz w:val="40"/>
          <w:u w:val="thick"/>
        </w:rPr>
        <w:tab/>
      </w:r>
      <w:r>
        <w:rPr>
          <w:b/>
          <w:sz w:val="40"/>
        </w:rPr>
        <w:t>项目</w:t>
      </w: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pStyle w:val="3"/>
        <w:rPr>
          <w:b/>
          <w:sz w:val="20"/>
        </w:rPr>
      </w:pPr>
    </w:p>
    <w:p>
      <w:pPr>
        <w:spacing w:before="172"/>
        <w:ind w:left="0" w:right="18" w:firstLine="0"/>
        <w:jc w:val="center"/>
        <w:outlineLvl w:val="1"/>
        <w:rPr>
          <w:sz w:val="72"/>
          <w:highlight w:val="none"/>
        </w:rPr>
      </w:pPr>
      <w:bookmarkStart w:id="116" w:name="_Toc11199"/>
      <w:bookmarkStart w:id="117" w:name="_Toc26935"/>
      <w:r>
        <w:rPr>
          <w:sz w:val="72"/>
          <w:highlight w:val="none"/>
        </w:rPr>
        <w:t>响应文件</w:t>
      </w:r>
      <w:bookmarkEnd w:id="116"/>
      <w:bookmarkEnd w:id="117"/>
    </w:p>
    <w:p>
      <w:pPr>
        <w:spacing w:before="167"/>
        <w:ind w:left="0" w:right="18" w:firstLine="0"/>
        <w:jc w:val="center"/>
        <w:outlineLvl w:val="9"/>
        <w:rPr>
          <w:sz w:val="24"/>
        </w:rPr>
      </w:pPr>
      <w:r>
        <w:rPr>
          <w:sz w:val="24"/>
        </w:rPr>
        <w:t>采购编号：</w:t>
      </w:r>
    </w:p>
    <w:p>
      <w:pPr>
        <w:pStyle w:val="3"/>
        <w:rPr>
          <w:sz w:val="24"/>
        </w:rPr>
      </w:pPr>
    </w:p>
    <w:p>
      <w:pPr>
        <w:pStyle w:val="3"/>
        <w:rPr>
          <w:sz w:val="24"/>
        </w:rPr>
      </w:pPr>
    </w:p>
    <w:p>
      <w:pPr>
        <w:pStyle w:val="3"/>
        <w:rPr>
          <w:sz w:val="24"/>
        </w:rPr>
      </w:pPr>
    </w:p>
    <w:p>
      <w:pPr>
        <w:pStyle w:val="3"/>
        <w:rPr>
          <w:sz w:val="24"/>
        </w:rPr>
      </w:pPr>
    </w:p>
    <w:p>
      <w:pPr>
        <w:pStyle w:val="3"/>
        <w:rPr>
          <w:sz w:val="24"/>
        </w:rPr>
      </w:pPr>
    </w:p>
    <w:p>
      <w:pPr>
        <w:pStyle w:val="3"/>
        <w:rPr>
          <w:sz w:val="24"/>
        </w:rPr>
      </w:pPr>
    </w:p>
    <w:p>
      <w:pPr>
        <w:pStyle w:val="14"/>
      </w:pPr>
    </w:p>
    <w:p>
      <w:pPr>
        <w:pStyle w:val="14"/>
      </w:pP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rFonts w:hint="eastAsia" w:eastAsia="宋体"/>
          <w:b/>
          <w:bCs/>
          <w:w w:val="95"/>
          <w:sz w:val="36"/>
          <w:szCs w:val="36"/>
          <w:lang w:val="en-US" w:eastAsia="zh-CN"/>
        </w:rPr>
      </w:pPr>
    </w:p>
    <w:p>
      <w:pPr>
        <w:pStyle w:val="2"/>
        <w:rPr>
          <w:rFonts w:hint="eastAsia" w:eastAsia="宋体"/>
          <w:b/>
          <w:bCs/>
          <w:w w:val="95"/>
          <w:sz w:val="36"/>
          <w:szCs w:val="36"/>
          <w:lang w:val="en-US" w:eastAsia="zh-CN"/>
        </w:rPr>
      </w:pPr>
    </w:p>
    <w:p>
      <w:pPr>
        <w:pStyle w:val="4"/>
        <w:rPr>
          <w:rFonts w:hint="eastAsia" w:eastAsia="宋体"/>
          <w:b/>
          <w:bCs/>
          <w:w w:val="95"/>
          <w:sz w:val="36"/>
          <w:szCs w:val="36"/>
          <w:lang w:val="en-US" w:eastAsia="zh-CN"/>
        </w:rPr>
      </w:pPr>
    </w:p>
    <w:p>
      <w:pPr>
        <w:rPr>
          <w:rFonts w:hint="eastAsia"/>
          <w:lang w:val="en-US" w:eastAsia="zh-CN"/>
        </w:rPr>
      </w:pPr>
    </w:p>
    <w:p>
      <w:pPr>
        <w:jc w:val="center"/>
        <w:outlineLvl w:val="9"/>
        <w:rPr>
          <w:rFonts w:hint="eastAsia" w:eastAsia="宋体"/>
          <w:b/>
          <w:bCs/>
          <w:w w:val="95"/>
          <w:sz w:val="36"/>
          <w:szCs w:val="36"/>
          <w:lang w:val="en-US" w:eastAsia="zh-CN"/>
        </w:rPr>
      </w:pPr>
      <w:r>
        <w:rPr>
          <w:rFonts w:hint="eastAsia" w:eastAsia="宋体"/>
          <w:b/>
          <w:bCs/>
          <w:w w:val="95"/>
          <w:sz w:val="36"/>
          <w:szCs w:val="36"/>
          <w:lang w:val="en-US" w:eastAsia="zh-CN"/>
        </w:rPr>
        <w:t>目  录</w:t>
      </w:r>
    </w:p>
    <w:p>
      <w:pPr>
        <w:jc w:val="center"/>
        <w:outlineLvl w:val="9"/>
        <w:rPr>
          <w:rFonts w:hint="eastAsia" w:eastAsia="宋体"/>
          <w:b/>
          <w:bCs/>
          <w:w w:val="95"/>
          <w:sz w:val="36"/>
          <w:szCs w:val="36"/>
          <w:lang w:val="en-US" w:eastAsia="zh-CN"/>
        </w:rPr>
      </w:pPr>
    </w:p>
    <w:p>
      <w:pPr>
        <w:jc w:val="center"/>
        <w:outlineLvl w:val="9"/>
        <w:rPr>
          <w:rFonts w:hint="eastAsia" w:eastAsia="宋体"/>
          <w:b/>
          <w:bCs/>
          <w:w w:val="95"/>
          <w:sz w:val="36"/>
          <w:szCs w:val="36"/>
          <w:lang w:val="en-US" w:eastAsia="zh-CN"/>
        </w:rPr>
      </w:pPr>
    </w:p>
    <w:p>
      <w:pPr>
        <w:jc w:val="center"/>
        <w:outlineLvl w:val="9"/>
        <w:rPr>
          <w:rFonts w:hint="eastAsia" w:eastAsia="宋体"/>
          <w:b/>
          <w:bCs/>
          <w:w w:val="95"/>
          <w:sz w:val="32"/>
          <w:szCs w:val="32"/>
          <w:lang w:val="en-US" w:eastAsia="zh-CN"/>
        </w:rPr>
      </w:pPr>
      <w:r>
        <w:rPr>
          <w:rFonts w:hint="eastAsia" w:eastAsia="宋体"/>
          <w:b/>
          <w:bCs/>
          <w:w w:val="95"/>
          <w:sz w:val="32"/>
          <w:szCs w:val="32"/>
          <w:lang w:val="en-US" w:eastAsia="zh-CN"/>
        </w:rPr>
        <w:t>（由供应商自行编制并设置页码）</w:t>
      </w: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pStyle w:val="2"/>
        <w:rPr>
          <w:b/>
          <w:bCs/>
          <w:w w:val="95"/>
          <w:sz w:val="36"/>
          <w:szCs w:val="36"/>
        </w:rPr>
      </w:pPr>
    </w:p>
    <w:p>
      <w:pPr>
        <w:pStyle w:val="4"/>
        <w:rPr>
          <w:b/>
          <w:bCs/>
          <w:w w:val="95"/>
          <w:sz w:val="36"/>
          <w:szCs w:val="36"/>
        </w:rPr>
      </w:pPr>
    </w:p>
    <w:p>
      <w:pPr>
        <w:rPr>
          <w:b/>
          <w:bCs/>
          <w:w w:val="95"/>
          <w:sz w:val="36"/>
          <w:szCs w:val="36"/>
        </w:rPr>
      </w:pPr>
    </w:p>
    <w:p>
      <w:pPr>
        <w:pStyle w:val="2"/>
        <w:rPr>
          <w:b/>
          <w:bCs/>
          <w:w w:val="95"/>
          <w:sz w:val="36"/>
          <w:szCs w:val="36"/>
        </w:rPr>
      </w:pPr>
    </w:p>
    <w:p>
      <w:pPr>
        <w:pStyle w:val="4"/>
        <w:rPr>
          <w:b/>
          <w:bCs/>
          <w:w w:val="95"/>
          <w:sz w:val="36"/>
          <w:szCs w:val="36"/>
        </w:rPr>
      </w:pPr>
    </w:p>
    <w:p>
      <w:pPr>
        <w:rPr>
          <w:b/>
          <w:bCs/>
          <w:w w:val="95"/>
          <w:sz w:val="36"/>
          <w:szCs w:val="36"/>
        </w:rPr>
      </w:pPr>
    </w:p>
    <w:p>
      <w:pPr>
        <w:pStyle w:val="2"/>
        <w:rPr>
          <w:b/>
          <w:bCs/>
          <w:w w:val="95"/>
          <w:sz w:val="36"/>
          <w:szCs w:val="36"/>
        </w:rPr>
      </w:pPr>
    </w:p>
    <w:p>
      <w:pPr>
        <w:pStyle w:val="4"/>
        <w:rPr>
          <w:b/>
          <w:bCs/>
          <w:w w:val="95"/>
          <w:sz w:val="36"/>
          <w:szCs w:val="36"/>
        </w:rPr>
      </w:pPr>
    </w:p>
    <w:p>
      <w:pPr>
        <w:rPr>
          <w:b/>
          <w:bCs/>
          <w:w w:val="95"/>
          <w:sz w:val="36"/>
          <w:szCs w:val="36"/>
        </w:rPr>
      </w:pPr>
    </w:p>
    <w:p>
      <w:pPr>
        <w:pStyle w:val="2"/>
        <w:rPr>
          <w:b/>
          <w:bCs/>
          <w:w w:val="95"/>
          <w:sz w:val="36"/>
          <w:szCs w:val="36"/>
        </w:rPr>
      </w:pPr>
    </w:p>
    <w:p>
      <w:pPr>
        <w:pStyle w:val="4"/>
        <w:rPr>
          <w:b/>
          <w:bCs/>
          <w:w w:val="95"/>
          <w:sz w:val="36"/>
          <w:szCs w:val="36"/>
        </w:rPr>
      </w:pPr>
    </w:p>
    <w:p>
      <w:pPr>
        <w:rPr>
          <w:b/>
          <w:bCs/>
          <w:w w:val="95"/>
          <w:sz w:val="36"/>
          <w:szCs w:val="36"/>
        </w:rPr>
      </w:pPr>
    </w:p>
    <w:p>
      <w:pPr>
        <w:jc w:val="both"/>
        <w:outlineLvl w:val="9"/>
        <w:rPr>
          <w:b/>
          <w:bCs/>
          <w:w w:val="95"/>
          <w:sz w:val="36"/>
          <w:szCs w:val="36"/>
        </w:rPr>
      </w:pPr>
    </w:p>
    <w:p>
      <w:pPr>
        <w:jc w:val="center"/>
        <w:outlineLvl w:val="9"/>
        <w:rPr>
          <w:b/>
          <w:bCs/>
          <w:w w:val="95"/>
          <w:sz w:val="36"/>
          <w:szCs w:val="36"/>
        </w:rPr>
      </w:pPr>
    </w:p>
    <w:bookmarkEnd w:id="115"/>
    <w:p>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snapToGrid/>
          <w:spacing w:val="-3"/>
          <w:kern w:val="2"/>
          <w:sz w:val="32"/>
          <w:szCs w:val="32"/>
          <w:lang w:eastAsia="zh-CN"/>
        </w:rPr>
      </w:pPr>
      <w:r>
        <w:rPr>
          <w:rFonts w:hint="eastAsia" w:asciiTheme="majorEastAsia" w:hAnsiTheme="majorEastAsia" w:eastAsiaTheme="majorEastAsia" w:cstheme="majorEastAsia"/>
          <w:b/>
          <w:bCs/>
          <w:snapToGrid/>
          <w:spacing w:val="-3"/>
          <w:kern w:val="2"/>
          <w:sz w:val="32"/>
          <w:szCs w:val="32"/>
          <w:lang w:eastAsia="zh-CN"/>
        </w:rPr>
        <w:t>一、响应函格式</w:t>
      </w:r>
    </w:p>
    <w:p>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lang w:eastAsia="zh-CN"/>
        </w:rPr>
      </w:pPr>
    </w:p>
    <w:p>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lang w:eastAsia="zh-CN"/>
        </w:rPr>
      </w:pPr>
      <w:r>
        <w:rPr>
          <w:rFonts w:hint="eastAsia" w:ascii="宋体" w:hAnsi="宋体" w:eastAsia="宋体" w:cs="宋体"/>
          <w:b/>
          <w:bCs/>
          <w:snapToGrid/>
          <w:spacing w:val="-3"/>
          <w:kern w:val="2"/>
          <w:sz w:val="28"/>
          <w:szCs w:val="28"/>
          <w:lang w:eastAsia="zh-CN"/>
        </w:rPr>
        <w:t>响   应   函</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p>
    <w:p>
      <w:pPr>
        <w:widowControl w:val="0"/>
        <w:kinsoku/>
        <w:autoSpaceDE/>
        <w:autoSpaceDN/>
        <w:adjustRightInd/>
        <w:snapToGrid/>
        <w:spacing w:line="360" w:lineRule="auto"/>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致：</w:t>
      </w:r>
      <w:r>
        <w:rPr>
          <w:rFonts w:hint="eastAsia" w:ascii="宋体" w:hAnsi="宋体" w:eastAsia="宋体" w:cs="宋体"/>
          <w:snapToGrid/>
          <w:kern w:val="2"/>
          <w:sz w:val="24"/>
          <w:szCs w:val="24"/>
          <w:lang w:eastAsia="zh-CN"/>
        </w:rPr>
        <w:t>采购人或采购代理机构</w:t>
      </w:r>
      <w:r>
        <w:rPr>
          <w:rFonts w:hint="eastAsia" w:ascii="宋体" w:hAnsi="宋体" w:eastAsia="宋体" w:cs="宋体"/>
          <w:snapToGrid/>
          <w:spacing w:val="-3"/>
          <w:kern w:val="2"/>
          <w:sz w:val="24"/>
          <w:szCs w:val="24"/>
          <w:lang w:eastAsia="zh-CN"/>
        </w:rPr>
        <w:t>：</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根据贵方项目编号为____________的竞争性磋商文件要求，签字代表_________（全名、职务）经正式授权并代表_________（供应商名称、地址）提交包含响应文件组成第</w:t>
      </w:r>
      <w:r>
        <w:rPr>
          <w:rFonts w:hint="eastAsia" w:ascii="宋体" w:hAnsi="宋体" w:eastAsia="宋体" w:cs="宋体"/>
          <w:snapToGrid/>
          <w:spacing w:val="-3"/>
          <w:kern w:val="2"/>
          <w:sz w:val="24"/>
          <w:szCs w:val="24"/>
          <w:u w:val="single"/>
          <w:lang w:eastAsia="zh-CN"/>
        </w:rPr>
        <w:t xml:space="preserve">一 </w:t>
      </w:r>
      <w:r>
        <w:rPr>
          <w:rFonts w:hint="eastAsia" w:ascii="宋体" w:hAnsi="宋体" w:eastAsia="宋体" w:cs="宋体"/>
          <w:snapToGrid/>
          <w:spacing w:val="-3"/>
          <w:kern w:val="2"/>
          <w:sz w:val="24"/>
          <w:szCs w:val="24"/>
          <w:lang w:eastAsia="zh-CN"/>
        </w:rPr>
        <w:t>项至第</w:t>
      </w:r>
      <w:r>
        <w:rPr>
          <w:rFonts w:hint="eastAsia" w:ascii="宋体" w:hAnsi="宋体" w:eastAsia="宋体" w:cs="宋体"/>
          <w:snapToGrid/>
          <w:spacing w:val="-3"/>
          <w:kern w:val="2"/>
          <w:sz w:val="24"/>
          <w:szCs w:val="24"/>
          <w:u w:val="single"/>
          <w:lang w:eastAsia="zh-CN"/>
        </w:rPr>
        <w:t xml:space="preserve">  </w:t>
      </w:r>
      <w:r>
        <w:rPr>
          <w:rFonts w:hint="eastAsia" w:ascii="宋体" w:hAnsi="宋体" w:eastAsia="宋体" w:cs="宋体"/>
          <w:snapToGrid/>
          <w:spacing w:val="-3"/>
          <w:kern w:val="2"/>
          <w:sz w:val="24"/>
          <w:szCs w:val="24"/>
          <w:lang w:eastAsia="zh-CN"/>
        </w:rPr>
        <w:t>项的响应文件电子版本一份。</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据此函，签字代表宣布同意并郑重承诺如下：</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1、我方递交的响应文件中所有的资料均为真实的、准确的，无任何虚假内容。若存在有虚假内容，我方愿意承担法律责任。</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2、我方已详细审查全部竞争性磋商文件，包括修改文件（如有的话）以及全部参考资料和有关附件。我们完全理解并同意放弃对这方面有不明白及误解的权利。</w:t>
      </w:r>
    </w:p>
    <w:p>
      <w:pPr>
        <w:widowControl w:val="0"/>
        <w:spacing w:after="120" w:afterLines="0" w:line="360" w:lineRule="auto"/>
        <w:ind w:firstLine="468" w:firstLineChars="200"/>
        <w:jc w:val="both"/>
        <w:rPr>
          <w:rFonts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3、若成交，我方将按照竞争性磋商文件的具体规定与采购人签订供货安装调试或服务合同，并且严格按合同履行义务，按时交付使用，保证设备或服务质量符合竞争性磋商文件要求，并提供优质服务。如果在合同执行过程中，发现问题，我方一定尽快对其进行调整，并承担相应的经济责任。</w:t>
      </w:r>
    </w:p>
    <w:p>
      <w:pPr>
        <w:widowControl w:val="0"/>
        <w:spacing w:after="120" w:afterLines="0" w:line="360" w:lineRule="auto"/>
        <w:ind w:firstLine="468" w:firstLineChars="200"/>
        <w:jc w:val="both"/>
        <w:rPr>
          <w:rFonts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4、我方保证，严格遵守</w:t>
      </w:r>
      <w:r>
        <w:rPr>
          <w:rFonts w:hint="eastAsia" w:ascii="宋体" w:hAnsi="宋体" w:eastAsia="宋体" w:cs="宋体"/>
          <w:kern w:val="2"/>
          <w:sz w:val="24"/>
          <w:szCs w:val="24"/>
          <w:lang w:val="en-US" w:eastAsia="zh-CN" w:bidi="ar-SA"/>
        </w:rPr>
        <w:t>《中华人民共和国政府采购法》《中华人民共和国政府采购法实施条例》</w:t>
      </w:r>
      <w:r>
        <w:rPr>
          <w:rFonts w:hint="eastAsia" w:ascii="Times New Roman" w:hAnsi="Times New Roman" w:eastAsia="宋体" w:cs="Times New Roman"/>
          <w:kern w:val="2"/>
          <w:sz w:val="24"/>
          <w:szCs w:val="24"/>
          <w:lang w:val="en-US" w:eastAsia="zh-CN" w:bidi="ar-SA"/>
        </w:rPr>
        <w:t>《政府采购竞争性磋商采购方式管理暂行办法》</w:t>
      </w:r>
      <w:r>
        <w:rPr>
          <w:rFonts w:hint="eastAsia" w:ascii="宋体" w:hAnsi="宋体" w:eastAsia="宋体" w:cs="宋体"/>
          <w:spacing w:val="-3"/>
          <w:kern w:val="2"/>
          <w:sz w:val="24"/>
          <w:szCs w:val="24"/>
          <w:lang w:val="en-US" w:eastAsia="zh-CN" w:bidi="ar-SA"/>
        </w:rPr>
        <w:t>及其他相关法律法规的规定，若有违反上述法律法规的行为，愿意接受处罚并承担相应的法律责任。</w:t>
      </w:r>
    </w:p>
    <w:p>
      <w:pPr>
        <w:widowControl w:val="0"/>
        <w:spacing w:after="120" w:afterLines="0" w:line="360" w:lineRule="auto"/>
        <w:ind w:firstLine="468" w:firstLineChars="200"/>
        <w:jc w:val="both"/>
        <w:rPr>
          <w:rFonts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5、本承诺将成为合同不可分割的一部分，与合同具有同等的法律效力。</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 xml:space="preserve">供应商名称（公章）：                     </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法定代表人或负责人或被授权人签名（或盖章）：</w:t>
      </w:r>
    </w:p>
    <w:p>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lang w:eastAsia="zh-CN"/>
        </w:rPr>
      </w:pPr>
      <w:r>
        <w:rPr>
          <w:rFonts w:hint="eastAsia" w:ascii="宋体" w:hAnsi="宋体" w:eastAsia="宋体" w:cs="宋体"/>
          <w:snapToGrid/>
          <w:spacing w:val="-3"/>
          <w:kern w:val="2"/>
          <w:sz w:val="24"/>
          <w:szCs w:val="24"/>
          <w:lang w:eastAsia="zh-CN"/>
        </w:rPr>
        <w:t>日期：</w:t>
      </w:r>
      <w:r>
        <w:rPr>
          <w:rFonts w:hint="eastAsia" w:ascii="宋体" w:hAnsi="宋体" w:eastAsia="宋体" w:cs="宋体"/>
          <w:snapToGrid/>
          <w:spacing w:val="-3"/>
          <w:kern w:val="2"/>
          <w:sz w:val="24"/>
          <w:szCs w:val="24"/>
          <w:lang w:val="en-US" w:eastAsia="zh-CN"/>
        </w:rPr>
        <w:t xml:space="preserve">    </w:t>
      </w:r>
      <w:r>
        <w:rPr>
          <w:rFonts w:hint="eastAsia" w:ascii="宋体" w:hAnsi="宋体" w:eastAsia="宋体" w:cs="宋体"/>
          <w:snapToGrid/>
          <w:spacing w:val="-3"/>
          <w:kern w:val="2"/>
          <w:sz w:val="24"/>
          <w:szCs w:val="24"/>
          <w:lang w:eastAsia="zh-CN"/>
        </w:rPr>
        <w:t>年</w:t>
      </w:r>
      <w:r>
        <w:rPr>
          <w:rFonts w:hint="eastAsia" w:ascii="宋体" w:hAnsi="宋体" w:eastAsia="宋体" w:cs="宋体"/>
          <w:snapToGrid/>
          <w:spacing w:val="-3"/>
          <w:kern w:val="2"/>
          <w:sz w:val="24"/>
          <w:szCs w:val="24"/>
          <w:lang w:val="en-US" w:eastAsia="zh-CN"/>
        </w:rPr>
        <w:t xml:space="preserve">  </w:t>
      </w:r>
      <w:r>
        <w:rPr>
          <w:rFonts w:hint="eastAsia" w:ascii="宋体" w:hAnsi="宋体" w:eastAsia="宋体" w:cs="宋体"/>
          <w:snapToGrid/>
          <w:spacing w:val="-3"/>
          <w:kern w:val="2"/>
          <w:sz w:val="24"/>
          <w:szCs w:val="24"/>
          <w:lang w:eastAsia="zh-CN"/>
        </w:rPr>
        <w:t>月</w:t>
      </w:r>
      <w:r>
        <w:rPr>
          <w:rFonts w:hint="eastAsia" w:ascii="宋体" w:hAnsi="宋体" w:eastAsia="宋体" w:cs="宋体"/>
          <w:snapToGrid/>
          <w:spacing w:val="-3"/>
          <w:kern w:val="2"/>
          <w:sz w:val="24"/>
          <w:szCs w:val="24"/>
          <w:lang w:val="en-US" w:eastAsia="zh-CN"/>
        </w:rPr>
        <w:t xml:space="preserve">  </w:t>
      </w:r>
      <w:r>
        <w:rPr>
          <w:rFonts w:hint="eastAsia" w:ascii="宋体" w:hAnsi="宋体" w:eastAsia="宋体" w:cs="宋体"/>
          <w:snapToGrid/>
          <w:spacing w:val="-3"/>
          <w:kern w:val="2"/>
          <w:sz w:val="24"/>
          <w:szCs w:val="24"/>
          <w:lang w:eastAsia="zh-CN"/>
        </w:rPr>
        <w:t>日</w:t>
      </w:r>
    </w:p>
    <w:p>
      <w:pPr>
        <w:jc w:val="center"/>
        <w:outlineLvl w:val="9"/>
        <w:rPr>
          <w:b/>
          <w:bCs/>
          <w:w w:val="95"/>
          <w:sz w:val="36"/>
          <w:szCs w:val="36"/>
        </w:rPr>
      </w:pPr>
    </w:p>
    <w:p>
      <w:pPr>
        <w:pStyle w:val="31"/>
        <w:rPr>
          <w:b/>
          <w:bCs/>
          <w:w w:val="95"/>
          <w:sz w:val="36"/>
          <w:szCs w:val="36"/>
        </w:rPr>
      </w:pPr>
    </w:p>
    <w:p>
      <w:pPr>
        <w:pStyle w:val="31"/>
        <w:rPr>
          <w:b/>
          <w:bCs/>
          <w:w w:val="95"/>
          <w:sz w:val="36"/>
          <w:szCs w:val="36"/>
        </w:rPr>
      </w:pPr>
    </w:p>
    <w:p>
      <w:pPr>
        <w:pStyle w:val="31"/>
        <w:rPr>
          <w:b/>
          <w:bCs/>
          <w:w w:val="95"/>
          <w:sz w:val="36"/>
          <w:szCs w:val="36"/>
        </w:rPr>
      </w:pPr>
    </w:p>
    <w:p>
      <w:pPr>
        <w:pStyle w:val="31"/>
        <w:rPr>
          <w:b/>
          <w:bCs/>
          <w:w w:val="95"/>
          <w:sz w:val="36"/>
          <w:szCs w:val="36"/>
        </w:rPr>
      </w:pPr>
    </w:p>
    <w:p>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lang w:eastAsia="zh-CN"/>
        </w:rPr>
      </w:pPr>
      <w:r>
        <w:rPr>
          <w:rFonts w:hint="eastAsia" w:asciiTheme="majorEastAsia" w:hAnsiTheme="majorEastAsia" w:eastAsiaTheme="majorEastAsia" w:cstheme="majorEastAsia"/>
          <w:b/>
          <w:bCs/>
          <w:snapToGrid/>
          <w:spacing w:val="-3"/>
          <w:kern w:val="2"/>
          <w:sz w:val="32"/>
          <w:szCs w:val="32"/>
          <w:lang w:eastAsia="zh-CN"/>
        </w:rPr>
        <w:t>二、法定代表人或负责人授权委托书格式</w:t>
      </w:r>
    </w:p>
    <w:p>
      <w:pPr>
        <w:wordWrap w:val="0"/>
        <w:spacing w:line="360" w:lineRule="auto"/>
        <w:rPr>
          <w:rFonts w:ascii="宋体" w:hAnsi="宋体" w:cs="宋体"/>
          <w:spacing w:val="-3"/>
          <w:sz w:val="24"/>
        </w:rPr>
      </w:pPr>
    </w:p>
    <w:p>
      <w:pPr>
        <w:wordWrap w:val="0"/>
        <w:spacing w:line="360" w:lineRule="auto"/>
        <w:jc w:val="center"/>
        <w:rPr>
          <w:rFonts w:ascii="宋体" w:hAnsi="宋体" w:cs="宋体"/>
          <w:spacing w:val="-3"/>
          <w:sz w:val="24"/>
        </w:rPr>
      </w:pPr>
      <w:r>
        <w:rPr>
          <w:rFonts w:hint="eastAsia" w:ascii="宋体" w:hAnsi="宋体" w:cs="宋体"/>
          <w:b/>
          <w:bCs/>
          <w:spacing w:val="-3"/>
          <w:sz w:val="28"/>
          <w:szCs w:val="22"/>
        </w:rPr>
        <w:t>法定代表人或负责人授权委托书</w:t>
      </w:r>
    </w:p>
    <w:p>
      <w:pPr>
        <w:wordWrap w:val="0"/>
        <w:spacing w:line="360" w:lineRule="auto"/>
        <w:rPr>
          <w:rFonts w:ascii="宋体" w:hAnsi="宋体" w:cs="宋体"/>
          <w:spacing w:val="-3"/>
          <w:sz w:val="24"/>
        </w:rPr>
      </w:pPr>
    </w:p>
    <w:p>
      <w:pPr>
        <w:wordWrap w:val="0"/>
        <w:spacing w:line="360" w:lineRule="auto"/>
        <w:rPr>
          <w:rFonts w:ascii="宋体" w:hAnsi="宋体" w:cs="宋体"/>
          <w:spacing w:val="-3"/>
          <w:sz w:val="24"/>
        </w:rPr>
      </w:pPr>
      <w:r>
        <w:rPr>
          <w:rFonts w:hint="eastAsia" w:ascii="宋体" w:hAnsi="宋体" w:cs="宋体"/>
          <w:spacing w:val="-3"/>
          <w:sz w:val="24"/>
        </w:rPr>
        <w:t>致</w:t>
      </w:r>
      <w:r>
        <w:rPr>
          <w:rFonts w:hint="eastAsia" w:ascii="宋体" w:hAnsi="宋体" w:cs="宋体"/>
          <w:sz w:val="24"/>
        </w:rPr>
        <w:t>采购人或采购代理机构</w:t>
      </w:r>
      <w:r>
        <w:rPr>
          <w:rFonts w:hint="eastAsia" w:ascii="宋体" w:hAnsi="宋体" w:cs="宋体"/>
          <w:spacing w:val="-3"/>
          <w:sz w:val="24"/>
        </w:rPr>
        <w:t>：</w:t>
      </w:r>
    </w:p>
    <w:p>
      <w:pPr>
        <w:wordWrap w:val="0"/>
        <w:spacing w:line="360" w:lineRule="auto"/>
        <w:ind w:firstLine="702" w:firstLineChars="300"/>
        <w:rPr>
          <w:rFonts w:ascii="宋体" w:hAnsi="宋体" w:cs="宋体"/>
          <w:spacing w:val="-3"/>
          <w:sz w:val="24"/>
        </w:rPr>
      </w:pPr>
      <w:r>
        <w:rPr>
          <w:rFonts w:hint="eastAsia" w:ascii="宋体" w:hAnsi="宋体" w:cs="宋体"/>
          <w:spacing w:val="-3"/>
          <w:sz w:val="24"/>
        </w:rPr>
        <w:t>我_________（姓名）系_________（供应商名称）的法定代表人或负责人，现授权委托本单位在职职工</w:t>
      </w:r>
      <w:r>
        <w:rPr>
          <w:rFonts w:hint="eastAsia" w:ascii="宋体" w:hAnsi="宋体" w:cs="宋体"/>
          <w:spacing w:val="-3"/>
          <w:sz w:val="24"/>
          <w:u w:val="single"/>
        </w:rPr>
        <w:t>（姓名）</w:t>
      </w:r>
      <w:r>
        <w:rPr>
          <w:rFonts w:hint="eastAsia" w:ascii="宋体" w:hAnsi="宋体" w:cs="宋体"/>
          <w:spacing w:val="-3"/>
          <w:sz w:val="24"/>
        </w:rPr>
        <w:t>以我方的名义参加项目的竞争性磋商活动，并代表我方全权办理针对上述项目的具体事务和签署相关文件。我方对被授权人的签名事项负全部责任。</w:t>
      </w:r>
    </w:p>
    <w:p>
      <w:pPr>
        <w:wordWrap w:val="0"/>
        <w:spacing w:line="360" w:lineRule="auto"/>
        <w:ind w:firstLine="480"/>
        <w:rPr>
          <w:rFonts w:ascii="宋体" w:hAnsi="宋体" w:cs="宋体"/>
          <w:spacing w:val="-3"/>
          <w:sz w:val="24"/>
        </w:rPr>
      </w:pPr>
      <w:r>
        <w:rPr>
          <w:rFonts w:hint="eastAsia" w:ascii="宋体" w:hAnsi="宋体" w:cs="宋体"/>
          <w:spacing w:val="-3"/>
          <w:sz w:val="24"/>
        </w:rPr>
        <w:t>在撤销授权的书面通知以前，本授权书一直有效。被授权人在授权书有效期内签署的所有文件不因授权的撤销而失效。</w:t>
      </w:r>
    </w:p>
    <w:p>
      <w:pPr>
        <w:wordWrap w:val="0"/>
        <w:spacing w:line="360" w:lineRule="auto"/>
        <w:ind w:firstLine="480"/>
        <w:rPr>
          <w:rFonts w:ascii="宋体" w:hAnsi="宋体" w:cs="宋体"/>
          <w:spacing w:val="-3"/>
          <w:sz w:val="24"/>
        </w:rPr>
      </w:pPr>
      <w:r>
        <w:rPr>
          <w:rFonts w:hint="eastAsia" w:ascii="宋体" w:hAnsi="宋体" w:cs="宋体"/>
          <w:spacing w:val="-3"/>
          <w:sz w:val="24"/>
        </w:rPr>
        <w:t>被授权人无转委托权，特此委托。</w:t>
      </w:r>
    </w:p>
    <w:p>
      <w:pPr>
        <w:wordWrap w:val="0"/>
        <w:spacing w:line="360" w:lineRule="auto"/>
        <w:rPr>
          <w:rFonts w:ascii="宋体" w:hAnsi="宋体" w:cs="宋体"/>
          <w:spacing w:val="-3"/>
          <w:sz w:val="24"/>
        </w:rPr>
      </w:pPr>
    </w:p>
    <w:p>
      <w:pPr>
        <w:wordWrap w:val="0"/>
        <w:spacing w:line="360" w:lineRule="auto"/>
        <w:ind w:firstLine="2574" w:firstLineChars="1100"/>
        <w:rPr>
          <w:rFonts w:ascii="宋体" w:hAnsi="宋体" w:cs="宋体"/>
          <w:spacing w:val="-3"/>
          <w:sz w:val="24"/>
        </w:rPr>
      </w:pPr>
      <w:r>
        <w:rPr>
          <w:rFonts w:hint="eastAsia" w:ascii="宋体" w:hAnsi="宋体" w:cs="宋体"/>
          <w:spacing w:val="-3"/>
          <w:sz w:val="24"/>
        </w:rPr>
        <w:t>法定代表人或负责人签名（或盖章）：</w:t>
      </w:r>
    </w:p>
    <w:p>
      <w:pPr>
        <w:wordWrap w:val="0"/>
        <w:spacing w:line="360" w:lineRule="auto"/>
        <w:ind w:firstLine="2574" w:firstLineChars="1100"/>
        <w:rPr>
          <w:rFonts w:ascii="宋体" w:hAnsi="宋体" w:cs="宋体"/>
          <w:spacing w:val="-3"/>
          <w:sz w:val="24"/>
        </w:rPr>
      </w:pPr>
      <w:r>
        <w:rPr>
          <w:rFonts w:hint="eastAsia" w:ascii="宋体" w:hAnsi="宋体" w:cs="宋体"/>
          <w:spacing w:val="-3"/>
          <w:sz w:val="24"/>
        </w:rPr>
        <w:t>被授权人签名（或盖章）：</w:t>
      </w:r>
    </w:p>
    <w:p>
      <w:pPr>
        <w:wordWrap w:val="0"/>
        <w:spacing w:line="360" w:lineRule="auto"/>
        <w:ind w:firstLine="2574" w:firstLineChars="1100"/>
        <w:rPr>
          <w:rFonts w:ascii="宋体" w:hAnsi="宋体" w:cs="宋体"/>
          <w:spacing w:val="-3"/>
          <w:sz w:val="24"/>
        </w:rPr>
      </w:pPr>
      <w:r>
        <w:rPr>
          <w:rFonts w:hint="eastAsia" w:ascii="宋体" w:hAnsi="宋体" w:cs="宋体"/>
          <w:spacing w:val="-3"/>
          <w:sz w:val="24"/>
        </w:rPr>
        <w:t>职务：</w:t>
      </w:r>
    </w:p>
    <w:p>
      <w:pPr>
        <w:wordWrap w:val="0"/>
        <w:spacing w:line="360" w:lineRule="auto"/>
        <w:ind w:firstLine="2634" w:firstLineChars="1126"/>
        <w:rPr>
          <w:rFonts w:ascii="宋体" w:hAnsi="宋体" w:cs="宋体"/>
          <w:spacing w:val="-3"/>
          <w:sz w:val="24"/>
        </w:rPr>
      </w:pPr>
      <w:r>
        <w:rPr>
          <w:rFonts w:hint="eastAsia" w:ascii="宋体" w:hAnsi="宋体" w:cs="宋体"/>
          <w:spacing w:val="-3"/>
          <w:sz w:val="24"/>
        </w:rPr>
        <w:t>联系电话：</w:t>
      </w:r>
    </w:p>
    <w:p>
      <w:pPr>
        <w:wordWrap w:val="0"/>
        <w:spacing w:line="360" w:lineRule="auto"/>
        <w:rPr>
          <w:rFonts w:ascii="宋体" w:hAnsi="宋体" w:cs="宋体"/>
          <w:spacing w:val="-3"/>
          <w:sz w:val="24"/>
        </w:rPr>
      </w:pPr>
    </w:p>
    <w:p>
      <w:pPr>
        <w:wordWrap w:val="0"/>
        <w:spacing w:line="360" w:lineRule="auto"/>
        <w:rPr>
          <w:rFonts w:ascii="宋体" w:hAnsi="宋体" w:cs="宋体"/>
          <w:spacing w:val="-3"/>
          <w:sz w:val="24"/>
        </w:rPr>
      </w:pPr>
      <w:r>
        <w:rPr>
          <w:rFonts w:hint="eastAsia" w:ascii="宋体" w:hAnsi="宋体" w:cs="宋体"/>
          <w:spacing w:val="-3"/>
          <w:sz w:val="24"/>
        </w:rPr>
        <w:t>法定代表人或负责人、被授权人身份证复印件</w:t>
      </w:r>
    </w:p>
    <w:p>
      <w:pPr>
        <w:wordWrap w:val="0"/>
        <w:spacing w:line="360" w:lineRule="auto"/>
        <w:rPr>
          <w:rFonts w:ascii="宋体" w:hAnsi="宋体" w:cs="宋体"/>
          <w:spacing w:val="-3"/>
          <w:sz w:val="24"/>
        </w:rPr>
      </w:pPr>
    </w:p>
    <w:p>
      <w:pPr>
        <w:wordWrap w:val="0"/>
        <w:spacing w:line="360" w:lineRule="auto"/>
        <w:ind w:firstLine="6786" w:firstLineChars="2900"/>
        <w:rPr>
          <w:rFonts w:ascii="宋体" w:hAnsi="宋体" w:cs="宋体"/>
          <w:spacing w:val="-3"/>
          <w:sz w:val="24"/>
        </w:rPr>
      </w:pPr>
    </w:p>
    <w:p>
      <w:pPr>
        <w:wordWrap w:val="0"/>
        <w:spacing w:line="360" w:lineRule="auto"/>
        <w:ind w:firstLine="5382" w:firstLineChars="2300"/>
        <w:rPr>
          <w:rFonts w:ascii="宋体" w:hAnsi="宋体" w:cs="宋体"/>
          <w:spacing w:val="-3"/>
          <w:sz w:val="24"/>
        </w:rPr>
      </w:pPr>
      <w:r>
        <w:rPr>
          <w:rFonts w:hint="eastAsia" w:ascii="宋体" w:hAnsi="宋体" w:cs="宋体"/>
          <w:spacing w:val="-3"/>
          <w:sz w:val="24"/>
        </w:rPr>
        <w:t>供应商公章：</w:t>
      </w:r>
    </w:p>
    <w:p>
      <w:pPr>
        <w:wordWrap w:val="0"/>
        <w:spacing w:line="360" w:lineRule="auto"/>
        <w:ind w:firstLine="5400" w:firstLineChars="2250"/>
        <w:rPr>
          <w:rFonts w:ascii="宋体" w:hAnsi="宋体" w:cs="宋体"/>
          <w:sz w:val="24"/>
          <w:lang w:val="zh-CN"/>
        </w:rPr>
      </w:pPr>
      <w:r>
        <w:rPr>
          <w:rFonts w:hint="eastAsia" w:ascii="宋体" w:hAnsi="宋体" w:cs="宋体"/>
          <w:sz w:val="24"/>
          <w:lang w:val="zh-CN"/>
        </w:rPr>
        <w:t>日期：</w:t>
      </w:r>
      <w:r>
        <w:rPr>
          <w:rFonts w:hint="eastAsia" w:ascii="宋体" w:hAnsi="宋体" w:eastAsia="宋体" w:cs="宋体"/>
          <w:sz w:val="24"/>
          <w:lang w:val="en-US" w:eastAsia="zh-CN"/>
        </w:rPr>
        <w:t xml:space="preserve">   </w:t>
      </w:r>
      <w:r>
        <w:rPr>
          <w:rFonts w:hint="eastAsia" w:ascii="宋体" w:hAnsi="宋体" w:cs="宋体"/>
          <w:spacing w:val="-8"/>
          <w:sz w:val="24"/>
        </w:rPr>
        <w:t>年</w:t>
      </w:r>
      <w:r>
        <w:rPr>
          <w:rFonts w:hint="eastAsia" w:ascii="宋体" w:hAnsi="宋体" w:eastAsia="宋体" w:cs="宋体"/>
          <w:spacing w:val="-8"/>
          <w:sz w:val="24"/>
          <w:lang w:val="en-US" w:eastAsia="zh-CN"/>
        </w:rPr>
        <w:t xml:space="preserve">   </w:t>
      </w:r>
      <w:r>
        <w:rPr>
          <w:rFonts w:hint="eastAsia" w:ascii="宋体" w:hAnsi="宋体" w:cs="宋体"/>
          <w:spacing w:val="-8"/>
          <w:sz w:val="24"/>
        </w:rPr>
        <w:t>月</w:t>
      </w:r>
      <w:r>
        <w:rPr>
          <w:rFonts w:hint="eastAsia" w:ascii="宋体" w:hAnsi="宋体" w:eastAsia="宋体" w:cs="宋体"/>
          <w:spacing w:val="-8"/>
          <w:sz w:val="24"/>
          <w:lang w:val="en-US" w:eastAsia="zh-CN"/>
        </w:rPr>
        <w:t xml:space="preserve">   </w:t>
      </w:r>
      <w:r>
        <w:rPr>
          <w:rFonts w:hint="eastAsia" w:ascii="宋体" w:hAnsi="宋体" w:cs="宋体"/>
          <w:spacing w:val="-8"/>
          <w:sz w:val="24"/>
        </w:rPr>
        <w:t>日</w:t>
      </w:r>
    </w:p>
    <w:p>
      <w:pPr>
        <w:pStyle w:val="31"/>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jc w:val="center"/>
        <w:outlineLvl w:val="9"/>
        <w:rPr>
          <w:b/>
          <w:bCs/>
          <w:w w:val="95"/>
          <w:sz w:val="36"/>
          <w:szCs w:val="36"/>
        </w:rPr>
      </w:pPr>
    </w:p>
    <w:p>
      <w:pPr>
        <w:pStyle w:val="31"/>
        <w:rPr>
          <w:b/>
          <w:bCs/>
          <w:w w:val="95"/>
          <w:sz w:val="36"/>
          <w:szCs w:val="36"/>
        </w:rPr>
      </w:pPr>
    </w:p>
    <w:p>
      <w:pPr>
        <w:pStyle w:val="31"/>
        <w:rPr>
          <w:b/>
          <w:bCs/>
          <w:w w:val="95"/>
          <w:sz w:val="36"/>
          <w:szCs w:val="36"/>
        </w:rPr>
      </w:pPr>
    </w:p>
    <w:p>
      <w:pPr>
        <w:jc w:val="center"/>
        <w:outlineLvl w:val="9"/>
        <w:rPr>
          <w:b/>
          <w:bCs/>
          <w:w w:val="95"/>
          <w:sz w:val="36"/>
          <w:szCs w:val="36"/>
        </w:rPr>
      </w:pPr>
    </w:p>
    <w:p>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lang w:eastAsia="zh-CN"/>
        </w:rPr>
      </w:pPr>
      <w:bookmarkStart w:id="118" w:name="_Toc31556"/>
      <w:bookmarkStart w:id="119" w:name="_Toc13448"/>
      <w:r>
        <w:rPr>
          <w:rFonts w:hint="eastAsia" w:asciiTheme="majorEastAsia" w:hAnsiTheme="majorEastAsia" w:eastAsiaTheme="majorEastAsia" w:cstheme="majorEastAsia"/>
          <w:b/>
          <w:bCs/>
          <w:snapToGrid/>
          <w:spacing w:val="-3"/>
          <w:kern w:val="2"/>
          <w:sz w:val="32"/>
          <w:szCs w:val="32"/>
          <w:lang w:val="en-US" w:eastAsia="zh-CN"/>
        </w:rPr>
        <w:t>三、</w:t>
      </w:r>
      <w:r>
        <w:rPr>
          <w:rFonts w:hint="eastAsia" w:asciiTheme="majorEastAsia" w:hAnsiTheme="majorEastAsia" w:eastAsiaTheme="majorEastAsia" w:cstheme="majorEastAsia"/>
          <w:b/>
          <w:bCs/>
          <w:snapToGrid/>
          <w:spacing w:val="-3"/>
          <w:kern w:val="2"/>
          <w:sz w:val="32"/>
          <w:szCs w:val="32"/>
          <w:lang w:eastAsia="zh-CN"/>
        </w:rPr>
        <w:t>报价一览表格式</w:t>
      </w:r>
    </w:p>
    <w:tbl>
      <w:tblPr>
        <w:tblStyle w:val="16"/>
        <w:tblW w:w="46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4"/>
        <w:gridCol w:w="7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pacing w:val="-8"/>
                <w:sz w:val="24"/>
              </w:rPr>
            </w:pPr>
            <w:r>
              <w:rPr>
                <w:rFonts w:hint="eastAsia" w:ascii="宋体" w:hAnsi="宋体" w:cs="宋体"/>
                <w:b/>
                <w:bCs/>
                <w:spacing w:val="-8"/>
                <w:sz w:val="24"/>
              </w:rPr>
              <w:t>项目名称</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项目编号</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投标人</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磋商报价</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r>
              <w:rPr>
                <w:rFonts w:hint="eastAsia" w:ascii="宋体" w:hAnsi="宋体" w:cs="宋体"/>
                <w:spacing w:val="-8"/>
                <w:sz w:val="24"/>
              </w:rPr>
              <w:t>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hint="eastAsia" w:ascii="宋体" w:hAnsi="宋体" w:eastAsia="宋体" w:cs="宋体"/>
                <w:b/>
                <w:bCs/>
                <w:spacing w:val="-8"/>
                <w:sz w:val="24"/>
                <w:lang w:eastAsia="zh-CN"/>
              </w:rPr>
            </w:pPr>
            <w:r>
              <w:rPr>
                <w:rFonts w:hint="eastAsia" w:ascii="宋体" w:hAnsi="宋体" w:eastAsia="宋体" w:cs="宋体"/>
                <w:b/>
                <w:bCs/>
                <w:spacing w:val="-8"/>
                <w:sz w:val="24"/>
                <w:lang w:val="en-US" w:eastAsia="zh-CN"/>
              </w:rPr>
              <w:t>工期</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质量</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jc w:val="center"/>
              <w:rPr>
                <w:rFonts w:ascii="宋体" w:hAnsi="宋体" w:cs="宋体"/>
                <w:b/>
                <w:bCs/>
                <w:spacing w:val="-8"/>
                <w:sz w:val="24"/>
              </w:rPr>
            </w:pPr>
            <w:r>
              <w:rPr>
                <w:rFonts w:hint="eastAsia" w:ascii="宋体" w:hAnsi="宋体" w:cs="宋体"/>
                <w:b/>
                <w:bCs/>
                <w:spacing w:val="-8"/>
                <w:sz w:val="24"/>
              </w:rPr>
              <w:t>备注</w:t>
            </w:r>
          </w:p>
        </w:tc>
        <w:tc>
          <w:tcPr>
            <w:tcW w:w="3760" w:type="pct"/>
            <w:tcBorders>
              <w:top w:val="single" w:color="auto" w:sz="4" w:space="0"/>
              <w:left w:val="single" w:color="auto" w:sz="4" w:space="0"/>
              <w:bottom w:val="single" w:color="auto" w:sz="4" w:space="0"/>
              <w:right w:val="single" w:color="auto" w:sz="4" w:space="0"/>
            </w:tcBorders>
            <w:noWrap w:val="0"/>
            <w:vAlign w:val="center"/>
          </w:tcPr>
          <w:p>
            <w:pPr>
              <w:wordWrap w:val="0"/>
              <w:spacing w:line="360" w:lineRule="auto"/>
              <w:rPr>
                <w:rFonts w:ascii="宋体" w:hAnsi="宋体" w:cs="宋体"/>
                <w:spacing w:val="24"/>
                <w:sz w:val="24"/>
              </w:rPr>
            </w:pPr>
          </w:p>
          <w:p>
            <w:pPr>
              <w:wordWrap w:val="0"/>
              <w:spacing w:line="360" w:lineRule="auto"/>
              <w:rPr>
                <w:rFonts w:ascii="宋体" w:hAnsi="宋体" w:cs="宋体"/>
                <w:spacing w:val="24"/>
                <w:sz w:val="24"/>
              </w:rPr>
            </w:pPr>
          </w:p>
        </w:tc>
      </w:tr>
    </w:tbl>
    <w:p>
      <w:pPr>
        <w:wordWrap w:val="0"/>
        <w:spacing w:line="360" w:lineRule="auto"/>
        <w:rPr>
          <w:rFonts w:hint="eastAsia" w:ascii="宋体" w:hAnsi="宋体" w:cs="宋体"/>
          <w:b/>
          <w:bCs/>
          <w:spacing w:val="-8"/>
          <w:sz w:val="24"/>
        </w:rPr>
      </w:pPr>
    </w:p>
    <w:p>
      <w:pPr>
        <w:wordWrap w:val="0"/>
        <w:spacing w:line="360" w:lineRule="auto"/>
        <w:rPr>
          <w:rFonts w:hint="eastAsia" w:ascii="宋体" w:hAnsi="宋体" w:cs="宋体"/>
          <w:b/>
          <w:bCs/>
          <w:spacing w:val="-8"/>
          <w:sz w:val="24"/>
        </w:rPr>
      </w:pPr>
      <w:r>
        <w:rPr>
          <w:rFonts w:hint="eastAsia" w:ascii="宋体" w:hAnsi="宋体" w:cs="宋体"/>
          <w:b/>
          <w:bCs/>
          <w:spacing w:val="-8"/>
          <w:sz w:val="24"/>
        </w:rPr>
        <w:t>供应商（公章）：</w:t>
      </w:r>
    </w:p>
    <w:p>
      <w:pPr>
        <w:wordWrap w:val="0"/>
        <w:spacing w:line="360" w:lineRule="auto"/>
        <w:rPr>
          <w:rFonts w:ascii="宋体" w:hAnsi="宋体" w:cs="宋体"/>
          <w:b/>
          <w:bCs/>
          <w:spacing w:val="-8"/>
          <w:sz w:val="24"/>
        </w:rPr>
      </w:pPr>
      <w:r>
        <w:rPr>
          <w:rFonts w:hint="eastAsia" w:ascii="宋体" w:hAnsi="宋体" w:cs="宋体"/>
          <w:b/>
          <w:bCs/>
          <w:spacing w:val="-8"/>
          <w:sz w:val="24"/>
        </w:rPr>
        <w:t>法定代表人（负责人）或授权代表（签字）：</w:t>
      </w:r>
    </w:p>
    <w:p>
      <w:pPr>
        <w:wordWrap w:val="0"/>
        <w:spacing w:line="360" w:lineRule="auto"/>
        <w:rPr>
          <w:rFonts w:ascii="宋体" w:hAnsi="宋体" w:cs="宋体"/>
          <w:b/>
          <w:bCs/>
          <w:spacing w:val="-8"/>
          <w:sz w:val="24"/>
          <w:lang w:val="zh-CN"/>
        </w:rPr>
      </w:pPr>
      <w:r>
        <w:rPr>
          <w:rFonts w:hint="eastAsia" w:ascii="宋体" w:hAnsi="宋体" w:cs="宋体"/>
          <w:b/>
          <w:bCs/>
          <w:spacing w:val="-8"/>
          <w:sz w:val="24"/>
        </w:rPr>
        <w:t>日期：</w:t>
      </w:r>
      <w:r>
        <w:rPr>
          <w:rFonts w:hint="eastAsia" w:ascii="宋体" w:hAnsi="宋体" w:eastAsia="宋体" w:cs="宋体"/>
          <w:b/>
          <w:bCs/>
          <w:spacing w:val="-8"/>
          <w:sz w:val="24"/>
          <w:lang w:val="en-US" w:eastAsia="zh-CN"/>
        </w:rPr>
        <w:t xml:space="preserve">  </w:t>
      </w:r>
      <w:r>
        <w:rPr>
          <w:rFonts w:hint="eastAsia" w:ascii="宋体" w:hAnsi="宋体" w:cs="宋体"/>
          <w:b/>
          <w:bCs/>
          <w:spacing w:val="-8"/>
          <w:sz w:val="24"/>
        </w:rPr>
        <w:t>年</w:t>
      </w:r>
      <w:r>
        <w:rPr>
          <w:rFonts w:hint="eastAsia" w:ascii="宋体" w:hAnsi="宋体" w:eastAsia="宋体" w:cs="宋体"/>
          <w:b/>
          <w:bCs/>
          <w:spacing w:val="-8"/>
          <w:sz w:val="24"/>
          <w:lang w:val="en-US" w:eastAsia="zh-CN"/>
        </w:rPr>
        <w:t xml:space="preserve">   </w:t>
      </w:r>
      <w:r>
        <w:rPr>
          <w:rFonts w:hint="eastAsia" w:ascii="宋体" w:hAnsi="宋体" w:cs="宋体"/>
          <w:b/>
          <w:bCs/>
          <w:spacing w:val="-8"/>
          <w:sz w:val="24"/>
        </w:rPr>
        <w:t>月</w:t>
      </w:r>
      <w:r>
        <w:rPr>
          <w:rFonts w:hint="eastAsia" w:ascii="宋体" w:hAnsi="宋体" w:eastAsia="宋体" w:cs="宋体"/>
          <w:b/>
          <w:bCs/>
          <w:spacing w:val="-8"/>
          <w:sz w:val="24"/>
          <w:lang w:val="en-US" w:eastAsia="zh-CN"/>
        </w:rPr>
        <w:t xml:space="preserve">   </w:t>
      </w:r>
      <w:r>
        <w:rPr>
          <w:rFonts w:hint="eastAsia" w:ascii="宋体" w:hAnsi="宋体" w:cs="宋体"/>
          <w:b/>
          <w:bCs/>
          <w:spacing w:val="-8"/>
          <w:sz w:val="24"/>
        </w:rPr>
        <w:t>日</w:t>
      </w:r>
    </w:p>
    <w:p>
      <w:pPr>
        <w:spacing w:line="360" w:lineRule="auto"/>
        <w:rPr>
          <w:rFonts w:hint="eastAsia" w:ascii="宋体" w:hAnsi="宋体" w:cs="宋体"/>
          <w:szCs w:val="21"/>
        </w:rPr>
      </w:pPr>
    </w:p>
    <w:bookmarkEnd w:id="118"/>
    <w:bookmarkEnd w:id="119"/>
    <w:p>
      <w:pPr>
        <w:jc w:val="center"/>
        <w:outlineLvl w:val="1"/>
        <w:rPr>
          <w:b/>
          <w:bCs/>
          <w:w w:val="95"/>
          <w:sz w:val="36"/>
          <w:szCs w:val="36"/>
        </w:rPr>
      </w:pPr>
      <w:bookmarkStart w:id="120" w:name="_Toc27812"/>
      <w:bookmarkStart w:id="121" w:name="_Toc13223"/>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wordWrap w:val="0"/>
        <w:spacing w:line="360" w:lineRule="auto"/>
        <w:rPr>
          <w:rFonts w:hint="eastAsia" w:ascii="宋体" w:hAnsi="宋体" w:cs="宋体"/>
          <w:b/>
          <w:bCs/>
          <w:sz w:val="24"/>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b/>
          <w:bCs/>
          <w:snapToGrid w:val="0"/>
          <w:color w:val="000000"/>
          <w:spacing w:val="-3"/>
          <w:kern w:val="0"/>
          <w:sz w:val="28"/>
          <w:szCs w:val="28"/>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napToGrid w:val="0"/>
          <w:color w:val="000000"/>
          <w:spacing w:val="-3"/>
          <w:kern w:val="0"/>
          <w:sz w:val="28"/>
          <w:szCs w:val="28"/>
          <w:lang w:val="en-US" w:eastAsia="zh-CN" w:bidi="ar-SA"/>
        </w:rPr>
      </w:pPr>
      <w:r>
        <w:rPr>
          <w:rFonts w:hint="eastAsia" w:asciiTheme="minorEastAsia" w:hAnsiTheme="minorEastAsia" w:eastAsiaTheme="minorEastAsia" w:cstheme="minorEastAsia"/>
          <w:b/>
          <w:bCs/>
          <w:snapToGrid w:val="0"/>
          <w:color w:val="000000"/>
          <w:spacing w:val="-3"/>
          <w:kern w:val="0"/>
          <w:sz w:val="28"/>
          <w:szCs w:val="28"/>
          <w:lang w:val="en-US" w:eastAsia="zh-CN" w:bidi="ar-SA"/>
        </w:rPr>
        <w:t>四、营业执照副本、依法缴纳税收和社会保障资金的缴费凭证、审计或财务报告、</w:t>
      </w:r>
      <w:r>
        <w:rPr>
          <w:rFonts w:hint="eastAsia" w:asciiTheme="minorEastAsia" w:hAnsiTheme="minorEastAsia" w:eastAsiaTheme="minorEastAsia" w:cstheme="minorEastAsia"/>
          <w:b/>
          <w:bCs/>
          <w:sz w:val="28"/>
          <w:szCs w:val="28"/>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8"/>
          <w:szCs w:val="28"/>
          <w:lang w:val="en-US" w:eastAsia="zh-CN" w:bidi="ar-SA"/>
        </w:rPr>
        <w:t>近三年内在经营活动中没有重大违法记录的声明等；</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审计或财务报告</w:t>
      </w:r>
      <w:r>
        <w:rPr>
          <w:rFonts w:hint="eastAsia" w:asciiTheme="minorEastAsia" w:hAnsiTheme="minorEastAsia" w:eastAsiaTheme="minorEastAsia" w:cstheme="minorEastAsia"/>
          <w:b w:val="0"/>
          <w:bCs w:val="0"/>
          <w:sz w:val="28"/>
          <w:szCs w:val="28"/>
          <w:lang w:eastAsia="zh-CN"/>
        </w:rPr>
        <w:t>说明：</w:t>
      </w:r>
    </w:p>
    <w:p>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1.</w:t>
      </w:r>
      <w:r>
        <w:rPr>
          <w:rFonts w:hint="eastAsia" w:asciiTheme="minorEastAsia" w:hAnsiTheme="minorEastAsia" w:eastAsiaTheme="minorEastAsia" w:cstheme="minorEastAsia"/>
          <w:b w:val="0"/>
          <w:bCs w:val="0"/>
          <w:sz w:val="28"/>
          <w:szCs w:val="28"/>
          <w:lang w:eastAsia="zh-CN"/>
        </w:rPr>
        <w:t>提供本单位</w:t>
      </w:r>
      <w:r>
        <w:rPr>
          <w:rFonts w:hint="eastAsia" w:asciiTheme="minorEastAsia" w:hAnsiTheme="minorEastAsia" w:eastAsiaTheme="minorEastAsia" w:cstheme="minorEastAsia"/>
          <w:b w:val="0"/>
          <w:bCs w:val="0"/>
          <w:sz w:val="28"/>
          <w:szCs w:val="28"/>
          <w:lang w:val="en-US" w:eastAsia="zh-CN"/>
        </w:rPr>
        <w:t>2021年、2022年、2023</w:t>
      </w:r>
      <w:bookmarkStart w:id="133" w:name="_GoBack"/>
      <w:bookmarkEnd w:id="133"/>
      <w:r>
        <w:rPr>
          <w:rFonts w:hint="eastAsia" w:asciiTheme="minorEastAsia" w:hAnsiTheme="minorEastAsia" w:eastAsiaTheme="minorEastAsia" w:cstheme="minorEastAsia"/>
          <w:b w:val="0"/>
          <w:bCs w:val="0"/>
          <w:sz w:val="28"/>
          <w:szCs w:val="28"/>
          <w:lang w:val="en-US" w:eastAsia="zh-CN"/>
        </w:rPr>
        <w:t>年年度</w:t>
      </w:r>
      <w:r>
        <w:rPr>
          <w:rFonts w:hint="eastAsia" w:asciiTheme="minorEastAsia" w:hAnsiTheme="minorEastAsia" w:eastAsiaTheme="minorEastAsia" w:cstheme="minorEastAsia"/>
          <w:b w:val="0"/>
          <w:bCs w:val="0"/>
          <w:sz w:val="28"/>
          <w:szCs w:val="28"/>
          <w:lang w:eastAsia="zh-CN"/>
        </w:rPr>
        <w:t>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8"/>
          <w:szCs w:val="28"/>
        </w:rPr>
        <w:t>供应商</w:t>
      </w:r>
      <w:r>
        <w:rPr>
          <w:rFonts w:hint="eastAsia" w:asciiTheme="minorEastAsia" w:hAnsiTheme="minorEastAsia" w:eastAsiaTheme="minorEastAsia" w:cstheme="minorEastAsia"/>
          <w:b w:val="0"/>
          <w:bCs w:val="0"/>
          <w:sz w:val="28"/>
          <w:szCs w:val="28"/>
          <w:lang w:eastAsia="zh-CN"/>
        </w:rPr>
        <w:t>与银行之间业务往来正常，企业信誉良好等。</w:t>
      </w:r>
    </w:p>
    <w:p>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2.</w:t>
      </w:r>
      <w:r>
        <w:rPr>
          <w:rFonts w:hint="eastAsia" w:asciiTheme="minorEastAsia" w:hAnsiTheme="minorEastAsia" w:eastAsiaTheme="minorEastAsia" w:cstheme="minorEastAsia"/>
          <w:spacing w:val="2"/>
          <w:sz w:val="28"/>
          <w:szCs w:val="28"/>
        </w:rPr>
        <w:t>供应商</w:t>
      </w:r>
      <w:r>
        <w:rPr>
          <w:rFonts w:hint="eastAsia" w:asciiTheme="minorEastAsia" w:hAnsiTheme="minorEastAsia" w:eastAsiaTheme="minorEastAsia" w:cstheme="minorEastAsia"/>
          <w:b w:val="0"/>
          <w:bCs w:val="0"/>
          <w:sz w:val="28"/>
          <w:szCs w:val="28"/>
          <w:lang w:eastAsia="zh-CN"/>
        </w:rPr>
        <w:t>提供企业有关财务会计制度。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t>近三年内在经营活动中没有重大违法记录的声明（格式）</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声明函</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公司全称）向本项目的采购人和采购代理机构郑重声明如下：</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31"/>
      </w:pPr>
    </w:p>
    <w:p>
      <w:pPr>
        <w:pStyle w:val="31"/>
      </w:pPr>
    </w:p>
    <w:p>
      <w:pPr>
        <w:jc w:val="center"/>
        <w:outlineLvl w:val="1"/>
        <w:rPr>
          <w:b/>
          <w:bCs/>
          <w:w w:val="95"/>
          <w:sz w:val="36"/>
          <w:szCs w:val="36"/>
        </w:rPr>
      </w:pPr>
    </w:p>
    <w:p/>
    <w:p>
      <w:pPr>
        <w:pStyle w:val="2"/>
      </w:pPr>
    </w:p>
    <w:p>
      <w:pPr>
        <w:spacing w:before="125"/>
        <w:ind w:left="538" w:right="539" w:firstLine="0"/>
        <w:jc w:val="center"/>
        <w:outlineLvl w:val="0"/>
        <w:rPr>
          <w:b/>
          <w:color w:val="auto"/>
          <w:sz w:val="32"/>
        </w:rPr>
      </w:pPr>
      <w:bookmarkStart w:id="122" w:name="_Toc21983"/>
      <w:r>
        <w:rPr>
          <w:b/>
          <w:color w:val="auto"/>
          <w:sz w:val="32"/>
        </w:rPr>
        <w:t>五、项目管理机构</w:t>
      </w:r>
      <w:bookmarkEnd w:id="122"/>
    </w:p>
    <w:p>
      <w:pPr>
        <w:pStyle w:val="9"/>
        <w:spacing w:before="242"/>
        <w:ind w:right="536"/>
        <w:outlineLvl w:val="1"/>
        <w:rPr>
          <w:color w:val="auto"/>
        </w:rPr>
      </w:pPr>
      <w:bookmarkStart w:id="123" w:name="_Toc17662"/>
      <w:r>
        <w:rPr>
          <w:color w:val="auto"/>
        </w:rPr>
        <w:t>（一）项目人员组成表</w:t>
      </w:r>
      <w:bookmarkEnd w:id="123"/>
    </w:p>
    <w:p>
      <w:pPr>
        <w:pStyle w:val="3"/>
        <w:spacing w:before="4"/>
        <w:ind w:left="0"/>
        <w:rPr>
          <w:b/>
          <w:color w:val="auto"/>
          <w:sz w:val="10"/>
        </w:rPr>
      </w:pPr>
    </w:p>
    <w:tbl>
      <w:tblPr>
        <w:tblStyle w:val="16"/>
        <w:tblW w:w="9292"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8"/>
        <w:gridCol w:w="898"/>
        <w:gridCol w:w="903"/>
        <w:gridCol w:w="1498"/>
        <w:gridCol w:w="1302"/>
        <w:gridCol w:w="1417"/>
        <w:gridCol w:w="1475"/>
        <w:gridCol w:w="901"/>
      </w:tblGrid>
      <w:tr>
        <w:tblPrEx>
          <w:tblCellMar>
            <w:top w:w="0" w:type="dxa"/>
            <w:left w:w="0" w:type="dxa"/>
            <w:bottom w:w="0" w:type="dxa"/>
            <w:right w:w="0" w:type="dxa"/>
          </w:tblCellMar>
        </w:tblPrEx>
        <w:trPr>
          <w:trHeight w:val="664" w:hRule="atLeast"/>
        </w:trPr>
        <w:tc>
          <w:tcPr>
            <w:tcW w:w="898" w:type="dxa"/>
            <w:vMerge w:val="restart"/>
            <w:vAlign w:val="top"/>
          </w:tcPr>
          <w:p>
            <w:pPr>
              <w:pStyle w:val="28"/>
              <w:rPr>
                <w:b/>
                <w:color w:val="auto"/>
                <w:sz w:val="22"/>
              </w:rPr>
            </w:pPr>
          </w:p>
          <w:p>
            <w:pPr>
              <w:pStyle w:val="28"/>
              <w:spacing w:before="3"/>
              <w:rPr>
                <w:b/>
                <w:color w:val="auto"/>
                <w:sz w:val="19"/>
              </w:rPr>
            </w:pPr>
          </w:p>
          <w:p>
            <w:pPr>
              <w:pStyle w:val="28"/>
              <w:ind w:left="227"/>
              <w:rPr>
                <w:color w:val="auto"/>
                <w:sz w:val="22"/>
              </w:rPr>
            </w:pPr>
            <w:r>
              <w:rPr>
                <w:color w:val="auto"/>
                <w:sz w:val="22"/>
              </w:rPr>
              <w:t>职务</w:t>
            </w:r>
          </w:p>
        </w:tc>
        <w:tc>
          <w:tcPr>
            <w:tcW w:w="898" w:type="dxa"/>
            <w:vMerge w:val="restart"/>
            <w:vAlign w:val="top"/>
          </w:tcPr>
          <w:p>
            <w:pPr>
              <w:pStyle w:val="28"/>
              <w:rPr>
                <w:b/>
                <w:color w:val="auto"/>
                <w:sz w:val="22"/>
              </w:rPr>
            </w:pPr>
          </w:p>
          <w:p>
            <w:pPr>
              <w:pStyle w:val="28"/>
              <w:spacing w:before="3"/>
              <w:rPr>
                <w:b/>
                <w:color w:val="auto"/>
                <w:sz w:val="19"/>
              </w:rPr>
            </w:pPr>
          </w:p>
          <w:p>
            <w:pPr>
              <w:pStyle w:val="28"/>
              <w:ind w:left="227"/>
              <w:rPr>
                <w:color w:val="auto"/>
                <w:sz w:val="22"/>
              </w:rPr>
            </w:pPr>
            <w:r>
              <w:rPr>
                <w:color w:val="auto"/>
                <w:sz w:val="22"/>
              </w:rPr>
              <w:t>姓名</w:t>
            </w:r>
          </w:p>
        </w:tc>
        <w:tc>
          <w:tcPr>
            <w:tcW w:w="903" w:type="dxa"/>
            <w:vMerge w:val="restart"/>
            <w:vAlign w:val="top"/>
          </w:tcPr>
          <w:p>
            <w:pPr>
              <w:pStyle w:val="28"/>
              <w:rPr>
                <w:b/>
                <w:color w:val="auto"/>
                <w:sz w:val="22"/>
              </w:rPr>
            </w:pPr>
          </w:p>
          <w:p>
            <w:pPr>
              <w:pStyle w:val="28"/>
              <w:spacing w:before="3"/>
              <w:rPr>
                <w:b/>
                <w:color w:val="auto"/>
                <w:sz w:val="19"/>
              </w:rPr>
            </w:pPr>
          </w:p>
          <w:p>
            <w:pPr>
              <w:pStyle w:val="28"/>
              <w:ind w:left="226"/>
              <w:rPr>
                <w:color w:val="auto"/>
                <w:sz w:val="22"/>
              </w:rPr>
            </w:pPr>
            <w:r>
              <w:rPr>
                <w:color w:val="auto"/>
                <w:sz w:val="22"/>
              </w:rPr>
              <w:t>职称</w:t>
            </w:r>
          </w:p>
        </w:tc>
        <w:tc>
          <w:tcPr>
            <w:tcW w:w="5692" w:type="dxa"/>
            <w:gridSpan w:val="4"/>
            <w:vAlign w:val="top"/>
          </w:tcPr>
          <w:p>
            <w:pPr>
              <w:pStyle w:val="28"/>
              <w:spacing w:before="192"/>
              <w:ind w:left="1851"/>
              <w:rPr>
                <w:color w:val="auto"/>
                <w:sz w:val="22"/>
              </w:rPr>
            </w:pPr>
            <w:r>
              <w:rPr>
                <w:color w:val="auto"/>
                <w:sz w:val="22"/>
              </w:rPr>
              <w:t>执业或职业资格证明</w:t>
            </w:r>
          </w:p>
        </w:tc>
        <w:tc>
          <w:tcPr>
            <w:tcW w:w="901" w:type="dxa"/>
            <w:vMerge w:val="restart"/>
            <w:vAlign w:val="top"/>
          </w:tcPr>
          <w:p>
            <w:pPr>
              <w:pStyle w:val="28"/>
              <w:rPr>
                <w:b/>
                <w:color w:val="auto"/>
                <w:sz w:val="22"/>
              </w:rPr>
            </w:pPr>
          </w:p>
          <w:p>
            <w:pPr>
              <w:pStyle w:val="28"/>
              <w:spacing w:before="3"/>
              <w:rPr>
                <w:b/>
                <w:color w:val="auto"/>
                <w:sz w:val="19"/>
              </w:rPr>
            </w:pPr>
          </w:p>
          <w:p>
            <w:pPr>
              <w:pStyle w:val="28"/>
              <w:ind w:left="226"/>
              <w:rPr>
                <w:color w:val="auto"/>
                <w:sz w:val="22"/>
              </w:rPr>
            </w:pPr>
            <w:r>
              <w:rPr>
                <w:color w:val="auto"/>
                <w:sz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Merge w:val="continue"/>
            <w:tcBorders>
              <w:top w:val="nil"/>
            </w:tcBorders>
            <w:vAlign w:val="top"/>
          </w:tcPr>
          <w:p>
            <w:pPr>
              <w:rPr>
                <w:color w:val="auto"/>
                <w:sz w:val="2"/>
                <w:szCs w:val="2"/>
              </w:rPr>
            </w:pPr>
          </w:p>
        </w:tc>
        <w:tc>
          <w:tcPr>
            <w:tcW w:w="898" w:type="dxa"/>
            <w:vMerge w:val="continue"/>
            <w:tcBorders>
              <w:top w:val="nil"/>
            </w:tcBorders>
            <w:vAlign w:val="top"/>
          </w:tcPr>
          <w:p>
            <w:pPr>
              <w:rPr>
                <w:color w:val="auto"/>
                <w:sz w:val="2"/>
                <w:szCs w:val="2"/>
              </w:rPr>
            </w:pPr>
          </w:p>
        </w:tc>
        <w:tc>
          <w:tcPr>
            <w:tcW w:w="903" w:type="dxa"/>
            <w:vMerge w:val="continue"/>
            <w:tcBorders>
              <w:top w:val="nil"/>
            </w:tcBorders>
            <w:vAlign w:val="top"/>
          </w:tcPr>
          <w:p>
            <w:pPr>
              <w:rPr>
                <w:color w:val="auto"/>
                <w:sz w:val="2"/>
                <w:szCs w:val="2"/>
              </w:rPr>
            </w:pPr>
          </w:p>
        </w:tc>
        <w:tc>
          <w:tcPr>
            <w:tcW w:w="1498" w:type="dxa"/>
            <w:vAlign w:val="top"/>
          </w:tcPr>
          <w:p>
            <w:pPr>
              <w:pStyle w:val="28"/>
              <w:spacing w:before="192"/>
              <w:ind w:left="303"/>
              <w:rPr>
                <w:color w:val="auto"/>
                <w:sz w:val="22"/>
              </w:rPr>
            </w:pPr>
            <w:r>
              <w:rPr>
                <w:color w:val="auto"/>
                <w:sz w:val="22"/>
              </w:rPr>
              <w:t>证书名称</w:t>
            </w:r>
          </w:p>
        </w:tc>
        <w:tc>
          <w:tcPr>
            <w:tcW w:w="1302" w:type="dxa"/>
            <w:vAlign w:val="top"/>
          </w:tcPr>
          <w:p>
            <w:pPr>
              <w:pStyle w:val="28"/>
              <w:spacing w:before="192"/>
              <w:ind w:left="428"/>
              <w:rPr>
                <w:color w:val="auto"/>
                <w:sz w:val="22"/>
              </w:rPr>
            </w:pPr>
            <w:r>
              <w:rPr>
                <w:color w:val="auto"/>
                <w:sz w:val="22"/>
              </w:rPr>
              <w:t>级别</w:t>
            </w:r>
          </w:p>
        </w:tc>
        <w:tc>
          <w:tcPr>
            <w:tcW w:w="1417" w:type="dxa"/>
            <w:vAlign w:val="top"/>
          </w:tcPr>
          <w:p>
            <w:pPr>
              <w:pStyle w:val="28"/>
              <w:spacing w:before="192"/>
              <w:ind w:left="463" w:right="463"/>
              <w:jc w:val="center"/>
              <w:rPr>
                <w:color w:val="auto"/>
                <w:sz w:val="22"/>
              </w:rPr>
            </w:pPr>
            <w:r>
              <w:rPr>
                <w:color w:val="auto"/>
                <w:sz w:val="22"/>
              </w:rPr>
              <w:t>证号</w:t>
            </w:r>
          </w:p>
        </w:tc>
        <w:tc>
          <w:tcPr>
            <w:tcW w:w="1475" w:type="dxa"/>
            <w:vAlign w:val="top"/>
          </w:tcPr>
          <w:p>
            <w:pPr>
              <w:pStyle w:val="28"/>
              <w:spacing w:before="192"/>
              <w:ind w:left="496" w:right="488"/>
              <w:jc w:val="center"/>
              <w:rPr>
                <w:color w:val="auto"/>
                <w:sz w:val="22"/>
              </w:rPr>
            </w:pPr>
            <w:r>
              <w:rPr>
                <w:color w:val="auto"/>
                <w:sz w:val="22"/>
              </w:rPr>
              <w:t>专业</w:t>
            </w:r>
          </w:p>
        </w:tc>
        <w:tc>
          <w:tcPr>
            <w:tcW w:w="901" w:type="dxa"/>
            <w:vMerge w:val="continue"/>
            <w:tcBorders>
              <w:top w:val="nil"/>
            </w:tcBorders>
            <w:vAlign w:val="top"/>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pPr>
              <w:pStyle w:val="28"/>
              <w:rPr>
                <w:rFonts w:ascii="Times New Roman"/>
                <w:color w:val="auto"/>
                <w:sz w:val="24"/>
              </w:rPr>
            </w:pPr>
          </w:p>
        </w:tc>
        <w:tc>
          <w:tcPr>
            <w:tcW w:w="898" w:type="dxa"/>
            <w:vAlign w:val="top"/>
          </w:tcPr>
          <w:p>
            <w:pPr>
              <w:pStyle w:val="28"/>
              <w:rPr>
                <w:rFonts w:ascii="Times New Roman"/>
                <w:color w:val="auto"/>
                <w:sz w:val="24"/>
              </w:rPr>
            </w:pPr>
          </w:p>
        </w:tc>
        <w:tc>
          <w:tcPr>
            <w:tcW w:w="903" w:type="dxa"/>
            <w:vAlign w:val="top"/>
          </w:tcPr>
          <w:p>
            <w:pPr>
              <w:pStyle w:val="28"/>
              <w:rPr>
                <w:rFonts w:ascii="Times New Roman"/>
                <w:color w:val="auto"/>
                <w:sz w:val="24"/>
              </w:rPr>
            </w:pPr>
          </w:p>
        </w:tc>
        <w:tc>
          <w:tcPr>
            <w:tcW w:w="1498" w:type="dxa"/>
            <w:vAlign w:val="top"/>
          </w:tcPr>
          <w:p>
            <w:pPr>
              <w:pStyle w:val="28"/>
              <w:rPr>
                <w:rFonts w:ascii="Times New Roman"/>
                <w:color w:val="auto"/>
                <w:sz w:val="24"/>
              </w:rPr>
            </w:pPr>
          </w:p>
        </w:tc>
        <w:tc>
          <w:tcPr>
            <w:tcW w:w="1302" w:type="dxa"/>
            <w:vAlign w:val="top"/>
          </w:tcPr>
          <w:p>
            <w:pPr>
              <w:pStyle w:val="28"/>
              <w:rPr>
                <w:rFonts w:ascii="Times New Roman"/>
                <w:color w:val="auto"/>
                <w:sz w:val="24"/>
              </w:rPr>
            </w:pPr>
          </w:p>
        </w:tc>
        <w:tc>
          <w:tcPr>
            <w:tcW w:w="1417" w:type="dxa"/>
            <w:vAlign w:val="top"/>
          </w:tcPr>
          <w:p>
            <w:pPr>
              <w:pStyle w:val="28"/>
              <w:rPr>
                <w:rFonts w:ascii="Times New Roman"/>
                <w:color w:val="auto"/>
                <w:sz w:val="24"/>
              </w:rPr>
            </w:pPr>
          </w:p>
        </w:tc>
        <w:tc>
          <w:tcPr>
            <w:tcW w:w="1475" w:type="dxa"/>
            <w:vAlign w:val="top"/>
          </w:tcPr>
          <w:p>
            <w:pPr>
              <w:pStyle w:val="28"/>
              <w:rPr>
                <w:rFonts w:ascii="Times New Roman"/>
                <w:color w:val="auto"/>
                <w:sz w:val="24"/>
              </w:rPr>
            </w:pPr>
          </w:p>
        </w:tc>
        <w:tc>
          <w:tcPr>
            <w:tcW w:w="901" w:type="dxa"/>
            <w:vAlign w:val="top"/>
          </w:tcPr>
          <w:p>
            <w:pPr>
              <w:pStyle w:val="28"/>
              <w:rPr>
                <w:rFonts w:ascii="Times New Roman"/>
                <w:color w:val="auto"/>
                <w:sz w:val="24"/>
              </w:rPr>
            </w:pPr>
          </w:p>
        </w:tc>
      </w:tr>
    </w:tbl>
    <w:p>
      <w:pPr>
        <w:spacing w:after="0"/>
        <w:rPr>
          <w:color w:val="auto"/>
        </w:rPr>
        <w:sectPr>
          <w:pgSz w:w="11910" w:h="16840"/>
          <w:pgMar w:top="1380" w:right="880" w:bottom="1100" w:left="880" w:header="888" w:footer="910" w:gutter="0"/>
          <w:pgNumType w:fmt="decimal"/>
          <w:cols w:space="720" w:num="1"/>
        </w:sectPr>
      </w:pPr>
    </w:p>
    <w:p>
      <w:pPr>
        <w:pStyle w:val="9"/>
        <w:ind w:left="0" w:leftChars="0" w:firstLine="0" w:firstLineChars="0"/>
        <w:jc w:val="center"/>
        <w:outlineLvl w:val="1"/>
        <w:rPr>
          <w:color w:val="auto"/>
        </w:rPr>
      </w:pPr>
      <w:bookmarkStart w:id="124" w:name="_Toc24225"/>
      <w:r>
        <w:rPr>
          <w:color w:val="auto"/>
        </w:rPr>
        <w:t>（二）项目负责人简历表</w:t>
      </w:r>
      <w:bookmarkEnd w:id="124"/>
    </w:p>
    <w:p>
      <w:pPr>
        <w:pStyle w:val="3"/>
        <w:spacing w:before="4"/>
        <w:ind w:left="0"/>
        <w:rPr>
          <w:b/>
          <w:color w:val="auto"/>
          <w:sz w:val="10"/>
        </w:rPr>
      </w:pPr>
    </w:p>
    <w:tbl>
      <w:tblPr>
        <w:tblStyle w:val="16"/>
        <w:tblW w:w="9349" w:type="dxa"/>
        <w:tblInd w:w="4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5"/>
        <w:gridCol w:w="780"/>
        <w:gridCol w:w="778"/>
        <w:gridCol w:w="1560"/>
        <w:gridCol w:w="1558"/>
        <w:gridCol w:w="780"/>
        <w:gridCol w:w="1071"/>
        <w:gridCol w:w="1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555" w:type="dxa"/>
            <w:vAlign w:val="top"/>
          </w:tcPr>
          <w:p>
            <w:pPr>
              <w:pStyle w:val="28"/>
              <w:spacing w:before="4"/>
              <w:rPr>
                <w:b/>
                <w:color w:val="auto"/>
                <w:sz w:val="19"/>
              </w:rPr>
            </w:pPr>
          </w:p>
          <w:p>
            <w:pPr>
              <w:pStyle w:val="28"/>
              <w:ind w:left="317" w:right="308"/>
              <w:jc w:val="center"/>
              <w:rPr>
                <w:color w:val="auto"/>
                <w:sz w:val="22"/>
              </w:rPr>
            </w:pPr>
            <w:r>
              <w:rPr>
                <w:color w:val="auto"/>
                <w:sz w:val="22"/>
              </w:rPr>
              <w:t>姓 名</w:t>
            </w:r>
          </w:p>
        </w:tc>
        <w:tc>
          <w:tcPr>
            <w:tcW w:w="1558" w:type="dxa"/>
            <w:gridSpan w:val="2"/>
            <w:vAlign w:val="top"/>
          </w:tcPr>
          <w:p>
            <w:pPr>
              <w:pStyle w:val="28"/>
              <w:rPr>
                <w:rFonts w:ascii="Times New Roman"/>
                <w:color w:val="auto"/>
                <w:sz w:val="22"/>
              </w:rPr>
            </w:pPr>
          </w:p>
        </w:tc>
        <w:tc>
          <w:tcPr>
            <w:tcW w:w="1560" w:type="dxa"/>
            <w:vAlign w:val="top"/>
          </w:tcPr>
          <w:p>
            <w:pPr>
              <w:pStyle w:val="28"/>
              <w:spacing w:before="4"/>
              <w:rPr>
                <w:b/>
                <w:color w:val="auto"/>
                <w:sz w:val="19"/>
              </w:rPr>
            </w:pPr>
          </w:p>
          <w:p>
            <w:pPr>
              <w:pStyle w:val="28"/>
              <w:ind w:left="485" w:right="475"/>
              <w:jc w:val="center"/>
              <w:rPr>
                <w:color w:val="auto"/>
                <w:sz w:val="22"/>
              </w:rPr>
            </w:pPr>
            <w:r>
              <w:rPr>
                <w:color w:val="auto"/>
                <w:sz w:val="22"/>
              </w:rPr>
              <w:t>年 龄</w:t>
            </w:r>
          </w:p>
        </w:tc>
        <w:tc>
          <w:tcPr>
            <w:tcW w:w="1558" w:type="dxa"/>
            <w:vAlign w:val="top"/>
          </w:tcPr>
          <w:p>
            <w:pPr>
              <w:pStyle w:val="28"/>
              <w:rPr>
                <w:rFonts w:ascii="Times New Roman"/>
                <w:color w:val="auto"/>
                <w:sz w:val="22"/>
              </w:rPr>
            </w:pPr>
          </w:p>
        </w:tc>
        <w:tc>
          <w:tcPr>
            <w:tcW w:w="1851" w:type="dxa"/>
            <w:gridSpan w:val="2"/>
            <w:vAlign w:val="top"/>
          </w:tcPr>
          <w:p>
            <w:pPr>
              <w:pStyle w:val="28"/>
              <w:spacing w:before="4"/>
              <w:rPr>
                <w:b/>
                <w:color w:val="auto"/>
                <w:sz w:val="19"/>
              </w:rPr>
            </w:pPr>
          </w:p>
          <w:p>
            <w:pPr>
              <w:pStyle w:val="28"/>
              <w:ind w:left="631" w:right="619"/>
              <w:jc w:val="center"/>
              <w:rPr>
                <w:color w:val="auto"/>
                <w:sz w:val="22"/>
              </w:rPr>
            </w:pPr>
            <w:r>
              <w:rPr>
                <w:color w:val="auto"/>
                <w:sz w:val="22"/>
              </w:rPr>
              <w:t>学 历</w:t>
            </w:r>
          </w:p>
        </w:tc>
        <w:tc>
          <w:tcPr>
            <w:tcW w:w="1267" w:type="dxa"/>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555" w:type="dxa"/>
            <w:vAlign w:val="top"/>
          </w:tcPr>
          <w:p>
            <w:pPr>
              <w:pStyle w:val="28"/>
              <w:rPr>
                <w:b/>
                <w:color w:val="auto"/>
                <w:sz w:val="18"/>
              </w:rPr>
            </w:pPr>
          </w:p>
          <w:p>
            <w:pPr>
              <w:pStyle w:val="28"/>
              <w:ind w:left="317" w:right="308"/>
              <w:jc w:val="center"/>
              <w:rPr>
                <w:color w:val="auto"/>
                <w:sz w:val="22"/>
              </w:rPr>
            </w:pPr>
            <w:r>
              <w:rPr>
                <w:color w:val="auto"/>
                <w:sz w:val="22"/>
              </w:rPr>
              <w:t>职 称</w:t>
            </w:r>
          </w:p>
        </w:tc>
        <w:tc>
          <w:tcPr>
            <w:tcW w:w="1558" w:type="dxa"/>
            <w:gridSpan w:val="2"/>
            <w:vAlign w:val="top"/>
          </w:tcPr>
          <w:p>
            <w:pPr>
              <w:pStyle w:val="28"/>
              <w:rPr>
                <w:rFonts w:ascii="Times New Roman"/>
                <w:color w:val="auto"/>
                <w:sz w:val="22"/>
              </w:rPr>
            </w:pPr>
          </w:p>
        </w:tc>
        <w:tc>
          <w:tcPr>
            <w:tcW w:w="1560" w:type="dxa"/>
            <w:vAlign w:val="top"/>
          </w:tcPr>
          <w:p>
            <w:pPr>
              <w:pStyle w:val="28"/>
              <w:rPr>
                <w:b/>
                <w:color w:val="auto"/>
                <w:sz w:val="18"/>
              </w:rPr>
            </w:pPr>
          </w:p>
          <w:p>
            <w:pPr>
              <w:pStyle w:val="28"/>
              <w:ind w:left="485" w:right="475"/>
              <w:jc w:val="center"/>
              <w:rPr>
                <w:color w:val="auto"/>
                <w:sz w:val="22"/>
              </w:rPr>
            </w:pPr>
            <w:r>
              <w:rPr>
                <w:color w:val="auto"/>
                <w:sz w:val="22"/>
              </w:rPr>
              <w:t>职 务</w:t>
            </w:r>
          </w:p>
        </w:tc>
        <w:tc>
          <w:tcPr>
            <w:tcW w:w="1558" w:type="dxa"/>
            <w:vAlign w:val="top"/>
          </w:tcPr>
          <w:p>
            <w:pPr>
              <w:pStyle w:val="28"/>
              <w:rPr>
                <w:rFonts w:ascii="Times New Roman"/>
                <w:color w:val="auto"/>
                <w:sz w:val="22"/>
              </w:rPr>
            </w:pPr>
          </w:p>
        </w:tc>
        <w:tc>
          <w:tcPr>
            <w:tcW w:w="1851" w:type="dxa"/>
            <w:gridSpan w:val="2"/>
            <w:vAlign w:val="top"/>
          </w:tcPr>
          <w:p>
            <w:pPr>
              <w:pStyle w:val="28"/>
              <w:rPr>
                <w:b/>
                <w:color w:val="auto"/>
                <w:sz w:val="18"/>
              </w:rPr>
            </w:pPr>
          </w:p>
          <w:p>
            <w:pPr>
              <w:pStyle w:val="28"/>
              <w:ind w:left="153"/>
              <w:rPr>
                <w:color w:val="auto"/>
                <w:sz w:val="22"/>
              </w:rPr>
            </w:pPr>
            <w:r>
              <w:rPr>
                <w:color w:val="auto"/>
                <w:sz w:val="22"/>
              </w:rPr>
              <w:t>拟在本合同任职</w:t>
            </w:r>
          </w:p>
        </w:tc>
        <w:tc>
          <w:tcPr>
            <w:tcW w:w="1267" w:type="dxa"/>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1555" w:type="dxa"/>
            <w:vAlign w:val="top"/>
          </w:tcPr>
          <w:p>
            <w:pPr>
              <w:pStyle w:val="28"/>
              <w:spacing w:before="2"/>
              <w:rPr>
                <w:b/>
                <w:color w:val="auto"/>
                <w:sz w:val="21"/>
              </w:rPr>
            </w:pPr>
          </w:p>
          <w:p>
            <w:pPr>
              <w:pStyle w:val="28"/>
              <w:ind w:left="317" w:right="308"/>
              <w:jc w:val="center"/>
              <w:rPr>
                <w:color w:val="auto"/>
                <w:sz w:val="22"/>
              </w:rPr>
            </w:pPr>
            <w:r>
              <w:rPr>
                <w:color w:val="auto"/>
                <w:sz w:val="22"/>
              </w:rPr>
              <w:t>毕业学校</w:t>
            </w:r>
          </w:p>
        </w:tc>
        <w:tc>
          <w:tcPr>
            <w:tcW w:w="7794" w:type="dxa"/>
            <w:gridSpan w:val="7"/>
            <w:vAlign w:val="top"/>
          </w:tcPr>
          <w:p>
            <w:pPr>
              <w:pStyle w:val="28"/>
              <w:spacing w:before="2"/>
              <w:rPr>
                <w:b/>
                <w:color w:val="auto"/>
                <w:sz w:val="21"/>
              </w:rPr>
            </w:pPr>
          </w:p>
          <w:p>
            <w:pPr>
              <w:pStyle w:val="28"/>
              <w:tabs>
                <w:tab w:val="left" w:pos="1548"/>
                <w:tab w:val="left" w:pos="2758"/>
              </w:tabs>
              <w:ind w:left="7"/>
              <w:jc w:val="center"/>
              <w:rPr>
                <w:color w:val="auto"/>
                <w:sz w:val="22"/>
              </w:rPr>
            </w:pPr>
            <w:r>
              <w:rPr>
                <w:color w:val="auto"/>
                <w:sz w:val="22"/>
              </w:rPr>
              <w:t>年毕业于</w:t>
            </w:r>
            <w:r>
              <w:rPr>
                <w:color w:val="auto"/>
                <w:sz w:val="22"/>
              </w:rPr>
              <w:tab/>
            </w:r>
            <w:r>
              <w:rPr>
                <w:color w:val="auto"/>
                <w:sz w:val="22"/>
              </w:rPr>
              <w:t>学校</w:t>
            </w:r>
            <w:r>
              <w:rPr>
                <w:color w:val="auto"/>
                <w:sz w:val="22"/>
              </w:rPr>
              <w:tab/>
            </w:r>
            <w:r>
              <w:rPr>
                <w:color w:val="auto"/>
                <w:sz w:val="22"/>
              </w:rPr>
              <w:t>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349" w:type="dxa"/>
            <w:gridSpan w:val="8"/>
            <w:vAlign w:val="top"/>
          </w:tcPr>
          <w:p>
            <w:pPr>
              <w:pStyle w:val="28"/>
              <w:spacing w:before="11"/>
              <w:rPr>
                <w:b/>
                <w:color w:val="auto"/>
                <w:sz w:val="16"/>
              </w:rPr>
            </w:pPr>
          </w:p>
          <w:p>
            <w:pPr>
              <w:pStyle w:val="28"/>
              <w:ind w:left="3994" w:right="3985"/>
              <w:jc w:val="center"/>
              <w:rPr>
                <w:color w:val="auto"/>
                <w:sz w:val="22"/>
              </w:rPr>
            </w:pPr>
            <w:r>
              <w:rPr>
                <w:color w:val="auto"/>
                <w:sz w:val="22"/>
              </w:rPr>
              <w:t>主要工作经历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335" w:type="dxa"/>
            <w:gridSpan w:val="2"/>
            <w:tcBorders>
              <w:right w:val="single" w:color="000000" w:sz="6" w:space="0"/>
            </w:tcBorders>
            <w:vAlign w:val="top"/>
          </w:tcPr>
          <w:p>
            <w:pPr>
              <w:pStyle w:val="28"/>
              <w:spacing w:before="11"/>
              <w:rPr>
                <w:b/>
                <w:color w:val="auto"/>
                <w:sz w:val="19"/>
              </w:rPr>
            </w:pPr>
          </w:p>
          <w:p>
            <w:pPr>
              <w:pStyle w:val="28"/>
              <w:ind w:left="873" w:right="859"/>
              <w:jc w:val="center"/>
              <w:rPr>
                <w:color w:val="auto"/>
                <w:sz w:val="22"/>
              </w:rPr>
            </w:pPr>
            <w:r>
              <w:rPr>
                <w:color w:val="auto"/>
                <w:sz w:val="22"/>
              </w:rPr>
              <w:t>时 间</w:t>
            </w:r>
          </w:p>
        </w:tc>
        <w:tc>
          <w:tcPr>
            <w:tcW w:w="2338" w:type="dxa"/>
            <w:gridSpan w:val="2"/>
            <w:tcBorders>
              <w:left w:val="single" w:color="000000" w:sz="6" w:space="0"/>
            </w:tcBorders>
            <w:vAlign w:val="top"/>
          </w:tcPr>
          <w:p>
            <w:pPr>
              <w:pStyle w:val="28"/>
              <w:spacing w:before="11"/>
              <w:rPr>
                <w:b/>
                <w:color w:val="auto"/>
                <w:sz w:val="19"/>
              </w:rPr>
            </w:pPr>
          </w:p>
          <w:p>
            <w:pPr>
              <w:pStyle w:val="28"/>
              <w:ind w:left="286"/>
              <w:rPr>
                <w:color w:val="auto"/>
                <w:sz w:val="22"/>
              </w:rPr>
            </w:pPr>
            <w:r>
              <w:rPr>
                <w:color w:val="auto"/>
                <w:sz w:val="22"/>
              </w:rPr>
              <w:t>参加过的类似项目</w:t>
            </w:r>
          </w:p>
        </w:tc>
        <w:tc>
          <w:tcPr>
            <w:tcW w:w="2338" w:type="dxa"/>
            <w:gridSpan w:val="2"/>
            <w:vAlign w:val="top"/>
          </w:tcPr>
          <w:p>
            <w:pPr>
              <w:pStyle w:val="28"/>
              <w:spacing w:before="11"/>
              <w:rPr>
                <w:b/>
                <w:color w:val="auto"/>
                <w:sz w:val="19"/>
              </w:rPr>
            </w:pPr>
          </w:p>
          <w:p>
            <w:pPr>
              <w:pStyle w:val="28"/>
              <w:ind w:left="727"/>
              <w:rPr>
                <w:color w:val="auto"/>
                <w:sz w:val="22"/>
              </w:rPr>
            </w:pPr>
            <w:r>
              <w:rPr>
                <w:color w:val="auto"/>
                <w:sz w:val="22"/>
              </w:rPr>
              <w:t>担任职务</w:t>
            </w:r>
          </w:p>
        </w:tc>
        <w:tc>
          <w:tcPr>
            <w:tcW w:w="2338" w:type="dxa"/>
            <w:gridSpan w:val="2"/>
            <w:vAlign w:val="top"/>
          </w:tcPr>
          <w:p>
            <w:pPr>
              <w:pStyle w:val="28"/>
              <w:spacing w:before="11"/>
              <w:rPr>
                <w:b/>
                <w:color w:val="auto"/>
                <w:sz w:val="19"/>
              </w:rPr>
            </w:pPr>
          </w:p>
          <w:p>
            <w:pPr>
              <w:pStyle w:val="28"/>
              <w:ind w:left="286"/>
              <w:rPr>
                <w:color w:val="auto"/>
                <w:sz w:val="22"/>
              </w:rPr>
            </w:pPr>
            <w:r>
              <w:rPr>
                <w:color w:val="auto"/>
                <w:sz w:val="22"/>
              </w:rPr>
              <w:t>发包人及联系电话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pPr>
              <w:pStyle w:val="28"/>
              <w:rPr>
                <w:rFonts w:ascii="Times New Roman"/>
                <w:color w:val="auto"/>
                <w:sz w:val="22"/>
              </w:rPr>
            </w:pPr>
          </w:p>
        </w:tc>
        <w:tc>
          <w:tcPr>
            <w:tcW w:w="2338" w:type="dxa"/>
            <w:gridSpan w:val="2"/>
            <w:tcBorders>
              <w:left w:val="single" w:color="000000" w:sz="6" w:space="0"/>
            </w:tcBorders>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c>
          <w:tcPr>
            <w:tcW w:w="2338" w:type="dxa"/>
            <w:gridSpan w:val="2"/>
            <w:vAlign w:val="top"/>
          </w:tcPr>
          <w:p>
            <w:pPr>
              <w:pStyle w:val="28"/>
              <w:rPr>
                <w:rFonts w:ascii="Times New Roman"/>
                <w:color w:val="auto"/>
                <w:sz w:val="22"/>
              </w:rPr>
            </w:pPr>
          </w:p>
        </w:tc>
      </w:tr>
    </w:tbl>
    <w:p>
      <w:pPr>
        <w:spacing w:after="0"/>
        <w:rPr>
          <w:color w:val="auto"/>
        </w:rPr>
        <w:sectPr>
          <w:pgSz w:w="11910" w:h="16840"/>
          <w:pgMar w:top="1380" w:right="880" w:bottom="1100" w:left="880" w:header="888" w:footer="910" w:gutter="0"/>
          <w:pgNumType w:fmt="decimal"/>
          <w:cols w:space="720" w:num="1"/>
        </w:sectPr>
      </w:pPr>
    </w:p>
    <w:p>
      <w:pPr>
        <w:spacing w:before="125"/>
        <w:ind w:left="538" w:right="539" w:firstLine="0"/>
        <w:jc w:val="center"/>
        <w:outlineLvl w:val="0"/>
        <w:rPr>
          <w:b/>
          <w:color w:val="auto"/>
          <w:sz w:val="32"/>
        </w:rPr>
      </w:pPr>
      <w:bookmarkStart w:id="125" w:name="_Toc15718"/>
      <w:r>
        <w:rPr>
          <w:b/>
          <w:color w:val="auto"/>
          <w:sz w:val="32"/>
        </w:rPr>
        <w:t>六、类似项目业绩</w:t>
      </w:r>
      <w:bookmarkEnd w:id="125"/>
    </w:p>
    <w:p>
      <w:pPr>
        <w:pStyle w:val="3"/>
        <w:spacing w:before="6"/>
        <w:ind w:left="0"/>
        <w:rPr>
          <w:b/>
          <w:color w:val="auto"/>
          <w:sz w:val="8"/>
        </w:rPr>
      </w:pPr>
    </w:p>
    <w:tbl>
      <w:tblPr>
        <w:tblStyle w:val="16"/>
        <w:tblW w:w="9040"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1"/>
        <w:gridCol w:w="65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511" w:type="dxa"/>
            <w:vAlign w:val="top"/>
          </w:tcPr>
          <w:p>
            <w:pPr>
              <w:pStyle w:val="28"/>
              <w:spacing w:before="180"/>
              <w:ind w:left="154" w:right="146"/>
              <w:jc w:val="center"/>
              <w:rPr>
                <w:color w:val="auto"/>
                <w:sz w:val="24"/>
              </w:rPr>
            </w:pPr>
            <w:r>
              <w:rPr>
                <w:color w:val="auto"/>
                <w:sz w:val="24"/>
              </w:rPr>
              <w:t>项目名称</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pPr>
              <w:pStyle w:val="28"/>
              <w:spacing w:before="148"/>
              <w:ind w:left="155" w:right="146"/>
              <w:jc w:val="center"/>
              <w:rPr>
                <w:color w:val="auto"/>
                <w:sz w:val="24"/>
              </w:rPr>
            </w:pPr>
            <w:r>
              <w:rPr>
                <w:color w:val="auto"/>
                <w:sz w:val="24"/>
              </w:rPr>
              <w:t>项目所在地</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511" w:type="dxa"/>
            <w:vAlign w:val="top"/>
          </w:tcPr>
          <w:p>
            <w:pPr>
              <w:pStyle w:val="28"/>
              <w:spacing w:before="151"/>
              <w:ind w:left="155" w:right="146"/>
              <w:jc w:val="center"/>
              <w:rPr>
                <w:color w:val="auto"/>
                <w:sz w:val="24"/>
              </w:rPr>
            </w:pPr>
            <w:r>
              <w:rPr>
                <w:color w:val="auto"/>
                <w:sz w:val="24"/>
              </w:rPr>
              <w:t>发包人名称</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pPr>
              <w:pStyle w:val="28"/>
              <w:spacing w:before="148"/>
              <w:ind w:left="155" w:right="146"/>
              <w:jc w:val="center"/>
              <w:rPr>
                <w:color w:val="auto"/>
                <w:sz w:val="24"/>
              </w:rPr>
            </w:pPr>
            <w:r>
              <w:rPr>
                <w:color w:val="auto"/>
                <w:sz w:val="24"/>
              </w:rPr>
              <w:t>发包人地址</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pPr>
              <w:pStyle w:val="28"/>
              <w:spacing w:before="154"/>
              <w:ind w:left="155" w:right="146"/>
              <w:jc w:val="center"/>
              <w:rPr>
                <w:color w:val="auto"/>
                <w:sz w:val="24"/>
              </w:rPr>
            </w:pPr>
            <w:r>
              <w:rPr>
                <w:color w:val="auto"/>
                <w:sz w:val="24"/>
              </w:rPr>
              <w:t>发包人联系人及电话</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pPr>
              <w:pStyle w:val="28"/>
              <w:spacing w:before="148"/>
              <w:ind w:left="154" w:right="146"/>
              <w:jc w:val="center"/>
              <w:rPr>
                <w:color w:val="auto"/>
                <w:sz w:val="24"/>
              </w:rPr>
            </w:pPr>
            <w:r>
              <w:rPr>
                <w:color w:val="auto"/>
                <w:sz w:val="24"/>
              </w:rPr>
              <w:t>合同价格</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pPr>
              <w:pStyle w:val="28"/>
              <w:spacing w:before="146"/>
              <w:ind w:left="155" w:right="146"/>
              <w:jc w:val="center"/>
              <w:rPr>
                <w:color w:val="auto"/>
                <w:sz w:val="24"/>
              </w:rPr>
            </w:pPr>
            <w:r>
              <w:rPr>
                <w:color w:val="auto"/>
                <w:sz w:val="24"/>
              </w:rPr>
              <w:t>服务开始日期</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2511" w:type="dxa"/>
            <w:vAlign w:val="top"/>
          </w:tcPr>
          <w:p>
            <w:pPr>
              <w:pStyle w:val="28"/>
              <w:spacing w:before="158"/>
              <w:ind w:left="155" w:right="146"/>
              <w:jc w:val="center"/>
              <w:rPr>
                <w:color w:val="auto"/>
                <w:sz w:val="24"/>
              </w:rPr>
            </w:pPr>
            <w:r>
              <w:rPr>
                <w:color w:val="auto"/>
                <w:sz w:val="24"/>
              </w:rPr>
              <w:t>服务结束日期</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pPr>
              <w:pStyle w:val="28"/>
              <w:spacing w:before="146"/>
              <w:ind w:left="155" w:right="146"/>
              <w:jc w:val="center"/>
              <w:rPr>
                <w:color w:val="auto"/>
                <w:sz w:val="24"/>
              </w:rPr>
            </w:pPr>
            <w:r>
              <w:rPr>
                <w:color w:val="auto"/>
                <w:sz w:val="24"/>
              </w:rPr>
              <w:t>承担的工作</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511" w:type="dxa"/>
            <w:vAlign w:val="top"/>
          </w:tcPr>
          <w:p>
            <w:pPr>
              <w:pStyle w:val="28"/>
              <w:spacing w:before="151"/>
              <w:ind w:left="154" w:right="146"/>
              <w:jc w:val="center"/>
              <w:rPr>
                <w:color w:val="auto"/>
                <w:sz w:val="24"/>
              </w:rPr>
            </w:pPr>
            <w:r>
              <w:rPr>
                <w:color w:val="auto"/>
                <w:sz w:val="24"/>
              </w:rPr>
              <w:t>质量要求</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pPr>
              <w:pStyle w:val="28"/>
              <w:spacing w:before="148"/>
              <w:ind w:left="155" w:right="146"/>
              <w:jc w:val="center"/>
              <w:rPr>
                <w:color w:val="auto"/>
                <w:sz w:val="24"/>
              </w:rPr>
            </w:pPr>
            <w:r>
              <w:rPr>
                <w:color w:val="auto"/>
                <w:sz w:val="24"/>
              </w:rPr>
              <w:t>项目负责人</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pPr>
              <w:pStyle w:val="28"/>
              <w:spacing w:before="153"/>
              <w:ind w:left="155" w:right="146"/>
              <w:jc w:val="center"/>
              <w:rPr>
                <w:color w:val="auto"/>
                <w:sz w:val="24"/>
              </w:rPr>
            </w:pPr>
            <w:r>
              <w:rPr>
                <w:color w:val="auto"/>
                <w:sz w:val="24"/>
              </w:rPr>
              <w:t>其他项目人员</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511" w:type="dxa"/>
            <w:vAlign w:val="top"/>
          </w:tcPr>
          <w:p>
            <w:pPr>
              <w:pStyle w:val="28"/>
              <w:spacing w:before="151"/>
              <w:ind w:left="155" w:right="146"/>
              <w:jc w:val="center"/>
              <w:rPr>
                <w:color w:val="auto"/>
                <w:sz w:val="24"/>
              </w:rPr>
            </w:pPr>
            <w:r>
              <w:rPr>
                <w:color w:val="auto"/>
                <w:sz w:val="24"/>
              </w:rPr>
              <w:t>业主代表及电话</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9" w:hRule="atLeast"/>
        </w:trPr>
        <w:tc>
          <w:tcPr>
            <w:tcW w:w="2511" w:type="dxa"/>
            <w:vAlign w:val="top"/>
          </w:tcPr>
          <w:p>
            <w:pPr>
              <w:pStyle w:val="28"/>
              <w:rPr>
                <w:b/>
                <w:color w:val="auto"/>
                <w:sz w:val="24"/>
              </w:rPr>
            </w:pPr>
          </w:p>
          <w:p>
            <w:pPr>
              <w:pStyle w:val="28"/>
              <w:rPr>
                <w:b/>
                <w:color w:val="auto"/>
                <w:sz w:val="24"/>
              </w:rPr>
            </w:pPr>
          </w:p>
          <w:p>
            <w:pPr>
              <w:pStyle w:val="28"/>
              <w:rPr>
                <w:b/>
                <w:color w:val="auto"/>
                <w:sz w:val="24"/>
              </w:rPr>
            </w:pPr>
          </w:p>
          <w:p>
            <w:pPr>
              <w:pStyle w:val="28"/>
              <w:spacing w:before="6"/>
              <w:rPr>
                <w:b/>
                <w:color w:val="auto"/>
                <w:sz w:val="21"/>
              </w:rPr>
            </w:pPr>
          </w:p>
          <w:p>
            <w:pPr>
              <w:pStyle w:val="28"/>
              <w:ind w:left="154" w:right="146"/>
              <w:jc w:val="center"/>
              <w:rPr>
                <w:color w:val="auto"/>
                <w:sz w:val="24"/>
              </w:rPr>
            </w:pPr>
            <w:r>
              <w:rPr>
                <w:color w:val="auto"/>
                <w:sz w:val="24"/>
              </w:rPr>
              <w:t>项目描述</w:t>
            </w:r>
          </w:p>
        </w:tc>
        <w:tc>
          <w:tcPr>
            <w:tcW w:w="6529" w:type="dxa"/>
            <w:vAlign w:val="top"/>
          </w:tcPr>
          <w:p>
            <w:pPr>
              <w:pStyle w:val="2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pPr>
              <w:pStyle w:val="28"/>
              <w:spacing w:before="194"/>
              <w:ind w:left="154" w:right="146"/>
              <w:jc w:val="center"/>
              <w:rPr>
                <w:color w:val="auto"/>
                <w:sz w:val="24"/>
              </w:rPr>
            </w:pPr>
            <w:r>
              <w:rPr>
                <w:color w:val="auto"/>
                <w:sz w:val="24"/>
              </w:rPr>
              <w:t>备注</w:t>
            </w:r>
          </w:p>
        </w:tc>
        <w:tc>
          <w:tcPr>
            <w:tcW w:w="6529" w:type="dxa"/>
            <w:vAlign w:val="top"/>
          </w:tcPr>
          <w:p>
            <w:pPr>
              <w:pStyle w:val="28"/>
              <w:rPr>
                <w:rFonts w:ascii="Times New Roman"/>
                <w:color w:val="auto"/>
                <w:sz w:val="24"/>
              </w:rPr>
            </w:pPr>
          </w:p>
        </w:tc>
      </w:tr>
    </w:tbl>
    <w:p>
      <w:pPr>
        <w:spacing w:after="0"/>
        <w:rPr>
          <w:color w:val="auto"/>
        </w:rPr>
        <w:sectPr>
          <w:pgSz w:w="11910" w:h="16840"/>
          <w:pgMar w:top="1380" w:right="880" w:bottom="1100" w:left="880" w:header="888" w:footer="910" w:gutter="0"/>
          <w:pgNumType w:fmt="decimal"/>
          <w:cols w:space="720" w:num="1"/>
        </w:sectPr>
      </w:pPr>
    </w:p>
    <w:p>
      <w:pPr>
        <w:spacing w:before="125"/>
        <w:ind w:left="538" w:right="534" w:firstLine="0"/>
        <w:jc w:val="center"/>
        <w:outlineLvl w:val="0"/>
        <w:rPr>
          <w:b/>
          <w:color w:val="auto"/>
          <w:sz w:val="32"/>
        </w:rPr>
      </w:pPr>
      <w:bookmarkStart w:id="126" w:name="_Toc15355"/>
      <w:r>
        <w:rPr>
          <w:b/>
          <w:color w:val="auto"/>
          <w:sz w:val="32"/>
        </w:rPr>
        <w:t>七、</w:t>
      </w:r>
      <w:r>
        <w:rPr>
          <w:rFonts w:hint="eastAsia"/>
          <w:b/>
          <w:color w:val="auto"/>
          <w:sz w:val="32"/>
          <w:lang w:val="en-US" w:eastAsia="zh-CN"/>
        </w:rPr>
        <w:t>施工</w:t>
      </w:r>
      <w:r>
        <w:rPr>
          <w:b/>
          <w:color w:val="auto"/>
          <w:sz w:val="32"/>
        </w:rPr>
        <w:t>方案编制</w:t>
      </w:r>
      <w:bookmarkEnd w:id="126"/>
    </w:p>
    <w:p>
      <w:pPr>
        <w:pStyle w:val="3"/>
        <w:spacing w:before="188" w:line="364" w:lineRule="auto"/>
        <w:ind w:right="472"/>
        <w:rPr>
          <w:rFonts w:ascii="宋体" w:hAnsi="宋体" w:eastAsia="宋体" w:cs="宋体"/>
          <w:color w:val="auto"/>
          <w:sz w:val="24"/>
          <w:szCs w:val="22"/>
          <w:lang w:val="zh-CN" w:eastAsia="zh-CN" w:bidi="zh-CN"/>
        </w:rPr>
      </w:pPr>
      <w:r>
        <w:rPr>
          <w:rFonts w:hint="eastAsia" w:ascii="宋体" w:hAnsi="宋体" w:eastAsia="宋体" w:cs="宋体"/>
          <w:color w:val="auto"/>
          <w:sz w:val="24"/>
          <w:szCs w:val="22"/>
          <w:lang w:val="zh-CN" w:eastAsia="zh-CN" w:bidi="zh-CN"/>
        </w:rPr>
        <w:t>供应商</w:t>
      </w:r>
      <w:r>
        <w:rPr>
          <w:rFonts w:ascii="宋体" w:hAnsi="宋体" w:eastAsia="宋体" w:cs="宋体"/>
          <w:color w:val="auto"/>
          <w:sz w:val="24"/>
          <w:szCs w:val="22"/>
          <w:lang w:val="zh-CN" w:eastAsia="zh-CN" w:bidi="zh-CN"/>
        </w:rPr>
        <w:t>应根据</w:t>
      </w:r>
      <w:r>
        <w:rPr>
          <w:rFonts w:hint="eastAsia" w:ascii="宋体" w:hAnsi="宋体" w:eastAsia="宋体" w:cs="宋体"/>
          <w:color w:val="auto"/>
          <w:sz w:val="24"/>
          <w:szCs w:val="22"/>
          <w:lang w:val="zh-CN" w:eastAsia="zh-CN" w:bidi="zh-CN"/>
        </w:rPr>
        <w:t>采购文件</w:t>
      </w:r>
      <w:r>
        <w:rPr>
          <w:rFonts w:ascii="宋体" w:hAnsi="宋体" w:eastAsia="宋体" w:cs="宋体"/>
          <w:color w:val="auto"/>
          <w:sz w:val="24"/>
          <w:szCs w:val="22"/>
          <w:lang w:val="zh-CN" w:eastAsia="zh-CN" w:bidi="zh-CN"/>
        </w:rPr>
        <w:t>和对现场的勘察情况，</w:t>
      </w:r>
      <w:r>
        <w:rPr>
          <w:rFonts w:hint="eastAsia" w:ascii="宋体" w:hAnsi="宋体" w:eastAsia="宋体" w:cs="宋体"/>
          <w:color w:val="auto"/>
          <w:sz w:val="24"/>
          <w:szCs w:val="22"/>
          <w:lang w:val="en-US" w:eastAsia="zh-CN" w:bidi="zh-CN"/>
        </w:rPr>
        <w:t>可</w:t>
      </w:r>
      <w:r>
        <w:rPr>
          <w:rFonts w:ascii="宋体" w:hAnsi="宋体" w:eastAsia="宋体" w:cs="宋体"/>
          <w:color w:val="auto"/>
          <w:sz w:val="24"/>
          <w:szCs w:val="22"/>
          <w:lang w:val="zh-CN" w:eastAsia="zh-CN" w:bidi="zh-CN"/>
        </w:rPr>
        <w:t>采用文字并结合图表形式，针对本项目特点编写</w:t>
      </w:r>
      <w:r>
        <w:rPr>
          <w:rFonts w:hint="eastAsia" w:cs="宋体"/>
          <w:color w:val="auto"/>
          <w:sz w:val="24"/>
          <w:szCs w:val="22"/>
          <w:lang w:val="en-US" w:eastAsia="zh-CN" w:bidi="zh-CN"/>
        </w:rPr>
        <w:t>施工</w:t>
      </w:r>
      <w:r>
        <w:rPr>
          <w:rFonts w:ascii="宋体" w:hAnsi="宋体" w:eastAsia="宋体" w:cs="宋体"/>
          <w:color w:val="auto"/>
          <w:sz w:val="24"/>
          <w:szCs w:val="22"/>
          <w:lang w:val="zh-CN" w:eastAsia="zh-CN" w:bidi="zh-CN"/>
        </w:rPr>
        <w:t>方案。</w:t>
      </w: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ind w:left="0"/>
        <w:rPr>
          <w:color w:val="auto"/>
        </w:rPr>
      </w:pPr>
    </w:p>
    <w:p>
      <w:pPr>
        <w:pStyle w:val="3"/>
        <w:spacing w:before="1"/>
        <w:ind w:left="0"/>
        <w:rPr>
          <w:color w:val="auto"/>
          <w:sz w:val="34"/>
        </w:rPr>
      </w:pPr>
    </w:p>
    <w:p>
      <w:pPr>
        <w:rPr>
          <w:b/>
          <w:color w:val="auto"/>
          <w:sz w:val="32"/>
        </w:rPr>
      </w:pPr>
      <w:bookmarkStart w:id="127" w:name="_Toc21953"/>
      <w:r>
        <w:rPr>
          <w:b/>
          <w:color w:val="auto"/>
          <w:sz w:val="32"/>
        </w:rPr>
        <w:br w:type="page"/>
      </w:r>
    </w:p>
    <w:p>
      <w:pPr>
        <w:spacing w:before="0"/>
        <w:ind w:left="538" w:right="541" w:firstLine="0"/>
        <w:jc w:val="center"/>
        <w:outlineLvl w:val="0"/>
        <w:rPr>
          <w:b/>
          <w:color w:val="auto"/>
          <w:sz w:val="32"/>
        </w:rPr>
      </w:pPr>
      <w:r>
        <w:rPr>
          <w:b/>
          <w:color w:val="auto"/>
          <w:sz w:val="32"/>
        </w:rPr>
        <w:t>八、</w:t>
      </w:r>
      <w:r>
        <w:rPr>
          <w:rFonts w:hint="eastAsia"/>
          <w:b/>
          <w:color w:val="auto"/>
          <w:sz w:val="32"/>
          <w:lang w:val="en-US" w:eastAsia="zh-CN"/>
        </w:rPr>
        <w:t>已标价工程量清单</w:t>
      </w:r>
      <w:bookmarkEnd w:id="127"/>
    </w:p>
    <w:p>
      <w:pPr>
        <w:rPr>
          <w:color w:val="auto"/>
        </w:rPr>
      </w:pPr>
    </w:p>
    <w:p>
      <w:pPr>
        <w:rPr>
          <w:color w:val="auto"/>
        </w:rPr>
      </w:pPr>
    </w:p>
    <w:p>
      <w:pPr>
        <w:rPr>
          <w:color w:val="auto"/>
        </w:rPr>
      </w:pPr>
    </w:p>
    <w:p>
      <w:pPr>
        <w:rPr>
          <w:color w:val="auto"/>
        </w:rPr>
      </w:pPr>
    </w:p>
    <w:p>
      <w:pPr>
        <w:rPr>
          <w:color w:val="auto"/>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default" w:asciiTheme="minorEastAsia" w:hAnsiTheme="minorEastAsia" w:eastAsiaTheme="minorEastAsia" w:cstheme="minorEastAsia"/>
          <w:b/>
          <w:bCs/>
          <w:snapToGrid w:val="0"/>
          <w:color w:val="000000"/>
          <w:spacing w:val="-3"/>
          <w:kern w:val="0"/>
          <w:sz w:val="32"/>
          <w:szCs w:val="32"/>
          <w:lang w:val="en-US"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九、投标人出具信用记录查询结果网页截图（加盖单位公章）</w:t>
      </w: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十、供应商诚信承诺书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诚信承诺书</w:t>
      </w: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rPr>
          <w:color w:val="auto"/>
        </w:rPr>
      </w:pPr>
      <w:r>
        <w:rPr>
          <w:color w:val="auto"/>
        </w:rPr>
        <w:br w:type="page"/>
      </w: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十一、信用承诺书（投标人范本）</w:t>
      </w:r>
    </w:p>
    <w:p>
      <w:pPr>
        <w:pStyle w:val="34"/>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center"/>
        <w:textAlignment w:val="auto"/>
        <w:rPr>
          <w:rFonts w:hint="eastAsia" w:ascii="宋体" w:hAnsi="宋体" w:eastAsia="宋体" w:cs="宋体"/>
          <w:b/>
          <w:bCs/>
          <w:color w:val="auto"/>
          <w:spacing w:val="0"/>
          <w:w w:val="100"/>
          <w:kern w:val="0"/>
          <w:position w:val="0"/>
          <w:sz w:val="40"/>
          <w:szCs w:val="40"/>
          <w:lang w:eastAsia="zh-CN"/>
        </w:rPr>
      </w:pPr>
      <w:r>
        <w:rPr>
          <w:rFonts w:hint="eastAsia" w:ascii="宋体" w:hAnsi="宋体" w:eastAsia="宋体" w:cs="宋体"/>
          <w:b/>
          <w:bCs/>
          <w:color w:val="auto"/>
          <w:spacing w:val="0"/>
          <w:w w:val="100"/>
          <w:kern w:val="0"/>
          <w:position w:val="0"/>
          <w:sz w:val="40"/>
          <w:szCs w:val="40"/>
          <w:lang w:eastAsia="zh-CN"/>
        </w:rPr>
        <w:t>信用承诺书</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依据宛发改公管〔2022〕125号文件要求：为营造公开、公平、公正、诚实守信的公共资源交易环境，树立诚信守法的投标人形象，本人代表本单位作出以下承诺;</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（二）严格依照国家和河南省关于招标投标的法律、法规、规章、规范性文件，参加公共资源招标投标活动，不挂靠、借用、出租、出借、转让资质，积极履行社会责任，促进廉政建设。</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（三）自我约束、自我管理，守合同、重信用，不参与围标串标、弄虚作假、骗取中标、干扰评标、胁迫他人投标（放弃中标）、恶意投诉、违约毁约等行为，自觉维护公共资源招标投标的良好秩序。</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（四）本单位及项目经办人员信用状况良好，未被列为失信惩戒对象或"老赖""，符合参与公共资源交易活动的相关要求。</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（六）若中标，本单位将在规定的时间内与招标人签订合同并自觉履行合同义务，不转包或违法分包中标项目。</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（七）自觉接受政府、行业组织、社会公众、新闻舆论的监督。</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（八）本单位自愿接受招标投标综合监督管理机构和</w:t>
      </w:r>
      <w:r>
        <w:rPr>
          <w:rFonts w:hint="eastAsia" w:ascii="宋体" w:hAnsi="宋体" w:eastAsia="宋体" w:cs="宋体"/>
          <w:color w:val="auto"/>
          <w:spacing w:val="0"/>
          <w:w w:val="100"/>
          <w:kern w:val="0"/>
          <w:position w:val="0"/>
          <w:sz w:val="28"/>
          <w:szCs w:val="28"/>
          <w:u w:val="none"/>
          <w:shd w:val="clear" w:color="auto" w:fill="auto"/>
          <w:lang w:val="en-US" w:eastAsia="zh-CN" w:bidi="zh-TW"/>
        </w:rPr>
        <w:t>有关行政监督部门依法开展的监督检查，积极配合行政监督部门的投诉处理;本单位及项目经办人员如发生违法违规或不良行为，自愿接受招</w:t>
      </w:r>
      <w:r>
        <w:rPr>
          <w:rFonts w:hint="eastAsia" w:ascii="宋体" w:hAnsi="宋体" w:eastAsia="宋体" w:cs="宋体"/>
          <w:color w:val="auto"/>
          <w:kern w:val="0"/>
          <w:sz w:val="28"/>
          <w:szCs w:val="28"/>
          <w:u w:val="none"/>
          <w:shd w:val="clear" w:color="auto" w:fill="auto"/>
          <w:lang w:val="en-US" w:eastAsia="zh-CN" w:bidi="zh-TW"/>
        </w:rPr>
        <w:t>标投标综合监督管理机构和有关行政监督部门依法给予的行政处罚（处理），依法承担赔偿责任和刑事责任，并同意按照相关规定记入本单位及项目经办人员诚信档案或不良行为（信用）记录。</w:t>
      </w:r>
    </w:p>
    <w:p>
      <w:pPr>
        <w:autoSpaceDE/>
        <w:autoSpaceDN/>
        <w:spacing w:before="0" w:after="0" w:line="240" w:lineRule="auto"/>
        <w:ind w:left="0" w:right="0" w:firstLine="560" w:firstLineChars="2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（九）本人已认真阅读了上述承诺，并向本单位员工作了宣传教育。</w:t>
      </w:r>
    </w:p>
    <w:p>
      <w:pPr>
        <w:autoSpaceDE/>
        <w:autoSpaceDN/>
        <w:spacing w:before="0" w:after="0" w:line="240" w:lineRule="auto"/>
        <w:ind w:left="0" w:right="0" w:firstLine="1120" w:firstLineChars="4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法定代表人或（委托代理人）签字∶</w:t>
      </w:r>
    </w:p>
    <w:p>
      <w:pPr>
        <w:autoSpaceDE/>
        <w:autoSpaceDN/>
        <w:spacing w:before="0" w:after="0" w:line="240" w:lineRule="auto"/>
        <w:ind w:left="0" w:right="0" w:firstLine="3080" w:firstLineChars="11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 xml:space="preserve">企业名称（盖章）∶ </w:t>
      </w:r>
    </w:p>
    <w:p>
      <w:pPr>
        <w:autoSpaceDE/>
        <w:autoSpaceDN/>
        <w:spacing w:before="0" w:after="0" w:line="240" w:lineRule="auto"/>
        <w:ind w:left="0" w:right="0" w:firstLine="2800" w:firstLineChars="1000"/>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项目负责人（签字）∶</w:t>
      </w:r>
    </w:p>
    <w:p>
      <w:pPr>
        <w:autoSpaceDE/>
        <w:autoSpaceDN/>
        <w:spacing w:before="0" w:after="0" w:line="240" w:lineRule="auto"/>
        <w:ind w:left="0" w:right="0"/>
        <w:jc w:val="right"/>
        <w:rPr>
          <w:rFonts w:hint="eastAsia" w:ascii="宋体" w:hAnsi="宋体" w:eastAsia="宋体" w:cs="宋体"/>
          <w:color w:val="auto"/>
          <w:kern w:val="0"/>
          <w:sz w:val="28"/>
          <w:szCs w:val="28"/>
          <w:u w:val="none"/>
          <w:shd w:val="clear" w:color="auto" w:fill="auto"/>
          <w:lang w:val="en-US" w:eastAsia="zh-CN" w:bidi="zh-TW"/>
        </w:rPr>
      </w:pPr>
      <w:r>
        <w:rPr>
          <w:rFonts w:hint="eastAsia" w:ascii="宋体" w:hAnsi="宋体" w:eastAsia="宋体" w:cs="宋体"/>
          <w:color w:val="auto"/>
          <w:kern w:val="0"/>
          <w:sz w:val="28"/>
          <w:szCs w:val="28"/>
          <w:u w:val="none"/>
          <w:shd w:val="clear" w:color="auto" w:fill="auto"/>
          <w:lang w:val="en-US" w:eastAsia="zh-CN" w:bidi="zh-TW"/>
        </w:rPr>
        <w:t xml:space="preserve"> 年   月   日</w:t>
      </w:r>
    </w:p>
    <w:p>
      <w:pPr>
        <w:jc w:val="center"/>
        <w:outlineLvl w:val="1"/>
        <w:rPr>
          <w:b/>
          <w:bCs/>
          <w:w w:val="95"/>
          <w:sz w:val="36"/>
          <w:szCs w:val="36"/>
        </w:rPr>
      </w:pPr>
    </w:p>
    <w:p>
      <w:pPr>
        <w:jc w:val="center"/>
        <w:outlineLvl w:val="1"/>
        <w:rPr>
          <w:b/>
          <w:bCs/>
          <w:w w:val="95"/>
          <w:sz w:val="36"/>
          <w:szCs w:val="36"/>
        </w:rPr>
      </w:pPr>
    </w:p>
    <w:p>
      <w:pPr>
        <w:pStyle w:val="2"/>
      </w:pPr>
    </w:p>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zh-CN" w:eastAsia="zh-CN" w:bidi="ar-SA"/>
        </w:rPr>
      </w:pPr>
      <w:r>
        <w:rPr>
          <w:rFonts w:hint="eastAsia" w:asciiTheme="minorEastAsia" w:hAnsiTheme="minorEastAsia" w:eastAsiaTheme="minorEastAsia" w:cstheme="minorEastAsia"/>
          <w:b/>
          <w:bCs/>
          <w:snapToGrid w:val="0"/>
          <w:color w:val="000000"/>
          <w:spacing w:val="-3"/>
          <w:kern w:val="0"/>
          <w:sz w:val="32"/>
          <w:szCs w:val="32"/>
          <w:lang w:val="en-US" w:eastAsia="zh-CN" w:bidi="ar-SA"/>
        </w:rPr>
        <w:t>十二、投标承诺函</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投标承诺函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致（采购人及采购代理机构）：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我公司作为本次采购项目的供应商，严格遵守政府采购相关法律法规的规定，根据竞争性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磋商文件要求，现郑重承诺如下：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一、具备《中华人民共和国政府采购法》第二十二条第一款和本项目规定的条件：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（一）具有独立承担民事责任的能力；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（二）具有良好的商业信誉和健全的财务会计制度；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（三）具有履行合同所必需的设备和专业技术能力；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（四）有依法缴纳税收和社会保障资金的良好记录；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（五）参加政府采购活动前三年内，在经营活动中没有重大违法记录；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（六）法律、行政法规规定的其他条件；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（七）根据采购项目提出的特殊条件。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二、完全接受和满足本项目竞争性磋商文件中规定的实质性要求，如对竞争性磋商文件有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异议，已经在投标截止时间届满前依法进行维权救济，不存在对竞争性磋商文件有异议的同时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又参加投标以求侥幸中标或者为实现其他非法目的的行为。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三、参加本次招标采购活动，不存在与单位负责人为同一人或者存在直接控股、管理关系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的其他供应商参与同一合同项下的政府采购活动的行为。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四、参加本次招标采购活动，不存在为采购项目提供整体设计、规范编制或者项目管理、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监理、检测等服务的行为。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五、参加本次招标采购活动，不存在和其他供应商在同一合同项下的采购项目中，同时委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托同一个自然人、同一家庭的人员、同一单位的人员作为代理人的行为。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六、参加本次政府采购活动要求在近三年内供应商和其法定代表人没有行贿犯罪行为。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七、参加本次招标采购活动，不存在联合体投标。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八、投标文件中提供的能够给予我公司带来优惠、好处的任何材料资料和技术、服务、商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务等响应承诺情况都是真实的、有效的、合法的。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九、如本项目评标过程中需要提供样品，则我公司提供的样品即为中标后将要提供的中标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产品，我公司对提供样品的性能和质量负责，因样品存在缺陷或者不符合竞争性磋商文件要求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导致未能中标的，我公司愿意承担相应不利后果。（如提供样品）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十、存在以下行为之一的愿意接受相关部门的处理：</w:t>
      </w:r>
      <w:r>
        <w:rPr>
          <w:rFonts w:hint="eastAsia" w:ascii="宋体" w:hAnsi="宋体" w:eastAsia="宋体" w:cs="宋体"/>
          <w:b/>
          <w:bCs/>
          <w:snapToGrid/>
          <w:color w:val="000000"/>
          <w:kern w:val="0"/>
          <w:sz w:val="24"/>
          <w:szCs w:val="24"/>
          <w:lang w:val="en-US" w:eastAsia="zh-CN" w:bidi="ar"/>
        </w:rPr>
        <w:t xml:space="preserve">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（一）投标有效期内撤销投标文件的；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（二）在采购人确定中标人以前放弃中标候选资格的；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（三）由于中标人的原因未能按照竞争性磋商文件的规定与采购人签订合同；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（四）在响应文件中提供虚假材料谋取中标；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（五）采取不正当手段诋毁、排挤其他供应商；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（六）与采购人、其他供应商或者采购代理机构恶意串通的；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（七）投标有效期内，供应商在政府采购活动中有违法、违规、违纪行为。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由此产生的一切法律后果和责任由我公司承担。我公司声明放弃对此提出任何异议和追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索的权利。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本公司对上述承诺的内容事项真实性负责。如经查实上述承诺的内容事项存在虚假，我公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司愿意接受以提供虚假材料谋取中标追究法律责任。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供应商名称：（电子签章） </w:t>
      </w:r>
    </w:p>
    <w:p>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lang w:val="zh-CN" w:eastAsia="zh-CN" w:bidi="zh-CN"/>
        </w:rPr>
      </w:pPr>
      <w:r>
        <w:rPr>
          <w:rFonts w:hint="eastAsia" w:ascii="宋体" w:hAnsi="宋体" w:eastAsia="宋体" w:cs="宋体"/>
          <w:snapToGrid/>
          <w:color w:val="000000"/>
          <w:kern w:val="0"/>
          <w:sz w:val="24"/>
          <w:szCs w:val="24"/>
          <w:lang w:val="en-US" w:eastAsia="zh-CN" w:bidi="ar"/>
        </w:rPr>
        <w:t xml:space="preserve">法定代表人或授权代表：（电子签章） </w:t>
      </w:r>
    </w:p>
    <w:p>
      <w:pPr>
        <w:keepNext w:val="0"/>
        <w:keepLines w:val="0"/>
        <w:widowControl/>
        <w:suppressLineNumbers w:val="0"/>
        <w:kinsoku/>
        <w:adjustRightInd/>
        <w:snapToGrid/>
        <w:spacing w:before="0" w:after="0"/>
        <w:ind w:left="0" w:right="0"/>
        <w:jc w:val="left"/>
        <w:textAlignment w:val="auto"/>
        <w:rPr>
          <w:b/>
          <w:bCs/>
          <w:w w:val="95"/>
          <w:sz w:val="36"/>
          <w:szCs w:val="36"/>
        </w:rPr>
      </w:pPr>
      <w:r>
        <w:rPr>
          <w:rFonts w:hint="eastAsia" w:ascii="宋体" w:hAnsi="宋体" w:eastAsia="宋体" w:cs="宋体"/>
          <w:snapToGrid/>
          <w:color w:val="000000"/>
          <w:kern w:val="0"/>
          <w:sz w:val="24"/>
          <w:szCs w:val="24"/>
          <w:lang w:val="en-US" w:eastAsia="zh-CN" w:bidi="ar"/>
        </w:rPr>
        <w:t>日期：</w:t>
      </w:r>
      <w:r>
        <w:rPr>
          <w:rFonts w:hint="eastAsia" w:ascii="新宋体" w:hAnsi="新宋体" w:eastAsia="新宋体" w:cs="新宋体"/>
          <w:snapToGrid/>
          <w:color w:val="000000"/>
          <w:kern w:val="0"/>
          <w:sz w:val="24"/>
          <w:szCs w:val="24"/>
          <w:lang w:val="en-US" w:eastAsia="zh-CN" w:bidi="ar"/>
        </w:rPr>
        <w:t xml:space="preserve"> </w:t>
      </w:r>
    </w:p>
    <w:bookmarkEnd w:id="120"/>
    <w:bookmarkEnd w:id="121"/>
    <w:p>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lang w:val="en-US" w:eastAsia="zh-CN" w:bidi="ar-SA"/>
        </w:rPr>
      </w:pPr>
      <w:bookmarkStart w:id="128" w:name="_Toc12153"/>
      <w:bookmarkStart w:id="129" w:name="_Toc16799"/>
      <w:r>
        <w:rPr>
          <w:rFonts w:hint="eastAsia" w:asciiTheme="minorEastAsia" w:hAnsiTheme="minorEastAsia" w:eastAsiaTheme="minorEastAsia" w:cstheme="minorEastAsia"/>
          <w:b/>
          <w:bCs/>
          <w:snapToGrid w:val="0"/>
          <w:color w:val="000000"/>
          <w:spacing w:val="-3"/>
          <w:kern w:val="0"/>
          <w:sz w:val="32"/>
          <w:szCs w:val="32"/>
          <w:lang w:val="en-US" w:eastAsia="zh-CN" w:bidi="ar-SA"/>
        </w:rPr>
        <w:t>十三、</w:t>
      </w:r>
      <w:bookmarkEnd w:id="128"/>
      <w:bookmarkEnd w:id="129"/>
      <w:r>
        <w:rPr>
          <w:rFonts w:hint="eastAsia" w:asciiTheme="minorEastAsia" w:hAnsiTheme="minorEastAsia" w:eastAsiaTheme="minorEastAsia" w:cstheme="minorEastAsia"/>
          <w:b/>
          <w:bCs/>
          <w:snapToGrid w:val="0"/>
          <w:color w:val="000000"/>
          <w:spacing w:val="-3"/>
          <w:kern w:val="0"/>
          <w:sz w:val="32"/>
          <w:szCs w:val="32"/>
          <w:lang w:val="en-US" w:eastAsia="zh-CN" w:bidi="ar-SA"/>
        </w:rPr>
        <w:t>供应商认为需要的其他文件资料</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中小企业声明函（工程、服务）格式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3"/>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position w:val="5"/>
          <w:sz w:val="24"/>
          <w:szCs w:val="24"/>
          <w:highlight w:val="none"/>
          <w:lang w:val="en-US" w:eastAsia="zh-CN"/>
        </w:rPr>
        <w:t>备注：</w:t>
      </w:r>
      <w:r>
        <w:rPr>
          <w:rFonts w:hint="eastAsia" w:asciiTheme="minorEastAsia" w:hAnsiTheme="minorEastAsia" w:eastAsiaTheme="minorEastAsia" w:cstheme="minorEastAsia"/>
          <w:spacing w:val="9"/>
          <w:sz w:val="24"/>
          <w:szCs w:val="24"/>
          <w:highlight w:val="none"/>
        </w:rPr>
        <w:t>从业人员、营业收入、资产总额填报上一年度数据，无上一年度数据的新成立企业可不填报。</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ascii="宋体" w:hAnsi="宋体" w:eastAsia="宋体" w:cs="宋体"/>
          <w:spacing w:val="0"/>
          <w:sz w:val="24"/>
          <w:szCs w:val="24"/>
        </w:rPr>
      </w:pPr>
    </w:p>
    <w:p>
      <w:pPr>
        <w:pStyle w:val="14"/>
        <w:rPr>
          <w:rFonts w:ascii="新宋体"/>
          <w:sz w:val="20"/>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pStyle w:val="2"/>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pStyle w:val="4"/>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pStyle w:val="2"/>
        <w:rPr>
          <w:rFonts w:hint="eastAsia"/>
          <w:lang w:val="en-US"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rPr>
          <w:sz w:val="24"/>
          <w:szCs w:val="24"/>
        </w:rPr>
        <w:sectPr>
          <w:footerReference r:id="rId6" w:type="default"/>
          <w:pgSz w:w="11910" w:h="16840"/>
          <w:pgMar w:top="1420" w:right="840" w:bottom="1000" w:left="860" w:header="1151" w:footer="805" w:gutter="0"/>
          <w:pgNumType w:fmt="decimal"/>
          <w:cols w:space="720" w:num="1"/>
        </w:sectPr>
      </w:pPr>
      <w:bookmarkStart w:id="130" w:name="_bookmark22"/>
      <w:bookmarkEnd w:id="130"/>
    </w:p>
    <w:p>
      <w:pPr>
        <w:pStyle w:val="8"/>
        <w:bidi w:val="0"/>
        <w:jc w:val="center"/>
        <w:outlineLvl w:val="0"/>
        <w:rPr>
          <w:rFonts w:hint="eastAsia"/>
          <w:sz w:val="48"/>
          <w:szCs w:val="48"/>
          <w:lang w:val="en-US" w:eastAsia="zh-CN"/>
        </w:rPr>
      </w:pPr>
      <w:bookmarkStart w:id="131" w:name="_Toc17438"/>
      <w:bookmarkStart w:id="132" w:name="_Toc31290"/>
      <w:r>
        <w:rPr>
          <w:rFonts w:hint="eastAsia"/>
          <w:sz w:val="48"/>
          <w:szCs w:val="48"/>
          <w:lang w:val="en-US" w:eastAsia="zh-CN"/>
        </w:rPr>
        <w:t>告知函</w:t>
      </w:r>
      <w:bookmarkEnd w:id="131"/>
      <w:bookmarkEnd w:id="132"/>
    </w:p>
    <w:tbl>
      <w:tblPr>
        <w:tblStyle w:val="17"/>
        <w:tblpPr w:leftFromText="180" w:rightFromText="180" w:vertAnchor="text" w:horzAnchor="page" w:tblpX="1255" w:tblpY="606"/>
        <w:tblOverlap w:val="never"/>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237"/>
        <w:gridCol w:w="6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pPr>
              <w:widowControl w:val="0"/>
              <w:jc w:val="center"/>
              <w:rPr>
                <w:rFonts w:hint="default"/>
                <w:sz w:val="24"/>
                <w:szCs w:val="24"/>
                <w:vertAlign w:val="baseline"/>
                <w:lang w:val="en-US" w:eastAsia="zh-CN"/>
              </w:rPr>
            </w:pPr>
            <w:r>
              <w:rPr>
                <w:rFonts w:hint="eastAsia"/>
                <w:sz w:val="24"/>
                <w:szCs w:val="24"/>
                <w:vertAlign w:val="baseline"/>
                <w:lang w:val="en-US" w:eastAsia="zh-CN"/>
              </w:rPr>
              <w:t>事项</w:t>
            </w:r>
          </w:p>
        </w:tc>
        <w:tc>
          <w:tcPr>
            <w:tcW w:w="2237" w:type="dxa"/>
          </w:tcPr>
          <w:p>
            <w:pPr>
              <w:widowControl w:val="0"/>
              <w:jc w:val="center"/>
              <w:rPr>
                <w:rFonts w:hint="default"/>
                <w:sz w:val="24"/>
                <w:szCs w:val="24"/>
                <w:vertAlign w:val="baseline"/>
                <w:lang w:val="en-US" w:eastAsia="zh-CN"/>
              </w:rPr>
            </w:pPr>
            <w:r>
              <w:rPr>
                <w:rFonts w:hint="eastAsia"/>
                <w:sz w:val="24"/>
                <w:szCs w:val="24"/>
                <w:vertAlign w:val="baseline"/>
                <w:lang w:val="en-US" w:eastAsia="zh-CN"/>
              </w:rPr>
              <w:t xml:space="preserve">时限 </w:t>
            </w:r>
          </w:p>
        </w:tc>
        <w:tc>
          <w:tcPr>
            <w:tcW w:w="6221" w:type="dxa"/>
          </w:tcPr>
          <w:p>
            <w:pPr>
              <w:widowControl w:val="0"/>
              <w:jc w:val="center"/>
              <w:rPr>
                <w:rFonts w:hint="default"/>
                <w:sz w:val="24"/>
                <w:szCs w:val="24"/>
                <w:vertAlign w:val="baseline"/>
                <w:lang w:val="en-US" w:eastAsia="zh-CN"/>
              </w:rPr>
            </w:pPr>
            <w:r>
              <w:rPr>
                <w:rFonts w:hint="eastAsia"/>
                <w:sz w:val="24"/>
                <w:szCs w:val="24"/>
                <w:vertAlign w:val="baseli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合同签订</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中标(成交)通知书发出之日起</w:t>
            </w:r>
            <w:r>
              <w:rPr>
                <w:rFonts w:hint="eastAsia"/>
                <w:sz w:val="24"/>
                <w:szCs w:val="24"/>
                <w:vertAlign w:val="baseline"/>
                <w:lang w:val="en-US" w:eastAsia="zh-CN"/>
              </w:rPr>
              <w:t>1</w:t>
            </w:r>
            <w:r>
              <w:rPr>
                <w:rFonts w:hint="default"/>
                <w:sz w:val="24"/>
                <w:szCs w:val="24"/>
                <w:vertAlign w:val="baseline"/>
                <w:lang w:val="en-US" w:eastAsia="zh-CN"/>
              </w:rPr>
              <w:t>个工作日内采购人与供应商签订政府采购合同。</w:t>
            </w:r>
          </w:p>
        </w:tc>
        <w:tc>
          <w:tcPr>
            <w:tcW w:w="6221" w:type="dxa"/>
          </w:tcPr>
          <w:p>
            <w:pPr>
              <w:widowControl w:val="0"/>
              <w:ind w:firstLine="420" w:firstLineChars="200"/>
              <w:rPr>
                <w:rFonts w:hint="eastAsia"/>
              </w:rPr>
            </w:pPr>
          </w:p>
          <w:p>
            <w:pPr>
              <w:widowControl w:val="0"/>
              <w:ind w:firstLine="480" w:firstLineChars="200"/>
              <w:rPr>
                <w:rFonts w:hint="eastAsia"/>
                <w:sz w:val="24"/>
                <w:szCs w:val="24"/>
              </w:rPr>
            </w:pPr>
            <w:r>
              <w:rPr>
                <w:rFonts w:hint="eastAsia"/>
                <w:sz w:val="24"/>
                <w:szCs w:val="24"/>
              </w:rPr>
              <w:t>采购人应当按照采购文件要求，拟制符合采购项目通知书特点的技术要求，包括采购人与供应商权利义务、验收程序和要求、合同内容、交付时间、付款程序和条件、签订日期、供应商账户信息、违约赔偿和处罚程序、争议处理等内容的合同文本， 经本单位法制审查或集体决策后与供应商签订政府采购合同。</w:t>
            </w:r>
          </w:p>
          <w:p>
            <w:pPr>
              <w:widowControl w:val="0"/>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合同备案</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政府采购合同签订之日起</w:t>
            </w:r>
            <w:r>
              <w:rPr>
                <w:rFonts w:hint="eastAsia"/>
                <w:sz w:val="24"/>
                <w:szCs w:val="24"/>
                <w:vertAlign w:val="baseline"/>
                <w:lang w:val="en-US" w:eastAsia="zh-CN"/>
              </w:rPr>
              <w:t>1</w:t>
            </w:r>
            <w:r>
              <w:rPr>
                <w:rFonts w:hint="default"/>
                <w:sz w:val="24"/>
                <w:szCs w:val="24"/>
                <w:vertAlign w:val="baseline"/>
                <w:lang w:val="en-US" w:eastAsia="zh-CN"/>
              </w:rPr>
              <w:t>个工作日内，合同备案并公示。</w:t>
            </w:r>
          </w:p>
        </w:tc>
        <w:tc>
          <w:tcPr>
            <w:tcW w:w="6221" w:type="dxa"/>
          </w:tcPr>
          <w:p>
            <w:pPr>
              <w:widowControl w:val="0"/>
              <w:rPr>
                <w:rFonts w:hint="eastAsia" w:ascii="宋体" w:hAnsi="宋体" w:eastAsia="宋体" w:cs="宋体"/>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eastAsia" w:ascii="宋体" w:hAnsi="宋体" w:eastAsia="宋体" w:cs="宋体"/>
                <w:sz w:val="24"/>
                <w:szCs w:val="24"/>
                <w:vertAlign w:val="baseline"/>
                <w:lang w:val="en-US" w:eastAsia="zh-CN"/>
              </w:rPr>
              <w:t>政府采购合同公告备案是法定要求，采购人应及时履行备案手续。采购人应当自政府采购合同签订之日起1个工作日内，登录河南省电子化政府采购系统“合同管理”模块，填写合同基本信息，并上传政府采购合同、中标(成交)通知书、中标结果和成交确认书。政府采购监督管理部门对采购人提交的合同基本信息及上传资料进行审核，审核通过后完成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履约验收</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采购人应该在供应商提出验收申请之日起</w:t>
            </w:r>
            <w:r>
              <w:rPr>
                <w:rFonts w:hint="eastAsia"/>
                <w:sz w:val="24"/>
                <w:szCs w:val="24"/>
                <w:vertAlign w:val="baseline"/>
                <w:lang w:val="en-US" w:eastAsia="zh-CN"/>
              </w:rPr>
              <w:t>3</w:t>
            </w:r>
            <w:r>
              <w:rPr>
                <w:rFonts w:hint="default"/>
                <w:sz w:val="24"/>
                <w:szCs w:val="24"/>
                <w:vertAlign w:val="baseline"/>
                <w:lang w:val="en-US" w:eastAsia="zh-CN"/>
              </w:rPr>
              <w:t>个工作日内完成验收，验收完成之日起</w:t>
            </w:r>
            <w:r>
              <w:rPr>
                <w:rFonts w:hint="eastAsia"/>
                <w:sz w:val="24"/>
                <w:szCs w:val="24"/>
                <w:vertAlign w:val="baseline"/>
                <w:lang w:val="en-US" w:eastAsia="zh-CN"/>
              </w:rPr>
              <w:t>2</w:t>
            </w:r>
            <w:r>
              <w:rPr>
                <w:rFonts w:hint="default"/>
                <w:sz w:val="24"/>
                <w:szCs w:val="24"/>
                <w:vertAlign w:val="baseline"/>
                <w:lang w:val="en-US" w:eastAsia="zh-CN"/>
              </w:rPr>
              <w:t>个工作日内，合同履约验收公示。</w:t>
            </w:r>
          </w:p>
        </w:tc>
        <w:tc>
          <w:tcPr>
            <w:tcW w:w="6221"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政府采购项目供应商履约完成后，应及时向采购人提出验收申请。验收合格的项目，采购人应在验收完成之日起</w:t>
            </w:r>
            <w:r>
              <w:rPr>
                <w:rFonts w:hint="eastAsia"/>
                <w:sz w:val="24"/>
                <w:szCs w:val="24"/>
                <w:vertAlign w:val="baseline"/>
                <w:lang w:val="en-US" w:eastAsia="zh-CN"/>
              </w:rPr>
              <w:t>2</w:t>
            </w:r>
            <w:r>
              <w:rPr>
                <w:rFonts w:hint="default"/>
                <w:sz w:val="24"/>
                <w:szCs w:val="24"/>
                <w:vertAlign w:val="baseline"/>
                <w:lang w:val="en-US" w:eastAsia="zh-CN"/>
              </w:rPr>
              <w:t>个工作日内，登录河南省电子化政府采购系统“合同管理”模块下的“合同履约验收”，填写合同、验收基本情况，并上传验收报告和发票在扫描件，保存并提交。 提交合同履约验收后， 打印《唐河县政府采购资金申请表》到政府采购办理支付手续。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199" w:type="dxa"/>
          </w:tcPr>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eastAsia"/>
                <w:sz w:val="24"/>
                <w:szCs w:val="24"/>
                <w:vertAlign w:val="baseline"/>
                <w:lang w:val="en-US" w:eastAsia="zh-CN"/>
              </w:rPr>
            </w:pPr>
          </w:p>
          <w:p>
            <w:pPr>
              <w:widowControl w:val="0"/>
              <w:jc w:val="center"/>
              <w:rPr>
                <w:rFonts w:hint="default"/>
                <w:sz w:val="24"/>
                <w:szCs w:val="24"/>
                <w:vertAlign w:val="baseline"/>
                <w:lang w:val="en-US" w:eastAsia="zh-CN"/>
              </w:rPr>
            </w:pPr>
            <w:r>
              <w:rPr>
                <w:rFonts w:hint="eastAsia"/>
                <w:sz w:val="24"/>
                <w:szCs w:val="24"/>
                <w:vertAlign w:val="baseline"/>
                <w:lang w:val="en-US" w:eastAsia="zh-CN"/>
              </w:rPr>
              <w:t>资金支付</w:t>
            </w:r>
          </w:p>
        </w:tc>
        <w:tc>
          <w:tcPr>
            <w:tcW w:w="2237" w:type="dxa"/>
          </w:tcPr>
          <w:p>
            <w:pPr>
              <w:widowControl w:val="0"/>
              <w:ind w:firstLine="480" w:firstLineChars="200"/>
              <w:rPr>
                <w:rFonts w:hint="default"/>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验收合格具备付款条件的项目， 采购人应在</w:t>
            </w:r>
            <w:r>
              <w:rPr>
                <w:rFonts w:hint="eastAsia"/>
                <w:sz w:val="24"/>
                <w:szCs w:val="24"/>
                <w:vertAlign w:val="baseline"/>
                <w:lang w:val="en-US" w:eastAsia="zh-CN"/>
              </w:rPr>
              <w:t>3</w:t>
            </w:r>
            <w:r>
              <w:rPr>
                <w:rFonts w:hint="default"/>
                <w:sz w:val="24"/>
                <w:szCs w:val="24"/>
                <w:vertAlign w:val="baseline"/>
                <w:lang w:val="en-US" w:eastAsia="zh-CN"/>
              </w:rPr>
              <w:t>个工作日内将资金支付到采购合同约定的供应商账户。</w:t>
            </w:r>
          </w:p>
        </w:tc>
        <w:tc>
          <w:tcPr>
            <w:tcW w:w="6221" w:type="dxa"/>
          </w:tcPr>
          <w:p>
            <w:pPr>
              <w:widowControl w:val="0"/>
              <w:ind w:firstLine="480" w:firstLineChars="200"/>
              <w:rPr>
                <w:rFonts w:hint="eastAsia"/>
                <w:sz w:val="24"/>
                <w:szCs w:val="24"/>
                <w:vertAlign w:val="baseline"/>
                <w:lang w:val="en-US" w:eastAsia="zh-CN"/>
              </w:rPr>
            </w:pPr>
          </w:p>
          <w:p>
            <w:pPr>
              <w:widowControl w:val="0"/>
              <w:ind w:firstLine="480" w:firstLineChars="200"/>
              <w:rPr>
                <w:rFonts w:hint="default"/>
                <w:sz w:val="24"/>
                <w:szCs w:val="24"/>
                <w:vertAlign w:val="baseline"/>
                <w:lang w:val="en-US" w:eastAsia="zh-CN"/>
              </w:rPr>
            </w:pPr>
            <w:r>
              <w:rPr>
                <w:rFonts w:hint="eastAsia"/>
                <w:sz w:val="24"/>
                <w:szCs w:val="24"/>
                <w:vertAlign w:val="baseline"/>
                <w:lang w:val="en-US" w:eastAsia="zh-CN"/>
              </w:rPr>
              <w:t>采购人持《唐河县政府采购资金申请表》，按照政府采购合同约定的支付方式、支付时间，及时支付政府采购资金。验收合格具备付款条件的项目，采购人应在3个工作日内将资金支付到采购合同约定的供应商账户</w:t>
            </w:r>
          </w:p>
        </w:tc>
      </w:tr>
    </w:tbl>
    <w:p>
      <w:pPr>
        <w:jc w:val="left"/>
        <w:rPr>
          <w:rFonts w:hint="eastAsia"/>
          <w:sz w:val="24"/>
          <w:szCs w:val="24"/>
          <w:lang w:val="en-US" w:eastAsia="zh-CN"/>
        </w:rPr>
      </w:pPr>
    </w:p>
    <w:p>
      <w:pPr>
        <w:ind w:firstLine="240" w:firstLineChars="100"/>
        <w:jc w:val="left"/>
        <w:rPr>
          <w:rFonts w:hint="default"/>
          <w:sz w:val="24"/>
          <w:szCs w:val="32"/>
          <w:lang w:val="en-US" w:eastAsia="zh-CN"/>
        </w:rPr>
      </w:pPr>
    </w:p>
    <w:p>
      <w:pPr>
        <w:jc w:val="right"/>
        <w:rPr>
          <w:rFonts w:hint="eastAsia"/>
          <w:sz w:val="24"/>
          <w:szCs w:val="24"/>
          <w:lang w:val="en-US" w:eastAsia="zh-CN"/>
        </w:rPr>
      </w:pPr>
      <w:r>
        <w:rPr>
          <w:rFonts w:hint="eastAsia"/>
          <w:sz w:val="28"/>
          <w:szCs w:val="28"/>
          <w:lang w:val="en-US" w:eastAsia="zh-CN"/>
        </w:rPr>
        <w:t xml:space="preserve">                            </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68"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p>
    <w:sectPr>
      <w:headerReference r:id="rId7" w:type="default"/>
      <w:footerReference r:id="rId8" w:type="default"/>
      <w:pgSz w:w="11907" w:h="16840"/>
      <w:pgMar w:top="1440" w:right="1080" w:bottom="1440" w:left="108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ingLiU">
    <w:altName w:val="Segoe Print"/>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hint="eastAsia" w:eastAsia="宋体"/>
        <w:lang w:val="en-US" w:eastAsia="zh-CN"/>
      </w:rPr>
    </w:pPr>
    <w:r>
      <w:rPr>
        <w:rFonts w:hint="eastAsia"/>
        <w:sz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hint="eastAsia" w:eastAsia="宋体"/>
        <w:lang w:val="en-US" w:eastAsia="zh-CN"/>
      </w:rPr>
    </w:pPr>
    <w:r>
      <w:rPr>
        <w:rFonts w:hint="default"/>
        <w:sz w:val="18"/>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sz w:val="18"/>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DF6793"/>
    <w:multiLevelType w:val="singleLevel"/>
    <w:tmpl w:val="01DF6793"/>
    <w:lvl w:ilvl="0" w:tentative="0">
      <w:start w:val="6"/>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kwMzUxYjUyNjUyOWE0NmQ3ZDdhN2EyODVmMWEyOWIifQ=="/>
  </w:docVars>
  <w:rsids>
    <w:rsidRoot w:val="00000000"/>
    <w:rsid w:val="006140F3"/>
    <w:rsid w:val="00F93B85"/>
    <w:rsid w:val="02980B47"/>
    <w:rsid w:val="0304627B"/>
    <w:rsid w:val="03B63E3A"/>
    <w:rsid w:val="03F005BF"/>
    <w:rsid w:val="049308F0"/>
    <w:rsid w:val="05C82C12"/>
    <w:rsid w:val="064B2778"/>
    <w:rsid w:val="06731CDB"/>
    <w:rsid w:val="06BD7DF4"/>
    <w:rsid w:val="084C47B3"/>
    <w:rsid w:val="08743EB7"/>
    <w:rsid w:val="08896F10"/>
    <w:rsid w:val="08DF64FD"/>
    <w:rsid w:val="095962AF"/>
    <w:rsid w:val="098F0954"/>
    <w:rsid w:val="09A960A9"/>
    <w:rsid w:val="0A2175C7"/>
    <w:rsid w:val="0A4E3858"/>
    <w:rsid w:val="0A530F50"/>
    <w:rsid w:val="0ADC6029"/>
    <w:rsid w:val="0C272EF4"/>
    <w:rsid w:val="0C450913"/>
    <w:rsid w:val="0CF167FE"/>
    <w:rsid w:val="0E3E7CBD"/>
    <w:rsid w:val="0EE83C0B"/>
    <w:rsid w:val="0EFB1BB6"/>
    <w:rsid w:val="0F130CAE"/>
    <w:rsid w:val="0F5F3EF3"/>
    <w:rsid w:val="0FF95996"/>
    <w:rsid w:val="0FFF7484"/>
    <w:rsid w:val="10832DEB"/>
    <w:rsid w:val="11E54B27"/>
    <w:rsid w:val="11F10D0E"/>
    <w:rsid w:val="12A2611E"/>
    <w:rsid w:val="13504EE3"/>
    <w:rsid w:val="135E4018"/>
    <w:rsid w:val="13D318D3"/>
    <w:rsid w:val="14184102"/>
    <w:rsid w:val="146A4EE4"/>
    <w:rsid w:val="147A2410"/>
    <w:rsid w:val="148812AE"/>
    <w:rsid w:val="14B05372"/>
    <w:rsid w:val="14D64C58"/>
    <w:rsid w:val="156F62EF"/>
    <w:rsid w:val="15BB5765"/>
    <w:rsid w:val="15C27640"/>
    <w:rsid w:val="15FC3460"/>
    <w:rsid w:val="16655340"/>
    <w:rsid w:val="16882EF5"/>
    <w:rsid w:val="16FD3ABE"/>
    <w:rsid w:val="172F0E42"/>
    <w:rsid w:val="196A0814"/>
    <w:rsid w:val="19F1656A"/>
    <w:rsid w:val="1B1E2EB4"/>
    <w:rsid w:val="1B4E29D7"/>
    <w:rsid w:val="1B526017"/>
    <w:rsid w:val="1BFF6021"/>
    <w:rsid w:val="1C587110"/>
    <w:rsid w:val="1CC05665"/>
    <w:rsid w:val="1D2A5785"/>
    <w:rsid w:val="1D7F2147"/>
    <w:rsid w:val="1D941A61"/>
    <w:rsid w:val="1D996CC8"/>
    <w:rsid w:val="1DA01659"/>
    <w:rsid w:val="1E6454A8"/>
    <w:rsid w:val="1EF83A1C"/>
    <w:rsid w:val="1FCD677B"/>
    <w:rsid w:val="1FCF1E87"/>
    <w:rsid w:val="1FDC333E"/>
    <w:rsid w:val="208E4164"/>
    <w:rsid w:val="212C3E51"/>
    <w:rsid w:val="21A07893"/>
    <w:rsid w:val="23554AEF"/>
    <w:rsid w:val="23645F64"/>
    <w:rsid w:val="23F5677C"/>
    <w:rsid w:val="23FB5E39"/>
    <w:rsid w:val="241A61E3"/>
    <w:rsid w:val="244A2A1D"/>
    <w:rsid w:val="2564491D"/>
    <w:rsid w:val="25B83A87"/>
    <w:rsid w:val="266463E7"/>
    <w:rsid w:val="26AC7197"/>
    <w:rsid w:val="26E9311B"/>
    <w:rsid w:val="27C93253"/>
    <w:rsid w:val="28032F0B"/>
    <w:rsid w:val="2A1C7CF7"/>
    <w:rsid w:val="2A3D0E7D"/>
    <w:rsid w:val="2A924A38"/>
    <w:rsid w:val="2AB05D84"/>
    <w:rsid w:val="2AB13D32"/>
    <w:rsid w:val="2AE32E31"/>
    <w:rsid w:val="2CD208B5"/>
    <w:rsid w:val="2E6C7ED8"/>
    <w:rsid w:val="2EA57FA1"/>
    <w:rsid w:val="2EF243BC"/>
    <w:rsid w:val="30EF0857"/>
    <w:rsid w:val="31366B10"/>
    <w:rsid w:val="3140197F"/>
    <w:rsid w:val="31E05F1C"/>
    <w:rsid w:val="320C16C0"/>
    <w:rsid w:val="32672625"/>
    <w:rsid w:val="32831B16"/>
    <w:rsid w:val="329B61C3"/>
    <w:rsid w:val="32F6583E"/>
    <w:rsid w:val="333A48FA"/>
    <w:rsid w:val="334A1323"/>
    <w:rsid w:val="33D92F7A"/>
    <w:rsid w:val="340824FC"/>
    <w:rsid w:val="34B2130C"/>
    <w:rsid w:val="350E12EA"/>
    <w:rsid w:val="354173ED"/>
    <w:rsid w:val="35904557"/>
    <w:rsid w:val="35992C99"/>
    <w:rsid w:val="360F3354"/>
    <w:rsid w:val="36486409"/>
    <w:rsid w:val="37BD0585"/>
    <w:rsid w:val="37CA6352"/>
    <w:rsid w:val="38533A18"/>
    <w:rsid w:val="38B814EC"/>
    <w:rsid w:val="396226AE"/>
    <w:rsid w:val="3AB900AC"/>
    <w:rsid w:val="3B223EA3"/>
    <w:rsid w:val="3BAF7174"/>
    <w:rsid w:val="3D660BE0"/>
    <w:rsid w:val="3DB6074F"/>
    <w:rsid w:val="3EB41E07"/>
    <w:rsid w:val="40A430BB"/>
    <w:rsid w:val="40E1210B"/>
    <w:rsid w:val="41314E40"/>
    <w:rsid w:val="41F66AB4"/>
    <w:rsid w:val="43D372D6"/>
    <w:rsid w:val="442B201A"/>
    <w:rsid w:val="44B74AB0"/>
    <w:rsid w:val="44C27AD5"/>
    <w:rsid w:val="45300AE7"/>
    <w:rsid w:val="463F4C16"/>
    <w:rsid w:val="46832AB5"/>
    <w:rsid w:val="46942B8F"/>
    <w:rsid w:val="498A3D49"/>
    <w:rsid w:val="4ACA3C0F"/>
    <w:rsid w:val="4BBB7B8C"/>
    <w:rsid w:val="4C806C7C"/>
    <w:rsid w:val="4C9425BB"/>
    <w:rsid w:val="4CB97E79"/>
    <w:rsid w:val="4CBA2C7D"/>
    <w:rsid w:val="4D2770F7"/>
    <w:rsid w:val="4D422183"/>
    <w:rsid w:val="4D9F6104"/>
    <w:rsid w:val="4E5C03B2"/>
    <w:rsid w:val="4E612ADD"/>
    <w:rsid w:val="4FA36E2B"/>
    <w:rsid w:val="50CD1D3A"/>
    <w:rsid w:val="50DF62FA"/>
    <w:rsid w:val="518A40F8"/>
    <w:rsid w:val="51943136"/>
    <w:rsid w:val="538452A3"/>
    <w:rsid w:val="53E45D42"/>
    <w:rsid w:val="554A067A"/>
    <w:rsid w:val="562B2D19"/>
    <w:rsid w:val="566F2249"/>
    <w:rsid w:val="571C70F4"/>
    <w:rsid w:val="578C1E3F"/>
    <w:rsid w:val="58122B18"/>
    <w:rsid w:val="582157B7"/>
    <w:rsid w:val="583737A8"/>
    <w:rsid w:val="584A5D0C"/>
    <w:rsid w:val="597638E0"/>
    <w:rsid w:val="59791FCF"/>
    <w:rsid w:val="59C70462"/>
    <w:rsid w:val="5B942EAB"/>
    <w:rsid w:val="5BFB1656"/>
    <w:rsid w:val="5C805C3A"/>
    <w:rsid w:val="5CED210B"/>
    <w:rsid w:val="5DD33159"/>
    <w:rsid w:val="5E401EE1"/>
    <w:rsid w:val="5E862024"/>
    <w:rsid w:val="5F6E5059"/>
    <w:rsid w:val="5FE54AEF"/>
    <w:rsid w:val="5FE62E42"/>
    <w:rsid w:val="5FF150C3"/>
    <w:rsid w:val="604F0C94"/>
    <w:rsid w:val="60811390"/>
    <w:rsid w:val="60E905BC"/>
    <w:rsid w:val="611C486A"/>
    <w:rsid w:val="612C3317"/>
    <w:rsid w:val="613320B7"/>
    <w:rsid w:val="639037F0"/>
    <w:rsid w:val="63BC45E5"/>
    <w:rsid w:val="64B4350F"/>
    <w:rsid w:val="64C17C5F"/>
    <w:rsid w:val="64E32222"/>
    <w:rsid w:val="660C0310"/>
    <w:rsid w:val="674A54CB"/>
    <w:rsid w:val="679C7383"/>
    <w:rsid w:val="68740EAF"/>
    <w:rsid w:val="691A37DC"/>
    <w:rsid w:val="695F7E2D"/>
    <w:rsid w:val="6A443604"/>
    <w:rsid w:val="6ACC2E0B"/>
    <w:rsid w:val="6B3B245C"/>
    <w:rsid w:val="6B6B37C9"/>
    <w:rsid w:val="6B9F656F"/>
    <w:rsid w:val="6DAF0580"/>
    <w:rsid w:val="6DD02520"/>
    <w:rsid w:val="6DE17F47"/>
    <w:rsid w:val="6E1128F7"/>
    <w:rsid w:val="6E6B7F83"/>
    <w:rsid w:val="6EE2110B"/>
    <w:rsid w:val="70411D13"/>
    <w:rsid w:val="713734FD"/>
    <w:rsid w:val="718B602C"/>
    <w:rsid w:val="7222612A"/>
    <w:rsid w:val="722A439F"/>
    <w:rsid w:val="727D45B0"/>
    <w:rsid w:val="727F5D14"/>
    <w:rsid w:val="74143D3D"/>
    <w:rsid w:val="7571756C"/>
    <w:rsid w:val="75CE5F39"/>
    <w:rsid w:val="76102BC1"/>
    <w:rsid w:val="768D73E4"/>
    <w:rsid w:val="778B45A3"/>
    <w:rsid w:val="77AC443F"/>
    <w:rsid w:val="780D320A"/>
    <w:rsid w:val="786749F3"/>
    <w:rsid w:val="78C35701"/>
    <w:rsid w:val="78F607B2"/>
    <w:rsid w:val="79A15AC2"/>
    <w:rsid w:val="7B2E771F"/>
    <w:rsid w:val="7B890DF9"/>
    <w:rsid w:val="7BC65611"/>
    <w:rsid w:val="7C2C76E7"/>
    <w:rsid w:val="7DAB214F"/>
    <w:rsid w:val="7DC806DC"/>
    <w:rsid w:val="7F590AE3"/>
    <w:rsid w:val="7FD12D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7">
    <w:name w:val="heading 1"/>
    <w:basedOn w:val="1"/>
    <w:next w:val="1"/>
    <w:autoRedefine/>
    <w:qFormat/>
    <w:uiPriority w:val="0"/>
    <w:pPr>
      <w:keepNext/>
      <w:keepLines/>
      <w:snapToGrid w:val="0"/>
      <w:spacing w:beforeLines="0" w:beforeAutospacing="0" w:afterLines="0" w:afterAutospacing="0" w:line="240" w:lineRule="auto"/>
      <w:jc w:val="center"/>
      <w:outlineLvl w:val="0"/>
    </w:pPr>
    <w:rPr>
      <w:rFonts w:ascii="Times New Roman" w:hAnsi="Times New Roman" w:eastAsia="宋体" w:cs="Times New Roman"/>
      <w:b/>
      <w:kern w:val="44"/>
      <w:sz w:val="44"/>
    </w:rPr>
  </w:style>
  <w:style w:type="paragraph" w:styleId="8">
    <w:name w:val="heading 2"/>
    <w:basedOn w:val="1"/>
    <w:next w:val="1"/>
    <w:autoRedefine/>
    <w:qFormat/>
    <w:uiPriority w:val="1"/>
    <w:pPr>
      <w:spacing w:before="55"/>
      <w:jc w:val="center"/>
      <w:outlineLvl w:val="2"/>
    </w:pPr>
    <w:rPr>
      <w:rFonts w:ascii="宋体" w:hAnsi="宋体" w:eastAsia="宋体" w:cs="宋体"/>
      <w:b/>
      <w:bCs/>
      <w:sz w:val="32"/>
      <w:szCs w:val="32"/>
      <w:lang w:val="en-US" w:eastAsia="zh-CN" w:bidi="ar-SA"/>
    </w:rPr>
  </w:style>
  <w:style w:type="paragraph" w:styleId="9">
    <w:name w:val="heading 4"/>
    <w:basedOn w:val="1"/>
    <w:next w:val="1"/>
    <w:qFormat/>
    <w:uiPriority w:val="0"/>
    <w:pPr>
      <w:spacing w:before="153"/>
      <w:ind w:left="538" w:right="542"/>
      <w:jc w:val="center"/>
      <w:outlineLvl w:val="4"/>
    </w:pPr>
    <w:rPr>
      <w:rFonts w:ascii="仿宋" w:hAnsi="仿宋" w:eastAsia="仿宋" w:cs="仿宋"/>
      <w:b/>
      <w:bCs/>
      <w:sz w:val="28"/>
      <w:szCs w:val="28"/>
      <w:lang w:val="zh-CN" w:eastAsia="zh-CN" w:bidi="zh-CN"/>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1"/>
    <w:autoRedefine/>
    <w:qFormat/>
    <w:uiPriority w:val="0"/>
    <w:rPr>
      <w:rFonts w:ascii="宋体" w:hAnsi="宋体" w:eastAsia="宋体" w:cs="宋体"/>
      <w:sz w:val="31"/>
      <w:szCs w:val="31"/>
      <w:lang w:val="en-US" w:eastAsia="en-US" w:bidi="ar-SA"/>
    </w:rPr>
  </w:style>
  <w:style w:type="paragraph" w:styleId="4">
    <w:name w:val="Body Text First Indent 2"/>
    <w:basedOn w:val="5"/>
    <w:next w:val="1"/>
    <w:autoRedefine/>
    <w:unhideWhenUsed/>
    <w:qFormat/>
    <w:uiPriority w:val="99"/>
    <w:pPr>
      <w:tabs>
        <w:tab w:val="left" w:pos="0"/>
      </w:tabs>
      <w:spacing w:after="120"/>
      <w:ind w:left="420" w:leftChars="200" w:firstLine="420" w:firstLineChars="200"/>
    </w:pPr>
    <w:rPr>
      <w:rFonts w:ascii="宋体" w:hAnsi="Courier New"/>
      <w:spacing w:val="-4"/>
      <w:kern w:val="2"/>
      <w:sz w:val="21"/>
      <w:szCs w:val="24"/>
    </w:rPr>
  </w:style>
  <w:style w:type="paragraph" w:styleId="5">
    <w:name w:val="Body Text Indent"/>
    <w:basedOn w:val="1"/>
    <w:next w:val="6"/>
    <w:autoRedefine/>
    <w:qFormat/>
    <w:uiPriority w:val="0"/>
    <w:pPr>
      <w:tabs>
        <w:tab w:val="left" w:pos="0"/>
      </w:tabs>
      <w:ind w:firstLine="538" w:firstLineChars="192"/>
    </w:pPr>
    <w:rPr>
      <w:rFonts w:ascii="Tahoma" w:hAnsi="Tahoma"/>
      <w:kern w:val="2"/>
      <w:sz w:val="28"/>
      <w:szCs w:val="24"/>
    </w:rPr>
  </w:style>
  <w:style w:type="paragraph" w:styleId="6">
    <w:name w:val="envelope return"/>
    <w:basedOn w:val="1"/>
    <w:qFormat/>
    <w:uiPriority w:val="0"/>
    <w:pPr>
      <w:snapToGrid w:val="0"/>
    </w:pPr>
    <w:rPr>
      <w:rFonts w:ascii="Arial" w:hAnsi="Arial"/>
    </w:rPr>
  </w:style>
  <w:style w:type="paragraph" w:styleId="10">
    <w:name w:val="annotation text"/>
    <w:basedOn w:val="1"/>
    <w:autoRedefine/>
    <w:qFormat/>
    <w:uiPriority w:val="0"/>
    <w:pPr>
      <w:jc w:val="left"/>
    </w:pPr>
  </w:style>
  <w:style w:type="paragraph" w:styleId="11">
    <w:name w:val="Date"/>
    <w:next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12">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4">
    <w:name w:val="Body Text 2"/>
    <w:basedOn w:val="1"/>
    <w:autoRedefine/>
    <w:qFormat/>
    <w:uiPriority w:val="0"/>
    <w:pPr>
      <w:spacing w:after="120" w:line="480" w:lineRule="auto"/>
    </w:pPr>
  </w:style>
  <w:style w:type="paragraph" w:styleId="15">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style4"/>
    <w:basedOn w:val="1"/>
    <w:next w:val="20"/>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20">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customStyle="1" w:styleId="21">
    <w:name w:val="Default"/>
    <w:next w:val="22"/>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22">
    <w:name w:val="Char Char10 Char Char Char Char"/>
    <w:next w:val="23"/>
    <w:qFormat/>
    <w:uiPriority w:val="0"/>
    <w:pPr>
      <w:widowControl w:val="0"/>
      <w:jc w:val="both"/>
    </w:pPr>
    <w:rPr>
      <w:rFonts w:ascii="Calibri" w:hAnsi="Calibri" w:eastAsia="宋体" w:cs="Times New Roman"/>
      <w:kern w:val="0"/>
      <w:sz w:val="21"/>
      <w:szCs w:val="24"/>
      <w:lang w:val="en-US" w:eastAsia="zh-CN" w:bidi="ar-SA"/>
    </w:rPr>
  </w:style>
  <w:style w:type="paragraph" w:customStyle="1" w:styleId="23">
    <w:name w:val="xl87"/>
    <w:next w:val="24"/>
    <w:qFormat/>
    <w:uiPriority w:val="0"/>
    <w:pPr>
      <w:widowControl w:val="0"/>
      <w:pBdr>
        <w:top w:val="single" w:color="auto" w:sz="8" w:space="0"/>
        <w:left w:val="single" w:color="auto" w:sz="4" w:space="0"/>
        <w:bottom w:val="single" w:color="auto" w:sz="4" w:space="0"/>
        <w:right w:val="single" w:color="auto" w:sz="4" w:space="0"/>
      </w:pBdr>
      <w:shd w:val="clear" w:color="000000" w:fill="C5D9F1"/>
      <w:spacing w:before="100" w:beforeAutospacing="1" w:after="100" w:afterAutospacing="1"/>
      <w:jc w:val="left"/>
    </w:pPr>
    <w:rPr>
      <w:rFonts w:ascii="宋体" w:hAnsi="宋体" w:eastAsia="仿宋_GB2312" w:cs="宋体"/>
      <w:kern w:val="0"/>
      <w:sz w:val="24"/>
      <w:szCs w:val="24"/>
      <w:lang w:val="en-US" w:eastAsia="zh-CN" w:bidi="ar-SA"/>
    </w:rPr>
  </w:style>
  <w:style w:type="paragraph" w:customStyle="1" w:styleId="24">
    <w:name w:val="xl72"/>
    <w:next w:val="11"/>
    <w:qFormat/>
    <w:uiPriority w:val="0"/>
    <w:pPr>
      <w:widowControl w:val="0"/>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eastAsia="仿宋_GB2312" w:cs="宋体"/>
      <w:kern w:val="0"/>
      <w:sz w:val="24"/>
      <w:szCs w:val="24"/>
      <w:lang w:val="en-US" w:eastAsia="zh-CN" w:bidi="ar-SA"/>
    </w:rPr>
  </w:style>
  <w:style w:type="paragraph" w:customStyle="1" w:styleId="25">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6">
    <w:name w:val="Table Normal"/>
    <w:autoRedefine/>
    <w:semiHidden/>
    <w:unhideWhenUsed/>
    <w:qFormat/>
    <w:uiPriority w:val="0"/>
    <w:tblPr>
      <w:tblCellMar>
        <w:top w:w="0" w:type="dxa"/>
        <w:left w:w="0" w:type="dxa"/>
        <w:bottom w:w="0" w:type="dxa"/>
        <w:right w:w="0" w:type="dxa"/>
      </w:tblCellMar>
    </w:tblPr>
  </w:style>
  <w:style w:type="paragraph" w:customStyle="1" w:styleId="27">
    <w:name w:val="Table Text"/>
    <w:basedOn w:val="1"/>
    <w:autoRedefine/>
    <w:semiHidden/>
    <w:qFormat/>
    <w:uiPriority w:val="0"/>
    <w:rPr>
      <w:rFonts w:ascii="Arial" w:hAnsi="Arial" w:eastAsia="Arial" w:cs="Arial"/>
      <w:sz w:val="21"/>
      <w:szCs w:val="21"/>
      <w:lang w:val="en-US" w:eastAsia="en-US" w:bidi="ar-SA"/>
    </w:rPr>
  </w:style>
  <w:style w:type="paragraph" w:customStyle="1" w:styleId="28">
    <w:name w:val="Table Paragraph"/>
    <w:basedOn w:val="1"/>
    <w:autoRedefine/>
    <w:qFormat/>
    <w:uiPriority w:val="1"/>
    <w:rPr>
      <w:rFonts w:ascii="宋体" w:hAnsi="宋体" w:eastAsia="宋体" w:cs="宋体"/>
      <w:lang w:val="en-US" w:eastAsia="zh-CN" w:bidi="ar-SA"/>
    </w:rPr>
  </w:style>
  <w:style w:type="paragraph" w:customStyle="1" w:styleId="29">
    <w:name w:val="无间隔1"/>
    <w:basedOn w:val="1"/>
    <w:autoRedefine/>
    <w:qFormat/>
    <w:uiPriority w:val="99"/>
    <w:pPr>
      <w:spacing w:line="400" w:lineRule="exact"/>
    </w:pPr>
  </w:style>
  <w:style w:type="paragraph" w:styleId="30">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31">
    <w:name w:val="列出段落1"/>
    <w:basedOn w:val="1"/>
    <w:unhideWhenUsed/>
    <w:qFormat/>
    <w:uiPriority w:val="99"/>
    <w:pPr>
      <w:ind w:firstLine="420" w:firstLineChars="200"/>
    </w:p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paragraph" w:customStyle="1" w:styleId="33">
    <w:name w:val="WPSOffice手动目录 2"/>
    <w:qFormat/>
    <w:uiPriority w:val="0"/>
    <w:pPr>
      <w:ind w:leftChars="200"/>
    </w:pPr>
    <w:rPr>
      <w:rFonts w:ascii="Times New Roman" w:hAnsi="Times New Roman" w:eastAsia="宋体" w:cs="Times New Roman"/>
      <w:sz w:val="20"/>
      <w:szCs w:val="20"/>
    </w:rPr>
  </w:style>
  <w:style w:type="paragraph" w:customStyle="1" w:styleId="34">
    <w:name w:val="Body text|2"/>
    <w:basedOn w:val="1"/>
    <w:autoRedefine/>
    <w:qFormat/>
    <w:uiPriority w:val="0"/>
    <w:pPr>
      <w:widowControl w:val="0"/>
      <w:shd w:val="clear" w:color="auto" w:fill="auto"/>
      <w:spacing w:after="420" w:line="393" w:lineRule="exact"/>
      <w:jc w:val="center"/>
    </w:pPr>
    <w:rPr>
      <w:rFonts w:ascii="MingLiU" w:hAnsi="MingLiU" w:eastAsia="MingLiU" w:cs="MingLiU"/>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47</Pages>
  <Words>24047</Words>
  <Characters>25058</Characters>
  <TotalTime>23</TotalTime>
  <ScaleCrop>false</ScaleCrop>
  <LinksUpToDate>false</LinksUpToDate>
  <CharactersWithSpaces>26109</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暖暖</cp:lastModifiedBy>
  <cp:lastPrinted>2024-06-28T08:02:00Z</cp:lastPrinted>
  <dcterms:modified xsi:type="dcterms:W3CDTF">2024-06-28T08:56:13Z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AC80C27C624747B1AE5D62506478D1D6_13</vt:lpwstr>
  </property>
</Properties>
</file>