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right="-334" w:rightChars="-159"/>
        <w:jc w:val="center"/>
        <w:rPr>
          <w:rFonts w:hint="eastAsia" w:ascii="宋体" w:hAnsi="宋体" w:cs="宋体"/>
          <w:b/>
          <w:sz w:val="52"/>
          <w:szCs w:val="52"/>
          <w:highlight w:val="none"/>
          <w:lang w:eastAsia="zh-CN"/>
        </w:rPr>
      </w:pPr>
      <w:bookmarkStart w:id="0" w:name="_Toc358359598"/>
      <w:bookmarkStart w:id="1" w:name="_Toc330911140"/>
      <w:bookmarkStart w:id="2" w:name="_Toc14831"/>
      <w:bookmarkStart w:id="3" w:name="_Toc325322128"/>
      <w:bookmarkStart w:id="4" w:name="_Toc27426"/>
      <w:bookmarkStart w:id="5" w:name="_Toc23850"/>
      <w:r>
        <w:rPr>
          <w:rFonts w:hint="eastAsia" w:ascii="宋体" w:hAnsi="宋体" w:cs="宋体"/>
          <w:b/>
          <w:sz w:val="52"/>
          <w:szCs w:val="52"/>
          <w:highlight w:val="none"/>
          <w:lang w:eastAsia="zh-CN"/>
        </w:rPr>
        <w:drawing>
          <wp:inline distT="0" distB="0" distL="114300" distR="114300">
            <wp:extent cx="5935345" cy="8389620"/>
            <wp:effectExtent l="0" t="0" r="8255" b="7620"/>
            <wp:docPr id="3" name="图片 3" descr="SKM_28724070109570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KM_28724070109570_00"/>
                    <pic:cNvPicPr>
                      <a:picLocks noChangeAspect="1"/>
                    </pic:cNvPicPr>
                  </pic:nvPicPr>
                  <pic:blipFill>
                    <a:blip r:embed="rId9"/>
                    <a:stretch>
                      <a:fillRect/>
                    </a:stretch>
                  </pic:blipFill>
                  <pic:spPr>
                    <a:xfrm>
                      <a:off x="0" y="0"/>
                      <a:ext cx="5935345" cy="8389620"/>
                    </a:xfrm>
                    <a:prstGeom prst="rect">
                      <a:avLst/>
                    </a:prstGeom>
                  </pic:spPr>
                </pic:pic>
              </a:graphicData>
            </a:graphic>
          </wp:inline>
        </w:drawing>
      </w:r>
      <w:r>
        <w:rPr>
          <w:rFonts w:hint="eastAsia" w:ascii="宋体" w:hAnsi="宋体" w:cs="宋体"/>
          <w:b/>
          <w:sz w:val="72"/>
          <w:szCs w:val="72"/>
          <w:highlight w:val="none"/>
          <w:lang w:eastAsia="zh-CN"/>
        </w:rPr>
        <w:t>社旗县山陕会馆消防工程</w:t>
      </w:r>
    </w:p>
    <w:p>
      <w:pPr>
        <w:pStyle w:val="2"/>
        <w:rPr>
          <w:rFonts w:hint="eastAsia" w:ascii="宋体" w:hAnsi="宋体" w:cs="宋体"/>
          <w:b/>
          <w:sz w:val="36"/>
          <w:szCs w:val="36"/>
          <w:highlight w:val="none"/>
          <w:lang w:eastAsia="zh-CN"/>
        </w:rPr>
      </w:pPr>
    </w:p>
    <w:p>
      <w:pPr>
        <w:rPr>
          <w:rFonts w:hint="eastAsia"/>
          <w:lang w:eastAsia="zh-CN"/>
        </w:rPr>
      </w:pPr>
    </w:p>
    <w:p>
      <w:pPr>
        <w:spacing w:line="360" w:lineRule="auto"/>
        <w:ind w:right="-334" w:rightChars="-159"/>
        <w:jc w:val="center"/>
        <w:rPr>
          <w:rFonts w:hint="default" w:ascii="宋体" w:hAnsi="宋体" w:eastAsia="宋体" w:cs="宋体"/>
          <w:b/>
          <w:sz w:val="32"/>
          <w:szCs w:val="32"/>
          <w:highlight w:val="none"/>
          <w:lang w:val="en-US" w:eastAsia="zh-CN"/>
        </w:rPr>
      </w:pPr>
      <w:r>
        <w:rPr>
          <w:rFonts w:hint="eastAsia" w:ascii="宋体" w:hAnsi="宋体" w:cs="宋体"/>
          <w:b/>
          <w:sz w:val="32"/>
          <w:szCs w:val="32"/>
          <w:highlight w:val="none"/>
          <w:lang w:eastAsia="zh-CN"/>
        </w:rPr>
        <w:t>项目编号：E4113271327</w:t>
      </w:r>
      <w:bookmarkStart w:id="1005" w:name="_GoBack"/>
      <w:bookmarkEnd w:id="1005"/>
      <w:r>
        <w:rPr>
          <w:rFonts w:hint="eastAsia" w:ascii="宋体" w:hAnsi="宋体" w:cs="宋体"/>
          <w:b/>
          <w:sz w:val="32"/>
          <w:szCs w:val="32"/>
          <w:highlight w:val="none"/>
          <w:lang w:eastAsia="zh-CN"/>
        </w:rPr>
        <w:t>000004</w:t>
      </w:r>
    </w:p>
    <w:p>
      <w:pPr>
        <w:pStyle w:val="2"/>
        <w:rPr>
          <w:rFonts w:hint="eastAsia"/>
        </w:rPr>
      </w:pPr>
    </w:p>
    <w:p>
      <w:pPr>
        <w:spacing w:line="360" w:lineRule="auto"/>
        <w:ind w:right="-334" w:rightChars="-159"/>
        <w:jc w:val="center"/>
        <w:rPr>
          <w:rFonts w:hint="eastAsia" w:ascii="宋体" w:hAnsi="宋体" w:cs="宋体"/>
          <w:b/>
          <w:color w:val="auto"/>
          <w:sz w:val="96"/>
          <w:szCs w:val="96"/>
          <w:highlight w:val="none"/>
        </w:rPr>
      </w:pPr>
    </w:p>
    <w:p>
      <w:pPr>
        <w:spacing w:line="360" w:lineRule="auto"/>
        <w:ind w:right="-334" w:rightChars="-159"/>
        <w:jc w:val="center"/>
        <w:rPr>
          <w:rFonts w:hint="eastAsia" w:ascii="宋体" w:hAnsi="宋体" w:cs="宋体"/>
          <w:b/>
          <w:color w:val="auto"/>
          <w:sz w:val="96"/>
          <w:szCs w:val="96"/>
          <w:highlight w:val="none"/>
        </w:rPr>
      </w:pPr>
      <w:r>
        <w:rPr>
          <w:rFonts w:hint="eastAsia" w:ascii="宋体" w:hAnsi="宋体" w:cs="宋体"/>
          <w:b/>
          <w:color w:val="auto"/>
          <w:sz w:val="96"/>
          <w:szCs w:val="96"/>
          <w:highlight w:val="none"/>
        </w:rPr>
        <w:t>招 标 文 件</w:t>
      </w:r>
    </w:p>
    <w:p>
      <w:pPr>
        <w:bidi w:val="0"/>
        <w:jc w:val="both"/>
        <w:rPr>
          <w:rFonts w:hint="eastAsia"/>
          <w:b/>
          <w:bCs/>
          <w:color w:val="auto"/>
          <w:sz w:val="32"/>
          <w:szCs w:val="32"/>
          <w:highlight w:val="none"/>
          <w:lang w:eastAsia="zh-CN"/>
        </w:rPr>
      </w:pPr>
    </w:p>
    <w:p>
      <w:pPr>
        <w:bidi w:val="0"/>
        <w:jc w:val="center"/>
        <w:rPr>
          <w:rFonts w:hint="eastAsia" w:ascii="宋体" w:hAnsi="宋体" w:cs="宋体"/>
          <w:b/>
          <w:color w:val="auto"/>
          <w:sz w:val="30"/>
          <w:szCs w:val="30"/>
          <w:highlight w:val="none"/>
        </w:rPr>
      </w:pPr>
    </w:p>
    <w:p>
      <w:pPr>
        <w:pStyle w:val="2"/>
        <w:rPr>
          <w:rFonts w:hint="eastAsia" w:ascii="宋体" w:hAnsi="宋体" w:cs="宋体"/>
          <w:b/>
          <w:color w:val="auto"/>
          <w:sz w:val="30"/>
          <w:szCs w:val="30"/>
          <w:highlight w:val="none"/>
        </w:rPr>
      </w:pPr>
    </w:p>
    <w:p>
      <w:pPr>
        <w:pStyle w:val="2"/>
        <w:rPr>
          <w:rFonts w:hint="eastAsia" w:ascii="宋体" w:hAnsi="宋体" w:cs="宋体"/>
          <w:b/>
          <w:color w:val="auto"/>
          <w:sz w:val="30"/>
          <w:szCs w:val="30"/>
          <w:highlight w:val="none"/>
        </w:rPr>
      </w:pPr>
    </w:p>
    <w:p>
      <w:pPr>
        <w:pStyle w:val="3"/>
        <w:rPr>
          <w:rFonts w:hint="eastAsia" w:ascii="宋体" w:hAnsi="宋体" w:cs="宋体"/>
          <w:b/>
          <w:color w:val="auto"/>
          <w:sz w:val="30"/>
          <w:szCs w:val="30"/>
          <w:highlight w:val="none"/>
        </w:rPr>
      </w:pPr>
    </w:p>
    <w:p>
      <w:pPr>
        <w:rPr>
          <w:rFonts w:hint="eastAsia"/>
        </w:rPr>
      </w:pPr>
    </w:p>
    <w:p>
      <w:pPr>
        <w:spacing w:line="360" w:lineRule="auto"/>
        <w:jc w:val="left"/>
        <w:rPr>
          <w:rFonts w:hint="eastAsia" w:ascii="宋体" w:hAnsi="宋体" w:cs="宋体"/>
          <w:b/>
          <w:color w:val="auto"/>
          <w:sz w:val="30"/>
          <w:szCs w:val="30"/>
          <w:highlight w:val="none"/>
        </w:rPr>
      </w:pPr>
    </w:p>
    <w:p>
      <w:pPr>
        <w:spacing w:line="360" w:lineRule="auto"/>
        <w:ind w:firstLine="1274" w:firstLineChars="423"/>
        <w:jc w:val="left"/>
        <w:rPr>
          <w:rFonts w:hint="eastAsia" w:ascii="宋体" w:hAnsi="宋体" w:cs="宋体"/>
          <w:b/>
          <w:color w:val="auto"/>
          <w:sz w:val="30"/>
          <w:szCs w:val="30"/>
          <w:highlight w:val="none"/>
        </w:rPr>
      </w:pPr>
    </w:p>
    <w:p>
      <w:pPr>
        <w:spacing w:line="360" w:lineRule="auto"/>
        <w:ind w:firstLine="1274" w:firstLineChars="423"/>
        <w:jc w:val="left"/>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招   标   人：</w:t>
      </w:r>
      <w:r>
        <w:rPr>
          <w:rFonts w:hint="eastAsia" w:ascii="宋体" w:hAnsi="宋体" w:cs="宋体"/>
          <w:b/>
          <w:color w:val="auto"/>
          <w:sz w:val="30"/>
          <w:szCs w:val="30"/>
          <w:highlight w:val="none"/>
          <w:lang w:eastAsia="zh-CN"/>
        </w:rPr>
        <w:t>社旗县文化广电和旅游局</w:t>
      </w:r>
    </w:p>
    <w:p>
      <w:pPr>
        <w:spacing w:line="360" w:lineRule="auto"/>
        <w:ind w:firstLine="1274" w:firstLineChars="423"/>
        <w:jc w:val="left"/>
        <w:rPr>
          <w:rFonts w:hint="eastAsia" w:ascii="宋体" w:hAnsi="宋体" w:cs="宋体"/>
          <w:b/>
          <w:color w:val="auto"/>
          <w:sz w:val="30"/>
          <w:szCs w:val="30"/>
          <w:highlight w:val="none"/>
        </w:rPr>
      </w:pPr>
      <w:r>
        <w:rPr>
          <w:rFonts w:hint="eastAsia" w:ascii="宋体" w:hAnsi="宋体" w:cs="宋体"/>
          <w:b/>
          <w:color w:val="auto"/>
          <w:sz w:val="30"/>
          <w:szCs w:val="30"/>
          <w:highlight w:val="none"/>
        </w:rPr>
        <w:t>招标代理机构：</w:t>
      </w:r>
      <w:r>
        <w:rPr>
          <w:rFonts w:hint="eastAsia" w:ascii="宋体" w:hAnsi="宋体" w:cs="宋体"/>
          <w:b/>
          <w:color w:val="auto"/>
          <w:sz w:val="30"/>
          <w:szCs w:val="30"/>
          <w:highlight w:val="none"/>
          <w:lang w:eastAsia="zh-CN"/>
        </w:rPr>
        <w:t>河南首泰工程咨询有限公司</w:t>
      </w:r>
      <w:r>
        <w:rPr>
          <w:rFonts w:hint="eastAsia" w:ascii="宋体" w:hAnsi="宋体" w:cs="宋体"/>
          <w:b/>
          <w:color w:val="auto"/>
          <w:sz w:val="30"/>
          <w:szCs w:val="30"/>
          <w:highlight w:val="none"/>
        </w:rPr>
        <w:t xml:space="preserve">    </w:t>
      </w:r>
    </w:p>
    <w:p>
      <w:pPr>
        <w:spacing w:line="360" w:lineRule="auto"/>
        <w:ind w:firstLine="1274" w:firstLineChars="423"/>
        <w:jc w:val="left"/>
        <w:rPr>
          <w:rFonts w:hint="eastAsia" w:ascii="宋体" w:hAnsi="宋体" w:cs="宋体"/>
          <w:b/>
          <w:color w:val="auto"/>
          <w:sz w:val="30"/>
          <w:szCs w:val="30"/>
          <w:highlight w:val="none"/>
          <w:u w:val="single"/>
        </w:rPr>
      </w:pPr>
      <w:r>
        <w:rPr>
          <w:rFonts w:hint="eastAsia" w:ascii="宋体" w:hAnsi="宋体" w:cs="宋体"/>
          <w:b/>
          <w:color w:val="auto"/>
          <w:sz w:val="30"/>
          <w:szCs w:val="30"/>
          <w:highlight w:val="none"/>
        </w:rPr>
        <w:t>日        期：二〇二</w:t>
      </w:r>
      <w:r>
        <w:rPr>
          <w:rFonts w:hint="eastAsia" w:ascii="宋体" w:hAnsi="宋体" w:cs="宋体"/>
          <w:b/>
          <w:color w:val="auto"/>
          <w:sz w:val="30"/>
          <w:szCs w:val="30"/>
          <w:highlight w:val="none"/>
          <w:lang w:eastAsia="zh-CN"/>
        </w:rPr>
        <w:t>四</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lang w:eastAsia="zh-CN"/>
        </w:rPr>
        <w:t>七</w:t>
      </w:r>
      <w:r>
        <w:rPr>
          <w:rFonts w:hint="eastAsia" w:ascii="宋体" w:hAnsi="宋体" w:cs="宋体"/>
          <w:b/>
          <w:color w:val="auto"/>
          <w:sz w:val="30"/>
          <w:szCs w:val="30"/>
          <w:highlight w:val="none"/>
        </w:rPr>
        <w:t xml:space="preserve">月                    </w:t>
      </w:r>
    </w:p>
    <w:p>
      <w:pPr>
        <w:spacing w:line="360" w:lineRule="auto"/>
        <w:outlineLvl w:val="0"/>
        <w:rPr>
          <w:rFonts w:hint="eastAsia" w:ascii="宋体" w:hAnsi="宋体" w:cs="宋体"/>
          <w:color w:val="auto"/>
          <w:highlight w:val="none"/>
        </w:rPr>
        <w:sectPr>
          <w:headerReference r:id="rId4" w:type="first"/>
          <w:footerReference r:id="rId5" w:type="first"/>
          <w:headerReference r:id="rId3" w:type="default"/>
          <w:pgSz w:w="11906" w:h="16838"/>
          <w:pgMar w:top="1587" w:right="1134" w:bottom="1417" w:left="1417" w:header="851" w:footer="992" w:gutter="0"/>
          <w:pgNumType w:start="1"/>
          <w:cols w:space="720" w:num="1"/>
          <w:titlePg/>
          <w:docGrid w:type="lines" w:linePitch="312" w:charSpace="0"/>
        </w:sectPr>
      </w:pPr>
    </w:p>
    <w:p>
      <w:pPr>
        <w:pStyle w:val="31"/>
        <w:tabs>
          <w:tab w:val="right" w:leader="dot" w:pos="9355"/>
        </w:tabs>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w:t>
      </w:r>
      <w:bookmarkEnd w:id="0"/>
      <w:bookmarkEnd w:id="1"/>
      <w:bookmarkEnd w:id="2"/>
      <w:bookmarkEnd w:id="3"/>
      <w:bookmarkEnd w:id="4"/>
      <w:bookmarkEnd w:id="5"/>
      <w:bookmarkStart w:id="6" w:name="_Toc330911142"/>
      <w:bookmarkStart w:id="7" w:name="_Toc325322130"/>
      <w:bookmarkStart w:id="8" w:name="_Toc330911146"/>
    </w:p>
    <w:p>
      <w:pP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p>
    <w:p>
      <w:pPr>
        <w:pStyle w:val="31"/>
        <w:tabs>
          <w:tab w:val="right" w:leader="dot" w:pos="9355"/>
        </w:tabs>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目  录</w:t>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40" w:firstLineChars="200"/>
        <w:textAlignment w:val="auto"/>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TOC \o "1-3" \h \u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_Toc25419 </w:instrText>
      </w:r>
      <w:r>
        <w:rPr>
          <w:rFonts w:hint="eastAsia" w:ascii="宋体" w:hAnsi="宋体" w:eastAsia="宋体" w:cs="宋体"/>
          <w:szCs w:val="22"/>
          <w:highlight w:val="none"/>
        </w:rPr>
        <w:fldChar w:fldCharType="separate"/>
      </w:r>
      <w:r>
        <w:rPr>
          <w:rFonts w:hint="default" w:ascii="宋体" w:hAnsi="宋体" w:cs="宋体"/>
          <w:bCs/>
          <w:kern w:val="44"/>
          <w:szCs w:val="44"/>
        </w:rPr>
        <w:t xml:space="preserve">第一章 </w:t>
      </w:r>
      <w:r>
        <w:rPr>
          <w:rFonts w:hint="eastAsia" w:ascii="宋体" w:hAnsi="宋体" w:cs="宋体"/>
          <w:bCs/>
          <w:kern w:val="44"/>
          <w:szCs w:val="36"/>
          <w:highlight w:val="none"/>
        </w:rPr>
        <w:t>招标公告</w:t>
      </w:r>
      <w:r>
        <w:tab/>
      </w:r>
      <w:r>
        <w:fldChar w:fldCharType="begin"/>
      </w:r>
      <w:r>
        <w:instrText xml:space="preserve"> PAGEREF _Toc25419 \h </w:instrText>
      </w:r>
      <w:r>
        <w:fldChar w:fldCharType="separate"/>
      </w:r>
      <w:r>
        <w:t>6</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_Toc8080 </w:instrText>
      </w:r>
      <w:r>
        <w:rPr>
          <w:rFonts w:hint="eastAsia" w:ascii="宋体" w:hAnsi="宋体" w:eastAsia="宋体" w:cs="宋体"/>
          <w:szCs w:val="22"/>
          <w:highlight w:val="none"/>
        </w:rPr>
        <w:fldChar w:fldCharType="separate"/>
      </w:r>
      <w:r>
        <w:rPr>
          <w:rFonts w:hint="default" w:ascii="宋体" w:hAnsi="宋体" w:cs="宋体"/>
          <w:szCs w:val="44"/>
        </w:rPr>
        <w:t xml:space="preserve">第二章 </w:t>
      </w:r>
      <w:r>
        <w:rPr>
          <w:rFonts w:hint="eastAsia" w:ascii="宋体" w:hAnsi="宋体" w:cs="宋体"/>
          <w:bCs/>
          <w:kern w:val="44"/>
          <w:szCs w:val="36"/>
          <w:highlight w:val="none"/>
        </w:rPr>
        <w:t>投标人须知</w:t>
      </w:r>
      <w:r>
        <w:tab/>
      </w:r>
      <w:r>
        <w:fldChar w:fldCharType="begin"/>
      </w:r>
      <w:r>
        <w:instrText xml:space="preserve"> PAGEREF _Toc8080 \h </w:instrText>
      </w:r>
      <w:r>
        <w:fldChar w:fldCharType="separate"/>
      </w:r>
      <w:r>
        <w:t>10</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_Toc18500 </w:instrText>
      </w:r>
      <w:r>
        <w:rPr>
          <w:rFonts w:hint="eastAsia" w:ascii="宋体" w:hAnsi="宋体" w:eastAsia="宋体" w:cs="宋体"/>
          <w:szCs w:val="22"/>
          <w:highlight w:val="none"/>
        </w:rPr>
        <w:fldChar w:fldCharType="separate"/>
      </w:r>
      <w:r>
        <w:rPr>
          <w:rFonts w:hint="eastAsia" w:ascii="宋体" w:hAnsi="宋体" w:cs="宋体"/>
          <w:szCs w:val="24"/>
          <w:highlight w:val="none"/>
        </w:rPr>
        <w:t>1. 总则</w:t>
      </w:r>
      <w:r>
        <w:tab/>
      </w:r>
      <w:r>
        <w:fldChar w:fldCharType="begin"/>
      </w:r>
      <w:r>
        <w:instrText xml:space="preserve"> PAGEREF _Toc18500 \h </w:instrText>
      </w:r>
      <w:r>
        <w:fldChar w:fldCharType="separate"/>
      </w:r>
      <w:r>
        <w:t>17</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_Toc3787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1.1 项目概况</w:t>
      </w:r>
      <w:r>
        <w:tab/>
      </w:r>
      <w:r>
        <w:fldChar w:fldCharType="begin"/>
      </w:r>
      <w:r>
        <w:instrText xml:space="preserve"> PAGEREF _Toc3787 \h </w:instrText>
      </w:r>
      <w:r>
        <w:fldChar w:fldCharType="separate"/>
      </w:r>
      <w:r>
        <w:t>17</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_Toc11710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1.2 资金来源和落实情况</w:t>
      </w:r>
      <w:r>
        <w:tab/>
      </w:r>
      <w:r>
        <w:fldChar w:fldCharType="begin"/>
      </w:r>
      <w:r>
        <w:instrText xml:space="preserve"> PAGEREF _Toc11710 \h </w:instrText>
      </w:r>
      <w:r>
        <w:fldChar w:fldCharType="separate"/>
      </w:r>
      <w:r>
        <w:t>17</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_Toc7163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1.3 招标范围、工期和质量要求</w:t>
      </w:r>
      <w:r>
        <w:tab/>
      </w:r>
      <w:r>
        <w:fldChar w:fldCharType="begin"/>
      </w:r>
      <w:r>
        <w:instrText xml:space="preserve"> PAGEREF _Toc7163 \h </w:instrText>
      </w:r>
      <w:r>
        <w:fldChar w:fldCharType="separate"/>
      </w:r>
      <w:r>
        <w:t>17</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_Toc18422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1.4 投标人资格要求</w:t>
      </w:r>
      <w:r>
        <w:tab/>
      </w:r>
      <w:r>
        <w:fldChar w:fldCharType="begin"/>
      </w:r>
      <w:r>
        <w:instrText xml:space="preserve"> PAGEREF _Toc18422 \h </w:instrText>
      </w:r>
      <w:r>
        <w:fldChar w:fldCharType="separate"/>
      </w:r>
      <w:r>
        <w:t>17</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_Toc6180 </w:instrText>
      </w:r>
      <w:r>
        <w:rPr>
          <w:rFonts w:hint="eastAsia" w:ascii="宋体" w:hAnsi="宋体" w:eastAsia="宋体" w:cs="宋体"/>
          <w:szCs w:val="22"/>
          <w:highlight w:val="none"/>
        </w:rPr>
        <w:fldChar w:fldCharType="separate"/>
      </w:r>
      <w:r>
        <w:rPr>
          <w:rFonts w:hint="eastAsia" w:ascii="宋体" w:hAnsi="宋体" w:eastAsia="宋体"/>
          <w:highlight w:val="none"/>
        </w:rPr>
        <w:t>1.5 费用承担</w:t>
      </w:r>
      <w:r>
        <w:tab/>
      </w:r>
      <w:r>
        <w:fldChar w:fldCharType="begin"/>
      </w:r>
      <w:r>
        <w:instrText xml:space="preserve"> PAGEREF _Toc6180 \h </w:instrText>
      </w:r>
      <w:r>
        <w:fldChar w:fldCharType="separate"/>
      </w:r>
      <w:r>
        <w:t>18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_Toc17068 </w:instrText>
      </w:r>
      <w:r>
        <w:rPr>
          <w:rFonts w:hint="eastAsia" w:ascii="宋体" w:hAnsi="宋体" w:eastAsia="宋体" w:cs="宋体"/>
          <w:szCs w:val="22"/>
          <w:highlight w:val="none"/>
        </w:rPr>
        <w:fldChar w:fldCharType="separate"/>
      </w:r>
      <w:r>
        <w:rPr>
          <w:rFonts w:hint="eastAsia" w:ascii="宋体" w:hAnsi="宋体" w:eastAsia="宋体"/>
          <w:highlight w:val="none"/>
        </w:rPr>
        <w:t>1.6 保密</w:t>
      </w:r>
      <w:r>
        <w:tab/>
      </w:r>
      <w:r>
        <w:fldChar w:fldCharType="begin"/>
      </w:r>
      <w:r>
        <w:instrText xml:space="preserve"> PAGEREF _Toc17068 \h </w:instrText>
      </w:r>
      <w:r>
        <w:fldChar w:fldCharType="separate"/>
      </w:r>
      <w:r>
        <w:t>18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_Toc27533 </w:instrText>
      </w:r>
      <w:r>
        <w:rPr>
          <w:rFonts w:hint="eastAsia" w:ascii="宋体" w:hAnsi="宋体" w:eastAsia="宋体" w:cs="宋体"/>
          <w:szCs w:val="22"/>
          <w:highlight w:val="none"/>
        </w:rPr>
        <w:fldChar w:fldCharType="separate"/>
      </w:r>
      <w:r>
        <w:rPr>
          <w:rFonts w:hint="eastAsia" w:ascii="宋体" w:hAnsi="宋体" w:eastAsia="宋体"/>
          <w:highlight w:val="none"/>
        </w:rPr>
        <w:t>1.7 语言文字</w:t>
      </w:r>
      <w:r>
        <w:tab/>
      </w:r>
      <w:r>
        <w:fldChar w:fldCharType="begin"/>
      </w:r>
      <w:r>
        <w:instrText xml:space="preserve"> PAGEREF _Toc27533 \h </w:instrText>
      </w:r>
      <w:r>
        <w:fldChar w:fldCharType="separate"/>
      </w:r>
      <w:r>
        <w:t>18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_Toc19056 </w:instrText>
      </w:r>
      <w:r>
        <w:rPr>
          <w:rFonts w:hint="eastAsia" w:ascii="宋体" w:hAnsi="宋体" w:eastAsia="宋体" w:cs="宋体"/>
          <w:szCs w:val="22"/>
          <w:highlight w:val="none"/>
        </w:rPr>
        <w:fldChar w:fldCharType="separate"/>
      </w:r>
      <w:r>
        <w:rPr>
          <w:rFonts w:hint="eastAsia" w:ascii="宋体" w:hAnsi="宋体" w:eastAsia="宋体"/>
          <w:highlight w:val="none"/>
        </w:rPr>
        <w:t>1.8 计量单位</w:t>
      </w:r>
      <w:r>
        <w:tab/>
      </w:r>
      <w:r>
        <w:fldChar w:fldCharType="begin"/>
      </w:r>
      <w:r>
        <w:instrText xml:space="preserve"> PAGEREF _Toc19056 \h </w:instrText>
      </w:r>
      <w:r>
        <w:fldChar w:fldCharType="separate"/>
      </w:r>
      <w:r>
        <w:t>18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_Toc26720 </w:instrText>
      </w:r>
      <w:r>
        <w:rPr>
          <w:rFonts w:hint="eastAsia" w:ascii="宋体" w:hAnsi="宋体" w:eastAsia="宋体" w:cs="宋体"/>
          <w:szCs w:val="22"/>
          <w:highlight w:val="none"/>
        </w:rPr>
        <w:fldChar w:fldCharType="separate"/>
      </w:r>
      <w:r>
        <w:rPr>
          <w:rFonts w:hint="eastAsia" w:ascii="宋体" w:hAnsi="宋体" w:eastAsia="宋体"/>
          <w:highlight w:val="none"/>
        </w:rPr>
        <w:t>1.9 踏勘现场</w:t>
      </w:r>
      <w:r>
        <w:tab/>
      </w:r>
      <w:r>
        <w:fldChar w:fldCharType="begin"/>
      </w:r>
      <w:r>
        <w:instrText xml:space="preserve"> PAGEREF _Toc26720 \h </w:instrText>
      </w:r>
      <w:r>
        <w:fldChar w:fldCharType="separate"/>
      </w:r>
      <w:r>
        <w:t>18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_Toc18745 </w:instrText>
      </w:r>
      <w:r>
        <w:rPr>
          <w:rFonts w:hint="eastAsia" w:ascii="宋体" w:hAnsi="宋体" w:eastAsia="宋体" w:cs="宋体"/>
          <w:szCs w:val="22"/>
          <w:highlight w:val="none"/>
        </w:rPr>
        <w:fldChar w:fldCharType="separate"/>
      </w:r>
      <w:r>
        <w:rPr>
          <w:rFonts w:hint="eastAsia" w:ascii="宋体" w:hAnsi="宋体" w:eastAsia="宋体"/>
          <w:highlight w:val="none"/>
        </w:rPr>
        <w:t>1.10 投标预备会</w:t>
      </w:r>
      <w:r>
        <w:tab/>
      </w:r>
      <w:r>
        <w:fldChar w:fldCharType="begin"/>
      </w:r>
      <w:r>
        <w:instrText xml:space="preserve"> PAGEREF _Toc18745 \h </w:instrText>
      </w:r>
      <w:r>
        <w:fldChar w:fldCharType="separate"/>
      </w:r>
      <w:r>
        <w:t>18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_Toc30565 </w:instrText>
      </w:r>
      <w:r>
        <w:rPr>
          <w:rFonts w:hint="eastAsia" w:ascii="宋体" w:hAnsi="宋体" w:eastAsia="宋体" w:cs="宋体"/>
          <w:szCs w:val="22"/>
          <w:highlight w:val="none"/>
        </w:rPr>
        <w:fldChar w:fldCharType="separate"/>
      </w:r>
      <w:r>
        <w:rPr>
          <w:rFonts w:hint="eastAsia" w:ascii="宋体" w:hAnsi="宋体" w:eastAsia="宋体"/>
          <w:highlight w:val="none"/>
        </w:rPr>
        <w:t>1.11 分包</w:t>
      </w:r>
      <w:r>
        <w:tab/>
      </w:r>
      <w:r>
        <w:fldChar w:fldCharType="begin"/>
      </w:r>
      <w:r>
        <w:instrText xml:space="preserve"> PAGEREF _Toc30565 \h </w:instrText>
      </w:r>
      <w:r>
        <w:fldChar w:fldCharType="separate"/>
      </w:r>
      <w:r>
        <w:t>19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_Toc14508 </w:instrText>
      </w:r>
      <w:r>
        <w:rPr>
          <w:rFonts w:hint="eastAsia" w:ascii="宋体" w:hAnsi="宋体" w:eastAsia="宋体" w:cs="宋体"/>
          <w:szCs w:val="22"/>
          <w:highlight w:val="none"/>
        </w:rPr>
        <w:fldChar w:fldCharType="separate"/>
      </w:r>
      <w:r>
        <w:rPr>
          <w:rFonts w:hint="eastAsia" w:ascii="宋体" w:hAnsi="宋体" w:eastAsia="宋体"/>
          <w:highlight w:val="none"/>
        </w:rPr>
        <w:t>1.12 偏离</w:t>
      </w:r>
      <w:r>
        <w:tab/>
      </w:r>
      <w:r>
        <w:fldChar w:fldCharType="begin"/>
      </w:r>
      <w:r>
        <w:instrText xml:space="preserve"> PAGEREF _Toc14508 \h </w:instrText>
      </w:r>
      <w:r>
        <w:fldChar w:fldCharType="separate"/>
      </w:r>
      <w:r>
        <w:t>19</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_Toc6050 </w:instrText>
      </w:r>
      <w:r>
        <w:rPr>
          <w:rFonts w:hint="eastAsia" w:ascii="宋体" w:hAnsi="宋体" w:eastAsia="宋体" w:cs="宋体"/>
          <w:szCs w:val="22"/>
          <w:highlight w:val="none"/>
        </w:rPr>
        <w:fldChar w:fldCharType="separate"/>
      </w:r>
      <w:r>
        <w:rPr>
          <w:rFonts w:hint="eastAsia" w:ascii="宋体" w:hAnsi="宋体" w:cs="宋体"/>
          <w:szCs w:val="28"/>
          <w:highlight w:val="none"/>
        </w:rPr>
        <w:t>2. 招标文件</w:t>
      </w:r>
      <w:r>
        <w:tab/>
      </w:r>
      <w:r>
        <w:fldChar w:fldCharType="begin"/>
      </w:r>
      <w:r>
        <w:instrText xml:space="preserve"> PAGEREF _Toc6050 \h </w:instrText>
      </w:r>
      <w:r>
        <w:fldChar w:fldCharType="separate"/>
      </w:r>
      <w:r>
        <w:t>19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_Toc16332 </w:instrText>
      </w:r>
      <w:r>
        <w:rPr>
          <w:rFonts w:hint="eastAsia" w:ascii="宋体" w:hAnsi="宋体" w:eastAsia="宋体" w:cs="宋体"/>
          <w:szCs w:val="22"/>
          <w:highlight w:val="none"/>
        </w:rPr>
        <w:fldChar w:fldCharType="separate"/>
      </w:r>
      <w:r>
        <w:rPr>
          <w:rFonts w:hint="eastAsia" w:ascii="宋体" w:hAnsi="宋体" w:eastAsia="宋体"/>
          <w:highlight w:val="none"/>
        </w:rPr>
        <w:t>2.1 招标文件的组成</w:t>
      </w:r>
      <w:r>
        <w:tab/>
      </w:r>
      <w:r>
        <w:fldChar w:fldCharType="begin"/>
      </w:r>
      <w:r>
        <w:instrText xml:space="preserve"> PAGEREF _Toc16332 \h </w:instrText>
      </w:r>
      <w:r>
        <w:fldChar w:fldCharType="separate"/>
      </w:r>
      <w:r>
        <w:t>19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_Toc12256 </w:instrText>
      </w:r>
      <w:r>
        <w:rPr>
          <w:rFonts w:hint="eastAsia" w:ascii="宋体" w:hAnsi="宋体" w:eastAsia="宋体" w:cs="宋体"/>
          <w:szCs w:val="22"/>
          <w:highlight w:val="none"/>
        </w:rPr>
        <w:fldChar w:fldCharType="separate"/>
      </w:r>
      <w:r>
        <w:rPr>
          <w:rFonts w:hint="eastAsia" w:ascii="宋体" w:hAnsi="宋体" w:eastAsia="宋体"/>
        </w:rPr>
        <w:t>2.2 招标文件的澄清</w:t>
      </w:r>
      <w:r>
        <w:tab/>
      </w:r>
      <w:r>
        <w:fldChar w:fldCharType="begin"/>
      </w:r>
      <w:r>
        <w:instrText xml:space="preserve"> PAGEREF _Toc12256 \h </w:instrText>
      </w:r>
      <w:r>
        <w:fldChar w:fldCharType="separate"/>
      </w:r>
      <w:r>
        <w:t>19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_Toc16094 </w:instrText>
      </w:r>
      <w:r>
        <w:rPr>
          <w:rFonts w:hint="eastAsia" w:ascii="宋体" w:hAnsi="宋体" w:eastAsia="宋体" w:cs="宋体"/>
          <w:szCs w:val="22"/>
          <w:highlight w:val="none"/>
        </w:rPr>
        <w:fldChar w:fldCharType="separate"/>
      </w:r>
      <w:r>
        <w:rPr>
          <w:rFonts w:hint="eastAsia" w:ascii="宋体" w:hAnsi="宋体" w:eastAsia="宋体"/>
        </w:rPr>
        <w:t>2.3 招标文件的修改</w:t>
      </w:r>
      <w:r>
        <w:tab/>
      </w:r>
      <w:r>
        <w:fldChar w:fldCharType="begin"/>
      </w:r>
      <w:r>
        <w:instrText xml:space="preserve"> PAGEREF _Toc16094 \h </w:instrText>
      </w:r>
      <w:r>
        <w:fldChar w:fldCharType="separate"/>
      </w:r>
      <w:r>
        <w:t>20</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_Toc26978 </w:instrText>
      </w:r>
      <w:r>
        <w:rPr>
          <w:rFonts w:hint="eastAsia" w:ascii="宋体" w:hAnsi="宋体" w:eastAsia="宋体" w:cs="宋体"/>
          <w:szCs w:val="22"/>
          <w:highlight w:val="none"/>
        </w:rPr>
        <w:fldChar w:fldCharType="separate"/>
      </w:r>
      <w:r>
        <w:rPr>
          <w:rFonts w:hint="eastAsia" w:ascii="宋体" w:hAnsi="宋体" w:cs="宋体"/>
          <w:szCs w:val="28"/>
          <w:highlight w:val="none"/>
        </w:rPr>
        <w:t>3. 投标文件</w:t>
      </w:r>
      <w:r>
        <w:tab/>
      </w:r>
      <w:r>
        <w:fldChar w:fldCharType="begin"/>
      </w:r>
      <w:r>
        <w:instrText xml:space="preserve"> PAGEREF _Toc26978 \h </w:instrText>
      </w:r>
      <w:r>
        <w:fldChar w:fldCharType="separate"/>
      </w:r>
      <w:r>
        <w:t>20</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_Toc17357 </w:instrText>
      </w:r>
      <w:r>
        <w:rPr>
          <w:rFonts w:hint="eastAsia" w:ascii="宋体" w:hAnsi="宋体" w:eastAsia="宋体" w:cs="宋体"/>
          <w:szCs w:val="22"/>
          <w:highlight w:val="none"/>
        </w:rPr>
        <w:fldChar w:fldCharType="separate"/>
      </w:r>
      <w:r>
        <w:rPr>
          <w:rFonts w:hint="eastAsia" w:ascii="宋体" w:hAnsi="宋体" w:eastAsia="宋体"/>
          <w:highlight w:val="none"/>
        </w:rPr>
        <w:t>3.1 投标文件的组成</w:t>
      </w:r>
      <w:r>
        <w:tab/>
      </w:r>
      <w:r>
        <w:fldChar w:fldCharType="begin"/>
      </w:r>
      <w:r>
        <w:instrText xml:space="preserve"> PAGEREF _Toc17357 \h </w:instrText>
      </w:r>
      <w:r>
        <w:fldChar w:fldCharType="separate"/>
      </w:r>
      <w:r>
        <w:t>20</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_Toc17749 </w:instrText>
      </w:r>
      <w:r>
        <w:rPr>
          <w:rFonts w:hint="eastAsia" w:ascii="宋体" w:hAnsi="宋体" w:eastAsia="宋体" w:cs="宋体"/>
          <w:szCs w:val="22"/>
          <w:highlight w:val="none"/>
        </w:rPr>
        <w:fldChar w:fldCharType="separate"/>
      </w:r>
      <w:r>
        <w:rPr>
          <w:rFonts w:hint="eastAsia" w:ascii="宋体" w:hAnsi="宋体" w:eastAsia="宋体"/>
          <w:highlight w:val="none"/>
        </w:rPr>
        <w:t>3.2 投标报价</w:t>
      </w:r>
      <w:r>
        <w:tab/>
      </w:r>
      <w:r>
        <w:fldChar w:fldCharType="begin"/>
      </w:r>
      <w:r>
        <w:instrText xml:space="preserve"> PAGEREF _Toc17749 \h </w:instrText>
      </w:r>
      <w:r>
        <w:fldChar w:fldCharType="separate"/>
      </w:r>
      <w:r>
        <w:t>20</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_Toc29268 </w:instrText>
      </w:r>
      <w:r>
        <w:rPr>
          <w:rFonts w:hint="eastAsia" w:ascii="宋体" w:hAnsi="宋体" w:eastAsia="宋体" w:cs="宋体"/>
          <w:szCs w:val="22"/>
          <w:highlight w:val="none"/>
        </w:rPr>
        <w:fldChar w:fldCharType="separate"/>
      </w:r>
      <w:r>
        <w:rPr>
          <w:rFonts w:hint="eastAsia" w:ascii="宋体" w:hAnsi="宋体" w:eastAsia="宋体"/>
          <w:highlight w:val="none"/>
        </w:rPr>
        <w:t>3.3 投标有效期</w:t>
      </w:r>
      <w:r>
        <w:tab/>
      </w:r>
      <w:r>
        <w:fldChar w:fldCharType="begin"/>
      </w:r>
      <w:r>
        <w:instrText xml:space="preserve"> PAGEREF _Toc29268 \h </w:instrText>
      </w:r>
      <w:r>
        <w:fldChar w:fldCharType="separate"/>
      </w:r>
      <w:r>
        <w:t>21</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_Toc27329 </w:instrText>
      </w:r>
      <w:r>
        <w:rPr>
          <w:rFonts w:hint="eastAsia" w:ascii="宋体" w:hAnsi="宋体" w:eastAsia="宋体" w:cs="宋体"/>
          <w:szCs w:val="22"/>
          <w:highlight w:val="none"/>
        </w:rPr>
        <w:fldChar w:fldCharType="separate"/>
      </w:r>
      <w:r>
        <w:rPr>
          <w:rFonts w:hint="eastAsia" w:ascii="宋体" w:hAnsi="宋体" w:eastAsia="宋体"/>
          <w:highlight w:val="none"/>
        </w:rPr>
        <w:t>3.4 投标保证金</w:t>
      </w:r>
      <w:r>
        <w:tab/>
      </w:r>
      <w:r>
        <w:fldChar w:fldCharType="begin"/>
      </w:r>
      <w:r>
        <w:instrText xml:space="preserve"> PAGEREF _Toc27329 \h </w:instrText>
      </w:r>
      <w:r>
        <w:fldChar w:fldCharType="separate"/>
      </w:r>
      <w:r>
        <w:t>21</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_Toc1709 </w:instrText>
      </w:r>
      <w:r>
        <w:rPr>
          <w:rFonts w:hint="eastAsia" w:ascii="宋体" w:hAnsi="宋体" w:eastAsia="宋体" w:cs="宋体"/>
          <w:szCs w:val="22"/>
          <w:highlight w:val="none"/>
        </w:rPr>
        <w:fldChar w:fldCharType="separate"/>
      </w:r>
      <w:r>
        <w:rPr>
          <w:rFonts w:hint="eastAsia" w:ascii="宋体" w:hAnsi="宋体" w:eastAsia="宋体"/>
          <w:highlight w:val="none"/>
        </w:rPr>
        <w:t>3.5 资格审查资料</w:t>
      </w:r>
      <w:r>
        <w:tab/>
      </w:r>
      <w:r>
        <w:fldChar w:fldCharType="begin"/>
      </w:r>
      <w:r>
        <w:instrText xml:space="preserve"> PAGEREF _Toc1709 \h </w:instrText>
      </w:r>
      <w:r>
        <w:fldChar w:fldCharType="separate"/>
      </w:r>
      <w:r>
        <w:t>21</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_Toc22787 </w:instrText>
      </w:r>
      <w:r>
        <w:rPr>
          <w:rFonts w:hint="eastAsia" w:ascii="宋体" w:hAnsi="宋体" w:eastAsia="宋体" w:cs="宋体"/>
          <w:szCs w:val="22"/>
          <w:highlight w:val="none"/>
        </w:rPr>
        <w:fldChar w:fldCharType="separate"/>
      </w:r>
      <w:r>
        <w:rPr>
          <w:rFonts w:hint="eastAsia" w:ascii="宋体" w:hAnsi="宋体" w:eastAsia="宋体"/>
          <w:highlight w:val="none"/>
        </w:rPr>
        <w:t>3.6 备选投标方案</w:t>
      </w:r>
      <w:r>
        <w:tab/>
      </w:r>
      <w:r>
        <w:fldChar w:fldCharType="begin"/>
      </w:r>
      <w:r>
        <w:instrText xml:space="preserve"> PAGEREF _Toc22787 \h </w:instrText>
      </w:r>
      <w:r>
        <w:fldChar w:fldCharType="separate"/>
      </w:r>
      <w:r>
        <w:t>21</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_Toc3745 </w:instrText>
      </w:r>
      <w:r>
        <w:rPr>
          <w:rFonts w:hint="eastAsia" w:ascii="宋体" w:hAnsi="宋体" w:eastAsia="宋体" w:cs="宋体"/>
          <w:szCs w:val="22"/>
          <w:highlight w:val="none"/>
        </w:rPr>
        <w:fldChar w:fldCharType="separate"/>
      </w:r>
      <w:r>
        <w:rPr>
          <w:rFonts w:hint="eastAsia" w:ascii="宋体" w:hAnsi="宋体" w:eastAsia="宋体"/>
          <w:highlight w:val="none"/>
        </w:rPr>
        <w:t>3.7 投标文件的编制</w:t>
      </w:r>
      <w:r>
        <w:tab/>
      </w:r>
      <w:r>
        <w:fldChar w:fldCharType="begin"/>
      </w:r>
      <w:r>
        <w:instrText xml:space="preserve"> PAGEREF _Toc3745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_Toc19225 </w:instrText>
      </w:r>
      <w:r>
        <w:rPr>
          <w:rFonts w:hint="eastAsia" w:ascii="宋体" w:hAnsi="宋体" w:eastAsia="宋体" w:cs="宋体"/>
          <w:szCs w:val="22"/>
          <w:highlight w:val="none"/>
        </w:rPr>
        <w:fldChar w:fldCharType="separate"/>
      </w:r>
      <w:r>
        <w:rPr>
          <w:rFonts w:hint="eastAsia" w:ascii="宋体" w:hAnsi="宋体" w:cs="宋体"/>
          <w:szCs w:val="28"/>
          <w:highlight w:val="none"/>
        </w:rPr>
        <w:t>4. 投标</w:t>
      </w:r>
      <w:r>
        <w:tab/>
      </w:r>
      <w:r>
        <w:fldChar w:fldCharType="begin"/>
      </w:r>
      <w:r>
        <w:instrText xml:space="preserve"> PAGEREF _Toc19225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_Toc5159 </w:instrText>
      </w:r>
      <w:r>
        <w:rPr>
          <w:rFonts w:hint="eastAsia" w:ascii="宋体" w:hAnsi="宋体" w:eastAsia="宋体" w:cs="宋体"/>
          <w:szCs w:val="22"/>
          <w:highlight w:val="none"/>
        </w:rPr>
        <w:fldChar w:fldCharType="separate"/>
      </w:r>
      <w:r>
        <w:rPr>
          <w:rFonts w:hint="eastAsia" w:ascii="宋体" w:hAnsi="宋体" w:eastAsia="宋体"/>
          <w:highlight w:val="none"/>
        </w:rPr>
        <w:t>4.1 投标文件的递交</w:t>
      </w:r>
      <w:r>
        <w:tab/>
      </w:r>
      <w:r>
        <w:fldChar w:fldCharType="begin"/>
      </w:r>
      <w:r>
        <w:instrText xml:space="preserve"> PAGEREF _Toc5159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_Toc14919 </w:instrText>
      </w:r>
      <w:r>
        <w:rPr>
          <w:rFonts w:hint="eastAsia" w:ascii="宋体" w:hAnsi="宋体" w:eastAsia="宋体" w:cs="宋体"/>
          <w:szCs w:val="22"/>
          <w:highlight w:val="none"/>
        </w:rPr>
        <w:fldChar w:fldCharType="separate"/>
      </w:r>
      <w:r>
        <w:rPr>
          <w:rFonts w:hint="eastAsia" w:ascii="宋体" w:hAnsi="宋体" w:eastAsia="宋体"/>
          <w:highlight w:val="none"/>
        </w:rPr>
        <w:t>4.2 投标文件的修改与撤回</w:t>
      </w:r>
      <w:r>
        <w:tab/>
      </w:r>
      <w:r>
        <w:fldChar w:fldCharType="begin"/>
      </w:r>
      <w:r>
        <w:instrText xml:space="preserve"> PAGEREF _Toc14919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_Toc3578 </w:instrText>
      </w:r>
      <w:r>
        <w:rPr>
          <w:rFonts w:hint="eastAsia" w:ascii="宋体" w:hAnsi="宋体" w:eastAsia="宋体" w:cs="宋体"/>
          <w:szCs w:val="22"/>
          <w:highlight w:val="none"/>
        </w:rPr>
        <w:fldChar w:fldCharType="separate"/>
      </w:r>
      <w:r>
        <w:rPr>
          <w:rFonts w:hint="eastAsia" w:ascii="宋体" w:hAnsi="宋体" w:cs="宋体"/>
          <w:szCs w:val="28"/>
          <w:highlight w:val="none"/>
        </w:rPr>
        <w:t>5. 开标</w:t>
      </w:r>
      <w:r>
        <w:tab/>
      </w:r>
      <w:r>
        <w:fldChar w:fldCharType="begin"/>
      </w:r>
      <w:r>
        <w:instrText xml:space="preserve"> PAGEREF _Toc3578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_Toc8921 </w:instrText>
      </w:r>
      <w:r>
        <w:rPr>
          <w:rFonts w:hint="eastAsia" w:ascii="宋体" w:hAnsi="宋体" w:eastAsia="宋体" w:cs="宋体"/>
          <w:szCs w:val="22"/>
          <w:highlight w:val="none"/>
        </w:rPr>
        <w:fldChar w:fldCharType="separate"/>
      </w:r>
      <w:r>
        <w:rPr>
          <w:rFonts w:hint="eastAsia" w:ascii="宋体" w:hAnsi="宋体" w:cs="宋体"/>
          <w:szCs w:val="24"/>
          <w:highlight w:val="none"/>
        </w:rPr>
        <w:t>5.1 开标时间和地点</w:t>
      </w:r>
      <w:r>
        <w:tab/>
      </w:r>
      <w:r>
        <w:fldChar w:fldCharType="begin"/>
      </w:r>
      <w:r>
        <w:instrText xml:space="preserve"> PAGEREF _Toc8921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_Toc19910 </w:instrText>
      </w:r>
      <w:r>
        <w:rPr>
          <w:rFonts w:hint="eastAsia" w:ascii="宋体" w:hAnsi="宋体" w:eastAsia="宋体" w:cs="宋体"/>
          <w:szCs w:val="22"/>
          <w:highlight w:val="none"/>
        </w:rPr>
        <w:fldChar w:fldCharType="separate"/>
      </w:r>
      <w:r>
        <w:rPr>
          <w:rFonts w:hint="eastAsia" w:ascii="宋体" w:hAnsi="宋体" w:cs="宋体"/>
          <w:szCs w:val="24"/>
          <w:highlight w:val="none"/>
        </w:rPr>
        <w:t>5.2 开标程序</w:t>
      </w:r>
      <w:r>
        <w:tab/>
      </w:r>
      <w:r>
        <w:fldChar w:fldCharType="begin"/>
      </w:r>
      <w:r>
        <w:instrText xml:space="preserve"> PAGEREF _Toc19910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_Toc1043 </w:instrText>
      </w:r>
      <w:r>
        <w:rPr>
          <w:rFonts w:hint="eastAsia" w:ascii="宋体" w:hAnsi="宋体" w:eastAsia="宋体" w:cs="宋体"/>
          <w:szCs w:val="22"/>
          <w:highlight w:val="none"/>
        </w:rPr>
        <w:fldChar w:fldCharType="separate"/>
      </w:r>
      <w:r>
        <w:rPr>
          <w:rFonts w:hint="eastAsia" w:ascii="宋体" w:hAnsi="宋体" w:cs="宋体"/>
          <w:bCs w:val="0"/>
          <w:szCs w:val="22"/>
          <w:highlight w:val="none"/>
          <w:lang w:eastAsia="zh-CN"/>
        </w:rPr>
        <w:t>详见投标人须知前附表</w:t>
      </w:r>
      <w:r>
        <w:tab/>
      </w:r>
      <w:r>
        <w:fldChar w:fldCharType="begin"/>
      </w:r>
      <w:r>
        <w:instrText xml:space="preserve"> PAGEREF _Toc1043 \h </w:instrText>
      </w:r>
      <w:r>
        <w:fldChar w:fldCharType="separate"/>
      </w:r>
      <w:r>
        <w:t>22</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_Toc8416 </w:instrText>
      </w:r>
      <w:r>
        <w:rPr>
          <w:rFonts w:hint="eastAsia" w:ascii="宋体" w:hAnsi="宋体" w:eastAsia="宋体" w:cs="宋体"/>
          <w:szCs w:val="22"/>
          <w:highlight w:val="none"/>
        </w:rPr>
        <w:fldChar w:fldCharType="separate"/>
      </w:r>
      <w:r>
        <w:rPr>
          <w:rFonts w:hint="eastAsia" w:ascii="宋体" w:hAnsi="宋体" w:cs="宋体"/>
          <w:szCs w:val="28"/>
          <w:highlight w:val="none"/>
        </w:rPr>
        <w:t>6. 评标</w:t>
      </w:r>
      <w:r>
        <w:tab/>
      </w:r>
      <w:r>
        <w:fldChar w:fldCharType="begin"/>
      </w:r>
      <w:r>
        <w:instrText xml:space="preserve"> PAGEREF _Toc8416 \h </w:instrText>
      </w:r>
      <w:r>
        <w:fldChar w:fldCharType="separate"/>
      </w:r>
      <w:r>
        <w:t>23</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_Toc7312 </w:instrText>
      </w:r>
      <w:r>
        <w:rPr>
          <w:rFonts w:hint="eastAsia" w:ascii="宋体" w:hAnsi="宋体" w:eastAsia="宋体" w:cs="宋体"/>
          <w:szCs w:val="22"/>
          <w:highlight w:val="none"/>
        </w:rPr>
        <w:fldChar w:fldCharType="separate"/>
      </w:r>
      <w:r>
        <w:rPr>
          <w:rFonts w:hint="eastAsia" w:ascii="宋体" w:hAnsi="宋体" w:eastAsia="宋体"/>
          <w:highlight w:val="none"/>
        </w:rPr>
        <w:t>6.1 评标委员会</w:t>
      </w:r>
      <w:r>
        <w:tab/>
      </w:r>
      <w:r>
        <w:fldChar w:fldCharType="begin"/>
      </w:r>
      <w:r>
        <w:instrText xml:space="preserve"> PAGEREF _Toc7312 \h </w:instrText>
      </w:r>
      <w:r>
        <w:fldChar w:fldCharType="separate"/>
      </w:r>
      <w:r>
        <w:t>23</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_Toc16296 </w:instrText>
      </w:r>
      <w:r>
        <w:rPr>
          <w:rFonts w:hint="eastAsia" w:ascii="宋体" w:hAnsi="宋体" w:eastAsia="宋体" w:cs="宋体"/>
          <w:szCs w:val="22"/>
          <w:highlight w:val="none"/>
        </w:rPr>
        <w:fldChar w:fldCharType="separate"/>
      </w:r>
      <w:r>
        <w:rPr>
          <w:rFonts w:hint="eastAsia" w:ascii="宋体" w:hAnsi="宋体" w:eastAsia="宋体"/>
          <w:highlight w:val="none"/>
        </w:rPr>
        <w:t>6.2 评标原则</w:t>
      </w:r>
      <w:r>
        <w:tab/>
      </w:r>
      <w:r>
        <w:fldChar w:fldCharType="begin"/>
      </w:r>
      <w:r>
        <w:instrText xml:space="preserve"> PAGEREF _Toc16296 \h </w:instrText>
      </w:r>
      <w:r>
        <w:fldChar w:fldCharType="separate"/>
      </w:r>
      <w:r>
        <w:t>23</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_Toc11931 </w:instrText>
      </w:r>
      <w:r>
        <w:rPr>
          <w:rFonts w:hint="eastAsia" w:ascii="宋体" w:hAnsi="宋体" w:eastAsia="宋体" w:cs="宋体"/>
          <w:szCs w:val="22"/>
          <w:highlight w:val="none"/>
        </w:rPr>
        <w:fldChar w:fldCharType="separate"/>
      </w:r>
      <w:r>
        <w:rPr>
          <w:rFonts w:hint="eastAsia" w:ascii="宋体" w:hAnsi="宋体" w:eastAsia="宋体"/>
          <w:highlight w:val="none"/>
        </w:rPr>
        <w:t>6.3 评标</w:t>
      </w:r>
      <w:r>
        <w:tab/>
      </w:r>
      <w:r>
        <w:fldChar w:fldCharType="begin"/>
      </w:r>
      <w:r>
        <w:instrText xml:space="preserve"> PAGEREF _Toc11931 \h </w:instrText>
      </w:r>
      <w:r>
        <w:fldChar w:fldCharType="separate"/>
      </w:r>
      <w:r>
        <w:t>23</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_Toc18688 </w:instrText>
      </w:r>
      <w:r>
        <w:rPr>
          <w:rFonts w:hint="eastAsia" w:ascii="宋体" w:hAnsi="宋体" w:eastAsia="宋体" w:cs="宋体"/>
          <w:szCs w:val="22"/>
          <w:highlight w:val="none"/>
        </w:rPr>
        <w:fldChar w:fldCharType="separate"/>
      </w:r>
      <w:r>
        <w:rPr>
          <w:rFonts w:hint="eastAsia" w:ascii="宋体" w:hAnsi="宋体" w:cs="宋体"/>
          <w:szCs w:val="28"/>
          <w:highlight w:val="none"/>
        </w:rPr>
        <w:t>7.合同授予</w:t>
      </w:r>
      <w:r>
        <w:tab/>
      </w:r>
      <w:r>
        <w:fldChar w:fldCharType="begin"/>
      </w:r>
      <w:r>
        <w:instrText xml:space="preserve"> PAGEREF _Toc18688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_Toc13383 </w:instrText>
      </w:r>
      <w:r>
        <w:rPr>
          <w:rFonts w:hint="eastAsia" w:ascii="宋体" w:hAnsi="宋体" w:eastAsia="宋体" w:cs="宋体"/>
          <w:szCs w:val="22"/>
          <w:highlight w:val="none"/>
        </w:rPr>
        <w:fldChar w:fldCharType="separate"/>
      </w:r>
      <w:r>
        <w:rPr>
          <w:rFonts w:hint="eastAsia" w:ascii="宋体" w:hAnsi="宋体" w:eastAsia="宋体" w:cs="宋体"/>
          <w:bCs w:val="0"/>
          <w:highlight w:val="none"/>
        </w:rPr>
        <w:t>7.1 定标方式</w:t>
      </w:r>
      <w:r>
        <w:tab/>
      </w:r>
      <w:r>
        <w:fldChar w:fldCharType="begin"/>
      </w:r>
      <w:r>
        <w:instrText xml:space="preserve"> PAGEREF _Toc13383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_Toc12929 </w:instrText>
      </w:r>
      <w:r>
        <w:rPr>
          <w:rFonts w:hint="eastAsia" w:ascii="宋体" w:hAnsi="宋体" w:eastAsia="宋体" w:cs="宋体"/>
          <w:szCs w:val="22"/>
          <w:highlight w:val="none"/>
        </w:rPr>
        <w:fldChar w:fldCharType="separate"/>
      </w:r>
      <w:r>
        <w:rPr>
          <w:rFonts w:hint="eastAsia" w:ascii="宋体" w:hAnsi="宋体" w:eastAsia="宋体" w:cs="宋体"/>
          <w:bCs w:val="0"/>
          <w:highlight w:val="none"/>
        </w:rPr>
        <w:t>7.2 中标候选人公示</w:t>
      </w:r>
      <w:r>
        <w:tab/>
      </w:r>
      <w:r>
        <w:fldChar w:fldCharType="begin"/>
      </w:r>
      <w:r>
        <w:instrText xml:space="preserve"> PAGEREF _Toc12929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_Toc26961 </w:instrText>
      </w:r>
      <w:r>
        <w:rPr>
          <w:rFonts w:hint="eastAsia" w:ascii="宋体" w:hAnsi="宋体" w:eastAsia="宋体" w:cs="宋体"/>
          <w:szCs w:val="22"/>
          <w:highlight w:val="none"/>
        </w:rPr>
        <w:fldChar w:fldCharType="separate"/>
      </w:r>
      <w:r>
        <w:rPr>
          <w:rFonts w:hint="eastAsia" w:ascii="宋体" w:hAnsi="宋体" w:eastAsia="宋体" w:cs="宋体"/>
          <w:bCs w:val="0"/>
          <w:highlight w:val="none"/>
        </w:rPr>
        <w:t>7.3 中标通知</w:t>
      </w:r>
      <w:r>
        <w:tab/>
      </w:r>
      <w:r>
        <w:fldChar w:fldCharType="begin"/>
      </w:r>
      <w:r>
        <w:instrText xml:space="preserve"> PAGEREF _Toc26961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_Toc6999 </w:instrText>
      </w:r>
      <w:r>
        <w:rPr>
          <w:rFonts w:hint="eastAsia" w:ascii="宋体" w:hAnsi="宋体" w:eastAsia="宋体" w:cs="宋体"/>
          <w:szCs w:val="22"/>
          <w:highlight w:val="none"/>
        </w:rPr>
        <w:fldChar w:fldCharType="separate"/>
      </w:r>
      <w:r>
        <w:rPr>
          <w:rFonts w:hint="eastAsia" w:ascii="宋体" w:hAnsi="宋体" w:eastAsia="宋体" w:cs="宋体"/>
          <w:bCs w:val="0"/>
          <w:highlight w:val="none"/>
        </w:rPr>
        <w:t>7.4 履约担保</w:t>
      </w:r>
      <w:r>
        <w:tab/>
      </w:r>
      <w:r>
        <w:fldChar w:fldCharType="begin"/>
      </w:r>
      <w:r>
        <w:instrText xml:space="preserve"> PAGEREF _Toc6999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_Toc276 </w:instrText>
      </w:r>
      <w:r>
        <w:rPr>
          <w:rFonts w:hint="eastAsia" w:ascii="宋体" w:hAnsi="宋体" w:eastAsia="宋体" w:cs="宋体"/>
          <w:szCs w:val="22"/>
          <w:highlight w:val="none"/>
        </w:rPr>
        <w:fldChar w:fldCharType="separate"/>
      </w:r>
      <w:r>
        <w:rPr>
          <w:rFonts w:hint="eastAsia" w:ascii="宋体" w:hAnsi="宋体" w:eastAsia="宋体" w:cs="宋体"/>
          <w:bCs w:val="0"/>
          <w:highlight w:val="none"/>
        </w:rPr>
        <w:t>7.5 签订合同</w:t>
      </w:r>
      <w:r>
        <w:tab/>
      </w:r>
      <w:r>
        <w:fldChar w:fldCharType="begin"/>
      </w:r>
      <w:r>
        <w:instrText xml:space="preserve"> PAGEREF _Toc276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_Toc7906 </w:instrText>
      </w:r>
      <w:r>
        <w:rPr>
          <w:rFonts w:hint="eastAsia" w:ascii="宋体" w:hAnsi="宋体" w:eastAsia="宋体" w:cs="宋体"/>
          <w:szCs w:val="22"/>
          <w:highlight w:val="none"/>
        </w:rPr>
        <w:fldChar w:fldCharType="separate"/>
      </w:r>
      <w:r>
        <w:rPr>
          <w:rFonts w:hint="eastAsia" w:ascii="宋体" w:hAnsi="宋体" w:cs="宋体"/>
          <w:szCs w:val="28"/>
          <w:highlight w:val="none"/>
        </w:rPr>
        <w:t>8. 重新招标和不再招标</w:t>
      </w:r>
      <w:r>
        <w:tab/>
      </w:r>
      <w:r>
        <w:fldChar w:fldCharType="begin"/>
      </w:r>
      <w:r>
        <w:instrText xml:space="preserve"> PAGEREF _Toc7906 \h </w:instrText>
      </w:r>
      <w:r>
        <w:fldChar w:fldCharType="separate"/>
      </w:r>
      <w:r>
        <w:t>24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_Toc20756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8.1 重新招标</w:t>
      </w:r>
      <w:r>
        <w:tab/>
      </w:r>
      <w:r>
        <w:fldChar w:fldCharType="begin"/>
      </w:r>
      <w:r>
        <w:instrText xml:space="preserve"> PAGEREF _Toc20756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_Toc28057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8.2 不再招标</w:t>
      </w:r>
      <w:r>
        <w:tab/>
      </w:r>
      <w:r>
        <w:fldChar w:fldCharType="begin"/>
      </w:r>
      <w:r>
        <w:instrText xml:space="preserve"> PAGEREF _Toc28057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_Toc15596 </w:instrText>
      </w:r>
      <w:r>
        <w:rPr>
          <w:rFonts w:hint="eastAsia" w:ascii="宋体" w:hAnsi="宋体" w:eastAsia="宋体" w:cs="宋体"/>
          <w:szCs w:val="22"/>
          <w:highlight w:val="none"/>
        </w:rPr>
        <w:fldChar w:fldCharType="separate"/>
      </w:r>
      <w:r>
        <w:rPr>
          <w:rFonts w:hint="eastAsia" w:ascii="宋体" w:hAnsi="宋体" w:cs="宋体"/>
          <w:szCs w:val="28"/>
          <w:highlight w:val="none"/>
        </w:rPr>
        <w:t>9．纪律和监督</w:t>
      </w:r>
      <w:r>
        <w:tab/>
      </w:r>
      <w:r>
        <w:fldChar w:fldCharType="begin"/>
      </w:r>
      <w:r>
        <w:instrText xml:space="preserve"> PAGEREF _Toc15596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_Toc26044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9.1 对招标人的纪律要求</w:t>
      </w:r>
      <w:r>
        <w:tab/>
      </w:r>
      <w:r>
        <w:fldChar w:fldCharType="begin"/>
      </w:r>
      <w:r>
        <w:instrText xml:space="preserve"> PAGEREF _Toc26044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_Toc22180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9.2 对投标人的纪律要求</w:t>
      </w:r>
      <w:r>
        <w:tab/>
      </w:r>
      <w:r>
        <w:fldChar w:fldCharType="begin"/>
      </w:r>
      <w:r>
        <w:instrText xml:space="preserve"> PAGEREF _Toc22180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_Toc29396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9.3 对评标委员会成员的纪律要求</w:t>
      </w:r>
      <w:r>
        <w:tab/>
      </w:r>
      <w:r>
        <w:fldChar w:fldCharType="begin"/>
      </w:r>
      <w:r>
        <w:instrText xml:space="preserve"> PAGEREF _Toc29396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_Toc32441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9.4 对与评标活动有关的工作人员的纪律要求</w:t>
      </w:r>
      <w:r>
        <w:tab/>
      </w:r>
      <w:r>
        <w:fldChar w:fldCharType="begin"/>
      </w:r>
      <w:r>
        <w:instrText xml:space="preserve"> PAGEREF _Toc32441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_Toc29216 </w:instrText>
      </w:r>
      <w:r>
        <w:rPr>
          <w:rFonts w:hint="eastAsia" w:ascii="宋体" w:hAnsi="宋体" w:eastAsia="宋体" w:cs="宋体"/>
          <w:szCs w:val="22"/>
          <w:highlight w:val="none"/>
        </w:rPr>
        <w:fldChar w:fldCharType="separate"/>
      </w:r>
      <w:r>
        <w:rPr>
          <w:rFonts w:hint="eastAsia" w:ascii="宋体" w:hAnsi="宋体" w:eastAsia="宋体"/>
          <w:szCs w:val="24"/>
          <w:highlight w:val="none"/>
        </w:rPr>
        <w:t>9.5 投诉</w:t>
      </w:r>
      <w:r>
        <w:tab/>
      </w:r>
      <w:r>
        <w:fldChar w:fldCharType="begin"/>
      </w:r>
      <w:r>
        <w:instrText xml:space="preserve"> PAGEREF _Toc29216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_Toc26970 </w:instrText>
      </w:r>
      <w:r>
        <w:rPr>
          <w:rFonts w:hint="eastAsia" w:ascii="宋体" w:hAnsi="宋体" w:eastAsia="宋体" w:cs="宋体"/>
          <w:szCs w:val="22"/>
          <w:highlight w:val="none"/>
        </w:rPr>
        <w:fldChar w:fldCharType="separate"/>
      </w:r>
      <w:r>
        <w:rPr>
          <w:rFonts w:hint="eastAsia" w:ascii="宋体" w:hAnsi="宋体" w:cs="宋体"/>
          <w:szCs w:val="28"/>
          <w:highlight w:val="none"/>
        </w:rPr>
        <w:t>10. 需要补充的其他内容</w:t>
      </w:r>
      <w:r>
        <w:tab/>
      </w:r>
      <w:r>
        <w:fldChar w:fldCharType="begin"/>
      </w:r>
      <w:r>
        <w:instrText xml:space="preserve"> PAGEREF _Toc26970 \h </w:instrText>
      </w:r>
      <w:r>
        <w:fldChar w:fldCharType="separate"/>
      </w:r>
      <w:r>
        <w:t>25</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_Toc2896 </w:instrText>
      </w:r>
      <w:r>
        <w:rPr>
          <w:rFonts w:hint="eastAsia" w:ascii="宋体" w:hAnsi="宋体" w:eastAsia="宋体" w:cs="宋体"/>
          <w:szCs w:val="22"/>
          <w:highlight w:val="none"/>
        </w:rPr>
        <w:fldChar w:fldCharType="separate"/>
      </w:r>
      <w:r>
        <w:rPr>
          <w:rFonts w:hint="eastAsia" w:ascii="宋体" w:hAnsi="宋体" w:cs="宋体"/>
          <w:szCs w:val="28"/>
          <w:highlight w:val="none"/>
        </w:rPr>
        <w:t>附件一：开标记录表</w:t>
      </w:r>
      <w:r>
        <w:tab/>
      </w:r>
      <w:r>
        <w:fldChar w:fldCharType="begin"/>
      </w:r>
      <w:r>
        <w:instrText xml:space="preserve"> PAGEREF _Toc2896 \h </w:instrText>
      </w:r>
      <w:r>
        <w:fldChar w:fldCharType="separate"/>
      </w:r>
      <w:r>
        <w:t>27</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_Toc23212 </w:instrText>
      </w:r>
      <w:r>
        <w:rPr>
          <w:rFonts w:hint="eastAsia" w:ascii="宋体" w:hAnsi="宋体" w:eastAsia="宋体" w:cs="宋体"/>
          <w:szCs w:val="22"/>
          <w:highlight w:val="none"/>
        </w:rPr>
        <w:fldChar w:fldCharType="separate"/>
      </w:r>
      <w:r>
        <w:rPr>
          <w:rFonts w:hint="eastAsia" w:ascii="宋体" w:hAnsi="宋体" w:eastAsia="宋体" w:cs="宋体"/>
          <w:bCs w:val="0"/>
          <w:szCs w:val="28"/>
          <w:highlight w:val="none"/>
        </w:rPr>
        <w:t>附件二：问题澄清通知</w:t>
      </w:r>
      <w:r>
        <w:tab/>
      </w:r>
      <w:r>
        <w:fldChar w:fldCharType="begin"/>
      </w:r>
      <w:r>
        <w:instrText xml:space="preserve"> PAGEREF _Toc23212 \h </w:instrText>
      </w:r>
      <w:r>
        <w:fldChar w:fldCharType="separate"/>
      </w:r>
      <w:r>
        <w:t>28</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_Toc10312 </w:instrText>
      </w:r>
      <w:r>
        <w:rPr>
          <w:rFonts w:hint="eastAsia" w:ascii="宋体" w:hAnsi="宋体" w:eastAsia="宋体" w:cs="宋体"/>
          <w:szCs w:val="22"/>
          <w:highlight w:val="none"/>
        </w:rPr>
        <w:fldChar w:fldCharType="separate"/>
      </w:r>
      <w:r>
        <w:rPr>
          <w:rFonts w:hint="eastAsia" w:ascii="宋体" w:hAnsi="宋体" w:eastAsia="宋体" w:cs="宋体"/>
          <w:bCs w:val="0"/>
          <w:szCs w:val="28"/>
          <w:highlight w:val="none"/>
        </w:rPr>
        <w:t>附件三：问题的澄清</w:t>
      </w:r>
      <w:r>
        <w:tab/>
      </w:r>
      <w:r>
        <w:fldChar w:fldCharType="begin"/>
      </w:r>
      <w:r>
        <w:instrText xml:space="preserve"> PAGEREF _Toc10312 \h </w:instrText>
      </w:r>
      <w:r>
        <w:fldChar w:fldCharType="separate"/>
      </w:r>
      <w:r>
        <w:t>29</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_Toc14870 </w:instrText>
      </w:r>
      <w:r>
        <w:rPr>
          <w:rFonts w:hint="eastAsia" w:ascii="宋体" w:hAnsi="宋体" w:eastAsia="宋体" w:cs="宋体"/>
          <w:szCs w:val="22"/>
          <w:highlight w:val="none"/>
        </w:rPr>
        <w:fldChar w:fldCharType="separate"/>
      </w:r>
      <w:r>
        <w:rPr>
          <w:rFonts w:hint="eastAsia" w:ascii="宋体" w:hAnsi="宋体" w:eastAsia="宋体" w:cs="宋体"/>
          <w:bCs w:val="0"/>
          <w:szCs w:val="28"/>
          <w:highlight w:val="none"/>
        </w:rPr>
        <w:t>附件四：中标通知书</w:t>
      </w:r>
      <w:r>
        <w:tab/>
      </w:r>
      <w:r>
        <w:fldChar w:fldCharType="begin"/>
      </w:r>
      <w:r>
        <w:instrText xml:space="preserve"> PAGEREF _Toc14870 \h </w:instrText>
      </w:r>
      <w:r>
        <w:fldChar w:fldCharType="separate"/>
      </w:r>
      <w:r>
        <w:t>30</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_Toc19387 </w:instrText>
      </w:r>
      <w:r>
        <w:rPr>
          <w:rFonts w:hint="eastAsia" w:ascii="宋体" w:hAnsi="宋体" w:eastAsia="宋体" w:cs="宋体"/>
          <w:szCs w:val="22"/>
          <w:highlight w:val="none"/>
        </w:rPr>
        <w:fldChar w:fldCharType="separate"/>
      </w:r>
      <w:r>
        <w:rPr>
          <w:rFonts w:hint="eastAsia" w:ascii="宋体" w:hAnsi="宋体" w:eastAsia="宋体" w:cs="宋体"/>
          <w:bCs w:val="0"/>
          <w:szCs w:val="28"/>
          <w:highlight w:val="none"/>
        </w:rPr>
        <w:t>附件五：中标结果通知书</w:t>
      </w:r>
      <w:r>
        <w:tab/>
      </w:r>
      <w:r>
        <w:fldChar w:fldCharType="begin"/>
      </w:r>
      <w:r>
        <w:instrText xml:space="preserve"> PAGEREF _Toc19387 \h </w:instrText>
      </w:r>
      <w:r>
        <w:fldChar w:fldCharType="separate"/>
      </w:r>
      <w:r>
        <w:t>31</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_Toc23765 </w:instrText>
      </w:r>
      <w:r>
        <w:rPr>
          <w:rFonts w:hint="eastAsia" w:ascii="宋体" w:hAnsi="宋体" w:eastAsia="宋体" w:cs="宋体"/>
          <w:szCs w:val="22"/>
          <w:highlight w:val="none"/>
        </w:rPr>
        <w:fldChar w:fldCharType="separate"/>
      </w:r>
      <w:r>
        <w:rPr>
          <w:rFonts w:hint="eastAsia" w:ascii="宋体" w:hAnsi="宋体" w:eastAsia="宋体" w:cs="宋体"/>
          <w:bCs w:val="0"/>
          <w:szCs w:val="28"/>
          <w:highlight w:val="none"/>
        </w:rPr>
        <w:t>附件六：确认通知</w:t>
      </w:r>
      <w:r>
        <w:tab/>
      </w:r>
      <w:r>
        <w:fldChar w:fldCharType="begin"/>
      </w:r>
      <w:r>
        <w:instrText xml:space="preserve"> PAGEREF _Toc23765 \h </w:instrText>
      </w:r>
      <w:r>
        <w:fldChar w:fldCharType="separate"/>
      </w:r>
      <w:r>
        <w:t>32</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_Toc17883 </w:instrText>
      </w:r>
      <w:r>
        <w:rPr>
          <w:rFonts w:hint="eastAsia" w:ascii="宋体" w:hAnsi="宋体" w:eastAsia="宋体" w:cs="宋体"/>
          <w:szCs w:val="22"/>
          <w:highlight w:val="none"/>
        </w:rPr>
        <w:fldChar w:fldCharType="separate"/>
      </w:r>
      <w:r>
        <w:rPr>
          <w:rFonts w:hint="default" w:ascii="宋体" w:hAnsi="宋体" w:cs="宋体"/>
          <w:szCs w:val="44"/>
        </w:rPr>
        <w:t xml:space="preserve">第三章 </w:t>
      </w:r>
      <w:r>
        <w:rPr>
          <w:rFonts w:hint="eastAsia" w:ascii="宋体" w:hAnsi="宋体" w:cs="宋体"/>
          <w:bCs/>
          <w:kern w:val="44"/>
          <w:szCs w:val="36"/>
          <w:highlight w:val="none"/>
        </w:rPr>
        <w:t>评标办法（</w:t>
      </w:r>
      <w:r>
        <w:rPr>
          <w:rFonts w:hint="eastAsia" w:ascii="宋体" w:hAnsi="宋体" w:cs="宋体"/>
          <w:bCs/>
          <w:kern w:val="44"/>
          <w:szCs w:val="36"/>
          <w:highlight w:val="none"/>
          <w:lang w:eastAsia="zh-CN"/>
        </w:rPr>
        <w:t>综合评标法</w:t>
      </w:r>
      <w:r>
        <w:rPr>
          <w:rFonts w:hint="eastAsia" w:ascii="宋体" w:hAnsi="宋体" w:cs="宋体"/>
          <w:bCs/>
          <w:kern w:val="44"/>
          <w:szCs w:val="36"/>
          <w:highlight w:val="none"/>
        </w:rPr>
        <w:t>）</w:t>
      </w:r>
      <w:r>
        <w:tab/>
      </w:r>
      <w:r>
        <w:fldChar w:fldCharType="begin"/>
      </w:r>
      <w:r>
        <w:instrText xml:space="preserve"> PAGEREF _Toc17883 \h </w:instrText>
      </w:r>
      <w:r>
        <w:fldChar w:fldCharType="separate"/>
      </w:r>
      <w:r>
        <w:t>33</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_Toc10872 </w:instrText>
      </w:r>
      <w:r>
        <w:rPr>
          <w:rFonts w:hint="eastAsia" w:ascii="宋体" w:hAnsi="宋体" w:eastAsia="宋体" w:cs="宋体"/>
          <w:szCs w:val="22"/>
          <w:highlight w:val="none"/>
        </w:rPr>
        <w:fldChar w:fldCharType="separate"/>
      </w:r>
      <w:r>
        <w:rPr>
          <w:rFonts w:hint="eastAsia" w:ascii="宋体" w:hAnsi="宋体" w:cs="宋体"/>
          <w:bCs/>
          <w:szCs w:val="32"/>
          <w:highlight w:val="none"/>
        </w:rPr>
        <w:t>评标办法前附表</w:t>
      </w:r>
      <w:r>
        <w:tab/>
      </w:r>
      <w:r>
        <w:fldChar w:fldCharType="begin"/>
      </w:r>
      <w:r>
        <w:instrText xml:space="preserve"> PAGEREF _Toc10872 \h </w:instrText>
      </w:r>
      <w:r>
        <w:fldChar w:fldCharType="separate"/>
      </w:r>
      <w:r>
        <w:t>33</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_Toc32642 </w:instrText>
      </w:r>
      <w:r>
        <w:rPr>
          <w:rFonts w:hint="eastAsia" w:ascii="宋体" w:hAnsi="宋体" w:eastAsia="宋体" w:cs="宋体"/>
          <w:szCs w:val="22"/>
          <w:highlight w:val="none"/>
        </w:rPr>
        <w:fldChar w:fldCharType="separate"/>
      </w:r>
      <w:r>
        <w:rPr>
          <w:rFonts w:hint="eastAsia" w:ascii="宋体" w:hAnsi="宋体" w:eastAsia="宋体" w:cs="宋体"/>
          <w:bCs/>
          <w:spacing w:val="0"/>
          <w:w w:val="100"/>
          <w:kern w:val="0"/>
          <w:position w:val="0"/>
          <w:szCs w:val="21"/>
          <w:highlight w:val="none"/>
        </w:rPr>
        <w:t>1. 评标方法</w:t>
      </w:r>
      <w:r>
        <w:tab/>
      </w:r>
      <w:r>
        <w:fldChar w:fldCharType="begin"/>
      </w:r>
      <w:r>
        <w:instrText xml:space="preserve"> PAGEREF _Toc32642 \h </w:instrText>
      </w:r>
      <w:r>
        <w:fldChar w:fldCharType="separate"/>
      </w:r>
      <w:r>
        <w:t>43</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_Toc4593 </w:instrText>
      </w:r>
      <w:r>
        <w:rPr>
          <w:rFonts w:hint="eastAsia" w:ascii="宋体" w:hAnsi="宋体" w:eastAsia="宋体" w:cs="宋体"/>
          <w:szCs w:val="22"/>
          <w:highlight w:val="none"/>
        </w:rPr>
        <w:fldChar w:fldCharType="separate"/>
      </w:r>
      <w:r>
        <w:rPr>
          <w:rFonts w:hint="eastAsia" w:ascii="宋体" w:hAnsi="宋体" w:eastAsia="宋体" w:cs="宋体"/>
          <w:bCs/>
          <w:spacing w:val="0"/>
          <w:w w:val="100"/>
          <w:position w:val="0"/>
          <w:szCs w:val="21"/>
          <w:highlight w:val="none"/>
        </w:rPr>
        <w:t>2. 评审标准</w:t>
      </w:r>
      <w:r>
        <w:tab/>
      </w:r>
      <w:r>
        <w:fldChar w:fldCharType="begin"/>
      </w:r>
      <w:r>
        <w:instrText xml:space="preserve"> PAGEREF _Toc4593 \h </w:instrText>
      </w:r>
      <w:r>
        <w:fldChar w:fldCharType="separate"/>
      </w:r>
      <w:r>
        <w:t>43</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_Toc5997 </w:instrText>
      </w:r>
      <w:r>
        <w:rPr>
          <w:rFonts w:hint="eastAsia" w:ascii="宋体" w:hAnsi="宋体" w:eastAsia="宋体" w:cs="宋体"/>
          <w:szCs w:val="22"/>
          <w:highlight w:val="none"/>
        </w:rPr>
        <w:fldChar w:fldCharType="separate"/>
      </w:r>
      <w:r>
        <w:rPr>
          <w:rFonts w:hint="eastAsia" w:ascii="宋体" w:hAnsi="宋体" w:eastAsia="宋体" w:cs="宋体"/>
          <w:bCs/>
          <w:spacing w:val="0"/>
          <w:w w:val="100"/>
          <w:position w:val="0"/>
          <w:szCs w:val="21"/>
          <w:highlight w:val="none"/>
        </w:rPr>
        <w:t>3. 评标程序</w:t>
      </w:r>
      <w:r>
        <w:tab/>
      </w:r>
      <w:r>
        <w:fldChar w:fldCharType="begin"/>
      </w:r>
      <w:r>
        <w:instrText xml:space="preserve"> PAGEREF _Toc5997 \h </w:instrText>
      </w:r>
      <w:r>
        <w:fldChar w:fldCharType="separate"/>
      </w:r>
      <w:r>
        <w:t>44</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_Toc15443 </w:instrText>
      </w:r>
      <w:r>
        <w:rPr>
          <w:rFonts w:hint="eastAsia" w:ascii="宋体" w:hAnsi="宋体" w:eastAsia="宋体" w:cs="宋体"/>
          <w:szCs w:val="22"/>
          <w:highlight w:val="none"/>
        </w:rPr>
        <w:fldChar w:fldCharType="separate"/>
      </w:r>
      <w:r>
        <w:rPr>
          <w:rFonts w:hint="eastAsia" w:ascii="宋体" w:hAnsi="宋体" w:cs="宋体"/>
          <w:szCs w:val="36"/>
          <w:highlight w:val="none"/>
        </w:rPr>
        <w:t>第四章 合同条款及格式</w:t>
      </w:r>
      <w:r>
        <w:tab/>
      </w:r>
      <w:r>
        <w:fldChar w:fldCharType="begin"/>
      </w:r>
      <w:r>
        <w:instrText xml:space="preserve"> PAGEREF _Toc15443 \h </w:instrText>
      </w:r>
      <w:r>
        <w:fldChar w:fldCharType="separate"/>
      </w:r>
      <w:r>
        <w:t>55</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_Toc10882 </w:instrText>
      </w:r>
      <w:r>
        <w:rPr>
          <w:rFonts w:hint="eastAsia" w:ascii="宋体" w:hAnsi="宋体" w:eastAsia="宋体" w:cs="宋体"/>
          <w:szCs w:val="22"/>
          <w:highlight w:val="none"/>
        </w:rPr>
        <w:fldChar w:fldCharType="separate"/>
      </w:r>
      <w:r>
        <w:rPr>
          <w:rFonts w:hint="eastAsia"/>
          <w:szCs w:val="36"/>
          <w:highlight w:val="none"/>
        </w:rPr>
        <w:t>第五章工程量清单</w:t>
      </w:r>
      <w:r>
        <w:tab/>
      </w:r>
      <w:r>
        <w:fldChar w:fldCharType="begin"/>
      </w:r>
      <w:r>
        <w:instrText xml:space="preserve"> PAGEREF _Toc10882 \h </w:instrText>
      </w:r>
      <w:r>
        <w:fldChar w:fldCharType="separate"/>
      </w:r>
      <w:r>
        <w:t>56</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_Toc4739 </w:instrText>
      </w:r>
      <w:r>
        <w:rPr>
          <w:rFonts w:hint="eastAsia" w:ascii="宋体" w:hAnsi="宋体" w:eastAsia="宋体" w:cs="宋体"/>
          <w:szCs w:val="22"/>
          <w:highlight w:val="none"/>
        </w:rPr>
        <w:fldChar w:fldCharType="separate"/>
      </w:r>
      <w:r>
        <w:rPr>
          <w:rFonts w:hint="eastAsia"/>
          <w:szCs w:val="36"/>
          <w:highlight w:val="none"/>
        </w:rPr>
        <w:t>第六章图  纸</w:t>
      </w:r>
      <w:r>
        <w:tab/>
      </w:r>
      <w:r>
        <w:fldChar w:fldCharType="begin"/>
      </w:r>
      <w:r>
        <w:instrText xml:space="preserve"> PAGEREF _Toc4739 \h </w:instrText>
      </w:r>
      <w:r>
        <w:fldChar w:fldCharType="separate"/>
      </w:r>
      <w:r>
        <w:t>57</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_Toc10053 </w:instrText>
      </w:r>
      <w:r>
        <w:rPr>
          <w:rFonts w:hint="eastAsia" w:ascii="宋体" w:hAnsi="宋体" w:eastAsia="宋体" w:cs="宋体"/>
          <w:szCs w:val="22"/>
          <w:highlight w:val="none"/>
        </w:rPr>
        <w:fldChar w:fldCharType="separate"/>
      </w:r>
      <w:r>
        <w:rPr>
          <w:rFonts w:hint="eastAsia"/>
          <w:szCs w:val="36"/>
          <w:highlight w:val="none"/>
        </w:rPr>
        <w:t>第七章技术标准和要求</w:t>
      </w:r>
      <w:r>
        <w:tab/>
      </w:r>
      <w:r>
        <w:fldChar w:fldCharType="begin"/>
      </w:r>
      <w:r>
        <w:instrText xml:space="preserve"> PAGEREF _Toc10053 \h </w:instrText>
      </w:r>
      <w:r>
        <w:fldChar w:fldCharType="separate"/>
      </w:r>
      <w:r>
        <w:t>58</w:t>
      </w:r>
      <w:r>
        <w:fldChar w:fldCharType="end"/>
      </w:r>
      <w:r>
        <w:rPr>
          <w:rFonts w:hint="eastAsia" w:ascii="宋体" w:hAnsi="宋体" w:eastAsia="宋体" w:cs="宋体"/>
          <w:color w:val="auto"/>
          <w:szCs w:val="22"/>
          <w:highlight w:val="none"/>
        </w:rPr>
        <w:fldChar w:fldCharType="end"/>
      </w:r>
    </w:p>
    <w:p>
      <w:pPr>
        <w:pStyle w:val="31"/>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_Toc5470 </w:instrText>
      </w:r>
      <w:r>
        <w:rPr>
          <w:rFonts w:hint="eastAsia" w:ascii="宋体" w:hAnsi="宋体" w:eastAsia="宋体" w:cs="宋体"/>
          <w:szCs w:val="22"/>
          <w:highlight w:val="none"/>
        </w:rPr>
        <w:fldChar w:fldCharType="separate"/>
      </w:r>
      <w:r>
        <w:rPr>
          <w:rFonts w:hint="eastAsia" w:ascii="宋体" w:hAnsi="宋体" w:cs="宋体"/>
          <w:bCs/>
          <w:kern w:val="44"/>
          <w:szCs w:val="36"/>
          <w:highlight w:val="none"/>
        </w:rPr>
        <w:t>第八章投标文件格式</w:t>
      </w:r>
      <w:r>
        <w:tab/>
      </w:r>
      <w:r>
        <w:fldChar w:fldCharType="begin"/>
      </w:r>
      <w:r>
        <w:instrText xml:space="preserve"> PAGEREF _Toc5470 \h </w:instrText>
      </w:r>
      <w:r>
        <w:fldChar w:fldCharType="separate"/>
      </w:r>
      <w:r>
        <w:t>59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_Toc19936 </w:instrText>
      </w:r>
      <w:r>
        <w:rPr>
          <w:rFonts w:hint="eastAsia" w:ascii="宋体" w:hAnsi="宋体" w:eastAsia="宋体" w:cs="宋体"/>
          <w:szCs w:val="22"/>
          <w:highlight w:val="none"/>
        </w:rPr>
        <w:fldChar w:fldCharType="separate"/>
      </w:r>
      <w:r>
        <w:rPr>
          <w:rFonts w:hint="eastAsia" w:ascii="宋体" w:hAnsi="宋体" w:cs="宋体"/>
          <w:bCs/>
          <w:highlight w:val="none"/>
        </w:rPr>
        <w:t>目    录</w:t>
      </w:r>
      <w:r>
        <w:tab/>
      </w:r>
      <w:r>
        <w:fldChar w:fldCharType="begin"/>
      </w:r>
      <w:r>
        <w:instrText xml:space="preserve"> PAGEREF _Toc19936 \h </w:instrText>
      </w:r>
      <w:r>
        <w:fldChar w:fldCharType="separate"/>
      </w:r>
      <w:r>
        <w:t>60</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_Toc17446 </w:instrText>
      </w:r>
      <w:r>
        <w:rPr>
          <w:rFonts w:hint="eastAsia" w:ascii="宋体" w:hAnsi="宋体" w:eastAsia="宋体" w:cs="宋体"/>
          <w:szCs w:val="22"/>
          <w:highlight w:val="none"/>
        </w:rPr>
        <w:fldChar w:fldCharType="separate"/>
      </w:r>
      <w:r>
        <w:rPr>
          <w:rFonts w:hint="eastAsia" w:ascii="宋体" w:hAnsi="宋体" w:cs="宋体"/>
          <w:bCs/>
          <w:szCs w:val="28"/>
          <w:highlight w:val="none"/>
        </w:rPr>
        <w:t>一、投标函及投标函附录</w:t>
      </w:r>
      <w:r>
        <w:tab/>
      </w:r>
      <w:r>
        <w:fldChar w:fldCharType="begin"/>
      </w:r>
      <w:r>
        <w:instrText xml:space="preserve"> PAGEREF _Toc17446 \h </w:instrText>
      </w:r>
      <w:r>
        <w:fldChar w:fldCharType="separate"/>
      </w:r>
      <w:r>
        <w:t>61</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_Toc18788 </w:instrText>
      </w:r>
      <w:r>
        <w:rPr>
          <w:rFonts w:hint="eastAsia" w:ascii="宋体" w:hAnsi="宋体" w:eastAsia="宋体" w:cs="宋体"/>
          <w:szCs w:val="22"/>
          <w:highlight w:val="none"/>
        </w:rPr>
        <w:fldChar w:fldCharType="separate"/>
      </w:r>
      <w:r>
        <w:rPr>
          <w:rFonts w:hint="eastAsia" w:ascii="宋体" w:hAnsi="宋体" w:cs="宋体"/>
          <w:szCs w:val="28"/>
          <w:highlight w:val="none"/>
        </w:rPr>
        <w:t>（一）投标函</w:t>
      </w:r>
      <w:r>
        <w:tab/>
      </w:r>
      <w:r>
        <w:fldChar w:fldCharType="begin"/>
      </w:r>
      <w:r>
        <w:instrText xml:space="preserve"> PAGEREF _Toc18788 \h </w:instrText>
      </w:r>
      <w:r>
        <w:fldChar w:fldCharType="separate"/>
      </w:r>
      <w:r>
        <w:t>61</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_Toc27437 </w:instrText>
      </w:r>
      <w:r>
        <w:rPr>
          <w:rFonts w:hint="eastAsia" w:ascii="宋体" w:hAnsi="宋体" w:eastAsia="宋体" w:cs="宋体"/>
          <w:szCs w:val="22"/>
          <w:highlight w:val="none"/>
        </w:rPr>
        <w:fldChar w:fldCharType="separate"/>
      </w:r>
      <w:r>
        <w:rPr>
          <w:rFonts w:hint="eastAsia" w:ascii="宋体" w:hAnsi="宋体" w:cs="宋体"/>
          <w:szCs w:val="28"/>
          <w:highlight w:val="none"/>
        </w:rPr>
        <w:t>（二）投标函附录</w:t>
      </w:r>
      <w:r>
        <w:tab/>
      </w:r>
      <w:r>
        <w:fldChar w:fldCharType="begin"/>
      </w:r>
      <w:r>
        <w:instrText xml:space="preserve"> PAGEREF _Toc27437 \h </w:instrText>
      </w:r>
      <w:r>
        <w:fldChar w:fldCharType="separate"/>
      </w:r>
      <w:r>
        <w:t>62</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_Toc29749 </w:instrText>
      </w:r>
      <w:r>
        <w:rPr>
          <w:rFonts w:hint="eastAsia" w:ascii="宋体" w:hAnsi="宋体" w:eastAsia="宋体" w:cs="宋体"/>
          <w:szCs w:val="22"/>
          <w:highlight w:val="none"/>
        </w:rPr>
        <w:fldChar w:fldCharType="separate"/>
      </w:r>
      <w:r>
        <w:rPr>
          <w:rFonts w:hint="eastAsia" w:ascii="宋体" w:hAnsi="宋体" w:eastAsia="宋体" w:cs="宋体"/>
          <w:szCs w:val="28"/>
          <w:highlight w:val="none"/>
        </w:rPr>
        <w:t>二、法定代表人身份证明</w:t>
      </w:r>
      <w:r>
        <w:tab/>
      </w:r>
      <w:r>
        <w:fldChar w:fldCharType="begin"/>
      </w:r>
      <w:r>
        <w:instrText xml:space="preserve"> PAGEREF _Toc29749 \h </w:instrText>
      </w:r>
      <w:r>
        <w:fldChar w:fldCharType="separate"/>
      </w:r>
      <w:r>
        <w:t>63</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_Toc17697 </w:instrText>
      </w:r>
      <w:r>
        <w:rPr>
          <w:rFonts w:hint="eastAsia" w:ascii="宋体" w:hAnsi="宋体" w:eastAsia="宋体" w:cs="宋体"/>
          <w:szCs w:val="22"/>
          <w:highlight w:val="none"/>
        </w:rPr>
        <w:fldChar w:fldCharType="separate"/>
      </w:r>
      <w:r>
        <w:rPr>
          <w:rFonts w:hint="eastAsia" w:ascii="宋体" w:hAnsi="宋体" w:eastAsia="宋体" w:cs="宋体"/>
          <w:szCs w:val="28"/>
          <w:highlight w:val="none"/>
        </w:rPr>
        <w:t>三、授权委托书</w:t>
      </w:r>
      <w:r>
        <w:tab/>
      </w:r>
      <w:r>
        <w:fldChar w:fldCharType="begin"/>
      </w:r>
      <w:r>
        <w:instrText xml:space="preserve"> PAGEREF _Toc17697 \h </w:instrText>
      </w:r>
      <w:r>
        <w:fldChar w:fldCharType="separate"/>
      </w:r>
      <w:r>
        <w:t>64</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_Toc10435 </w:instrText>
      </w:r>
      <w:r>
        <w:rPr>
          <w:rFonts w:hint="eastAsia" w:ascii="宋体" w:hAnsi="宋体" w:eastAsia="宋体" w:cs="宋体"/>
          <w:szCs w:val="22"/>
          <w:highlight w:val="none"/>
        </w:rPr>
        <w:fldChar w:fldCharType="separate"/>
      </w:r>
      <w:r>
        <w:rPr>
          <w:rFonts w:hint="eastAsia" w:ascii="宋体" w:hAnsi="宋体" w:eastAsia="宋体" w:cs="宋体"/>
          <w:szCs w:val="28"/>
          <w:highlight w:val="none"/>
        </w:rPr>
        <w:t>四、投标保证金</w:t>
      </w:r>
      <w:r>
        <w:tab/>
      </w:r>
      <w:r>
        <w:fldChar w:fldCharType="begin"/>
      </w:r>
      <w:r>
        <w:instrText xml:space="preserve"> PAGEREF _Toc10435 \h </w:instrText>
      </w:r>
      <w:r>
        <w:fldChar w:fldCharType="separate"/>
      </w:r>
      <w:r>
        <w:t>65</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_Toc27488 </w:instrText>
      </w:r>
      <w:r>
        <w:rPr>
          <w:rFonts w:hint="eastAsia" w:ascii="宋体" w:hAnsi="宋体" w:eastAsia="宋体" w:cs="宋体"/>
          <w:szCs w:val="22"/>
          <w:highlight w:val="none"/>
        </w:rPr>
        <w:fldChar w:fldCharType="separate"/>
      </w:r>
      <w:r>
        <w:rPr>
          <w:rFonts w:hint="eastAsia" w:ascii="宋体" w:hAnsi="宋体" w:cs="宋体"/>
          <w:bCs/>
          <w:szCs w:val="28"/>
          <w:highlight w:val="none"/>
        </w:rPr>
        <w:t>五、已标价工程量清单</w:t>
      </w:r>
      <w:r>
        <w:tab/>
      </w:r>
      <w:r>
        <w:fldChar w:fldCharType="begin"/>
      </w:r>
      <w:r>
        <w:instrText xml:space="preserve"> PAGEREF _Toc27488 \h </w:instrText>
      </w:r>
      <w:r>
        <w:fldChar w:fldCharType="separate"/>
      </w:r>
      <w:r>
        <w:t>67</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_Toc18671 </w:instrText>
      </w:r>
      <w:r>
        <w:rPr>
          <w:rFonts w:hint="eastAsia" w:ascii="宋体" w:hAnsi="宋体" w:eastAsia="宋体" w:cs="宋体"/>
          <w:szCs w:val="22"/>
          <w:highlight w:val="none"/>
        </w:rPr>
        <w:fldChar w:fldCharType="separate"/>
      </w:r>
      <w:r>
        <w:rPr>
          <w:rFonts w:hint="eastAsia" w:ascii="宋体" w:hAnsi="宋体" w:cs="宋体"/>
          <w:bCs/>
          <w:szCs w:val="28"/>
          <w:highlight w:val="none"/>
        </w:rPr>
        <w:t>六、反商业贿赂承诺书</w:t>
      </w:r>
      <w:r>
        <w:tab/>
      </w:r>
      <w:r>
        <w:fldChar w:fldCharType="begin"/>
      </w:r>
      <w:r>
        <w:instrText xml:space="preserve"> PAGEREF _Toc18671 \h </w:instrText>
      </w:r>
      <w:r>
        <w:fldChar w:fldCharType="separate"/>
      </w:r>
      <w:r>
        <w:t>68</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_Toc13884 </w:instrText>
      </w:r>
      <w:r>
        <w:rPr>
          <w:rFonts w:hint="eastAsia" w:ascii="宋体" w:hAnsi="宋体" w:eastAsia="宋体" w:cs="宋体"/>
          <w:szCs w:val="22"/>
          <w:highlight w:val="none"/>
        </w:rPr>
        <w:fldChar w:fldCharType="separate"/>
      </w:r>
      <w:r>
        <w:rPr>
          <w:rFonts w:hint="eastAsia" w:ascii="宋体" w:hAnsi="宋体" w:cs="宋体"/>
          <w:bCs/>
          <w:szCs w:val="28"/>
          <w:highlight w:val="none"/>
        </w:rPr>
        <w:t>七、承诺书</w:t>
      </w:r>
      <w:r>
        <w:tab/>
      </w:r>
      <w:r>
        <w:fldChar w:fldCharType="begin"/>
      </w:r>
      <w:r>
        <w:instrText xml:space="preserve"> PAGEREF _Toc13884 \h </w:instrText>
      </w:r>
      <w:r>
        <w:fldChar w:fldCharType="separate"/>
      </w:r>
      <w:r>
        <w:t>69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_Toc14811 </w:instrText>
      </w:r>
      <w:r>
        <w:rPr>
          <w:rFonts w:hint="eastAsia" w:ascii="宋体" w:hAnsi="宋体" w:eastAsia="宋体" w:cs="宋体"/>
          <w:szCs w:val="22"/>
          <w:highlight w:val="none"/>
        </w:rPr>
        <w:fldChar w:fldCharType="separate"/>
      </w:r>
      <w:r>
        <w:rPr>
          <w:rFonts w:hint="eastAsia" w:ascii="宋体" w:hAnsi="宋体" w:cs="宋体"/>
          <w:szCs w:val="28"/>
          <w:highlight w:val="none"/>
        </w:rPr>
        <w:t>1.（无在建）承诺书</w:t>
      </w:r>
      <w:r>
        <w:tab/>
      </w:r>
      <w:r>
        <w:fldChar w:fldCharType="begin"/>
      </w:r>
      <w:r>
        <w:instrText xml:space="preserve"> PAGEREF _Toc14811 \h </w:instrText>
      </w:r>
      <w:r>
        <w:fldChar w:fldCharType="separate"/>
      </w:r>
      <w:r>
        <w:t>69</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_Toc29723 </w:instrText>
      </w:r>
      <w:r>
        <w:rPr>
          <w:rFonts w:hint="eastAsia" w:ascii="宋体" w:hAnsi="宋体" w:eastAsia="宋体" w:cs="宋体"/>
          <w:szCs w:val="22"/>
          <w:highlight w:val="none"/>
        </w:rPr>
        <w:fldChar w:fldCharType="separate"/>
      </w:r>
      <w:r>
        <w:rPr>
          <w:rFonts w:hint="eastAsia" w:ascii="宋体" w:hAnsi="宋体" w:eastAsia="宋体" w:cs="宋体"/>
          <w:bCs/>
          <w:kern w:val="2"/>
          <w:szCs w:val="28"/>
          <w:highlight w:val="none"/>
          <w:lang w:val="en-US" w:eastAsia="zh-CN" w:bidi="ar-SA"/>
        </w:rPr>
        <w:t>2.（无造假、无隐瞒）承诺书</w:t>
      </w:r>
      <w:r>
        <w:tab/>
      </w:r>
      <w:r>
        <w:fldChar w:fldCharType="begin"/>
      </w:r>
      <w:r>
        <w:instrText xml:space="preserve"> PAGEREF _Toc29723 \h </w:instrText>
      </w:r>
      <w:r>
        <w:fldChar w:fldCharType="separate"/>
      </w:r>
      <w:r>
        <w:t>70</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_Toc16116 </w:instrText>
      </w:r>
      <w:r>
        <w:rPr>
          <w:rFonts w:hint="eastAsia" w:ascii="宋体" w:hAnsi="宋体" w:eastAsia="宋体" w:cs="宋体"/>
          <w:szCs w:val="22"/>
          <w:highlight w:val="none"/>
        </w:rPr>
        <w:fldChar w:fldCharType="separate"/>
      </w:r>
      <w:r>
        <w:rPr>
          <w:rFonts w:hint="eastAsia" w:ascii="宋体" w:hAnsi="宋体" w:eastAsia="宋体" w:cs="宋体"/>
          <w:szCs w:val="28"/>
          <w:highlight w:val="none"/>
          <w:lang w:val="en-US" w:eastAsia="zh-CN"/>
        </w:rPr>
        <w:t>3.信用承诺书</w:t>
      </w:r>
      <w:r>
        <w:tab/>
      </w:r>
      <w:r>
        <w:fldChar w:fldCharType="begin"/>
      </w:r>
      <w:r>
        <w:instrText xml:space="preserve"> PAGEREF _Toc16116 \h </w:instrText>
      </w:r>
      <w:r>
        <w:fldChar w:fldCharType="separate"/>
      </w:r>
      <w:r>
        <w:t>71</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_Toc22226 </w:instrText>
      </w:r>
      <w:r>
        <w:rPr>
          <w:rFonts w:hint="eastAsia" w:ascii="宋体" w:hAnsi="宋体" w:eastAsia="宋体" w:cs="宋体"/>
          <w:szCs w:val="22"/>
          <w:highlight w:val="none"/>
        </w:rPr>
        <w:fldChar w:fldCharType="separate"/>
      </w:r>
      <w:r>
        <w:rPr>
          <w:rFonts w:hint="eastAsia" w:ascii="宋体" w:hAnsi="宋体" w:cs="宋体"/>
          <w:bCs/>
          <w:szCs w:val="28"/>
          <w:highlight w:val="none"/>
        </w:rPr>
        <w:t>八、项目管理机构</w:t>
      </w:r>
      <w:r>
        <w:tab/>
      </w:r>
      <w:r>
        <w:fldChar w:fldCharType="begin"/>
      </w:r>
      <w:r>
        <w:instrText xml:space="preserve"> PAGEREF _Toc22226 \h </w:instrText>
      </w:r>
      <w:r>
        <w:fldChar w:fldCharType="separate"/>
      </w:r>
      <w:r>
        <w:t>72</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_Toc13930 </w:instrText>
      </w:r>
      <w:r>
        <w:rPr>
          <w:rFonts w:hint="eastAsia" w:ascii="宋体" w:hAnsi="宋体" w:eastAsia="宋体" w:cs="宋体"/>
          <w:szCs w:val="22"/>
          <w:highlight w:val="none"/>
        </w:rPr>
        <w:fldChar w:fldCharType="separate"/>
      </w:r>
      <w:r>
        <w:rPr>
          <w:rFonts w:hint="eastAsia" w:ascii="宋体" w:hAnsi="宋体" w:cs="宋体"/>
          <w:szCs w:val="28"/>
          <w:highlight w:val="none"/>
        </w:rPr>
        <w:t>（一）项目管理机构组成表</w:t>
      </w:r>
      <w:r>
        <w:tab/>
      </w:r>
      <w:r>
        <w:fldChar w:fldCharType="begin"/>
      </w:r>
      <w:r>
        <w:instrText xml:space="preserve"> PAGEREF _Toc13930 \h </w:instrText>
      </w:r>
      <w:r>
        <w:fldChar w:fldCharType="separate"/>
      </w:r>
      <w:r>
        <w:t>72</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_Toc12470 </w:instrText>
      </w:r>
      <w:r>
        <w:rPr>
          <w:rFonts w:hint="eastAsia" w:ascii="宋体" w:hAnsi="宋体" w:eastAsia="宋体" w:cs="宋体"/>
          <w:szCs w:val="22"/>
          <w:highlight w:val="none"/>
        </w:rPr>
        <w:fldChar w:fldCharType="separate"/>
      </w:r>
      <w:r>
        <w:rPr>
          <w:rFonts w:hint="eastAsia" w:ascii="宋体" w:hAnsi="宋体" w:cs="宋体"/>
          <w:bCs/>
          <w:szCs w:val="28"/>
          <w:highlight w:val="none"/>
        </w:rPr>
        <w:t>（二）主要人员简历表</w:t>
      </w:r>
      <w:r>
        <w:tab/>
      </w:r>
      <w:r>
        <w:fldChar w:fldCharType="begin"/>
      </w:r>
      <w:r>
        <w:instrText xml:space="preserve"> PAGEREF _Toc12470 \h </w:instrText>
      </w:r>
      <w:r>
        <w:fldChar w:fldCharType="separate"/>
      </w:r>
      <w:r>
        <w:t>73</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_Toc2696 </w:instrText>
      </w:r>
      <w:r>
        <w:rPr>
          <w:rFonts w:hint="eastAsia" w:ascii="宋体" w:hAnsi="宋体" w:eastAsia="宋体" w:cs="宋体"/>
          <w:szCs w:val="22"/>
          <w:highlight w:val="none"/>
        </w:rPr>
        <w:fldChar w:fldCharType="separate"/>
      </w:r>
      <w:r>
        <w:rPr>
          <w:rFonts w:hint="eastAsia" w:ascii="宋体" w:hAnsi="宋体" w:eastAsia="宋体" w:cs="宋体"/>
          <w:szCs w:val="28"/>
          <w:highlight w:val="none"/>
        </w:rPr>
        <w:t>九、资格审查资料</w:t>
      </w:r>
      <w:r>
        <w:tab/>
      </w:r>
      <w:r>
        <w:fldChar w:fldCharType="begin"/>
      </w:r>
      <w:r>
        <w:instrText xml:space="preserve"> PAGEREF _Toc2696 \h </w:instrText>
      </w:r>
      <w:r>
        <w:fldChar w:fldCharType="separate"/>
      </w:r>
      <w:r>
        <w:t>74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_Toc10024 </w:instrText>
      </w:r>
      <w:r>
        <w:rPr>
          <w:rFonts w:hint="eastAsia" w:ascii="宋体" w:hAnsi="宋体" w:eastAsia="宋体" w:cs="宋体"/>
          <w:szCs w:val="22"/>
          <w:highlight w:val="none"/>
        </w:rPr>
        <w:fldChar w:fldCharType="separate"/>
      </w:r>
      <w:r>
        <w:rPr>
          <w:rFonts w:hint="eastAsia" w:ascii="宋体" w:hAnsi="宋体" w:cs="宋体"/>
          <w:szCs w:val="28"/>
          <w:highlight w:val="none"/>
        </w:rPr>
        <w:t>（一）投标人基本情况表</w:t>
      </w:r>
      <w:r>
        <w:tab/>
      </w:r>
      <w:r>
        <w:fldChar w:fldCharType="begin"/>
      </w:r>
      <w:r>
        <w:instrText xml:space="preserve"> PAGEREF _Toc10024 \h </w:instrText>
      </w:r>
      <w:r>
        <w:fldChar w:fldCharType="separate"/>
      </w:r>
      <w:r>
        <w:t>74</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_Toc1653 </w:instrText>
      </w:r>
      <w:r>
        <w:rPr>
          <w:rFonts w:hint="eastAsia" w:ascii="宋体" w:hAnsi="宋体" w:eastAsia="宋体" w:cs="宋体"/>
          <w:szCs w:val="22"/>
          <w:highlight w:val="none"/>
        </w:rPr>
        <w:fldChar w:fldCharType="separate"/>
      </w:r>
      <w:r>
        <w:rPr>
          <w:rFonts w:hint="eastAsia" w:ascii="宋体" w:hAnsi="宋体" w:cs="宋体"/>
          <w:szCs w:val="28"/>
          <w:highlight w:val="none"/>
        </w:rPr>
        <w:t>（二）近年财务状况表</w:t>
      </w:r>
      <w:r>
        <w:tab/>
      </w:r>
      <w:r>
        <w:fldChar w:fldCharType="begin"/>
      </w:r>
      <w:r>
        <w:instrText xml:space="preserve"> PAGEREF _Toc1653 \h </w:instrText>
      </w:r>
      <w:r>
        <w:fldChar w:fldCharType="separate"/>
      </w:r>
      <w:r>
        <w:t>75</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_Toc28341 </w:instrText>
      </w:r>
      <w:r>
        <w:rPr>
          <w:rFonts w:hint="eastAsia" w:ascii="宋体" w:hAnsi="宋体" w:eastAsia="宋体" w:cs="宋体"/>
          <w:szCs w:val="22"/>
          <w:highlight w:val="none"/>
        </w:rPr>
        <w:fldChar w:fldCharType="separate"/>
      </w:r>
      <w:r>
        <w:rPr>
          <w:rFonts w:hint="eastAsia" w:ascii="宋体" w:hAnsi="宋体" w:cs="宋体"/>
          <w:szCs w:val="28"/>
          <w:highlight w:val="none"/>
        </w:rPr>
        <w:t>（三）近年完成的类似项目情况表</w:t>
      </w:r>
      <w:r>
        <w:tab/>
      </w:r>
      <w:r>
        <w:fldChar w:fldCharType="begin"/>
      </w:r>
      <w:r>
        <w:instrText xml:space="preserve"> PAGEREF _Toc28341 \h </w:instrText>
      </w:r>
      <w:r>
        <w:fldChar w:fldCharType="separate"/>
      </w:r>
      <w:r>
        <w:t>76</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_Toc29296 </w:instrText>
      </w:r>
      <w:r>
        <w:rPr>
          <w:rFonts w:hint="eastAsia" w:ascii="宋体" w:hAnsi="宋体" w:eastAsia="宋体" w:cs="宋体"/>
          <w:szCs w:val="22"/>
          <w:highlight w:val="none"/>
        </w:rPr>
        <w:fldChar w:fldCharType="separate"/>
      </w:r>
      <w:r>
        <w:rPr>
          <w:rFonts w:hint="eastAsia" w:ascii="宋体" w:hAnsi="宋体" w:cs="宋体"/>
          <w:szCs w:val="28"/>
          <w:highlight w:val="none"/>
        </w:rPr>
        <w:t>（四）正在实施的和新承接的项目情况表</w:t>
      </w:r>
      <w:r>
        <w:tab/>
      </w:r>
      <w:r>
        <w:fldChar w:fldCharType="begin"/>
      </w:r>
      <w:r>
        <w:instrText xml:space="preserve"> PAGEREF _Toc29296 \h </w:instrText>
      </w:r>
      <w:r>
        <w:fldChar w:fldCharType="separate"/>
      </w:r>
      <w:r>
        <w:t>77</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_Toc1277 </w:instrText>
      </w:r>
      <w:r>
        <w:rPr>
          <w:rFonts w:hint="eastAsia" w:ascii="宋体" w:hAnsi="宋体" w:eastAsia="宋体" w:cs="宋体"/>
          <w:szCs w:val="22"/>
          <w:highlight w:val="none"/>
        </w:rPr>
        <w:fldChar w:fldCharType="separate"/>
      </w:r>
      <w:r>
        <w:rPr>
          <w:rFonts w:hint="eastAsia" w:ascii="宋体" w:hAnsi="宋体" w:cs="宋体"/>
          <w:szCs w:val="28"/>
          <w:highlight w:val="none"/>
        </w:rPr>
        <w:t>（五）信誉</w:t>
      </w:r>
      <w:r>
        <w:tab/>
      </w:r>
      <w:r>
        <w:fldChar w:fldCharType="begin"/>
      </w:r>
      <w:r>
        <w:instrText xml:space="preserve"> PAGEREF _Toc1277 \h </w:instrText>
      </w:r>
      <w:r>
        <w:fldChar w:fldCharType="separate"/>
      </w:r>
      <w:r>
        <w:t>78</w:t>
      </w:r>
      <w:r>
        <w:fldChar w:fldCharType="end"/>
      </w:r>
      <w:r>
        <w:rPr>
          <w:rFonts w:hint="eastAsia" w:ascii="宋体" w:hAnsi="宋体" w:eastAsia="宋体" w:cs="宋体"/>
          <w:color w:val="auto"/>
          <w:szCs w:val="22"/>
          <w:highlight w:val="none"/>
        </w:rPr>
        <w:fldChar w:fldCharType="end"/>
      </w:r>
    </w:p>
    <w:p>
      <w:pPr>
        <w:pStyle w:val="23"/>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_Toc14985 </w:instrText>
      </w:r>
      <w:r>
        <w:rPr>
          <w:rFonts w:hint="eastAsia" w:ascii="宋体" w:hAnsi="宋体" w:eastAsia="宋体" w:cs="宋体"/>
          <w:szCs w:val="22"/>
          <w:highlight w:val="none"/>
        </w:rPr>
        <w:fldChar w:fldCharType="separate"/>
      </w:r>
      <w:r>
        <w:rPr>
          <w:rFonts w:hint="eastAsia" w:ascii="宋体" w:hAnsi="宋体" w:cs="宋体"/>
          <w:szCs w:val="28"/>
          <w:highlight w:val="none"/>
        </w:rPr>
        <w:t>（六）其他资格审查资料</w:t>
      </w:r>
      <w:r>
        <w:tab/>
      </w:r>
      <w:r>
        <w:fldChar w:fldCharType="begin"/>
      </w:r>
      <w:r>
        <w:instrText xml:space="preserve"> PAGEREF _Toc14985 \h </w:instrText>
      </w:r>
      <w:r>
        <w:fldChar w:fldCharType="separate"/>
      </w:r>
      <w:r>
        <w:t>78</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_Toc16122 </w:instrText>
      </w:r>
      <w:r>
        <w:rPr>
          <w:rFonts w:hint="eastAsia" w:ascii="宋体" w:hAnsi="宋体" w:eastAsia="宋体" w:cs="宋体"/>
          <w:szCs w:val="22"/>
          <w:highlight w:val="none"/>
        </w:rPr>
        <w:fldChar w:fldCharType="separate"/>
      </w:r>
      <w:r>
        <w:rPr>
          <w:rFonts w:hint="eastAsia" w:ascii="宋体" w:hAnsi="宋体" w:cs="宋体"/>
          <w:bCs/>
          <w:szCs w:val="28"/>
          <w:highlight w:val="none"/>
        </w:rPr>
        <w:t>十、其他材料</w:t>
      </w:r>
      <w:r>
        <w:tab/>
      </w:r>
      <w:r>
        <w:fldChar w:fldCharType="begin"/>
      </w:r>
      <w:r>
        <w:instrText xml:space="preserve"> PAGEREF _Toc16122 \h </w:instrText>
      </w:r>
      <w:r>
        <w:fldChar w:fldCharType="separate"/>
      </w:r>
      <w:r>
        <w:t>79</w:t>
      </w:r>
      <w:r>
        <w:fldChar w:fldCharType="end"/>
      </w:r>
      <w:r>
        <w:rPr>
          <w:rFonts w:hint="eastAsia" w:ascii="宋体" w:hAnsi="宋体" w:eastAsia="宋体" w:cs="宋体"/>
          <w:color w:val="auto"/>
          <w:szCs w:val="22"/>
          <w:highlight w:val="none"/>
        </w:rPr>
        <w:fldChar w:fldCharType="end"/>
      </w:r>
    </w:p>
    <w:p>
      <w:pPr>
        <w:pStyle w:val="38"/>
        <w:keepNext w:val="0"/>
        <w:keepLines w:val="0"/>
        <w:pageBreakBefore w:val="0"/>
        <w:widowControl w:val="0"/>
        <w:tabs>
          <w:tab w:val="right" w:leader="dot" w:pos="9355"/>
        </w:tabs>
        <w:kinsoku/>
        <w:wordWrap/>
        <w:overflowPunct/>
        <w:topLinePunct w:val="0"/>
        <w:autoSpaceDE/>
        <w:autoSpaceDN/>
        <w:bidi w:val="0"/>
        <w:adjustRightInd/>
        <w:snapToGrid/>
        <w:spacing w:line="360" w:lineRule="auto"/>
        <w:ind w:left="0" w:leftChars="0" w:firstLine="420" w:firstLineChars="200"/>
        <w:textAlignment w:val="auto"/>
      </w:pPr>
      <w:r>
        <w:rPr>
          <w:rFonts w:hint="eastAsia" w:ascii="宋体" w:hAnsi="宋体" w:eastAsia="宋体" w:cs="宋体"/>
          <w:color w:val="auto"/>
          <w:szCs w:val="22"/>
          <w:highlight w:val="none"/>
        </w:rPr>
        <w:fldChar w:fldCharType="begin"/>
      </w:r>
      <w:r>
        <w:rPr>
          <w:rFonts w:hint="eastAsia" w:ascii="宋体" w:hAnsi="宋体" w:eastAsia="宋体" w:cs="宋体"/>
          <w:szCs w:val="22"/>
          <w:highlight w:val="none"/>
        </w:rPr>
        <w:instrText xml:space="preserve"> HYPERLINK \l _Toc15447 </w:instrText>
      </w:r>
      <w:r>
        <w:rPr>
          <w:rFonts w:hint="eastAsia" w:ascii="宋体" w:hAnsi="宋体" w:eastAsia="宋体" w:cs="宋体"/>
          <w:szCs w:val="22"/>
          <w:highlight w:val="none"/>
        </w:rPr>
        <w:fldChar w:fldCharType="separate"/>
      </w:r>
      <w:r>
        <w:rPr>
          <w:rFonts w:hint="eastAsia" w:ascii="宋体" w:hAnsi="宋体" w:cs="宋体"/>
          <w:bCs/>
          <w:szCs w:val="28"/>
          <w:highlight w:val="none"/>
        </w:rPr>
        <w:t>十一、 施工组织设计</w:t>
      </w:r>
      <w:r>
        <w:tab/>
      </w:r>
      <w:r>
        <w:fldChar w:fldCharType="begin"/>
      </w:r>
      <w:r>
        <w:instrText xml:space="preserve"> PAGEREF _Toc15447 \h </w:instrText>
      </w:r>
      <w:r>
        <w:fldChar w:fldCharType="separate"/>
      </w:r>
      <w:r>
        <w:t>80</w:t>
      </w:r>
      <w:r>
        <w:fldChar w:fldCharType="end"/>
      </w:r>
      <w:r>
        <w:rPr>
          <w:rFonts w:hint="eastAsia" w:ascii="宋体" w:hAnsi="宋体" w:eastAsia="宋体" w:cs="宋体"/>
          <w:color w:val="auto"/>
          <w:szCs w:val="22"/>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2"/>
          <w:highlight w:val="none"/>
        </w:rPr>
        <w:fldChar w:fldCharType="end"/>
      </w:r>
    </w:p>
    <w:p>
      <w:pPr>
        <w:spacing w:line="360" w:lineRule="auto"/>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8"/>
        <w:ind w:firstLine="560"/>
        <w:rPr>
          <w:rFonts w:hint="eastAsia" w:ascii="宋体" w:hAnsi="宋体" w:cs="宋体"/>
          <w:color w:val="auto"/>
          <w:highlight w:val="none"/>
        </w:rPr>
      </w:pPr>
    </w:p>
    <w:p>
      <w:pPr>
        <w:rPr>
          <w:rFonts w:hint="eastAsia"/>
        </w:rPr>
      </w:pPr>
    </w:p>
    <w:p>
      <w:pPr>
        <w:pStyle w:val="48"/>
        <w:ind w:firstLine="560"/>
        <w:rPr>
          <w:rFonts w:hint="eastAsia" w:ascii="宋体" w:hAnsi="宋体" w:cs="宋体"/>
          <w:color w:val="auto"/>
          <w:highlight w:val="none"/>
        </w:rPr>
      </w:pPr>
    </w:p>
    <w:p>
      <w:pPr>
        <w:pStyle w:val="48"/>
        <w:ind w:firstLine="560"/>
        <w:rPr>
          <w:rFonts w:hint="eastAsia" w:ascii="宋体" w:hAnsi="宋体" w:cs="宋体"/>
          <w:color w:val="auto"/>
          <w:highlight w:val="none"/>
        </w:rPr>
      </w:pPr>
    </w:p>
    <w:p>
      <w:pPr>
        <w:rPr>
          <w:rFonts w:hint="eastAsia" w:ascii="宋体" w:hAnsi="宋体" w:cs="宋体"/>
          <w:b/>
          <w:bCs/>
          <w:color w:val="auto"/>
          <w:kern w:val="44"/>
          <w:sz w:val="36"/>
          <w:szCs w:val="36"/>
          <w:highlight w:val="none"/>
        </w:rPr>
      </w:pPr>
      <w:bookmarkStart w:id="9" w:name="_Toc16651"/>
      <w:bookmarkStart w:id="10" w:name="_Toc25419"/>
      <w:r>
        <w:rPr>
          <w:rFonts w:hint="eastAsia" w:ascii="宋体" w:hAnsi="宋体" w:cs="宋体"/>
          <w:b/>
          <w:bCs/>
          <w:color w:val="auto"/>
          <w:kern w:val="44"/>
          <w:sz w:val="36"/>
          <w:szCs w:val="36"/>
          <w:highlight w:val="none"/>
        </w:rPr>
        <w:br w:type="page"/>
      </w:r>
    </w:p>
    <w:p>
      <w:pPr>
        <w:numPr>
          <w:ilvl w:val="0"/>
          <w:numId w:val="1"/>
        </w:numPr>
        <w:spacing w:line="360" w:lineRule="auto"/>
        <w:ind w:firstLine="0"/>
        <w:jc w:val="center"/>
        <w:outlineLvl w:val="0"/>
        <w:rPr>
          <w:rFonts w:hint="eastAsia" w:ascii="宋体" w:hAnsi="宋体" w:cs="宋体"/>
          <w:b/>
          <w:bCs/>
          <w:color w:val="auto"/>
          <w:kern w:val="44"/>
          <w:sz w:val="36"/>
          <w:szCs w:val="36"/>
          <w:highlight w:val="none"/>
        </w:rPr>
      </w:pPr>
      <w:r>
        <w:rPr>
          <w:rFonts w:hint="eastAsia" w:ascii="宋体" w:hAnsi="宋体" w:cs="宋体"/>
          <w:b/>
          <w:bCs/>
          <w:color w:val="auto"/>
          <w:kern w:val="44"/>
          <w:sz w:val="36"/>
          <w:szCs w:val="36"/>
          <w:highlight w:val="none"/>
        </w:rPr>
        <w:t>招标公告</w:t>
      </w:r>
      <w:bookmarkEnd w:id="9"/>
      <w:bookmarkEnd w:id="10"/>
    </w:p>
    <w:bookmarkEnd w:id="6"/>
    <w:p>
      <w:pPr>
        <w:spacing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社旗县山陕会馆消防工程</w:t>
      </w:r>
      <w:r>
        <w:rPr>
          <w:rFonts w:hint="eastAsia" w:ascii="宋体" w:hAnsi="宋体" w:cs="宋体"/>
          <w:b/>
          <w:bCs/>
          <w:color w:val="auto"/>
          <w:sz w:val="30"/>
          <w:szCs w:val="30"/>
          <w:highlight w:val="none"/>
        </w:rPr>
        <w:t>招标公告</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eastAsia="zh-CN"/>
        </w:rPr>
        <w:t>1.招标条件</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val="en-US" w:eastAsia="zh-CN"/>
        </w:rPr>
      </w:pPr>
      <w:r>
        <w:rPr>
          <w:rFonts w:hint="eastAsia"/>
          <w:color w:val="auto"/>
          <w:kern w:val="2"/>
          <w:sz w:val="22"/>
          <w:szCs w:val="22"/>
          <w:highlight w:val="none"/>
          <w:lang w:eastAsia="zh-CN"/>
        </w:rPr>
        <w:t>本招标项目</w:t>
      </w:r>
      <w:r>
        <w:rPr>
          <w:rFonts w:hint="eastAsia"/>
          <w:color w:val="auto"/>
          <w:kern w:val="2"/>
          <w:sz w:val="22"/>
          <w:szCs w:val="22"/>
          <w:highlight w:val="none"/>
          <w:u w:val="single"/>
          <w:lang w:eastAsia="zh-CN"/>
        </w:rPr>
        <w:t>社旗县山陕会馆消防工程</w:t>
      </w:r>
      <w:r>
        <w:rPr>
          <w:rFonts w:hint="eastAsia"/>
          <w:color w:val="auto"/>
          <w:kern w:val="2"/>
          <w:sz w:val="22"/>
          <w:szCs w:val="22"/>
          <w:highlight w:val="none"/>
          <w:lang w:eastAsia="zh-CN"/>
        </w:rPr>
        <w:t>已由相关部门批准建设，建设资金为</w:t>
      </w:r>
      <w:r>
        <w:rPr>
          <w:rFonts w:hint="eastAsia"/>
          <w:color w:val="auto"/>
          <w:kern w:val="2"/>
          <w:sz w:val="22"/>
          <w:szCs w:val="22"/>
          <w:highlight w:val="none"/>
          <w:u w:val="single"/>
          <w:lang w:eastAsia="zh-CN"/>
        </w:rPr>
        <w:t>财政资金</w:t>
      </w:r>
      <w:r>
        <w:rPr>
          <w:rFonts w:hint="eastAsia"/>
          <w:color w:val="auto"/>
          <w:kern w:val="2"/>
          <w:sz w:val="22"/>
          <w:szCs w:val="22"/>
          <w:highlight w:val="none"/>
          <w:lang w:eastAsia="zh-CN"/>
        </w:rPr>
        <w:t>，资金来源已落实。招标人为</w:t>
      </w:r>
      <w:r>
        <w:rPr>
          <w:rFonts w:hint="eastAsia"/>
          <w:color w:val="auto"/>
          <w:kern w:val="2"/>
          <w:sz w:val="22"/>
          <w:szCs w:val="22"/>
          <w:highlight w:val="none"/>
          <w:u w:val="single"/>
          <w:lang w:eastAsia="zh-CN"/>
        </w:rPr>
        <w:t>社旗县文化广电和旅游局</w:t>
      </w:r>
      <w:r>
        <w:rPr>
          <w:rFonts w:hint="eastAsia"/>
          <w:color w:val="auto"/>
          <w:kern w:val="2"/>
          <w:sz w:val="22"/>
          <w:szCs w:val="22"/>
          <w:highlight w:val="none"/>
          <w:lang w:eastAsia="zh-CN"/>
        </w:rPr>
        <w:t>，招标代理机构为</w:t>
      </w:r>
      <w:r>
        <w:rPr>
          <w:rFonts w:hint="eastAsia"/>
          <w:color w:val="auto"/>
          <w:kern w:val="2"/>
          <w:sz w:val="22"/>
          <w:szCs w:val="22"/>
          <w:highlight w:val="none"/>
          <w:u w:val="single"/>
          <w:lang w:eastAsia="zh-CN"/>
        </w:rPr>
        <w:t>河南首泰工程咨询有限公司</w:t>
      </w:r>
      <w:r>
        <w:rPr>
          <w:rFonts w:hint="eastAsia"/>
          <w:color w:val="auto"/>
          <w:kern w:val="2"/>
          <w:sz w:val="22"/>
          <w:szCs w:val="22"/>
          <w:highlight w:val="none"/>
          <w:lang w:eastAsia="zh-CN"/>
        </w:rPr>
        <w:t>。项目已具备招标条件，现对本项目进行国内公开招标。本次招标采用全流程电子辅助招投标，远程异地评标。</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eastAsia="zh-CN"/>
        </w:rPr>
        <w:t>2.项目概况与招标范围</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2.1项目名称：社旗县山陕会馆消防工程</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2.2项目编号：</w:t>
      </w:r>
      <w:r>
        <w:rPr>
          <w:rFonts w:hint="eastAsia"/>
          <w:color w:val="auto"/>
          <w:kern w:val="2"/>
          <w:sz w:val="22"/>
          <w:szCs w:val="22"/>
          <w:highlight w:val="none"/>
          <w:lang w:val="en-US" w:eastAsia="zh-CN"/>
        </w:rPr>
        <w:t xml:space="preserve"> E4113271327000004</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default" w:ascii="宋体" w:hAnsi="宋体" w:eastAsia="宋体" w:cs="宋体"/>
          <w:color w:val="auto"/>
          <w:kern w:val="2"/>
          <w:sz w:val="22"/>
          <w:szCs w:val="22"/>
          <w:highlight w:val="none"/>
          <w:lang w:val="en-US" w:eastAsia="zh-CN"/>
        </w:rPr>
      </w:pPr>
      <w:r>
        <w:rPr>
          <w:rFonts w:hint="eastAsia"/>
          <w:color w:val="auto"/>
          <w:kern w:val="2"/>
          <w:sz w:val="22"/>
          <w:szCs w:val="22"/>
          <w:highlight w:val="none"/>
          <w:lang w:val="en-US" w:eastAsia="zh-CN"/>
        </w:rPr>
        <w:t>2.3项目概况：本项目为社旗县山陕会馆消防工程，主要建设内容包括：山陕会馆内单体建筑火灾自动报警及消防联动系统、消防室外电气管网、泵房配电、应急照明系统、消防电源监控系统、电气火灾监控系统；室外消火栓系统、室内消火栓系统、灭火器配置、多功能细水雾灭火装置配置；消防水池、消防泵房土建及安装工程，地下一层，地上一层，总建筑面积为155.33平方米，深基坑支护工程等等。</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val="en-US" w:eastAsia="zh-CN"/>
        </w:rPr>
      </w:pPr>
      <w:r>
        <w:rPr>
          <w:rFonts w:hint="eastAsia"/>
          <w:color w:val="auto"/>
          <w:kern w:val="2"/>
          <w:sz w:val="22"/>
          <w:szCs w:val="22"/>
          <w:highlight w:val="none"/>
          <w:lang w:val="en-US" w:eastAsia="zh-CN"/>
        </w:rPr>
        <w:t>2.4项目地点：社旗县</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default"/>
          <w:color w:val="auto"/>
          <w:kern w:val="2"/>
          <w:sz w:val="22"/>
          <w:szCs w:val="22"/>
          <w:highlight w:val="none"/>
          <w:lang w:val="en-US" w:eastAsia="zh-CN"/>
        </w:rPr>
      </w:pPr>
      <w:r>
        <w:rPr>
          <w:rFonts w:hint="eastAsia"/>
          <w:color w:val="auto"/>
          <w:kern w:val="2"/>
          <w:sz w:val="22"/>
          <w:szCs w:val="22"/>
          <w:highlight w:val="none"/>
          <w:lang w:eastAsia="zh-CN"/>
        </w:rPr>
        <w:t>2.</w:t>
      </w:r>
      <w:r>
        <w:rPr>
          <w:rFonts w:hint="eastAsia"/>
          <w:color w:val="auto"/>
          <w:kern w:val="2"/>
          <w:sz w:val="22"/>
          <w:szCs w:val="22"/>
          <w:highlight w:val="none"/>
          <w:lang w:val="en-US" w:eastAsia="zh-CN"/>
        </w:rPr>
        <w:t>5</w:t>
      </w:r>
      <w:r>
        <w:rPr>
          <w:rFonts w:hint="eastAsia"/>
          <w:color w:val="auto"/>
          <w:kern w:val="2"/>
          <w:sz w:val="22"/>
          <w:szCs w:val="22"/>
          <w:highlight w:val="none"/>
          <w:lang w:eastAsia="zh-CN"/>
        </w:rPr>
        <w:t>招标范围：工程量清单及招标文件约定范围内的所有内容；</w:t>
      </w:r>
      <w:r>
        <w:rPr>
          <w:rFonts w:hint="eastAsia"/>
          <w:color w:val="auto"/>
          <w:kern w:val="2"/>
          <w:sz w:val="22"/>
          <w:szCs w:val="22"/>
          <w:highlight w:val="none"/>
          <w:lang w:val="en-US" w:eastAsia="zh-CN"/>
        </w:rPr>
        <w:t xml:space="preserve">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2.</w:t>
      </w:r>
      <w:r>
        <w:rPr>
          <w:rFonts w:hint="eastAsia"/>
          <w:color w:val="auto"/>
          <w:kern w:val="2"/>
          <w:sz w:val="22"/>
          <w:szCs w:val="22"/>
          <w:highlight w:val="none"/>
          <w:lang w:val="en-US" w:eastAsia="zh-CN"/>
        </w:rPr>
        <w:t>6</w:t>
      </w:r>
      <w:r>
        <w:rPr>
          <w:rFonts w:hint="eastAsia"/>
          <w:color w:val="auto"/>
          <w:kern w:val="2"/>
          <w:sz w:val="22"/>
          <w:szCs w:val="22"/>
          <w:highlight w:val="none"/>
          <w:lang w:eastAsia="zh-CN"/>
        </w:rPr>
        <w:t>工期:</w:t>
      </w:r>
      <w:r>
        <w:rPr>
          <w:rFonts w:hint="eastAsia"/>
          <w:color w:val="auto"/>
          <w:kern w:val="2"/>
          <w:sz w:val="22"/>
          <w:szCs w:val="22"/>
          <w:highlight w:val="none"/>
          <w:lang w:val="en-US" w:eastAsia="zh-CN"/>
        </w:rPr>
        <w:t xml:space="preserve"> 270日历天</w:t>
      </w:r>
      <w:r>
        <w:rPr>
          <w:rFonts w:hint="eastAsia"/>
          <w:color w:val="auto"/>
          <w:kern w:val="2"/>
          <w:sz w:val="22"/>
          <w:szCs w:val="22"/>
          <w:highlight w:val="none"/>
          <w:lang w:eastAsia="zh-CN"/>
        </w:rPr>
        <w:t xml:space="preserve">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2.</w:t>
      </w:r>
      <w:r>
        <w:rPr>
          <w:rFonts w:hint="eastAsia"/>
          <w:color w:val="auto"/>
          <w:kern w:val="2"/>
          <w:sz w:val="22"/>
          <w:szCs w:val="22"/>
          <w:highlight w:val="none"/>
          <w:lang w:val="en-US" w:eastAsia="zh-CN"/>
        </w:rPr>
        <w:t>7</w:t>
      </w:r>
      <w:r>
        <w:rPr>
          <w:rFonts w:hint="eastAsia"/>
          <w:color w:val="auto"/>
          <w:kern w:val="2"/>
          <w:sz w:val="22"/>
          <w:szCs w:val="22"/>
          <w:highlight w:val="none"/>
          <w:lang w:eastAsia="zh-CN"/>
        </w:rPr>
        <w:t>质量要求：合格</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default"/>
          <w:color w:val="auto"/>
          <w:kern w:val="2"/>
          <w:sz w:val="22"/>
          <w:szCs w:val="22"/>
          <w:highlight w:val="none"/>
          <w:lang w:val="en-US" w:eastAsia="zh-CN"/>
        </w:rPr>
      </w:pPr>
      <w:r>
        <w:rPr>
          <w:rFonts w:hint="eastAsia"/>
          <w:color w:val="auto"/>
          <w:kern w:val="2"/>
          <w:sz w:val="22"/>
          <w:szCs w:val="22"/>
          <w:highlight w:val="none"/>
          <w:lang w:eastAsia="zh-CN"/>
        </w:rPr>
        <w:t>2.</w:t>
      </w:r>
      <w:r>
        <w:rPr>
          <w:rFonts w:hint="eastAsia"/>
          <w:color w:val="auto"/>
          <w:kern w:val="2"/>
          <w:sz w:val="22"/>
          <w:szCs w:val="22"/>
          <w:highlight w:val="none"/>
          <w:lang w:val="en-US" w:eastAsia="zh-CN"/>
        </w:rPr>
        <w:t>8</w:t>
      </w:r>
      <w:r>
        <w:rPr>
          <w:rFonts w:hint="eastAsia"/>
          <w:color w:val="auto"/>
          <w:kern w:val="2"/>
          <w:sz w:val="22"/>
          <w:szCs w:val="22"/>
          <w:highlight w:val="none"/>
          <w:lang w:eastAsia="zh-CN"/>
        </w:rPr>
        <w:t>标段划分：本项目招标共划分为一个标段</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val="en-US" w:eastAsia="zh-CN"/>
        </w:rPr>
        <w:t>3.投标人资格要求</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3.1投标人须具备独立法人资格、具有有效的统一社会信用代码的营业执照；</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3.</w:t>
      </w:r>
      <w:r>
        <w:rPr>
          <w:rFonts w:hint="eastAsia"/>
          <w:color w:val="auto"/>
          <w:kern w:val="2"/>
          <w:sz w:val="22"/>
          <w:szCs w:val="22"/>
          <w:highlight w:val="none"/>
          <w:lang w:val="en-US" w:eastAsia="zh-CN"/>
        </w:rPr>
        <w:t>2</w:t>
      </w:r>
      <w:r>
        <w:rPr>
          <w:rFonts w:hint="eastAsia"/>
          <w:color w:val="auto"/>
          <w:kern w:val="2"/>
          <w:sz w:val="22"/>
          <w:szCs w:val="22"/>
          <w:highlight w:val="none"/>
          <w:lang w:eastAsia="zh-CN"/>
        </w:rPr>
        <w:t>投标人须具备建设行政主管部门核发的消防设施工程专业承包一级资质和古建筑工程专业承包二级及以上资质，具有有效的安全生产许可证，并在人员、设备、资金等方面具备相应的施工能力；</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3.3投标人拟派项目经理须具有机电工程专业贰级及以上注册建造师执业资格（不含临时执业证）同时具备安全生产考核合格证书，且未担任其他在建工程项目的项目经理，并出具无在建项目承诺函；</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3.</w:t>
      </w:r>
      <w:r>
        <w:rPr>
          <w:rFonts w:hint="eastAsia"/>
          <w:color w:val="auto"/>
          <w:kern w:val="2"/>
          <w:sz w:val="22"/>
          <w:szCs w:val="22"/>
          <w:highlight w:val="none"/>
          <w:lang w:val="en-US" w:eastAsia="zh-CN"/>
        </w:rPr>
        <w:t>4</w:t>
      </w:r>
      <w:r>
        <w:rPr>
          <w:rFonts w:hint="eastAsia"/>
          <w:color w:val="auto"/>
          <w:kern w:val="2"/>
          <w:sz w:val="22"/>
          <w:szCs w:val="22"/>
          <w:highlight w:val="none"/>
          <w:lang w:eastAsia="zh-CN"/>
        </w:rPr>
        <w:t>投标人近三年财务状况良好，信誉良好（须提供20</w:t>
      </w:r>
      <w:r>
        <w:rPr>
          <w:rFonts w:hint="eastAsia"/>
          <w:color w:val="auto"/>
          <w:kern w:val="2"/>
          <w:sz w:val="22"/>
          <w:szCs w:val="22"/>
          <w:highlight w:val="none"/>
          <w:lang w:val="en-US" w:eastAsia="zh-CN"/>
        </w:rPr>
        <w:t>21</w:t>
      </w:r>
      <w:r>
        <w:rPr>
          <w:rFonts w:hint="eastAsia"/>
          <w:color w:val="auto"/>
          <w:kern w:val="2"/>
          <w:sz w:val="22"/>
          <w:szCs w:val="22"/>
          <w:highlight w:val="none"/>
          <w:lang w:eastAsia="zh-CN"/>
        </w:rPr>
        <w:t>年、20</w:t>
      </w:r>
      <w:r>
        <w:rPr>
          <w:rFonts w:hint="eastAsia"/>
          <w:color w:val="auto"/>
          <w:kern w:val="2"/>
          <w:sz w:val="22"/>
          <w:szCs w:val="22"/>
          <w:highlight w:val="none"/>
          <w:lang w:val="en-US" w:eastAsia="zh-CN"/>
        </w:rPr>
        <w:t>22</w:t>
      </w:r>
      <w:r>
        <w:rPr>
          <w:rFonts w:hint="eastAsia"/>
          <w:color w:val="auto"/>
          <w:kern w:val="2"/>
          <w:sz w:val="22"/>
          <w:szCs w:val="22"/>
          <w:highlight w:val="none"/>
          <w:lang w:eastAsia="zh-CN"/>
        </w:rPr>
        <w:t>年、202</w:t>
      </w:r>
      <w:r>
        <w:rPr>
          <w:rFonts w:hint="eastAsia"/>
          <w:color w:val="auto"/>
          <w:kern w:val="2"/>
          <w:sz w:val="22"/>
          <w:szCs w:val="22"/>
          <w:highlight w:val="none"/>
          <w:lang w:val="en-US" w:eastAsia="zh-CN"/>
        </w:rPr>
        <w:t>3</w:t>
      </w:r>
      <w:r>
        <w:rPr>
          <w:rFonts w:hint="eastAsia"/>
          <w:color w:val="auto"/>
          <w:kern w:val="2"/>
          <w:sz w:val="22"/>
          <w:szCs w:val="22"/>
          <w:highlight w:val="none"/>
          <w:lang w:eastAsia="zh-CN"/>
        </w:rPr>
        <w:t>年经会计师事务所或审计机构审计的财务报告，成立不足三年企业以实际注册时间为准）；</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3.</w:t>
      </w:r>
      <w:r>
        <w:rPr>
          <w:rFonts w:hint="eastAsia"/>
          <w:color w:val="auto"/>
          <w:kern w:val="2"/>
          <w:sz w:val="22"/>
          <w:szCs w:val="22"/>
          <w:highlight w:val="none"/>
          <w:lang w:val="en-US" w:eastAsia="zh-CN"/>
        </w:rPr>
        <w:t>5</w:t>
      </w:r>
      <w:r>
        <w:rPr>
          <w:rFonts w:hint="eastAsia"/>
          <w:color w:val="auto"/>
          <w:kern w:val="2"/>
          <w:sz w:val="22"/>
          <w:szCs w:val="22"/>
          <w:highlight w:val="none"/>
          <w:lang w:eastAsia="zh-CN"/>
        </w:rPr>
        <w:t>依据财库[2016]125号文件规定，对列入失信被执行人、重大税收违法失信主体、政府采购严重违法失信行为记录名单的投标人，拒绝其参与本项目招投标活动。投标人需提供规范的信用报告，信用报告应通过“信用中国”网站下载，信用报告的生成日期为本项目递交投标文件截止时间前10日内；</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3.</w:t>
      </w:r>
      <w:r>
        <w:rPr>
          <w:rFonts w:hint="eastAsia"/>
          <w:color w:val="auto"/>
          <w:kern w:val="2"/>
          <w:sz w:val="22"/>
          <w:szCs w:val="22"/>
          <w:highlight w:val="none"/>
          <w:lang w:val="en-US" w:eastAsia="zh-CN"/>
        </w:rPr>
        <w:t>6</w:t>
      </w:r>
      <w:r>
        <w:rPr>
          <w:rFonts w:hint="eastAsia"/>
          <w:color w:val="auto"/>
          <w:kern w:val="2"/>
          <w:sz w:val="22"/>
          <w:szCs w:val="22"/>
          <w:highlight w:val="none"/>
          <w:lang w:eastAsia="zh-CN"/>
        </w:rPr>
        <w:t>投标人需提供无行贿行为承诺；</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bookmarkStart w:id="11" w:name="_Hlk82173891"/>
      <w:r>
        <w:rPr>
          <w:rFonts w:hint="eastAsia"/>
          <w:color w:val="auto"/>
          <w:kern w:val="2"/>
          <w:sz w:val="22"/>
          <w:szCs w:val="22"/>
          <w:highlight w:val="none"/>
          <w:lang w:eastAsia="zh-CN"/>
        </w:rPr>
        <w:t>3.</w:t>
      </w:r>
      <w:r>
        <w:rPr>
          <w:rFonts w:hint="eastAsia"/>
          <w:color w:val="auto"/>
          <w:kern w:val="2"/>
          <w:sz w:val="22"/>
          <w:szCs w:val="22"/>
          <w:highlight w:val="none"/>
          <w:lang w:val="en-US" w:eastAsia="zh-CN"/>
        </w:rPr>
        <w:t>7</w:t>
      </w:r>
      <w:r>
        <w:rPr>
          <w:rFonts w:hint="eastAsia"/>
          <w:color w:val="auto"/>
          <w:kern w:val="2"/>
          <w:sz w:val="22"/>
          <w:szCs w:val="22"/>
          <w:highlight w:val="none"/>
          <w:lang w:eastAsia="zh-CN"/>
        </w:rPr>
        <w:t>本次招标不接受联合体投标，不允许转包和分包。</w:t>
      </w:r>
    </w:p>
    <w:bookmarkEnd w:id="11"/>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本项目评标结果公示时，同时公示中标候选人诚信库信息，接受社会监督。</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eastAsia="zh-CN"/>
        </w:rPr>
        <w:t>4</w:t>
      </w:r>
      <w:r>
        <w:rPr>
          <w:rFonts w:hint="eastAsia"/>
          <w:b/>
          <w:bCs/>
          <w:color w:val="auto"/>
          <w:kern w:val="2"/>
          <w:sz w:val="22"/>
          <w:szCs w:val="22"/>
          <w:highlight w:val="none"/>
          <w:lang w:val="en-US" w:eastAsia="zh-CN"/>
        </w:rPr>
        <w:t>.</w:t>
      </w:r>
      <w:r>
        <w:rPr>
          <w:rFonts w:hint="eastAsia"/>
          <w:b/>
          <w:bCs/>
          <w:color w:val="auto"/>
          <w:kern w:val="2"/>
          <w:sz w:val="22"/>
          <w:szCs w:val="22"/>
          <w:highlight w:val="none"/>
          <w:lang w:eastAsia="zh-CN"/>
        </w:rPr>
        <w:t>招标文件的获取</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 xml:space="preserve">4.1企业诚信库注册  </w:t>
      </w:r>
    </w:p>
    <w:p>
      <w:pPr>
        <w:pStyle w:val="43"/>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本项目只接受南阳市公共资源电子交易平台中已加入企业诚信库的企业投标,未入库的投标人请及时办理入库手续。入库办理请参见南阳市公共资源交易中心网站http://ggzyjy.nanyang.gov.cn下载专区《诚信库申报操作手册》，企业办理诚信库不收取任何费用，不需携带原件到南阳市公共资源交易中心进行审核。因未及时办理入库手续导致无法投标的,责任自负。</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4.2办理CA数字证书</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投标企业完成企业诚信库注册后，必须办理CA数字证书方可在网上办理招投标相关业务。CA数字证书办理请参见南阳市公共资源交易中心网站下载专区《CA办理所需资料》。</w:t>
      </w:r>
    </w:p>
    <w:p>
      <w:pPr>
        <w:tabs>
          <w:tab w:val="left" w:pos="425"/>
        </w:tabs>
        <w:spacing w:line="360" w:lineRule="auto"/>
        <w:ind w:firstLine="442" w:firstLineChars="200"/>
        <w:rPr>
          <w:rFonts w:hint="eastAsia" w:ascii="宋体" w:hAnsi="宋体" w:eastAsia="宋体" w:cs="宋体"/>
          <w:b/>
          <w:bCs/>
          <w:sz w:val="22"/>
          <w:szCs w:val="22"/>
          <w:highlight w:val="none"/>
          <w:lang w:eastAsia="zh-CN"/>
        </w:rPr>
      </w:pPr>
      <w:r>
        <w:rPr>
          <w:rFonts w:hint="eastAsia" w:ascii="宋体" w:hAnsi="宋体" w:eastAsia="宋体" w:cs="宋体"/>
          <w:b/>
          <w:bCs/>
          <w:sz w:val="22"/>
          <w:szCs w:val="22"/>
          <w:highlight w:val="none"/>
          <w:lang w:eastAsia="zh-CN"/>
        </w:rPr>
        <w:t>4.</w:t>
      </w:r>
      <w:r>
        <w:rPr>
          <w:rFonts w:hint="eastAsia" w:ascii="宋体" w:hAnsi="宋体" w:eastAsia="宋体" w:cs="宋体"/>
          <w:b/>
          <w:bCs/>
          <w:sz w:val="22"/>
          <w:szCs w:val="22"/>
          <w:highlight w:val="none"/>
          <w:lang w:val="en-US" w:eastAsia="zh-CN"/>
        </w:rPr>
        <w:t>3</w:t>
      </w:r>
      <w:r>
        <w:rPr>
          <w:rFonts w:hint="eastAsia" w:ascii="宋体" w:hAnsi="宋体" w:eastAsia="宋体" w:cs="宋体"/>
          <w:b/>
          <w:bCs/>
          <w:sz w:val="22"/>
          <w:szCs w:val="22"/>
          <w:highlight w:val="none"/>
          <w:lang w:eastAsia="zh-CN"/>
        </w:rPr>
        <w:t>投标保证金</w:t>
      </w:r>
      <w:r>
        <w:rPr>
          <w:rFonts w:hint="eastAsia" w:ascii="宋体" w:hAnsi="宋体" w:cs="宋体"/>
          <w:b/>
          <w:bCs/>
          <w:sz w:val="22"/>
          <w:szCs w:val="22"/>
          <w:highlight w:val="none"/>
          <w:lang w:eastAsia="zh-CN"/>
        </w:rPr>
        <w:t>缴纳</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cs="宋体"/>
          <w:b/>
          <w:bCs/>
          <w:sz w:val="22"/>
          <w:szCs w:val="22"/>
          <w:highlight w:val="none"/>
          <w:lang w:eastAsia="zh-CN"/>
        </w:rPr>
      </w:pPr>
      <w:r>
        <w:rPr>
          <w:rFonts w:hint="eastAsia" w:cs="宋体"/>
          <w:b/>
          <w:bCs/>
          <w:sz w:val="22"/>
          <w:szCs w:val="22"/>
          <w:highlight w:val="none"/>
          <w:lang w:eastAsia="zh-CN"/>
        </w:rPr>
        <w:t>投标保证金：不收取。</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4.</w:t>
      </w:r>
      <w:r>
        <w:rPr>
          <w:rFonts w:hint="eastAsia"/>
          <w:color w:val="auto"/>
          <w:kern w:val="2"/>
          <w:sz w:val="22"/>
          <w:szCs w:val="22"/>
          <w:highlight w:val="none"/>
          <w:lang w:val="en-US" w:eastAsia="zh-CN"/>
        </w:rPr>
        <w:t>4</w:t>
      </w:r>
      <w:r>
        <w:rPr>
          <w:rFonts w:hint="eastAsia"/>
          <w:color w:val="auto"/>
          <w:kern w:val="2"/>
          <w:sz w:val="22"/>
          <w:szCs w:val="22"/>
          <w:highlight w:val="none"/>
          <w:lang w:eastAsia="zh-CN"/>
        </w:rPr>
        <w:t>招标文件获取时间：2024年</w:t>
      </w:r>
      <w:r>
        <w:rPr>
          <w:rFonts w:hint="eastAsia"/>
          <w:color w:val="auto"/>
          <w:kern w:val="2"/>
          <w:sz w:val="22"/>
          <w:szCs w:val="22"/>
          <w:highlight w:val="none"/>
          <w:lang w:val="en-US" w:eastAsia="zh-CN"/>
        </w:rPr>
        <w:t>7</w:t>
      </w:r>
      <w:r>
        <w:rPr>
          <w:rFonts w:hint="eastAsia"/>
          <w:color w:val="auto"/>
          <w:kern w:val="2"/>
          <w:sz w:val="22"/>
          <w:szCs w:val="22"/>
          <w:highlight w:val="none"/>
          <w:lang w:eastAsia="zh-CN"/>
        </w:rPr>
        <w:t>月</w:t>
      </w:r>
      <w:r>
        <w:rPr>
          <w:rFonts w:hint="eastAsia"/>
          <w:color w:val="auto"/>
          <w:kern w:val="2"/>
          <w:sz w:val="22"/>
          <w:szCs w:val="22"/>
          <w:highlight w:val="none"/>
          <w:lang w:val="en-US" w:eastAsia="zh-CN"/>
        </w:rPr>
        <w:t>2</w:t>
      </w:r>
      <w:r>
        <w:rPr>
          <w:rFonts w:hint="eastAsia"/>
          <w:color w:val="auto"/>
          <w:kern w:val="2"/>
          <w:sz w:val="22"/>
          <w:szCs w:val="22"/>
          <w:highlight w:val="none"/>
          <w:lang w:eastAsia="zh-CN"/>
        </w:rPr>
        <w:t>日</w:t>
      </w:r>
      <w:r>
        <w:rPr>
          <w:rFonts w:hint="eastAsia"/>
          <w:color w:val="auto"/>
          <w:kern w:val="2"/>
          <w:sz w:val="22"/>
          <w:szCs w:val="22"/>
          <w:highlight w:val="none"/>
          <w:lang w:val="en-US" w:eastAsia="zh-CN"/>
        </w:rPr>
        <w:t>08</w:t>
      </w:r>
      <w:r>
        <w:rPr>
          <w:rFonts w:hint="eastAsia"/>
          <w:color w:val="auto"/>
          <w:kern w:val="2"/>
          <w:sz w:val="22"/>
          <w:szCs w:val="22"/>
          <w:highlight w:val="none"/>
          <w:lang w:eastAsia="zh-CN"/>
        </w:rPr>
        <w:t>时</w:t>
      </w:r>
      <w:r>
        <w:rPr>
          <w:rFonts w:hint="eastAsia"/>
          <w:color w:val="auto"/>
          <w:kern w:val="2"/>
          <w:sz w:val="22"/>
          <w:szCs w:val="22"/>
          <w:highlight w:val="none"/>
          <w:lang w:val="en-US" w:eastAsia="zh-CN"/>
        </w:rPr>
        <w:t>00</w:t>
      </w:r>
      <w:r>
        <w:rPr>
          <w:rFonts w:hint="eastAsia"/>
          <w:color w:val="auto"/>
          <w:kern w:val="2"/>
          <w:sz w:val="22"/>
          <w:szCs w:val="22"/>
          <w:highlight w:val="none"/>
          <w:lang w:eastAsia="zh-CN"/>
        </w:rPr>
        <w:t>分至2024年</w:t>
      </w:r>
      <w:r>
        <w:rPr>
          <w:rFonts w:hint="eastAsia"/>
          <w:color w:val="auto"/>
          <w:kern w:val="2"/>
          <w:sz w:val="22"/>
          <w:szCs w:val="22"/>
          <w:highlight w:val="none"/>
          <w:lang w:val="en-US" w:eastAsia="zh-CN"/>
        </w:rPr>
        <w:t>7</w:t>
      </w:r>
      <w:r>
        <w:rPr>
          <w:rFonts w:hint="eastAsia"/>
          <w:color w:val="auto"/>
          <w:kern w:val="2"/>
          <w:sz w:val="22"/>
          <w:szCs w:val="22"/>
          <w:highlight w:val="none"/>
          <w:lang w:eastAsia="zh-CN"/>
        </w:rPr>
        <w:t>月</w:t>
      </w:r>
      <w:r>
        <w:rPr>
          <w:rFonts w:hint="eastAsia"/>
          <w:color w:val="auto"/>
          <w:kern w:val="2"/>
          <w:sz w:val="22"/>
          <w:szCs w:val="22"/>
          <w:highlight w:val="none"/>
          <w:lang w:val="en-US" w:eastAsia="zh-CN"/>
        </w:rPr>
        <w:t>24</w:t>
      </w:r>
      <w:r>
        <w:rPr>
          <w:rFonts w:hint="eastAsia"/>
          <w:color w:val="auto"/>
          <w:kern w:val="2"/>
          <w:sz w:val="22"/>
          <w:szCs w:val="22"/>
          <w:highlight w:val="none"/>
          <w:lang w:eastAsia="zh-CN"/>
        </w:rPr>
        <w:t>日</w:t>
      </w:r>
      <w:r>
        <w:rPr>
          <w:rFonts w:hint="eastAsia"/>
          <w:color w:val="auto"/>
          <w:kern w:val="2"/>
          <w:sz w:val="22"/>
          <w:szCs w:val="22"/>
          <w:highlight w:val="none"/>
          <w:lang w:val="en-US" w:eastAsia="zh-CN"/>
        </w:rPr>
        <w:t>10</w:t>
      </w:r>
      <w:r>
        <w:rPr>
          <w:rFonts w:hint="eastAsia"/>
          <w:color w:val="auto"/>
          <w:kern w:val="2"/>
          <w:sz w:val="22"/>
          <w:szCs w:val="22"/>
          <w:highlight w:val="none"/>
          <w:lang w:eastAsia="zh-CN"/>
        </w:rPr>
        <w:t>时</w:t>
      </w:r>
      <w:r>
        <w:rPr>
          <w:rFonts w:hint="eastAsia"/>
          <w:color w:val="auto"/>
          <w:kern w:val="2"/>
          <w:sz w:val="22"/>
          <w:szCs w:val="22"/>
          <w:highlight w:val="none"/>
          <w:lang w:val="en-US" w:eastAsia="zh-CN"/>
        </w:rPr>
        <w:t>00</w:t>
      </w:r>
      <w:r>
        <w:rPr>
          <w:rFonts w:hint="eastAsia"/>
          <w:color w:val="auto"/>
          <w:kern w:val="2"/>
          <w:sz w:val="22"/>
          <w:szCs w:val="22"/>
          <w:highlight w:val="none"/>
          <w:lang w:eastAsia="zh-CN"/>
        </w:rPr>
        <w:t>分。潜在投标人网上注册成功后，即可在会员系统中直接下载招标文件。</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lang w:eastAsia="zh-CN"/>
        </w:rPr>
      </w:pPr>
      <w:r>
        <w:rPr>
          <w:rFonts w:hint="eastAsia"/>
          <w:color w:val="auto"/>
          <w:kern w:val="2"/>
          <w:sz w:val="22"/>
          <w:szCs w:val="22"/>
          <w:highlight w:val="none"/>
          <w:lang w:eastAsia="zh-CN"/>
        </w:rPr>
        <w:t>4.</w:t>
      </w:r>
      <w:r>
        <w:rPr>
          <w:rFonts w:hint="eastAsia"/>
          <w:color w:val="auto"/>
          <w:kern w:val="2"/>
          <w:sz w:val="22"/>
          <w:szCs w:val="22"/>
          <w:highlight w:val="none"/>
          <w:lang w:val="en-US" w:eastAsia="zh-CN"/>
        </w:rPr>
        <w:t>5</w:t>
      </w:r>
      <w:r>
        <w:rPr>
          <w:rFonts w:hint="eastAsia"/>
          <w:color w:val="auto"/>
          <w:kern w:val="2"/>
          <w:sz w:val="22"/>
          <w:szCs w:val="22"/>
          <w:highlight w:val="none"/>
          <w:lang w:eastAsia="zh-CN"/>
        </w:rPr>
        <w:t>招标文件费用：不收取。</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val="en-US" w:eastAsia="zh-CN"/>
        </w:rPr>
        <w:t>5</w:t>
      </w:r>
      <w:r>
        <w:rPr>
          <w:rFonts w:hint="eastAsia"/>
          <w:b/>
          <w:bCs/>
          <w:color w:val="auto"/>
          <w:kern w:val="2"/>
          <w:sz w:val="22"/>
          <w:szCs w:val="22"/>
          <w:highlight w:val="none"/>
          <w:lang w:eastAsia="zh-CN"/>
        </w:rPr>
        <w:t>.投标截止时间及地点</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val="en-US" w:eastAsia="zh-CN"/>
        </w:rPr>
        <w:t>5</w:t>
      </w:r>
      <w:r>
        <w:rPr>
          <w:rFonts w:hint="eastAsia"/>
          <w:color w:val="auto"/>
          <w:kern w:val="2"/>
          <w:sz w:val="22"/>
          <w:szCs w:val="22"/>
          <w:highlight w:val="none"/>
          <w:lang w:eastAsia="zh-CN"/>
        </w:rPr>
        <w:t>.1时间：2024年</w:t>
      </w:r>
      <w:r>
        <w:rPr>
          <w:rFonts w:hint="eastAsia"/>
          <w:color w:val="auto"/>
          <w:kern w:val="2"/>
          <w:sz w:val="22"/>
          <w:szCs w:val="22"/>
          <w:highlight w:val="none"/>
          <w:lang w:val="en-US" w:eastAsia="zh-CN"/>
        </w:rPr>
        <w:t>7</w:t>
      </w:r>
      <w:r>
        <w:rPr>
          <w:rFonts w:hint="eastAsia"/>
          <w:color w:val="auto"/>
          <w:kern w:val="2"/>
          <w:sz w:val="22"/>
          <w:szCs w:val="22"/>
          <w:highlight w:val="none"/>
          <w:lang w:eastAsia="zh-CN"/>
        </w:rPr>
        <w:t>月</w:t>
      </w:r>
      <w:r>
        <w:rPr>
          <w:rFonts w:hint="eastAsia"/>
          <w:color w:val="auto"/>
          <w:kern w:val="2"/>
          <w:sz w:val="22"/>
          <w:szCs w:val="22"/>
          <w:highlight w:val="none"/>
          <w:lang w:val="en-US" w:eastAsia="zh-CN"/>
        </w:rPr>
        <w:t>24</w:t>
      </w:r>
      <w:r>
        <w:rPr>
          <w:rFonts w:hint="eastAsia"/>
          <w:color w:val="auto"/>
          <w:kern w:val="2"/>
          <w:sz w:val="22"/>
          <w:szCs w:val="22"/>
          <w:highlight w:val="none"/>
          <w:lang w:eastAsia="zh-CN"/>
        </w:rPr>
        <w:t>日</w:t>
      </w:r>
      <w:r>
        <w:rPr>
          <w:rFonts w:hint="eastAsia"/>
          <w:color w:val="auto"/>
          <w:kern w:val="2"/>
          <w:sz w:val="22"/>
          <w:szCs w:val="22"/>
          <w:highlight w:val="none"/>
          <w:lang w:val="en-US" w:eastAsia="zh-CN"/>
        </w:rPr>
        <w:t>10</w:t>
      </w:r>
      <w:r>
        <w:rPr>
          <w:rFonts w:hint="eastAsia"/>
          <w:color w:val="auto"/>
          <w:kern w:val="2"/>
          <w:sz w:val="22"/>
          <w:szCs w:val="22"/>
          <w:highlight w:val="none"/>
          <w:lang w:eastAsia="zh-CN"/>
        </w:rPr>
        <w:t>时</w:t>
      </w:r>
      <w:r>
        <w:rPr>
          <w:rFonts w:hint="eastAsia"/>
          <w:color w:val="auto"/>
          <w:kern w:val="2"/>
          <w:sz w:val="22"/>
          <w:szCs w:val="22"/>
          <w:highlight w:val="none"/>
          <w:lang w:val="en-US" w:eastAsia="zh-CN"/>
        </w:rPr>
        <w:t>00</w:t>
      </w:r>
      <w:r>
        <w:rPr>
          <w:rFonts w:hint="eastAsia"/>
          <w:color w:val="auto"/>
          <w:kern w:val="2"/>
          <w:sz w:val="22"/>
          <w:szCs w:val="22"/>
          <w:highlight w:val="none"/>
          <w:lang w:eastAsia="zh-CN"/>
        </w:rPr>
        <w:t>分（北京时间）</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val="en-US" w:eastAsia="zh-CN"/>
        </w:rPr>
        <w:t>5</w:t>
      </w:r>
      <w:r>
        <w:rPr>
          <w:rFonts w:hint="eastAsia"/>
          <w:color w:val="auto"/>
          <w:kern w:val="2"/>
          <w:sz w:val="22"/>
          <w:szCs w:val="22"/>
          <w:highlight w:val="none"/>
          <w:lang w:eastAsia="zh-CN"/>
        </w:rPr>
        <w:t>.2地点：加密电子投标文件须在投标截止时间前上传至社旗县公共资源交易中心交易系统；加密电子投标文件逾期上传，招标人不予受理。</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val="en-US" w:eastAsia="zh-CN"/>
        </w:rPr>
        <w:t>6</w:t>
      </w:r>
      <w:r>
        <w:rPr>
          <w:rFonts w:hint="eastAsia"/>
          <w:b/>
          <w:bCs/>
          <w:color w:val="auto"/>
          <w:kern w:val="2"/>
          <w:sz w:val="22"/>
          <w:szCs w:val="22"/>
          <w:highlight w:val="none"/>
          <w:lang w:eastAsia="zh-CN"/>
        </w:rPr>
        <w:t>．投标文件的递交及相关事宜</w:t>
      </w:r>
    </w:p>
    <w:p>
      <w:pPr>
        <w:pStyle w:val="43"/>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val="en-US" w:eastAsia="zh-CN"/>
        </w:rPr>
        <w:t>6</w:t>
      </w:r>
      <w:r>
        <w:rPr>
          <w:rFonts w:hint="eastAsia"/>
          <w:color w:val="auto"/>
          <w:kern w:val="2"/>
          <w:sz w:val="22"/>
          <w:szCs w:val="22"/>
          <w:highlight w:val="none"/>
          <w:lang w:eastAsia="zh-CN"/>
        </w:rPr>
        <w:t>.1该项目需要使用不见面开标，告知投标人无需前往现场来参与投标。各投标人根据手册要求，提前做好相关准备工作。附件：操作手册地址(下载专区中自行下载)、不见面开标大厅地址https://ggzyjy.nanyang.gov.cn/BidOpening/bidopeninghallaction/hall/login；</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val="en-US" w:eastAsia="zh-CN"/>
        </w:rPr>
        <w:t>6</w:t>
      </w:r>
      <w:r>
        <w:rPr>
          <w:rFonts w:hint="eastAsia"/>
          <w:color w:val="auto"/>
          <w:kern w:val="2"/>
          <w:sz w:val="22"/>
          <w:szCs w:val="22"/>
          <w:highlight w:val="none"/>
          <w:lang w:eastAsia="zh-CN"/>
        </w:rPr>
        <w:t>.2 该项目自行上传投标文件，无需寄送和递交非加密投标文件光盘等。</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val="en-US" w:eastAsia="zh-CN"/>
        </w:rPr>
        <w:t>6</w:t>
      </w:r>
      <w:r>
        <w:rPr>
          <w:rFonts w:hint="eastAsia"/>
          <w:color w:val="auto"/>
          <w:kern w:val="2"/>
          <w:sz w:val="22"/>
          <w:szCs w:val="22"/>
          <w:highlight w:val="none"/>
          <w:lang w:eastAsia="zh-CN"/>
        </w:rPr>
        <w:t>.3因投标人无需现场参与开标，所有准备工作需要自行到位。开标过程中如遇到紧急事项，可在不见面开标大厅中进行提出异议或文字交流，严重问题可拨打技术支持电话400-998-0000。</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val="en-US" w:eastAsia="zh-CN"/>
        </w:rPr>
        <w:t>6</w:t>
      </w:r>
      <w:r>
        <w:rPr>
          <w:rFonts w:hint="eastAsia"/>
          <w:color w:val="auto"/>
          <w:kern w:val="2"/>
          <w:sz w:val="22"/>
          <w:szCs w:val="22"/>
          <w:highlight w:val="none"/>
          <w:lang w:eastAsia="zh-CN"/>
        </w:rPr>
        <w:t>.4不见面开标过程中，如投标人准备不到位，造成无法及时解密、网络问题等情况造成开标无法继续的，视为该投标人自动放弃投标（30分钟内），将被退回投标文件。</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eastAsia="zh-CN"/>
        </w:rPr>
      </w:pPr>
      <w:r>
        <w:rPr>
          <w:rFonts w:hint="eastAsia"/>
          <w:b/>
          <w:bCs/>
          <w:color w:val="auto"/>
          <w:kern w:val="2"/>
          <w:sz w:val="22"/>
          <w:szCs w:val="22"/>
          <w:highlight w:val="none"/>
          <w:lang w:val="en-US" w:eastAsia="zh-CN"/>
        </w:rPr>
        <w:t>7</w:t>
      </w:r>
      <w:r>
        <w:rPr>
          <w:rFonts w:hint="eastAsia"/>
          <w:b/>
          <w:bCs/>
          <w:color w:val="auto"/>
          <w:kern w:val="2"/>
          <w:sz w:val="22"/>
          <w:szCs w:val="22"/>
          <w:highlight w:val="none"/>
          <w:lang w:eastAsia="zh-CN"/>
        </w:rPr>
        <w:t>．发布公告的媒介</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本次招标公告同时在《中国招标投标公共服务平台》《河南省电子招标投标公共服务平台》《社旗县公共资源交易中心网》上发布。</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2" w:firstLineChars="200"/>
        <w:jc w:val="both"/>
        <w:textAlignment w:val="auto"/>
        <w:rPr>
          <w:rFonts w:hint="eastAsia"/>
          <w:b/>
          <w:bCs/>
          <w:color w:val="auto"/>
          <w:kern w:val="2"/>
          <w:sz w:val="22"/>
          <w:szCs w:val="22"/>
          <w:highlight w:val="none"/>
          <w:lang w:val="en-US" w:eastAsia="zh-CN"/>
        </w:rPr>
      </w:pPr>
      <w:r>
        <w:rPr>
          <w:rFonts w:hint="eastAsia"/>
          <w:b/>
          <w:bCs/>
          <w:color w:val="auto"/>
          <w:kern w:val="2"/>
          <w:sz w:val="22"/>
          <w:szCs w:val="22"/>
          <w:highlight w:val="none"/>
          <w:lang w:val="en-US" w:eastAsia="zh-CN"/>
        </w:rPr>
        <w:t>8.联系方式</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 xml:space="preserve">招标人：社旗县文化广电和旅游局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地  址：</w:t>
      </w:r>
      <w:r>
        <w:rPr>
          <w:rFonts w:hint="eastAsia"/>
          <w:color w:val="auto"/>
          <w:kern w:val="2"/>
          <w:sz w:val="22"/>
          <w:szCs w:val="22"/>
          <w:highlight w:val="none"/>
          <w:lang w:val="en-US" w:eastAsia="zh-CN"/>
        </w:rPr>
        <w:t>社旗县赊店镇红旗路</w:t>
      </w:r>
      <w:r>
        <w:rPr>
          <w:rFonts w:hint="eastAsia"/>
          <w:color w:val="auto"/>
          <w:kern w:val="2"/>
          <w:sz w:val="22"/>
          <w:szCs w:val="22"/>
          <w:highlight w:val="none"/>
          <w:lang w:eastAsia="zh-CN"/>
        </w:rPr>
        <w:t>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val="en-US" w:eastAsia="zh-CN"/>
        </w:rPr>
      </w:pPr>
      <w:r>
        <w:rPr>
          <w:rFonts w:hint="eastAsia"/>
          <w:color w:val="auto"/>
          <w:kern w:val="2"/>
          <w:sz w:val="22"/>
          <w:szCs w:val="22"/>
          <w:highlight w:val="none"/>
          <w:lang w:val="en-US" w:eastAsia="zh-CN"/>
        </w:rPr>
        <w:t xml:space="preserve">联系人：宋剑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val="en-US" w:eastAsia="zh-CN"/>
        </w:rPr>
      </w:pPr>
      <w:r>
        <w:rPr>
          <w:rFonts w:hint="eastAsia"/>
          <w:color w:val="auto"/>
          <w:kern w:val="2"/>
          <w:sz w:val="22"/>
          <w:szCs w:val="22"/>
          <w:highlight w:val="none"/>
          <w:lang w:val="en-US" w:eastAsia="zh-CN"/>
        </w:rPr>
        <w:t>电  话：13938996896</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招标代理机构：河南首泰工程咨询有限公司</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地  址：河南省南阳市宛城区孔明南路建业凯旋广场B座20号楼1109室</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联系人：吴禹</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 xml:space="preserve">电  话：15688197631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监督单位：社旗县财政局</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联系人：李真</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40" w:firstLineChars="200"/>
        <w:jc w:val="both"/>
        <w:textAlignment w:val="auto"/>
        <w:rPr>
          <w:rFonts w:hint="default"/>
          <w:color w:val="auto"/>
          <w:kern w:val="2"/>
          <w:sz w:val="22"/>
          <w:szCs w:val="22"/>
          <w:highlight w:val="none"/>
          <w:lang w:val="en-US" w:eastAsia="zh-CN"/>
        </w:rPr>
      </w:pPr>
      <w:r>
        <w:rPr>
          <w:rFonts w:hint="eastAsia"/>
          <w:color w:val="auto"/>
          <w:kern w:val="2"/>
          <w:sz w:val="22"/>
          <w:szCs w:val="22"/>
          <w:highlight w:val="none"/>
          <w:lang w:eastAsia="zh-CN"/>
        </w:rPr>
        <w:t>电话：</w:t>
      </w:r>
      <w:r>
        <w:rPr>
          <w:rFonts w:hint="eastAsia"/>
          <w:color w:val="auto"/>
          <w:kern w:val="2"/>
          <w:sz w:val="22"/>
          <w:szCs w:val="22"/>
          <w:highlight w:val="none"/>
          <w:lang w:val="en-US" w:eastAsia="zh-CN"/>
        </w:rPr>
        <w:t>0377-83978058</w:t>
      </w:r>
    </w:p>
    <w:p>
      <w:pPr>
        <w:pStyle w:val="43"/>
        <w:spacing w:before="0" w:beforeAutospacing="0" w:after="0" w:afterAutospacing="0" w:line="360" w:lineRule="auto"/>
        <w:jc w:val="both"/>
        <w:rPr>
          <w:rFonts w:hint="eastAsia"/>
          <w:color w:val="auto"/>
          <w:kern w:val="2"/>
          <w:sz w:val="22"/>
          <w:szCs w:val="22"/>
          <w:highlight w:val="none"/>
        </w:rPr>
      </w:pPr>
    </w:p>
    <w:p>
      <w:pPr>
        <w:spacing w:line="360" w:lineRule="auto"/>
        <w:jc w:val="right"/>
        <w:rPr>
          <w:rFonts w:hint="eastAsia"/>
          <w:color w:val="auto"/>
          <w:kern w:val="2"/>
          <w:sz w:val="22"/>
          <w:szCs w:val="22"/>
          <w:highlight w:val="yellow"/>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lang w:eastAsia="zh-CN"/>
        </w:rPr>
        <w:t>2024</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rPr>
        <w:t>日</w:t>
      </w:r>
    </w:p>
    <w:p>
      <w:pPr>
        <w:numPr>
          <w:ilvl w:val="0"/>
          <w:numId w:val="1"/>
        </w:numPr>
        <w:spacing w:line="360" w:lineRule="auto"/>
        <w:ind w:firstLine="0"/>
        <w:jc w:val="center"/>
        <w:outlineLvl w:val="0"/>
        <w:rPr>
          <w:rFonts w:hint="eastAsia" w:ascii="宋体" w:hAnsi="宋体" w:cs="宋体"/>
          <w:color w:val="auto"/>
          <w:sz w:val="36"/>
          <w:szCs w:val="36"/>
          <w:highlight w:val="none"/>
        </w:rPr>
      </w:pPr>
      <w:r>
        <w:rPr>
          <w:rFonts w:hint="eastAsia" w:ascii="宋体" w:hAnsi="宋体" w:cs="宋体"/>
          <w:color w:val="auto"/>
          <w:sz w:val="22"/>
          <w:szCs w:val="22"/>
          <w:highlight w:val="none"/>
        </w:rPr>
        <w:br w:type="page"/>
      </w:r>
      <w:bookmarkStart w:id="12" w:name="_Toc19638"/>
      <w:bookmarkStart w:id="13" w:name="_Toc8080"/>
      <w:r>
        <w:rPr>
          <w:rFonts w:hint="eastAsia" w:ascii="宋体" w:hAnsi="宋体" w:cs="宋体"/>
          <w:b/>
          <w:bCs/>
          <w:color w:val="auto"/>
          <w:kern w:val="44"/>
          <w:sz w:val="36"/>
          <w:szCs w:val="36"/>
          <w:highlight w:val="none"/>
        </w:rPr>
        <w:t>投标人须知</w:t>
      </w:r>
      <w:bookmarkEnd w:id="7"/>
      <w:bookmarkEnd w:id="8"/>
      <w:bookmarkEnd w:id="12"/>
      <w:bookmarkEnd w:id="13"/>
    </w:p>
    <w:p>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投标人须知前附表</w:t>
      </w:r>
    </w:p>
    <w:tbl>
      <w:tblPr>
        <w:tblStyle w:val="49"/>
        <w:tblW w:w="945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01"/>
        <w:gridCol w:w="18"/>
        <w:gridCol w:w="1608"/>
        <w:gridCol w:w="1093"/>
        <w:gridCol w:w="563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101" w:type="dxa"/>
            <w:noWrap w:val="0"/>
            <w:vAlign w:val="center"/>
          </w:tcPr>
          <w:p>
            <w:pPr>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条款号</w:t>
            </w:r>
          </w:p>
        </w:tc>
        <w:tc>
          <w:tcPr>
            <w:tcW w:w="1626" w:type="dxa"/>
            <w:gridSpan w:val="2"/>
            <w:noWrap w:val="0"/>
            <w:vAlign w:val="center"/>
          </w:tcPr>
          <w:p>
            <w:pPr>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条 款 名 称</w:t>
            </w:r>
          </w:p>
        </w:tc>
        <w:tc>
          <w:tcPr>
            <w:tcW w:w="6723" w:type="dxa"/>
            <w:gridSpan w:val="2"/>
            <w:noWrap w:val="0"/>
            <w:vAlign w:val="center"/>
          </w:tcPr>
          <w:p>
            <w:pPr>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编 列 内 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95" w:hRule="atLeast"/>
          <w:jc w:val="center"/>
        </w:trPr>
        <w:tc>
          <w:tcPr>
            <w:tcW w:w="1101" w:type="dxa"/>
            <w:noWrap w:val="0"/>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招标人</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招标人：</w:t>
            </w:r>
            <w:r>
              <w:rPr>
                <w:rFonts w:hint="eastAsia" w:ascii="宋体" w:hAnsi="宋体" w:cs="宋体"/>
                <w:color w:val="auto"/>
                <w:sz w:val="22"/>
                <w:szCs w:val="22"/>
                <w:highlight w:val="none"/>
                <w:lang w:eastAsia="zh-CN"/>
              </w:rPr>
              <w:t>社旗县文化广电和旅游局</w:t>
            </w:r>
            <w:r>
              <w:rPr>
                <w:rFonts w:hint="eastAsia" w:ascii="宋体" w:hAnsi="宋体" w:cs="宋体"/>
                <w:color w:val="auto"/>
                <w:sz w:val="22"/>
                <w:szCs w:val="22"/>
                <w:highlight w:val="none"/>
              </w:rPr>
              <w:t xml:space="preserve">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hint="eastAsia"/>
                <w:color w:val="auto"/>
                <w:kern w:val="2"/>
                <w:sz w:val="22"/>
                <w:szCs w:val="22"/>
                <w:highlight w:val="none"/>
                <w:lang w:eastAsia="zh-CN"/>
              </w:rPr>
            </w:pPr>
            <w:r>
              <w:rPr>
                <w:rFonts w:hint="eastAsia"/>
                <w:color w:val="auto"/>
                <w:kern w:val="2"/>
                <w:sz w:val="22"/>
                <w:szCs w:val="22"/>
                <w:highlight w:val="none"/>
                <w:lang w:eastAsia="zh-CN"/>
              </w:rPr>
              <w:t>地  址：社旗县赊店镇红旗路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hint="eastAsia"/>
                <w:color w:val="auto"/>
                <w:kern w:val="2"/>
                <w:sz w:val="22"/>
                <w:szCs w:val="22"/>
                <w:highlight w:val="none"/>
                <w:lang w:val="en-US" w:eastAsia="zh-CN"/>
              </w:rPr>
            </w:pPr>
            <w:r>
              <w:rPr>
                <w:rFonts w:hint="eastAsia"/>
                <w:color w:val="auto"/>
                <w:kern w:val="2"/>
                <w:sz w:val="22"/>
                <w:szCs w:val="22"/>
                <w:highlight w:val="none"/>
                <w:lang w:val="en-US" w:eastAsia="zh-CN"/>
              </w:rPr>
              <w:t xml:space="preserve">联系人：宋剑 </w:t>
            </w:r>
          </w:p>
          <w:p>
            <w:pPr>
              <w:pStyle w:val="4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cs="宋体"/>
                <w:color w:val="auto"/>
                <w:sz w:val="22"/>
                <w:szCs w:val="22"/>
                <w:highlight w:val="none"/>
              </w:rPr>
            </w:pPr>
            <w:r>
              <w:rPr>
                <w:rFonts w:hint="eastAsia"/>
                <w:color w:val="auto"/>
                <w:kern w:val="2"/>
                <w:sz w:val="22"/>
                <w:szCs w:val="22"/>
                <w:highlight w:val="none"/>
                <w:lang w:val="en-US" w:eastAsia="zh-CN"/>
              </w:rPr>
              <w:t>电  话：13938996896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96" w:hRule="atLeast"/>
          <w:jc w:val="center"/>
        </w:trPr>
        <w:tc>
          <w:tcPr>
            <w:tcW w:w="1101" w:type="dxa"/>
            <w:noWrap w:val="0"/>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招标代理机构</w:t>
            </w:r>
          </w:p>
        </w:tc>
        <w:tc>
          <w:tcPr>
            <w:tcW w:w="6723" w:type="dxa"/>
            <w:gridSpan w:val="2"/>
            <w:noWrap w:val="0"/>
            <w:vAlign w:val="center"/>
          </w:tcPr>
          <w:p>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招标代理机构：</w:t>
            </w:r>
            <w:r>
              <w:rPr>
                <w:rFonts w:hint="eastAsia" w:ascii="宋体" w:hAnsi="宋体" w:cs="宋体"/>
                <w:color w:val="auto"/>
                <w:sz w:val="22"/>
                <w:szCs w:val="22"/>
                <w:highlight w:val="none"/>
                <w:lang w:eastAsia="zh-CN"/>
              </w:rPr>
              <w:t>河南首泰工程咨询有限公司</w:t>
            </w:r>
          </w:p>
          <w:p>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地  址：</w:t>
            </w:r>
            <w:r>
              <w:rPr>
                <w:rFonts w:hint="eastAsia" w:ascii="宋体" w:hAnsi="宋体" w:cs="宋体"/>
                <w:color w:val="auto"/>
                <w:sz w:val="22"/>
                <w:szCs w:val="22"/>
                <w:highlight w:val="none"/>
                <w:lang w:eastAsia="zh-CN"/>
              </w:rPr>
              <w:t>河南省南阳市宛城区孔明南路建业凯旋广场B座20号楼1109室</w:t>
            </w:r>
          </w:p>
          <w:p>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联系人：</w:t>
            </w:r>
            <w:r>
              <w:rPr>
                <w:rFonts w:hint="eastAsia" w:ascii="宋体" w:hAnsi="宋体" w:cs="宋体"/>
                <w:color w:val="auto"/>
                <w:sz w:val="22"/>
                <w:szCs w:val="22"/>
                <w:highlight w:val="none"/>
                <w:lang w:eastAsia="zh-CN"/>
              </w:rPr>
              <w:t>吴禹</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电  话：</w:t>
            </w:r>
            <w:r>
              <w:rPr>
                <w:rFonts w:hint="eastAsia" w:ascii="宋体" w:hAnsi="宋体" w:cs="宋体"/>
                <w:color w:val="auto"/>
                <w:sz w:val="22"/>
                <w:szCs w:val="22"/>
                <w:highlight w:val="none"/>
                <w:lang w:eastAsia="zh-CN"/>
              </w:rPr>
              <w:t>15688197631</w:t>
            </w:r>
            <w:r>
              <w:rPr>
                <w:rFonts w:hint="eastAsia" w:ascii="宋体" w:hAnsi="宋体" w:cs="宋体"/>
                <w:color w:val="auto"/>
                <w:sz w:val="22"/>
                <w:szCs w:val="22"/>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4" w:hRule="atLeast"/>
          <w:jc w:val="center"/>
        </w:trPr>
        <w:tc>
          <w:tcPr>
            <w:tcW w:w="1101" w:type="dxa"/>
            <w:noWrap w:val="0"/>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3</w:t>
            </w:r>
          </w:p>
        </w:tc>
        <w:tc>
          <w:tcPr>
            <w:tcW w:w="1626" w:type="dxa"/>
            <w:gridSpan w:val="2"/>
            <w:noWrap w:val="0"/>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项目名称</w:t>
            </w:r>
          </w:p>
        </w:tc>
        <w:tc>
          <w:tcPr>
            <w:tcW w:w="6723" w:type="dxa"/>
            <w:gridSpan w:val="2"/>
            <w:noWrap w:val="0"/>
            <w:vAlign w:val="center"/>
          </w:tcPr>
          <w:p>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社旗县山陕会馆消防工程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5" w:hRule="exact"/>
          <w:jc w:val="center"/>
        </w:trPr>
        <w:tc>
          <w:tcPr>
            <w:tcW w:w="1101" w:type="dxa"/>
            <w:noWrap w:val="0"/>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4</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建设地点</w:t>
            </w:r>
          </w:p>
        </w:tc>
        <w:tc>
          <w:tcPr>
            <w:tcW w:w="6723" w:type="dxa"/>
            <w:gridSpan w:val="2"/>
            <w:noWrap w:val="0"/>
            <w:vAlign w:val="center"/>
          </w:tcPr>
          <w:p>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社旗县</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8"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1.2.1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资金来源</w:t>
            </w:r>
          </w:p>
        </w:tc>
        <w:tc>
          <w:tcPr>
            <w:tcW w:w="6723" w:type="dxa"/>
            <w:gridSpan w:val="2"/>
            <w:noWrap w:val="0"/>
            <w:vAlign w:val="center"/>
          </w:tcPr>
          <w:p>
            <w:pPr>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财政资金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1.2.2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资金落实情况</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已落实</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5"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1.3.1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招标范围</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工程量清单及招标文件约定范围内的所有内容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8"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1.3.2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工期</w:t>
            </w:r>
          </w:p>
        </w:tc>
        <w:tc>
          <w:tcPr>
            <w:tcW w:w="6723" w:type="dxa"/>
            <w:gridSpan w:val="2"/>
            <w:noWrap w:val="0"/>
            <w:vAlign w:val="center"/>
          </w:tcPr>
          <w:p>
            <w:pPr>
              <w:tabs>
                <w:tab w:val="left" w:pos="502"/>
              </w:tabs>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270日历天</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9"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1.3.3</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质量要求</w:t>
            </w:r>
          </w:p>
        </w:tc>
        <w:tc>
          <w:tcPr>
            <w:tcW w:w="6723" w:type="dxa"/>
            <w:gridSpan w:val="2"/>
            <w:noWrap w:val="0"/>
            <w:vAlign w:val="center"/>
          </w:tcPr>
          <w:p>
            <w:pPr>
              <w:spacing w:line="360" w:lineRule="auto"/>
              <w:ind w:right="2066" w:rightChars="984"/>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合格</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1.4.1</w:t>
            </w:r>
          </w:p>
        </w:tc>
        <w:tc>
          <w:tcPr>
            <w:tcW w:w="1626" w:type="dxa"/>
            <w:gridSpan w:val="2"/>
            <w:noWrap w:val="0"/>
            <w:vAlign w:val="center"/>
          </w:tcPr>
          <w:p>
            <w:pPr>
              <w:spacing w:line="360" w:lineRule="auto"/>
              <w:jc w:val="center"/>
              <w:rPr>
                <w:rFonts w:hint="eastAsia" w:ascii="宋体" w:hAnsi="宋体" w:cs="宋体"/>
                <w:color w:val="auto"/>
                <w:spacing w:val="-8"/>
                <w:sz w:val="22"/>
                <w:szCs w:val="22"/>
                <w:highlight w:val="none"/>
              </w:rPr>
            </w:pPr>
            <w:r>
              <w:rPr>
                <w:rFonts w:hint="eastAsia" w:ascii="宋体" w:hAnsi="宋体" w:cs="宋体"/>
                <w:color w:val="auto"/>
                <w:spacing w:val="-8"/>
                <w:sz w:val="22"/>
                <w:szCs w:val="22"/>
                <w:highlight w:val="none"/>
              </w:rPr>
              <w:t>投标人资质条件、能力和信誉</w:t>
            </w:r>
          </w:p>
        </w:tc>
        <w:tc>
          <w:tcPr>
            <w:tcW w:w="6723" w:type="dxa"/>
            <w:gridSpan w:val="2"/>
            <w:noWrap w:val="0"/>
            <w:vAlign w:val="center"/>
          </w:tcPr>
          <w:p>
            <w:pPr>
              <w:numPr>
                <w:ilvl w:val="0"/>
                <w:numId w:val="2"/>
              </w:numPr>
              <w:autoSpaceDE w:val="0"/>
              <w:autoSpaceDN w:val="0"/>
              <w:adjustRightInd w:val="0"/>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资质条件：</w:t>
            </w:r>
          </w:p>
          <w:p>
            <w:pPr>
              <w:autoSpaceDE w:val="0"/>
              <w:autoSpaceDN w:val="0"/>
              <w:adjustRightInd w:val="0"/>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①投标人须具备独立法人资格、具有有效的统一社会信用代码的营业执照</w:t>
            </w:r>
            <w:r>
              <w:rPr>
                <w:rFonts w:hint="eastAsia" w:ascii="宋体" w:hAnsi="宋体" w:cs="宋体"/>
                <w:color w:val="auto"/>
                <w:kern w:val="0"/>
                <w:sz w:val="22"/>
                <w:szCs w:val="22"/>
                <w:highlight w:val="none"/>
                <w:lang w:bidi="ar"/>
              </w:rPr>
              <w:t>；</w:t>
            </w:r>
            <w:r>
              <w:rPr>
                <w:rFonts w:hint="eastAsia" w:ascii="宋体" w:hAnsi="宋体" w:cs="宋体"/>
                <w:b/>
                <w:color w:val="auto"/>
                <w:sz w:val="22"/>
                <w:szCs w:val="22"/>
                <w:highlight w:val="none"/>
              </w:rPr>
              <w:t>（以企业诚信库“基本信息”中证件扫描件为准）</w:t>
            </w:r>
            <w:r>
              <w:rPr>
                <w:rFonts w:hint="eastAsia" w:ascii="宋体" w:hAnsi="宋体" w:cs="宋体"/>
                <w:color w:val="auto"/>
                <w:sz w:val="22"/>
                <w:szCs w:val="22"/>
                <w:highlight w:val="none"/>
              </w:rPr>
              <w:t>；</w:t>
            </w:r>
          </w:p>
          <w:p>
            <w:pPr>
              <w:pStyle w:val="47"/>
              <w:spacing w:after="0" w:line="360" w:lineRule="auto"/>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②</w:t>
            </w:r>
            <w:r>
              <w:rPr>
                <w:rFonts w:hint="eastAsia" w:ascii="宋体" w:hAnsi="宋体" w:cs="宋体"/>
                <w:color w:val="auto"/>
                <w:sz w:val="22"/>
                <w:szCs w:val="22"/>
                <w:highlight w:val="none"/>
                <w:lang w:eastAsia="zh-CN"/>
              </w:rPr>
              <w:t>投标人须具备建设行政主管部门核发的消防设施工程专业承包一级资质和古建筑工程专业承包二级及以上资质，具有有效的安全生产许可证，并在人员、设备、资金等方面具备相应的施工能力；；</w:t>
            </w:r>
            <w:r>
              <w:rPr>
                <w:rFonts w:hint="eastAsia" w:ascii="宋体" w:hAnsi="宋体" w:cs="宋体"/>
                <w:b/>
                <w:color w:val="auto"/>
                <w:sz w:val="22"/>
                <w:szCs w:val="22"/>
                <w:highlight w:val="none"/>
              </w:rPr>
              <w:t>（以企业诚信库“基本信息”中证件扫描件为准）；</w:t>
            </w:r>
          </w:p>
          <w:p>
            <w:pPr>
              <w:numPr>
                <w:ilvl w:val="0"/>
                <w:numId w:val="2"/>
              </w:numPr>
              <w:autoSpaceDE w:val="0"/>
              <w:autoSpaceDN w:val="0"/>
              <w:adjustRightInd w:val="0"/>
              <w:spacing w:line="360" w:lineRule="auto"/>
              <w:rPr>
                <w:rFonts w:hint="eastAsia" w:ascii="宋体" w:hAnsi="宋体" w:cs="宋体"/>
                <w:b/>
                <w:color w:val="auto"/>
                <w:sz w:val="22"/>
                <w:szCs w:val="22"/>
                <w:highlight w:val="none"/>
              </w:rPr>
            </w:pPr>
            <w:r>
              <w:rPr>
                <w:rFonts w:hint="eastAsia" w:ascii="宋体" w:hAnsi="宋体" w:cs="宋体"/>
                <w:b/>
                <w:color w:val="auto"/>
                <w:sz w:val="22"/>
                <w:szCs w:val="22"/>
                <w:highlight w:val="none"/>
              </w:rPr>
              <w:t>项目</w:t>
            </w:r>
            <w:r>
              <w:rPr>
                <w:rFonts w:hint="eastAsia" w:ascii="宋体" w:hAnsi="宋体" w:cs="宋体"/>
                <w:b/>
                <w:color w:val="auto"/>
                <w:sz w:val="22"/>
                <w:szCs w:val="22"/>
                <w:highlight w:val="none"/>
                <w:lang w:eastAsia="zh-CN"/>
              </w:rPr>
              <w:t>经理</w:t>
            </w:r>
            <w:r>
              <w:rPr>
                <w:rFonts w:hint="eastAsia" w:ascii="宋体" w:hAnsi="宋体" w:cs="宋体"/>
                <w:b/>
                <w:color w:val="auto"/>
                <w:sz w:val="22"/>
                <w:szCs w:val="22"/>
                <w:highlight w:val="none"/>
              </w:rPr>
              <w:t>：</w:t>
            </w:r>
          </w:p>
          <w:p>
            <w:pPr>
              <w:pStyle w:val="2"/>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lang w:eastAsia="zh-CN"/>
              </w:rPr>
              <w:t>投标人拟派项目经理须具有机电工程专业贰级及以上注册建造师执业资格（不含临时执业证）同时具备安全生产考核合格证书，且未担任其他在建工程项目的项目经理，并出具无在建项目承诺函；</w:t>
            </w:r>
            <w:r>
              <w:rPr>
                <w:rFonts w:hint="eastAsia" w:ascii="宋体" w:hAnsi="宋体" w:eastAsia="宋体" w:cs="宋体"/>
                <w:b/>
                <w:color w:val="auto"/>
                <w:sz w:val="22"/>
                <w:szCs w:val="22"/>
                <w:highlight w:val="none"/>
              </w:rPr>
              <w:t>（项目经理证件以企业诚信库 “项目经理”中证件扫描件为准）</w:t>
            </w:r>
            <w:r>
              <w:rPr>
                <w:rFonts w:hint="eastAsia" w:ascii="宋体" w:hAnsi="宋体" w:eastAsia="宋体" w:cs="宋体"/>
                <w:b/>
                <w:color w:val="auto"/>
                <w:sz w:val="22"/>
                <w:szCs w:val="22"/>
                <w:highlight w:val="none"/>
                <w:lang w:eastAsia="zh-CN"/>
              </w:rPr>
              <w:t>；</w:t>
            </w:r>
          </w:p>
          <w:p>
            <w:pPr>
              <w:spacing w:line="360" w:lineRule="auto"/>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lang w:val="en-US" w:eastAsia="zh-CN"/>
              </w:rPr>
              <w:t>）财务要求：</w:t>
            </w:r>
          </w:p>
          <w:p>
            <w:pPr>
              <w:widowControl/>
              <w:spacing w:line="360" w:lineRule="auto"/>
              <w:rPr>
                <w:rFonts w:hint="eastAsia" w:ascii="宋体" w:hAnsi="宋体" w:cs="宋体"/>
                <w:b/>
                <w:color w:val="auto"/>
                <w:sz w:val="22"/>
                <w:szCs w:val="22"/>
                <w:highlight w:val="none"/>
              </w:rPr>
            </w:pPr>
            <w:r>
              <w:rPr>
                <w:rFonts w:hint="eastAsia" w:ascii="宋体" w:hAnsi="宋体" w:cs="宋体"/>
                <w:color w:val="auto"/>
                <w:sz w:val="22"/>
                <w:szCs w:val="22"/>
                <w:highlight w:val="none"/>
              </w:rPr>
              <w:t>投标人近三年财务状况良好，信誉良好（须提供20</w:t>
            </w:r>
            <w:r>
              <w:rPr>
                <w:rFonts w:hint="eastAsia" w:ascii="宋体" w:hAnsi="宋体" w:cs="宋体"/>
                <w:color w:val="auto"/>
                <w:sz w:val="22"/>
                <w:szCs w:val="22"/>
                <w:highlight w:val="none"/>
                <w:lang w:val="en-US" w:eastAsia="zh-CN"/>
              </w:rPr>
              <w:t>21</w:t>
            </w:r>
            <w:r>
              <w:rPr>
                <w:rFonts w:hint="eastAsia" w:ascii="宋体" w:hAnsi="宋体" w:cs="宋体"/>
                <w:color w:val="auto"/>
                <w:sz w:val="22"/>
                <w:szCs w:val="22"/>
                <w:highlight w:val="none"/>
              </w:rPr>
              <w:t>年、20</w:t>
            </w:r>
            <w:r>
              <w:rPr>
                <w:rFonts w:hint="eastAsia" w:ascii="宋体" w:hAnsi="宋体" w:cs="宋体"/>
                <w:color w:val="auto"/>
                <w:sz w:val="22"/>
                <w:szCs w:val="22"/>
                <w:highlight w:val="none"/>
                <w:lang w:val="en-US" w:eastAsia="zh-CN"/>
              </w:rPr>
              <w:t>22</w:t>
            </w:r>
            <w:r>
              <w:rPr>
                <w:rFonts w:hint="eastAsia" w:ascii="宋体" w:hAnsi="宋体" w:cs="宋体"/>
                <w:color w:val="auto"/>
                <w:sz w:val="22"/>
                <w:szCs w:val="22"/>
                <w:highlight w:val="none"/>
              </w:rPr>
              <w:t>年、20</w:t>
            </w:r>
            <w:r>
              <w:rPr>
                <w:rFonts w:hint="eastAsia" w:ascii="宋体" w:hAnsi="宋体" w:cs="宋体"/>
                <w:color w:val="auto"/>
                <w:sz w:val="22"/>
                <w:szCs w:val="22"/>
                <w:highlight w:val="none"/>
                <w:lang w:val="en-US" w:eastAsia="zh-CN"/>
              </w:rPr>
              <w:t>23</w:t>
            </w:r>
            <w:r>
              <w:rPr>
                <w:rFonts w:hint="eastAsia" w:ascii="宋体" w:hAnsi="宋体" w:cs="宋体"/>
                <w:color w:val="auto"/>
                <w:sz w:val="22"/>
                <w:szCs w:val="22"/>
                <w:highlight w:val="none"/>
              </w:rPr>
              <w:t>年经会计师事务所或审计机构审计的财务报告，成立不足三年企业以实际注册时间为准）；</w:t>
            </w:r>
            <w:r>
              <w:rPr>
                <w:rFonts w:hint="eastAsia" w:ascii="宋体" w:hAnsi="宋体" w:cs="宋体"/>
                <w:b/>
                <w:color w:val="auto"/>
                <w:sz w:val="22"/>
                <w:szCs w:val="22"/>
                <w:highlight w:val="none"/>
              </w:rPr>
              <w:t>（以企业诚信库 “企业财务”中审计报告扫描件为准）</w:t>
            </w:r>
          </w:p>
          <w:p>
            <w:pPr>
              <w:spacing w:line="360" w:lineRule="auto"/>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lang w:val="en-US" w:eastAsia="zh-CN"/>
              </w:rPr>
              <w:t>4</w:t>
            </w:r>
            <w:r>
              <w:rPr>
                <w:rFonts w:hint="eastAsia" w:ascii="宋体" w:hAnsi="宋体" w:eastAsia="宋体" w:cs="宋体"/>
                <w:b/>
                <w:color w:val="auto"/>
                <w:sz w:val="22"/>
                <w:szCs w:val="22"/>
                <w:highlight w:val="none"/>
                <w:lang w:val="en-US" w:eastAsia="zh-CN"/>
              </w:rPr>
              <w:t>）信誉要求：</w:t>
            </w:r>
          </w:p>
          <w:p>
            <w:pPr>
              <w:widowControl/>
              <w:spacing w:line="360" w:lineRule="auto"/>
              <w:jc w:val="left"/>
              <w:rPr>
                <w:rFonts w:hint="eastAsia" w:ascii="宋体" w:hAnsi="宋体" w:cs="宋体"/>
                <w:b/>
                <w:bCs/>
                <w:color w:val="auto"/>
                <w:sz w:val="22"/>
                <w:szCs w:val="22"/>
                <w:highlight w:val="none"/>
              </w:rPr>
            </w:pPr>
            <w:r>
              <w:rPr>
                <w:rFonts w:hint="eastAsia" w:ascii="宋体" w:hAnsi="宋体" w:cs="宋体"/>
                <w:color w:val="auto"/>
                <w:sz w:val="22"/>
                <w:szCs w:val="22"/>
                <w:highlight w:val="none"/>
              </w:rPr>
              <w:t>①依据财库[2016]125号文件规定，对列入失信被执行人、重大税收违法案件当事人名单、政府采购严重违法失信行为记录名单的投标人，拒绝其参与本项目招投标活动。投标人需提供规范的信用报告，信用报告应通过“信用中国”网站下载，信用报告的生成日期为本项目递交投标文件截止时间前10日内</w:t>
            </w:r>
            <w:r>
              <w:rPr>
                <w:rFonts w:hint="eastAsia" w:ascii="宋体" w:hAnsi="宋体" w:cs="宋体"/>
                <w:color w:val="auto"/>
                <w:kern w:val="0"/>
                <w:sz w:val="22"/>
                <w:szCs w:val="22"/>
                <w:highlight w:val="none"/>
                <w:lang w:bidi="ar"/>
              </w:rPr>
              <w:t>；</w:t>
            </w:r>
            <w:r>
              <w:rPr>
                <w:rFonts w:hint="eastAsia" w:ascii="宋体" w:hAnsi="宋体" w:cs="宋体"/>
                <w:b/>
                <w:bCs/>
                <w:color w:val="auto"/>
                <w:sz w:val="22"/>
                <w:szCs w:val="22"/>
                <w:highlight w:val="none"/>
              </w:rPr>
              <w:t>（以企业诚信库 “投标所需材料” 中证件扫描件为准）；</w:t>
            </w:r>
          </w:p>
          <w:p>
            <w:pPr>
              <w:pStyle w:val="47"/>
              <w:tabs>
                <w:tab w:val="left" w:pos="444"/>
                <w:tab w:val="clear" w:pos="1740"/>
              </w:tabs>
              <w:spacing w:after="0" w:line="360" w:lineRule="auto"/>
              <w:ind w:firstLine="0" w:firstLineChars="0"/>
              <w:rPr>
                <w:rFonts w:hint="eastAsia"/>
                <w:lang w:eastAsia="zh-CN"/>
              </w:rPr>
            </w:pPr>
            <w:r>
              <w:rPr>
                <w:rFonts w:hint="eastAsia" w:ascii="宋体" w:hAnsi="宋体" w:cs="宋体"/>
                <w:color w:val="auto"/>
                <w:sz w:val="22"/>
                <w:szCs w:val="22"/>
                <w:highlight w:val="none"/>
              </w:rPr>
              <w:t>②投标人需提供无行贿行为承诺；</w:t>
            </w:r>
            <w:r>
              <w:rPr>
                <w:rFonts w:hint="eastAsia" w:ascii="宋体" w:hAnsi="宋体" w:cs="宋体"/>
                <w:b/>
                <w:bCs/>
                <w:color w:val="auto"/>
                <w:sz w:val="22"/>
                <w:szCs w:val="22"/>
                <w:highlight w:val="none"/>
              </w:rPr>
              <w:t>（以企业诚信库“投标所需材料”中证件扫描件为准）</w:t>
            </w:r>
          </w:p>
          <w:p>
            <w:pPr>
              <w:pStyle w:val="48"/>
              <w:spacing w:line="360" w:lineRule="auto"/>
              <w:ind w:left="0" w:leftChars="0" w:firstLine="0" w:firstLineChars="0"/>
              <w:rPr>
                <w:rFonts w:hint="eastAsia"/>
              </w:rPr>
            </w:pPr>
            <w:r>
              <w:rPr>
                <w:rFonts w:hint="eastAsia" w:ascii="宋体" w:hAnsi="宋体" w:cs="宋体"/>
                <w:b/>
                <w:bCs/>
                <w:color w:val="auto"/>
                <w:sz w:val="22"/>
                <w:szCs w:val="22"/>
                <w:highlight w:val="none"/>
                <w:lang w:val="en-US" w:eastAsia="zh-CN"/>
              </w:rPr>
              <w:t>5)</w:t>
            </w:r>
            <w:r>
              <w:rPr>
                <w:rFonts w:hint="eastAsia" w:ascii="宋体" w:hAnsi="宋体" w:cs="宋体"/>
                <w:b/>
                <w:bCs/>
                <w:color w:val="auto"/>
                <w:sz w:val="22"/>
                <w:szCs w:val="22"/>
                <w:highlight w:val="none"/>
              </w:rPr>
              <w:t>其他要求：</w:t>
            </w:r>
          </w:p>
          <w:p>
            <w:pPr>
              <w:widowControl/>
              <w:spacing w:line="360" w:lineRule="auto"/>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fldChar w:fldCharType="begin"/>
            </w:r>
            <w:r>
              <w:rPr>
                <w:rFonts w:hint="eastAsia" w:ascii="宋体" w:hAnsi="宋体" w:cs="宋体"/>
                <w:b/>
                <w:bCs/>
                <w:color w:val="auto"/>
                <w:sz w:val="22"/>
                <w:szCs w:val="22"/>
                <w:highlight w:val="none"/>
              </w:rPr>
              <w:instrText xml:space="preserve"> = 1 \* GB3 \* MERGEFORMAT </w:instrText>
            </w:r>
            <w:r>
              <w:rPr>
                <w:rFonts w:hint="eastAsia" w:ascii="宋体" w:hAnsi="宋体" w:cs="宋体"/>
                <w:b/>
                <w:bCs/>
                <w:color w:val="auto"/>
                <w:sz w:val="22"/>
                <w:szCs w:val="22"/>
                <w:highlight w:val="none"/>
              </w:rPr>
              <w:fldChar w:fldCharType="separate"/>
            </w:r>
            <w:r>
              <w:rPr>
                <w:rFonts w:hint="eastAsia" w:ascii="宋体" w:hAnsi="宋体" w:cs="宋体"/>
                <w:b/>
                <w:bCs/>
                <w:color w:val="auto"/>
                <w:sz w:val="22"/>
                <w:szCs w:val="22"/>
                <w:highlight w:val="none"/>
              </w:rPr>
              <w:t>①</w:t>
            </w:r>
            <w:r>
              <w:rPr>
                <w:rFonts w:hint="eastAsia" w:ascii="宋体" w:hAnsi="宋体" w:cs="宋体"/>
                <w:b/>
                <w:bCs/>
                <w:color w:val="auto"/>
                <w:sz w:val="22"/>
                <w:szCs w:val="22"/>
                <w:highlight w:val="none"/>
              </w:rPr>
              <w:fldChar w:fldCharType="end"/>
            </w:r>
            <w:r>
              <w:rPr>
                <w:rFonts w:hint="eastAsia" w:ascii="宋体" w:hAnsi="宋体" w:cs="宋体"/>
                <w:b/>
                <w:bCs/>
                <w:color w:val="auto"/>
                <w:sz w:val="22"/>
                <w:szCs w:val="22"/>
                <w:highlight w:val="none"/>
              </w:rPr>
              <w:t>以上上传如有问题，可上传至诚信库“投标所需材料”中。</w:t>
            </w:r>
          </w:p>
          <w:p>
            <w:pPr>
              <w:pStyle w:val="47"/>
              <w:spacing w:after="0" w:line="360" w:lineRule="auto"/>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eastAsia="zh-CN"/>
              </w:rPr>
              <w:t>②</w:t>
            </w:r>
            <w:r>
              <w:rPr>
                <w:rFonts w:hint="eastAsia" w:ascii="宋体" w:hAnsi="宋体" w:cs="宋体"/>
                <w:color w:val="auto"/>
                <w:sz w:val="22"/>
                <w:szCs w:val="22"/>
                <w:highlight w:val="none"/>
              </w:rPr>
              <w:t>本次招标不接受联合体投标；</w:t>
            </w:r>
          </w:p>
          <w:p>
            <w:pPr>
              <w:pStyle w:val="47"/>
              <w:spacing w:after="0" w:line="360" w:lineRule="auto"/>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eastAsia="zh-CN"/>
              </w:rPr>
              <w:t>③</w:t>
            </w:r>
            <w:r>
              <w:rPr>
                <w:rFonts w:hint="eastAsia" w:ascii="宋体" w:hAnsi="宋体" w:cs="宋体"/>
                <w:color w:val="auto"/>
                <w:sz w:val="22"/>
                <w:szCs w:val="22"/>
                <w:highlight w:val="none"/>
              </w:rPr>
              <w:t>本项目实行资格后审，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widowControl/>
              <w:spacing w:line="360" w:lineRule="auto"/>
              <w:rPr>
                <w:rFonts w:hint="eastAsia"/>
                <w:lang w:eastAsia="zh-CN"/>
              </w:rPr>
            </w:pPr>
            <w:r>
              <w:rPr>
                <w:rFonts w:hint="eastAsia" w:ascii="宋体" w:hAnsi="宋体" w:cs="宋体"/>
                <w:b/>
                <w:bCs/>
                <w:color w:val="auto"/>
                <w:sz w:val="22"/>
                <w:szCs w:val="22"/>
                <w:highlight w:val="none"/>
                <w:lang w:eastAsia="zh-CN"/>
              </w:rPr>
              <w:t>④</w:t>
            </w:r>
            <w:r>
              <w:rPr>
                <w:rFonts w:hint="eastAsia" w:ascii="宋体" w:hAnsi="宋体" w:cs="宋体"/>
                <w:b/>
                <w:bCs/>
                <w:color w:val="auto"/>
                <w:sz w:val="22"/>
                <w:szCs w:val="22"/>
                <w:highlight w:val="none"/>
              </w:rPr>
              <w:t>所有上传的原件审查内容应与投标文件中的复印件一致，否则视为无效。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00"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1.4.2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是否接受联合体投标</w:t>
            </w:r>
          </w:p>
        </w:tc>
        <w:tc>
          <w:tcPr>
            <w:tcW w:w="6723" w:type="dxa"/>
            <w:gridSpan w:val="2"/>
            <w:noWrap w:val="0"/>
            <w:vAlign w:val="center"/>
          </w:tcPr>
          <w:p>
            <w:pPr>
              <w:spacing w:line="48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1.9</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踏勘现场</w:t>
            </w:r>
          </w:p>
        </w:tc>
        <w:tc>
          <w:tcPr>
            <w:tcW w:w="6723" w:type="dxa"/>
            <w:gridSpan w:val="2"/>
            <w:noWrap w:val="0"/>
            <w:vAlign w:val="center"/>
          </w:tcPr>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color w:val="auto"/>
                <w:sz w:val="22"/>
                <w:szCs w:val="22"/>
                <w:highlight w:val="none"/>
              </w:rPr>
              <w:t>不组织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1.10</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投标预备会</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54"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1.11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分包</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不允许。中标人必须承担总包责任，不得转包和</w:t>
            </w:r>
            <w:r>
              <w:rPr>
                <w:rFonts w:hint="eastAsia" w:ascii="宋体" w:hAnsi="宋体" w:cs="宋体"/>
                <w:color w:val="auto"/>
                <w:sz w:val="22"/>
                <w:szCs w:val="22"/>
                <w:highlight w:val="none"/>
                <w:lang w:eastAsia="zh-CN"/>
              </w:rPr>
              <w:t>违法</w:t>
            </w:r>
            <w:r>
              <w:rPr>
                <w:rFonts w:hint="eastAsia" w:ascii="宋体" w:hAnsi="宋体" w:cs="宋体"/>
                <w:color w:val="auto"/>
                <w:sz w:val="22"/>
                <w:szCs w:val="22"/>
                <w:highlight w:val="none"/>
              </w:rPr>
              <w:t>分包工程。否则招标人有权终止合同并追究中标人的责任。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1.12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偏离</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不允许</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构成招标文件</w:t>
            </w:r>
          </w:p>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的其他材料</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有招标人发出的招标控制价、招标文件的修改，澄清，以及招标人在招标期间发出的有编号的补遗书和其它有效正式函件等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0"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2.2.1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投标人提出问题的</w:t>
            </w:r>
          </w:p>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截止时间</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递交投标文件截止之日前10日前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14" w:hRule="exac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2.2.2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招标人澄清的时间</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递交投标文件的截止之日15日前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3.1.1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构成投标文件的其他材料</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2"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3.3.1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投标有效期</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自投标截止之日起60日历天</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3.4.1</w:t>
            </w:r>
          </w:p>
        </w:tc>
        <w:tc>
          <w:tcPr>
            <w:tcW w:w="1626" w:type="dxa"/>
            <w:gridSpan w:val="2"/>
            <w:noWrap w:val="0"/>
            <w:vAlign w:val="center"/>
          </w:tcPr>
          <w:p>
            <w:pPr>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投标保证金</w:t>
            </w:r>
          </w:p>
        </w:tc>
        <w:tc>
          <w:tcPr>
            <w:tcW w:w="6723" w:type="dxa"/>
            <w:gridSpan w:val="2"/>
            <w:noWrap w:val="0"/>
            <w:vAlign w:val="center"/>
          </w:tcPr>
          <w:p>
            <w:pPr>
              <w:numPr>
                <w:ilvl w:val="0"/>
                <w:numId w:val="0"/>
              </w:numPr>
              <w:spacing w:line="360" w:lineRule="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投标保证金：不收取。</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7"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3.5.2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近年财务状况的年份要求</w:t>
            </w:r>
          </w:p>
        </w:tc>
        <w:tc>
          <w:tcPr>
            <w:tcW w:w="6723" w:type="dxa"/>
            <w:gridSpan w:val="2"/>
            <w:noWrap w:val="0"/>
            <w:vAlign w:val="center"/>
          </w:tcPr>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20</w:t>
            </w:r>
            <w:r>
              <w:rPr>
                <w:rFonts w:hint="eastAsia" w:ascii="宋体" w:hAnsi="宋体" w:cs="宋体"/>
                <w:color w:val="auto"/>
                <w:kern w:val="0"/>
                <w:sz w:val="22"/>
                <w:szCs w:val="22"/>
                <w:highlight w:val="none"/>
                <w:lang w:val="en-US" w:eastAsia="zh-CN"/>
              </w:rPr>
              <w:t>21</w:t>
            </w:r>
            <w:r>
              <w:rPr>
                <w:rFonts w:hint="eastAsia" w:ascii="宋体" w:hAnsi="宋体" w:cs="宋体"/>
                <w:color w:val="auto"/>
                <w:kern w:val="0"/>
                <w:sz w:val="22"/>
                <w:szCs w:val="22"/>
                <w:highlight w:val="none"/>
              </w:rPr>
              <w:t>年度，20</w:t>
            </w:r>
            <w:r>
              <w:rPr>
                <w:rFonts w:hint="eastAsia" w:ascii="宋体" w:hAnsi="宋体" w:cs="宋体"/>
                <w:color w:val="auto"/>
                <w:kern w:val="0"/>
                <w:sz w:val="22"/>
                <w:szCs w:val="22"/>
                <w:highlight w:val="none"/>
                <w:lang w:val="en-US" w:eastAsia="zh-CN"/>
              </w:rPr>
              <w:t>22</w:t>
            </w:r>
            <w:r>
              <w:rPr>
                <w:rFonts w:hint="eastAsia" w:ascii="宋体" w:hAnsi="宋体" w:cs="宋体"/>
                <w:color w:val="auto"/>
                <w:kern w:val="0"/>
                <w:sz w:val="22"/>
                <w:szCs w:val="22"/>
                <w:highlight w:val="none"/>
              </w:rPr>
              <w:t>年度，202</w:t>
            </w:r>
            <w:r>
              <w:rPr>
                <w:rFonts w:hint="eastAsia" w:ascii="宋体" w:hAnsi="宋体" w:cs="宋体"/>
                <w:color w:val="auto"/>
                <w:kern w:val="0"/>
                <w:sz w:val="22"/>
                <w:szCs w:val="22"/>
                <w:highlight w:val="none"/>
                <w:lang w:val="en-US" w:eastAsia="zh-CN"/>
              </w:rPr>
              <w:t>3</w:t>
            </w:r>
            <w:r>
              <w:rPr>
                <w:rFonts w:hint="eastAsia" w:ascii="宋体" w:hAnsi="宋体" w:cs="宋体"/>
                <w:color w:val="auto"/>
                <w:kern w:val="0"/>
                <w:sz w:val="22"/>
                <w:szCs w:val="22"/>
                <w:highlight w:val="none"/>
              </w:rPr>
              <w:t>年度（如果注册时间不足三年，以注册时间为准）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7"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3.6</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是否允许递交备选投标方案</w:t>
            </w:r>
          </w:p>
        </w:tc>
        <w:tc>
          <w:tcPr>
            <w:tcW w:w="6723" w:type="dxa"/>
            <w:gridSpan w:val="2"/>
            <w:noWrap w:val="0"/>
            <w:vAlign w:val="center"/>
          </w:tcPr>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不允许</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7"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3.7.3</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电子投标文件签字或盖章要求</w:t>
            </w:r>
          </w:p>
        </w:tc>
        <w:tc>
          <w:tcPr>
            <w:tcW w:w="6723" w:type="dxa"/>
            <w:gridSpan w:val="2"/>
            <w:noWrap w:val="0"/>
            <w:vAlign w:val="center"/>
          </w:tcPr>
          <w:p>
            <w:pPr>
              <w:widowControl/>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投标人须按照投标文件格式中的规定加盖投标人电子公章或法定代表人电子签名。</w:t>
            </w:r>
          </w:p>
          <w:p>
            <w:pPr>
              <w:widowControl/>
              <w:spacing w:line="360" w:lineRule="auto"/>
              <w:jc w:val="left"/>
              <w:rPr>
                <w:rFonts w:hint="eastAsia" w:ascii="宋体" w:hAnsi="宋体" w:cs="宋体"/>
                <w:color w:val="auto"/>
                <w:sz w:val="22"/>
                <w:szCs w:val="22"/>
                <w:highlight w:val="none"/>
              </w:rPr>
            </w:pPr>
            <w:r>
              <w:rPr>
                <w:rFonts w:hint="eastAsia" w:ascii="宋体" w:hAnsi="宋体" w:cs="宋体"/>
                <w:b/>
                <w:bCs/>
                <w:color w:val="auto"/>
                <w:sz w:val="22"/>
                <w:szCs w:val="22"/>
                <w:highlight w:val="none"/>
              </w:rPr>
              <w:t>备注：电子签名是指法定代表人CA证书办理时，信息采集的法定代表人亲笔签名或法定代表人印章。</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7" w:hRule="atLeast"/>
          <w:jc w:val="center"/>
        </w:trPr>
        <w:tc>
          <w:tcPr>
            <w:tcW w:w="1101" w:type="dxa"/>
            <w:noWrap w:val="0"/>
            <w:vAlign w:val="center"/>
          </w:tcPr>
          <w:p>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4.1.1</w:t>
            </w:r>
          </w:p>
        </w:tc>
        <w:tc>
          <w:tcPr>
            <w:tcW w:w="1626" w:type="dxa"/>
            <w:gridSpan w:val="2"/>
            <w:noWrap w:val="0"/>
            <w:vAlign w:val="center"/>
          </w:tcPr>
          <w:p>
            <w:pPr>
              <w:spacing w:line="56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电子投标文件递交</w:t>
            </w:r>
          </w:p>
        </w:tc>
        <w:tc>
          <w:tcPr>
            <w:tcW w:w="6723" w:type="dxa"/>
            <w:gridSpan w:val="2"/>
            <w:noWrap w:val="0"/>
            <w:vAlign w:val="center"/>
          </w:tcPr>
          <w:p>
            <w:pPr>
              <w:widowControl/>
              <w:numPr>
                <w:ilvl w:val="0"/>
                <w:numId w:val="3"/>
              </w:numPr>
              <w:spacing w:line="360" w:lineRule="auto"/>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投标人应在南阳市公共资源交易系统下载“电子投标文件制作工具”，并按照招标文件要求编制和上传递交加密的电子投标文件(nyTF格式)。投标人上传时必须得到系统“上传成功”的确认回复，并认真检查电子投标文件是否完整、正确。递交网址： </w:t>
            </w:r>
            <w:r>
              <w:rPr>
                <w:rFonts w:hint="eastAsia" w:ascii="宋体" w:hAnsi="宋体" w:cs="宋体"/>
                <w:color w:val="auto"/>
                <w:kern w:val="0"/>
                <w:sz w:val="22"/>
                <w:szCs w:val="22"/>
                <w:highlight w:val="none"/>
              </w:rPr>
              <w:fldChar w:fldCharType="begin"/>
            </w:r>
            <w:r>
              <w:rPr>
                <w:rFonts w:hint="eastAsia" w:ascii="宋体" w:hAnsi="宋体" w:cs="宋体"/>
                <w:color w:val="auto"/>
                <w:kern w:val="0"/>
                <w:sz w:val="22"/>
                <w:szCs w:val="22"/>
                <w:highlight w:val="none"/>
              </w:rPr>
              <w:instrText xml:space="preserve"> HYPERLINK "http://ggzyjy.nanyang.gov.cn/SQXWeb/。" </w:instrText>
            </w:r>
            <w:r>
              <w:rPr>
                <w:rFonts w:hint="eastAsia" w:ascii="宋体" w:hAnsi="宋体" w:cs="宋体"/>
                <w:color w:val="auto"/>
                <w:kern w:val="0"/>
                <w:sz w:val="22"/>
                <w:szCs w:val="22"/>
                <w:highlight w:val="none"/>
              </w:rPr>
              <w:fldChar w:fldCharType="separate"/>
            </w:r>
            <w:r>
              <w:rPr>
                <w:rFonts w:hint="eastAsia" w:ascii="宋体" w:hAnsi="宋体" w:cs="宋体"/>
                <w:color w:val="auto"/>
                <w:kern w:val="0"/>
                <w:sz w:val="22"/>
                <w:szCs w:val="22"/>
                <w:highlight w:val="none"/>
              </w:rPr>
              <w:t>http://ggzy.sheqi.gov.cn/</w:t>
            </w:r>
            <w:r>
              <w:rPr>
                <w:rStyle w:val="60"/>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rPr>
              <w:fldChar w:fldCharType="end"/>
            </w:r>
          </w:p>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2、投标人的电子投标文件应在招标文件规定的投标截止时间前到达交易系统。逾期到达交易系统的电子投标文件视为放弃本次投标。</w:t>
            </w:r>
          </w:p>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3、投标人所递交的电子投标文件在投标截止时间之后不予退回。</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0"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4.2.1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投标截止时间</w:t>
            </w:r>
          </w:p>
        </w:tc>
        <w:tc>
          <w:tcPr>
            <w:tcW w:w="6723" w:type="dxa"/>
            <w:gridSpan w:val="2"/>
            <w:noWrap w:val="0"/>
            <w:vAlign w:val="center"/>
          </w:tcPr>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b/>
                <w:bCs/>
                <w:color w:val="auto"/>
                <w:kern w:val="0"/>
                <w:sz w:val="22"/>
                <w:szCs w:val="22"/>
                <w:highlight w:val="none"/>
                <w:lang w:eastAsia="zh-CN"/>
              </w:rPr>
              <w:t>2024年</w:t>
            </w:r>
            <w:r>
              <w:rPr>
                <w:rFonts w:hint="eastAsia" w:ascii="宋体" w:hAnsi="宋体" w:cs="宋体"/>
                <w:b/>
                <w:bCs/>
                <w:color w:val="auto"/>
                <w:kern w:val="0"/>
                <w:sz w:val="22"/>
                <w:szCs w:val="22"/>
                <w:highlight w:val="none"/>
                <w:lang w:val="en-US" w:eastAsia="zh-CN"/>
              </w:rPr>
              <w:t>7</w:t>
            </w:r>
            <w:r>
              <w:rPr>
                <w:rFonts w:hint="eastAsia" w:ascii="宋体" w:hAnsi="宋体" w:cs="宋体"/>
                <w:b/>
                <w:bCs/>
                <w:color w:val="auto"/>
                <w:kern w:val="0"/>
                <w:sz w:val="22"/>
                <w:szCs w:val="22"/>
                <w:highlight w:val="none"/>
                <w:lang w:eastAsia="zh-CN"/>
              </w:rPr>
              <w:t>月</w:t>
            </w:r>
            <w:r>
              <w:rPr>
                <w:rFonts w:hint="eastAsia" w:ascii="宋体" w:hAnsi="宋体" w:cs="宋体"/>
                <w:b/>
                <w:bCs/>
                <w:color w:val="auto"/>
                <w:kern w:val="0"/>
                <w:sz w:val="22"/>
                <w:szCs w:val="22"/>
                <w:highlight w:val="none"/>
                <w:lang w:val="en-US" w:eastAsia="zh-CN"/>
              </w:rPr>
              <w:t>24</w:t>
            </w:r>
            <w:r>
              <w:rPr>
                <w:rFonts w:hint="eastAsia" w:ascii="宋体" w:hAnsi="宋体" w:cs="宋体"/>
                <w:b/>
                <w:bCs/>
                <w:color w:val="auto"/>
                <w:kern w:val="0"/>
                <w:sz w:val="22"/>
                <w:szCs w:val="22"/>
                <w:highlight w:val="none"/>
                <w:lang w:eastAsia="zh-CN"/>
              </w:rPr>
              <w:t>日</w:t>
            </w:r>
            <w:r>
              <w:rPr>
                <w:rFonts w:hint="eastAsia" w:ascii="宋体" w:hAnsi="宋体" w:cs="宋体"/>
                <w:b/>
                <w:bCs/>
                <w:color w:val="auto"/>
                <w:kern w:val="0"/>
                <w:sz w:val="22"/>
                <w:szCs w:val="22"/>
                <w:highlight w:val="none"/>
                <w:lang w:val="en-US" w:eastAsia="zh-CN"/>
              </w:rPr>
              <w:t>10</w:t>
            </w:r>
            <w:r>
              <w:rPr>
                <w:rFonts w:hint="eastAsia" w:ascii="宋体" w:hAnsi="宋体" w:cs="宋体"/>
                <w:b/>
                <w:bCs/>
                <w:color w:val="auto"/>
                <w:kern w:val="0"/>
                <w:sz w:val="22"/>
                <w:szCs w:val="22"/>
                <w:highlight w:val="none"/>
                <w:lang w:eastAsia="zh-CN"/>
              </w:rPr>
              <w:t>时</w:t>
            </w:r>
            <w:r>
              <w:rPr>
                <w:rFonts w:hint="eastAsia" w:ascii="宋体" w:hAnsi="宋体" w:cs="宋体"/>
                <w:b/>
                <w:bCs/>
                <w:color w:val="auto"/>
                <w:kern w:val="0"/>
                <w:sz w:val="22"/>
                <w:szCs w:val="22"/>
                <w:highlight w:val="none"/>
                <w:lang w:val="en-US" w:eastAsia="zh-CN"/>
              </w:rPr>
              <w:t>00</w:t>
            </w:r>
            <w:r>
              <w:rPr>
                <w:rFonts w:hint="eastAsia" w:ascii="宋体" w:hAnsi="宋体" w:cs="宋体"/>
                <w:b/>
                <w:bCs/>
                <w:color w:val="auto"/>
                <w:kern w:val="0"/>
                <w:sz w:val="22"/>
                <w:szCs w:val="22"/>
                <w:highlight w:val="none"/>
                <w:lang w:eastAsia="zh-CN"/>
              </w:rPr>
              <w:t>分</w:t>
            </w:r>
            <w:r>
              <w:rPr>
                <w:rFonts w:hint="eastAsia" w:ascii="宋体" w:hAnsi="宋体" w:cs="宋体"/>
                <w:b/>
                <w:bCs/>
                <w:color w:val="auto"/>
                <w:kern w:val="0"/>
                <w:sz w:val="22"/>
                <w:szCs w:val="22"/>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5"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4.2.2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是否退还投标文件</w:t>
            </w:r>
          </w:p>
        </w:tc>
        <w:tc>
          <w:tcPr>
            <w:tcW w:w="6723" w:type="dxa"/>
            <w:gridSpan w:val="2"/>
            <w:noWrap w:val="0"/>
            <w:vAlign w:val="center"/>
          </w:tcPr>
          <w:p>
            <w:pPr>
              <w:widowControl/>
              <w:spacing w:line="360" w:lineRule="auto"/>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0" w:hRule="atLeast"/>
          <w:jc w:val="center"/>
        </w:trPr>
        <w:tc>
          <w:tcPr>
            <w:tcW w:w="1101" w:type="dxa"/>
            <w:noWrap w:val="0"/>
            <w:vAlign w:val="center"/>
          </w:tcPr>
          <w:p>
            <w:pPr>
              <w:widowControl/>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5.1</w:t>
            </w:r>
          </w:p>
        </w:tc>
        <w:tc>
          <w:tcPr>
            <w:tcW w:w="1626" w:type="dxa"/>
            <w:gridSpan w:val="2"/>
            <w:noWrap w:val="0"/>
            <w:vAlign w:val="center"/>
          </w:tcPr>
          <w:p>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2"/>
                <w:szCs w:val="22"/>
                <w:highlight w:val="none"/>
              </w:rPr>
              <w:t>开标时间和地点</w:t>
            </w:r>
          </w:p>
        </w:tc>
        <w:tc>
          <w:tcPr>
            <w:tcW w:w="6723" w:type="dxa"/>
            <w:gridSpan w:val="2"/>
            <w:noWrap w:val="0"/>
            <w:vAlign w:val="center"/>
          </w:tcPr>
          <w:p>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开标时间：同投标截止时间</w:t>
            </w:r>
          </w:p>
          <w:p>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开标地点：</w:t>
            </w: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HYPERLINK "https://ggzyjy.nanyang.gov.cn/BidOpening/bidopeninghallaction/hall/login" </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t>https://ggzyjy.nanyang.gov.cn/BidOpening/bidopeninghallaction/hall/login</w:t>
            </w:r>
            <w:r>
              <w:rPr>
                <w:rFonts w:hint="eastAsia" w:ascii="宋体" w:hAnsi="宋体" w:eastAsia="宋体" w:cs="宋体"/>
                <w:color w:val="auto"/>
                <w:sz w:val="22"/>
                <w:szCs w:val="22"/>
                <w:highlight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5.2</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开标程序</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1、投标人代表持本单位CA数字证书提前登录不见面开标系统。</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2、开标时间到，在线公布投标人、招标人代表、监标人等有关名单。主持人（代理公司）根据保证金</w:t>
            </w:r>
            <w:r>
              <w:rPr>
                <w:rFonts w:hint="eastAsia" w:ascii="宋体" w:hAnsi="宋体" w:cs="宋体"/>
                <w:color w:val="auto"/>
                <w:sz w:val="22"/>
                <w:szCs w:val="22"/>
                <w:highlight w:val="none"/>
                <w:lang w:eastAsia="zh-CN"/>
              </w:rPr>
              <w:t>缴纳</w:t>
            </w:r>
            <w:r>
              <w:rPr>
                <w:rFonts w:hint="eastAsia" w:ascii="宋体" w:hAnsi="宋体" w:cs="宋体"/>
                <w:color w:val="auto"/>
                <w:sz w:val="22"/>
                <w:szCs w:val="22"/>
                <w:highlight w:val="none"/>
              </w:rPr>
              <w:t>情况来确定有效投标人，并退回不符合要求的投标文件。</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3、开标顺序： </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①投标人解密：投标企业制作电子投标文件时，必须使用本单位企业数字证书进行加密，投标企业在开标前须自行检查数字证书有效性。在解密时间到达后，系统做出解密提示，请各投标人自行解密即可。开标解密时未解密成功的视为撤销其投标文件（因电子开标系统原因除外）。</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②唱标。查看唱标信息（系统不提供语音在线播放，该页面停留5分钟供投标人查看，如无异议视为同意）。招标人、监督人需要关注开标过程中，投标人随时在线提出的异议、问题沟通等信息，并做好及时回复；</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③随机抽取参数（K值）。</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④招标人、监督人等相关人员在开标记录表上（可进入原评标系统直接打印）签字确认。</w:t>
            </w:r>
          </w:p>
          <w:p>
            <w:pPr>
              <w:spacing w:line="360" w:lineRule="auto"/>
              <w:rPr>
                <w:rFonts w:hint="eastAsia" w:ascii="宋体" w:hAnsi="宋体" w:cs="宋体"/>
                <w:color w:val="auto"/>
                <w:kern w:val="0"/>
                <w:sz w:val="22"/>
                <w:szCs w:val="22"/>
                <w:highlight w:val="none"/>
              </w:rPr>
            </w:pPr>
            <w:r>
              <w:rPr>
                <w:rFonts w:hint="eastAsia" w:ascii="宋体" w:hAnsi="宋体" w:cs="宋体"/>
                <w:color w:val="auto"/>
                <w:sz w:val="22"/>
                <w:szCs w:val="22"/>
                <w:highlight w:val="none"/>
              </w:rPr>
              <w:t>⑤招标代理机构宣布开标结束，在评标系统中点击“开标结束”，并进行“招标文件导入”、“控制价文件导入”。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3"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6.1.1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评标委员会的组建</w:t>
            </w:r>
          </w:p>
        </w:tc>
        <w:tc>
          <w:tcPr>
            <w:tcW w:w="6723" w:type="dxa"/>
            <w:gridSpan w:val="2"/>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评标委员会人数：</w:t>
            </w:r>
            <w:r>
              <w:rPr>
                <w:rFonts w:hint="eastAsia" w:ascii="宋体" w:hAnsi="宋体" w:cs="宋体"/>
                <w:color w:val="auto"/>
                <w:sz w:val="22"/>
                <w:szCs w:val="22"/>
                <w:highlight w:val="none"/>
                <w:u w:val="single"/>
              </w:rPr>
              <w:t>5</w:t>
            </w:r>
            <w:r>
              <w:rPr>
                <w:rFonts w:hint="eastAsia" w:ascii="宋体" w:hAnsi="宋体" w:cs="宋体"/>
                <w:color w:val="auto"/>
                <w:sz w:val="22"/>
                <w:szCs w:val="22"/>
                <w:highlight w:val="none"/>
              </w:rPr>
              <w:t>人，招标人代表不超过三分之一（</w:t>
            </w:r>
            <w:r>
              <w:rPr>
                <w:rFonts w:hint="eastAsia" w:ascii="宋体" w:hAnsi="宋体" w:cs="宋体"/>
                <w:color w:val="auto"/>
                <w:sz w:val="22"/>
                <w:szCs w:val="22"/>
                <w:highlight w:val="none"/>
                <w:u w:val="single"/>
              </w:rPr>
              <w:t>1</w:t>
            </w:r>
            <w:r>
              <w:rPr>
                <w:rFonts w:hint="eastAsia" w:ascii="宋体" w:hAnsi="宋体" w:cs="宋体"/>
                <w:color w:val="auto"/>
                <w:sz w:val="22"/>
                <w:szCs w:val="22"/>
                <w:highlight w:val="none"/>
              </w:rPr>
              <w:t>人），</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经济、技术类专家不低于三分之二人数（</w:t>
            </w:r>
            <w:r>
              <w:rPr>
                <w:rFonts w:hint="eastAsia" w:ascii="宋体" w:hAnsi="宋体" w:cs="宋体"/>
                <w:color w:val="auto"/>
                <w:sz w:val="22"/>
                <w:szCs w:val="22"/>
                <w:highlight w:val="none"/>
                <w:u w:val="single"/>
              </w:rPr>
              <w:t>4</w:t>
            </w:r>
            <w:r>
              <w:rPr>
                <w:rFonts w:hint="eastAsia" w:ascii="宋体" w:hAnsi="宋体" w:cs="宋体"/>
                <w:color w:val="auto"/>
                <w:sz w:val="22"/>
                <w:szCs w:val="22"/>
                <w:highlight w:val="none"/>
              </w:rPr>
              <w:t>人），其中经济、技术类专家从依法组建的评标专家库中随机抽取。</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0"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7.1</w:t>
            </w:r>
          </w:p>
        </w:tc>
        <w:tc>
          <w:tcPr>
            <w:tcW w:w="1626" w:type="dxa"/>
            <w:gridSpan w:val="2"/>
            <w:noWrap w:val="0"/>
            <w:vAlign w:val="center"/>
          </w:tcPr>
          <w:p>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是否授权评权委员会确定中标人</w:t>
            </w:r>
          </w:p>
        </w:tc>
        <w:tc>
          <w:tcPr>
            <w:tcW w:w="6723" w:type="dxa"/>
            <w:gridSpan w:val="2"/>
            <w:noWrap w:val="0"/>
            <w:vAlign w:val="center"/>
          </w:tcPr>
          <w:p>
            <w:pPr>
              <w:spacing w:line="360" w:lineRule="auto"/>
              <w:rPr>
                <w:rFonts w:hint="eastAsia" w:ascii="宋体" w:hAnsi="宋体" w:eastAsia="宋体" w:cs="宋体"/>
                <w:sz w:val="22"/>
                <w:szCs w:val="22"/>
              </w:rPr>
            </w:pPr>
            <w:r>
              <w:rPr>
                <w:rFonts w:hint="eastAsia" w:ascii="宋体" w:hAnsi="宋体" w:eastAsia="宋体" w:cs="宋体"/>
                <w:sz w:val="22"/>
                <w:szCs w:val="22"/>
              </w:rPr>
              <w:t>否 ；推荐的中标候选人数：</w:t>
            </w:r>
            <w:r>
              <w:rPr>
                <w:rFonts w:hint="eastAsia" w:ascii="宋体" w:hAnsi="宋体" w:eastAsia="宋体" w:cs="宋体"/>
                <w:sz w:val="22"/>
                <w:szCs w:val="22"/>
                <w:lang w:val="en-US" w:eastAsia="zh-CN"/>
              </w:rPr>
              <w:t>3</w:t>
            </w:r>
            <w:r>
              <w:rPr>
                <w:rFonts w:hint="eastAsia" w:ascii="宋体" w:hAnsi="宋体" w:eastAsia="宋体" w:cs="宋体"/>
                <w:sz w:val="22"/>
                <w:szCs w:val="22"/>
              </w:rPr>
              <w:t>名；</w:t>
            </w:r>
          </w:p>
          <w:p>
            <w:pPr>
              <w:spacing w:line="360" w:lineRule="auto"/>
              <w:rPr>
                <w:rFonts w:hint="eastAsia" w:ascii="宋体" w:hAnsi="宋体" w:eastAsia="宋体" w:cs="宋体"/>
                <w:sz w:val="22"/>
                <w:szCs w:val="22"/>
                <w:lang w:eastAsia="zh-CN"/>
              </w:rPr>
            </w:pPr>
            <w:r>
              <w:rPr>
                <w:rFonts w:hint="eastAsia" w:ascii="宋体" w:hAnsi="宋体" w:eastAsia="宋体" w:cs="宋体"/>
                <w:sz w:val="22"/>
                <w:szCs w:val="22"/>
              </w:rPr>
              <w:t>招标人应当确定排名第一的中标候选人为中标人。排名第一的中标候选人放弃中标、因不可抗力提出不能履行合同、不按照招标文件的要求提交履约保证金，或者被查实存在影响中标结果的违法行为等情形，不符合中标条件的，招标人可以按照评标委员会提出的中标候选人名单排序依次确定其他中标候选</w:t>
            </w:r>
            <w:r>
              <w:rPr>
                <w:rFonts w:hint="eastAsia" w:ascii="宋体" w:hAnsi="宋体" w:eastAsia="宋体" w:cs="宋体"/>
                <w:color w:val="auto"/>
                <w:sz w:val="22"/>
                <w:szCs w:val="22"/>
              </w:rPr>
              <w:t>人为中标人</w:t>
            </w:r>
            <w:r>
              <w:rPr>
                <w:rFonts w:hint="eastAsia" w:ascii="宋体" w:hAnsi="宋体" w:cs="宋体"/>
                <w:color w:val="auto"/>
                <w:sz w:val="22"/>
                <w:szCs w:val="22"/>
                <w:lang w:eastAsia="zh-CN"/>
              </w:rPr>
              <w:t>或重新招标</w:t>
            </w:r>
            <w:r>
              <w:rPr>
                <w:rFonts w:hint="eastAsia" w:ascii="宋体" w:hAnsi="宋体" w:eastAsia="宋体" w:cs="宋体"/>
                <w:color w:val="auto"/>
                <w:sz w:val="22"/>
                <w:szCs w:val="22"/>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0" w:hRule="atLeast"/>
          <w:jc w:val="center"/>
        </w:trPr>
        <w:tc>
          <w:tcPr>
            <w:tcW w:w="1101" w:type="dxa"/>
            <w:noWrap w:val="0"/>
            <w:vAlign w:val="center"/>
          </w:tcPr>
          <w:p>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7.2</w:t>
            </w:r>
          </w:p>
        </w:tc>
        <w:tc>
          <w:tcPr>
            <w:tcW w:w="1626" w:type="dxa"/>
            <w:gridSpan w:val="2"/>
            <w:noWrap w:val="0"/>
            <w:vAlign w:val="center"/>
          </w:tcPr>
          <w:p>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中标候选人公示媒介</w:t>
            </w:r>
          </w:p>
        </w:tc>
        <w:tc>
          <w:tcPr>
            <w:tcW w:w="6723" w:type="dxa"/>
            <w:gridSpan w:val="2"/>
            <w:noWrap w:val="0"/>
            <w:vAlign w:val="center"/>
          </w:tcPr>
          <w:p>
            <w:pPr>
              <w:spacing w:line="360" w:lineRule="auto"/>
              <w:rPr>
                <w:rFonts w:hint="eastAsia" w:ascii="宋体" w:hAnsi="宋体" w:eastAsia="宋体" w:cs="宋体"/>
                <w:sz w:val="22"/>
                <w:szCs w:val="22"/>
              </w:rPr>
            </w:pPr>
            <w:r>
              <w:rPr>
                <w:rFonts w:hint="eastAsia"/>
                <w:color w:val="auto"/>
                <w:kern w:val="2"/>
                <w:sz w:val="22"/>
                <w:szCs w:val="22"/>
                <w:highlight w:val="none"/>
                <w:lang w:eastAsia="zh-CN"/>
              </w:rPr>
              <w:t>《中国招标投标公共服务平台》《河南省电子招标投标公共服务平台》《社旗县公共资源交易中心网》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7.4.1</w:t>
            </w:r>
          </w:p>
        </w:tc>
        <w:tc>
          <w:tcPr>
            <w:tcW w:w="1626"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履约担保</w:t>
            </w:r>
          </w:p>
        </w:tc>
        <w:tc>
          <w:tcPr>
            <w:tcW w:w="6723" w:type="dxa"/>
            <w:gridSpan w:val="2"/>
            <w:noWrap w:val="0"/>
            <w:vAlign w:val="center"/>
          </w:tcPr>
          <w:p>
            <w:pPr>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 xml:space="preserve">履约担保的形式：现金或保函等 </w:t>
            </w:r>
          </w:p>
          <w:p>
            <w:pPr>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 xml:space="preserve">履约担保的金额：双方协商 </w:t>
            </w:r>
          </w:p>
          <w:p>
            <w:pPr>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履约担保的提交时间：双方协商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9450" w:type="dxa"/>
            <w:gridSpan w:val="5"/>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9纪律和监督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5"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p>
        </w:tc>
        <w:tc>
          <w:tcPr>
            <w:tcW w:w="8349" w:type="dxa"/>
            <w:gridSpan w:val="4"/>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本项目的招投标活动及其相关当事人应当接受有管辖权的建设工程招投标行政监督部门依法实施的监督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5" w:hRule="atLeast"/>
          <w:jc w:val="center"/>
        </w:trPr>
        <w:tc>
          <w:tcPr>
            <w:tcW w:w="1101" w:type="dxa"/>
            <w:noWrap w:val="0"/>
            <w:vAlign w:val="center"/>
          </w:tcPr>
          <w:p>
            <w:pPr>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10</w:t>
            </w:r>
          </w:p>
        </w:tc>
        <w:tc>
          <w:tcPr>
            <w:tcW w:w="8349" w:type="dxa"/>
            <w:gridSpan w:val="4"/>
            <w:noWrap w:val="0"/>
            <w:vAlign w:val="center"/>
          </w:tcPr>
          <w:p>
            <w:pPr>
              <w:spacing w:line="360" w:lineRule="auto"/>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5"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10.1</w:t>
            </w:r>
          </w:p>
        </w:tc>
        <w:tc>
          <w:tcPr>
            <w:tcW w:w="8349" w:type="dxa"/>
            <w:gridSpan w:val="4"/>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词语定义</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10.1.1</w:t>
            </w:r>
          </w:p>
        </w:tc>
        <w:tc>
          <w:tcPr>
            <w:tcW w:w="8349" w:type="dxa"/>
            <w:gridSpan w:val="4"/>
            <w:noWrap w:val="0"/>
            <w:vAlign w:val="center"/>
          </w:tcPr>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“第三章 评分办法“类似项目业绩”词语定义：</w:t>
            </w:r>
          </w:p>
          <w:p>
            <w:pPr>
              <w:spacing w:line="360" w:lineRule="auto"/>
              <w:rPr>
                <w:rFonts w:hint="eastAsia" w:eastAsia="黑体"/>
                <w:lang w:eastAsia="zh-CN"/>
              </w:rPr>
            </w:pPr>
            <w:r>
              <w:rPr>
                <w:rFonts w:hint="eastAsia" w:ascii="宋体" w:hAnsi="宋体" w:cs="宋体"/>
                <w:color w:val="auto"/>
                <w:sz w:val="22"/>
                <w:szCs w:val="22"/>
                <w:highlight w:val="none"/>
              </w:rPr>
              <w:t>指的是指20</w:t>
            </w:r>
            <w:r>
              <w:rPr>
                <w:rFonts w:hint="eastAsia" w:ascii="宋体" w:hAnsi="宋体" w:cs="宋体"/>
                <w:color w:val="auto"/>
                <w:sz w:val="22"/>
                <w:szCs w:val="22"/>
                <w:highlight w:val="none"/>
                <w:lang w:val="en-US" w:eastAsia="zh-CN"/>
              </w:rPr>
              <w:t>21</w:t>
            </w:r>
            <w:r>
              <w:rPr>
                <w:rFonts w:hint="eastAsia" w:ascii="宋体" w:hAnsi="宋体" w:cs="宋体"/>
                <w:color w:val="auto"/>
                <w:sz w:val="22"/>
                <w:szCs w:val="22"/>
                <w:highlight w:val="none"/>
              </w:rPr>
              <w:t>年1月1日以来（以合同签订时间为准）类似工程。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101"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10.1.2</w:t>
            </w:r>
          </w:p>
        </w:tc>
        <w:tc>
          <w:tcPr>
            <w:tcW w:w="1626" w:type="dxa"/>
            <w:gridSpan w:val="2"/>
            <w:noWrap w:val="0"/>
            <w:vAlign w:val="center"/>
          </w:tcPr>
          <w:p>
            <w:pPr>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b/>
                <w:bCs/>
                <w:color w:val="auto"/>
                <w:sz w:val="22"/>
                <w:szCs w:val="22"/>
                <w:highlight w:val="none"/>
              </w:rPr>
              <w:t>暗标”评审</w:t>
            </w:r>
            <w:r>
              <w:rPr>
                <w:rFonts w:hint="eastAsia" w:ascii="宋体" w:hAnsi="宋体" w:cs="宋体"/>
                <w:color w:val="auto"/>
                <w:sz w:val="22"/>
                <w:szCs w:val="22"/>
                <w:highlight w:val="none"/>
              </w:rPr>
              <w:t>：</w:t>
            </w:r>
          </w:p>
        </w:tc>
        <w:tc>
          <w:tcPr>
            <w:tcW w:w="6723" w:type="dxa"/>
            <w:gridSpan w:val="2"/>
            <w:noWrap w:val="0"/>
            <w:vAlign w:val="center"/>
          </w:tcPr>
          <w:p>
            <w:pPr>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采用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83" w:hRule="atLeast"/>
          <w:jc w:val="center"/>
        </w:trPr>
        <w:tc>
          <w:tcPr>
            <w:tcW w:w="9450" w:type="dxa"/>
            <w:gridSpan w:val="5"/>
            <w:noWrap w:val="0"/>
            <w:vAlign w:val="center"/>
          </w:tcPr>
          <w:p>
            <w:pPr>
              <w:spacing w:line="360" w:lineRule="auto"/>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10.2  招标控制价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1101"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10.2.1</w:t>
            </w:r>
          </w:p>
        </w:tc>
        <w:tc>
          <w:tcPr>
            <w:tcW w:w="8349" w:type="dxa"/>
            <w:gridSpan w:val="4"/>
            <w:noWrap w:val="0"/>
            <w:vAlign w:val="center"/>
          </w:tcPr>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本项目设招标控制价，招标控制价是招标人控制投标报价的最高限价，投标人的投标报价高于招标控制价的视为无效报价，其投标按废标处理。</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招标控制价为</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en-US" w:eastAsia="zh-CN"/>
              </w:rPr>
              <w:t>5959259.48</w:t>
            </w:r>
            <w:r>
              <w:rPr>
                <w:rFonts w:hint="eastAsia" w:ascii="宋体" w:hAnsi="宋体" w:eastAsia="宋体" w:cs="宋体"/>
                <w:b/>
                <w:bCs/>
                <w:color w:val="auto"/>
                <w:sz w:val="22"/>
                <w:szCs w:val="22"/>
                <w:highlight w:val="none"/>
              </w:rPr>
              <w:t>元（含不可竞争性费用、暂列金额、专业暂估价）</w:t>
            </w:r>
          </w:p>
          <w:p>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jc w:val="left"/>
              <w:textAlignment w:val="auto"/>
              <w:rPr>
                <w:rFonts w:hint="eastAsia" w:ascii="宋体" w:hAnsi="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其中</w:t>
            </w:r>
            <w:r>
              <w:rPr>
                <w:rFonts w:hint="eastAsia" w:ascii="宋体" w:hAnsi="宋体" w:cs="宋体"/>
                <w:b w:val="0"/>
                <w:bCs w:val="0"/>
                <w:color w:val="auto"/>
                <w:sz w:val="22"/>
                <w:szCs w:val="22"/>
                <w:highlight w:val="none"/>
                <w:lang w:val="en-US" w:eastAsia="zh-CN"/>
              </w:rPr>
              <w:t>:</w:t>
            </w:r>
          </w:p>
          <w:p>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措施项目费（不含安全文明施工费）：</w:t>
            </w:r>
            <w:r>
              <w:rPr>
                <w:rFonts w:hint="eastAsia" w:ascii="宋体" w:hAnsi="宋体" w:cs="宋体"/>
                <w:b w:val="0"/>
                <w:bCs w:val="0"/>
                <w:color w:val="auto"/>
                <w:sz w:val="22"/>
                <w:szCs w:val="22"/>
                <w:highlight w:val="none"/>
                <w:lang w:val="en-US" w:eastAsia="zh-CN"/>
              </w:rPr>
              <w:t>24692.26</w:t>
            </w:r>
            <w:r>
              <w:rPr>
                <w:rFonts w:hint="eastAsia" w:ascii="宋体" w:hAnsi="宋体" w:eastAsia="宋体" w:cs="宋体"/>
                <w:b w:val="0"/>
                <w:bCs w:val="0"/>
                <w:color w:val="auto"/>
                <w:sz w:val="22"/>
                <w:szCs w:val="22"/>
                <w:highlight w:val="none"/>
              </w:rPr>
              <w:t>元</w:t>
            </w:r>
          </w:p>
          <w:p>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 w:val="0"/>
                <w:bCs w:val="0"/>
                <w:color w:val="auto"/>
                <w:sz w:val="22"/>
                <w:szCs w:val="22"/>
                <w:highlight w:val="yellow"/>
              </w:rPr>
            </w:pP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不可竞争费：</w:t>
            </w:r>
          </w:p>
          <w:p>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ind w:firstLine="440" w:firstLineChars="200"/>
              <w:jc w:val="left"/>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rPr>
              <w:t>安全文明施工费：</w:t>
            </w:r>
            <w:r>
              <w:rPr>
                <w:rFonts w:hint="eastAsia" w:ascii="宋体" w:hAnsi="宋体" w:cs="宋体"/>
                <w:b w:val="0"/>
                <w:bCs w:val="0"/>
                <w:color w:val="auto"/>
                <w:sz w:val="22"/>
                <w:szCs w:val="22"/>
                <w:highlight w:val="none"/>
                <w:lang w:val="en-US" w:eastAsia="zh-CN"/>
              </w:rPr>
              <w:t>66084.94</w:t>
            </w:r>
            <w:r>
              <w:rPr>
                <w:rFonts w:hint="eastAsia" w:ascii="宋体" w:hAnsi="宋体" w:eastAsia="宋体" w:cs="宋体"/>
                <w:b w:val="0"/>
                <w:bCs w:val="0"/>
                <w:color w:val="auto"/>
                <w:sz w:val="22"/>
                <w:szCs w:val="22"/>
                <w:highlight w:val="none"/>
              </w:rPr>
              <w:t>元</w:t>
            </w:r>
          </w:p>
          <w:p>
            <w:pPr>
              <w:keepNext w:val="0"/>
              <w:keepLines w:val="0"/>
              <w:pageBreakBefore w:val="0"/>
              <w:widowControl w:val="0"/>
              <w:tabs>
                <w:tab w:val="left" w:pos="840"/>
              </w:tabs>
              <w:kinsoku/>
              <w:wordWrap/>
              <w:overflowPunct/>
              <w:topLinePunct w:val="0"/>
              <w:autoSpaceDE w:val="0"/>
              <w:autoSpaceDN w:val="0"/>
              <w:bidi w:val="0"/>
              <w:adjustRightInd w:val="0"/>
              <w:snapToGrid/>
              <w:spacing w:line="360" w:lineRule="auto"/>
              <w:ind w:firstLine="440" w:firstLineChars="200"/>
              <w:jc w:val="left"/>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rPr>
              <w:t>规费：</w:t>
            </w:r>
            <w:r>
              <w:rPr>
                <w:rFonts w:hint="eastAsia" w:ascii="宋体" w:hAnsi="宋体" w:cs="宋体"/>
                <w:b w:val="0"/>
                <w:bCs w:val="0"/>
                <w:color w:val="auto"/>
                <w:sz w:val="22"/>
                <w:szCs w:val="22"/>
                <w:highlight w:val="none"/>
                <w:lang w:val="en-US" w:eastAsia="zh-CN"/>
              </w:rPr>
              <w:t>75263.22</w:t>
            </w:r>
            <w:r>
              <w:rPr>
                <w:rFonts w:hint="eastAsia" w:ascii="宋体" w:hAnsi="宋体" w:eastAsia="宋体" w:cs="宋体"/>
                <w:b w:val="0"/>
                <w:bCs w:val="0"/>
                <w:color w:val="auto"/>
                <w:sz w:val="22"/>
                <w:szCs w:val="22"/>
                <w:highlight w:val="none"/>
              </w:rPr>
              <w:t>元</w:t>
            </w:r>
          </w:p>
          <w:p>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eastAsia="宋体" w:cs="宋体"/>
                <w:b w:val="0"/>
                <w:bCs w:val="0"/>
                <w:color w:val="auto"/>
                <w:sz w:val="22"/>
                <w:szCs w:val="22"/>
                <w:highlight w:val="yellow"/>
              </w:rPr>
            </w:pP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增值税：</w:t>
            </w:r>
            <w:r>
              <w:rPr>
                <w:rFonts w:hint="eastAsia" w:ascii="宋体" w:hAnsi="宋体" w:cs="宋体"/>
                <w:b w:val="0"/>
                <w:bCs w:val="0"/>
                <w:color w:val="auto"/>
                <w:sz w:val="22"/>
                <w:szCs w:val="22"/>
                <w:highlight w:val="none"/>
                <w:lang w:val="en-US" w:eastAsia="zh-CN"/>
              </w:rPr>
              <w:t>492048.95</w:t>
            </w:r>
            <w:r>
              <w:rPr>
                <w:rFonts w:hint="eastAsia" w:ascii="宋体" w:hAnsi="宋体" w:eastAsia="宋体" w:cs="宋体"/>
                <w:b w:val="0"/>
                <w:bCs w:val="0"/>
                <w:color w:val="auto"/>
                <w:sz w:val="22"/>
                <w:szCs w:val="22"/>
                <w:highlight w:val="none"/>
              </w:rPr>
              <w:t>元</w:t>
            </w:r>
          </w:p>
          <w:p>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b w:val="0"/>
                <w:bCs w:val="0"/>
                <w:color w:val="auto"/>
                <w:sz w:val="22"/>
                <w:szCs w:val="22"/>
                <w:highlight w:val="none"/>
              </w:rPr>
            </w:pP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rPr>
              <w:t>暂列金额：</w:t>
            </w:r>
            <w:r>
              <w:rPr>
                <w:rFonts w:hint="eastAsia" w:ascii="宋体" w:hAnsi="宋体" w:eastAsia="宋体" w:cs="宋体"/>
                <w:b w:val="0"/>
                <w:bCs w:val="0"/>
                <w:color w:val="auto"/>
                <w:sz w:val="22"/>
                <w:szCs w:val="22"/>
                <w:highlight w:val="none"/>
                <w:lang w:val="en-US" w:eastAsia="zh-CN"/>
              </w:rPr>
              <w:t>0</w:t>
            </w:r>
            <w:r>
              <w:rPr>
                <w:rFonts w:hint="eastAsia" w:ascii="宋体" w:hAnsi="宋体" w:eastAsia="宋体" w:cs="宋体"/>
                <w:b w:val="0"/>
                <w:bCs w:val="0"/>
                <w:color w:val="auto"/>
                <w:sz w:val="22"/>
                <w:szCs w:val="22"/>
                <w:highlight w:val="none"/>
              </w:rPr>
              <w:t>元</w:t>
            </w:r>
          </w:p>
          <w:p>
            <w:pPr>
              <w:pStyle w:val="43"/>
              <w:spacing w:before="0" w:beforeAutospacing="0" w:after="0" w:afterAutospacing="0" w:line="360" w:lineRule="auto"/>
              <w:jc w:val="both"/>
              <w:rPr>
                <w:rFonts w:hint="eastAsia" w:ascii="宋体" w:hAnsi="宋体" w:eastAsia="宋体" w:cs="宋体"/>
                <w:b w:val="0"/>
                <w:bCs w:val="0"/>
                <w:color w:val="FF0000"/>
                <w:sz w:val="22"/>
                <w:szCs w:val="22"/>
                <w:highlight w:val="none"/>
              </w:rPr>
            </w:pPr>
            <w:r>
              <w:rPr>
                <w:rFonts w:hint="eastAsia" w:hAnsi="宋体" w:cs="宋体"/>
                <w:b w:val="0"/>
                <w:bCs w:val="0"/>
                <w:color w:val="auto"/>
                <w:sz w:val="22"/>
                <w:szCs w:val="22"/>
                <w:highlight w:val="none"/>
                <w:lang w:val="en-US" w:eastAsia="zh-CN"/>
              </w:rPr>
              <w:t>(4)</w:t>
            </w:r>
            <w:r>
              <w:rPr>
                <w:rFonts w:hint="eastAsia" w:ascii="宋体" w:hAnsi="宋体" w:eastAsia="宋体" w:cs="宋体"/>
                <w:b w:val="0"/>
                <w:bCs w:val="0"/>
                <w:color w:val="auto"/>
                <w:sz w:val="22"/>
                <w:szCs w:val="22"/>
                <w:highlight w:val="none"/>
              </w:rPr>
              <w:t>专业暂估价：</w:t>
            </w:r>
            <w:r>
              <w:rPr>
                <w:rFonts w:hint="eastAsia" w:cs="宋体"/>
                <w:b w:val="0"/>
                <w:bCs w:val="0"/>
                <w:color w:val="auto"/>
                <w:sz w:val="22"/>
                <w:szCs w:val="22"/>
                <w:highlight w:val="none"/>
                <w:lang w:val="en-US" w:eastAsia="zh-CN"/>
              </w:rPr>
              <w:t>35000</w:t>
            </w:r>
            <w:r>
              <w:rPr>
                <w:rFonts w:hint="eastAsia" w:ascii="宋体" w:hAnsi="宋体" w:eastAsia="宋体" w:cs="宋体"/>
                <w:b w:val="0"/>
                <w:bCs w:val="0"/>
                <w:color w:val="auto"/>
                <w:sz w:val="22"/>
                <w:szCs w:val="22"/>
                <w:highlight w:val="none"/>
              </w:rPr>
              <w:t>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1101"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 xml:space="preserve">10.3  </w:t>
            </w:r>
          </w:p>
        </w:tc>
        <w:tc>
          <w:tcPr>
            <w:tcW w:w="8349" w:type="dxa"/>
            <w:gridSpan w:val="4"/>
            <w:noWrap w:val="0"/>
            <w:vAlign w:val="center"/>
          </w:tcPr>
          <w:p>
            <w:pPr>
              <w:pStyle w:val="43"/>
              <w:spacing w:before="0" w:beforeAutospacing="0" w:after="0" w:afterAutospacing="0" w:line="360" w:lineRule="auto"/>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“暗标”评审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1101" w:type="dxa"/>
            <w:noWrap w:val="0"/>
            <w:vAlign w:val="center"/>
          </w:tcPr>
          <w:p>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sz w:val="22"/>
                <w:szCs w:val="22"/>
                <w:highlight w:val="none"/>
              </w:rPr>
            </w:pPr>
          </w:p>
        </w:tc>
        <w:tc>
          <w:tcPr>
            <w:tcW w:w="2719" w:type="dxa"/>
            <w:gridSpan w:val="3"/>
            <w:tcBorders>
              <w:right w:val="single" w:color="auto" w:sz="4" w:space="0"/>
            </w:tcBorders>
            <w:noWrap w:val="0"/>
            <w:vAlign w:val="center"/>
          </w:tcPr>
          <w:p>
            <w:pPr>
              <w:pStyle w:val="43"/>
              <w:spacing w:before="0" w:beforeAutospacing="0" w:after="0" w:afterAutospacing="0" w:line="360" w:lineRule="auto"/>
              <w:jc w:val="both"/>
              <w:rPr>
                <w:rFonts w:hint="eastAsia" w:hAnsi="宋体" w:cs="宋体"/>
                <w:b w:val="0"/>
                <w:bCs w:val="0"/>
                <w:color w:val="auto"/>
                <w:sz w:val="22"/>
                <w:szCs w:val="22"/>
                <w:highlight w:val="none"/>
                <w:lang w:val="en-US" w:eastAsia="zh-CN"/>
              </w:rPr>
            </w:pPr>
            <w:r>
              <w:rPr>
                <w:rFonts w:hint="eastAsia"/>
                <w:color w:val="000000"/>
                <w:sz w:val="22"/>
                <w:szCs w:val="22"/>
              </w:rPr>
              <w:t>施工组织设计是否采用“暗标”评审方式</w:t>
            </w:r>
          </w:p>
        </w:tc>
        <w:tc>
          <w:tcPr>
            <w:tcW w:w="5630" w:type="dxa"/>
            <w:tcBorders>
              <w:left w:val="single" w:color="auto" w:sz="4" w:space="0"/>
            </w:tcBorders>
            <w:noWrap w:val="0"/>
            <w:vAlign w:val="center"/>
          </w:tcPr>
          <w:p>
            <w:pPr>
              <w:spacing w:line="360" w:lineRule="auto"/>
              <w:rPr>
                <w:rFonts w:hint="eastAsia"/>
                <w:color w:val="000000"/>
                <w:sz w:val="22"/>
                <w:szCs w:val="22"/>
              </w:rPr>
            </w:pPr>
            <w:r>
              <w:rPr>
                <w:rFonts w:hint="eastAsia"/>
                <w:color w:val="000000"/>
                <w:sz w:val="22"/>
                <w:szCs w:val="22"/>
              </w:rPr>
              <w:t>□不采用</w:t>
            </w:r>
          </w:p>
          <w:p>
            <w:pPr>
              <w:pStyle w:val="43"/>
              <w:spacing w:before="0" w:beforeAutospacing="0" w:after="0" w:afterAutospacing="0" w:line="360" w:lineRule="auto"/>
              <w:jc w:val="both"/>
              <w:rPr>
                <w:rFonts w:hint="eastAsia" w:hAnsi="宋体" w:cs="宋体"/>
                <w:b w:val="0"/>
                <w:bCs w:val="0"/>
                <w:color w:val="auto"/>
                <w:sz w:val="22"/>
                <w:szCs w:val="22"/>
                <w:highlight w:val="none"/>
                <w:lang w:val="en-US" w:eastAsia="zh-CN"/>
              </w:rPr>
            </w:pPr>
            <w:r>
              <w:rPr>
                <w:rFonts w:hint="eastAsia"/>
                <w:color w:val="000000"/>
                <w:sz w:val="22"/>
                <w:szCs w:val="22"/>
                <w:lang w:eastAsia="zh-CN"/>
              </w:rPr>
              <w:t>☑</w:t>
            </w:r>
            <w:r>
              <w:rPr>
                <w:rFonts w:hint="eastAsia"/>
                <w:color w:val="000000"/>
                <w:sz w:val="22"/>
                <w:szCs w:val="22"/>
              </w:rPr>
              <w:t>采用，投标人应严格按照第八章“投标文件格式”中“施工组织设计（技术暗标）编制要求”编制</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10.4</w:t>
            </w:r>
          </w:p>
        </w:tc>
        <w:tc>
          <w:tcPr>
            <w:tcW w:w="8349" w:type="dxa"/>
            <w:gridSpan w:val="4"/>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rPr>
            </w:pPr>
            <w:r>
              <w:rPr>
                <w:rFonts w:hint="eastAsia" w:hAnsi="宋体" w:cs="宋体"/>
                <w:b/>
                <w:color w:val="auto"/>
                <w:sz w:val="22"/>
                <w:szCs w:val="22"/>
                <w:highlight w:val="none"/>
              </w:rPr>
              <w:t>中标公示：</w:t>
            </w:r>
          </w:p>
          <w:p>
            <w:pPr>
              <w:pStyle w:val="24"/>
              <w:spacing w:before="0" w:beforeAutospacing="0" w:after="0" w:afterAutospacing="0" w:line="360" w:lineRule="auto"/>
              <w:ind w:firstLine="0" w:firstLineChars="0"/>
              <w:rPr>
                <w:rFonts w:hint="eastAsia" w:hAnsi="宋体" w:cs="宋体"/>
                <w:color w:val="auto"/>
                <w:sz w:val="22"/>
                <w:szCs w:val="22"/>
                <w:highlight w:val="none"/>
              </w:rPr>
            </w:pPr>
            <w:r>
              <w:rPr>
                <w:rFonts w:hint="eastAsia" w:hAnsi="宋体" w:cs="宋体"/>
                <w:color w:val="auto"/>
                <w:sz w:val="22"/>
                <w:szCs w:val="22"/>
                <w:highlight w:val="none"/>
              </w:rPr>
              <w:t>在中标通知书发出前，招标人将中标候选人的情况在本次招标公告发布的同一媒介予以公示，公示期不少于3日。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10.5</w:t>
            </w:r>
          </w:p>
        </w:tc>
        <w:tc>
          <w:tcPr>
            <w:tcW w:w="8349" w:type="dxa"/>
            <w:gridSpan w:val="4"/>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rPr>
            </w:pPr>
            <w:r>
              <w:rPr>
                <w:rFonts w:hint="eastAsia" w:hAnsi="宋体" w:cs="宋体"/>
                <w:b/>
                <w:color w:val="auto"/>
                <w:sz w:val="22"/>
                <w:szCs w:val="22"/>
                <w:highlight w:val="none"/>
              </w:rPr>
              <w:t>知识产权：</w:t>
            </w:r>
          </w:p>
          <w:p>
            <w:pPr>
              <w:pStyle w:val="24"/>
              <w:spacing w:before="0" w:beforeAutospacing="0" w:after="0" w:afterAutospacing="0" w:line="360" w:lineRule="auto"/>
              <w:ind w:firstLine="0" w:firstLineChars="0"/>
              <w:rPr>
                <w:rFonts w:hint="eastAsia" w:hAnsi="宋体" w:cs="宋体"/>
                <w:color w:val="auto"/>
                <w:sz w:val="22"/>
                <w:szCs w:val="22"/>
                <w:highlight w:val="none"/>
              </w:rPr>
            </w:pPr>
            <w:r>
              <w:rPr>
                <w:rFonts w:hint="eastAsia" w:hAnsi="宋体" w:cs="宋体"/>
                <w:color w:val="auto"/>
                <w:sz w:val="22"/>
                <w:szCs w:val="22"/>
                <w:highlight w:val="none"/>
              </w:rPr>
              <w:t>构成本次招标文件各个组成部分的文件，未经招标人书面同意，投标人不得擅自复印和用于非本招标项目所需的其他目的。招标人全部或者部分使用未中标投标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10.6</w:t>
            </w:r>
          </w:p>
        </w:tc>
        <w:tc>
          <w:tcPr>
            <w:tcW w:w="8349" w:type="dxa"/>
            <w:gridSpan w:val="4"/>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rPr>
            </w:pPr>
            <w:r>
              <w:rPr>
                <w:rFonts w:hint="eastAsia" w:hAnsi="宋体" w:cs="宋体"/>
                <w:b/>
                <w:color w:val="auto"/>
                <w:sz w:val="22"/>
                <w:szCs w:val="22"/>
                <w:highlight w:val="none"/>
              </w:rPr>
              <w:t>同义词语：</w:t>
            </w:r>
          </w:p>
          <w:p>
            <w:pPr>
              <w:pStyle w:val="24"/>
              <w:spacing w:before="0" w:beforeAutospacing="0" w:after="0" w:afterAutospacing="0" w:line="360" w:lineRule="auto"/>
              <w:ind w:firstLine="0" w:firstLineChars="0"/>
              <w:rPr>
                <w:rFonts w:hint="eastAsia" w:hAnsi="宋体" w:cs="宋体"/>
                <w:color w:val="auto"/>
                <w:sz w:val="22"/>
                <w:szCs w:val="22"/>
                <w:highlight w:val="none"/>
              </w:rPr>
            </w:pPr>
            <w:r>
              <w:rPr>
                <w:rFonts w:hint="eastAsia" w:hAnsi="宋体" w:cs="宋体"/>
                <w:color w:val="auto"/>
                <w:sz w:val="22"/>
                <w:szCs w:val="22"/>
                <w:highlight w:val="none"/>
              </w:rPr>
              <w:t>构成招标文件组成部分的“通用合同条款”、“专用合同条款”、“技术标准和要求”等章节中出现的措辞“发包人”和“承包人”，在招标投标阶段应当分别按“招标人”和“投标人”进行理解。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10.7</w:t>
            </w:r>
          </w:p>
        </w:tc>
        <w:tc>
          <w:tcPr>
            <w:tcW w:w="8349" w:type="dxa"/>
            <w:gridSpan w:val="4"/>
            <w:noWrap w:val="0"/>
            <w:vAlign w:val="center"/>
          </w:tcPr>
          <w:p>
            <w:pPr>
              <w:pStyle w:val="24"/>
              <w:spacing w:before="0" w:beforeAutospacing="0" w:after="0" w:afterAutospacing="0" w:line="360" w:lineRule="auto"/>
              <w:ind w:firstLine="0" w:firstLineChars="0"/>
              <w:jc w:val="both"/>
              <w:rPr>
                <w:rFonts w:hint="eastAsia" w:hAnsi="宋体" w:cs="宋体"/>
                <w:color w:val="auto"/>
                <w:sz w:val="22"/>
                <w:szCs w:val="22"/>
                <w:highlight w:val="none"/>
              </w:rPr>
            </w:pPr>
            <w:r>
              <w:rPr>
                <w:rFonts w:hint="eastAsia" w:hAnsi="宋体" w:cs="宋体"/>
                <w:b/>
                <w:bCs/>
                <w:color w:val="auto"/>
                <w:sz w:val="22"/>
                <w:szCs w:val="22"/>
                <w:highlight w:val="none"/>
              </w:rPr>
              <w:t>投标补偿：</w:t>
            </w:r>
            <w:r>
              <w:rPr>
                <w:rFonts w:hint="eastAsia" w:hAnsi="宋体" w:cs="宋体"/>
                <w:color w:val="auto"/>
                <w:sz w:val="22"/>
                <w:szCs w:val="22"/>
                <w:highlight w:val="none"/>
              </w:rPr>
              <w:t>招标人不对本项目的中标人和未中标人支付任何投标补偿费用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10.8</w:t>
            </w:r>
          </w:p>
        </w:tc>
        <w:tc>
          <w:tcPr>
            <w:tcW w:w="8349" w:type="dxa"/>
            <w:gridSpan w:val="4"/>
            <w:noWrap w:val="0"/>
            <w:vAlign w:val="center"/>
          </w:tcPr>
          <w:p>
            <w:pPr>
              <w:pStyle w:val="24"/>
              <w:spacing w:before="0" w:beforeAutospacing="0" w:after="0" w:afterAutospacing="0" w:line="360" w:lineRule="auto"/>
              <w:ind w:firstLine="0" w:firstLineChars="0"/>
              <w:rPr>
                <w:rFonts w:hint="eastAsia" w:hAnsi="宋体" w:cs="宋体"/>
                <w:color w:val="auto"/>
                <w:kern w:val="0"/>
                <w:sz w:val="22"/>
                <w:szCs w:val="22"/>
                <w:highlight w:val="none"/>
              </w:rPr>
            </w:pPr>
            <w:r>
              <w:rPr>
                <w:rFonts w:hint="eastAsia" w:hAnsi="宋体" w:cs="宋体"/>
                <w:b/>
                <w:color w:val="auto"/>
                <w:sz w:val="22"/>
                <w:szCs w:val="22"/>
                <w:highlight w:val="none"/>
              </w:rPr>
              <w:t>价款支付方式：</w:t>
            </w:r>
            <w:r>
              <w:rPr>
                <w:rFonts w:hint="eastAsia" w:hAnsi="宋体" w:cs="宋体"/>
                <w:color w:val="auto"/>
                <w:kern w:val="0"/>
                <w:sz w:val="22"/>
                <w:szCs w:val="22"/>
                <w:highlight w:val="none"/>
              </w:rPr>
              <w:t>按合同约定执行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10.9</w:t>
            </w:r>
          </w:p>
        </w:tc>
        <w:tc>
          <w:tcPr>
            <w:tcW w:w="8349" w:type="dxa"/>
            <w:gridSpan w:val="4"/>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rPr>
            </w:pPr>
            <w:r>
              <w:rPr>
                <w:rFonts w:hint="eastAsia" w:hAnsi="宋体" w:cs="宋体"/>
                <w:b/>
                <w:color w:val="auto"/>
                <w:sz w:val="22"/>
                <w:szCs w:val="22"/>
                <w:highlight w:val="none"/>
              </w:rPr>
              <w:t>异议：</w:t>
            </w:r>
          </w:p>
          <w:p>
            <w:pPr>
              <w:pStyle w:val="24"/>
              <w:spacing w:before="0" w:beforeAutospacing="0" w:after="0" w:afterAutospacing="0" w:line="360" w:lineRule="auto"/>
              <w:ind w:firstLine="0" w:firstLineChars="0"/>
              <w:rPr>
                <w:rFonts w:hint="eastAsia" w:hAnsi="宋体" w:cs="宋体"/>
                <w:color w:val="auto"/>
                <w:sz w:val="22"/>
                <w:szCs w:val="22"/>
                <w:highlight w:val="none"/>
              </w:rPr>
            </w:pPr>
            <w:r>
              <w:rPr>
                <w:rFonts w:hint="eastAsia" w:hAnsi="宋体" w:cs="宋体"/>
                <w:color w:val="auto"/>
                <w:sz w:val="22"/>
                <w:szCs w:val="22"/>
                <w:highlight w:val="none"/>
              </w:rPr>
              <w:t>对于评标结果的异议，应当在公示期内提出。异议人对异议事项承担举证责任，异议人对自己提出的异议事项，应当提供事实依据与具体理由，未提供的不予受理。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1101" w:type="dxa"/>
            <w:noWrap w:val="0"/>
            <w:vAlign w:val="center"/>
          </w:tcPr>
          <w:p>
            <w:pPr>
              <w:pStyle w:val="24"/>
              <w:spacing w:before="0" w:beforeAutospacing="0" w:after="0" w:afterAutospacing="0" w:line="360" w:lineRule="auto"/>
              <w:ind w:firstLine="0" w:firstLineChars="0"/>
              <w:jc w:val="center"/>
              <w:rPr>
                <w:rFonts w:hint="eastAsia" w:hAnsi="宋体" w:cs="宋体"/>
                <w:color w:val="auto"/>
                <w:sz w:val="22"/>
                <w:szCs w:val="22"/>
                <w:highlight w:val="none"/>
              </w:rPr>
            </w:pPr>
            <w:r>
              <w:rPr>
                <w:rFonts w:hint="eastAsia" w:hAnsi="宋体" w:cs="宋体"/>
                <w:color w:val="auto"/>
                <w:sz w:val="22"/>
                <w:szCs w:val="22"/>
                <w:highlight w:val="none"/>
              </w:rPr>
              <w:t>10.10</w:t>
            </w:r>
          </w:p>
        </w:tc>
        <w:tc>
          <w:tcPr>
            <w:tcW w:w="8349" w:type="dxa"/>
            <w:gridSpan w:val="4"/>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rPr>
            </w:pPr>
            <w:r>
              <w:rPr>
                <w:rFonts w:hint="eastAsia" w:hAnsi="宋体" w:cs="宋体"/>
                <w:b/>
                <w:color w:val="auto"/>
                <w:sz w:val="22"/>
                <w:szCs w:val="22"/>
                <w:highlight w:val="none"/>
              </w:rPr>
              <w:t>招标代理费：</w:t>
            </w:r>
          </w:p>
          <w:p>
            <w:pPr>
              <w:pStyle w:val="24"/>
              <w:spacing w:before="0" w:beforeAutospacing="0" w:after="0" w:afterAutospacing="0" w:line="360" w:lineRule="auto"/>
              <w:ind w:firstLine="0" w:firstLineChars="0"/>
              <w:rPr>
                <w:rFonts w:hint="eastAsia" w:hAnsi="宋体" w:cs="宋体"/>
                <w:color w:val="auto"/>
                <w:sz w:val="22"/>
                <w:szCs w:val="22"/>
              </w:rPr>
            </w:pPr>
            <w:r>
              <w:rPr>
                <w:rFonts w:hint="eastAsia" w:hAnsi="宋体" w:cs="宋体"/>
                <w:color w:val="auto"/>
                <w:sz w:val="22"/>
                <w:szCs w:val="22"/>
                <w:highlight w:val="none"/>
              </w:rPr>
              <w:t>招标代理服务费由中标人以现金或者转账的形式向招标代理机构一次性支付。参照豫招协【</w:t>
            </w:r>
            <w:r>
              <w:rPr>
                <w:rFonts w:hint="eastAsia" w:hAnsi="宋体" w:cs="宋体"/>
                <w:color w:val="auto"/>
                <w:sz w:val="22"/>
                <w:szCs w:val="22"/>
                <w:highlight w:val="none"/>
                <w:lang w:eastAsia="zh-CN"/>
              </w:rPr>
              <w:t>202</w:t>
            </w:r>
            <w:r>
              <w:rPr>
                <w:rFonts w:hint="eastAsia" w:hAnsi="宋体" w:cs="宋体"/>
                <w:color w:val="auto"/>
                <w:sz w:val="22"/>
                <w:szCs w:val="22"/>
                <w:highlight w:val="none"/>
                <w:lang w:val="en-US" w:eastAsia="zh-CN"/>
              </w:rPr>
              <w:t>3</w:t>
            </w:r>
            <w:r>
              <w:rPr>
                <w:rFonts w:hint="eastAsia" w:hAnsi="宋体" w:cs="宋体"/>
                <w:color w:val="auto"/>
                <w:sz w:val="22"/>
                <w:szCs w:val="22"/>
                <w:highlight w:val="none"/>
              </w:rPr>
              <w:t>】002号文规定计算。</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1" w:hRule="atLeast"/>
          <w:jc w:val="center"/>
        </w:trPr>
        <w:tc>
          <w:tcPr>
            <w:tcW w:w="1119" w:type="dxa"/>
            <w:gridSpan w:val="2"/>
            <w:tcBorders>
              <w:right w:val="single" w:color="auto" w:sz="4" w:space="0"/>
            </w:tcBorders>
            <w:noWrap w:val="0"/>
            <w:vAlign w:val="center"/>
          </w:tcPr>
          <w:p>
            <w:pPr>
              <w:pStyle w:val="24"/>
              <w:spacing w:before="0" w:beforeAutospacing="0" w:after="0" w:afterAutospacing="0" w:line="360" w:lineRule="auto"/>
              <w:ind w:firstLine="0" w:firstLineChars="0"/>
              <w:jc w:val="center"/>
              <w:rPr>
                <w:rFonts w:hint="eastAsia" w:hAnsi="宋体" w:cs="宋体"/>
                <w:b/>
                <w:bCs/>
                <w:color w:val="auto"/>
                <w:sz w:val="22"/>
                <w:szCs w:val="22"/>
                <w:highlight w:val="none"/>
              </w:rPr>
            </w:pPr>
            <w:r>
              <w:rPr>
                <w:rFonts w:hint="eastAsia" w:hAnsi="宋体" w:cs="宋体"/>
                <w:b/>
                <w:bCs/>
                <w:color w:val="auto"/>
                <w:sz w:val="22"/>
                <w:szCs w:val="22"/>
                <w:highlight w:val="none"/>
              </w:rPr>
              <w:t>10.11</w:t>
            </w:r>
          </w:p>
        </w:tc>
        <w:tc>
          <w:tcPr>
            <w:tcW w:w="8331" w:type="dxa"/>
            <w:gridSpan w:val="3"/>
            <w:tcBorders>
              <w:left w:val="single" w:color="auto" w:sz="4" w:space="0"/>
            </w:tcBorders>
            <w:noWrap w:val="0"/>
            <w:vAlign w:val="center"/>
          </w:tcPr>
          <w:p>
            <w:pPr>
              <w:pStyle w:val="24"/>
              <w:spacing w:before="0" w:beforeAutospacing="0" w:after="0" w:afterAutospacing="0" w:line="360" w:lineRule="auto"/>
              <w:ind w:firstLine="0" w:firstLineChars="0"/>
              <w:rPr>
                <w:rFonts w:hint="eastAsia" w:hAnsi="宋体" w:cs="宋体"/>
                <w:b/>
                <w:bCs/>
                <w:color w:val="auto"/>
                <w:sz w:val="22"/>
                <w:szCs w:val="22"/>
                <w:highlight w:val="none"/>
              </w:rPr>
            </w:pPr>
            <w:r>
              <w:rPr>
                <w:rFonts w:hint="eastAsia" w:hAnsi="宋体" w:cs="宋体"/>
                <w:b/>
                <w:bCs/>
                <w:color w:val="auto"/>
                <w:sz w:val="22"/>
                <w:szCs w:val="22"/>
                <w:highlight w:val="none"/>
              </w:rPr>
              <w:t>审查内容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pStyle w:val="24"/>
              <w:spacing w:before="0" w:beforeAutospacing="0" w:after="0" w:afterAutospacing="0" w:line="360" w:lineRule="auto"/>
              <w:ind w:firstLine="0" w:firstLineChars="0"/>
              <w:rPr>
                <w:rFonts w:hint="eastAsia" w:hAnsi="宋体" w:cs="宋体"/>
                <w:b/>
                <w:bCs/>
                <w:color w:val="auto"/>
                <w:sz w:val="22"/>
                <w:szCs w:val="22"/>
                <w:highlight w:val="none"/>
              </w:rPr>
            </w:pPr>
            <w:r>
              <w:rPr>
                <w:rFonts w:hint="eastAsia" w:hAnsi="宋体" w:cs="宋体"/>
                <w:b/>
                <w:bCs/>
                <w:color w:val="auto"/>
                <w:sz w:val="22"/>
                <w:szCs w:val="22"/>
                <w:highlight w:val="none"/>
              </w:rPr>
              <w:t>本项目评标结果公示时，同时公示中标候选人诚信库信息，接受社会监督。</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05" w:hRule="atLeast"/>
          <w:jc w:val="center"/>
        </w:trPr>
        <w:tc>
          <w:tcPr>
            <w:tcW w:w="1119" w:type="dxa"/>
            <w:gridSpan w:val="2"/>
            <w:tcBorders>
              <w:right w:val="single" w:color="auto" w:sz="4" w:space="0"/>
            </w:tcBorders>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b/>
                <w:bCs/>
                <w:color w:val="auto"/>
                <w:sz w:val="22"/>
                <w:szCs w:val="22"/>
                <w:highlight w:val="none"/>
              </w:rPr>
              <w:t>10.12</w:t>
            </w:r>
          </w:p>
        </w:tc>
        <w:tc>
          <w:tcPr>
            <w:tcW w:w="8331" w:type="dxa"/>
            <w:gridSpan w:val="3"/>
            <w:tcBorders>
              <w:left w:val="single" w:color="auto" w:sz="4" w:space="0"/>
            </w:tcBorders>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lang w:bidi="ar"/>
              </w:rPr>
            </w:pPr>
            <w:r>
              <w:rPr>
                <w:rFonts w:hint="eastAsia" w:hAnsi="宋体" w:cs="宋体"/>
                <w:b/>
                <w:color w:val="auto"/>
                <w:sz w:val="22"/>
                <w:szCs w:val="22"/>
                <w:highlight w:val="none"/>
                <w:lang w:bidi="ar"/>
              </w:rPr>
              <w:t>投标文件制作机器码相似度：</w:t>
            </w:r>
          </w:p>
          <w:p>
            <w:pPr>
              <w:pStyle w:val="24"/>
              <w:spacing w:before="0" w:beforeAutospacing="0" w:after="0" w:afterAutospacing="0" w:line="360" w:lineRule="auto"/>
              <w:ind w:firstLine="0" w:firstLineChars="0"/>
              <w:rPr>
                <w:rFonts w:hint="eastAsia" w:hAnsi="宋体" w:cs="宋体"/>
                <w:b/>
                <w:color w:val="auto"/>
                <w:sz w:val="22"/>
                <w:szCs w:val="22"/>
                <w:highlight w:val="none"/>
                <w:lang w:bidi="ar"/>
              </w:rPr>
            </w:pPr>
            <w:r>
              <w:rPr>
                <w:rFonts w:hint="eastAsia" w:hAnsi="宋体" w:cs="宋体"/>
                <w:b/>
                <w:color w:val="auto"/>
                <w:sz w:val="22"/>
                <w:szCs w:val="22"/>
                <w:highlight w:val="none"/>
                <w:lang w:bidi="ar"/>
              </w:rPr>
              <w:t>依据豫发改公管〔2019〕198号文要求，投标人投标文件制作机器码一致视为串通投标行为，做废标处理，需投标人自行承担责任。</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5" w:hRule="atLeast"/>
          <w:jc w:val="center"/>
        </w:trPr>
        <w:tc>
          <w:tcPr>
            <w:tcW w:w="1119" w:type="dxa"/>
            <w:gridSpan w:val="2"/>
            <w:tcBorders>
              <w:right w:val="single" w:color="auto" w:sz="4" w:space="0"/>
            </w:tcBorders>
            <w:noWrap w:val="0"/>
            <w:vAlign w:val="center"/>
          </w:tcPr>
          <w:p>
            <w:pPr>
              <w:autoSpaceDE w:val="0"/>
              <w:autoSpaceDN w:val="0"/>
              <w:adjustRightInd w:val="0"/>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10.13</w:t>
            </w:r>
          </w:p>
        </w:tc>
        <w:tc>
          <w:tcPr>
            <w:tcW w:w="8331" w:type="dxa"/>
            <w:gridSpan w:val="3"/>
            <w:tcBorders>
              <w:left w:val="single" w:color="auto" w:sz="4" w:space="0"/>
            </w:tcBorders>
            <w:noWrap w:val="0"/>
            <w:vAlign w:val="center"/>
          </w:tcPr>
          <w:p>
            <w:pPr>
              <w:pStyle w:val="24"/>
              <w:spacing w:before="0" w:beforeAutospacing="0" w:after="0" w:afterAutospacing="0" w:line="360" w:lineRule="auto"/>
              <w:ind w:firstLine="0" w:firstLineChars="0"/>
              <w:rPr>
                <w:rFonts w:hint="eastAsia" w:hAnsi="宋体" w:cs="宋体"/>
                <w:b/>
                <w:color w:val="auto"/>
                <w:sz w:val="22"/>
                <w:szCs w:val="22"/>
                <w:highlight w:val="none"/>
              </w:rPr>
            </w:pPr>
            <w:r>
              <w:rPr>
                <w:rFonts w:hint="eastAsia" w:hAnsi="宋体" w:cs="宋体"/>
                <w:b/>
                <w:color w:val="auto"/>
                <w:sz w:val="22"/>
                <w:szCs w:val="22"/>
                <w:highlight w:val="none"/>
              </w:rPr>
              <w:t>解释权：</w:t>
            </w:r>
          </w:p>
          <w:p>
            <w:pPr>
              <w:pStyle w:val="24"/>
              <w:spacing w:before="0" w:beforeAutospacing="0" w:after="0" w:afterAutospacing="0" w:line="360" w:lineRule="auto"/>
              <w:ind w:firstLine="0" w:firstLineChars="0"/>
              <w:rPr>
                <w:rFonts w:hint="eastAsia" w:hAnsi="宋体" w:cs="宋体"/>
                <w:color w:val="auto"/>
                <w:sz w:val="22"/>
                <w:szCs w:val="22"/>
                <w:highlight w:val="none"/>
              </w:rPr>
            </w:pPr>
            <w:r>
              <w:rPr>
                <w:rFonts w:hint="eastAsia" w:hAnsi="宋体" w:cs="宋体"/>
                <w:color w:val="auto"/>
                <w:sz w:val="22"/>
                <w:szCs w:val="22"/>
                <w:highlight w:val="none"/>
              </w:rPr>
              <w:t>构成本招标文件的各个组成文件应互为解释，互为说明；如有不明确或不一致，构成合同文件组成内容，以合同文件约定内容为准，且以专用合同条款约定的合同文件优先顺序解释；除招标文件中有特别规定外，仅适用于招标投标阶段的规定，按招标公告、投标人须知、评标办法、投标文件格式的编排顺序在前者为准解释；同一组成文件中就同一事项的规定或约定不一致的，以编排顺序在前者为准；同一组成文件不同版本之间有不一致的，以形成时间在后者为准。按本款前述规定仍不能形成结论的，由招标人负责解释。在评标过程中，若招标文件中就同一内容，有表达不一致的情形的，且潜在投标人在招标文件规定的提出异议和澄清的时间内未提出异议或其他澄清要求的，则由评标委员会按照有利于招标人的方向理解。</w:t>
            </w:r>
          </w:p>
        </w:tc>
      </w:tr>
    </w:tbl>
    <w:p>
      <w:pPr>
        <w:pStyle w:val="45"/>
        <w:spacing w:line="360" w:lineRule="auto"/>
        <w:jc w:val="both"/>
        <w:rPr>
          <w:rFonts w:hint="eastAsia" w:ascii="宋体" w:hAnsi="宋体" w:cs="宋体"/>
          <w:color w:val="auto"/>
          <w:sz w:val="24"/>
          <w:szCs w:val="24"/>
          <w:highlight w:val="none"/>
        </w:rPr>
      </w:pPr>
      <w:bookmarkStart w:id="14" w:name="_Toc152042305"/>
      <w:bookmarkStart w:id="15" w:name="_Toc152045529"/>
      <w:bookmarkStart w:id="16" w:name="_Toc29395"/>
      <w:bookmarkStart w:id="17" w:name="_Toc330623985"/>
      <w:bookmarkStart w:id="18" w:name="_Toc330911147"/>
      <w:bookmarkStart w:id="19" w:name="_Toc179632546"/>
      <w:bookmarkStart w:id="20" w:name="_Toc144974497"/>
      <w:r>
        <w:rPr>
          <w:rFonts w:hint="eastAsia" w:ascii="宋体" w:hAnsi="宋体" w:cs="宋体"/>
          <w:color w:val="auto"/>
          <w:sz w:val="24"/>
          <w:szCs w:val="24"/>
          <w:highlight w:val="none"/>
        </w:rPr>
        <w:br w:type="page"/>
      </w:r>
      <w:bookmarkStart w:id="21" w:name="_Toc18500"/>
      <w:r>
        <w:rPr>
          <w:rFonts w:hint="eastAsia" w:ascii="宋体" w:hAnsi="宋体" w:cs="宋体"/>
          <w:color w:val="auto"/>
          <w:sz w:val="24"/>
          <w:szCs w:val="24"/>
          <w:highlight w:val="none"/>
        </w:rPr>
        <w:t>1. 总则</w:t>
      </w:r>
      <w:bookmarkEnd w:id="14"/>
      <w:bookmarkEnd w:id="15"/>
      <w:bookmarkEnd w:id="16"/>
      <w:bookmarkEnd w:id="17"/>
      <w:bookmarkEnd w:id="18"/>
      <w:bookmarkEnd w:id="19"/>
      <w:bookmarkEnd w:id="20"/>
      <w:bookmarkEnd w:id="21"/>
    </w:p>
    <w:p>
      <w:pPr>
        <w:pStyle w:val="247"/>
        <w:spacing w:line="360" w:lineRule="auto"/>
        <w:rPr>
          <w:rFonts w:hint="eastAsia" w:ascii="宋体" w:hAnsi="宋体" w:eastAsia="宋体"/>
          <w:b/>
          <w:color w:val="auto"/>
          <w:szCs w:val="24"/>
          <w:highlight w:val="none"/>
        </w:rPr>
      </w:pPr>
      <w:bookmarkStart w:id="22" w:name="_Toc3570"/>
      <w:bookmarkStart w:id="23" w:name="_Toc144974498"/>
      <w:bookmarkStart w:id="24" w:name="_Toc25269"/>
      <w:bookmarkStart w:id="25" w:name="_Toc3787"/>
      <w:bookmarkStart w:id="26" w:name="_Toc179632547"/>
      <w:bookmarkStart w:id="27" w:name="_Toc330911148"/>
      <w:bookmarkStart w:id="28" w:name="_Toc330623986"/>
      <w:bookmarkStart w:id="29" w:name="_Toc31341"/>
      <w:bookmarkStart w:id="30" w:name="_Toc15056"/>
      <w:bookmarkStart w:id="31" w:name="_Toc19518"/>
      <w:bookmarkStart w:id="32" w:name="_Toc152042306"/>
      <w:bookmarkStart w:id="33" w:name="_Toc152045530"/>
      <w:r>
        <w:rPr>
          <w:rFonts w:hint="eastAsia" w:ascii="宋体" w:hAnsi="宋体" w:eastAsia="宋体"/>
          <w:b/>
          <w:color w:val="auto"/>
          <w:szCs w:val="24"/>
          <w:highlight w:val="none"/>
        </w:rPr>
        <w:t>1.1 项目概况</w:t>
      </w:r>
      <w:bookmarkEnd w:id="22"/>
      <w:bookmarkEnd w:id="23"/>
      <w:bookmarkEnd w:id="24"/>
      <w:bookmarkEnd w:id="25"/>
      <w:bookmarkEnd w:id="26"/>
      <w:bookmarkEnd w:id="27"/>
      <w:bookmarkEnd w:id="28"/>
      <w:bookmarkEnd w:id="29"/>
      <w:bookmarkEnd w:id="30"/>
      <w:bookmarkEnd w:id="31"/>
      <w:bookmarkEnd w:id="32"/>
      <w:bookmarkEnd w:id="33"/>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根据《中华人民共和国招标投标法》等有关法律、法规和规章的规定，本招标项目已具备招标条件，现对本</w:t>
      </w:r>
      <w:r>
        <w:rPr>
          <w:rFonts w:hint="eastAsia" w:ascii="宋体" w:hAnsi="宋体" w:cs="宋体"/>
          <w:color w:val="auto"/>
          <w:sz w:val="22"/>
          <w:szCs w:val="22"/>
          <w:highlight w:val="none"/>
          <w:lang w:eastAsia="zh-CN"/>
        </w:rPr>
        <w:t>项目</w:t>
      </w:r>
      <w:r>
        <w:rPr>
          <w:rFonts w:hint="eastAsia" w:ascii="宋体" w:hAnsi="宋体" w:cs="宋体"/>
          <w:color w:val="auto"/>
          <w:sz w:val="22"/>
          <w:szCs w:val="22"/>
          <w:highlight w:val="none"/>
        </w:rPr>
        <w:t>进行招标。</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rPr>
        <w:t xml:space="preserve"> 本项目招标人：见投标人须知前附表。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 xml:space="preserve"> 本项目招标代理机构：见投标人须知前附表。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 xml:space="preserve"> 本项目</w:t>
      </w:r>
      <w:r>
        <w:rPr>
          <w:rFonts w:hint="eastAsia" w:ascii="宋体" w:hAnsi="宋体" w:cs="宋体"/>
          <w:color w:val="auto"/>
          <w:sz w:val="22"/>
          <w:szCs w:val="22"/>
          <w:highlight w:val="none"/>
          <w:lang w:eastAsia="zh-CN"/>
        </w:rPr>
        <w:t>项目名称</w:t>
      </w:r>
      <w:r>
        <w:rPr>
          <w:rFonts w:hint="eastAsia" w:ascii="宋体" w:hAnsi="宋体" w:cs="宋体"/>
          <w:color w:val="auto"/>
          <w:sz w:val="22"/>
          <w:szCs w:val="22"/>
          <w:highlight w:val="none"/>
        </w:rPr>
        <w:t>：见投标人须知前附表。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w:t>
      </w: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 xml:space="preserve"> 本项目建设地点：见投标人须知前附表。</w:t>
      </w:r>
    </w:p>
    <w:p>
      <w:pPr>
        <w:pStyle w:val="247"/>
        <w:spacing w:line="360" w:lineRule="auto"/>
        <w:rPr>
          <w:rFonts w:hint="eastAsia" w:ascii="宋体" w:hAnsi="宋体" w:eastAsia="宋体"/>
          <w:b/>
          <w:color w:val="auto"/>
          <w:szCs w:val="24"/>
          <w:highlight w:val="none"/>
        </w:rPr>
      </w:pPr>
      <w:bookmarkStart w:id="34" w:name="_Toc152042307"/>
      <w:bookmarkStart w:id="35" w:name="_Toc13436"/>
      <w:bookmarkStart w:id="36" w:name="_Toc144974499"/>
      <w:bookmarkStart w:id="37" w:name="_Toc21924"/>
      <w:bookmarkStart w:id="38" w:name="_Toc30544"/>
      <w:bookmarkStart w:id="39" w:name="_Toc152045531"/>
      <w:bookmarkStart w:id="40" w:name="_Toc11710"/>
      <w:bookmarkStart w:id="41" w:name="_Toc330911149"/>
      <w:bookmarkStart w:id="42" w:name="_Toc17614"/>
      <w:bookmarkStart w:id="43" w:name="_Toc179632548"/>
      <w:bookmarkStart w:id="44" w:name="_Toc13664"/>
      <w:bookmarkStart w:id="45" w:name="_Toc330623987"/>
      <w:r>
        <w:rPr>
          <w:rFonts w:hint="eastAsia" w:ascii="宋体" w:hAnsi="宋体" w:eastAsia="宋体"/>
          <w:b/>
          <w:color w:val="auto"/>
          <w:szCs w:val="24"/>
          <w:highlight w:val="none"/>
        </w:rPr>
        <w:t>1.2 资金来源和落实情况</w:t>
      </w:r>
      <w:bookmarkEnd w:id="34"/>
      <w:bookmarkEnd w:id="35"/>
      <w:bookmarkEnd w:id="36"/>
      <w:bookmarkEnd w:id="37"/>
      <w:bookmarkEnd w:id="38"/>
      <w:bookmarkEnd w:id="39"/>
      <w:bookmarkEnd w:id="40"/>
      <w:bookmarkEnd w:id="41"/>
      <w:bookmarkEnd w:id="42"/>
      <w:bookmarkEnd w:id="43"/>
      <w:bookmarkEnd w:id="44"/>
      <w:bookmarkEnd w:id="45"/>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1.2.1 本项目的资金来源：见投标人须知前附表。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1.2.2 本项目的资金落实情况：见投标人须知前附表。</w:t>
      </w:r>
    </w:p>
    <w:p>
      <w:pPr>
        <w:pStyle w:val="247"/>
        <w:spacing w:line="360" w:lineRule="auto"/>
        <w:rPr>
          <w:rFonts w:hint="eastAsia" w:ascii="宋体" w:hAnsi="宋体" w:eastAsia="宋体"/>
          <w:b/>
          <w:color w:val="auto"/>
          <w:szCs w:val="24"/>
          <w:highlight w:val="none"/>
        </w:rPr>
      </w:pPr>
      <w:bookmarkStart w:id="46" w:name="_Toc26772"/>
      <w:bookmarkStart w:id="47" w:name="_Toc179632549"/>
      <w:bookmarkStart w:id="48" w:name="_Toc12579"/>
      <w:bookmarkStart w:id="49" w:name="_Toc330623988"/>
      <w:bookmarkStart w:id="50" w:name="_Toc144974500"/>
      <w:bookmarkStart w:id="51" w:name="_Toc330911150"/>
      <w:bookmarkStart w:id="52" w:name="_Toc7163"/>
      <w:bookmarkStart w:id="53" w:name="_Toc17370"/>
      <w:bookmarkStart w:id="54" w:name="_Toc152045532"/>
      <w:bookmarkStart w:id="55" w:name="_Toc31629"/>
      <w:bookmarkStart w:id="56" w:name="_Toc152042308"/>
      <w:bookmarkStart w:id="57" w:name="_Toc21774"/>
      <w:r>
        <w:rPr>
          <w:rFonts w:hint="eastAsia" w:ascii="宋体" w:hAnsi="宋体" w:eastAsia="宋体"/>
          <w:b/>
          <w:color w:val="auto"/>
          <w:szCs w:val="24"/>
          <w:highlight w:val="none"/>
        </w:rPr>
        <w:t>1.3 招标范围、工期和质量要求</w:t>
      </w:r>
      <w:bookmarkEnd w:id="46"/>
      <w:bookmarkEnd w:id="47"/>
      <w:bookmarkEnd w:id="48"/>
      <w:bookmarkEnd w:id="49"/>
      <w:bookmarkEnd w:id="50"/>
      <w:bookmarkEnd w:id="51"/>
      <w:bookmarkEnd w:id="52"/>
      <w:bookmarkEnd w:id="53"/>
      <w:bookmarkEnd w:id="54"/>
      <w:bookmarkEnd w:id="55"/>
      <w:bookmarkEnd w:id="56"/>
      <w:bookmarkEnd w:id="57"/>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1.3.1 本次招标范围：见投标人须知前附表。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1.3.2 工期：见投标人须知前附表。</w:t>
      </w:r>
    </w:p>
    <w:p>
      <w:pPr>
        <w:spacing w:line="360" w:lineRule="auto"/>
        <w:rPr>
          <w:rFonts w:hint="eastAsia" w:ascii="宋体" w:hAnsi="宋体" w:cs="宋体"/>
          <w:color w:val="auto"/>
          <w:szCs w:val="21"/>
          <w:highlight w:val="none"/>
        </w:rPr>
      </w:pPr>
      <w:r>
        <w:rPr>
          <w:rFonts w:hint="eastAsia" w:ascii="宋体" w:hAnsi="宋体" w:cs="宋体"/>
          <w:color w:val="auto"/>
          <w:sz w:val="22"/>
          <w:szCs w:val="22"/>
          <w:highlight w:val="none"/>
        </w:rPr>
        <w:t>1.3.3 质量要求：见投标人须知前附表。</w:t>
      </w:r>
    </w:p>
    <w:p>
      <w:pPr>
        <w:pStyle w:val="247"/>
        <w:spacing w:line="360" w:lineRule="auto"/>
        <w:rPr>
          <w:rFonts w:hint="eastAsia" w:ascii="宋体" w:hAnsi="宋体" w:eastAsia="宋体"/>
          <w:b/>
          <w:color w:val="auto"/>
          <w:szCs w:val="24"/>
          <w:highlight w:val="none"/>
        </w:rPr>
      </w:pPr>
      <w:bookmarkStart w:id="58" w:name="_Toc1679"/>
      <w:bookmarkStart w:id="59" w:name="_Toc152045534"/>
      <w:bookmarkStart w:id="60" w:name="_Toc11883"/>
      <w:bookmarkStart w:id="61" w:name="_Toc4713"/>
      <w:bookmarkStart w:id="62" w:name="_Toc144974502"/>
      <w:bookmarkStart w:id="63" w:name="_Toc179632551"/>
      <w:bookmarkStart w:id="64" w:name="_Toc330623989"/>
      <w:bookmarkStart w:id="65" w:name="_Toc18363"/>
      <w:bookmarkStart w:id="66" w:name="_Toc32148"/>
      <w:bookmarkStart w:id="67" w:name="_Toc152042310"/>
      <w:bookmarkStart w:id="68" w:name="_Toc18422"/>
      <w:bookmarkStart w:id="69" w:name="_Toc330911151"/>
      <w:r>
        <w:rPr>
          <w:rFonts w:hint="eastAsia" w:ascii="宋体" w:hAnsi="宋体" w:eastAsia="宋体"/>
          <w:b/>
          <w:color w:val="auto"/>
          <w:szCs w:val="24"/>
          <w:highlight w:val="none"/>
        </w:rPr>
        <w:t>1.4 投标人资格要求</w:t>
      </w:r>
      <w:bookmarkEnd w:id="58"/>
      <w:bookmarkEnd w:id="59"/>
      <w:bookmarkEnd w:id="60"/>
      <w:bookmarkEnd w:id="61"/>
      <w:bookmarkEnd w:id="62"/>
      <w:bookmarkEnd w:id="63"/>
      <w:bookmarkEnd w:id="64"/>
      <w:bookmarkEnd w:id="65"/>
      <w:bookmarkEnd w:id="66"/>
      <w:bookmarkEnd w:id="67"/>
      <w:bookmarkEnd w:id="68"/>
      <w:bookmarkEnd w:id="69"/>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1.4.1投标人应具备承担本项目的资质条件、能力和信誉。</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（1）资质条件：见投标人须知前附表；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（2）财务要求：见投标人须知前附表；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（3）信誉要求：见投标人须知前附表；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（4）项目经理：见投标人须知前附表；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（5）其他要求：见投标人须知前附表。</w:t>
      </w:r>
    </w:p>
    <w:p>
      <w:pPr>
        <w:spacing w:line="360" w:lineRule="auto"/>
        <w:rPr>
          <w:rFonts w:hint="eastAsia" w:ascii="宋体" w:hAnsi="宋体" w:cs="宋体"/>
          <w:color w:val="auto"/>
          <w:sz w:val="22"/>
          <w:szCs w:val="22"/>
          <w:highlight w:val="none"/>
        </w:rPr>
      </w:pPr>
      <w:bookmarkStart w:id="70" w:name="_Toc6104"/>
      <w:bookmarkStart w:id="71" w:name="_Toc21097"/>
      <w:bookmarkStart w:id="72" w:name="_Toc2781"/>
      <w:bookmarkStart w:id="73" w:name="_Toc12472"/>
      <w:bookmarkStart w:id="74" w:name="_Toc16462"/>
      <w:r>
        <w:rPr>
          <w:rFonts w:hint="eastAsia" w:ascii="宋体" w:hAnsi="宋体" w:cs="宋体"/>
          <w:color w:val="auto"/>
          <w:sz w:val="22"/>
          <w:szCs w:val="22"/>
          <w:highlight w:val="none"/>
        </w:rPr>
        <w:t>1.4.2是否接受联合体投标：见投标人须知前附表。</w:t>
      </w:r>
      <w:bookmarkEnd w:id="70"/>
      <w:bookmarkEnd w:id="71"/>
      <w:bookmarkEnd w:id="72"/>
      <w:bookmarkEnd w:id="73"/>
      <w:bookmarkEnd w:id="74"/>
      <w:r>
        <w:rPr>
          <w:rFonts w:hint="eastAsia" w:ascii="宋体" w:hAnsi="宋体" w:cs="宋体"/>
          <w:color w:val="auto"/>
          <w:sz w:val="22"/>
          <w:szCs w:val="22"/>
          <w:highlight w:val="none"/>
        </w:rPr>
        <w:t xml:space="preserve"> </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1.4.3 投标人不得存在下列情形之一：</w:t>
      </w:r>
    </w:p>
    <w:p>
      <w:pPr>
        <w:spacing w:line="360" w:lineRule="auto"/>
        <w:ind w:firstLine="444" w:firstLineChars="202"/>
        <w:rPr>
          <w:rFonts w:hint="eastAsia" w:ascii="宋体" w:hAnsi="宋体" w:cs="宋体"/>
          <w:color w:val="auto"/>
          <w:sz w:val="22"/>
          <w:szCs w:val="22"/>
          <w:highlight w:val="none"/>
        </w:rPr>
      </w:pPr>
      <w:bookmarkStart w:id="75" w:name="_Toc144974503"/>
      <w:bookmarkStart w:id="76" w:name="_Toc330911152"/>
      <w:bookmarkStart w:id="77" w:name="_Toc16863"/>
      <w:bookmarkStart w:id="78" w:name="_Toc10047"/>
      <w:bookmarkStart w:id="79" w:name="_Toc12505"/>
      <w:bookmarkStart w:id="80" w:name="_Toc152042311"/>
      <w:bookmarkStart w:id="81" w:name="_Toc31285"/>
      <w:bookmarkStart w:id="82" w:name="_Toc179632552"/>
      <w:bookmarkStart w:id="83" w:name="_Toc4299"/>
      <w:bookmarkStart w:id="84" w:name="_Toc330623990"/>
      <w:bookmarkStart w:id="85" w:name="_Toc152045535"/>
      <w:r>
        <w:rPr>
          <w:rFonts w:hint="eastAsia" w:ascii="宋体" w:hAnsi="宋体" w:cs="宋体"/>
          <w:color w:val="auto"/>
          <w:sz w:val="22"/>
          <w:szCs w:val="22"/>
          <w:highlight w:val="none"/>
        </w:rPr>
        <w:t xml:space="preserve">(l）为招标人不具有独立法人资格的附属机构（单位）; </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(2）为本标段前期准备提供设计或</w:t>
      </w:r>
      <w:r>
        <w:rPr>
          <w:rFonts w:hint="eastAsia" w:ascii="宋体" w:hAnsi="宋体" w:cs="宋体"/>
          <w:color w:val="auto"/>
          <w:sz w:val="22"/>
          <w:szCs w:val="22"/>
          <w:highlight w:val="none"/>
          <w:lang w:eastAsia="zh-CN"/>
        </w:rPr>
        <w:t>造价</w:t>
      </w:r>
      <w:r>
        <w:rPr>
          <w:rFonts w:hint="eastAsia" w:ascii="宋体" w:hAnsi="宋体" w:cs="宋体"/>
          <w:color w:val="auto"/>
          <w:sz w:val="22"/>
          <w:szCs w:val="22"/>
          <w:highlight w:val="none"/>
        </w:rPr>
        <w:t>咨询服务的，但设计施工总承包的除外；</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(3）为本标段的监理人；</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(4）为本标段的代建人；</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(5）为本标段提供招标代理服务的；</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(6）与本标段的监理人或代建人或招标代理机构同为一个法定代表人的；</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(7）与本标段的监理人或代建人或招标代理机构相互控股或参股的；</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(8）与本标段的监理人或代建人或招标代理机构相互任职或工作的；</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(9）被责令停业的；</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(10）被暂停或取消投标资格的；</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(11）财产被接管或冻结的；</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(12）在最近三年内有骗取中标或严重违约或重大工程质量问题的；</w:t>
      </w:r>
    </w:p>
    <w:p>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（13）投标文件制作机器码一致。</w:t>
      </w:r>
    </w:p>
    <w:p>
      <w:pPr>
        <w:pStyle w:val="247"/>
        <w:spacing w:line="360" w:lineRule="auto"/>
        <w:rPr>
          <w:rFonts w:hint="eastAsia" w:ascii="宋体" w:hAnsi="宋体" w:eastAsia="宋体"/>
          <w:b/>
          <w:color w:val="auto"/>
          <w:highlight w:val="none"/>
        </w:rPr>
      </w:pPr>
      <w:bookmarkStart w:id="86" w:name="_Toc6180"/>
      <w:r>
        <w:rPr>
          <w:rFonts w:hint="eastAsia" w:ascii="宋体" w:hAnsi="宋体" w:eastAsia="宋体"/>
          <w:b/>
          <w:color w:val="auto"/>
          <w:highlight w:val="none"/>
        </w:rPr>
        <w:t>1.5 费用承担</w:t>
      </w:r>
      <w:bookmarkEnd w:id="75"/>
      <w:bookmarkEnd w:id="76"/>
      <w:bookmarkEnd w:id="77"/>
      <w:bookmarkEnd w:id="78"/>
      <w:bookmarkEnd w:id="79"/>
      <w:bookmarkEnd w:id="80"/>
      <w:bookmarkEnd w:id="81"/>
      <w:bookmarkEnd w:id="82"/>
      <w:bookmarkEnd w:id="83"/>
      <w:bookmarkEnd w:id="84"/>
      <w:bookmarkEnd w:id="85"/>
      <w:bookmarkEnd w:id="86"/>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投标人准备和参加投标活动发生的费用自理。</w:t>
      </w:r>
    </w:p>
    <w:p>
      <w:pPr>
        <w:pStyle w:val="247"/>
        <w:spacing w:line="360" w:lineRule="auto"/>
        <w:rPr>
          <w:rFonts w:hint="eastAsia" w:ascii="宋体" w:hAnsi="宋体" w:eastAsia="宋体"/>
          <w:b/>
          <w:color w:val="auto"/>
          <w:highlight w:val="none"/>
        </w:rPr>
      </w:pPr>
      <w:bookmarkStart w:id="87" w:name="_Toc144974504"/>
      <w:bookmarkStart w:id="88" w:name="_Toc152042312"/>
      <w:bookmarkStart w:id="89" w:name="_Toc330623991"/>
      <w:bookmarkStart w:id="90" w:name="_Toc152045536"/>
      <w:bookmarkStart w:id="91" w:name="_Toc3827"/>
      <w:bookmarkStart w:id="92" w:name="_Toc22509"/>
      <w:bookmarkStart w:id="93" w:name="_Toc7768"/>
      <w:bookmarkStart w:id="94" w:name="_Toc179632553"/>
      <w:bookmarkStart w:id="95" w:name="_Toc14011"/>
      <w:bookmarkStart w:id="96" w:name="_Toc330911153"/>
      <w:bookmarkStart w:id="97" w:name="_Toc17068"/>
      <w:bookmarkStart w:id="98" w:name="_Toc352"/>
      <w:r>
        <w:rPr>
          <w:rFonts w:hint="eastAsia" w:ascii="宋体" w:hAnsi="宋体" w:eastAsia="宋体"/>
          <w:b/>
          <w:color w:val="auto"/>
          <w:highlight w:val="none"/>
        </w:rPr>
        <w:t>1.6 保密</w:t>
      </w:r>
      <w:bookmarkEnd w:id="87"/>
      <w:bookmarkEnd w:id="88"/>
      <w:bookmarkEnd w:id="89"/>
      <w:bookmarkEnd w:id="90"/>
      <w:bookmarkEnd w:id="91"/>
      <w:bookmarkEnd w:id="92"/>
      <w:bookmarkEnd w:id="93"/>
      <w:bookmarkEnd w:id="94"/>
      <w:bookmarkEnd w:id="95"/>
      <w:bookmarkEnd w:id="96"/>
      <w:bookmarkEnd w:id="97"/>
      <w:bookmarkEnd w:id="98"/>
    </w:p>
    <w:p>
      <w:pPr>
        <w:spacing w:line="360" w:lineRule="auto"/>
        <w:rPr>
          <w:rFonts w:hint="eastAsia" w:ascii="宋体" w:hAnsi="宋体" w:cs="宋体"/>
          <w:color w:val="auto"/>
          <w:highlight w:val="none"/>
        </w:rPr>
      </w:pPr>
      <w:r>
        <w:rPr>
          <w:rFonts w:hint="eastAsia" w:ascii="宋体" w:hAnsi="宋体" w:cs="宋体"/>
          <w:color w:val="auto"/>
          <w:sz w:val="22"/>
          <w:szCs w:val="22"/>
          <w:highlight w:val="none"/>
        </w:rPr>
        <w:t>参与招标投标活动的各方应对招标文件和投标文件中的商业和技术等秘密保密，违者应对由此造成的后果承担法律责任。</w:t>
      </w:r>
      <w:r>
        <w:rPr>
          <w:rFonts w:hint="eastAsia" w:ascii="宋体" w:hAnsi="宋体" w:cs="宋体"/>
          <w:color w:val="auto"/>
          <w:highlight w:val="none"/>
        </w:rPr>
        <w:t xml:space="preserve"> </w:t>
      </w:r>
    </w:p>
    <w:p>
      <w:pPr>
        <w:pStyle w:val="247"/>
        <w:spacing w:line="360" w:lineRule="auto"/>
        <w:rPr>
          <w:rFonts w:hint="eastAsia" w:ascii="宋体" w:hAnsi="宋体" w:eastAsia="宋体"/>
          <w:b/>
          <w:color w:val="auto"/>
          <w:highlight w:val="none"/>
        </w:rPr>
      </w:pPr>
      <w:bookmarkStart w:id="99" w:name="_Toc144974505"/>
      <w:bookmarkStart w:id="100" w:name="_Toc25468"/>
      <w:bookmarkStart w:id="101" w:name="_Toc17722"/>
      <w:bookmarkStart w:id="102" w:name="_Toc330623992"/>
      <w:bookmarkStart w:id="103" w:name="_Toc9225"/>
      <w:bookmarkStart w:id="104" w:name="_Toc27533"/>
      <w:bookmarkStart w:id="105" w:name="_Toc330911154"/>
      <w:bookmarkStart w:id="106" w:name="_Toc179632554"/>
      <w:bookmarkStart w:id="107" w:name="_Toc152042313"/>
      <w:bookmarkStart w:id="108" w:name="_Toc2009"/>
      <w:bookmarkStart w:id="109" w:name="_Toc17944"/>
      <w:bookmarkStart w:id="110" w:name="_Toc152045537"/>
      <w:r>
        <w:rPr>
          <w:rFonts w:hint="eastAsia" w:ascii="宋体" w:hAnsi="宋体" w:eastAsia="宋体"/>
          <w:b/>
          <w:color w:val="auto"/>
          <w:highlight w:val="none"/>
        </w:rPr>
        <w:t>1.7 语言</w:t>
      </w:r>
      <w:bookmarkEnd w:id="99"/>
      <w:r>
        <w:rPr>
          <w:rFonts w:hint="eastAsia" w:ascii="宋体" w:hAnsi="宋体" w:eastAsia="宋体"/>
          <w:b/>
          <w:color w:val="auto"/>
          <w:highlight w:val="none"/>
        </w:rPr>
        <w:t>文字</w:t>
      </w:r>
      <w:bookmarkEnd w:id="100"/>
      <w:bookmarkEnd w:id="101"/>
      <w:bookmarkEnd w:id="102"/>
      <w:bookmarkEnd w:id="103"/>
      <w:bookmarkEnd w:id="104"/>
      <w:bookmarkEnd w:id="105"/>
      <w:bookmarkEnd w:id="106"/>
      <w:bookmarkEnd w:id="107"/>
      <w:bookmarkEnd w:id="108"/>
      <w:bookmarkEnd w:id="109"/>
      <w:bookmarkEnd w:id="110"/>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除专用术语外，与招标投标有关的语言均使用中文。必要时专用术语应附有中文注释。</w:t>
      </w:r>
    </w:p>
    <w:p>
      <w:pPr>
        <w:pStyle w:val="247"/>
        <w:spacing w:line="360" w:lineRule="auto"/>
        <w:rPr>
          <w:rFonts w:hint="eastAsia" w:ascii="宋体" w:hAnsi="宋体" w:eastAsia="宋体"/>
          <w:b/>
          <w:color w:val="auto"/>
          <w:highlight w:val="none"/>
        </w:rPr>
      </w:pPr>
      <w:bookmarkStart w:id="111" w:name="_Toc152045538"/>
      <w:bookmarkStart w:id="112" w:name="_Toc152042314"/>
      <w:bookmarkStart w:id="113" w:name="_Toc330911155"/>
      <w:bookmarkStart w:id="114" w:name="_Toc19056"/>
      <w:bookmarkStart w:id="115" w:name="_Toc17892"/>
      <w:bookmarkStart w:id="116" w:name="_Toc330623993"/>
      <w:bookmarkStart w:id="117" w:name="_Toc179632555"/>
      <w:bookmarkStart w:id="118" w:name="_Toc25912"/>
      <w:bookmarkStart w:id="119" w:name="_Toc23479"/>
      <w:bookmarkStart w:id="120" w:name="_Toc15379"/>
      <w:bookmarkStart w:id="121" w:name="_Toc144974506"/>
      <w:bookmarkStart w:id="122" w:name="_Toc11914"/>
      <w:r>
        <w:rPr>
          <w:rFonts w:hint="eastAsia" w:ascii="宋体" w:hAnsi="宋体" w:eastAsia="宋体"/>
          <w:b/>
          <w:color w:val="auto"/>
          <w:highlight w:val="none"/>
        </w:rPr>
        <w:t>1.8 计量单位</w:t>
      </w:r>
      <w:bookmarkEnd w:id="111"/>
      <w:bookmarkEnd w:id="112"/>
      <w:bookmarkEnd w:id="113"/>
      <w:bookmarkEnd w:id="114"/>
      <w:bookmarkEnd w:id="115"/>
      <w:bookmarkEnd w:id="116"/>
      <w:bookmarkEnd w:id="117"/>
      <w:bookmarkEnd w:id="118"/>
      <w:bookmarkEnd w:id="119"/>
      <w:bookmarkEnd w:id="120"/>
      <w:bookmarkEnd w:id="121"/>
      <w:bookmarkEnd w:id="122"/>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所有计量均采用中华人民共和国法定计量单位。</w:t>
      </w:r>
    </w:p>
    <w:p>
      <w:pPr>
        <w:pStyle w:val="247"/>
        <w:spacing w:line="360" w:lineRule="auto"/>
        <w:rPr>
          <w:rFonts w:hint="eastAsia" w:ascii="宋体" w:hAnsi="宋体" w:eastAsia="宋体"/>
          <w:b/>
          <w:color w:val="auto"/>
          <w:highlight w:val="none"/>
        </w:rPr>
      </w:pPr>
      <w:bookmarkStart w:id="123" w:name="_Toc20784"/>
      <w:bookmarkStart w:id="124" w:name="_Toc330911156"/>
      <w:bookmarkStart w:id="125" w:name="_Toc179632556"/>
      <w:bookmarkStart w:id="126" w:name="_Toc18117"/>
      <w:bookmarkStart w:id="127" w:name="_Toc152042315"/>
      <w:bookmarkStart w:id="128" w:name="_Toc144974507"/>
      <w:bookmarkStart w:id="129" w:name="_Toc18769"/>
      <w:bookmarkStart w:id="130" w:name="_Toc10494"/>
      <w:bookmarkStart w:id="131" w:name="_Toc330623994"/>
      <w:bookmarkStart w:id="132" w:name="_Toc12246"/>
      <w:bookmarkStart w:id="133" w:name="_Toc26720"/>
      <w:bookmarkStart w:id="134" w:name="_Toc152045539"/>
      <w:r>
        <w:rPr>
          <w:rFonts w:hint="eastAsia" w:ascii="宋体" w:hAnsi="宋体" w:eastAsia="宋体"/>
          <w:b/>
          <w:color w:val="auto"/>
          <w:highlight w:val="none"/>
        </w:rPr>
        <w:t>1.9 踏勘现场</w:t>
      </w:r>
      <w:bookmarkEnd w:id="123"/>
      <w:bookmarkEnd w:id="124"/>
      <w:bookmarkEnd w:id="125"/>
      <w:bookmarkEnd w:id="126"/>
      <w:bookmarkEnd w:id="127"/>
      <w:bookmarkEnd w:id="128"/>
      <w:bookmarkEnd w:id="129"/>
      <w:bookmarkEnd w:id="130"/>
      <w:bookmarkEnd w:id="131"/>
      <w:bookmarkEnd w:id="132"/>
      <w:bookmarkEnd w:id="133"/>
      <w:bookmarkEnd w:id="134"/>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1.9.1 投标人须知前附表规定组织踏勘现场的，招标人按投标人须知前附表规定的时间、地点组织投标人踏勘项目现场。 </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1.9.2 投标人踏勘现场发生的费用自理。</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1.9.3 除招标人的原因外，投标人自行负责在踏勘现场中所发生的人员伤亡和财产损失。</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1.9.4 招标人在踏勘现场中介绍的工程场地和相关的周边环境情况，供投标人在编制投标文件时参考，招标人不对投标人据此作出的判断和决策负责。</w:t>
      </w:r>
    </w:p>
    <w:p>
      <w:pPr>
        <w:pStyle w:val="247"/>
        <w:spacing w:line="360" w:lineRule="auto"/>
        <w:rPr>
          <w:rFonts w:hint="eastAsia" w:ascii="宋体" w:hAnsi="宋体" w:eastAsia="宋体"/>
          <w:b/>
          <w:color w:val="auto"/>
          <w:highlight w:val="none"/>
        </w:rPr>
      </w:pPr>
      <w:bookmarkStart w:id="135" w:name="_Toc330623995"/>
      <w:bookmarkStart w:id="136" w:name="_Toc5610"/>
      <w:bookmarkStart w:id="137" w:name="_Toc19188"/>
      <w:bookmarkStart w:id="138" w:name="_Toc144974508"/>
      <w:bookmarkStart w:id="139" w:name="_Toc152045540"/>
      <w:bookmarkStart w:id="140" w:name="_Toc330911157"/>
      <w:bookmarkStart w:id="141" w:name="_Toc28536"/>
      <w:bookmarkStart w:id="142" w:name="_Toc18745"/>
      <w:bookmarkStart w:id="143" w:name="_Toc179632557"/>
      <w:bookmarkStart w:id="144" w:name="_Toc152042316"/>
      <w:bookmarkStart w:id="145" w:name="_Toc26048"/>
      <w:bookmarkStart w:id="146" w:name="_Toc14076"/>
      <w:r>
        <w:rPr>
          <w:rFonts w:hint="eastAsia" w:ascii="宋体" w:hAnsi="宋体" w:eastAsia="宋体"/>
          <w:b/>
          <w:color w:val="auto"/>
          <w:highlight w:val="none"/>
        </w:rPr>
        <w:t>1.10 投标预备会</w:t>
      </w:r>
      <w:bookmarkEnd w:id="135"/>
      <w:bookmarkEnd w:id="136"/>
      <w:bookmarkEnd w:id="137"/>
      <w:bookmarkEnd w:id="138"/>
      <w:bookmarkEnd w:id="139"/>
      <w:bookmarkEnd w:id="140"/>
      <w:bookmarkEnd w:id="141"/>
      <w:bookmarkEnd w:id="142"/>
      <w:bookmarkEnd w:id="143"/>
      <w:bookmarkEnd w:id="144"/>
      <w:bookmarkEnd w:id="145"/>
      <w:bookmarkEnd w:id="146"/>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1.10.1 投标人须知前附表规定召开投标预备会的，招标人按投标人须知前附表规定的时间和地点召开投标预备会，澄清投标人提出的问题。</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1.10.2 投标人应在投标人须知前附表规定的时间前，以书面形式将提出的问题送达招标人，以便招标人在会议期间澄清。</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1.10.3 投标预备会后，招标人在投标人须知前附表规定的时间内，将对投标人所提问题的澄清，以书面方式通知所有购买招标文件的投标人。该澄清内容为招标文件的组成部分。</w:t>
      </w:r>
    </w:p>
    <w:p>
      <w:pPr>
        <w:pStyle w:val="247"/>
        <w:spacing w:line="360" w:lineRule="auto"/>
        <w:rPr>
          <w:rFonts w:hint="eastAsia" w:ascii="宋体" w:hAnsi="宋体" w:eastAsia="宋体"/>
          <w:b/>
          <w:color w:val="auto"/>
          <w:highlight w:val="none"/>
        </w:rPr>
      </w:pPr>
      <w:bookmarkStart w:id="147" w:name="_Toc1185"/>
      <w:bookmarkStart w:id="148" w:name="_Toc330911158"/>
      <w:bookmarkStart w:id="149" w:name="_Toc10351"/>
      <w:bookmarkStart w:id="150" w:name="_Toc31908"/>
      <w:bookmarkStart w:id="151" w:name="_Toc179632558"/>
      <w:bookmarkStart w:id="152" w:name="_Toc27027"/>
      <w:bookmarkStart w:id="153" w:name="_Toc144974509"/>
      <w:bookmarkStart w:id="154" w:name="_Toc330623996"/>
      <w:bookmarkStart w:id="155" w:name="_Toc152045541"/>
      <w:bookmarkStart w:id="156" w:name="_Toc152042317"/>
      <w:bookmarkStart w:id="157" w:name="_Toc30565"/>
      <w:bookmarkStart w:id="158" w:name="_Toc32502"/>
      <w:r>
        <w:rPr>
          <w:rFonts w:hint="eastAsia" w:ascii="宋体" w:hAnsi="宋体" w:eastAsia="宋体"/>
          <w:b/>
          <w:color w:val="auto"/>
          <w:highlight w:val="none"/>
        </w:rPr>
        <w:t>1.11 分包</w:t>
      </w:r>
      <w:bookmarkEnd w:id="147"/>
      <w:bookmarkEnd w:id="148"/>
      <w:bookmarkEnd w:id="149"/>
      <w:bookmarkEnd w:id="150"/>
      <w:bookmarkEnd w:id="151"/>
      <w:bookmarkEnd w:id="152"/>
      <w:bookmarkEnd w:id="153"/>
      <w:bookmarkEnd w:id="154"/>
      <w:bookmarkEnd w:id="155"/>
      <w:bookmarkEnd w:id="156"/>
      <w:bookmarkEnd w:id="157"/>
      <w:bookmarkEnd w:id="158"/>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投标人拟在中标后将中标项目的部分非主体、非关键性工作进行分包的，应符合投标人须知前附表规定的分包内容、分包金额和接受分包的第三人资质要求等限制性条件。</w:t>
      </w:r>
    </w:p>
    <w:p>
      <w:pPr>
        <w:pStyle w:val="247"/>
        <w:spacing w:line="360" w:lineRule="auto"/>
        <w:rPr>
          <w:rFonts w:hint="eastAsia" w:ascii="宋体" w:hAnsi="宋体" w:eastAsia="宋体"/>
          <w:b/>
          <w:color w:val="auto"/>
          <w:highlight w:val="none"/>
        </w:rPr>
      </w:pPr>
      <w:bookmarkStart w:id="159" w:name="_Toc179632559"/>
      <w:bookmarkStart w:id="160" w:name="_Toc4715"/>
      <w:bookmarkStart w:id="161" w:name="_Toc538"/>
      <w:bookmarkStart w:id="162" w:name="_Toc29441"/>
      <w:bookmarkStart w:id="163" w:name="_Toc14508"/>
      <w:bookmarkStart w:id="164" w:name="_Toc330623997"/>
      <w:bookmarkStart w:id="165" w:name="_Toc6010"/>
      <w:bookmarkStart w:id="166" w:name="_Toc330911159"/>
      <w:bookmarkStart w:id="167" w:name="_Toc23225"/>
      <w:r>
        <w:rPr>
          <w:rFonts w:hint="eastAsia" w:ascii="宋体" w:hAnsi="宋体" w:eastAsia="宋体"/>
          <w:b/>
          <w:color w:val="auto"/>
          <w:highlight w:val="none"/>
        </w:rPr>
        <w:t>1.12 偏离</w:t>
      </w:r>
      <w:bookmarkEnd w:id="159"/>
      <w:bookmarkEnd w:id="160"/>
      <w:bookmarkEnd w:id="161"/>
      <w:bookmarkEnd w:id="162"/>
      <w:bookmarkEnd w:id="163"/>
      <w:bookmarkEnd w:id="164"/>
      <w:bookmarkEnd w:id="165"/>
      <w:bookmarkEnd w:id="166"/>
      <w:bookmarkEnd w:id="167"/>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投标人须知前附表允许投标文件偏离招标文件某些要求的，偏离应当符合招标文件规定的偏离范围和幅度。</w:t>
      </w:r>
    </w:p>
    <w:p>
      <w:pPr>
        <w:pStyle w:val="45"/>
        <w:spacing w:line="360" w:lineRule="auto"/>
        <w:jc w:val="both"/>
        <w:rPr>
          <w:rFonts w:hint="eastAsia" w:ascii="宋体" w:hAnsi="宋体" w:cs="宋体"/>
          <w:color w:val="auto"/>
          <w:sz w:val="28"/>
          <w:szCs w:val="28"/>
          <w:highlight w:val="none"/>
        </w:rPr>
      </w:pPr>
      <w:bookmarkStart w:id="168" w:name="_Toc152045542"/>
      <w:bookmarkStart w:id="169" w:name="_Toc8843"/>
      <w:bookmarkStart w:id="170" w:name="_Toc152042318"/>
      <w:bookmarkStart w:id="171" w:name="_Toc6050"/>
      <w:bookmarkStart w:id="172" w:name="_Toc330623998"/>
      <w:bookmarkStart w:id="173" w:name="_Toc144974510"/>
      <w:bookmarkStart w:id="174" w:name="_Toc330911160"/>
      <w:bookmarkStart w:id="175" w:name="_Toc179632560"/>
      <w:r>
        <w:rPr>
          <w:rFonts w:hint="eastAsia" w:ascii="宋体" w:hAnsi="宋体" w:cs="宋体"/>
          <w:color w:val="auto"/>
          <w:sz w:val="28"/>
          <w:szCs w:val="28"/>
          <w:highlight w:val="none"/>
        </w:rPr>
        <w:t>2. 招标文件</w:t>
      </w:r>
      <w:bookmarkEnd w:id="168"/>
      <w:bookmarkEnd w:id="169"/>
      <w:bookmarkEnd w:id="170"/>
      <w:bookmarkEnd w:id="171"/>
      <w:bookmarkEnd w:id="172"/>
      <w:bookmarkEnd w:id="173"/>
      <w:bookmarkEnd w:id="174"/>
      <w:bookmarkEnd w:id="175"/>
    </w:p>
    <w:p>
      <w:pPr>
        <w:pStyle w:val="247"/>
        <w:spacing w:line="360" w:lineRule="auto"/>
        <w:rPr>
          <w:rFonts w:hint="eastAsia" w:ascii="宋体" w:hAnsi="宋体" w:eastAsia="宋体"/>
          <w:b/>
          <w:color w:val="auto"/>
          <w:highlight w:val="none"/>
        </w:rPr>
      </w:pPr>
      <w:bookmarkStart w:id="176" w:name="_Toc152042319"/>
      <w:bookmarkStart w:id="177" w:name="_Toc20909"/>
      <w:bookmarkStart w:id="178" w:name="_Toc152045543"/>
      <w:bookmarkStart w:id="179" w:name="_Toc12859"/>
      <w:bookmarkStart w:id="180" w:name="_Toc330623999"/>
      <w:bookmarkStart w:id="181" w:name="_Toc144974511"/>
      <w:bookmarkStart w:id="182" w:name="_Toc179632561"/>
      <w:bookmarkStart w:id="183" w:name="_Toc6831"/>
      <w:bookmarkStart w:id="184" w:name="_Toc16332"/>
      <w:bookmarkStart w:id="185" w:name="_Toc330911161"/>
      <w:bookmarkStart w:id="186" w:name="_Toc3287"/>
      <w:bookmarkStart w:id="187" w:name="_Toc12354"/>
      <w:r>
        <w:rPr>
          <w:rFonts w:hint="eastAsia" w:ascii="宋体" w:hAnsi="宋体" w:eastAsia="宋体"/>
          <w:b/>
          <w:color w:val="auto"/>
          <w:highlight w:val="none"/>
        </w:rPr>
        <w:t>2.1 招标文件的组成</w:t>
      </w:r>
      <w:bookmarkEnd w:id="176"/>
      <w:bookmarkEnd w:id="177"/>
      <w:bookmarkEnd w:id="178"/>
      <w:bookmarkEnd w:id="179"/>
      <w:bookmarkEnd w:id="180"/>
      <w:bookmarkEnd w:id="181"/>
      <w:bookmarkEnd w:id="182"/>
      <w:bookmarkEnd w:id="183"/>
      <w:bookmarkEnd w:id="184"/>
      <w:bookmarkEnd w:id="185"/>
      <w:bookmarkEnd w:id="186"/>
      <w:bookmarkEnd w:id="187"/>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本招标文件包括：</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(1）招标公告； </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(2）投标人须知；</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(3）评标办法；</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(4）合同条款及格式；</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(5）工程量清单；</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(6）图纸；</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(7）技术标准和要求；</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(8）投标文件格式。</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根据本章第1.10款、第2.2款和第2.3款对招标文件所作的澄清、修改，构成招标文件的组成部分。</w:t>
      </w:r>
    </w:p>
    <w:p>
      <w:pPr>
        <w:pStyle w:val="247"/>
        <w:spacing w:line="360" w:lineRule="auto"/>
        <w:rPr>
          <w:rFonts w:ascii="宋体" w:hAnsi="宋体" w:eastAsia="宋体"/>
          <w:b/>
        </w:rPr>
      </w:pPr>
      <w:bookmarkStart w:id="188" w:name="_Toc28558"/>
      <w:bookmarkStart w:id="189" w:name="_Toc330911162"/>
      <w:bookmarkStart w:id="190" w:name="_Toc330624000"/>
      <w:bookmarkStart w:id="191" w:name="_Toc3769"/>
      <w:bookmarkStart w:id="192" w:name="_Toc144974512"/>
      <w:bookmarkStart w:id="193" w:name="_Toc12256"/>
      <w:bookmarkStart w:id="194" w:name="_Toc16710"/>
      <w:bookmarkStart w:id="195" w:name="_Toc89954003"/>
      <w:bookmarkStart w:id="196" w:name="_Toc9306"/>
      <w:bookmarkStart w:id="197" w:name="_Toc152042320"/>
      <w:bookmarkStart w:id="198" w:name="_Toc179632562"/>
      <w:bookmarkStart w:id="199" w:name="_Toc152045544"/>
      <w:bookmarkStart w:id="200" w:name="_Toc10419"/>
      <w:bookmarkStart w:id="201" w:name="_Toc330911164"/>
      <w:bookmarkStart w:id="202" w:name="_Toc330624002"/>
      <w:bookmarkStart w:id="203" w:name="_Toc22448"/>
      <w:bookmarkStart w:id="204" w:name="_Toc152045546"/>
      <w:bookmarkStart w:id="205" w:name="_Toc179632564"/>
      <w:bookmarkStart w:id="206" w:name="_Toc152042322"/>
      <w:bookmarkStart w:id="207" w:name="_Toc144974514"/>
      <w:r>
        <w:rPr>
          <w:rFonts w:hint="eastAsia" w:ascii="宋体" w:hAnsi="宋体" w:eastAsia="宋体"/>
          <w:b/>
        </w:rPr>
        <w:t>2.2 招标文件的澄清</w:t>
      </w:r>
      <w:bookmarkEnd w:id="188"/>
      <w:bookmarkEnd w:id="189"/>
      <w:bookmarkEnd w:id="190"/>
      <w:bookmarkEnd w:id="191"/>
      <w:bookmarkEnd w:id="192"/>
      <w:bookmarkEnd w:id="193"/>
      <w:bookmarkEnd w:id="194"/>
      <w:bookmarkEnd w:id="195"/>
      <w:bookmarkEnd w:id="196"/>
      <w:bookmarkEnd w:id="197"/>
      <w:bookmarkEnd w:id="198"/>
      <w:bookmarkEnd w:id="199"/>
      <w:bookmarkEnd w:id="200"/>
    </w:p>
    <w:p>
      <w:pPr>
        <w:spacing w:line="360" w:lineRule="auto"/>
        <w:rPr>
          <w:rFonts w:ascii="宋体" w:hAnsi="宋体" w:cs="宋体"/>
          <w:sz w:val="22"/>
          <w:szCs w:val="22"/>
        </w:rPr>
      </w:pPr>
      <w:r>
        <w:rPr>
          <w:rFonts w:hint="eastAsia" w:ascii="宋体" w:hAnsi="宋体" w:cs="宋体"/>
          <w:sz w:val="22"/>
          <w:szCs w:val="22"/>
        </w:rPr>
        <w:t>2.2.1投标人应仔细阅读和检查招标文件的全部内容。如发现缺页或附件不全，应及时向招标人提出，以便补齐。如有疑问，应在投标人须知前附表规定的时间前通过公共资源交易系统向</w:t>
      </w:r>
      <w:r>
        <w:rPr>
          <w:rFonts w:hint="eastAsia" w:ascii="宋体" w:hAnsi="宋体" w:cs="宋体"/>
          <w:sz w:val="22"/>
          <w:szCs w:val="22"/>
          <w:lang w:eastAsia="zh-CN"/>
        </w:rPr>
        <w:t>招标人或</w:t>
      </w:r>
      <w:r>
        <w:rPr>
          <w:rFonts w:hint="eastAsia" w:ascii="宋体" w:hAnsi="宋体" w:cs="宋体"/>
          <w:sz w:val="22"/>
          <w:szCs w:val="22"/>
        </w:rPr>
        <w:t>招标代理机构发起，要求招标人</w:t>
      </w:r>
      <w:r>
        <w:rPr>
          <w:rFonts w:hint="eastAsia" w:ascii="宋体" w:hAnsi="宋体" w:cs="宋体"/>
          <w:sz w:val="22"/>
          <w:szCs w:val="22"/>
          <w:lang w:eastAsia="zh-CN"/>
        </w:rPr>
        <w:t>或招标代理机构</w:t>
      </w:r>
      <w:r>
        <w:rPr>
          <w:rFonts w:hint="eastAsia" w:ascii="宋体" w:hAnsi="宋体" w:cs="宋体"/>
          <w:sz w:val="22"/>
          <w:szCs w:val="22"/>
        </w:rPr>
        <w:t>对招标文件予以澄清。</w:t>
      </w:r>
    </w:p>
    <w:p>
      <w:pPr>
        <w:spacing w:line="360" w:lineRule="auto"/>
        <w:rPr>
          <w:rFonts w:ascii="宋体" w:hAnsi="宋体" w:cs="宋体"/>
          <w:sz w:val="22"/>
          <w:szCs w:val="22"/>
        </w:rPr>
      </w:pPr>
      <w:r>
        <w:rPr>
          <w:rFonts w:hint="eastAsia" w:ascii="宋体" w:hAnsi="宋体" w:cs="宋体"/>
          <w:sz w:val="22"/>
          <w:szCs w:val="22"/>
        </w:rPr>
        <w:t>2.2.2 招标人或招标代理机构按投标人须知前附表规定的时间前通过公共资源交易系统予以澄清，但不指明澄清问题的来源。如果澄清内容影响投标文件编制</w:t>
      </w:r>
      <w:r>
        <w:rPr>
          <w:rFonts w:hint="eastAsia" w:ascii="宋体" w:hAnsi="宋体" w:cs="宋体"/>
          <w:sz w:val="22"/>
          <w:szCs w:val="22"/>
          <w:lang w:eastAsia="zh-CN"/>
        </w:rPr>
        <w:t>且</w:t>
      </w:r>
      <w:r>
        <w:rPr>
          <w:rFonts w:hint="eastAsia" w:ascii="宋体" w:hAnsi="宋体" w:cs="宋体"/>
          <w:sz w:val="22"/>
          <w:szCs w:val="22"/>
        </w:rPr>
        <w:t>澄清发出的时间距投标截止时间不足15天，将相应延长投标截止时间。</w:t>
      </w:r>
    </w:p>
    <w:p>
      <w:pPr>
        <w:spacing w:line="360" w:lineRule="auto"/>
        <w:rPr>
          <w:rFonts w:ascii="宋体" w:hAnsi="宋体" w:cs="宋体"/>
          <w:sz w:val="22"/>
          <w:szCs w:val="22"/>
        </w:rPr>
      </w:pPr>
      <w:r>
        <w:rPr>
          <w:rFonts w:hint="eastAsia" w:ascii="宋体" w:hAnsi="宋体" w:cs="宋体"/>
          <w:sz w:val="22"/>
          <w:szCs w:val="22"/>
        </w:rPr>
        <w:t>2.2.3招标代理机构对已发出的招标文件进行的答疑、澄清、变更的内容将作为招标文件的组成部分。投标人在投标文件递交截止时间前须自行查看项目进展、变更通知、澄清及回复，因投标人未及时查看而造成的后果自负。</w:t>
      </w:r>
    </w:p>
    <w:p>
      <w:pPr>
        <w:pStyle w:val="247"/>
        <w:spacing w:line="360" w:lineRule="auto"/>
        <w:rPr>
          <w:rFonts w:ascii="宋体" w:hAnsi="宋体" w:eastAsia="宋体"/>
          <w:b/>
        </w:rPr>
      </w:pPr>
      <w:bookmarkStart w:id="208" w:name="_Toc16094"/>
      <w:bookmarkStart w:id="209" w:name="_Toc89954004"/>
      <w:r>
        <w:rPr>
          <w:rFonts w:hint="eastAsia" w:ascii="宋体" w:hAnsi="宋体" w:eastAsia="宋体"/>
          <w:b/>
        </w:rPr>
        <w:t>2.3 招标文件的修改</w:t>
      </w:r>
      <w:bookmarkEnd w:id="208"/>
      <w:bookmarkEnd w:id="209"/>
    </w:p>
    <w:p>
      <w:pPr>
        <w:spacing w:line="360" w:lineRule="auto"/>
        <w:rPr>
          <w:rFonts w:ascii="宋体" w:hAnsi="宋体" w:cs="宋体"/>
          <w:sz w:val="22"/>
          <w:szCs w:val="22"/>
        </w:rPr>
      </w:pPr>
      <w:r>
        <w:rPr>
          <w:rFonts w:hint="eastAsia" w:ascii="宋体" w:hAnsi="宋体" w:cs="宋体"/>
          <w:sz w:val="22"/>
          <w:szCs w:val="22"/>
        </w:rPr>
        <w:t>2.3.1招标人可以通过公共资源交易系统平台对招标文件予以修改。如果修改内容影响投标文件编制的</w:t>
      </w:r>
      <w:r>
        <w:rPr>
          <w:rFonts w:hint="eastAsia" w:ascii="宋体" w:hAnsi="宋体" w:cs="宋体"/>
          <w:sz w:val="22"/>
          <w:szCs w:val="22"/>
          <w:lang w:eastAsia="zh-CN"/>
        </w:rPr>
        <w:t>且</w:t>
      </w:r>
      <w:r>
        <w:rPr>
          <w:rFonts w:hint="eastAsia" w:ascii="宋体" w:hAnsi="宋体" w:cs="宋体"/>
          <w:sz w:val="22"/>
          <w:szCs w:val="22"/>
        </w:rPr>
        <w:t xml:space="preserve">修改发出的时间距投标截止时间不足15天，将相应延长投标截止时间。 </w:t>
      </w:r>
    </w:p>
    <w:p>
      <w:pPr>
        <w:spacing w:line="360" w:lineRule="auto"/>
        <w:rPr>
          <w:rFonts w:ascii="宋体" w:hAnsi="宋体" w:cs="宋体"/>
          <w:sz w:val="22"/>
          <w:szCs w:val="22"/>
        </w:rPr>
      </w:pPr>
      <w:r>
        <w:rPr>
          <w:rFonts w:hint="eastAsia" w:ascii="宋体" w:hAnsi="宋体" w:cs="宋体"/>
          <w:sz w:val="22"/>
          <w:szCs w:val="22"/>
        </w:rPr>
        <w:t>2.3.2招标人对已发出的招标文件进行的修改将作为招标文件的组成部分。投标人应经常登录公共资源交易系统查看相关内容；如因自身原因造成未及时查看招标文件修改内容，所产生后果由投标人自行承担。当招标文件的澄清、修改、补充等在同一内容的表述上不一致时，以最后发出的网上答疑为准。</w:t>
      </w:r>
    </w:p>
    <w:p>
      <w:pPr>
        <w:pStyle w:val="45"/>
        <w:spacing w:line="360" w:lineRule="auto"/>
        <w:jc w:val="both"/>
        <w:rPr>
          <w:rFonts w:hint="eastAsia" w:ascii="宋体" w:hAnsi="宋体" w:cs="宋体"/>
          <w:color w:val="auto"/>
          <w:sz w:val="28"/>
          <w:szCs w:val="28"/>
          <w:highlight w:val="none"/>
        </w:rPr>
      </w:pPr>
      <w:bookmarkStart w:id="210" w:name="_Toc26978"/>
      <w:r>
        <w:rPr>
          <w:rFonts w:hint="eastAsia" w:ascii="宋体" w:hAnsi="宋体" w:cs="宋体"/>
          <w:color w:val="auto"/>
          <w:sz w:val="28"/>
          <w:szCs w:val="28"/>
          <w:highlight w:val="none"/>
        </w:rPr>
        <w:t>3. 投标文件</w:t>
      </w:r>
      <w:bookmarkEnd w:id="201"/>
      <w:bookmarkEnd w:id="202"/>
      <w:bookmarkEnd w:id="203"/>
      <w:bookmarkEnd w:id="204"/>
      <w:bookmarkEnd w:id="205"/>
      <w:bookmarkEnd w:id="206"/>
      <w:bookmarkEnd w:id="207"/>
      <w:bookmarkEnd w:id="210"/>
    </w:p>
    <w:p>
      <w:pPr>
        <w:pStyle w:val="247"/>
        <w:spacing w:line="360" w:lineRule="auto"/>
        <w:rPr>
          <w:rFonts w:hint="eastAsia" w:ascii="宋体" w:hAnsi="宋体" w:eastAsia="宋体"/>
          <w:b/>
          <w:color w:val="auto"/>
          <w:highlight w:val="none"/>
        </w:rPr>
      </w:pPr>
      <w:bookmarkStart w:id="211" w:name="_Toc23438"/>
      <w:bookmarkStart w:id="212" w:name="_Toc24206"/>
      <w:bookmarkStart w:id="213" w:name="_Toc152045547"/>
      <w:bookmarkStart w:id="214" w:name="_Toc144974515"/>
      <w:bookmarkStart w:id="215" w:name="_Toc152042323"/>
      <w:bookmarkStart w:id="216" w:name="_Toc179632565"/>
      <w:bookmarkStart w:id="217" w:name="_Toc11888"/>
      <w:bookmarkStart w:id="218" w:name="_Toc17357"/>
      <w:bookmarkStart w:id="219" w:name="_Toc330911165"/>
      <w:bookmarkStart w:id="220" w:name="_Toc330624003"/>
      <w:bookmarkStart w:id="221" w:name="_Toc1991"/>
      <w:bookmarkStart w:id="222" w:name="_Toc21228"/>
      <w:r>
        <w:rPr>
          <w:rFonts w:hint="eastAsia" w:ascii="宋体" w:hAnsi="宋体" w:eastAsia="宋体"/>
          <w:b/>
          <w:color w:val="auto"/>
          <w:highlight w:val="none"/>
        </w:rPr>
        <w:t>3.1 投标文件的组成</w:t>
      </w:r>
      <w:bookmarkEnd w:id="211"/>
      <w:bookmarkEnd w:id="212"/>
      <w:bookmarkEnd w:id="213"/>
      <w:bookmarkEnd w:id="214"/>
      <w:bookmarkEnd w:id="215"/>
      <w:bookmarkEnd w:id="216"/>
      <w:bookmarkEnd w:id="217"/>
      <w:bookmarkEnd w:id="218"/>
      <w:bookmarkEnd w:id="219"/>
      <w:bookmarkEnd w:id="220"/>
      <w:bookmarkEnd w:id="221"/>
      <w:bookmarkEnd w:id="222"/>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3.1.1投标文件应包括下列内容：</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（1）投标函及投标函附录</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（2）法定代表人身份证明</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（3）授权委托书</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（4）投标保证金 </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（5）已标价工程量清单</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（6）施工组织设计</w:t>
      </w:r>
      <w:r>
        <w:rPr>
          <w:rFonts w:hint="eastAsia" w:ascii="宋体" w:hAnsi="宋体" w:cs="宋体"/>
          <w:color w:val="auto"/>
          <w:sz w:val="22"/>
          <w:szCs w:val="22"/>
          <w:highlight w:val="none"/>
          <w:lang w:eastAsia="zh-CN"/>
        </w:rPr>
        <w:t>（暗标）</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（7）项目管理机构</w:t>
      </w:r>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（8）资格审查资料</w:t>
      </w:r>
    </w:p>
    <w:p>
      <w:pPr>
        <w:spacing w:line="360" w:lineRule="auto"/>
        <w:ind w:firstLine="440" w:firstLineChars="200"/>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rPr>
        <w:t>（9）其他材料</w:t>
      </w:r>
    </w:p>
    <w:p>
      <w:pPr>
        <w:pStyle w:val="247"/>
        <w:spacing w:line="360" w:lineRule="auto"/>
        <w:rPr>
          <w:rFonts w:hint="eastAsia" w:ascii="宋体" w:hAnsi="宋体" w:eastAsia="宋体"/>
          <w:b/>
          <w:color w:val="auto"/>
          <w:highlight w:val="none"/>
        </w:rPr>
      </w:pPr>
      <w:bookmarkStart w:id="223" w:name="_Toc330911166"/>
      <w:bookmarkStart w:id="224" w:name="_Toc179632566"/>
      <w:bookmarkStart w:id="225" w:name="_Toc15883"/>
      <w:bookmarkStart w:id="226" w:name="_Toc330624004"/>
      <w:bookmarkStart w:id="227" w:name="_Toc152045548"/>
      <w:bookmarkStart w:id="228" w:name="_Toc19181"/>
      <w:bookmarkStart w:id="229" w:name="_Toc17749"/>
      <w:bookmarkStart w:id="230" w:name="_Toc18738"/>
      <w:bookmarkStart w:id="231" w:name="_Toc152042324"/>
      <w:bookmarkStart w:id="232" w:name="_Toc144974516"/>
      <w:bookmarkStart w:id="233" w:name="_Toc2887"/>
      <w:bookmarkStart w:id="234" w:name="_Toc8570"/>
      <w:r>
        <w:rPr>
          <w:rFonts w:hint="eastAsia" w:ascii="宋体" w:hAnsi="宋体" w:eastAsia="宋体"/>
          <w:b/>
          <w:color w:val="auto"/>
          <w:highlight w:val="none"/>
        </w:rPr>
        <w:t>3.2 投标报价</w:t>
      </w:r>
      <w:bookmarkEnd w:id="223"/>
      <w:bookmarkEnd w:id="224"/>
      <w:bookmarkEnd w:id="225"/>
      <w:bookmarkEnd w:id="226"/>
      <w:bookmarkEnd w:id="227"/>
      <w:bookmarkEnd w:id="228"/>
      <w:bookmarkEnd w:id="229"/>
      <w:bookmarkEnd w:id="230"/>
      <w:bookmarkEnd w:id="231"/>
      <w:bookmarkEnd w:id="232"/>
      <w:bookmarkEnd w:id="233"/>
      <w:bookmarkEnd w:id="234"/>
    </w:p>
    <w:p>
      <w:pPr>
        <w:spacing w:line="360" w:lineRule="auto"/>
        <w:rPr>
          <w:rFonts w:hint="eastAsia" w:ascii="宋体" w:hAnsi="宋体" w:cs="宋体"/>
          <w:color w:val="auto"/>
          <w:sz w:val="22"/>
          <w:szCs w:val="22"/>
          <w:highlight w:val="none"/>
        </w:rPr>
      </w:pPr>
      <w:bookmarkStart w:id="235" w:name="_Toc152045549"/>
      <w:bookmarkStart w:id="236" w:name="_Toc152042325"/>
      <w:bookmarkStart w:id="237" w:name="_Toc386"/>
      <w:bookmarkStart w:id="238" w:name="_Toc144974517"/>
      <w:bookmarkStart w:id="239" w:name="_Toc26831"/>
      <w:bookmarkStart w:id="240" w:name="_Toc19309"/>
      <w:bookmarkStart w:id="241" w:name="_Toc179632567"/>
      <w:bookmarkStart w:id="242" w:name="_Toc11699"/>
      <w:bookmarkStart w:id="243" w:name="_Toc330911167"/>
      <w:bookmarkStart w:id="244" w:name="_Toc21794"/>
      <w:bookmarkStart w:id="245" w:name="_Toc330624005"/>
      <w:r>
        <w:rPr>
          <w:rFonts w:hint="eastAsia" w:ascii="宋体" w:hAnsi="宋体" w:cs="宋体"/>
          <w:color w:val="auto"/>
          <w:sz w:val="22"/>
          <w:szCs w:val="22"/>
          <w:highlight w:val="none"/>
        </w:rPr>
        <w:t>3.2.1投标人应按第五章“工程量清单”的要求填写相应表格。</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3.2.2投标人在投标截止时间前修改投标函中的投标总报价，应同时修改第五章“工程量清单”中的相应报价。此修改须符合本章第4.2款的有关要求。</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3.2.3 投标报价不得超过招标控制价，否则其投标将予以拒绝。</w:t>
      </w:r>
    </w:p>
    <w:p>
      <w:pPr>
        <w:pStyle w:val="247"/>
        <w:spacing w:line="360" w:lineRule="auto"/>
        <w:rPr>
          <w:rFonts w:hint="eastAsia" w:ascii="宋体" w:hAnsi="宋体" w:eastAsia="宋体"/>
          <w:b/>
          <w:color w:val="auto"/>
          <w:highlight w:val="none"/>
        </w:rPr>
      </w:pPr>
      <w:bookmarkStart w:id="246" w:name="_Toc29268"/>
      <w:r>
        <w:rPr>
          <w:rFonts w:hint="eastAsia" w:ascii="宋体" w:hAnsi="宋体" w:eastAsia="宋体"/>
          <w:b/>
          <w:color w:val="auto"/>
          <w:highlight w:val="none"/>
        </w:rPr>
        <w:t>3.3 投标有效期</w:t>
      </w:r>
      <w:bookmarkEnd w:id="235"/>
      <w:bookmarkEnd w:id="236"/>
      <w:bookmarkEnd w:id="237"/>
      <w:bookmarkEnd w:id="238"/>
      <w:bookmarkEnd w:id="239"/>
      <w:bookmarkEnd w:id="240"/>
      <w:bookmarkEnd w:id="241"/>
      <w:bookmarkEnd w:id="242"/>
      <w:bookmarkEnd w:id="243"/>
      <w:bookmarkEnd w:id="244"/>
      <w:bookmarkEnd w:id="245"/>
      <w:bookmarkEnd w:id="246"/>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3.3.1 在投标人须知前附表规定的投标有效期内，投标人不得要求撤销或修改其投标文件。</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pPr>
        <w:pStyle w:val="247"/>
        <w:spacing w:line="360" w:lineRule="auto"/>
        <w:rPr>
          <w:rFonts w:hint="eastAsia" w:ascii="宋体" w:hAnsi="宋体" w:eastAsia="宋体"/>
          <w:b/>
          <w:color w:val="auto"/>
          <w:highlight w:val="none"/>
        </w:rPr>
      </w:pPr>
      <w:bookmarkStart w:id="247" w:name="_Toc330624006"/>
      <w:bookmarkStart w:id="248" w:name="_Toc18051"/>
      <w:bookmarkStart w:id="249" w:name="_Toc17909"/>
      <w:bookmarkStart w:id="250" w:name="_Toc27329"/>
      <w:bookmarkStart w:id="251" w:name="_Toc179632568"/>
      <w:bookmarkStart w:id="252" w:name="_Toc330911168"/>
      <w:bookmarkStart w:id="253" w:name="_Toc6974"/>
      <w:bookmarkStart w:id="254" w:name="_Toc12110"/>
      <w:bookmarkStart w:id="255" w:name="_Toc152042326"/>
      <w:bookmarkStart w:id="256" w:name="_Toc144974518"/>
      <w:bookmarkStart w:id="257" w:name="_Toc12538"/>
      <w:bookmarkStart w:id="258" w:name="_Toc152045550"/>
      <w:r>
        <w:rPr>
          <w:rFonts w:hint="eastAsia" w:ascii="宋体" w:hAnsi="宋体" w:eastAsia="宋体"/>
          <w:b/>
          <w:color w:val="auto"/>
          <w:highlight w:val="none"/>
        </w:rPr>
        <w:t>3.4 投标保证金</w:t>
      </w:r>
      <w:bookmarkEnd w:id="247"/>
      <w:bookmarkEnd w:id="248"/>
      <w:bookmarkEnd w:id="249"/>
      <w:bookmarkEnd w:id="250"/>
      <w:bookmarkEnd w:id="251"/>
      <w:bookmarkEnd w:id="252"/>
      <w:bookmarkEnd w:id="253"/>
      <w:bookmarkEnd w:id="254"/>
      <w:bookmarkEnd w:id="255"/>
      <w:bookmarkEnd w:id="256"/>
      <w:bookmarkEnd w:id="257"/>
      <w:bookmarkEnd w:id="258"/>
    </w:p>
    <w:p>
      <w:pPr>
        <w:spacing w:line="360" w:lineRule="auto"/>
        <w:rPr>
          <w:rFonts w:hint="eastAsia" w:ascii="宋体" w:hAnsi="宋体" w:cs="宋体"/>
          <w:color w:val="auto"/>
          <w:sz w:val="22"/>
          <w:szCs w:val="22"/>
          <w:highlight w:val="none"/>
        </w:rPr>
      </w:pPr>
      <w:bookmarkStart w:id="259" w:name="_Toc152045552"/>
      <w:bookmarkStart w:id="260" w:name="_Toc179632570"/>
      <w:bookmarkStart w:id="261" w:name="_Toc152042328"/>
      <w:bookmarkStart w:id="262" w:name="_Toc144974520"/>
      <w:bookmarkStart w:id="263" w:name="_Toc31398"/>
      <w:bookmarkStart w:id="264" w:name="_Toc330911169"/>
      <w:bookmarkStart w:id="265" w:name="_Toc22372"/>
      <w:bookmarkStart w:id="266" w:name="_Toc4147"/>
      <w:bookmarkStart w:id="267" w:name="_Toc330624007"/>
      <w:bookmarkStart w:id="268" w:name="_Toc6048"/>
      <w:bookmarkStart w:id="269" w:name="_Toc9054"/>
      <w:r>
        <w:rPr>
          <w:rFonts w:hint="eastAsia" w:ascii="宋体" w:hAnsi="宋体" w:cs="宋体"/>
          <w:color w:val="auto"/>
          <w:sz w:val="22"/>
          <w:szCs w:val="22"/>
          <w:highlight w:val="none"/>
        </w:rPr>
        <w:t>3.4.1 投标人须知前附表规定递交投标保证金的，投标人在递交投标文件的同时，应按投标人须知前附表规定的金额、担保形式和第八章“投标文件格式”规定的，并作为其投标文件的组成部分。</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3.4.2 投标人不按本章第3.4.1项要求提交投标保证金的，评标委员会将否决其投标。</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3.4.3投标保证金的退还：</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（1）非中标候选人。中标候选人公示当日，非中标候选人的投标保证金及银行同期存款活期利息按原路径自动退回。</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（2）非中标人。中标结果公告发布之日起次工作日，非中标人的投标保证金及银行同期存款活期利息按原路径自动退回。</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（3）中标人。合同上传后次工作日，中标人的投标保证金及银行同期存款活期利息按原路径自动退回。</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3.4.4 有下列情形之一的，投标保证金将不予退还： </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（1）投标人在规定的投标有效期内撤销或修改其投标文件；</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（2）递交了本标段投标保证金未参加投标导致本标段招标失败的。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（3）中标人在收到中标通知书后，无正当理由拒签合同协议书或未按招标文件规定提交履约担保。</w:t>
      </w:r>
    </w:p>
    <w:p>
      <w:pPr>
        <w:pStyle w:val="247"/>
        <w:spacing w:line="360" w:lineRule="auto"/>
        <w:rPr>
          <w:rFonts w:hint="eastAsia" w:ascii="宋体" w:hAnsi="宋体" w:eastAsia="宋体"/>
          <w:b/>
          <w:color w:val="auto"/>
          <w:highlight w:val="none"/>
        </w:rPr>
      </w:pPr>
      <w:bookmarkStart w:id="270" w:name="_Toc1709"/>
      <w:r>
        <w:rPr>
          <w:rFonts w:hint="eastAsia" w:ascii="宋体" w:hAnsi="宋体" w:eastAsia="宋体"/>
          <w:b/>
          <w:color w:val="auto"/>
          <w:highlight w:val="none"/>
        </w:rPr>
        <w:t>3.5 资格审查资料</w:t>
      </w:r>
      <w:bookmarkEnd w:id="259"/>
      <w:bookmarkEnd w:id="260"/>
      <w:bookmarkEnd w:id="261"/>
      <w:bookmarkEnd w:id="262"/>
      <w:bookmarkEnd w:id="263"/>
      <w:bookmarkEnd w:id="264"/>
      <w:bookmarkEnd w:id="265"/>
      <w:bookmarkEnd w:id="266"/>
      <w:bookmarkEnd w:id="267"/>
      <w:bookmarkEnd w:id="268"/>
      <w:bookmarkEnd w:id="269"/>
      <w:bookmarkEnd w:id="270"/>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3.5.1 “投标人基本情况表”应附投标人有效的营业执照副本等材料的复印件。</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3.5.2 “近年财务状况表”应附经会计师事务所或审计机构审计的财务会计报表，包括资产负债表、现金流量表、利润表和财务情况说明书的复印件，具体年份要求见投标人须知前附表。</w:t>
      </w:r>
    </w:p>
    <w:p>
      <w:pPr>
        <w:pStyle w:val="47"/>
        <w:spacing w:after="0" w:line="360" w:lineRule="auto"/>
        <w:ind w:firstLine="0" w:firstLineChars="0"/>
        <w:rPr>
          <w:rFonts w:hint="eastAsia" w:ascii="宋体" w:hAnsi="宋体" w:cs="宋体"/>
          <w:color w:val="auto"/>
          <w:sz w:val="22"/>
          <w:szCs w:val="22"/>
          <w:highlight w:val="none"/>
        </w:rPr>
      </w:pPr>
      <w:bookmarkStart w:id="271" w:name="_Toc330911170"/>
      <w:bookmarkStart w:id="272" w:name="_Toc152042329"/>
      <w:bookmarkStart w:id="273" w:name="_Toc179632571"/>
      <w:bookmarkStart w:id="274" w:name="_Toc330624008"/>
      <w:bookmarkStart w:id="275" w:name="_Toc152045553"/>
      <w:bookmarkStart w:id="276" w:name="_Toc8780"/>
      <w:bookmarkStart w:id="277" w:name="_Toc518"/>
      <w:bookmarkStart w:id="278" w:name="_Toc12663"/>
      <w:bookmarkStart w:id="279" w:name="_Toc144974521"/>
      <w:r>
        <w:rPr>
          <w:rFonts w:hint="eastAsia" w:ascii="宋体" w:hAnsi="宋体" w:cs="宋体"/>
          <w:color w:val="auto"/>
          <w:sz w:val="22"/>
          <w:szCs w:val="22"/>
          <w:highlight w:val="none"/>
        </w:rPr>
        <w:t>3.5.</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“投标人其他要求”详见“招标公告  3.投标人资格要求”</w:t>
      </w:r>
    </w:p>
    <w:p>
      <w:pPr>
        <w:pStyle w:val="247"/>
        <w:spacing w:line="360" w:lineRule="auto"/>
        <w:rPr>
          <w:rFonts w:hint="eastAsia" w:ascii="宋体" w:hAnsi="宋体" w:eastAsia="宋体"/>
          <w:b/>
          <w:color w:val="auto"/>
          <w:highlight w:val="none"/>
        </w:rPr>
      </w:pPr>
      <w:bookmarkStart w:id="280" w:name="_Toc22787"/>
      <w:r>
        <w:rPr>
          <w:rFonts w:hint="eastAsia" w:ascii="宋体" w:hAnsi="宋体" w:eastAsia="宋体"/>
          <w:b/>
          <w:color w:val="auto"/>
          <w:highlight w:val="none"/>
        </w:rPr>
        <w:t>3.6 备选投标方案</w:t>
      </w:r>
      <w:bookmarkEnd w:id="271"/>
      <w:bookmarkEnd w:id="272"/>
      <w:bookmarkEnd w:id="273"/>
      <w:bookmarkEnd w:id="274"/>
      <w:bookmarkEnd w:id="275"/>
      <w:bookmarkEnd w:id="276"/>
      <w:bookmarkEnd w:id="277"/>
      <w:bookmarkEnd w:id="278"/>
      <w:bookmarkEnd w:id="279"/>
      <w:bookmarkEnd w:id="280"/>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247"/>
        <w:spacing w:line="360" w:lineRule="auto"/>
        <w:rPr>
          <w:rFonts w:hint="eastAsia" w:ascii="宋体" w:hAnsi="宋体" w:eastAsia="宋体"/>
          <w:b/>
          <w:color w:val="auto"/>
          <w:highlight w:val="none"/>
        </w:rPr>
      </w:pPr>
      <w:bookmarkStart w:id="281" w:name="_Toc3745"/>
      <w:bookmarkStart w:id="282" w:name="_Toc8957"/>
      <w:bookmarkStart w:id="283" w:name="_Toc23546"/>
      <w:bookmarkStart w:id="284" w:name="_Toc330624009"/>
      <w:bookmarkStart w:id="285" w:name="_Toc330911171"/>
      <w:bookmarkStart w:id="286" w:name="_Toc23161"/>
      <w:bookmarkStart w:id="287" w:name="_Toc144974522"/>
      <w:bookmarkStart w:id="288" w:name="_Toc152042330"/>
      <w:bookmarkStart w:id="289" w:name="_Toc3898"/>
      <w:bookmarkStart w:id="290" w:name="_Toc12347"/>
      <w:bookmarkStart w:id="291" w:name="_Toc152045554"/>
      <w:bookmarkStart w:id="292" w:name="_Toc179632572"/>
      <w:r>
        <w:rPr>
          <w:rFonts w:hint="eastAsia" w:ascii="宋体" w:hAnsi="宋体" w:eastAsia="宋体"/>
          <w:b/>
          <w:color w:val="auto"/>
          <w:highlight w:val="none"/>
        </w:rPr>
        <w:t>3.7 投标文件的编制</w:t>
      </w:r>
      <w:bookmarkEnd w:id="281"/>
      <w:bookmarkEnd w:id="282"/>
      <w:bookmarkEnd w:id="283"/>
      <w:bookmarkEnd w:id="284"/>
      <w:bookmarkEnd w:id="285"/>
      <w:bookmarkEnd w:id="286"/>
      <w:bookmarkEnd w:id="287"/>
      <w:bookmarkEnd w:id="288"/>
      <w:bookmarkEnd w:id="289"/>
      <w:bookmarkEnd w:id="290"/>
      <w:bookmarkEnd w:id="291"/>
      <w:bookmarkEnd w:id="292"/>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pPr>
        <w:spacing w:line="360" w:lineRule="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rPr>
        <w:t>3.7.2 投标文件应当对招标文件有关工期、投标有效期、质量要求、技术标准和要求、</w:t>
      </w:r>
      <w:r>
        <w:rPr>
          <w:rFonts w:hint="eastAsia" w:ascii="宋体" w:hAnsi="宋体" w:eastAsia="宋体" w:cs="宋体"/>
          <w:color w:val="auto"/>
          <w:sz w:val="22"/>
          <w:szCs w:val="22"/>
          <w:highlight w:val="none"/>
        </w:rPr>
        <w:t>招标范围等实质性内容作出响应。</w:t>
      </w:r>
      <w:bookmarkStart w:id="293" w:name="_Toc152042331"/>
      <w:bookmarkStart w:id="294" w:name="_Toc179632573"/>
      <w:bookmarkStart w:id="295" w:name="_Toc330911172"/>
      <w:bookmarkStart w:id="296" w:name="_Toc330624010"/>
      <w:bookmarkStart w:id="297" w:name="_Toc152045555"/>
      <w:bookmarkStart w:id="298" w:name="_Toc144974523"/>
    </w:p>
    <w:p>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3.7.3电子投标文件应由投标人的法定代表人电子签名、单位电子签章。电子投标文件应附经法定代表人电子签名的授权委托书。签字或盖章的具体要求见投标人须知前附表。</w:t>
      </w:r>
    </w:p>
    <w:p>
      <w:pPr>
        <w:pStyle w:val="45"/>
        <w:spacing w:line="360" w:lineRule="auto"/>
        <w:jc w:val="both"/>
        <w:rPr>
          <w:rFonts w:hint="eastAsia" w:ascii="宋体" w:hAnsi="宋体" w:cs="宋体"/>
          <w:color w:val="auto"/>
          <w:sz w:val="28"/>
          <w:szCs w:val="28"/>
          <w:highlight w:val="none"/>
        </w:rPr>
      </w:pPr>
      <w:bookmarkStart w:id="299" w:name="_Toc19225"/>
      <w:bookmarkStart w:id="300" w:name="_Toc30274"/>
      <w:r>
        <w:rPr>
          <w:rFonts w:hint="eastAsia" w:ascii="宋体" w:hAnsi="宋体" w:cs="宋体"/>
          <w:color w:val="auto"/>
          <w:sz w:val="28"/>
          <w:szCs w:val="28"/>
          <w:highlight w:val="none"/>
        </w:rPr>
        <w:t>4. 投标</w:t>
      </w:r>
      <w:bookmarkEnd w:id="293"/>
      <w:bookmarkEnd w:id="294"/>
      <w:bookmarkEnd w:id="295"/>
      <w:bookmarkEnd w:id="296"/>
      <w:bookmarkEnd w:id="297"/>
      <w:bookmarkEnd w:id="298"/>
      <w:bookmarkEnd w:id="299"/>
      <w:bookmarkEnd w:id="300"/>
    </w:p>
    <w:p>
      <w:pPr>
        <w:pStyle w:val="247"/>
        <w:spacing w:line="360" w:lineRule="auto"/>
        <w:rPr>
          <w:rFonts w:hint="eastAsia" w:ascii="宋体" w:hAnsi="宋体" w:eastAsia="宋体"/>
          <w:b/>
          <w:color w:val="auto"/>
          <w:highlight w:val="none"/>
        </w:rPr>
      </w:pPr>
      <w:bookmarkStart w:id="301" w:name="_Toc17716"/>
      <w:bookmarkStart w:id="302" w:name="_Toc152042333"/>
      <w:bookmarkStart w:id="303" w:name="_Toc13914"/>
      <w:bookmarkStart w:id="304" w:name="_Toc152045557"/>
      <w:bookmarkStart w:id="305" w:name="_Toc19380"/>
      <w:bookmarkStart w:id="306" w:name="_Toc330911174"/>
      <w:bookmarkStart w:id="307" w:name="_Toc144974525"/>
      <w:bookmarkStart w:id="308" w:name="_Toc5159"/>
      <w:bookmarkStart w:id="309" w:name="_Toc21328"/>
      <w:bookmarkStart w:id="310" w:name="_Toc179632575"/>
      <w:bookmarkStart w:id="311" w:name="_Toc330624012"/>
      <w:bookmarkStart w:id="312" w:name="_Toc7139"/>
      <w:r>
        <w:rPr>
          <w:rFonts w:hint="eastAsia" w:ascii="宋体" w:hAnsi="宋体" w:eastAsia="宋体"/>
          <w:b/>
          <w:color w:val="auto"/>
          <w:highlight w:val="none"/>
        </w:rPr>
        <w:t>4.1 投标文件的递交</w:t>
      </w:r>
      <w:bookmarkEnd w:id="301"/>
      <w:bookmarkEnd w:id="302"/>
      <w:bookmarkEnd w:id="303"/>
      <w:bookmarkEnd w:id="304"/>
      <w:bookmarkEnd w:id="305"/>
      <w:bookmarkEnd w:id="306"/>
      <w:bookmarkEnd w:id="307"/>
      <w:bookmarkEnd w:id="308"/>
      <w:bookmarkEnd w:id="309"/>
      <w:bookmarkEnd w:id="310"/>
      <w:bookmarkEnd w:id="311"/>
      <w:bookmarkEnd w:id="312"/>
    </w:p>
    <w:p>
      <w:pPr>
        <w:spacing w:line="360" w:lineRule="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rPr>
        <w:t>4.1.1 投标人应在南阳市公共资源交易系统下载“电子投标文件制作工具”，并按照招标文件要求编制和上传递交加密的电子投标文件(.nyTF格式)。</w:t>
      </w:r>
      <w:r>
        <w:rPr>
          <w:rFonts w:hint="eastAsia" w:ascii="宋体" w:hAnsi="宋体" w:eastAsia="宋体" w:cs="宋体"/>
          <w:color w:val="auto"/>
          <w:sz w:val="22"/>
          <w:szCs w:val="22"/>
          <w:highlight w:val="none"/>
        </w:rPr>
        <w:t>电子投标文件的递交要求详见第二章“投标人须知前附表”。</w:t>
      </w:r>
    </w:p>
    <w:p>
      <w:pPr>
        <w:pStyle w:val="247"/>
        <w:spacing w:line="360" w:lineRule="auto"/>
        <w:rPr>
          <w:rFonts w:hint="eastAsia" w:ascii="宋体" w:hAnsi="宋体" w:eastAsia="宋体"/>
          <w:b/>
          <w:color w:val="auto"/>
          <w:highlight w:val="none"/>
        </w:rPr>
      </w:pPr>
      <w:bookmarkStart w:id="313" w:name="_Toc267475062"/>
      <w:bookmarkStart w:id="314" w:name="_Toc263777156"/>
      <w:bookmarkStart w:id="315" w:name="_Toc261518394"/>
      <w:bookmarkStart w:id="316" w:name="_Toc273437314"/>
      <w:bookmarkStart w:id="317" w:name="_Toc197770874"/>
      <w:bookmarkStart w:id="318" w:name="_Toc144974526"/>
      <w:bookmarkStart w:id="319" w:name="_Toc152045558"/>
      <w:bookmarkStart w:id="320" w:name="_Toc14919"/>
      <w:bookmarkStart w:id="321" w:name="_Toc263403063"/>
      <w:bookmarkStart w:id="322" w:name="_Toc152042334"/>
      <w:r>
        <w:rPr>
          <w:rFonts w:hint="eastAsia" w:ascii="宋体" w:hAnsi="宋体" w:eastAsia="宋体"/>
          <w:b/>
          <w:color w:val="auto"/>
          <w:highlight w:val="none"/>
        </w:rPr>
        <w:t xml:space="preserve">4.2 </w:t>
      </w:r>
      <w:bookmarkEnd w:id="313"/>
      <w:bookmarkEnd w:id="314"/>
      <w:bookmarkEnd w:id="315"/>
      <w:bookmarkEnd w:id="316"/>
      <w:bookmarkEnd w:id="317"/>
      <w:bookmarkStart w:id="323" w:name="_Toc263777157"/>
      <w:bookmarkStart w:id="324" w:name="_Toc267475063"/>
      <w:bookmarkStart w:id="325" w:name="_Toc273437315"/>
      <w:r>
        <w:rPr>
          <w:rFonts w:hint="eastAsia" w:ascii="宋体" w:hAnsi="宋体" w:eastAsia="宋体"/>
          <w:b/>
          <w:color w:val="auto"/>
          <w:highlight w:val="none"/>
        </w:rPr>
        <w:t>投标文件的修改与撤回</w:t>
      </w:r>
      <w:bookmarkEnd w:id="318"/>
      <w:bookmarkEnd w:id="319"/>
      <w:bookmarkEnd w:id="320"/>
      <w:bookmarkEnd w:id="321"/>
      <w:bookmarkEnd w:id="322"/>
      <w:bookmarkEnd w:id="323"/>
      <w:bookmarkEnd w:id="324"/>
      <w:bookmarkEnd w:id="325"/>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4.2.1在投标人须知前附表规定的投标截止时间前，投标人可以修改或撤回已上传的电子投标文件，最终电子投标文件以投标截止时间前完成上传至社旗县公共资源交易中心网交易系统最后一份投标文件为准。</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4.2.2投标截止时间之后，投标单位不得修改或撤回电子投标文件；</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4.2.3 投标截止时间之后，在投标有效期内，投标人不得撤回电子投标文件，否则投标保证金将不予退回。</w:t>
      </w:r>
    </w:p>
    <w:p>
      <w:pPr>
        <w:pStyle w:val="45"/>
        <w:spacing w:line="360" w:lineRule="auto"/>
        <w:jc w:val="both"/>
        <w:rPr>
          <w:rFonts w:hint="eastAsia" w:ascii="宋体" w:hAnsi="宋体" w:cs="宋体"/>
          <w:color w:val="auto"/>
          <w:sz w:val="28"/>
          <w:szCs w:val="28"/>
          <w:highlight w:val="none"/>
        </w:rPr>
      </w:pPr>
      <w:bookmarkStart w:id="326" w:name="_Toc330624014"/>
      <w:bookmarkStart w:id="327" w:name="_Toc330911176"/>
      <w:bookmarkStart w:id="328" w:name="_Toc3578"/>
      <w:bookmarkStart w:id="329" w:name="_Toc144974527"/>
      <w:bookmarkStart w:id="330" w:name="_Toc152045559"/>
      <w:bookmarkStart w:id="331" w:name="_Toc152042335"/>
      <w:bookmarkStart w:id="332" w:name="_Toc25571"/>
      <w:bookmarkStart w:id="333" w:name="_Toc179632577"/>
      <w:r>
        <w:rPr>
          <w:rFonts w:hint="eastAsia" w:ascii="宋体" w:hAnsi="宋体" w:cs="宋体"/>
          <w:color w:val="auto"/>
          <w:sz w:val="28"/>
          <w:szCs w:val="28"/>
          <w:highlight w:val="none"/>
        </w:rPr>
        <w:t>5. 开标</w:t>
      </w:r>
      <w:bookmarkEnd w:id="326"/>
      <w:bookmarkEnd w:id="327"/>
      <w:bookmarkEnd w:id="328"/>
      <w:bookmarkEnd w:id="329"/>
      <w:bookmarkEnd w:id="330"/>
      <w:bookmarkEnd w:id="331"/>
      <w:bookmarkEnd w:id="332"/>
      <w:bookmarkEnd w:id="333"/>
    </w:p>
    <w:p>
      <w:pPr>
        <w:pStyle w:val="6"/>
        <w:spacing w:before="0" w:after="0" w:line="360" w:lineRule="auto"/>
        <w:rPr>
          <w:rFonts w:hint="eastAsia" w:ascii="宋体" w:hAnsi="宋体" w:cs="宋体"/>
          <w:color w:val="auto"/>
          <w:sz w:val="24"/>
          <w:szCs w:val="24"/>
          <w:highlight w:val="none"/>
        </w:rPr>
      </w:pPr>
      <w:bookmarkStart w:id="334" w:name="_Toc152042336"/>
      <w:bookmarkStart w:id="335" w:name="_Toc246996947"/>
      <w:bookmarkStart w:id="336" w:name="_Toc296602448"/>
      <w:bookmarkStart w:id="337" w:name="_Toc179632578"/>
      <w:bookmarkStart w:id="338" w:name="_Toc8921"/>
      <w:bookmarkStart w:id="339" w:name="_Toc23246"/>
      <w:bookmarkStart w:id="340" w:name="_Toc144974528"/>
      <w:bookmarkStart w:id="341" w:name="_Toc246996204"/>
      <w:bookmarkStart w:id="342" w:name="_Toc152045560"/>
      <w:bookmarkStart w:id="343" w:name="_Toc247085718"/>
      <w:bookmarkStart w:id="344" w:name="_Toc330624017"/>
      <w:bookmarkStart w:id="345" w:name="_Toc179632580"/>
      <w:bookmarkStart w:id="346" w:name="_Toc8526"/>
      <w:bookmarkStart w:id="347" w:name="_Toc152045562"/>
      <w:bookmarkStart w:id="348" w:name="_Toc330911179"/>
      <w:bookmarkStart w:id="349" w:name="_Toc152042338"/>
      <w:bookmarkStart w:id="350" w:name="_Toc144974530"/>
      <w:r>
        <w:rPr>
          <w:rFonts w:hint="eastAsia" w:ascii="宋体" w:hAnsi="宋体" w:cs="宋体"/>
          <w:color w:val="auto"/>
          <w:sz w:val="24"/>
          <w:szCs w:val="24"/>
          <w:highlight w:val="none"/>
        </w:rPr>
        <w:t>5.1 开标时间和地点</w:t>
      </w:r>
      <w:bookmarkEnd w:id="334"/>
      <w:bookmarkEnd w:id="335"/>
      <w:bookmarkEnd w:id="336"/>
      <w:bookmarkEnd w:id="337"/>
      <w:bookmarkEnd w:id="338"/>
      <w:bookmarkEnd w:id="339"/>
      <w:bookmarkEnd w:id="340"/>
      <w:bookmarkEnd w:id="341"/>
      <w:bookmarkEnd w:id="342"/>
      <w:bookmarkEnd w:id="343"/>
    </w:p>
    <w:p>
      <w:pPr>
        <w:spacing w:line="360" w:lineRule="auto"/>
        <w:ind w:firstLine="440" w:firstLineChars="200"/>
        <w:rPr>
          <w:rFonts w:hint="eastAsia" w:ascii="宋体" w:hAnsi="宋体" w:cs="宋体"/>
          <w:color w:val="auto"/>
          <w:sz w:val="22"/>
          <w:szCs w:val="22"/>
          <w:highlight w:val="none"/>
        </w:rPr>
      </w:pPr>
      <w:bookmarkStart w:id="351" w:name="_Toc246996205"/>
      <w:bookmarkStart w:id="352" w:name="_Toc179632579"/>
      <w:bookmarkStart w:id="353" w:name="_Toc246996948"/>
      <w:bookmarkStart w:id="354" w:name="_Toc152042337"/>
      <w:bookmarkStart w:id="355" w:name="_Toc296602449"/>
      <w:bookmarkStart w:id="356" w:name="_Toc247085719"/>
      <w:bookmarkStart w:id="357" w:name="_Toc144974529"/>
      <w:bookmarkStart w:id="358" w:name="_Toc152045561"/>
      <w:bookmarkStart w:id="359" w:name="_Toc9156"/>
      <w:r>
        <w:rPr>
          <w:rFonts w:hint="eastAsia" w:ascii="宋体" w:hAnsi="宋体" w:cs="宋体"/>
          <w:color w:val="auto"/>
          <w:sz w:val="22"/>
          <w:szCs w:val="22"/>
          <w:highlight w:val="none"/>
        </w:rPr>
        <w:t>招标人在投标人须知前附表规定的投标截止时间(开标时间)和地点公开开标，所有投标人应准时在线参加。</w:t>
      </w:r>
    </w:p>
    <w:p>
      <w:pPr>
        <w:pStyle w:val="6"/>
        <w:spacing w:before="0" w:after="0" w:line="360" w:lineRule="auto"/>
        <w:rPr>
          <w:rFonts w:hint="eastAsia" w:ascii="宋体" w:hAnsi="宋体" w:cs="宋体"/>
          <w:color w:val="auto"/>
          <w:sz w:val="24"/>
          <w:szCs w:val="24"/>
          <w:highlight w:val="none"/>
        </w:rPr>
      </w:pPr>
      <w:bookmarkStart w:id="360" w:name="_Toc19910"/>
      <w:r>
        <w:rPr>
          <w:rFonts w:hint="eastAsia" w:ascii="宋体" w:hAnsi="宋体" w:cs="宋体"/>
          <w:color w:val="auto"/>
          <w:sz w:val="24"/>
          <w:szCs w:val="24"/>
          <w:highlight w:val="none"/>
        </w:rPr>
        <w:t>5.2 开标程序</w:t>
      </w:r>
      <w:bookmarkEnd w:id="351"/>
      <w:bookmarkEnd w:id="352"/>
      <w:bookmarkEnd w:id="353"/>
      <w:bookmarkEnd w:id="354"/>
      <w:bookmarkEnd w:id="355"/>
      <w:bookmarkEnd w:id="356"/>
      <w:bookmarkEnd w:id="357"/>
      <w:bookmarkEnd w:id="358"/>
      <w:bookmarkEnd w:id="359"/>
      <w:bookmarkEnd w:id="360"/>
    </w:p>
    <w:p>
      <w:pPr>
        <w:pStyle w:val="45"/>
        <w:spacing w:line="360" w:lineRule="auto"/>
        <w:jc w:val="both"/>
        <w:rPr>
          <w:rFonts w:hint="eastAsia" w:ascii="宋体" w:hAnsi="宋体" w:cs="宋体"/>
          <w:b w:val="0"/>
          <w:bCs w:val="0"/>
          <w:color w:val="auto"/>
          <w:sz w:val="22"/>
          <w:szCs w:val="22"/>
          <w:highlight w:val="none"/>
          <w:lang w:eastAsia="zh-CN"/>
        </w:rPr>
      </w:pPr>
      <w:bookmarkStart w:id="361" w:name="_Toc1043"/>
      <w:r>
        <w:rPr>
          <w:rFonts w:hint="eastAsia" w:ascii="宋体" w:hAnsi="宋体" w:cs="宋体"/>
          <w:b w:val="0"/>
          <w:bCs w:val="0"/>
          <w:color w:val="auto"/>
          <w:sz w:val="22"/>
          <w:szCs w:val="22"/>
          <w:highlight w:val="none"/>
          <w:lang w:eastAsia="zh-CN"/>
        </w:rPr>
        <w:t>详见投标人须知前附表</w:t>
      </w:r>
      <w:bookmarkEnd w:id="361"/>
    </w:p>
    <w:p>
      <w:pPr>
        <w:pStyle w:val="45"/>
        <w:spacing w:line="360" w:lineRule="auto"/>
        <w:jc w:val="both"/>
        <w:rPr>
          <w:rFonts w:hint="eastAsia" w:ascii="宋体" w:hAnsi="宋体" w:cs="宋体"/>
          <w:color w:val="auto"/>
          <w:sz w:val="28"/>
          <w:szCs w:val="28"/>
          <w:highlight w:val="none"/>
        </w:rPr>
      </w:pPr>
      <w:bookmarkStart w:id="362" w:name="_Toc8416"/>
      <w:r>
        <w:rPr>
          <w:rFonts w:hint="eastAsia" w:ascii="宋体" w:hAnsi="宋体" w:cs="宋体"/>
          <w:color w:val="auto"/>
          <w:sz w:val="28"/>
          <w:szCs w:val="28"/>
          <w:highlight w:val="none"/>
        </w:rPr>
        <w:t>6. 评标</w:t>
      </w:r>
      <w:bookmarkEnd w:id="344"/>
      <w:bookmarkEnd w:id="345"/>
      <w:bookmarkEnd w:id="346"/>
      <w:bookmarkEnd w:id="347"/>
      <w:bookmarkEnd w:id="348"/>
      <w:bookmarkEnd w:id="349"/>
      <w:bookmarkEnd w:id="350"/>
      <w:bookmarkEnd w:id="362"/>
    </w:p>
    <w:p>
      <w:pPr>
        <w:pStyle w:val="247"/>
        <w:spacing w:line="360" w:lineRule="auto"/>
        <w:rPr>
          <w:rFonts w:hint="eastAsia" w:ascii="宋体" w:hAnsi="宋体" w:eastAsia="宋体"/>
          <w:b/>
          <w:color w:val="auto"/>
          <w:highlight w:val="none"/>
        </w:rPr>
      </w:pPr>
      <w:bookmarkStart w:id="363" w:name="_Toc179632581"/>
      <w:bookmarkStart w:id="364" w:name="_Toc7312"/>
      <w:bookmarkStart w:id="365" w:name="_Toc144974531"/>
      <w:bookmarkStart w:id="366" w:name="_Toc330911180"/>
      <w:bookmarkStart w:id="367" w:name="_Toc330624018"/>
      <w:bookmarkStart w:id="368" w:name="_Toc30820"/>
      <w:bookmarkStart w:id="369" w:name="_Toc18570"/>
      <w:bookmarkStart w:id="370" w:name="_Toc29270"/>
      <w:bookmarkStart w:id="371" w:name="_Toc152042339"/>
      <w:bookmarkStart w:id="372" w:name="_Toc11773"/>
      <w:bookmarkStart w:id="373" w:name="_Toc152045563"/>
      <w:bookmarkStart w:id="374" w:name="_Toc28030"/>
      <w:r>
        <w:rPr>
          <w:rFonts w:hint="eastAsia" w:ascii="宋体" w:hAnsi="宋体" w:eastAsia="宋体"/>
          <w:b/>
          <w:color w:val="auto"/>
          <w:highlight w:val="none"/>
        </w:rPr>
        <w:t>6.1 评标委员会</w:t>
      </w:r>
      <w:bookmarkEnd w:id="363"/>
      <w:bookmarkEnd w:id="364"/>
      <w:bookmarkEnd w:id="365"/>
      <w:bookmarkEnd w:id="366"/>
      <w:bookmarkEnd w:id="367"/>
      <w:bookmarkEnd w:id="368"/>
      <w:bookmarkEnd w:id="369"/>
      <w:bookmarkEnd w:id="370"/>
      <w:bookmarkEnd w:id="371"/>
      <w:bookmarkEnd w:id="372"/>
      <w:bookmarkEnd w:id="373"/>
      <w:bookmarkEnd w:id="374"/>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6.1.2 评标委员会成员有下列情形之一的，应当回避：</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（1）招标人或投标人的主要负责人的近亲属；</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（2）项目主管部门或者行政监督部门的人员；</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（3）与投标人有经济利益关系，可能影响对投标公正评审的；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（4）曾因在招标、评标以及其他与招标投标有关活动中从事违法行为而受过行政处罚或刑事处罚的。</w:t>
      </w:r>
    </w:p>
    <w:p>
      <w:pPr>
        <w:pStyle w:val="247"/>
        <w:spacing w:line="360" w:lineRule="auto"/>
        <w:rPr>
          <w:rFonts w:hint="eastAsia" w:ascii="宋体" w:hAnsi="宋体" w:eastAsia="宋体"/>
          <w:color w:val="auto"/>
          <w:highlight w:val="none"/>
        </w:rPr>
      </w:pPr>
      <w:bookmarkStart w:id="375" w:name="_Toc179632582"/>
      <w:bookmarkStart w:id="376" w:name="_Toc15973"/>
      <w:bookmarkStart w:id="377" w:name="_Toc144974532"/>
      <w:bookmarkStart w:id="378" w:name="_Toc16296"/>
      <w:bookmarkStart w:id="379" w:name="_Toc16610"/>
      <w:bookmarkStart w:id="380" w:name="_Toc152045564"/>
      <w:bookmarkStart w:id="381" w:name="_Toc6334"/>
      <w:bookmarkStart w:id="382" w:name="_Toc330624019"/>
      <w:bookmarkStart w:id="383" w:name="_Toc152042340"/>
      <w:bookmarkStart w:id="384" w:name="_Toc330911181"/>
      <w:bookmarkStart w:id="385" w:name="_Toc18399"/>
      <w:bookmarkStart w:id="386" w:name="_Toc7687"/>
      <w:r>
        <w:rPr>
          <w:rFonts w:hint="eastAsia" w:ascii="宋体" w:hAnsi="宋体" w:eastAsia="宋体"/>
          <w:b/>
          <w:color w:val="auto"/>
          <w:highlight w:val="none"/>
        </w:rPr>
        <w:t>6.2 评标原则</w:t>
      </w:r>
      <w:bookmarkEnd w:id="375"/>
      <w:bookmarkEnd w:id="376"/>
      <w:bookmarkEnd w:id="377"/>
      <w:bookmarkEnd w:id="378"/>
      <w:bookmarkEnd w:id="379"/>
      <w:bookmarkEnd w:id="380"/>
      <w:bookmarkEnd w:id="381"/>
      <w:bookmarkEnd w:id="382"/>
      <w:bookmarkEnd w:id="383"/>
      <w:bookmarkEnd w:id="384"/>
      <w:bookmarkEnd w:id="385"/>
      <w:bookmarkEnd w:id="386"/>
      <w:r>
        <w:rPr>
          <w:rFonts w:hint="eastAsia" w:ascii="宋体" w:hAnsi="宋体" w:eastAsia="宋体"/>
          <w:color w:val="auto"/>
          <w:highlight w:val="none"/>
        </w:rPr>
        <w:tab/>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评标活动遵循公平、公正、科学和择优的原则。</w:t>
      </w:r>
    </w:p>
    <w:p>
      <w:pPr>
        <w:pStyle w:val="247"/>
        <w:spacing w:line="360" w:lineRule="auto"/>
        <w:rPr>
          <w:rFonts w:hint="eastAsia" w:ascii="宋体" w:hAnsi="宋体" w:eastAsia="宋体"/>
          <w:b/>
          <w:color w:val="auto"/>
          <w:highlight w:val="none"/>
        </w:rPr>
      </w:pPr>
      <w:bookmarkStart w:id="387" w:name="_Toc152042341"/>
      <w:bookmarkStart w:id="388" w:name="_Toc31781"/>
      <w:bookmarkStart w:id="389" w:name="_Toc179632583"/>
      <w:bookmarkStart w:id="390" w:name="_Toc11931"/>
      <w:bookmarkStart w:id="391" w:name="_Toc144974533"/>
      <w:bookmarkStart w:id="392" w:name="_Toc330624020"/>
      <w:bookmarkStart w:id="393" w:name="_Toc5354"/>
      <w:bookmarkStart w:id="394" w:name="_Toc152045565"/>
      <w:bookmarkStart w:id="395" w:name="_Toc330911182"/>
      <w:bookmarkStart w:id="396" w:name="_Toc16139"/>
      <w:bookmarkStart w:id="397" w:name="_Toc23924"/>
      <w:bookmarkStart w:id="398" w:name="_Toc16663"/>
      <w:r>
        <w:rPr>
          <w:rFonts w:hint="eastAsia" w:ascii="宋体" w:hAnsi="宋体" w:eastAsia="宋体"/>
          <w:b/>
          <w:color w:val="auto"/>
          <w:highlight w:val="none"/>
        </w:rPr>
        <w:t>6.3 评标</w:t>
      </w:r>
      <w:bookmarkEnd w:id="387"/>
      <w:bookmarkEnd w:id="388"/>
      <w:bookmarkEnd w:id="389"/>
      <w:bookmarkEnd w:id="390"/>
      <w:bookmarkEnd w:id="391"/>
      <w:bookmarkEnd w:id="392"/>
      <w:bookmarkEnd w:id="393"/>
      <w:bookmarkEnd w:id="394"/>
      <w:bookmarkEnd w:id="395"/>
      <w:bookmarkEnd w:id="396"/>
      <w:bookmarkEnd w:id="397"/>
      <w:bookmarkEnd w:id="398"/>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6.3.1评标委员会按照第三章“评标办法”规定的方法、评审因素、标准和程序对投标文件进行评审。第三章“评标办法”没有规定的方法、评审因素和标准，不作为评标依据。</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6.3.2</w:t>
      </w:r>
      <w:r>
        <w:rPr>
          <w:rFonts w:hint="eastAsia" w:ascii="宋体" w:hAnsi="宋体" w:cs="宋体"/>
          <w:b/>
          <w:bCs/>
          <w:color w:val="auto"/>
          <w:sz w:val="22"/>
          <w:szCs w:val="22"/>
          <w:highlight w:val="none"/>
        </w:rPr>
        <w:t>参考</w:t>
      </w:r>
      <w:r>
        <w:rPr>
          <w:rFonts w:hint="eastAsia" w:ascii="宋体" w:hAnsi="宋体" w:cs="宋体"/>
          <w:b/>
          <w:bCs/>
          <w:color w:val="auto"/>
          <w:sz w:val="22"/>
          <w:szCs w:val="22"/>
          <w:highlight w:val="none"/>
        </w:rPr>
        <w:fldChar w:fldCharType="begin"/>
      </w:r>
      <w:r>
        <w:rPr>
          <w:rFonts w:hint="eastAsia" w:ascii="宋体" w:hAnsi="宋体" w:cs="宋体"/>
          <w:b/>
          <w:bCs/>
          <w:color w:val="auto"/>
          <w:sz w:val="22"/>
          <w:szCs w:val="22"/>
          <w:highlight w:val="none"/>
        </w:rPr>
        <w:instrText xml:space="preserve"> HYPERLINK "https://www.baidu.com/s?wd=%E3%80%8A%E8%AF%84%E6%A0%87%E5%A7%94%E5%91%98%E4%BC%9A%E5%92%8C%E8%AF%84%E6%A0%87%E6%96%B9%E6%B3%95%E6%9A%82%E8%A1%8C%E8%A7%84%E5%AE%9A%E3%80%8B&amp;tn=44039180_cpr&amp;fenlei=mv6quAkxTZn0IZRqIHckPjm4nH00T1Y1n17-uAcYrHfYrymzn1m30ZwV5Hcvrjm3rH6sPfKWUMw85HfYnjn4nH6sgvPsT6KdThsqpZwYTjCEQLGCpyw9Uz4Bmy-bIi4WUvYETgN-TLwGUv3EPjbLrjm3rjmknHTdPjfvnW6Y" \t "http://zhidao.baidu.com/question/_blank" </w:instrText>
      </w:r>
      <w:r>
        <w:rPr>
          <w:rFonts w:hint="eastAsia" w:ascii="宋体" w:hAnsi="宋体" w:cs="宋体"/>
          <w:b/>
          <w:bCs/>
          <w:color w:val="auto"/>
          <w:sz w:val="22"/>
          <w:szCs w:val="22"/>
          <w:highlight w:val="none"/>
        </w:rPr>
        <w:fldChar w:fldCharType="separate"/>
      </w:r>
      <w:r>
        <w:rPr>
          <w:rFonts w:hint="eastAsia" w:ascii="宋体" w:hAnsi="宋体" w:cs="宋体"/>
          <w:b/>
          <w:bCs/>
          <w:color w:val="auto"/>
          <w:sz w:val="22"/>
          <w:szCs w:val="22"/>
          <w:highlight w:val="none"/>
        </w:rPr>
        <w:t>《评标委员会和评标方法暂行规定》</w:t>
      </w:r>
      <w:r>
        <w:rPr>
          <w:rFonts w:hint="eastAsia" w:ascii="宋体" w:hAnsi="宋体" w:cs="宋体"/>
          <w:b/>
          <w:bCs/>
          <w:color w:val="auto"/>
          <w:sz w:val="22"/>
          <w:szCs w:val="22"/>
          <w:highlight w:val="none"/>
        </w:rPr>
        <w:fldChar w:fldCharType="end"/>
      </w:r>
      <w:r>
        <w:rPr>
          <w:rFonts w:hint="eastAsia" w:ascii="宋体" w:hAnsi="宋体" w:cs="宋体"/>
          <w:b/>
          <w:bCs/>
          <w:color w:val="auto"/>
          <w:sz w:val="22"/>
          <w:szCs w:val="22"/>
          <w:highlight w:val="none"/>
        </w:rPr>
        <w:t>(七部委12号令)第二十七条的规定：“在评标过程中有效投标人不足三个时，使得投标明显缺乏竞争的，评标委员会可以否决全部投标”，由评标委员会界定是否存在竞争，当评标委员会认为仍然存在竞争时可以继续予以评审。</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6.3.3无效的投标文件</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投标人未响应招标文件实质性要求，发生下列情况之一者，按废标处理。</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（1）投标截止时间后送达的；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（2）投标文件没有投标人法</w:t>
      </w:r>
      <w:r>
        <w:rPr>
          <w:rFonts w:hint="eastAsia" w:ascii="宋体" w:hAnsi="宋体" w:cs="宋体"/>
          <w:color w:val="auto"/>
          <w:sz w:val="22"/>
          <w:szCs w:val="22"/>
          <w:highlight w:val="none"/>
          <w:lang w:eastAsia="zh-CN"/>
        </w:rPr>
        <w:t>定代表</w:t>
      </w:r>
      <w:r>
        <w:rPr>
          <w:rFonts w:hint="eastAsia" w:ascii="宋体" w:hAnsi="宋体" w:cs="宋体"/>
          <w:color w:val="auto"/>
          <w:sz w:val="22"/>
          <w:szCs w:val="22"/>
          <w:highlight w:val="none"/>
        </w:rPr>
        <w:t>人签章和加盖公章的；</w:t>
      </w:r>
    </w:p>
    <w:p>
      <w:pPr>
        <w:spacing w:line="360" w:lineRule="auto"/>
        <w:ind w:left="550" w:hanging="550" w:hangingChars="250"/>
        <w:rPr>
          <w:rFonts w:hint="eastAsia" w:ascii="宋体" w:hAnsi="宋体" w:cs="宋体"/>
          <w:color w:val="auto"/>
          <w:sz w:val="22"/>
          <w:szCs w:val="22"/>
          <w:highlight w:val="none"/>
        </w:rPr>
      </w:pPr>
      <w:r>
        <w:rPr>
          <w:rFonts w:hint="eastAsia" w:ascii="宋体" w:hAnsi="宋体" w:cs="宋体"/>
          <w:color w:val="auto"/>
          <w:sz w:val="22"/>
          <w:szCs w:val="22"/>
          <w:highlight w:val="none"/>
        </w:rPr>
        <w:t>（3）投标文件载明的招标项目完成工期超过招标文件规定的期限或没有工期、完成质量标准低于招标文件要求的；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（4）投标文件附加有招标人不能接受的条件的；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（5）投标人以他人的名义投标、串通投标、以行贿手段谋取中标或者以其他弄虚作假方式投标的；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（6）有关法律法规和规章规定的其他情况；</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（7）不符合招标文件中规定的其它实质性要求；</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（8）投标文件制作机器码一致。</w:t>
      </w:r>
    </w:p>
    <w:p>
      <w:pPr>
        <w:pStyle w:val="45"/>
        <w:spacing w:line="360" w:lineRule="auto"/>
        <w:jc w:val="both"/>
        <w:rPr>
          <w:rFonts w:hint="eastAsia" w:ascii="宋体" w:hAnsi="宋体" w:cs="宋体"/>
          <w:color w:val="auto"/>
          <w:sz w:val="28"/>
          <w:szCs w:val="28"/>
          <w:highlight w:val="none"/>
        </w:rPr>
      </w:pPr>
      <w:bookmarkStart w:id="399" w:name="_Toc179632584"/>
      <w:bookmarkStart w:id="400" w:name="_Toc330911183"/>
      <w:bookmarkStart w:id="401" w:name="_Toc17751"/>
      <w:bookmarkStart w:id="402" w:name="_Toc152045566"/>
      <w:bookmarkStart w:id="403" w:name="_Toc152042342"/>
      <w:bookmarkStart w:id="404" w:name="_Toc18688"/>
      <w:bookmarkStart w:id="405" w:name="_Toc144974534"/>
      <w:bookmarkStart w:id="406" w:name="_Toc330624021"/>
      <w:r>
        <w:rPr>
          <w:rFonts w:hint="eastAsia" w:ascii="宋体" w:hAnsi="宋体" w:cs="宋体"/>
          <w:color w:val="auto"/>
          <w:sz w:val="28"/>
          <w:szCs w:val="28"/>
          <w:highlight w:val="none"/>
        </w:rPr>
        <w:t>7.合同授予</w:t>
      </w:r>
      <w:bookmarkEnd w:id="399"/>
      <w:bookmarkEnd w:id="400"/>
      <w:bookmarkEnd w:id="401"/>
      <w:bookmarkEnd w:id="402"/>
      <w:bookmarkEnd w:id="403"/>
      <w:bookmarkEnd w:id="404"/>
      <w:bookmarkEnd w:id="405"/>
      <w:bookmarkEnd w:id="406"/>
    </w:p>
    <w:p>
      <w:pPr>
        <w:pStyle w:val="247"/>
        <w:spacing w:line="360" w:lineRule="auto"/>
        <w:rPr>
          <w:rFonts w:hint="eastAsia" w:ascii="宋体" w:hAnsi="宋体" w:eastAsia="宋体" w:cs="宋体"/>
          <w:b/>
          <w:bCs w:val="0"/>
          <w:color w:val="auto"/>
          <w:highlight w:val="none"/>
        </w:rPr>
      </w:pPr>
      <w:bookmarkStart w:id="407" w:name="_Toc152042343"/>
      <w:bookmarkStart w:id="408" w:name="_Toc9430"/>
      <w:bookmarkStart w:id="409" w:name="_Toc18707"/>
      <w:bookmarkStart w:id="410" w:name="_Toc13383"/>
      <w:bookmarkStart w:id="411" w:name="_Toc23929"/>
      <w:bookmarkStart w:id="412" w:name="_Toc29882"/>
      <w:bookmarkStart w:id="413" w:name="_Toc179632585"/>
      <w:bookmarkStart w:id="414" w:name="_Toc330911184"/>
      <w:bookmarkStart w:id="415" w:name="_Toc7188"/>
      <w:bookmarkStart w:id="416" w:name="_Toc152045567"/>
      <w:bookmarkStart w:id="417" w:name="_Toc30027"/>
      <w:bookmarkStart w:id="418" w:name="_Toc330624022"/>
      <w:bookmarkStart w:id="419" w:name="_Toc144974535"/>
      <w:bookmarkStart w:id="420" w:name="_Toc280"/>
      <w:r>
        <w:rPr>
          <w:rFonts w:hint="eastAsia" w:ascii="宋体" w:hAnsi="宋体" w:eastAsia="宋体" w:cs="宋体"/>
          <w:b/>
          <w:bCs w:val="0"/>
          <w:color w:val="auto"/>
          <w:highlight w:val="none"/>
        </w:rPr>
        <w:t>7.1 定标方式</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除投标人须知前附表规定评标委员会直接确定中标人外，招标人依据评标委员会推荐的中标候选人确定中标人，评标委员会推荐中标候选人的人数见投标人须知前附表。</w:t>
      </w:r>
    </w:p>
    <w:p>
      <w:pPr>
        <w:pStyle w:val="247"/>
        <w:spacing w:line="360" w:lineRule="auto"/>
        <w:rPr>
          <w:rFonts w:hint="eastAsia" w:ascii="宋体" w:hAnsi="宋体" w:eastAsia="宋体" w:cs="宋体"/>
          <w:b/>
          <w:bCs w:val="0"/>
          <w:color w:val="auto"/>
          <w:highlight w:val="none"/>
        </w:rPr>
      </w:pPr>
      <w:bookmarkStart w:id="421" w:name="_Toc23138"/>
      <w:bookmarkStart w:id="422" w:name="_Toc10306"/>
      <w:bookmarkStart w:id="423" w:name="_Toc12929"/>
      <w:bookmarkStart w:id="424" w:name="_Toc296602457"/>
      <w:bookmarkStart w:id="425" w:name="_Toc4761"/>
      <w:bookmarkStart w:id="426" w:name="_Toc152045568"/>
      <w:bookmarkStart w:id="427" w:name="_Toc152042344"/>
      <w:bookmarkStart w:id="428" w:name="_Toc25023"/>
      <w:bookmarkStart w:id="429" w:name="_Toc6000"/>
      <w:bookmarkStart w:id="430" w:name="_Toc6724"/>
      <w:bookmarkStart w:id="431" w:name="_Toc179632586"/>
      <w:bookmarkStart w:id="432" w:name="_Toc330911185"/>
      <w:bookmarkStart w:id="433" w:name="_Toc539"/>
      <w:bookmarkStart w:id="434" w:name="_Toc144974536"/>
      <w:bookmarkStart w:id="435" w:name="_Toc330624023"/>
      <w:r>
        <w:rPr>
          <w:rFonts w:hint="eastAsia" w:ascii="宋体" w:hAnsi="宋体" w:eastAsia="宋体" w:cs="宋体"/>
          <w:b/>
          <w:bCs w:val="0"/>
          <w:color w:val="auto"/>
          <w:highlight w:val="none"/>
        </w:rPr>
        <w:t>7.2 中标候选人公示</w:t>
      </w:r>
      <w:bookmarkEnd w:id="421"/>
      <w:bookmarkEnd w:id="422"/>
      <w:bookmarkEnd w:id="423"/>
      <w:bookmarkEnd w:id="424"/>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招标人在投标人须知前附表规定的媒介公示</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名中标候选人。</w:t>
      </w:r>
    </w:p>
    <w:bookmarkEnd w:id="425"/>
    <w:bookmarkEnd w:id="426"/>
    <w:bookmarkEnd w:id="427"/>
    <w:bookmarkEnd w:id="428"/>
    <w:bookmarkEnd w:id="429"/>
    <w:bookmarkEnd w:id="430"/>
    <w:bookmarkEnd w:id="431"/>
    <w:bookmarkEnd w:id="432"/>
    <w:bookmarkEnd w:id="433"/>
    <w:bookmarkEnd w:id="434"/>
    <w:bookmarkEnd w:id="435"/>
    <w:p>
      <w:pPr>
        <w:pStyle w:val="247"/>
        <w:spacing w:line="360" w:lineRule="auto"/>
        <w:rPr>
          <w:rFonts w:hint="eastAsia" w:ascii="宋体" w:hAnsi="宋体" w:eastAsia="宋体" w:cs="宋体"/>
          <w:b/>
          <w:bCs w:val="0"/>
          <w:color w:val="auto"/>
          <w:highlight w:val="none"/>
        </w:rPr>
      </w:pPr>
      <w:bookmarkStart w:id="436" w:name="_Toc8298"/>
      <w:bookmarkStart w:id="437" w:name="_Toc247085726"/>
      <w:bookmarkStart w:id="438" w:name="_Toc246996212"/>
      <w:bookmarkStart w:id="439" w:name="_Toc3019"/>
      <w:bookmarkStart w:id="440" w:name="_Toc296602458"/>
      <w:bookmarkStart w:id="441" w:name="_Toc38378729"/>
      <w:bookmarkStart w:id="442" w:name="_Toc26961"/>
      <w:bookmarkStart w:id="443" w:name="_Toc20428"/>
      <w:bookmarkStart w:id="444" w:name="_Toc246996955"/>
      <w:r>
        <w:rPr>
          <w:rFonts w:hint="eastAsia" w:ascii="宋体" w:hAnsi="宋体" w:eastAsia="宋体" w:cs="宋体"/>
          <w:b/>
          <w:bCs w:val="0"/>
          <w:color w:val="auto"/>
          <w:highlight w:val="none"/>
        </w:rPr>
        <w:t>7.3 中标通知</w:t>
      </w:r>
      <w:bookmarkEnd w:id="436"/>
      <w:bookmarkEnd w:id="437"/>
      <w:bookmarkEnd w:id="438"/>
      <w:bookmarkEnd w:id="439"/>
      <w:bookmarkEnd w:id="440"/>
      <w:bookmarkEnd w:id="441"/>
      <w:bookmarkEnd w:id="442"/>
      <w:bookmarkEnd w:id="443"/>
      <w:bookmarkEnd w:id="444"/>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在本章第3.3款规定的投标有效期内，招标人向中标人发出中标通知书，根据南阳市公管办《关于做好工程建设项目中标通知书在线签章发放、合同在线签订的通知》（宛公管办[2021]10号）要求，本项目中标通知书由招标人（代理机构）在公共资源交易平台在线签章发放，招标人、中标人通过公共资源交易平台系统在线签订合同。上述功能的具体操作步骤详见《南阳市公共资源交易平台中标通知书在线签章发放和合同在线签订操作指南》（下载地址详见南阳市公共资源交易中心网站首页）。</w:t>
      </w:r>
    </w:p>
    <w:p>
      <w:pPr>
        <w:pStyle w:val="247"/>
        <w:spacing w:line="360" w:lineRule="auto"/>
        <w:rPr>
          <w:rFonts w:hint="eastAsia" w:ascii="宋体" w:hAnsi="宋体" w:eastAsia="宋体" w:cs="宋体"/>
          <w:b/>
          <w:bCs w:val="0"/>
          <w:color w:val="auto"/>
          <w:highlight w:val="none"/>
        </w:rPr>
      </w:pPr>
      <w:bookmarkStart w:id="445" w:name="_Toc246996213"/>
      <w:bookmarkStart w:id="446" w:name="_Toc38378730"/>
      <w:bookmarkStart w:id="447" w:name="_Toc247085727"/>
      <w:bookmarkStart w:id="448" w:name="_Toc3549"/>
      <w:bookmarkStart w:id="449" w:name="_Toc152045569"/>
      <w:bookmarkStart w:id="450" w:name="_Toc32728"/>
      <w:bookmarkStart w:id="451" w:name="_Toc1222"/>
      <w:bookmarkStart w:id="452" w:name="_Toc144974537"/>
      <w:bookmarkStart w:id="453" w:name="_Toc6999"/>
      <w:bookmarkStart w:id="454" w:name="_Toc152042345"/>
      <w:bookmarkStart w:id="455" w:name="_Toc296602459"/>
      <w:bookmarkStart w:id="456" w:name="_Toc179632587"/>
      <w:bookmarkStart w:id="457" w:name="_Toc246996956"/>
      <w:r>
        <w:rPr>
          <w:rFonts w:hint="eastAsia" w:ascii="宋体" w:hAnsi="宋体" w:eastAsia="宋体" w:cs="宋体"/>
          <w:b/>
          <w:bCs w:val="0"/>
          <w:color w:val="auto"/>
          <w:highlight w:val="none"/>
        </w:rPr>
        <w:t>7.4 履约担保</w:t>
      </w:r>
      <w:bookmarkEnd w:id="445"/>
      <w:bookmarkEnd w:id="446"/>
      <w:bookmarkEnd w:id="447"/>
      <w:bookmarkEnd w:id="448"/>
      <w:bookmarkEnd w:id="449"/>
      <w:bookmarkEnd w:id="450"/>
      <w:bookmarkEnd w:id="451"/>
      <w:bookmarkEnd w:id="452"/>
      <w:bookmarkEnd w:id="453"/>
      <w:bookmarkEnd w:id="454"/>
      <w:bookmarkEnd w:id="455"/>
      <w:bookmarkEnd w:id="456"/>
      <w:bookmarkEnd w:id="457"/>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7.4.1在签订合同前，中标人应按投标人须知前附表规定的金额、形式和招标文件第四章“合同条款及格式”规定的履约担保格式向招标人提交履约担保。除投标人须知前附表另有规定外，履约担保金额中标人与招标人合同约定。</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7.4.2 中标人不能按本章第7.4.1项要求提交履约担保的，视为放弃中标，其投标保证金不予退还，给招标人造成的损失超过投标保证金数额的，中标人还应当对超过部分予以赔偿。</w:t>
      </w:r>
    </w:p>
    <w:p>
      <w:pPr>
        <w:pStyle w:val="247"/>
        <w:spacing w:line="360" w:lineRule="auto"/>
        <w:rPr>
          <w:rFonts w:hint="eastAsia" w:ascii="宋体" w:hAnsi="宋体" w:eastAsia="宋体" w:cs="宋体"/>
          <w:b/>
          <w:bCs w:val="0"/>
          <w:color w:val="auto"/>
          <w:highlight w:val="none"/>
        </w:rPr>
      </w:pPr>
      <w:bookmarkStart w:id="458" w:name="_Toc152045570"/>
      <w:bookmarkStart w:id="459" w:name="_Toc152042346"/>
      <w:bookmarkStart w:id="460" w:name="_Toc11"/>
      <w:bookmarkStart w:id="461" w:name="_Toc38378731"/>
      <w:bookmarkStart w:id="462" w:name="_Toc276"/>
      <w:bookmarkStart w:id="463" w:name="_Toc179632588"/>
      <w:bookmarkStart w:id="464" w:name="_Toc296602460"/>
      <w:bookmarkStart w:id="465" w:name="_Toc246996957"/>
      <w:bookmarkStart w:id="466" w:name="_Toc247085728"/>
      <w:bookmarkStart w:id="467" w:name="_Toc246996214"/>
      <w:bookmarkStart w:id="468" w:name="_Toc30272"/>
      <w:bookmarkStart w:id="469" w:name="_Toc144974538"/>
      <w:bookmarkStart w:id="470" w:name="_Toc16844"/>
      <w:r>
        <w:rPr>
          <w:rFonts w:hint="eastAsia" w:ascii="宋体" w:hAnsi="宋体" w:eastAsia="宋体" w:cs="宋体"/>
          <w:b/>
          <w:bCs w:val="0"/>
          <w:color w:val="auto"/>
          <w:highlight w:val="none"/>
        </w:rPr>
        <w:t>7.5 签订合同</w:t>
      </w:r>
      <w:bookmarkEnd w:id="458"/>
      <w:bookmarkEnd w:id="459"/>
      <w:bookmarkEnd w:id="460"/>
      <w:bookmarkEnd w:id="461"/>
      <w:bookmarkEnd w:id="462"/>
      <w:bookmarkEnd w:id="463"/>
      <w:bookmarkEnd w:id="464"/>
      <w:bookmarkEnd w:id="465"/>
      <w:bookmarkEnd w:id="466"/>
      <w:bookmarkEnd w:id="467"/>
      <w:bookmarkEnd w:id="468"/>
      <w:bookmarkEnd w:id="469"/>
      <w:bookmarkEnd w:id="470"/>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7.5.1招标人和中标人应当自中标通知书发出之日起30天内，根据招标文件和中标人的投标文件</w:t>
      </w:r>
      <w:r>
        <w:rPr>
          <w:rFonts w:hint="eastAsia" w:ascii="宋体" w:hAnsi="宋体" w:cs="宋体"/>
          <w:color w:val="auto"/>
          <w:sz w:val="22"/>
          <w:szCs w:val="22"/>
          <w:highlight w:val="none"/>
          <w:lang w:eastAsia="zh-CN"/>
        </w:rPr>
        <w:t>在线签订</w:t>
      </w:r>
      <w:r>
        <w:rPr>
          <w:rFonts w:hint="eastAsia" w:ascii="宋体" w:hAnsi="宋体" w:cs="宋体"/>
          <w:color w:val="auto"/>
          <w:sz w:val="22"/>
          <w:szCs w:val="22"/>
          <w:highlight w:val="none"/>
        </w:rPr>
        <w:t>合同。中标人无正当理由拒签合同的，招标人取消其中标资格，其投标保证金不予退还；给招标人造成的损失超过投标保证金数额的，中标人还应当对超过部分予以赔偿。</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7.5.2 发出中标通知书后，招标人无正当理由拒签合同的，招标人向中标人退还投标保证金；给中标人造成损失的，还应当赔偿损失。</w:t>
      </w:r>
    </w:p>
    <w:p>
      <w:pPr>
        <w:pStyle w:val="45"/>
        <w:spacing w:line="360" w:lineRule="auto"/>
        <w:jc w:val="both"/>
        <w:rPr>
          <w:rFonts w:hint="eastAsia" w:ascii="宋体" w:hAnsi="宋体" w:cs="宋体"/>
          <w:color w:val="auto"/>
          <w:sz w:val="28"/>
          <w:szCs w:val="28"/>
          <w:highlight w:val="none"/>
        </w:rPr>
      </w:pPr>
      <w:bookmarkStart w:id="471" w:name="_Toc152042347"/>
      <w:bookmarkStart w:id="472" w:name="_Toc25639"/>
      <w:bookmarkStart w:id="473" w:name="_Toc330911188"/>
      <w:bookmarkStart w:id="474" w:name="_Toc179632589"/>
      <w:bookmarkStart w:id="475" w:name="_Toc152045571"/>
      <w:bookmarkStart w:id="476" w:name="_Toc330624026"/>
      <w:bookmarkStart w:id="477" w:name="_Toc144974539"/>
      <w:bookmarkStart w:id="478" w:name="_Toc7906"/>
      <w:r>
        <w:rPr>
          <w:rFonts w:hint="eastAsia" w:ascii="宋体" w:hAnsi="宋体" w:cs="宋体"/>
          <w:color w:val="auto"/>
          <w:sz w:val="28"/>
          <w:szCs w:val="28"/>
          <w:highlight w:val="none"/>
        </w:rPr>
        <w:t>8. 重新招标和不再招标</w:t>
      </w:r>
      <w:bookmarkEnd w:id="471"/>
      <w:bookmarkEnd w:id="472"/>
      <w:bookmarkEnd w:id="473"/>
      <w:bookmarkEnd w:id="474"/>
      <w:bookmarkEnd w:id="475"/>
      <w:bookmarkEnd w:id="476"/>
      <w:bookmarkEnd w:id="477"/>
      <w:bookmarkEnd w:id="478"/>
    </w:p>
    <w:p>
      <w:pPr>
        <w:pStyle w:val="247"/>
        <w:spacing w:line="360" w:lineRule="auto"/>
        <w:rPr>
          <w:rFonts w:hint="eastAsia" w:ascii="宋体" w:hAnsi="宋体" w:eastAsia="宋体"/>
          <w:b/>
          <w:color w:val="auto"/>
          <w:szCs w:val="24"/>
          <w:highlight w:val="none"/>
        </w:rPr>
      </w:pPr>
      <w:bookmarkStart w:id="479" w:name="_Toc144974540"/>
      <w:bookmarkStart w:id="480" w:name="_Toc179632590"/>
      <w:bookmarkStart w:id="481" w:name="_Toc7102"/>
      <w:bookmarkStart w:id="482" w:name="_Toc330624027"/>
      <w:bookmarkStart w:id="483" w:name="_Toc20756"/>
      <w:bookmarkStart w:id="484" w:name="_Toc347"/>
      <w:bookmarkStart w:id="485" w:name="_Toc152042348"/>
      <w:bookmarkStart w:id="486" w:name="_Toc23804"/>
      <w:bookmarkStart w:id="487" w:name="_Toc152045572"/>
      <w:bookmarkStart w:id="488" w:name="_Toc21068"/>
      <w:bookmarkStart w:id="489" w:name="_Toc330911189"/>
      <w:bookmarkStart w:id="490" w:name="_Toc32617"/>
      <w:r>
        <w:rPr>
          <w:rFonts w:hint="eastAsia" w:ascii="宋体" w:hAnsi="宋体" w:eastAsia="宋体"/>
          <w:b/>
          <w:color w:val="auto"/>
          <w:szCs w:val="24"/>
          <w:highlight w:val="none"/>
        </w:rPr>
        <w:t>8.1 重新招标</w:t>
      </w:r>
      <w:bookmarkEnd w:id="479"/>
      <w:bookmarkEnd w:id="480"/>
      <w:bookmarkEnd w:id="481"/>
      <w:bookmarkEnd w:id="482"/>
      <w:bookmarkEnd w:id="483"/>
      <w:bookmarkEnd w:id="484"/>
      <w:bookmarkEnd w:id="485"/>
      <w:bookmarkEnd w:id="486"/>
      <w:bookmarkEnd w:id="487"/>
      <w:bookmarkEnd w:id="488"/>
      <w:bookmarkEnd w:id="489"/>
      <w:bookmarkEnd w:id="490"/>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有下列情形之一的，招标人将重新招标：</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（1）投标截止时间止，投标人少于3个的；</w:t>
      </w:r>
    </w:p>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（2）经评标委员会评审后否决所有投标的。</w:t>
      </w:r>
    </w:p>
    <w:p>
      <w:pPr>
        <w:pStyle w:val="247"/>
        <w:spacing w:line="360" w:lineRule="auto"/>
        <w:rPr>
          <w:rFonts w:hint="eastAsia" w:ascii="宋体" w:hAnsi="宋体" w:eastAsia="宋体"/>
          <w:b/>
          <w:color w:val="auto"/>
          <w:szCs w:val="24"/>
          <w:highlight w:val="none"/>
        </w:rPr>
      </w:pPr>
      <w:bookmarkStart w:id="491" w:name="_Toc179632591"/>
      <w:bookmarkStart w:id="492" w:name="_Toc14608"/>
      <w:bookmarkStart w:id="493" w:name="_Toc330911190"/>
      <w:bookmarkStart w:id="494" w:name="_Toc144974541"/>
      <w:bookmarkStart w:id="495" w:name="_Toc152042349"/>
      <w:bookmarkStart w:id="496" w:name="_Toc1059"/>
      <w:bookmarkStart w:id="497" w:name="_Toc152045573"/>
      <w:bookmarkStart w:id="498" w:name="_Toc28057"/>
      <w:bookmarkStart w:id="499" w:name="_Toc31332"/>
      <w:bookmarkStart w:id="500" w:name="_Toc27519"/>
      <w:bookmarkStart w:id="501" w:name="_Toc330624028"/>
      <w:bookmarkStart w:id="502" w:name="_Toc1747"/>
      <w:r>
        <w:rPr>
          <w:rFonts w:hint="eastAsia" w:ascii="宋体" w:hAnsi="宋体" w:eastAsia="宋体"/>
          <w:b/>
          <w:color w:val="auto"/>
          <w:szCs w:val="24"/>
          <w:highlight w:val="none"/>
        </w:rPr>
        <w:t>8.2 不再招标</w:t>
      </w:r>
      <w:bookmarkEnd w:id="491"/>
      <w:bookmarkEnd w:id="492"/>
      <w:bookmarkEnd w:id="493"/>
      <w:bookmarkEnd w:id="494"/>
      <w:bookmarkEnd w:id="495"/>
      <w:bookmarkEnd w:id="496"/>
      <w:bookmarkEnd w:id="497"/>
      <w:bookmarkEnd w:id="498"/>
      <w:bookmarkEnd w:id="499"/>
      <w:bookmarkEnd w:id="500"/>
      <w:bookmarkEnd w:id="501"/>
      <w:bookmarkEnd w:id="502"/>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重新招标后投标人仍少于3个或者所有投标被否决的，属于必须审批或核准的工程建设项目，经原审批或核准部门批准后不再进行招标。</w:t>
      </w:r>
    </w:p>
    <w:p>
      <w:pPr>
        <w:pStyle w:val="45"/>
        <w:spacing w:line="360" w:lineRule="auto"/>
        <w:jc w:val="both"/>
        <w:rPr>
          <w:rFonts w:hint="eastAsia" w:ascii="宋体" w:hAnsi="宋体" w:cs="宋体"/>
          <w:color w:val="auto"/>
          <w:sz w:val="28"/>
          <w:szCs w:val="28"/>
          <w:highlight w:val="none"/>
        </w:rPr>
      </w:pPr>
      <w:bookmarkStart w:id="503" w:name="_Toc207107749"/>
      <w:bookmarkStart w:id="504" w:name="_Toc2618"/>
      <w:bookmarkStart w:id="505" w:name="_Toc307253387"/>
      <w:bookmarkStart w:id="506" w:name="_Toc24774"/>
      <w:bookmarkStart w:id="507" w:name="_Toc15596"/>
      <w:bookmarkStart w:id="508" w:name="_Toc152045580"/>
      <w:bookmarkStart w:id="509" w:name="_Toc152042357"/>
      <w:bookmarkStart w:id="510" w:name="_Toc330624035"/>
      <w:bookmarkStart w:id="511" w:name="_Toc144974547"/>
      <w:bookmarkStart w:id="512" w:name="_Toc330911197"/>
      <w:bookmarkStart w:id="513" w:name="_Toc179632598"/>
      <w:r>
        <w:rPr>
          <w:rFonts w:hint="eastAsia" w:ascii="宋体" w:hAnsi="宋体" w:cs="宋体"/>
          <w:color w:val="auto"/>
          <w:sz w:val="28"/>
          <w:szCs w:val="28"/>
          <w:highlight w:val="none"/>
        </w:rPr>
        <w:t>9．纪律和监督</w:t>
      </w:r>
      <w:bookmarkEnd w:id="503"/>
      <w:bookmarkEnd w:id="504"/>
      <w:bookmarkEnd w:id="505"/>
      <w:bookmarkEnd w:id="506"/>
      <w:bookmarkEnd w:id="507"/>
    </w:p>
    <w:p>
      <w:pPr>
        <w:pStyle w:val="247"/>
        <w:spacing w:line="360" w:lineRule="auto"/>
        <w:rPr>
          <w:rFonts w:hint="eastAsia" w:ascii="宋体" w:hAnsi="宋体" w:eastAsia="宋体"/>
          <w:b/>
          <w:color w:val="auto"/>
          <w:szCs w:val="24"/>
          <w:highlight w:val="none"/>
        </w:rPr>
      </w:pPr>
      <w:bookmarkStart w:id="514" w:name="_Toc881"/>
      <w:bookmarkStart w:id="515" w:name="_Toc28146"/>
      <w:bookmarkStart w:id="516" w:name="_Toc2883"/>
      <w:bookmarkStart w:id="517" w:name="_Toc26044"/>
      <w:bookmarkStart w:id="518" w:name="_Toc19090"/>
      <w:bookmarkStart w:id="519" w:name="_Toc14866"/>
      <w:r>
        <w:rPr>
          <w:rFonts w:hint="eastAsia" w:ascii="宋体" w:hAnsi="宋体" w:eastAsia="宋体"/>
          <w:b/>
          <w:color w:val="auto"/>
          <w:szCs w:val="24"/>
          <w:highlight w:val="none"/>
        </w:rPr>
        <w:t>9.1 对招标人的纪律要求</w:t>
      </w:r>
      <w:bookmarkEnd w:id="514"/>
      <w:bookmarkEnd w:id="515"/>
      <w:bookmarkEnd w:id="516"/>
      <w:bookmarkEnd w:id="517"/>
      <w:bookmarkEnd w:id="518"/>
      <w:bookmarkEnd w:id="519"/>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招标人不得泄</w:t>
      </w:r>
      <w:r>
        <w:rPr>
          <w:rFonts w:hint="eastAsia" w:ascii="宋体" w:hAnsi="宋体" w:cs="宋体"/>
          <w:color w:val="auto"/>
          <w:sz w:val="22"/>
          <w:szCs w:val="22"/>
          <w:highlight w:val="none"/>
          <w:lang w:eastAsia="zh-CN"/>
        </w:rPr>
        <w:t>露</w:t>
      </w:r>
      <w:r>
        <w:rPr>
          <w:rFonts w:hint="eastAsia" w:ascii="宋体" w:hAnsi="宋体" w:cs="宋体"/>
          <w:color w:val="auto"/>
          <w:sz w:val="22"/>
          <w:szCs w:val="22"/>
          <w:highlight w:val="none"/>
        </w:rPr>
        <w:t>招标投标活动中应当保密的情况和资料，不得与投标人串通损害国家利益、社会公共利益或者他人合法权益。</w:t>
      </w:r>
    </w:p>
    <w:p>
      <w:pPr>
        <w:pStyle w:val="247"/>
        <w:spacing w:line="360" w:lineRule="auto"/>
        <w:rPr>
          <w:rFonts w:hint="eastAsia" w:ascii="宋体" w:hAnsi="宋体" w:eastAsia="宋体"/>
          <w:b/>
          <w:color w:val="auto"/>
          <w:szCs w:val="24"/>
          <w:highlight w:val="none"/>
        </w:rPr>
      </w:pPr>
      <w:bookmarkStart w:id="520" w:name="_Toc22180"/>
      <w:bookmarkStart w:id="521" w:name="_Toc3474"/>
      <w:bookmarkStart w:id="522" w:name="_Toc15095"/>
      <w:bookmarkStart w:id="523" w:name="_Toc18722"/>
      <w:bookmarkStart w:id="524" w:name="_Toc12736"/>
      <w:bookmarkStart w:id="525" w:name="_Toc18477"/>
      <w:r>
        <w:rPr>
          <w:rFonts w:hint="eastAsia" w:ascii="宋体" w:hAnsi="宋体" w:eastAsia="宋体"/>
          <w:b/>
          <w:color w:val="auto"/>
          <w:szCs w:val="24"/>
          <w:highlight w:val="none"/>
        </w:rPr>
        <w:t>9.2 对投标人的纪律要求</w:t>
      </w:r>
      <w:bookmarkEnd w:id="520"/>
      <w:bookmarkEnd w:id="521"/>
      <w:bookmarkEnd w:id="522"/>
      <w:bookmarkEnd w:id="523"/>
      <w:bookmarkEnd w:id="524"/>
      <w:bookmarkEnd w:id="525"/>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247"/>
        <w:spacing w:line="360" w:lineRule="auto"/>
        <w:rPr>
          <w:rFonts w:hint="eastAsia" w:ascii="宋体" w:hAnsi="宋体" w:eastAsia="宋体"/>
          <w:b/>
          <w:color w:val="auto"/>
          <w:szCs w:val="24"/>
          <w:highlight w:val="none"/>
        </w:rPr>
      </w:pPr>
      <w:bookmarkStart w:id="526" w:name="_Toc29479"/>
      <w:bookmarkStart w:id="527" w:name="_Toc11164"/>
      <w:bookmarkStart w:id="528" w:name="_Toc6618"/>
      <w:bookmarkStart w:id="529" w:name="_Toc7273"/>
      <w:bookmarkStart w:id="530" w:name="_Toc29396"/>
      <w:bookmarkStart w:id="531" w:name="_Toc25237"/>
      <w:r>
        <w:rPr>
          <w:rFonts w:hint="eastAsia" w:ascii="宋体" w:hAnsi="宋体" w:eastAsia="宋体"/>
          <w:b/>
          <w:color w:val="auto"/>
          <w:szCs w:val="24"/>
          <w:highlight w:val="none"/>
        </w:rPr>
        <w:t>9.3 对评标委员会成员的纪律要求</w:t>
      </w:r>
      <w:bookmarkEnd w:id="526"/>
      <w:bookmarkEnd w:id="527"/>
      <w:bookmarkEnd w:id="528"/>
      <w:bookmarkEnd w:id="529"/>
      <w:bookmarkEnd w:id="530"/>
      <w:bookmarkEnd w:id="531"/>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评标委员会成员不得收受他人的财物或者其他好处，不得向他人透</w:t>
      </w:r>
      <w:r>
        <w:rPr>
          <w:rFonts w:hint="eastAsia" w:ascii="宋体" w:hAnsi="宋体" w:cs="宋体"/>
          <w:color w:val="auto"/>
          <w:sz w:val="22"/>
          <w:szCs w:val="22"/>
          <w:highlight w:val="none"/>
          <w:lang w:eastAsia="zh-CN"/>
        </w:rPr>
        <w:t>露</w:t>
      </w:r>
      <w:r>
        <w:rPr>
          <w:rFonts w:hint="eastAsia" w:ascii="宋体" w:hAnsi="宋体" w:cs="宋体"/>
          <w:color w:val="auto"/>
          <w:sz w:val="22"/>
          <w:szCs w:val="22"/>
          <w:highlight w:val="none"/>
        </w:rPr>
        <w:t>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247"/>
        <w:spacing w:line="360" w:lineRule="auto"/>
        <w:rPr>
          <w:rFonts w:hint="eastAsia" w:ascii="宋体" w:hAnsi="宋体" w:eastAsia="宋体"/>
          <w:color w:val="auto"/>
          <w:highlight w:val="none"/>
        </w:rPr>
      </w:pPr>
      <w:bookmarkStart w:id="532" w:name="_Toc12765"/>
      <w:bookmarkStart w:id="533" w:name="_Toc6679"/>
      <w:bookmarkStart w:id="534" w:name="_Toc3775"/>
      <w:bookmarkStart w:id="535" w:name="_Toc32441"/>
      <w:bookmarkStart w:id="536" w:name="_Toc22968"/>
      <w:bookmarkStart w:id="537" w:name="_Toc31442"/>
      <w:r>
        <w:rPr>
          <w:rFonts w:hint="eastAsia" w:ascii="宋体" w:hAnsi="宋体" w:eastAsia="宋体"/>
          <w:b/>
          <w:color w:val="auto"/>
          <w:szCs w:val="24"/>
          <w:highlight w:val="none"/>
        </w:rPr>
        <w:t>9.4 对与评标活动有关的工作人员的纪律要求</w:t>
      </w:r>
      <w:bookmarkEnd w:id="532"/>
      <w:bookmarkEnd w:id="533"/>
      <w:bookmarkEnd w:id="534"/>
      <w:bookmarkEnd w:id="535"/>
      <w:bookmarkEnd w:id="536"/>
      <w:bookmarkEnd w:id="537"/>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与评标活动有关的工作人员不得收受他人的财物或者其他好处，不得向他人</w:t>
      </w:r>
      <w:r>
        <w:rPr>
          <w:rFonts w:hint="eastAsia" w:ascii="宋体" w:hAnsi="宋体" w:cs="宋体"/>
          <w:color w:val="auto"/>
          <w:sz w:val="22"/>
          <w:szCs w:val="22"/>
          <w:highlight w:val="none"/>
          <w:lang w:eastAsia="zh-CN"/>
        </w:rPr>
        <w:t>透露</w:t>
      </w:r>
      <w:r>
        <w:rPr>
          <w:rFonts w:hint="eastAsia" w:ascii="宋体" w:hAnsi="宋体" w:cs="宋体"/>
          <w:color w:val="auto"/>
          <w:sz w:val="22"/>
          <w:szCs w:val="22"/>
          <w:highlight w:val="none"/>
        </w:rPr>
        <w:t>对投标文件的评审和比较、中标候选人的推荐情况以及评标有关的其他情况。在评标活动中，与评标活动有关的工作人员不得擅离职守，影响评标程序正常进行。</w:t>
      </w:r>
    </w:p>
    <w:p>
      <w:pPr>
        <w:pStyle w:val="247"/>
        <w:spacing w:line="360" w:lineRule="auto"/>
        <w:rPr>
          <w:rFonts w:hint="eastAsia" w:ascii="宋体" w:hAnsi="宋体" w:eastAsia="宋体"/>
          <w:b/>
          <w:color w:val="auto"/>
          <w:szCs w:val="24"/>
          <w:highlight w:val="none"/>
        </w:rPr>
      </w:pPr>
      <w:bookmarkStart w:id="538" w:name="_Toc23983"/>
      <w:bookmarkStart w:id="539" w:name="_Toc29216"/>
      <w:bookmarkStart w:id="540" w:name="_Toc15670"/>
      <w:bookmarkStart w:id="541" w:name="_Toc20881"/>
      <w:bookmarkStart w:id="542" w:name="_Toc28829"/>
      <w:bookmarkStart w:id="543" w:name="_Toc8949"/>
      <w:r>
        <w:rPr>
          <w:rFonts w:hint="eastAsia" w:ascii="宋体" w:hAnsi="宋体" w:eastAsia="宋体"/>
          <w:b/>
          <w:color w:val="auto"/>
          <w:szCs w:val="24"/>
          <w:highlight w:val="none"/>
        </w:rPr>
        <w:t>9.5 投诉</w:t>
      </w:r>
      <w:bookmarkEnd w:id="538"/>
      <w:bookmarkEnd w:id="539"/>
      <w:bookmarkEnd w:id="540"/>
      <w:bookmarkEnd w:id="541"/>
      <w:bookmarkEnd w:id="542"/>
      <w:bookmarkEnd w:id="543"/>
    </w:p>
    <w:p>
      <w:pPr>
        <w:spacing w:line="360" w:lineRule="auto"/>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投标人和其他利害关系人认为本次招标活动违反法律、法规和规章规定的，有权向有关行政监督部门投诉。</w:t>
      </w:r>
    </w:p>
    <w:p>
      <w:pPr>
        <w:pStyle w:val="45"/>
        <w:spacing w:line="360" w:lineRule="auto"/>
        <w:jc w:val="both"/>
        <w:rPr>
          <w:rFonts w:hint="eastAsia" w:ascii="宋体" w:hAnsi="宋体" w:cs="宋体"/>
          <w:color w:val="auto"/>
          <w:sz w:val="28"/>
          <w:szCs w:val="28"/>
          <w:highlight w:val="none"/>
        </w:rPr>
      </w:pPr>
      <w:bookmarkStart w:id="544" w:name="_Toc13567"/>
      <w:bookmarkStart w:id="545" w:name="_Toc26970"/>
      <w:r>
        <w:rPr>
          <w:rFonts w:hint="eastAsia" w:ascii="宋体" w:hAnsi="宋体" w:cs="宋体"/>
          <w:color w:val="auto"/>
          <w:sz w:val="28"/>
          <w:szCs w:val="28"/>
          <w:highlight w:val="none"/>
        </w:rPr>
        <w:t>10. 需要补充的其他内容</w:t>
      </w:r>
      <w:bookmarkEnd w:id="508"/>
      <w:bookmarkEnd w:id="509"/>
      <w:bookmarkEnd w:id="510"/>
      <w:bookmarkEnd w:id="511"/>
      <w:bookmarkEnd w:id="512"/>
      <w:bookmarkEnd w:id="513"/>
      <w:bookmarkEnd w:id="544"/>
      <w:bookmarkEnd w:id="545"/>
    </w:p>
    <w:p>
      <w:pPr>
        <w:spacing w:line="360" w:lineRule="auto"/>
        <w:rPr>
          <w:rFonts w:hint="eastAsia" w:ascii="宋体" w:hAnsi="宋体" w:cs="宋体"/>
          <w:color w:val="auto"/>
          <w:highlight w:val="none"/>
        </w:rPr>
      </w:pPr>
      <w:r>
        <w:rPr>
          <w:rFonts w:hint="eastAsia" w:ascii="宋体" w:hAnsi="宋体" w:cs="宋体"/>
          <w:color w:val="auto"/>
          <w:sz w:val="22"/>
          <w:szCs w:val="22"/>
          <w:highlight w:val="none"/>
        </w:rPr>
        <w:t>需要补充的其他内容：见投标人须知前附表。</w:t>
      </w:r>
    </w:p>
    <w:p>
      <w:pPr>
        <w:spacing w:line="360" w:lineRule="auto"/>
        <w:rPr>
          <w:rFonts w:hint="eastAsia" w:ascii="宋体" w:hAnsi="宋体" w:cs="宋体"/>
          <w:color w:val="auto"/>
          <w:highlight w:val="none"/>
        </w:rPr>
      </w:pPr>
    </w:p>
    <w:p>
      <w:pPr>
        <w:spacing w:line="360" w:lineRule="auto"/>
        <w:outlineLvl w:val="1"/>
        <w:rPr>
          <w:rFonts w:hint="eastAsia" w:ascii="宋体" w:hAnsi="宋体" w:cs="宋体"/>
          <w:b/>
          <w:color w:val="auto"/>
          <w:sz w:val="32"/>
          <w:szCs w:val="32"/>
          <w:highlight w:val="none"/>
        </w:rPr>
      </w:pPr>
      <w:r>
        <w:rPr>
          <w:rFonts w:hint="eastAsia" w:ascii="宋体" w:hAnsi="宋体" w:cs="宋体"/>
          <w:color w:val="auto"/>
          <w:sz w:val="22"/>
          <w:szCs w:val="22"/>
          <w:highlight w:val="none"/>
        </w:rPr>
        <w:br w:type="page"/>
      </w:r>
      <w:bookmarkStart w:id="546" w:name="_Toc30020"/>
      <w:bookmarkStart w:id="547" w:name="_Toc2896"/>
      <w:bookmarkStart w:id="548" w:name="_Toc2881"/>
      <w:bookmarkStart w:id="549" w:name="_Toc17053"/>
      <w:r>
        <w:rPr>
          <w:rFonts w:hint="eastAsia" w:ascii="宋体" w:hAnsi="宋体" w:cs="宋体"/>
          <w:b/>
          <w:color w:val="auto"/>
          <w:sz w:val="28"/>
          <w:szCs w:val="28"/>
          <w:highlight w:val="none"/>
        </w:rPr>
        <w:t>附件一：开标记录表</w:t>
      </w:r>
      <w:bookmarkEnd w:id="546"/>
      <w:bookmarkEnd w:id="547"/>
      <w:bookmarkEnd w:id="548"/>
      <w:bookmarkEnd w:id="549"/>
    </w:p>
    <w:p>
      <w:pPr>
        <w:spacing w:line="4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（项目名称）</w:t>
      </w:r>
      <w:r>
        <w:rPr>
          <w:rFonts w:hint="eastAsia" w:ascii="宋体" w:hAnsi="宋体" w:cs="宋体"/>
          <w:color w:val="auto"/>
          <w:sz w:val="28"/>
          <w:szCs w:val="28"/>
          <w:highlight w:val="none"/>
          <w:lang w:val="en-US" w:eastAsia="zh-CN"/>
        </w:rPr>
        <w:t xml:space="preserve">   标段</w:t>
      </w:r>
      <w:r>
        <w:rPr>
          <w:rFonts w:hint="eastAsia" w:ascii="宋体" w:hAnsi="宋体" w:cs="宋体"/>
          <w:color w:val="auto"/>
          <w:sz w:val="28"/>
          <w:szCs w:val="28"/>
          <w:highlight w:val="none"/>
        </w:rPr>
        <w:t>开标记录表</w:t>
      </w:r>
    </w:p>
    <w:p>
      <w:pPr>
        <w:spacing w:line="500" w:lineRule="exact"/>
        <w:ind w:firstLine="3630" w:firstLineChars="1650"/>
        <w:rPr>
          <w:rFonts w:hint="eastAsia" w:ascii="宋体" w:hAnsi="宋体" w:cs="宋体"/>
          <w:color w:val="auto"/>
          <w:sz w:val="22"/>
          <w:szCs w:val="22"/>
          <w:highlight w:val="none"/>
        </w:rPr>
      </w:pPr>
      <w:r>
        <w:rPr>
          <w:rFonts w:hint="eastAsia" w:ascii="宋体" w:hAnsi="宋体" w:cs="宋体"/>
          <w:color w:val="auto"/>
          <w:sz w:val="22"/>
          <w:szCs w:val="22"/>
          <w:highlight w:val="none"/>
        </w:rPr>
        <w:t>开标时间：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时</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分</w:t>
      </w:r>
    </w:p>
    <w:tbl>
      <w:tblPr>
        <w:tblStyle w:val="49"/>
        <w:tblW w:w="9287" w:type="dxa"/>
        <w:jc w:val="center"/>
        <w:tblLayout w:type="fixed"/>
        <w:tblCellMar>
          <w:top w:w="0" w:type="dxa"/>
          <w:left w:w="108" w:type="dxa"/>
          <w:bottom w:w="0" w:type="dxa"/>
          <w:right w:w="108" w:type="dxa"/>
        </w:tblCellMar>
      </w:tblPr>
      <w:tblGrid>
        <w:gridCol w:w="818"/>
        <w:gridCol w:w="895"/>
        <w:gridCol w:w="1300"/>
        <w:gridCol w:w="1444"/>
        <w:gridCol w:w="1181"/>
        <w:gridCol w:w="1398"/>
        <w:gridCol w:w="769"/>
        <w:gridCol w:w="717"/>
        <w:gridCol w:w="765"/>
      </w:tblGrid>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序号</w:t>
            </w:r>
          </w:p>
        </w:tc>
        <w:tc>
          <w:tcPr>
            <w:tcW w:w="89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投标人</w:t>
            </w:r>
          </w:p>
        </w:tc>
        <w:tc>
          <w:tcPr>
            <w:tcW w:w="1300"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密封情况</w:t>
            </w:r>
          </w:p>
        </w:tc>
        <w:tc>
          <w:tcPr>
            <w:tcW w:w="1444"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投标保证金</w:t>
            </w:r>
          </w:p>
        </w:tc>
        <w:tc>
          <w:tcPr>
            <w:tcW w:w="118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投标报价</w:t>
            </w:r>
          </w:p>
        </w:tc>
        <w:tc>
          <w:tcPr>
            <w:tcW w:w="1398"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质量标准</w:t>
            </w:r>
          </w:p>
        </w:tc>
        <w:tc>
          <w:tcPr>
            <w:tcW w:w="769"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工期</w:t>
            </w:r>
          </w:p>
        </w:tc>
        <w:tc>
          <w:tcPr>
            <w:tcW w:w="717"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备注</w:t>
            </w:r>
          </w:p>
        </w:tc>
        <w:tc>
          <w:tcPr>
            <w:tcW w:w="76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签名</w:t>
            </w: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81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89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444"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181"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1398"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9"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17"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r>
        <w:tblPrEx>
          <w:tblCellMar>
            <w:top w:w="0" w:type="dxa"/>
            <w:left w:w="108" w:type="dxa"/>
            <w:bottom w:w="0" w:type="dxa"/>
            <w:right w:w="108" w:type="dxa"/>
          </w:tblCellMar>
        </w:tblPrEx>
        <w:trPr>
          <w:jc w:val="center"/>
        </w:trPr>
        <w:tc>
          <w:tcPr>
            <w:tcW w:w="4457" w:type="dxa"/>
            <w:gridSpan w:val="4"/>
            <w:tcBorders>
              <w:top w:val="single" w:color="auto" w:sz="4" w:space="0"/>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招标人编制招标控制价</w:t>
            </w:r>
          </w:p>
        </w:tc>
        <w:tc>
          <w:tcPr>
            <w:tcW w:w="4830" w:type="dxa"/>
            <w:gridSpan w:val="5"/>
            <w:tcBorders>
              <w:left w:val="single" w:color="auto" w:sz="4" w:space="0"/>
              <w:bottom w:val="single" w:color="auto" w:sz="4" w:space="0"/>
              <w:right w:val="single" w:color="auto" w:sz="4" w:space="0"/>
            </w:tcBorders>
            <w:noWrap w:val="0"/>
            <w:vAlign w:val="top"/>
          </w:tcPr>
          <w:p>
            <w:pPr>
              <w:spacing w:line="500" w:lineRule="exact"/>
              <w:jc w:val="left"/>
              <w:rPr>
                <w:rFonts w:hint="eastAsia" w:ascii="宋体" w:hAnsi="宋体" w:cs="宋体"/>
                <w:color w:val="auto"/>
                <w:sz w:val="22"/>
                <w:szCs w:val="22"/>
                <w:highlight w:val="none"/>
              </w:rPr>
            </w:pPr>
          </w:p>
        </w:tc>
      </w:tr>
    </w:tbl>
    <w:p>
      <w:pPr>
        <w:spacing w:line="440" w:lineRule="exact"/>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招标人代表：</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记录人：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监标人：</w:t>
      </w:r>
      <w:r>
        <w:rPr>
          <w:rFonts w:hint="eastAsia" w:ascii="宋体" w:hAnsi="宋体" w:cs="宋体"/>
          <w:color w:val="auto"/>
          <w:sz w:val="22"/>
          <w:szCs w:val="22"/>
          <w:highlight w:val="none"/>
          <w:u w:val="single"/>
        </w:rPr>
        <w:t xml:space="preserve">            </w:t>
      </w:r>
    </w:p>
    <w:p>
      <w:pPr>
        <w:spacing w:line="440" w:lineRule="exact"/>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月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spacing w:line="440" w:lineRule="exact"/>
        <w:rPr>
          <w:rFonts w:hint="eastAsia" w:ascii="宋体" w:hAnsi="宋体" w:cs="宋体"/>
          <w:color w:val="auto"/>
          <w:highlight w:val="none"/>
        </w:rPr>
      </w:pPr>
    </w:p>
    <w:p>
      <w:pPr>
        <w:pStyle w:val="5"/>
        <w:spacing w:before="0" w:after="0"/>
        <w:rPr>
          <w:rFonts w:hint="eastAsia" w:ascii="宋体" w:hAnsi="宋体" w:eastAsia="宋体" w:cs="宋体"/>
          <w:bCs w:val="0"/>
          <w:color w:val="auto"/>
          <w:sz w:val="28"/>
          <w:szCs w:val="28"/>
          <w:highlight w:val="none"/>
        </w:rPr>
      </w:pPr>
      <w:bookmarkStart w:id="550" w:name="_Toc179632600"/>
      <w:bookmarkStart w:id="551" w:name="_Toc152045582"/>
      <w:bookmarkStart w:id="552" w:name="_Toc26795"/>
      <w:bookmarkStart w:id="553" w:name="_Toc246996225"/>
      <w:bookmarkStart w:id="554" w:name="_Toc246996968"/>
      <w:bookmarkStart w:id="555" w:name="_Toc152042359"/>
      <w:bookmarkStart w:id="556" w:name="_Toc296602470"/>
      <w:bookmarkStart w:id="557" w:name="_Toc144974549"/>
      <w:bookmarkStart w:id="558" w:name="_Toc23461"/>
      <w:bookmarkStart w:id="559" w:name="_Toc247085740"/>
      <w:bookmarkStart w:id="560" w:name="_Toc23212"/>
      <w:bookmarkStart w:id="561" w:name="_Toc24432"/>
      <w:bookmarkStart w:id="562" w:name="_Toc19269"/>
      <w:r>
        <w:rPr>
          <w:rFonts w:hint="eastAsia" w:ascii="宋体" w:hAnsi="宋体" w:eastAsia="宋体" w:cs="宋体"/>
          <w:bCs w:val="0"/>
          <w:color w:val="auto"/>
          <w:sz w:val="28"/>
          <w:szCs w:val="28"/>
          <w:highlight w:val="none"/>
        </w:rPr>
        <w:t>附件二：问题澄清通知</w:t>
      </w:r>
      <w:bookmarkEnd w:id="550"/>
      <w:bookmarkEnd w:id="551"/>
      <w:bookmarkEnd w:id="552"/>
      <w:bookmarkEnd w:id="553"/>
      <w:bookmarkEnd w:id="554"/>
      <w:bookmarkEnd w:id="555"/>
      <w:bookmarkEnd w:id="556"/>
      <w:bookmarkEnd w:id="557"/>
      <w:bookmarkEnd w:id="558"/>
      <w:bookmarkEnd w:id="559"/>
      <w:bookmarkEnd w:id="560"/>
      <w:bookmarkEnd w:id="561"/>
      <w:bookmarkEnd w:id="562"/>
    </w:p>
    <w:p>
      <w:pPr>
        <w:spacing w:line="440" w:lineRule="exact"/>
        <w:jc w:val="center"/>
        <w:rPr>
          <w:rFonts w:hint="eastAsia" w:ascii="宋体" w:hAnsi="宋体" w:cs="宋体"/>
          <w:color w:val="auto"/>
          <w:szCs w:val="21"/>
          <w:highlight w:val="none"/>
        </w:rPr>
      </w:pPr>
    </w:p>
    <w:p>
      <w:pPr>
        <w:spacing w:line="44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问题澄清通知</w:t>
      </w:r>
    </w:p>
    <w:p>
      <w:pPr>
        <w:spacing w:line="440" w:lineRule="exact"/>
        <w:rPr>
          <w:rFonts w:hint="eastAsia" w:ascii="宋体" w:hAnsi="宋体" w:cs="宋体"/>
          <w:color w:val="auto"/>
          <w:sz w:val="22"/>
          <w:szCs w:val="22"/>
          <w:highlight w:val="none"/>
        </w:rPr>
      </w:pPr>
      <w:r>
        <w:rPr>
          <w:rFonts w:hint="eastAsia" w:ascii="宋体" w:hAnsi="宋体" w:cs="宋体"/>
          <w:color w:val="auto"/>
          <w:szCs w:val="21"/>
          <w:highlight w:val="none"/>
        </w:rPr>
        <w:t xml:space="preserve">                               </w:t>
      </w:r>
      <w:r>
        <w:rPr>
          <w:rFonts w:hint="eastAsia" w:ascii="宋体" w:hAnsi="宋体" w:cs="宋体"/>
          <w:color w:val="auto"/>
          <w:sz w:val="22"/>
          <w:szCs w:val="22"/>
          <w:highlight w:val="none"/>
        </w:rPr>
        <w:t xml:space="preserve"> 编号：</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（投标人名称）：</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（项目名称）</w:t>
      </w:r>
      <w:r>
        <w:rPr>
          <w:rFonts w:hint="eastAsia" w:ascii="宋体" w:hAnsi="宋体" w:cs="宋体"/>
          <w:color w:val="auto"/>
          <w:sz w:val="22"/>
          <w:szCs w:val="22"/>
          <w:highlight w:val="none"/>
          <w:lang w:val="en-US" w:eastAsia="zh-CN"/>
        </w:rPr>
        <w:t xml:space="preserve">   标段</w:t>
      </w:r>
      <w:r>
        <w:rPr>
          <w:rFonts w:hint="eastAsia" w:ascii="宋体" w:hAnsi="宋体" w:cs="宋体"/>
          <w:color w:val="auto"/>
          <w:sz w:val="22"/>
          <w:szCs w:val="22"/>
          <w:highlight w:val="none"/>
        </w:rPr>
        <w:t>招标的评标委员会，对你方的投标文件进行了仔细的审查，现需你方对下列问题以书面形式予以澄清：</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1.</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2.</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请将上述问题的澄清于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时前递交至</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（详细地址）或传真至</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（传真号码）。采用传真方式的，应在</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时前将原件递交至</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（详细地址）。</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jc w:val="righ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招标人或招标代理机构：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（签字或盖章）</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pPr>
        <w:spacing w:line="440" w:lineRule="exact"/>
        <w:ind w:firstLine="3190" w:firstLineChars="145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年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月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pStyle w:val="5"/>
        <w:spacing w:before="0" w:after="0"/>
        <w:rPr>
          <w:rFonts w:hint="eastAsia" w:ascii="宋体" w:hAnsi="宋体" w:eastAsia="宋体" w:cs="宋体"/>
          <w:bCs w:val="0"/>
          <w:color w:val="auto"/>
          <w:sz w:val="28"/>
          <w:szCs w:val="28"/>
          <w:highlight w:val="none"/>
        </w:rPr>
      </w:pPr>
      <w:bookmarkStart w:id="563" w:name="_Toc9938"/>
      <w:bookmarkStart w:id="564" w:name="_Toc10312"/>
      <w:bookmarkStart w:id="565" w:name="_Toc144974550"/>
      <w:bookmarkStart w:id="566" w:name="_Toc3022"/>
      <w:bookmarkStart w:id="567" w:name="_Toc296602471"/>
      <w:bookmarkStart w:id="568" w:name="_Toc179632601"/>
      <w:bookmarkStart w:id="569" w:name="_Toc246996969"/>
      <w:bookmarkStart w:id="570" w:name="_Toc152042360"/>
      <w:bookmarkStart w:id="571" w:name="_Toc25652"/>
      <w:bookmarkStart w:id="572" w:name="_Toc152045583"/>
      <w:bookmarkStart w:id="573" w:name="_Toc247085741"/>
      <w:bookmarkStart w:id="574" w:name="_Toc27903"/>
      <w:bookmarkStart w:id="575" w:name="_Toc246996226"/>
      <w:r>
        <w:rPr>
          <w:rFonts w:hint="eastAsia" w:ascii="宋体" w:hAnsi="宋体" w:eastAsia="宋体" w:cs="宋体"/>
          <w:bCs w:val="0"/>
          <w:color w:val="auto"/>
          <w:sz w:val="28"/>
          <w:szCs w:val="28"/>
          <w:highlight w:val="none"/>
        </w:rPr>
        <w:t>附件三：问题的澄清</w:t>
      </w:r>
      <w:bookmarkEnd w:id="563"/>
      <w:bookmarkEnd w:id="564"/>
      <w:bookmarkEnd w:id="565"/>
      <w:bookmarkEnd w:id="566"/>
      <w:bookmarkEnd w:id="567"/>
      <w:bookmarkEnd w:id="568"/>
      <w:bookmarkEnd w:id="569"/>
      <w:bookmarkEnd w:id="570"/>
      <w:bookmarkEnd w:id="571"/>
      <w:bookmarkEnd w:id="572"/>
      <w:bookmarkEnd w:id="573"/>
      <w:bookmarkEnd w:id="574"/>
      <w:bookmarkEnd w:id="575"/>
    </w:p>
    <w:p>
      <w:pPr>
        <w:spacing w:line="400" w:lineRule="exact"/>
        <w:jc w:val="center"/>
        <w:rPr>
          <w:rFonts w:hint="eastAsia" w:ascii="宋体" w:hAnsi="宋体" w:cs="宋体"/>
          <w:color w:val="auto"/>
          <w:sz w:val="28"/>
          <w:szCs w:val="28"/>
          <w:highlight w:val="none"/>
        </w:rPr>
      </w:pPr>
    </w:p>
    <w:p>
      <w:pPr>
        <w:spacing w:line="4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问题的澄清</w:t>
      </w:r>
    </w:p>
    <w:p>
      <w:pPr>
        <w:spacing w:line="400" w:lineRule="exact"/>
        <w:ind w:firstLine="3630" w:firstLineChars="165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编号： </w:t>
      </w:r>
    </w:p>
    <w:p>
      <w:pPr>
        <w:spacing w:line="40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项目名称）</w:t>
      </w:r>
      <w:r>
        <w:rPr>
          <w:rFonts w:hint="eastAsia" w:ascii="宋体" w:hAnsi="宋体" w:cs="宋体"/>
          <w:color w:val="auto"/>
          <w:sz w:val="22"/>
          <w:szCs w:val="22"/>
          <w:highlight w:val="none"/>
          <w:lang w:val="en-US" w:eastAsia="zh-CN"/>
        </w:rPr>
        <w:t xml:space="preserve">   标段</w:t>
      </w:r>
      <w:r>
        <w:rPr>
          <w:rFonts w:hint="eastAsia" w:ascii="宋体" w:hAnsi="宋体" w:cs="宋体"/>
          <w:color w:val="auto"/>
          <w:sz w:val="22"/>
          <w:szCs w:val="22"/>
          <w:highlight w:val="none"/>
        </w:rPr>
        <w:t>招标评标委员会：</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问题澄清通知（编号：</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）已收悉，现澄清如下：</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1.</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2.</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投标人：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（盖单位章）</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r>
        <w:rPr>
          <w:rFonts w:hint="eastAsia" w:ascii="宋体" w:hAnsi="宋体" w:cs="宋体"/>
          <w:color w:val="auto"/>
          <w:sz w:val="22"/>
          <w:szCs w:val="22"/>
          <w:highlight w:val="none"/>
          <w:lang w:eastAsia="zh-CN"/>
        </w:rPr>
        <w:t>法定代表人：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（签字）</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pStyle w:val="5"/>
        <w:rPr>
          <w:rFonts w:hint="eastAsia" w:ascii="宋体" w:hAnsi="宋体" w:eastAsia="宋体" w:cs="宋体"/>
          <w:bCs w:val="0"/>
          <w:color w:val="auto"/>
          <w:sz w:val="28"/>
          <w:szCs w:val="28"/>
          <w:highlight w:val="none"/>
        </w:rPr>
      </w:pPr>
      <w:bookmarkStart w:id="576" w:name="_Toc14422"/>
      <w:bookmarkStart w:id="577" w:name="_Toc246996970"/>
      <w:bookmarkStart w:id="578" w:name="_Toc296602472"/>
      <w:bookmarkStart w:id="579" w:name="_Toc247085742"/>
      <w:bookmarkStart w:id="580" w:name="_Toc20989"/>
      <w:bookmarkStart w:id="581" w:name="_Toc144974551"/>
      <w:bookmarkStart w:id="582" w:name="_Toc152045584"/>
      <w:bookmarkStart w:id="583" w:name="_Toc179632602"/>
      <w:bookmarkStart w:id="584" w:name="_Toc14095"/>
      <w:bookmarkStart w:id="585" w:name="_Toc23235"/>
      <w:bookmarkStart w:id="586" w:name="_Toc246996227"/>
      <w:bookmarkStart w:id="587" w:name="_Toc14870"/>
      <w:bookmarkStart w:id="588" w:name="_Toc152042361"/>
      <w:r>
        <w:rPr>
          <w:rFonts w:hint="eastAsia" w:ascii="宋体" w:hAnsi="宋体" w:eastAsia="宋体" w:cs="宋体"/>
          <w:bCs w:val="0"/>
          <w:color w:val="auto"/>
          <w:sz w:val="28"/>
          <w:szCs w:val="28"/>
          <w:highlight w:val="none"/>
        </w:rPr>
        <w:t>附件四：中标通知书</w:t>
      </w:r>
      <w:bookmarkEnd w:id="576"/>
      <w:bookmarkEnd w:id="577"/>
      <w:bookmarkEnd w:id="578"/>
      <w:bookmarkEnd w:id="579"/>
      <w:bookmarkEnd w:id="580"/>
      <w:bookmarkEnd w:id="581"/>
      <w:bookmarkEnd w:id="582"/>
      <w:bookmarkEnd w:id="583"/>
      <w:bookmarkEnd w:id="584"/>
      <w:bookmarkEnd w:id="585"/>
      <w:bookmarkEnd w:id="586"/>
      <w:bookmarkEnd w:id="587"/>
      <w:bookmarkEnd w:id="588"/>
    </w:p>
    <w:p>
      <w:pPr>
        <w:spacing w:line="400" w:lineRule="exact"/>
        <w:rPr>
          <w:rFonts w:hint="eastAsia" w:ascii="宋体" w:hAnsi="宋体" w:cs="宋体"/>
          <w:color w:val="auto"/>
          <w:highlight w:val="none"/>
        </w:rPr>
      </w:pPr>
    </w:p>
    <w:p>
      <w:pPr>
        <w:spacing w:line="4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中标通知书</w:t>
      </w:r>
    </w:p>
    <w:p>
      <w:pPr>
        <w:spacing w:line="400" w:lineRule="exact"/>
        <w:rPr>
          <w:rFonts w:hint="eastAsia" w:ascii="宋体" w:hAnsi="宋体" w:cs="宋体"/>
          <w:color w:val="auto"/>
          <w:highlight w:val="none"/>
        </w:rPr>
      </w:pPr>
      <w:r>
        <w:rPr>
          <w:rFonts w:hint="eastAsia" w:ascii="宋体" w:hAnsi="宋体" w:cs="宋体"/>
          <w:color w:val="auto"/>
          <w:highlight w:val="non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（中标人名称）：</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你方于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（投标日期）所递交的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（项目名称）</w:t>
      </w:r>
      <w:r>
        <w:rPr>
          <w:rFonts w:hint="eastAsia" w:ascii="宋体" w:hAnsi="宋体" w:cs="宋体"/>
          <w:color w:val="auto"/>
          <w:sz w:val="22"/>
          <w:szCs w:val="22"/>
          <w:highlight w:val="none"/>
          <w:lang w:val="en-US" w:eastAsia="zh-CN"/>
        </w:rPr>
        <w:t xml:space="preserve">    标段</w:t>
      </w:r>
      <w:r>
        <w:rPr>
          <w:rFonts w:hint="eastAsia" w:ascii="宋体" w:hAnsi="宋体" w:cs="宋体"/>
          <w:color w:val="auto"/>
          <w:sz w:val="22"/>
          <w:szCs w:val="22"/>
          <w:highlight w:val="none"/>
        </w:rPr>
        <w:t>投标文件已被我方接受，被确定为中标人。</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中标价：</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元。</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工期：</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日历天。</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工程质量：符合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标准。</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建造师：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（姓名）。</w:t>
      </w:r>
    </w:p>
    <w:p>
      <w:pPr>
        <w:spacing w:line="44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请你方在接到本通知书后的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日内到</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（指定地点）与我方签订承包合同，在此之前按招标文件第二章“投标人须知”第7.4款规定向我方提交履约担保。</w:t>
      </w:r>
    </w:p>
    <w:p>
      <w:pPr>
        <w:spacing w:line="44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随附的澄清、说明、补正事项纪要，是本中标通知书的组成部分。</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特此通知。</w:t>
      </w:r>
    </w:p>
    <w:p>
      <w:pPr>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附：澄清、说明、补正事项纪要</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540" w:lineRule="exact"/>
        <w:ind w:firstLine="3392" w:firstLineChars="1542"/>
        <w:rPr>
          <w:rFonts w:hint="eastAsia" w:ascii="宋体" w:hAnsi="宋体" w:cs="宋体"/>
          <w:color w:val="auto"/>
          <w:sz w:val="22"/>
          <w:szCs w:val="22"/>
          <w:highlight w:val="none"/>
        </w:rPr>
      </w:pPr>
      <w:r>
        <w:rPr>
          <w:rFonts w:hint="eastAsia" w:ascii="宋体" w:hAnsi="宋体" w:cs="宋体"/>
          <w:color w:val="auto"/>
          <w:sz w:val="22"/>
          <w:szCs w:val="22"/>
          <w:highlight w:val="none"/>
        </w:rPr>
        <w:t>招   标   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（盖单位章）</w:t>
      </w:r>
    </w:p>
    <w:p>
      <w:pPr>
        <w:spacing w:line="540" w:lineRule="exact"/>
        <w:ind w:firstLine="3392" w:firstLineChars="1542"/>
        <w:rPr>
          <w:rFonts w:hint="eastAsia" w:ascii="宋体" w:hAnsi="宋体" w:cs="宋体"/>
          <w:color w:val="auto"/>
          <w:sz w:val="22"/>
          <w:szCs w:val="22"/>
          <w:highlight w:val="none"/>
        </w:rPr>
      </w:pPr>
      <w:r>
        <w:rPr>
          <w:rFonts w:hint="eastAsia" w:ascii="宋体" w:hAnsi="宋体" w:cs="宋体"/>
          <w:color w:val="auto"/>
          <w:sz w:val="22"/>
          <w:szCs w:val="22"/>
          <w:highlight w:val="none"/>
        </w:rPr>
        <w:t>招标代理机构：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（盖单位章）</w:t>
      </w:r>
    </w:p>
    <w:p>
      <w:pPr>
        <w:spacing w:line="540" w:lineRule="exact"/>
        <w:ind w:firstLine="3717" w:firstLineChars="169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highlight w:val="none"/>
        </w:rPr>
      </w:pPr>
    </w:p>
    <w:p>
      <w:pPr>
        <w:pStyle w:val="5"/>
        <w:rPr>
          <w:rFonts w:hint="eastAsia" w:ascii="宋体" w:hAnsi="宋体" w:eastAsia="宋体" w:cs="宋体"/>
          <w:bCs w:val="0"/>
          <w:color w:val="auto"/>
          <w:sz w:val="28"/>
          <w:szCs w:val="28"/>
          <w:highlight w:val="none"/>
        </w:rPr>
      </w:pPr>
      <w:bookmarkStart w:id="589" w:name="_Toc296602473"/>
      <w:bookmarkStart w:id="590" w:name="_Toc179632603"/>
      <w:bookmarkStart w:id="591" w:name="_Toc26087"/>
      <w:bookmarkStart w:id="592" w:name="_Toc152042362"/>
      <w:bookmarkStart w:id="593" w:name="_Toc246996228"/>
      <w:bookmarkStart w:id="594" w:name="_Toc660"/>
      <w:bookmarkStart w:id="595" w:name="_Toc3444"/>
      <w:bookmarkStart w:id="596" w:name="_Toc18703"/>
      <w:bookmarkStart w:id="597" w:name="_Toc246996971"/>
      <w:bookmarkStart w:id="598" w:name="_Toc19387"/>
      <w:bookmarkStart w:id="599" w:name="_Toc144974552"/>
      <w:bookmarkStart w:id="600" w:name="_Toc152045585"/>
      <w:bookmarkStart w:id="601" w:name="_Toc247085743"/>
      <w:r>
        <w:rPr>
          <w:rFonts w:hint="eastAsia" w:ascii="宋体" w:hAnsi="宋体" w:eastAsia="宋体" w:cs="宋体"/>
          <w:bCs w:val="0"/>
          <w:color w:val="auto"/>
          <w:sz w:val="28"/>
          <w:szCs w:val="28"/>
          <w:highlight w:val="none"/>
        </w:rPr>
        <w:t>附件五：中标结果通知书</w:t>
      </w:r>
      <w:bookmarkEnd w:id="589"/>
      <w:bookmarkEnd w:id="590"/>
      <w:bookmarkEnd w:id="591"/>
      <w:bookmarkEnd w:id="592"/>
      <w:bookmarkEnd w:id="593"/>
      <w:bookmarkEnd w:id="594"/>
      <w:bookmarkEnd w:id="595"/>
      <w:bookmarkEnd w:id="596"/>
      <w:bookmarkEnd w:id="597"/>
      <w:bookmarkEnd w:id="598"/>
      <w:bookmarkEnd w:id="599"/>
      <w:bookmarkEnd w:id="600"/>
      <w:bookmarkEnd w:id="601"/>
    </w:p>
    <w:p>
      <w:pPr>
        <w:spacing w:line="400" w:lineRule="exact"/>
        <w:rPr>
          <w:rFonts w:hint="eastAsia" w:ascii="宋体" w:hAnsi="宋体" w:cs="宋体"/>
          <w:color w:val="auto"/>
          <w:highlight w:val="none"/>
        </w:rPr>
      </w:pPr>
    </w:p>
    <w:p>
      <w:pPr>
        <w:spacing w:line="4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中标结果通知书</w:t>
      </w:r>
    </w:p>
    <w:p>
      <w:pPr>
        <w:spacing w:line="400" w:lineRule="exact"/>
        <w:rPr>
          <w:rFonts w:hint="eastAsia" w:ascii="宋体" w:hAnsi="宋体" w:cs="宋体"/>
          <w:color w:val="auto"/>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（未中标人名称）：</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我方已接受</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（中标人名称）于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（投标日期）所递交的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（项目名称）</w:t>
      </w:r>
      <w:r>
        <w:rPr>
          <w:rFonts w:hint="eastAsia" w:ascii="宋体" w:hAnsi="宋体" w:cs="宋体"/>
          <w:color w:val="auto"/>
          <w:sz w:val="22"/>
          <w:szCs w:val="22"/>
          <w:highlight w:val="none"/>
          <w:lang w:val="en-US" w:eastAsia="zh-CN"/>
        </w:rPr>
        <w:t xml:space="preserve">   标段</w:t>
      </w:r>
      <w:r>
        <w:rPr>
          <w:rFonts w:hint="eastAsia" w:ascii="宋体" w:hAnsi="宋体" w:cs="宋体"/>
          <w:color w:val="auto"/>
          <w:sz w:val="22"/>
          <w:szCs w:val="22"/>
          <w:highlight w:val="none"/>
        </w:rPr>
        <w:t>投标文件，确定</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（中标人名称）为中标人。</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感谢你单位对我们工作的大力支持！</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招标人：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（盖单位章）</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法定代表人：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（签字）</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spacing w:line="400" w:lineRule="exact"/>
        <w:rPr>
          <w:rFonts w:hint="eastAsia" w:ascii="宋体" w:hAnsi="宋体" w:cs="宋体"/>
          <w:color w:val="auto"/>
          <w:highlight w:val="none"/>
        </w:rPr>
      </w:pPr>
    </w:p>
    <w:p>
      <w:pPr>
        <w:pStyle w:val="5"/>
        <w:rPr>
          <w:rFonts w:hint="eastAsia" w:ascii="宋体" w:hAnsi="宋体" w:eastAsia="宋体" w:cs="宋体"/>
          <w:bCs w:val="0"/>
          <w:color w:val="auto"/>
          <w:sz w:val="28"/>
          <w:szCs w:val="28"/>
          <w:highlight w:val="none"/>
        </w:rPr>
      </w:pPr>
      <w:bookmarkStart w:id="602" w:name="_Toc247085744"/>
      <w:bookmarkStart w:id="603" w:name="_Toc2946"/>
      <w:bookmarkStart w:id="604" w:name="_Toc144974553"/>
      <w:bookmarkStart w:id="605" w:name="_Toc16355"/>
      <w:bookmarkStart w:id="606" w:name="_Toc8122"/>
      <w:bookmarkStart w:id="607" w:name="_Toc246996972"/>
      <w:bookmarkStart w:id="608" w:name="_Toc179632604"/>
      <w:bookmarkStart w:id="609" w:name="_Toc152045586"/>
      <w:bookmarkStart w:id="610" w:name="_Toc296602474"/>
      <w:bookmarkStart w:id="611" w:name="_Toc246996229"/>
      <w:bookmarkStart w:id="612" w:name="_Toc23765"/>
      <w:bookmarkStart w:id="613" w:name="_Toc152042363"/>
      <w:r>
        <w:rPr>
          <w:rFonts w:hint="eastAsia" w:ascii="宋体" w:hAnsi="宋体" w:eastAsia="宋体" w:cs="宋体"/>
          <w:bCs w:val="0"/>
          <w:color w:val="auto"/>
          <w:sz w:val="28"/>
          <w:szCs w:val="28"/>
          <w:highlight w:val="none"/>
        </w:rPr>
        <w:t>附件六：确认通知</w:t>
      </w:r>
      <w:bookmarkEnd w:id="602"/>
      <w:bookmarkEnd w:id="603"/>
      <w:bookmarkEnd w:id="604"/>
      <w:bookmarkEnd w:id="605"/>
      <w:bookmarkEnd w:id="606"/>
      <w:bookmarkEnd w:id="607"/>
      <w:bookmarkEnd w:id="608"/>
      <w:bookmarkEnd w:id="609"/>
      <w:bookmarkEnd w:id="610"/>
      <w:bookmarkEnd w:id="611"/>
      <w:bookmarkEnd w:id="612"/>
      <w:bookmarkEnd w:id="613"/>
    </w:p>
    <w:p>
      <w:pPr>
        <w:spacing w:line="400" w:lineRule="exact"/>
        <w:rPr>
          <w:rFonts w:hint="eastAsia" w:ascii="宋体" w:hAnsi="宋体" w:cs="宋体"/>
          <w:color w:val="auto"/>
          <w:highlight w:val="none"/>
        </w:rPr>
      </w:pPr>
    </w:p>
    <w:p>
      <w:pPr>
        <w:spacing w:line="4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确认通知</w:t>
      </w:r>
    </w:p>
    <w:p>
      <w:pPr>
        <w:spacing w:line="400" w:lineRule="exact"/>
        <w:rPr>
          <w:rFonts w:hint="eastAsia" w:ascii="宋体" w:hAnsi="宋体" w:cs="宋体"/>
          <w:color w:val="auto"/>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（招标人名称）：</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w:t>
      </w:r>
    </w:p>
    <w:p>
      <w:pPr>
        <w:spacing w:line="44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你方于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年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日发出的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（项目名称）</w:t>
      </w:r>
      <w:r>
        <w:rPr>
          <w:rFonts w:hint="eastAsia" w:ascii="宋体" w:hAnsi="宋体" w:cs="宋体"/>
          <w:color w:val="auto"/>
          <w:sz w:val="22"/>
          <w:szCs w:val="22"/>
          <w:highlight w:val="none"/>
          <w:lang w:val="en-US" w:eastAsia="zh-CN"/>
        </w:rPr>
        <w:t xml:space="preserve">    标段</w:t>
      </w:r>
      <w:r>
        <w:rPr>
          <w:rFonts w:hint="eastAsia" w:ascii="宋体" w:hAnsi="宋体" w:cs="宋体"/>
          <w:color w:val="auto"/>
          <w:sz w:val="22"/>
          <w:szCs w:val="22"/>
          <w:highlight w:val="none"/>
        </w:rPr>
        <w:t>关于</w:t>
      </w:r>
      <w:r>
        <w:rPr>
          <w:rFonts w:hint="eastAsia" w:ascii="宋体" w:hAnsi="宋体" w:cs="宋体"/>
          <w:color w:val="auto"/>
          <w:sz w:val="22"/>
          <w:szCs w:val="22"/>
          <w:highlight w:val="none"/>
          <w:u w:val="singl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的通知，我方已于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日收到。</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特此确认。</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投标人：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（盖单位章）</w:t>
      </w:r>
    </w:p>
    <w:p>
      <w:pPr>
        <w:spacing w:line="440" w:lineRule="exact"/>
        <w:rPr>
          <w:rFonts w:hint="eastAsia" w:ascii="宋体" w:hAnsi="宋体" w:cs="宋体"/>
          <w:color w:val="auto"/>
          <w:sz w:val="22"/>
          <w:szCs w:val="22"/>
          <w:highlight w:val="none"/>
        </w:rPr>
      </w:pPr>
    </w:p>
    <w:p>
      <w:pPr>
        <w:spacing w:line="440" w:lineRule="exact"/>
        <w:ind w:firstLine="220" w:firstLineChars="10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360" w:lineRule="auto"/>
        <w:rPr>
          <w:rFonts w:hint="eastAsia" w:ascii="宋体" w:hAnsi="宋体" w:cs="宋体"/>
          <w:color w:val="auto"/>
          <w:sz w:val="22"/>
          <w:szCs w:val="22"/>
          <w:highlight w:val="none"/>
        </w:rPr>
      </w:pPr>
    </w:p>
    <w:p>
      <w:pPr>
        <w:spacing w:line="360" w:lineRule="auto"/>
        <w:jc w:val="center"/>
        <w:rPr>
          <w:rFonts w:hint="eastAsia" w:ascii="宋体" w:hAnsi="宋体" w:cs="宋体"/>
          <w:color w:val="auto"/>
          <w:sz w:val="22"/>
          <w:szCs w:val="22"/>
          <w:highlight w:val="none"/>
        </w:rPr>
      </w:pPr>
    </w:p>
    <w:p>
      <w:pPr>
        <w:spacing w:line="360" w:lineRule="auto"/>
        <w:jc w:val="center"/>
        <w:rPr>
          <w:rFonts w:hint="eastAsia" w:ascii="宋体" w:hAnsi="宋体" w:cs="宋体"/>
          <w:color w:val="auto"/>
          <w:sz w:val="22"/>
          <w:szCs w:val="22"/>
          <w:highlight w:val="none"/>
        </w:rPr>
      </w:pPr>
    </w:p>
    <w:p>
      <w:pPr>
        <w:numPr>
          <w:ilvl w:val="0"/>
          <w:numId w:val="1"/>
        </w:numPr>
        <w:spacing w:line="360" w:lineRule="auto"/>
        <w:ind w:firstLine="0"/>
        <w:jc w:val="center"/>
        <w:outlineLvl w:val="0"/>
        <w:rPr>
          <w:rFonts w:hint="eastAsia" w:ascii="宋体" w:hAnsi="宋体" w:cs="宋体"/>
          <w:color w:val="auto"/>
          <w:highlight w:val="none"/>
        </w:rPr>
      </w:pPr>
      <w:bookmarkStart w:id="614" w:name="_Toc330624036"/>
      <w:bookmarkStart w:id="615" w:name="_Toc330911198"/>
      <w:r>
        <w:rPr>
          <w:rFonts w:hint="eastAsia" w:ascii="宋体" w:hAnsi="宋体" w:cs="宋体"/>
          <w:color w:val="auto"/>
          <w:sz w:val="22"/>
          <w:szCs w:val="22"/>
          <w:highlight w:val="none"/>
        </w:rPr>
        <w:br w:type="page"/>
      </w:r>
      <w:bookmarkStart w:id="616" w:name="_Toc17883"/>
      <w:bookmarkStart w:id="617" w:name="_Toc2759"/>
      <w:r>
        <w:rPr>
          <w:rFonts w:hint="eastAsia" w:ascii="宋体" w:hAnsi="宋体" w:cs="宋体"/>
          <w:b/>
          <w:bCs/>
          <w:color w:val="auto"/>
          <w:kern w:val="44"/>
          <w:sz w:val="36"/>
          <w:szCs w:val="36"/>
          <w:highlight w:val="none"/>
        </w:rPr>
        <w:t>评标办法（</w:t>
      </w:r>
      <w:r>
        <w:rPr>
          <w:rFonts w:hint="eastAsia" w:ascii="宋体" w:hAnsi="宋体" w:cs="宋体"/>
          <w:b/>
          <w:bCs/>
          <w:color w:val="auto"/>
          <w:kern w:val="44"/>
          <w:sz w:val="36"/>
          <w:szCs w:val="36"/>
          <w:highlight w:val="none"/>
          <w:lang w:eastAsia="zh-CN"/>
        </w:rPr>
        <w:t>综合评标法</w:t>
      </w:r>
      <w:r>
        <w:rPr>
          <w:rFonts w:hint="eastAsia" w:ascii="宋体" w:hAnsi="宋体" w:cs="宋体"/>
          <w:b/>
          <w:bCs/>
          <w:color w:val="auto"/>
          <w:kern w:val="44"/>
          <w:sz w:val="36"/>
          <w:szCs w:val="36"/>
          <w:highlight w:val="none"/>
        </w:rPr>
        <w:t>）</w:t>
      </w:r>
      <w:bookmarkEnd w:id="614"/>
      <w:bookmarkEnd w:id="615"/>
      <w:bookmarkEnd w:id="616"/>
      <w:bookmarkEnd w:id="617"/>
    </w:p>
    <w:p>
      <w:pPr>
        <w:spacing w:line="360" w:lineRule="auto"/>
        <w:jc w:val="center"/>
        <w:outlineLvl w:val="1"/>
        <w:rPr>
          <w:rFonts w:hint="eastAsia" w:ascii="宋体" w:hAnsi="宋体" w:cs="宋体"/>
          <w:b/>
          <w:bCs/>
          <w:color w:val="auto"/>
          <w:sz w:val="32"/>
          <w:szCs w:val="32"/>
          <w:highlight w:val="none"/>
        </w:rPr>
      </w:pPr>
      <w:bookmarkStart w:id="618" w:name="_Toc9091"/>
      <w:bookmarkStart w:id="619" w:name="_Toc10872"/>
      <w:r>
        <w:rPr>
          <w:rFonts w:hint="eastAsia" w:ascii="宋体" w:hAnsi="宋体" w:cs="宋体"/>
          <w:b/>
          <w:bCs/>
          <w:color w:val="auto"/>
          <w:sz w:val="32"/>
          <w:szCs w:val="32"/>
          <w:highlight w:val="none"/>
        </w:rPr>
        <w:t>评标办法前附表</w:t>
      </w:r>
      <w:bookmarkEnd w:id="618"/>
      <w:bookmarkEnd w:id="619"/>
    </w:p>
    <w:tbl>
      <w:tblPr>
        <w:tblStyle w:val="49"/>
        <w:tblW w:w="10099" w:type="dxa"/>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7"/>
        <w:gridCol w:w="1033"/>
        <w:gridCol w:w="98"/>
        <w:gridCol w:w="1279"/>
        <w:gridCol w:w="738"/>
        <w:gridCol w:w="462"/>
        <w:gridCol w:w="1520"/>
        <w:gridCol w:w="2359"/>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1918" w:type="dxa"/>
            <w:gridSpan w:val="3"/>
            <w:shd w:val="clear" w:color="auto" w:fill="auto"/>
            <w:vAlign w:val="center"/>
          </w:tcPr>
          <w:p>
            <w:pPr>
              <w:spacing w:line="360" w:lineRule="auto"/>
              <w:jc w:val="center"/>
              <w:rPr>
                <w:rFonts w:hint="eastAsia" w:ascii="宋体" w:hAnsi="宋体" w:eastAsia="宋体" w:cs="宋体"/>
                <w:color w:val="auto"/>
                <w:szCs w:val="21"/>
                <w:highlight w:val="none"/>
              </w:rPr>
            </w:pPr>
            <w:bookmarkStart w:id="620" w:name="_Toc152042377"/>
            <w:bookmarkStart w:id="621" w:name="_Toc330624037"/>
            <w:bookmarkStart w:id="622" w:name="_Toc144974567"/>
            <w:bookmarkStart w:id="623" w:name="_Toc330911199"/>
            <w:bookmarkStart w:id="624" w:name="_Toc1249"/>
            <w:bookmarkStart w:id="625" w:name="_Toc152045600"/>
            <w:bookmarkStart w:id="626" w:name="_Toc179632618"/>
            <w:bookmarkStart w:id="627" w:name="_Toc9302"/>
            <w:r>
              <w:rPr>
                <w:rFonts w:hint="eastAsia" w:ascii="宋体" w:hAnsi="宋体" w:eastAsia="宋体" w:cs="宋体"/>
                <w:color w:val="auto"/>
                <w:szCs w:val="21"/>
                <w:highlight w:val="none"/>
              </w:rPr>
              <w:t>条款号</w:t>
            </w: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评审因素</w:t>
            </w:r>
          </w:p>
        </w:tc>
        <w:tc>
          <w:tcPr>
            <w:tcW w:w="6164" w:type="dxa"/>
            <w:gridSpan w:val="4"/>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.1.1</w:t>
            </w:r>
          </w:p>
        </w:tc>
        <w:tc>
          <w:tcPr>
            <w:tcW w:w="1131"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形式评审</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   准</w:t>
            </w: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与营业执照、资质证书、安全生产许可证一致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投标函签字盖章</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有法定代表人电子签名并加盖单位电子签章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投标文件格式</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符合第八章“投标文件格式”的要求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报价唯一</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.1.2</w:t>
            </w:r>
          </w:p>
        </w:tc>
        <w:tc>
          <w:tcPr>
            <w:tcW w:w="1131"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资格评审标  准</w:t>
            </w: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安全生产许可证</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具备有效的安全生产许可证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资质</w:t>
            </w:r>
            <w:r>
              <w:rPr>
                <w:rFonts w:hint="eastAsia" w:ascii="宋体" w:hAnsi="宋体" w:cs="宋体"/>
                <w:color w:val="auto"/>
                <w:szCs w:val="21"/>
                <w:highlight w:val="none"/>
                <w:lang w:eastAsia="zh-CN"/>
              </w:rPr>
              <w:t>证书</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项目经理（建造师）</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财务要求</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信誉要求</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color w:val="auto"/>
                <w:spacing w:val="-5"/>
                <w:highlight w:val="none"/>
              </w:rPr>
              <w:t>对招标文件的响应</w:t>
            </w:r>
            <w:r>
              <w:rPr>
                <w:rFonts w:hint="eastAsia"/>
                <w:color w:val="auto"/>
                <w:spacing w:val="-5"/>
                <w:highlight w:val="none"/>
                <w:lang w:val="en-US" w:eastAsia="zh-CN"/>
              </w:rPr>
              <w:t>情况</w:t>
            </w:r>
            <w:r>
              <w:rPr>
                <w:rFonts w:hint="eastAsia"/>
                <w:color w:val="auto"/>
                <w:spacing w:val="-5"/>
                <w:highlight w:val="none"/>
                <w:lang w:eastAsia="zh-CN"/>
              </w:rPr>
              <w:t>，</w:t>
            </w:r>
            <w:r>
              <w:rPr>
                <w:rFonts w:hint="eastAsia"/>
                <w:color w:val="auto"/>
                <w:spacing w:val="-5"/>
                <w:highlight w:val="none"/>
                <w:lang w:val="en-US" w:eastAsia="zh-CN"/>
              </w:rPr>
              <w:t>是否存在</w:t>
            </w:r>
            <w:r>
              <w:rPr>
                <w:color w:val="auto"/>
                <w:spacing w:val="-5"/>
                <w:highlight w:val="none"/>
              </w:rPr>
              <w:t>重大偏差及违</w:t>
            </w:r>
            <w:r>
              <w:rPr>
                <w:color w:val="auto"/>
                <w:spacing w:val="-4"/>
                <w:highlight w:val="none"/>
              </w:rPr>
              <w:t>反法律、法规、规章、规范性文件</w:t>
            </w:r>
            <w:r>
              <w:rPr>
                <w:color w:val="auto"/>
                <w:spacing w:val="-2"/>
                <w:highlight w:val="none"/>
              </w:rPr>
              <w:t>规定的情况</w:t>
            </w: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w:t>
            </w:r>
            <w:r>
              <w:rPr>
                <w:rFonts w:hint="eastAsia" w:ascii="宋体" w:hAnsi="宋体" w:eastAsia="宋体" w:cs="宋体"/>
                <w:color w:val="auto"/>
                <w:spacing w:val="0"/>
                <w:w w:val="100"/>
                <w:position w:val="0"/>
                <w:sz w:val="21"/>
                <w:szCs w:val="21"/>
                <w:highlight w:val="none"/>
                <w:lang w:eastAsia="zh-CN"/>
              </w:rPr>
              <w:t>为</w:t>
            </w:r>
            <w:r>
              <w:rPr>
                <w:rFonts w:hint="eastAsia" w:ascii="宋体" w:hAnsi="宋体" w:eastAsia="宋体" w:cs="宋体"/>
                <w:color w:val="auto"/>
                <w:spacing w:val="0"/>
                <w:w w:val="100"/>
                <w:position w:val="0"/>
                <w:sz w:val="21"/>
                <w:szCs w:val="21"/>
                <w:highlight w:val="none"/>
              </w:rPr>
              <w:t>招标人不具有独立法人资格的附属机构</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投标人与招标人存在利害关系且可能影响招标公正性的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投标人与本招标项目的其他投标人为同一单位负责人的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投标人与本招标项目的其他投标人存在控股、管理关系的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w:t>
            </w:r>
            <w:r>
              <w:rPr>
                <w:rFonts w:hint="eastAsia" w:ascii="宋体" w:hAnsi="宋体" w:eastAsia="宋体" w:cs="宋体"/>
                <w:color w:val="auto"/>
                <w:spacing w:val="0"/>
                <w:w w:val="100"/>
                <w:position w:val="0"/>
                <w:sz w:val="21"/>
                <w:szCs w:val="21"/>
                <w:highlight w:val="none"/>
                <w:lang w:val="en-US" w:eastAsia="zh-CN"/>
              </w:rPr>
              <w:t>为</w:t>
            </w:r>
            <w:r>
              <w:rPr>
                <w:rFonts w:hint="eastAsia" w:ascii="宋体" w:hAnsi="宋体" w:eastAsia="宋体" w:cs="宋体"/>
                <w:color w:val="auto"/>
                <w:spacing w:val="0"/>
                <w:w w:val="100"/>
                <w:position w:val="0"/>
                <w:sz w:val="21"/>
                <w:szCs w:val="21"/>
                <w:highlight w:val="none"/>
              </w:rPr>
              <w:t>本招标项目的代建单位、招标代理机构或承担设计、造价咨询、监理业务的单位</w:t>
            </w:r>
            <w:r>
              <w:rPr>
                <w:rFonts w:hint="eastAsia" w:ascii="宋体" w:hAnsi="宋体" w:eastAsia="宋体" w:cs="宋体"/>
                <w:color w:val="auto"/>
                <w:spacing w:val="0"/>
                <w:w w:val="100"/>
                <w:position w:val="0"/>
                <w:sz w:val="21"/>
                <w:szCs w:val="21"/>
                <w:highlight w:val="none"/>
                <w:lang w:val="en-US" w:eastAsia="zh-CN"/>
              </w:rPr>
              <w:t>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投标人与本招标项目的代建单位、招标代理机构、设计单位、造价咨询机构、监理单位的法定代表人为同一人的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投标人与本招标项目的代建单位、招标代理机构、造价咨询机构、监理单位存在管理关系、相互控股或参股关系的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投标人被依法暂停或取消项目所在区域或行业投标资格的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投标人被责令停业，暂扣或吊销执照，或吊销资质证书的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投标人进入清算程序，或被宣告破产，或其他丧失履约能力情形的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投标人或拟派项目经理被列入建筑市场主体“黑名单”且在管理期限内的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投标人被市场监管机关在国家企业信用信息公示系统中列入严重违法失信企业名单且在管理期限内的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投标人或其法定代表人、拟委任的项目经理在“信用中国”网站重点领域严重失信主体名单中被限制或者禁止参与招标投标活动的“严重失信主体”且在管理期限内的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top"/>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投标人拖欠工人工资，情节严重被有关行政主管部门向社会公布且在公布的期限内的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不存在</w:t>
            </w:r>
            <w:r>
              <w:rPr>
                <w:rFonts w:hint="eastAsia" w:ascii="宋体" w:hAnsi="宋体" w:eastAsia="宋体" w:cs="宋体"/>
                <w:color w:val="auto"/>
                <w:spacing w:val="0"/>
                <w:w w:val="100"/>
                <w:position w:val="0"/>
                <w:sz w:val="21"/>
                <w:szCs w:val="21"/>
                <w:highlight w:val="none"/>
              </w:rPr>
              <w:t>投标人违反法律、法规、规章或无正当理由放弃中标资格受到行业主管部门处罚且在处罚期内的</w:t>
            </w:r>
            <w:r>
              <w:rPr>
                <w:rFonts w:hint="eastAsia" w:ascii="宋体" w:hAnsi="宋体" w:eastAsia="宋体" w:cs="宋体"/>
                <w:color w:val="auto"/>
                <w:spacing w:val="0"/>
                <w:w w:val="100"/>
                <w:position w:val="0"/>
                <w:sz w:val="21"/>
                <w:szCs w:val="21"/>
                <w:highlight w:val="none"/>
                <w:lang w:val="en-US" w:eastAsia="zh-CN"/>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其他要求</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87" w:type="dxa"/>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.1.3</w:t>
            </w:r>
          </w:p>
        </w:tc>
        <w:tc>
          <w:tcPr>
            <w:tcW w:w="1131"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 应 性</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评审标准</w:t>
            </w: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投标内容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spacing w:val="-2"/>
                <w:highlight w:val="none"/>
              </w:rPr>
              <w:t>投标总价</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等于各单项工程报价之和，或按照评标委员会要求进行澄清、说明或者修正不影响评标的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spacing w:val="2"/>
                <w:highlight w:val="none"/>
              </w:rPr>
              <w:t>单项工程费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等于各单位工程报价之和，或按照评标委员会要求进行澄清、说明或者修正不影响评标的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spacing w:val="2"/>
                <w:highlight w:val="none"/>
              </w:rPr>
              <w:t>单位工程费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等于分部分项工程费+措施项目费+其他项目费+规费+税金之和，或按照评标委员会要求进行澄清、说明或者修正不影响评标的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分部分项工程费及单价措施费总价</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等于各分部分项工程项目清单（含单价措施项目）费之和，或按照评标委员会要求进行澄清、说明或者修正不影响评标的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分部分项工程项目编码</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与招标文件发布的清单一致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分部分项工程项目名称</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与招标文件发布的清单一致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分部分项工程项目特征</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与招标文件发布的清单一致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分部分项工程项目计量单位</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与招标文件发布的清单一致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分部分项工程项目工程量</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与招标文件发布的清单一致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分部分项工程项目清单的综合单价</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等于人工费、材料费、机械费、管理费及利润之和，或按照评标委员会要求进行澄清、说明或者修正不影响评标的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材料单价</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综合单价中的材料单价与材料表中材料单价一致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安全文明施工措施费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符合河南省相关规定要求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其他措施费</w:t>
            </w:r>
            <w:r>
              <w:rPr>
                <w:rFonts w:hint="eastAsia"/>
                <w:spacing w:val="2"/>
                <w:sz w:val="21"/>
                <w:szCs w:val="21"/>
                <w:highlight w:val="none"/>
                <w:lang w:eastAsia="zh-CN"/>
              </w:rPr>
              <w:t>（</w:t>
            </w:r>
            <w:r>
              <w:rPr>
                <w:spacing w:val="2"/>
                <w:sz w:val="21"/>
                <w:szCs w:val="21"/>
                <w:highlight w:val="none"/>
              </w:rPr>
              <w:t>费率类</w:t>
            </w:r>
            <w:r>
              <w:rPr>
                <w:rFonts w:hint="eastAsia"/>
                <w:spacing w:val="2"/>
                <w:sz w:val="21"/>
                <w:szCs w:val="21"/>
                <w:highlight w:val="none"/>
                <w:lang w:eastAsia="zh-CN"/>
              </w:rPr>
              <w:t>）</w:t>
            </w:r>
            <w:r>
              <w:rPr>
                <w:spacing w:val="2"/>
                <w:sz w:val="21"/>
                <w:szCs w:val="21"/>
                <w:highlight w:val="none"/>
              </w:rPr>
              <w:t>项目</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其他项目费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等于各组成部分之和（暂列金额+专业工程暂估价+计日工费+总承包服务费），或按照评标委员会要求进行澄清、说明或者修正不影响评标的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暂列金额</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招标文件发布的金额一致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暂估价</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招标文件发布的金额一致（包括材料暂估单价、工程设备暂估单价和专业工程暂估价）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计日工</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与招标文件发布的数量一致（计日工按照8小时工作制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总承包服务费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符合招标文件规定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规费</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符合河南省相关规定要求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税金</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符合河南省相关规定要求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389"/>
              <w:spacing w:before="65" w:line="360" w:lineRule="auto"/>
              <w:ind w:left="122" w:leftChars="0"/>
              <w:jc w:val="center"/>
              <w:rPr>
                <w:rFonts w:hint="eastAsia" w:ascii="宋体" w:hAnsi="宋体" w:eastAsia="宋体" w:cs="宋体"/>
                <w:color w:val="auto"/>
                <w:szCs w:val="21"/>
                <w:highlight w:val="none"/>
              </w:rPr>
            </w:pPr>
            <w:r>
              <w:rPr>
                <w:spacing w:val="2"/>
                <w:sz w:val="21"/>
                <w:szCs w:val="21"/>
                <w:highlight w:val="none"/>
              </w:rPr>
              <w:t>电子投标文件的雷同性分析</w:t>
            </w:r>
          </w:p>
        </w:tc>
        <w:tc>
          <w:tcPr>
            <w:tcW w:w="6164" w:type="dxa"/>
            <w:gridSpan w:val="4"/>
            <w:shd w:val="clear" w:color="auto" w:fill="auto"/>
            <w:vAlign w:val="top"/>
          </w:tcPr>
          <w:p>
            <w:pPr>
              <w:pStyle w:val="389"/>
              <w:spacing w:before="110" w:line="360" w:lineRule="auto"/>
              <w:ind w:left="44" w:leftChars="0" w:right="61" w:rightChars="0"/>
              <w:jc w:val="both"/>
              <w:rPr>
                <w:rFonts w:hint="eastAsia" w:ascii="宋体" w:hAnsi="宋体" w:eastAsia="宋体" w:cs="宋体"/>
                <w:color w:val="auto"/>
                <w:szCs w:val="21"/>
                <w:highlight w:val="none"/>
              </w:rPr>
            </w:pPr>
            <w:r>
              <w:rPr>
                <w:rFonts w:hint="eastAsia" w:ascii="宋体" w:hAnsi="宋体" w:eastAsia="宋体" w:cs="宋体"/>
                <w:i w:val="0"/>
                <w:iCs w:val="0"/>
                <w:kern w:val="0"/>
                <w:sz w:val="21"/>
                <w:szCs w:val="21"/>
                <w:highlight w:val="none"/>
                <w:lang w:val="en-US" w:eastAsia="zh-CN"/>
              </w:rPr>
              <w:t>评标系统提示不同投标人的电子投标文件的文件制作机器码或者文件创建标识码、已标价工程量清单的文件制作机器码或者文件创建标识码、造价软件锁号、已标价工程量清单的软件加密锁使用人统一社会信用代码（或身份证号码）等信息</w:t>
            </w:r>
            <w:r>
              <w:rPr>
                <w:rFonts w:hint="eastAsia" w:cs="宋体"/>
                <w:i w:val="0"/>
                <w:iCs w:val="0"/>
                <w:kern w:val="0"/>
                <w:sz w:val="21"/>
                <w:szCs w:val="21"/>
                <w:highlight w:val="none"/>
                <w:lang w:val="en-US" w:eastAsia="zh-CN"/>
              </w:rPr>
              <w:t>不</w:t>
            </w:r>
            <w:r>
              <w:rPr>
                <w:rFonts w:hint="eastAsia" w:ascii="宋体" w:hAnsi="宋体" w:eastAsia="宋体" w:cs="宋体"/>
                <w:i w:val="0"/>
                <w:iCs w:val="0"/>
                <w:kern w:val="0"/>
                <w:sz w:val="21"/>
                <w:szCs w:val="21"/>
                <w:highlight w:val="none"/>
                <w:lang w:val="en-US" w:eastAsia="zh-CN"/>
              </w:rPr>
              <w:t>相同或</w:t>
            </w:r>
            <w:r>
              <w:rPr>
                <w:rFonts w:hint="eastAsia" w:cs="宋体"/>
                <w:i w:val="0"/>
                <w:iCs w:val="0"/>
                <w:kern w:val="0"/>
                <w:sz w:val="21"/>
                <w:szCs w:val="21"/>
                <w:highlight w:val="none"/>
                <w:lang w:val="en-US" w:eastAsia="zh-CN"/>
              </w:rPr>
              <w:t>不</w:t>
            </w:r>
            <w:r>
              <w:rPr>
                <w:rFonts w:hint="eastAsia" w:ascii="宋体" w:hAnsi="宋体" w:eastAsia="宋体" w:cs="宋体"/>
                <w:i w:val="0"/>
                <w:iCs w:val="0"/>
                <w:kern w:val="0"/>
                <w:sz w:val="21"/>
                <w:szCs w:val="21"/>
                <w:highlight w:val="none"/>
                <w:lang w:val="en-US" w:eastAsia="zh-CN"/>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工期</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工程质量</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投标有效期</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投标保证金</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符合第二章“投标人须知”第3.4.1项规定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技术标准和要求</w:t>
            </w:r>
          </w:p>
        </w:tc>
        <w:tc>
          <w:tcPr>
            <w:tcW w:w="6164" w:type="dxa"/>
            <w:gridSpan w:val="4"/>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lang w:val="en-US" w:eastAsia="zh-CN"/>
              </w:rPr>
              <w:t>符合第七章“技术标准和要求”规定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投标总报价</w:t>
            </w:r>
          </w:p>
        </w:tc>
        <w:tc>
          <w:tcPr>
            <w:tcW w:w="6164" w:type="dxa"/>
            <w:gridSpan w:val="4"/>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360" w:lineRule="auto"/>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kern w:val="2"/>
                <w:position w:val="0"/>
                <w:sz w:val="21"/>
                <w:szCs w:val="21"/>
                <w:highlight w:val="none"/>
              </w:rPr>
              <w:t>低于（含等于）招标控制价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24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kern w:val="2"/>
                <w:position w:val="0"/>
                <w:sz w:val="21"/>
                <w:szCs w:val="21"/>
                <w:highlight w:val="none"/>
              </w:rPr>
              <w:t>技术措施项目清单报价（不含安全文明施工费）</w:t>
            </w:r>
          </w:p>
        </w:tc>
        <w:tc>
          <w:tcPr>
            <w:tcW w:w="6164" w:type="dxa"/>
            <w:gridSpan w:val="4"/>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240" w:lineRule="auto"/>
              <w:textAlignment w:val="auto"/>
              <w:rPr>
                <w:rFonts w:hint="eastAsia" w:ascii="宋体" w:hAnsi="宋体" w:eastAsia="宋体" w:cs="宋体"/>
                <w:color w:val="auto"/>
                <w:spacing w:val="0"/>
                <w:w w:val="100"/>
                <w:kern w:val="2"/>
                <w:position w:val="0"/>
                <w:sz w:val="21"/>
                <w:szCs w:val="21"/>
                <w:highlight w:val="none"/>
              </w:rPr>
            </w:pPr>
            <w:r>
              <w:rPr>
                <w:rFonts w:hint="eastAsia" w:ascii="宋体" w:hAnsi="宋体" w:eastAsia="宋体" w:cs="宋体"/>
                <w:color w:val="auto"/>
                <w:spacing w:val="0"/>
                <w:w w:val="100"/>
                <w:kern w:val="2"/>
                <w:position w:val="0"/>
                <w:sz w:val="21"/>
                <w:szCs w:val="21"/>
                <w:highlight w:val="none"/>
                <w:lang w:eastAsia="zh-CN"/>
              </w:rPr>
              <w:t>☑</w:t>
            </w:r>
            <w:r>
              <w:rPr>
                <w:rFonts w:hint="eastAsia" w:ascii="宋体" w:hAnsi="宋体" w:eastAsia="宋体" w:cs="宋体"/>
                <w:color w:val="auto"/>
                <w:spacing w:val="0"/>
                <w:w w:val="100"/>
                <w:kern w:val="2"/>
                <w:position w:val="0"/>
                <w:sz w:val="21"/>
                <w:szCs w:val="21"/>
                <w:highlight w:val="none"/>
              </w:rPr>
              <w:t>不采用</w:t>
            </w:r>
          </w:p>
          <w:p>
            <w:pPr>
              <w:pStyle w:val="43"/>
              <w:keepNext w:val="0"/>
              <w:keepLines w:val="0"/>
              <w:pageBreakBefore w:val="0"/>
              <w:widowControl/>
              <w:kinsoku/>
              <w:wordWrap w:val="0"/>
              <w:overflowPunct/>
              <w:topLinePunct w:val="0"/>
              <w:bidi w:val="0"/>
              <w:spacing w:before="0" w:beforeAutospacing="0" w:after="0" w:afterAutospacing="0" w:line="240" w:lineRule="auto"/>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kern w:val="2"/>
                <w:position w:val="0"/>
                <w:sz w:val="21"/>
                <w:szCs w:val="21"/>
                <w:highlight w:val="none"/>
              </w:rPr>
              <w:t>□采用，在招标控制价</w:t>
            </w:r>
            <w:r>
              <w:rPr>
                <w:rFonts w:hint="eastAsia" w:ascii="宋体" w:hAnsi="宋体" w:eastAsia="宋体" w:cs="宋体"/>
                <w:color w:val="auto"/>
                <w:spacing w:val="0"/>
                <w:w w:val="100"/>
                <w:kern w:val="2"/>
                <w:position w:val="0"/>
                <w:sz w:val="21"/>
                <w:szCs w:val="21"/>
                <w:highlight w:val="none"/>
                <w:u w:val="single"/>
                <w:lang w:eastAsia="zh-CN"/>
              </w:rPr>
              <w:t xml:space="preserve"> </w:t>
            </w:r>
            <w:r>
              <w:rPr>
                <w:rFonts w:hint="eastAsia" w:ascii="宋体" w:hAnsi="宋体" w:eastAsia="宋体" w:cs="宋体"/>
                <w:color w:val="auto"/>
                <w:spacing w:val="0"/>
                <w:w w:val="100"/>
                <w:kern w:val="2"/>
                <w:position w:val="0"/>
                <w:sz w:val="21"/>
                <w:szCs w:val="21"/>
                <w:highlight w:val="none"/>
                <w:u w:val="single"/>
                <w:lang w:val="en-US" w:eastAsia="zh-CN"/>
              </w:rPr>
              <w:t xml:space="preserve">  </w:t>
            </w:r>
            <w:r>
              <w:rPr>
                <w:rFonts w:hint="eastAsia" w:ascii="宋体" w:hAnsi="宋体" w:eastAsia="宋体" w:cs="宋体"/>
                <w:color w:val="auto"/>
                <w:spacing w:val="0"/>
                <w:w w:val="100"/>
                <w:kern w:val="2"/>
                <w:position w:val="0"/>
                <w:sz w:val="21"/>
                <w:szCs w:val="21"/>
                <w:highlight w:val="none"/>
              </w:rPr>
              <w:t>%（含</w:t>
            </w:r>
            <w:r>
              <w:rPr>
                <w:rFonts w:hint="eastAsia" w:ascii="宋体" w:hAnsi="宋体" w:eastAsia="宋体" w:cs="宋体"/>
                <w:color w:val="auto"/>
                <w:spacing w:val="0"/>
                <w:w w:val="100"/>
                <w:kern w:val="2"/>
                <w:position w:val="0"/>
                <w:sz w:val="21"/>
                <w:szCs w:val="21"/>
                <w:highlight w:val="none"/>
                <w:u w:val="single"/>
                <w:lang w:val="en-US" w:eastAsia="zh-CN"/>
              </w:rPr>
              <w:t xml:space="preserve">   </w:t>
            </w:r>
            <w:r>
              <w:rPr>
                <w:rFonts w:hint="eastAsia" w:ascii="宋体" w:hAnsi="宋体" w:eastAsia="宋体" w:cs="宋体"/>
                <w:color w:val="auto"/>
                <w:spacing w:val="0"/>
                <w:w w:val="100"/>
                <w:kern w:val="2"/>
                <w:position w:val="0"/>
                <w:sz w:val="21"/>
                <w:szCs w:val="21"/>
                <w:highlight w:val="none"/>
              </w:rPr>
              <w:t>%）-</w:t>
            </w:r>
            <w:r>
              <w:rPr>
                <w:rFonts w:hint="eastAsia" w:ascii="宋体" w:hAnsi="宋体" w:eastAsia="宋体" w:cs="宋体"/>
                <w:color w:val="auto"/>
                <w:spacing w:val="0"/>
                <w:w w:val="100"/>
                <w:kern w:val="2"/>
                <w:position w:val="0"/>
                <w:sz w:val="21"/>
                <w:szCs w:val="21"/>
                <w:highlight w:val="none"/>
                <w:u w:val="single"/>
                <w:lang w:val="en-US" w:eastAsia="zh-CN"/>
              </w:rPr>
              <w:t xml:space="preserve">    </w:t>
            </w:r>
            <w:r>
              <w:rPr>
                <w:rFonts w:hint="eastAsia" w:ascii="宋体" w:hAnsi="宋体" w:eastAsia="宋体" w:cs="宋体"/>
                <w:color w:val="auto"/>
                <w:spacing w:val="0"/>
                <w:w w:val="100"/>
                <w:kern w:val="2"/>
                <w:position w:val="0"/>
                <w:sz w:val="21"/>
                <w:szCs w:val="21"/>
                <w:highlight w:val="none"/>
              </w:rPr>
              <w:t>%之外的，视为不响应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18" w:type="dxa"/>
            <w:gridSpan w:val="3"/>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条款内容</w:t>
            </w:r>
          </w:p>
        </w:tc>
        <w:tc>
          <w:tcPr>
            <w:tcW w:w="6164" w:type="dxa"/>
            <w:gridSpan w:val="4"/>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18" w:type="dxa"/>
            <w:gridSpan w:val="3"/>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.2.1</w:t>
            </w: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分值构成</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（总分100分）</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施工组织设计</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rPr>
              <w:t>分</w:t>
            </w:r>
          </w:p>
          <w:p>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投标报价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50</w:t>
            </w:r>
            <w:r>
              <w:rPr>
                <w:rFonts w:hint="eastAsia" w:ascii="宋体" w:hAnsi="宋体" w:eastAsia="宋体" w:cs="宋体"/>
                <w:color w:val="auto"/>
                <w:szCs w:val="21"/>
                <w:highlight w:val="none"/>
              </w:rPr>
              <w:t>分</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综合标：</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18" w:type="dxa"/>
            <w:gridSpan w:val="3"/>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.2.2</w:t>
            </w:r>
          </w:p>
        </w:tc>
        <w:tc>
          <w:tcPr>
            <w:tcW w:w="2017"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评标基准价计算</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方法</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招标控制价、投标报价在参与评标基准价计算时，均不含：规费、安全文明施工措施费、暂列金额、专业工程暂估价和税金。</w:t>
            </w:r>
          </w:p>
          <w:p>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1.投标报价基准</w:t>
            </w:r>
            <w:r>
              <w:rPr>
                <w:rFonts w:hint="eastAsia" w:ascii="宋体" w:hAnsi="宋体" w:eastAsia="宋体" w:cs="宋体"/>
                <w:color w:val="auto"/>
                <w:szCs w:val="21"/>
                <w:highlight w:val="none"/>
                <w:lang w:eastAsia="zh-CN"/>
              </w:rPr>
              <w:t>价</w:t>
            </w:r>
            <w:r>
              <w:rPr>
                <w:rFonts w:hint="eastAsia" w:ascii="宋体" w:hAnsi="宋体" w:eastAsia="宋体" w:cs="宋体"/>
                <w:color w:val="auto"/>
                <w:szCs w:val="21"/>
                <w:highlight w:val="none"/>
              </w:rPr>
              <w:t>计算方法：</w:t>
            </w:r>
            <w:r>
              <w:rPr>
                <w:rFonts w:hint="eastAsia" w:ascii="宋体" w:hAnsi="宋体" w:eastAsia="宋体" w:cs="宋体"/>
                <w:color w:val="auto"/>
                <w:szCs w:val="21"/>
                <w:highlight w:val="none"/>
                <w:lang w:val="en-US" w:eastAsia="zh-CN"/>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18" w:type="dxa"/>
            <w:gridSpan w:val="3"/>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201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2.措施费（不包含安全文明施工费）、分部分项清单单价、材料费基准价计算方法均采用如下：详见附件。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18" w:type="dxa"/>
            <w:gridSpan w:val="3"/>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.2.3</w:t>
            </w:r>
          </w:p>
        </w:tc>
        <w:tc>
          <w:tcPr>
            <w:tcW w:w="2017" w:type="dxa"/>
            <w:gridSpan w:val="2"/>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投标报价的偏差率</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计算公式</w:t>
            </w:r>
          </w:p>
        </w:tc>
        <w:tc>
          <w:tcPr>
            <w:tcW w:w="6164" w:type="dxa"/>
            <w:gridSpan w:val="4"/>
            <w:shd w:val="clear" w:color="auto" w:fill="auto"/>
            <w:vAlign w:val="center"/>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偏差率=100%×（投标人报价－评标基准价）/评标基准价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18" w:type="dxa"/>
            <w:gridSpan w:val="3"/>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条款号</w:t>
            </w:r>
          </w:p>
        </w:tc>
        <w:tc>
          <w:tcPr>
            <w:tcW w:w="1279" w:type="dxa"/>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评分因素</w:t>
            </w:r>
          </w:p>
        </w:tc>
        <w:tc>
          <w:tcPr>
            <w:tcW w:w="738" w:type="dxa"/>
            <w:shd w:val="clear" w:color="auto" w:fill="auto"/>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分值</w:t>
            </w:r>
          </w:p>
        </w:tc>
        <w:tc>
          <w:tcPr>
            <w:tcW w:w="6164" w:type="dxa"/>
            <w:gridSpan w:val="4"/>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.2.4</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31"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施工组织</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设计评分</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标准（暗标，总2</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分）</w:t>
            </w: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i w:val="0"/>
                <w:iCs w:val="0"/>
                <w:caps w:val="0"/>
                <w:color w:val="auto"/>
                <w:spacing w:val="0"/>
                <w:w w:val="100"/>
                <w:position w:val="0"/>
                <w:sz w:val="21"/>
                <w:szCs w:val="21"/>
                <w:highlight w:val="none"/>
              </w:rPr>
              <w:t>主要施工方案与技术措施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2</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施工方案（含工程特点、施工重点与难点及绿色施工）总体安排合理，合理运用先进的施工工艺、施工机械；对施工难点有科学合理的建议。（0-2）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spacing w:val="0"/>
                <w:w w:val="100"/>
                <w:position w:val="0"/>
                <w:sz w:val="21"/>
                <w:szCs w:val="21"/>
                <w:highlight w:val="none"/>
              </w:rPr>
              <w:t>质量管理体系与措施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1.5</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组织机构形式合理，有完善的指挥系统、质量监控系统、联络协调系统，有健全的质量管理体系、相应的施工技术标准、施工质量检验制度和综合施工质量水平评定考核制度。施工措施符合国家及我省现行工程建设标准，满足通用规范、项目规范及质量验收规范的要求，质量保证措施内容完整、经济安全、合理先进、切实可行。（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spacing w:val="0"/>
                <w:w w:val="100"/>
                <w:position w:val="0"/>
                <w:sz w:val="21"/>
                <w:szCs w:val="21"/>
                <w:highlight w:val="none"/>
              </w:rPr>
              <w:t>安全管理体系与措施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1.5</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 施工安全生产保障体系健全，安全管理制度完善，安全管理目标具体，全员安全责任制明确，现场安全管理组织机构、人员配备满足国家规定要求。（0-0.5）</w:t>
            </w:r>
          </w:p>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 安全技术方案根据工程特点、周边环境和施工工艺，制定措施科学合理、可行。（0-0.5）</w:t>
            </w:r>
          </w:p>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 现场重大危险源辨识全面，有项目危险性较大的分部分项工程清单并明确有相应的安全管理措施。（0-0.5）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文明施工、环境保护管理体系及施工现场扬尘治理措施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1</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创安全文明标准化工地目标明确，有针对项目实际情况，科学可行的创建计划和符合相关标准、规范、规程的创建保证措施和安全文明施工措施费投入使用计划，现场施工区、生活区、办公区等设置科学规范，符合有关文明施工、健康卫生的规定。有防治施工现场扬尘治理方案，措施符合河南省《城市房屋建筑和市政基础设施工程及道路扬尘污染防治标准》（DBJ41/174 ）的规定。（0-1）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工期保证措施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工期承诺满足招标文件要求，工期保证措施合理且有针对性，有具体的违约责任承诺。（0-1）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拟投入资源配备计划</w:t>
            </w:r>
            <w:r>
              <w:rPr>
                <w:rFonts w:hint="eastAsia" w:ascii="宋体" w:hAnsi="宋体" w:eastAsia="宋体" w:cs="宋体"/>
                <w:color w:val="auto"/>
                <w:spacing w:val="0"/>
                <w:w w:val="100"/>
                <w:position w:val="0"/>
                <w:sz w:val="21"/>
                <w:szCs w:val="21"/>
                <w:highlight w:val="none"/>
              </w:rPr>
              <w:t>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w:t>
            </w:r>
            <w:r>
              <w:rPr>
                <w:rFonts w:hint="eastAsia" w:ascii="宋体" w:hAnsi="宋体" w:eastAsia="宋体" w:cs="宋体"/>
                <w:color w:val="auto"/>
                <w:spacing w:val="0"/>
                <w:w w:val="100"/>
                <w:position w:val="0"/>
                <w:sz w:val="21"/>
                <w:szCs w:val="21"/>
                <w:highlight w:val="none"/>
                <w:lang w:val="en-US" w:eastAsia="zh-CN"/>
              </w:rPr>
              <w:t>.5</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1.机械：投入计划与进度计划呼应，采用先进机械设备且配置合理，满足安全技术规范和施工进度需要；PC构件运输、安装设备满足施工要求；（0-0.5）</w:t>
            </w:r>
          </w:p>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2.劳动力：投入计划与进度计划呼应，满足施工需要，调配投入计划合理、准确；（0-0.5）</w:t>
            </w:r>
          </w:p>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3.主要物资计划：主要物资（含PC构件的供应需求）投入计划与进度计划呼应，满足施工需要，调配投入计划合理、准确。（0-0.5）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施工进度表与网络计划图</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关键线路清晰、准确、完整，计划编制合理、可行，满足招标文件对工期的要求。（0-1）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施工总平面图布置</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总体布置有针对性、合理，能满足施工需要，符合安全、文明施工要求，材料堆放有序。（0-1）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建造方式的创新应用实施方案</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4</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1.智能建造、2.节能减排、3.绿色施工、4.装配式建筑等建造方式的创新应用实施方案符合工程情况，具有针对性、可行性、经济适用性；每一项（0-1）。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采用新工艺、新技术、新设备、新材料、BIM等的程度</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3.5</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采用1.新工艺、2.新技术、3.新设备（含工器具、智能设备等）、4.新材料等满足实现设计要求，符合施工需要和相应技术标准等规定，经济适用；每一项（0-0.5）。应用 BIM 技术优化施工工序、资源配置及数字化管理，措施得当，有效提高施工效率。（0-1.5）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i w:val="0"/>
                <w:iCs w:val="0"/>
                <w:caps w:val="0"/>
                <w:color w:val="auto"/>
                <w:spacing w:val="0"/>
                <w:w w:val="100"/>
                <w:position w:val="0"/>
                <w:sz w:val="21"/>
                <w:szCs w:val="21"/>
                <w:highlight w:val="none"/>
              </w:rPr>
              <w:t>施工现场实施信息化监控和数据处理</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1</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施工现场实施信息化监控和数据处理系统布置合理，满足管理需要。（0-1）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131"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79"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kern w:val="0"/>
                <w:szCs w:val="21"/>
                <w:highlight w:val="none"/>
              </w:rPr>
            </w:pPr>
            <w:r>
              <w:rPr>
                <w:rFonts w:hint="eastAsia" w:ascii="宋体" w:hAnsi="宋体" w:eastAsia="宋体" w:cs="宋体"/>
                <w:i w:val="0"/>
                <w:iCs w:val="0"/>
                <w:caps w:val="0"/>
                <w:color w:val="auto"/>
                <w:spacing w:val="0"/>
                <w:w w:val="100"/>
                <w:position w:val="0"/>
                <w:sz w:val="21"/>
                <w:szCs w:val="21"/>
                <w:highlight w:val="none"/>
              </w:rPr>
              <w:t>风险管理措施</w:t>
            </w:r>
          </w:p>
        </w:tc>
        <w:tc>
          <w:tcPr>
            <w:tcW w:w="738"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1</w:t>
            </w:r>
          </w:p>
        </w:tc>
        <w:tc>
          <w:tcPr>
            <w:tcW w:w="6164" w:type="dxa"/>
            <w:gridSpan w:val="4"/>
            <w:shd w:val="clear" w:color="auto" w:fill="auto"/>
            <w:vAlign w:val="center"/>
          </w:tcPr>
          <w:p>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风险防控管理措施齐全，风险预控符合规范要求，风险控制要点定位准确，各阶段风险控制及应急措施得力。（0-1）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7" w:type="dxa"/>
            <w:shd w:val="clear" w:color="auto" w:fill="auto"/>
            <w:vAlign w:val="center"/>
          </w:tcPr>
          <w:p>
            <w:pPr>
              <w:spacing w:line="360" w:lineRule="auto"/>
              <w:jc w:val="center"/>
              <w:rPr>
                <w:rFonts w:hint="eastAsia" w:ascii="宋体" w:hAnsi="宋体" w:eastAsia="宋体" w:cs="宋体"/>
                <w:color w:val="auto"/>
                <w:szCs w:val="21"/>
                <w:highlight w:val="none"/>
              </w:rPr>
            </w:pPr>
          </w:p>
        </w:tc>
        <w:tc>
          <w:tcPr>
            <w:tcW w:w="9312" w:type="dxa"/>
            <w:gridSpan w:val="8"/>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lang w:eastAsia="zh-CN"/>
              </w:rPr>
            </w:pPr>
            <w:r>
              <w:rPr>
                <w:rFonts w:hint="eastAsia"/>
                <w:color w:val="auto"/>
                <w:sz w:val="21"/>
                <w:szCs w:val="21"/>
                <w:highlight w:val="none"/>
                <w:lang w:eastAsia="zh-CN"/>
              </w:rPr>
              <w:t>备注：</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各档次的标准设定如下：</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优：内容详实，方案科学、合理、安全，考虑周全，措施到位，针对性强，完全能够满足招标工程的施工需要。</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良：内容完整，方案基本科学、合理、安全，基本考虑周全，措施基本到位，针对性较强，可以满足招标工程的施工需要，但有个别细节需要进一步完善或提高。</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一般：内容基本完整，方案在科学、合理、安全性方面一般，基本考虑不周，措施不够到位，针对性不强，虽然能够基本满足招标工程的施工需要，但有很多方面需要进一步完善甚至重新考虑。</w:t>
            </w:r>
          </w:p>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差：内容不完整，方案在科学、合理、安全性方面差，考虑非常不周，措施基本不到位，没有针对性，不能满足招标工程的施工需要。</w:t>
            </w:r>
          </w:p>
          <w:p>
            <w:pPr>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各分项内容如缺项，相应项目得分为0。</w:t>
            </w:r>
          </w:p>
          <w:p>
            <w:pPr>
              <w:numPr>
                <w:ilvl w:val="0"/>
                <w:numId w:val="0"/>
              </w:numPr>
              <w:spacing w:line="360" w:lineRule="auto"/>
              <w:ind w:firstLine="420" w:firstLineChars="200"/>
              <w:rPr>
                <w:rFonts w:hint="eastAsia"/>
                <w:color w:val="auto"/>
                <w:sz w:val="21"/>
                <w:szCs w:val="21"/>
                <w:highlight w:val="none"/>
              </w:rPr>
            </w:pPr>
            <w:r>
              <w:rPr>
                <w:rFonts w:hint="eastAsia" w:ascii="宋体" w:hAnsi="宋体" w:eastAsia="宋体" w:cs="宋体"/>
                <w:color w:val="auto"/>
                <w:sz w:val="21"/>
                <w:szCs w:val="21"/>
                <w:highlight w:val="none"/>
              </w:rPr>
              <w:t>二、暗标要求：“暗标”应当以能够隐</w:t>
            </w:r>
            <w:r>
              <w:rPr>
                <w:rFonts w:hint="eastAsia"/>
                <w:color w:val="auto"/>
                <w:sz w:val="21"/>
                <w:szCs w:val="21"/>
                <w:highlight w:val="none"/>
              </w:rPr>
              <w:t>去投标人的身份为原则，未按暗标要求编写</w:t>
            </w:r>
            <w:r>
              <w:rPr>
                <w:rFonts w:hint="eastAsia"/>
                <w:color w:val="auto"/>
                <w:sz w:val="21"/>
                <w:szCs w:val="21"/>
                <w:highlight w:val="none"/>
                <w:lang w:eastAsia="zh-CN"/>
              </w:rPr>
              <w:t>施工组织设计</w:t>
            </w:r>
            <w:r>
              <w:rPr>
                <w:rFonts w:hint="eastAsia"/>
                <w:color w:val="auto"/>
                <w:sz w:val="21"/>
                <w:szCs w:val="21"/>
                <w:highlight w:val="none"/>
              </w:rPr>
              <w:t>的，该</w:t>
            </w:r>
            <w:r>
              <w:rPr>
                <w:rFonts w:hint="eastAsia"/>
                <w:color w:val="auto"/>
                <w:sz w:val="21"/>
                <w:szCs w:val="21"/>
                <w:highlight w:val="none"/>
                <w:lang w:eastAsia="zh-CN"/>
              </w:rPr>
              <w:t>施工组织设计</w:t>
            </w:r>
            <w:r>
              <w:rPr>
                <w:rFonts w:hint="eastAsia"/>
                <w:color w:val="auto"/>
                <w:sz w:val="21"/>
                <w:szCs w:val="21"/>
                <w:highlight w:val="none"/>
              </w:rPr>
              <w:t>为零分。具体要求如下：</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编写软件及版本要求：Microsoft Word 2007或以上；</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任何情况下，技术暗标中不得出现任何涂改或删除痕迹；</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除满足上述各项要求外，构成投标文件的“技术暗标”的正文中均不得出现投标人的名称和其它可识别投标人身份的字符、徽标、人员名称以及其他特殊标记等。</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字体要求：宋体；上页边距：</w:t>
            </w:r>
            <w:r>
              <w:rPr>
                <w:rFonts w:hint="eastAsia" w:ascii="宋体" w:hAnsi="宋体" w:eastAsia="宋体" w:cs="宋体"/>
                <w:color w:val="auto"/>
                <w:sz w:val="21"/>
                <w:szCs w:val="21"/>
                <w:highlight w:val="none"/>
                <w:lang w:val="en-US" w:eastAsia="zh-CN"/>
              </w:rPr>
              <w:t>3厘米；下页边距：3厘米；左页边距：2厘米；右页边距：2厘米；</w:t>
            </w:r>
            <w:r>
              <w:rPr>
                <w:rFonts w:hint="eastAsia" w:ascii="宋体" w:hAnsi="宋体" w:eastAsia="宋体" w:cs="宋体"/>
                <w:color w:val="auto"/>
                <w:sz w:val="21"/>
                <w:szCs w:val="21"/>
                <w:highlight w:val="none"/>
                <w:lang w:eastAsia="zh-CN"/>
              </w:rPr>
              <w:t>对齐方式：左对齐；大纲级别：正文文本；行距：固定值</w:t>
            </w:r>
            <w:r>
              <w:rPr>
                <w:rFonts w:hint="eastAsia" w:ascii="宋体" w:hAnsi="宋体" w:eastAsia="宋体" w:cs="宋体"/>
                <w:color w:val="auto"/>
                <w:sz w:val="21"/>
                <w:szCs w:val="21"/>
                <w:highlight w:val="none"/>
                <w:lang w:val="en-US" w:eastAsia="zh-CN"/>
              </w:rPr>
              <w:t>25磅；段前：0行/0磅；段后：0行/0磅；正文纸张方向：纵向；正文字体要求：四号；纸张大小：A4；左侧缩进：0字符/0厘米；右侧缩进：0字符/0厘米；</w:t>
            </w:r>
            <w:r>
              <w:rPr>
                <w:rFonts w:hint="eastAsia" w:ascii="宋体" w:hAnsi="宋体" w:eastAsia="宋体" w:cs="宋体"/>
                <w:color w:val="auto"/>
                <w:sz w:val="21"/>
                <w:szCs w:val="21"/>
                <w:highlight w:val="none"/>
              </w:rPr>
              <w:t>不得设置页码、页眉、页脚、目录。</w:t>
            </w:r>
          </w:p>
          <w:p>
            <w:pPr>
              <w:numPr>
                <w:ilvl w:val="0"/>
                <w:numId w:val="0"/>
              </w:numPr>
              <w:spacing w:line="360" w:lineRule="auto"/>
              <w:ind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技术标文件均不得出现彩色文字（必要的图片、图纸除外）；不得出现投标单位名称、相关人员姓名等能体现有关投标单位信息的提示性标记、文字、语句等。</w:t>
            </w:r>
          </w:p>
          <w:p>
            <w:pPr>
              <w:pStyle w:val="48"/>
              <w:tabs>
                <w:tab w:val="left" w:pos="945"/>
                <w:tab w:val="left" w:pos="1155"/>
              </w:tabs>
              <w:spacing w:line="360" w:lineRule="auto"/>
              <w:ind w:left="0" w:leftChars="0" w:firstLine="0" w:firstLineChars="0"/>
              <w:jc w:val="center"/>
              <w:rPr>
                <w:rFonts w:hint="eastAsia" w:ascii="宋体" w:hAnsi="宋体" w:eastAsia="宋体" w:cs="宋体"/>
                <w:color w:val="auto"/>
                <w:szCs w:val="21"/>
                <w:highlight w:val="none"/>
              </w:rPr>
            </w:pPr>
            <w:r>
              <w:rPr>
                <w:color w:val="auto"/>
                <w:highlight w:val="none"/>
              </w:rPr>
              <w:drawing>
                <wp:inline distT="0" distB="0" distL="114300" distR="114300">
                  <wp:extent cx="5471795" cy="2243455"/>
                  <wp:effectExtent l="0" t="0" r="14605" b="444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471795" cy="22434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.2.4</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77" w:type="dxa"/>
            <w:gridSpan w:val="2"/>
            <w:vMerge w:val="restart"/>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投标</w:t>
            </w:r>
          </w:p>
          <w:p>
            <w:pPr>
              <w:pStyle w:val="43"/>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报价</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（总分</w:t>
            </w:r>
            <w:r>
              <w:rPr>
                <w:rFonts w:hint="eastAsia" w:ascii="宋体" w:hAnsi="宋体" w:eastAsia="宋体" w:cs="宋体"/>
                <w:color w:val="auto"/>
                <w:spacing w:val="0"/>
                <w:w w:val="100"/>
                <w:position w:val="0"/>
                <w:sz w:val="21"/>
                <w:szCs w:val="21"/>
                <w:highlight w:val="none"/>
                <w:lang w:val="en-US" w:eastAsia="zh-CN"/>
              </w:rPr>
              <w:t>50</w:t>
            </w:r>
            <w:r>
              <w:rPr>
                <w:rFonts w:hint="eastAsia" w:ascii="宋体" w:hAnsi="宋体" w:eastAsia="宋体" w:cs="宋体"/>
                <w:color w:val="auto"/>
                <w:spacing w:val="0"/>
                <w:w w:val="100"/>
                <w:position w:val="0"/>
                <w:sz w:val="21"/>
                <w:szCs w:val="21"/>
                <w:highlight w:val="none"/>
              </w:rPr>
              <w:t>分）</w:t>
            </w:r>
          </w:p>
        </w:tc>
        <w:tc>
          <w:tcPr>
            <w:tcW w:w="1200"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lang w:eastAsia="zh-CN"/>
              </w:rPr>
            </w:pP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1</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投标报价</w:t>
            </w:r>
          </w:p>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（满分</w:t>
            </w:r>
            <w:r>
              <w:rPr>
                <w:rFonts w:hint="eastAsia" w:ascii="宋体" w:hAnsi="宋体" w:eastAsia="宋体" w:cs="宋体"/>
                <w:i w:val="0"/>
                <w:iCs w:val="0"/>
                <w:caps w:val="0"/>
                <w:color w:val="auto"/>
                <w:spacing w:val="0"/>
                <w:w w:val="100"/>
                <w:position w:val="0"/>
                <w:sz w:val="21"/>
                <w:szCs w:val="21"/>
                <w:highlight w:val="none"/>
                <w:lang w:val="en-US" w:eastAsia="zh-CN"/>
              </w:rPr>
              <w:t>3</w:t>
            </w:r>
            <w:r>
              <w:rPr>
                <w:rFonts w:hint="eastAsia" w:ascii="宋体" w:hAnsi="宋体" w:eastAsia="宋体" w:cs="宋体"/>
                <w:i w:val="0"/>
                <w:iCs w:val="0"/>
                <w:caps w:val="0"/>
                <w:color w:val="auto"/>
                <w:spacing w:val="0"/>
                <w:w w:val="100"/>
                <w:position w:val="0"/>
                <w:sz w:val="21"/>
                <w:szCs w:val="21"/>
                <w:highlight w:val="none"/>
              </w:rPr>
              <w:t>0分）</w:t>
            </w:r>
          </w:p>
        </w:tc>
        <w:tc>
          <w:tcPr>
            <w:tcW w:w="5702" w:type="dxa"/>
            <w:gridSpan w:val="3"/>
            <w:shd w:val="clear" w:color="auto" w:fill="auto"/>
            <w:vAlign w:val="center"/>
          </w:tcPr>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①</w:t>
            </w:r>
            <w:r>
              <w:rPr>
                <w:rFonts w:hint="eastAsia" w:ascii="宋体" w:hAnsi="宋体" w:eastAsia="宋体" w:cs="宋体"/>
                <w:i w:val="0"/>
                <w:iCs w:val="0"/>
                <w:caps w:val="0"/>
                <w:color w:val="auto"/>
                <w:spacing w:val="0"/>
                <w:w w:val="100"/>
                <w:position w:val="0"/>
                <w:sz w:val="21"/>
                <w:szCs w:val="21"/>
                <w:highlight w:val="none"/>
                <w:lang w:val="en-US" w:eastAsia="zh-CN"/>
              </w:rPr>
              <w:t>基准价的计算方法见附件</w:t>
            </w:r>
            <w:r>
              <w:rPr>
                <w:rFonts w:hint="eastAsia" w:ascii="宋体" w:hAnsi="宋体" w:eastAsia="宋体" w:cs="宋体"/>
                <w:i w:val="0"/>
                <w:iCs w:val="0"/>
                <w:caps w:val="0"/>
                <w:color w:val="auto"/>
                <w:spacing w:val="0"/>
                <w:w w:val="100"/>
                <w:position w:val="0"/>
                <w:sz w:val="21"/>
                <w:szCs w:val="21"/>
                <w:highlight w:val="none"/>
              </w:rPr>
              <w:t>。</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②投标人的投标报价</w:t>
            </w:r>
            <w:r>
              <w:rPr>
                <w:rFonts w:hint="eastAsia" w:ascii="宋体" w:hAnsi="宋体" w:eastAsia="宋体" w:cs="宋体"/>
                <w:i w:val="0"/>
                <w:iCs w:val="0"/>
                <w:caps w:val="0"/>
                <w:color w:val="auto"/>
                <w:spacing w:val="0"/>
                <w:w w:val="100"/>
                <w:position w:val="0"/>
                <w:sz w:val="21"/>
                <w:szCs w:val="21"/>
                <w:highlight w:val="none"/>
                <w:lang w:val="en-US" w:eastAsia="zh-CN"/>
              </w:rPr>
              <w:t>与基准价相等</w:t>
            </w:r>
            <w:r>
              <w:rPr>
                <w:rFonts w:hint="eastAsia" w:ascii="宋体" w:hAnsi="宋体" w:eastAsia="宋体" w:cs="宋体"/>
                <w:i w:val="0"/>
                <w:iCs w:val="0"/>
                <w:caps w:val="0"/>
                <w:color w:val="auto"/>
                <w:spacing w:val="0"/>
                <w:w w:val="100"/>
                <w:position w:val="0"/>
                <w:sz w:val="21"/>
                <w:szCs w:val="21"/>
                <w:highlight w:val="none"/>
              </w:rPr>
              <w:t>的得满分（</w:t>
            </w:r>
            <w:r>
              <w:rPr>
                <w:rFonts w:hint="eastAsia" w:ascii="宋体" w:hAnsi="宋体" w:eastAsia="宋体" w:cs="宋体"/>
                <w:i w:val="0"/>
                <w:iCs w:val="0"/>
                <w:caps w:val="0"/>
                <w:color w:val="auto"/>
                <w:spacing w:val="0"/>
                <w:w w:val="100"/>
                <w:position w:val="0"/>
                <w:sz w:val="21"/>
                <w:szCs w:val="21"/>
                <w:highlight w:val="none"/>
                <w:lang w:val="en-US" w:eastAsia="zh-CN"/>
              </w:rPr>
              <w:t>30</w:t>
            </w:r>
            <w:r>
              <w:rPr>
                <w:rFonts w:hint="eastAsia" w:ascii="宋体" w:hAnsi="宋体" w:eastAsia="宋体" w:cs="宋体"/>
                <w:i w:val="0"/>
                <w:iCs w:val="0"/>
                <w:caps w:val="0"/>
                <w:color w:val="auto"/>
                <w:spacing w:val="0"/>
                <w:w w:val="100"/>
                <w:position w:val="0"/>
                <w:sz w:val="21"/>
                <w:szCs w:val="21"/>
                <w:highlight w:val="none"/>
              </w:rPr>
              <w:t>分）；</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投标报价低于评标基准价的，按每低于评标基准价1%扣</w:t>
            </w:r>
            <w:r>
              <w:rPr>
                <w:rFonts w:hint="eastAsia" w:ascii="宋体" w:hAnsi="宋体" w:eastAsia="宋体" w:cs="宋体"/>
                <w:i w:val="0"/>
                <w:iCs w:val="0"/>
                <w:caps w:val="0"/>
                <w:color w:val="auto"/>
                <w:spacing w:val="0"/>
                <w:w w:val="100"/>
                <w:position w:val="0"/>
                <w:sz w:val="21"/>
                <w:szCs w:val="21"/>
                <w:highlight w:val="none"/>
                <w:lang w:val="en-US" w:eastAsia="zh-CN"/>
              </w:rPr>
              <w:t>1</w:t>
            </w:r>
            <w:r>
              <w:rPr>
                <w:rFonts w:hint="eastAsia" w:ascii="宋体" w:hAnsi="宋体" w:eastAsia="宋体" w:cs="宋体"/>
                <w:i w:val="0"/>
                <w:iCs w:val="0"/>
                <w:caps w:val="0"/>
                <w:color w:val="auto"/>
                <w:spacing w:val="0"/>
                <w:w w:val="100"/>
                <w:position w:val="0"/>
                <w:sz w:val="21"/>
                <w:szCs w:val="21"/>
                <w:highlight w:val="none"/>
              </w:rPr>
              <w:t xml:space="preserve">分的比例从满分（ </w:t>
            </w:r>
            <w:r>
              <w:rPr>
                <w:rFonts w:hint="eastAsia" w:ascii="宋体" w:hAnsi="宋体" w:eastAsia="宋体" w:cs="宋体"/>
                <w:i w:val="0"/>
                <w:iCs w:val="0"/>
                <w:caps w:val="0"/>
                <w:color w:val="auto"/>
                <w:spacing w:val="0"/>
                <w:w w:val="100"/>
                <w:position w:val="0"/>
                <w:sz w:val="21"/>
                <w:szCs w:val="21"/>
                <w:highlight w:val="none"/>
                <w:lang w:val="en-US" w:eastAsia="zh-CN"/>
              </w:rPr>
              <w:t>3</w:t>
            </w:r>
            <w:r>
              <w:rPr>
                <w:rFonts w:hint="eastAsia" w:ascii="宋体" w:hAnsi="宋体" w:eastAsia="宋体" w:cs="宋体"/>
                <w:i w:val="0"/>
                <w:iCs w:val="0"/>
                <w:caps w:val="0"/>
                <w:color w:val="auto"/>
                <w:spacing w:val="0"/>
                <w:w w:val="100"/>
                <w:position w:val="0"/>
                <w:sz w:val="21"/>
                <w:szCs w:val="21"/>
                <w:highlight w:val="none"/>
              </w:rPr>
              <w:t>0 分）中进行扣分，扣完为止；</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投标报价高于评标基准价的，按每高于评标基准价1%扣</w:t>
            </w:r>
            <w:r>
              <w:rPr>
                <w:rFonts w:hint="eastAsia" w:ascii="宋体" w:hAnsi="宋体" w:eastAsia="宋体" w:cs="宋体"/>
                <w:i w:val="0"/>
                <w:iCs w:val="0"/>
                <w:caps w:val="0"/>
                <w:color w:val="auto"/>
                <w:spacing w:val="0"/>
                <w:w w:val="100"/>
                <w:position w:val="0"/>
                <w:sz w:val="21"/>
                <w:szCs w:val="21"/>
                <w:highlight w:val="none"/>
                <w:lang w:val="en-US" w:eastAsia="zh-CN"/>
              </w:rPr>
              <w:t>2</w:t>
            </w:r>
            <w:r>
              <w:rPr>
                <w:rFonts w:hint="eastAsia" w:ascii="宋体" w:hAnsi="宋体" w:eastAsia="宋体" w:cs="宋体"/>
                <w:i w:val="0"/>
                <w:iCs w:val="0"/>
                <w:caps w:val="0"/>
                <w:color w:val="auto"/>
                <w:spacing w:val="0"/>
                <w:w w:val="100"/>
                <w:position w:val="0"/>
                <w:sz w:val="21"/>
                <w:szCs w:val="21"/>
                <w:highlight w:val="none"/>
              </w:rPr>
              <w:t xml:space="preserve">分的比例从满分（ </w:t>
            </w:r>
            <w:r>
              <w:rPr>
                <w:rFonts w:hint="eastAsia" w:ascii="宋体" w:hAnsi="宋体" w:eastAsia="宋体" w:cs="宋体"/>
                <w:i w:val="0"/>
                <w:iCs w:val="0"/>
                <w:caps w:val="0"/>
                <w:color w:val="auto"/>
                <w:spacing w:val="0"/>
                <w:w w:val="100"/>
                <w:position w:val="0"/>
                <w:sz w:val="21"/>
                <w:szCs w:val="21"/>
                <w:highlight w:val="none"/>
                <w:lang w:val="en-US" w:eastAsia="zh-CN"/>
              </w:rPr>
              <w:t>3</w:t>
            </w:r>
            <w:r>
              <w:rPr>
                <w:rFonts w:hint="eastAsia" w:ascii="宋体" w:hAnsi="宋体" w:eastAsia="宋体" w:cs="宋体"/>
                <w:i w:val="0"/>
                <w:iCs w:val="0"/>
                <w:caps w:val="0"/>
                <w:color w:val="auto"/>
                <w:spacing w:val="0"/>
                <w:w w:val="100"/>
                <w:position w:val="0"/>
                <w:sz w:val="21"/>
                <w:szCs w:val="21"/>
                <w:highlight w:val="none"/>
              </w:rPr>
              <w:t>0 分）中进行扣分，扣完为止。</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b/>
                <w:bCs/>
                <w:i w:val="0"/>
                <w:iCs w:val="0"/>
                <w:caps w:val="0"/>
                <w:color w:val="auto"/>
                <w:spacing w:val="0"/>
                <w:w w:val="100"/>
                <w:position w:val="0"/>
                <w:sz w:val="21"/>
                <w:szCs w:val="21"/>
                <w:highlight w:val="none"/>
                <w:lang w:val="en-US" w:eastAsia="zh-CN"/>
              </w:rPr>
              <w:t>注：</w:t>
            </w:r>
            <w:r>
              <w:rPr>
                <w:rFonts w:hint="eastAsia" w:ascii="宋体" w:hAnsi="宋体" w:eastAsia="宋体" w:cs="宋体"/>
                <w:b/>
                <w:bCs/>
                <w:i w:val="0"/>
                <w:iCs w:val="0"/>
                <w:caps w:val="0"/>
                <w:color w:val="auto"/>
                <w:spacing w:val="0"/>
                <w:w w:val="100"/>
                <w:position w:val="0"/>
                <w:sz w:val="21"/>
                <w:szCs w:val="21"/>
                <w:highlight w:val="none"/>
              </w:rPr>
              <w:t>不足1%的按比例扣分。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2</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分部分项工程量清单项目综合单价（满分</w:t>
            </w:r>
            <w:r>
              <w:rPr>
                <w:rFonts w:hint="eastAsia" w:ascii="宋体" w:hAnsi="宋体" w:eastAsia="宋体" w:cs="宋体"/>
                <w:i w:val="0"/>
                <w:iCs w:val="0"/>
                <w:caps w:val="0"/>
                <w:color w:val="auto"/>
                <w:spacing w:val="0"/>
                <w:w w:val="100"/>
                <w:position w:val="0"/>
                <w:sz w:val="21"/>
                <w:szCs w:val="21"/>
                <w:highlight w:val="none"/>
                <w:lang w:val="en-US" w:eastAsia="zh-CN"/>
              </w:rPr>
              <w:t>1</w:t>
            </w:r>
            <w:r>
              <w:rPr>
                <w:rFonts w:hint="eastAsia" w:ascii="宋体" w:hAnsi="宋体" w:eastAsia="宋体" w:cs="宋体"/>
                <w:i w:val="0"/>
                <w:iCs w:val="0"/>
                <w:caps w:val="0"/>
                <w:color w:val="auto"/>
                <w:spacing w:val="0"/>
                <w:w w:val="100"/>
                <w:position w:val="0"/>
                <w:sz w:val="21"/>
                <w:szCs w:val="21"/>
                <w:highlight w:val="none"/>
              </w:rPr>
              <w:t>0分）</w:t>
            </w:r>
          </w:p>
        </w:tc>
        <w:tc>
          <w:tcPr>
            <w:tcW w:w="5702" w:type="dxa"/>
            <w:gridSpan w:val="3"/>
            <w:shd w:val="clear" w:color="auto" w:fill="auto"/>
            <w:vAlign w:val="center"/>
          </w:tcPr>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①</w:t>
            </w:r>
            <w:r>
              <w:rPr>
                <w:rFonts w:hint="eastAsia" w:ascii="宋体" w:hAnsi="宋体" w:eastAsia="宋体" w:cs="宋体"/>
                <w:i w:val="0"/>
                <w:iCs w:val="0"/>
                <w:caps w:val="0"/>
                <w:color w:val="auto"/>
                <w:spacing w:val="0"/>
                <w:w w:val="100"/>
                <w:position w:val="0"/>
                <w:sz w:val="21"/>
                <w:szCs w:val="21"/>
                <w:highlight w:val="none"/>
                <w:lang w:val="en-US" w:eastAsia="zh-CN"/>
              </w:rPr>
              <w:t>基准价的计算方法见附件</w:t>
            </w:r>
            <w:r>
              <w:rPr>
                <w:rFonts w:hint="eastAsia" w:ascii="宋体" w:hAnsi="宋体" w:eastAsia="宋体" w:cs="宋体"/>
                <w:i w:val="0"/>
                <w:iCs w:val="0"/>
                <w:caps w:val="0"/>
                <w:color w:val="auto"/>
                <w:spacing w:val="0"/>
                <w:w w:val="100"/>
                <w:position w:val="0"/>
                <w:sz w:val="21"/>
                <w:szCs w:val="21"/>
                <w:highlight w:val="none"/>
              </w:rPr>
              <w:t>。</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②各项清单偏差率在</w:t>
            </w:r>
            <w:r>
              <w:rPr>
                <w:rFonts w:hint="eastAsia" w:ascii="宋体" w:hAnsi="宋体" w:eastAsia="宋体" w:cs="宋体"/>
                <w:i w:val="0"/>
                <w:iCs w:val="0"/>
                <w:caps w:val="0"/>
                <w:color w:val="auto"/>
                <w:spacing w:val="0"/>
                <w:w w:val="100"/>
                <w:position w:val="0"/>
                <w:sz w:val="21"/>
                <w:szCs w:val="21"/>
                <w:highlight w:val="none"/>
                <w:lang w:val="en-US" w:eastAsia="zh-CN"/>
              </w:rPr>
              <w:t>95</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不</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9</w:t>
            </w:r>
            <w:r>
              <w:rPr>
                <w:rFonts w:hint="eastAsia" w:ascii="宋体" w:hAnsi="宋体" w:eastAsia="宋体" w:cs="宋体"/>
                <w:i w:val="0"/>
                <w:iCs w:val="0"/>
                <w:caps w:val="0"/>
                <w:color w:val="auto"/>
                <w:spacing w:val="0"/>
                <w:w w:val="100"/>
                <w:position w:val="0"/>
                <w:sz w:val="21"/>
                <w:szCs w:val="21"/>
                <w:highlight w:val="none"/>
              </w:rPr>
              <w:t xml:space="preserve">5%）～ </w:t>
            </w:r>
            <w:r>
              <w:rPr>
                <w:rFonts w:hint="eastAsia" w:ascii="宋体" w:hAnsi="宋体" w:eastAsia="宋体" w:cs="宋体"/>
                <w:i w:val="0"/>
                <w:iCs w:val="0"/>
                <w:caps w:val="0"/>
                <w:color w:val="auto"/>
                <w:spacing w:val="0"/>
                <w:w w:val="100"/>
                <w:position w:val="0"/>
                <w:sz w:val="21"/>
                <w:szCs w:val="21"/>
                <w:highlight w:val="none"/>
                <w:lang w:val="en-US" w:eastAsia="zh-CN"/>
              </w:rPr>
              <w:t>103</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103</w:t>
            </w:r>
            <w:r>
              <w:rPr>
                <w:rFonts w:hint="eastAsia" w:ascii="宋体" w:hAnsi="宋体" w:eastAsia="宋体" w:cs="宋体"/>
                <w:i w:val="0"/>
                <w:iCs w:val="0"/>
                <w:caps w:val="0"/>
                <w:color w:val="auto"/>
                <w:spacing w:val="0"/>
                <w:w w:val="100"/>
                <w:position w:val="0"/>
                <w:sz w:val="21"/>
                <w:szCs w:val="21"/>
                <w:highlight w:val="none"/>
              </w:rPr>
              <w:t>%）范围内的，该项</w:t>
            </w:r>
            <w:r>
              <w:rPr>
                <w:rFonts w:hint="eastAsia" w:ascii="宋体" w:hAnsi="宋体" w:eastAsia="宋体" w:cs="宋体"/>
                <w:i w:val="0"/>
                <w:iCs w:val="0"/>
                <w:caps w:val="0"/>
                <w:color w:val="auto"/>
                <w:spacing w:val="0"/>
                <w:w w:val="100"/>
                <w:position w:val="0"/>
                <w:sz w:val="21"/>
                <w:szCs w:val="21"/>
                <w:highlight w:val="none"/>
                <w:lang w:eastAsia="zh-CN"/>
              </w:rPr>
              <w:t>计分系数为</w:t>
            </w:r>
            <w:r>
              <w:rPr>
                <w:rFonts w:hint="eastAsia" w:ascii="宋体" w:hAnsi="宋体" w:eastAsia="宋体" w:cs="宋体"/>
                <w:i w:val="0"/>
                <w:iCs w:val="0"/>
                <w:caps w:val="0"/>
                <w:color w:val="auto"/>
                <w:spacing w:val="0"/>
                <w:w w:val="100"/>
                <w:position w:val="0"/>
                <w:sz w:val="21"/>
                <w:szCs w:val="21"/>
                <w:highlight w:val="none"/>
                <w:lang w:val="en-US" w:eastAsia="zh-CN"/>
              </w:rPr>
              <w:t>1；</w:t>
            </w:r>
            <w:r>
              <w:rPr>
                <w:rFonts w:hint="eastAsia" w:ascii="宋体" w:hAnsi="宋体" w:eastAsia="宋体" w:cs="宋体"/>
                <w:i w:val="0"/>
                <w:iCs w:val="0"/>
                <w:caps w:val="0"/>
                <w:color w:val="auto"/>
                <w:spacing w:val="0"/>
                <w:w w:val="100"/>
                <w:position w:val="0"/>
                <w:sz w:val="21"/>
                <w:szCs w:val="21"/>
                <w:highlight w:val="none"/>
              </w:rPr>
              <w:t>清单偏差率在</w:t>
            </w:r>
            <w:r>
              <w:rPr>
                <w:rFonts w:hint="eastAsia" w:ascii="宋体" w:hAnsi="宋体" w:eastAsia="宋体" w:cs="宋体"/>
                <w:i w:val="0"/>
                <w:iCs w:val="0"/>
                <w:caps w:val="0"/>
                <w:color w:val="auto"/>
                <w:spacing w:val="0"/>
                <w:w w:val="100"/>
                <w:position w:val="0"/>
                <w:sz w:val="21"/>
                <w:szCs w:val="21"/>
                <w:highlight w:val="none"/>
                <w:lang w:val="en-US" w:eastAsia="zh-CN"/>
              </w:rPr>
              <w:t>93</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93</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95</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9</w:t>
            </w:r>
            <w:r>
              <w:rPr>
                <w:rFonts w:hint="eastAsia" w:ascii="宋体" w:hAnsi="宋体" w:eastAsia="宋体" w:cs="宋体"/>
                <w:i w:val="0"/>
                <w:iCs w:val="0"/>
                <w:caps w:val="0"/>
                <w:color w:val="auto"/>
                <w:spacing w:val="0"/>
                <w:w w:val="100"/>
                <w:position w:val="0"/>
                <w:sz w:val="21"/>
                <w:szCs w:val="21"/>
                <w:highlight w:val="none"/>
              </w:rPr>
              <w:t>5%）范围内的，该项</w:t>
            </w:r>
            <w:r>
              <w:rPr>
                <w:rFonts w:hint="eastAsia" w:ascii="宋体" w:hAnsi="宋体" w:eastAsia="宋体" w:cs="宋体"/>
                <w:i w:val="0"/>
                <w:iCs w:val="0"/>
                <w:caps w:val="0"/>
                <w:color w:val="auto"/>
                <w:spacing w:val="0"/>
                <w:w w:val="100"/>
                <w:position w:val="0"/>
                <w:sz w:val="21"/>
                <w:szCs w:val="21"/>
                <w:highlight w:val="none"/>
                <w:lang w:eastAsia="zh-CN"/>
              </w:rPr>
              <w:t>计分系数为</w:t>
            </w:r>
            <w:r>
              <w:rPr>
                <w:rFonts w:hint="eastAsia" w:ascii="宋体" w:hAnsi="宋体" w:eastAsia="宋体" w:cs="宋体"/>
                <w:i w:val="0"/>
                <w:iCs w:val="0"/>
                <w:caps w:val="0"/>
                <w:color w:val="auto"/>
                <w:spacing w:val="0"/>
                <w:w w:val="100"/>
                <w:position w:val="0"/>
                <w:sz w:val="21"/>
                <w:szCs w:val="21"/>
                <w:highlight w:val="none"/>
              </w:rPr>
              <w:t>0.5；超出该范围的，不得分。</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③汇总所有分部分项清单的得分。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3</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lang w:val="en-US" w:eastAsia="zh-CN"/>
              </w:rPr>
              <w:t>投标报价材料单价</w:t>
            </w:r>
            <w:r>
              <w:rPr>
                <w:rFonts w:hint="eastAsia" w:ascii="宋体" w:hAnsi="宋体" w:eastAsia="宋体" w:cs="宋体"/>
                <w:i w:val="0"/>
                <w:iCs w:val="0"/>
                <w:caps w:val="0"/>
                <w:color w:val="auto"/>
                <w:spacing w:val="0"/>
                <w:w w:val="100"/>
                <w:position w:val="0"/>
                <w:sz w:val="21"/>
                <w:szCs w:val="21"/>
                <w:highlight w:val="none"/>
              </w:rPr>
              <w:t>（满分</w:t>
            </w:r>
            <w:r>
              <w:rPr>
                <w:rFonts w:hint="eastAsia" w:ascii="宋体" w:hAnsi="宋体" w:eastAsia="宋体" w:cs="宋体"/>
                <w:i w:val="0"/>
                <w:iCs w:val="0"/>
                <w:caps w:val="0"/>
                <w:color w:val="auto"/>
                <w:spacing w:val="0"/>
                <w:w w:val="100"/>
                <w:position w:val="0"/>
                <w:sz w:val="21"/>
                <w:szCs w:val="21"/>
                <w:highlight w:val="none"/>
                <w:lang w:val="en-US" w:eastAsia="zh-CN"/>
              </w:rPr>
              <w:t>5</w:t>
            </w:r>
            <w:r>
              <w:rPr>
                <w:rFonts w:hint="eastAsia" w:ascii="宋体" w:hAnsi="宋体" w:eastAsia="宋体" w:cs="宋体"/>
                <w:i w:val="0"/>
                <w:iCs w:val="0"/>
                <w:caps w:val="0"/>
                <w:color w:val="auto"/>
                <w:spacing w:val="0"/>
                <w:w w:val="100"/>
                <w:position w:val="0"/>
                <w:sz w:val="21"/>
                <w:szCs w:val="21"/>
                <w:highlight w:val="none"/>
              </w:rPr>
              <w:t>分）</w:t>
            </w:r>
          </w:p>
        </w:tc>
        <w:tc>
          <w:tcPr>
            <w:tcW w:w="5702" w:type="dxa"/>
            <w:gridSpan w:val="3"/>
            <w:shd w:val="clear" w:color="auto" w:fill="auto"/>
            <w:vAlign w:val="center"/>
          </w:tcPr>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①</w:t>
            </w:r>
            <w:r>
              <w:rPr>
                <w:rFonts w:hint="eastAsia" w:ascii="宋体" w:hAnsi="宋体" w:eastAsia="宋体" w:cs="宋体"/>
                <w:i w:val="0"/>
                <w:iCs w:val="0"/>
                <w:caps w:val="0"/>
                <w:color w:val="auto"/>
                <w:spacing w:val="0"/>
                <w:w w:val="100"/>
                <w:position w:val="0"/>
                <w:sz w:val="21"/>
                <w:szCs w:val="21"/>
                <w:highlight w:val="none"/>
                <w:lang w:val="en-US" w:eastAsia="zh-CN"/>
              </w:rPr>
              <w:t>基准价的计算方法见附件</w:t>
            </w:r>
            <w:r>
              <w:rPr>
                <w:rFonts w:hint="eastAsia" w:ascii="宋体" w:hAnsi="宋体" w:eastAsia="宋体" w:cs="宋体"/>
                <w:i w:val="0"/>
                <w:iCs w:val="0"/>
                <w:caps w:val="0"/>
                <w:color w:val="auto"/>
                <w:spacing w:val="0"/>
                <w:w w:val="100"/>
                <w:position w:val="0"/>
                <w:sz w:val="21"/>
                <w:szCs w:val="21"/>
                <w:highlight w:val="none"/>
              </w:rPr>
              <w:t>。</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②各项</w:t>
            </w:r>
            <w:r>
              <w:rPr>
                <w:rFonts w:hint="eastAsia" w:ascii="宋体" w:hAnsi="宋体" w:eastAsia="宋体" w:cs="宋体"/>
                <w:i w:val="0"/>
                <w:iCs w:val="0"/>
                <w:caps w:val="0"/>
                <w:color w:val="auto"/>
                <w:spacing w:val="0"/>
                <w:w w:val="100"/>
                <w:position w:val="0"/>
                <w:sz w:val="21"/>
                <w:szCs w:val="21"/>
                <w:highlight w:val="none"/>
                <w:lang w:val="en-US" w:eastAsia="zh-CN"/>
              </w:rPr>
              <w:t>材料</w:t>
            </w:r>
            <w:r>
              <w:rPr>
                <w:rFonts w:hint="eastAsia" w:ascii="宋体" w:hAnsi="宋体" w:eastAsia="宋体" w:cs="宋体"/>
                <w:i w:val="0"/>
                <w:iCs w:val="0"/>
                <w:caps w:val="0"/>
                <w:color w:val="auto"/>
                <w:spacing w:val="0"/>
                <w:w w:val="100"/>
                <w:position w:val="0"/>
                <w:sz w:val="21"/>
                <w:szCs w:val="21"/>
                <w:highlight w:val="none"/>
              </w:rPr>
              <w:t>偏差率在</w:t>
            </w:r>
            <w:r>
              <w:rPr>
                <w:rFonts w:hint="eastAsia" w:ascii="宋体" w:hAnsi="宋体" w:eastAsia="宋体" w:cs="宋体"/>
                <w:i w:val="0"/>
                <w:iCs w:val="0"/>
                <w:caps w:val="0"/>
                <w:color w:val="auto"/>
                <w:spacing w:val="0"/>
                <w:w w:val="100"/>
                <w:position w:val="0"/>
                <w:sz w:val="21"/>
                <w:szCs w:val="21"/>
                <w:highlight w:val="none"/>
                <w:lang w:val="en-US" w:eastAsia="zh-CN"/>
              </w:rPr>
              <w:t>95</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不</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9</w:t>
            </w:r>
            <w:r>
              <w:rPr>
                <w:rFonts w:hint="eastAsia" w:ascii="宋体" w:hAnsi="宋体" w:eastAsia="宋体" w:cs="宋体"/>
                <w:i w:val="0"/>
                <w:iCs w:val="0"/>
                <w:caps w:val="0"/>
                <w:color w:val="auto"/>
                <w:spacing w:val="0"/>
                <w:w w:val="100"/>
                <w:position w:val="0"/>
                <w:sz w:val="21"/>
                <w:szCs w:val="21"/>
                <w:highlight w:val="none"/>
              </w:rPr>
              <w:t xml:space="preserve">5%）～ </w:t>
            </w:r>
            <w:r>
              <w:rPr>
                <w:rFonts w:hint="eastAsia" w:ascii="宋体" w:hAnsi="宋体" w:eastAsia="宋体" w:cs="宋体"/>
                <w:i w:val="0"/>
                <w:iCs w:val="0"/>
                <w:caps w:val="0"/>
                <w:color w:val="auto"/>
                <w:spacing w:val="0"/>
                <w:w w:val="100"/>
                <w:position w:val="0"/>
                <w:sz w:val="21"/>
                <w:szCs w:val="21"/>
                <w:highlight w:val="none"/>
                <w:lang w:val="en-US" w:eastAsia="zh-CN"/>
              </w:rPr>
              <w:t>103</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103</w:t>
            </w:r>
            <w:r>
              <w:rPr>
                <w:rFonts w:hint="eastAsia" w:ascii="宋体" w:hAnsi="宋体" w:eastAsia="宋体" w:cs="宋体"/>
                <w:i w:val="0"/>
                <w:iCs w:val="0"/>
                <w:caps w:val="0"/>
                <w:color w:val="auto"/>
                <w:spacing w:val="0"/>
                <w:w w:val="100"/>
                <w:position w:val="0"/>
                <w:sz w:val="21"/>
                <w:szCs w:val="21"/>
                <w:highlight w:val="none"/>
              </w:rPr>
              <w:t>%）范围内的，该项</w:t>
            </w:r>
            <w:r>
              <w:rPr>
                <w:rFonts w:hint="eastAsia" w:ascii="宋体" w:hAnsi="宋体" w:eastAsia="宋体" w:cs="宋体"/>
                <w:i w:val="0"/>
                <w:iCs w:val="0"/>
                <w:caps w:val="0"/>
                <w:color w:val="auto"/>
                <w:spacing w:val="0"/>
                <w:w w:val="100"/>
                <w:position w:val="0"/>
                <w:sz w:val="21"/>
                <w:szCs w:val="21"/>
                <w:highlight w:val="none"/>
                <w:lang w:eastAsia="zh-CN"/>
              </w:rPr>
              <w:t>计分系数为</w:t>
            </w:r>
            <w:r>
              <w:rPr>
                <w:rFonts w:hint="eastAsia" w:ascii="宋体" w:hAnsi="宋体" w:eastAsia="宋体" w:cs="宋体"/>
                <w:i w:val="0"/>
                <w:iCs w:val="0"/>
                <w:caps w:val="0"/>
                <w:color w:val="auto"/>
                <w:spacing w:val="0"/>
                <w:w w:val="100"/>
                <w:position w:val="0"/>
                <w:sz w:val="21"/>
                <w:szCs w:val="21"/>
                <w:highlight w:val="none"/>
                <w:lang w:val="en-US" w:eastAsia="zh-CN"/>
              </w:rPr>
              <w:t>1</w:t>
            </w:r>
            <w:r>
              <w:rPr>
                <w:rFonts w:hint="eastAsia" w:ascii="宋体" w:hAnsi="宋体" w:eastAsia="宋体" w:cs="宋体"/>
                <w:i w:val="0"/>
                <w:iCs w:val="0"/>
                <w:caps w:val="0"/>
                <w:color w:val="auto"/>
                <w:spacing w:val="0"/>
                <w:w w:val="100"/>
                <w:position w:val="0"/>
                <w:sz w:val="21"/>
                <w:szCs w:val="21"/>
                <w:highlight w:val="none"/>
              </w:rPr>
              <w:t>；清单偏差率在</w:t>
            </w:r>
            <w:r>
              <w:rPr>
                <w:rFonts w:hint="eastAsia" w:ascii="宋体" w:hAnsi="宋体" w:eastAsia="宋体" w:cs="宋体"/>
                <w:i w:val="0"/>
                <w:iCs w:val="0"/>
                <w:caps w:val="0"/>
                <w:color w:val="auto"/>
                <w:spacing w:val="0"/>
                <w:w w:val="100"/>
                <w:position w:val="0"/>
                <w:sz w:val="21"/>
                <w:szCs w:val="21"/>
                <w:highlight w:val="none"/>
                <w:lang w:val="en-US" w:eastAsia="zh-CN"/>
              </w:rPr>
              <w:t>93</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93</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95</w:t>
            </w:r>
            <w:r>
              <w:rPr>
                <w:rFonts w:hint="eastAsia" w:ascii="宋体" w:hAnsi="宋体" w:eastAsia="宋体" w:cs="宋体"/>
                <w:i w:val="0"/>
                <w:iCs w:val="0"/>
                <w:caps w:val="0"/>
                <w:color w:val="auto"/>
                <w:spacing w:val="0"/>
                <w:w w:val="100"/>
                <w:position w:val="0"/>
                <w:sz w:val="21"/>
                <w:szCs w:val="21"/>
                <w:highlight w:val="none"/>
              </w:rPr>
              <w:t>%（含</w:t>
            </w:r>
            <w:r>
              <w:rPr>
                <w:rFonts w:hint="eastAsia" w:ascii="宋体" w:hAnsi="宋体" w:eastAsia="宋体" w:cs="宋体"/>
                <w:i w:val="0"/>
                <w:iCs w:val="0"/>
                <w:caps w:val="0"/>
                <w:color w:val="auto"/>
                <w:spacing w:val="0"/>
                <w:w w:val="100"/>
                <w:position w:val="0"/>
                <w:sz w:val="21"/>
                <w:szCs w:val="21"/>
                <w:highlight w:val="none"/>
                <w:lang w:val="en-US" w:eastAsia="zh-CN"/>
              </w:rPr>
              <w:t>9</w:t>
            </w:r>
            <w:r>
              <w:rPr>
                <w:rFonts w:hint="eastAsia" w:ascii="宋体" w:hAnsi="宋体" w:eastAsia="宋体" w:cs="宋体"/>
                <w:i w:val="0"/>
                <w:iCs w:val="0"/>
                <w:caps w:val="0"/>
                <w:color w:val="auto"/>
                <w:spacing w:val="0"/>
                <w:w w:val="100"/>
                <w:position w:val="0"/>
                <w:sz w:val="21"/>
                <w:szCs w:val="21"/>
                <w:highlight w:val="none"/>
              </w:rPr>
              <w:t>5%）范围内的，该项</w:t>
            </w:r>
            <w:r>
              <w:rPr>
                <w:rFonts w:hint="eastAsia" w:ascii="宋体" w:hAnsi="宋体" w:eastAsia="宋体" w:cs="宋体"/>
                <w:i w:val="0"/>
                <w:iCs w:val="0"/>
                <w:caps w:val="0"/>
                <w:color w:val="auto"/>
                <w:spacing w:val="0"/>
                <w:w w:val="100"/>
                <w:position w:val="0"/>
                <w:sz w:val="21"/>
                <w:szCs w:val="21"/>
                <w:highlight w:val="none"/>
                <w:lang w:eastAsia="zh-CN"/>
              </w:rPr>
              <w:t>计分系数为</w:t>
            </w:r>
            <w:r>
              <w:rPr>
                <w:rFonts w:hint="eastAsia" w:ascii="宋体" w:hAnsi="宋体" w:eastAsia="宋体" w:cs="宋体"/>
                <w:i w:val="0"/>
                <w:iCs w:val="0"/>
                <w:caps w:val="0"/>
                <w:color w:val="auto"/>
                <w:spacing w:val="0"/>
                <w:w w:val="100"/>
                <w:position w:val="0"/>
                <w:sz w:val="21"/>
                <w:szCs w:val="21"/>
                <w:highlight w:val="none"/>
              </w:rPr>
              <w:t>0.5；超出该范围的，不得分。</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③汇总所有</w:t>
            </w:r>
            <w:r>
              <w:rPr>
                <w:rFonts w:hint="eastAsia" w:ascii="宋体" w:hAnsi="宋体" w:eastAsia="宋体" w:cs="宋体"/>
                <w:i w:val="0"/>
                <w:iCs w:val="0"/>
                <w:caps w:val="0"/>
                <w:color w:val="auto"/>
                <w:spacing w:val="0"/>
                <w:w w:val="100"/>
                <w:position w:val="0"/>
                <w:sz w:val="21"/>
                <w:szCs w:val="21"/>
                <w:highlight w:val="none"/>
                <w:lang w:val="en-US" w:eastAsia="zh-CN"/>
              </w:rPr>
              <w:t>材料</w:t>
            </w:r>
            <w:r>
              <w:rPr>
                <w:rFonts w:hint="eastAsia" w:ascii="宋体" w:hAnsi="宋体" w:eastAsia="宋体" w:cs="宋体"/>
                <w:i w:val="0"/>
                <w:iCs w:val="0"/>
                <w:caps w:val="0"/>
                <w:color w:val="auto"/>
                <w:spacing w:val="0"/>
                <w:w w:val="100"/>
                <w:position w:val="0"/>
                <w:sz w:val="21"/>
                <w:szCs w:val="21"/>
                <w:highlight w:val="none"/>
              </w:rPr>
              <w:t>的得分。</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b/>
                <w:bCs/>
                <w:i w:val="0"/>
                <w:iCs w:val="0"/>
                <w:caps w:val="0"/>
                <w:color w:val="auto"/>
                <w:spacing w:val="0"/>
                <w:w w:val="100"/>
                <w:position w:val="0"/>
                <w:sz w:val="21"/>
                <w:szCs w:val="21"/>
                <w:highlight w:val="none"/>
              </w:rPr>
              <w:t>注：招标文件应提供工程量清单材料表。投标人漏报材料单价的，该投标人漏报项不参与材料单价基准价计算。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lang w:val="en-US" w:eastAsia="zh-CN"/>
              </w:rPr>
            </w:pP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4</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措施项目</w:t>
            </w:r>
            <w:r>
              <w:rPr>
                <w:rFonts w:hint="eastAsia" w:ascii="宋体" w:hAnsi="宋体" w:eastAsia="宋体" w:cs="宋体"/>
                <w:i w:val="0"/>
                <w:iCs w:val="0"/>
                <w:caps w:val="0"/>
                <w:color w:val="auto"/>
                <w:spacing w:val="0"/>
                <w:w w:val="100"/>
                <w:position w:val="0"/>
                <w:sz w:val="21"/>
                <w:szCs w:val="21"/>
                <w:highlight w:val="none"/>
                <w:lang w:val="en-US" w:eastAsia="zh-CN"/>
              </w:rPr>
              <w:t>费（不含安全文明施工措施费）</w:t>
            </w:r>
          </w:p>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（满分</w:t>
            </w:r>
            <w:r>
              <w:rPr>
                <w:rFonts w:hint="eastAsia" w:ascii="宋体" w:hAnsi="宋体" w:eastAsia="宋体" w:cs="宋体"/>
                <w:i w:val="0"/>
                <w:iCs w:val="0"/>
                <w:caps w:val="0"/>
                <w:color w:val="auto"/>
                <w:spacing w:val="0"/>
                <w:w w:val="100"/>
                <w:position w:val="0"/>
                <w:sz w:val="21"/>
                <w:szCs w:val="21"/>
                <w:highlight w:val="none"/>
                <w:lang w:val="en-US" w:eastAsia="zh-CN"/>
              </w:rPr>
              <w:t>5</w:t>
            </w:r>
            <w:r>
              <w:rPr>
                <w:rFonts w:hint="eastAsia" w:ascii="宋体" w:hAnsi="宋体" w:eastAsia="宋体" w:cs="宋体"/>
                <w:i w:val="0"/>
                <w:iCs w:val="0"/>
                <w:caps w:val="0"/>
                <w:color w:val="auto"/>
                <w:spacing w:val="0"/>
                <w:w w:val="100"/>
                <w:position w:val="0"/>
                <w:sz w:val="21"/>
                <w:szCs w:val="21"/>
                <w:highlight w:val="none"/>
              </w:rPr>
              <w:t>分）</w:t>
            </w:r>
          </w:p>
        </w:tc>
        <w:tc>
          <w:tcPr>
            <w:tcW w:w="5702" w:type="dxa"/>
            <w:gridSpan w:val="3"/>
            <w:shd w:val="clear" w:color="auto" w:fill="auto"/>
            <w:vAlign w:val="center"/>
          </w:tcPr>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①</w:t>
            </w:r>
            <w:r>
              <w:rPr>
                <w:rFonts w:hint="eastAsia" w:ascii="宋体" w:hAnsi="宋体" w:eastAsia="宋体" w:cs="宋体"/>
                <w:i w:val="0"/>
                <w:iCs w:val="0"/>
                <w:caps w:val="0"/>
                <w:color w:val="auto"/>
                <w:spacing w:val="0"/>
                <w:w w:val="100"/>
                <w:position w:val="0"/>
                <w:sz w:val="21"/>
                <w:szCs w:val="21"/>
                <w:highlight w:val="none"/>
                <w:lang w:val="en-US" w:eastAsia="zh-CN"/>
              </w:rPr>
              <w:t>基准价的计算方法见附件</w:t>
            </w:r>
            <w:r>
              <w:rPr>
                <w:rFonts w:hint="eastAsia" w:ascii="宋体" w:hAnsi="宋体" w:eastAsia="宋体" w:cs="宋体"/>
                <w:i w:val="0"/>
                <w:iCs w:val="0"/>
                <w:caps w:val="0"/>
                <w:color w:val="auto"/>
                <w:spacing w:val="0"/>
                <w:w w:val="100"/>
                <w:position w:val="0"/>
                <w:sz w:val="21"/>
                <w:szCs w:val="21"/>
                <w:highlight w:val="none"/>
              </w:rPr>
              <w:t>。</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lang w:eastAsia="zh-CN"/>
              </w:rPr>
            </w:pPr>
            <w:r>
              <w:rPr>
                <w:rFonts w:hint="eastAsia" w:ascii="宋体" w:hAnsi="宋体" w:eastAsia="宋体" w:cs="宋体"/>
                <w:i w:val="0"/>
                <w:iCs w:val="0"/>
                <w:caps w:val="0"/>
                <w:color w:val="auto"/>
                <w:spacing w:val="0"/>
                <w:w w:val="100"/>
                <w:position w:val="0"/>
                <w:sz w:val="21"/>
                <w:szCs w:val="21"/>
                <w:highlight w:val="none"/>
              </w:rPr>
              <w:t>②投标人的措施项目</w:t>
            </w:r>
            <w:r>
              <w:rPr>
                <w:rFonts w:hint="eastAsia" w:ascii="宋体" w:hAnsi="宋体" w:eastAsia="宋体" w:cs="宋体"/>
                <w:i w:val="0"/>
                <w:iCs w:val="0"/>
                <w:caps w:val="0"/>
                <w:color w:val="auto"/>
                <w:spacing w:val="0"/>
                <w:w w:val="100"/>
                <w:position w:val="0"/>
                <w:sz w:val="21"/>
                <w:szCs w:val="21"/>
                <w:highlight w:val="none"/>
                <w:lang w:val="en-US" w:eastAsia="zh-CN"/>
              </w:rPr>
              <w:t>费（不含安全文明施工措施费）报价与基准价相等</w:t>
            </w:r>
            <w:r>
              <w:rPr>
                <w:rFonts w:hint="eastAsia" w:ascii="宋体" w:hAnsi="宋体" w:eastAsia="宋体" w:cs="宋体"/>
                <w:i w:val="0"/>
                <w:iCs w:val="0"/>
                <w:caps w:val="0"/>
                <w:color w:val="auto"/>
                <w:spacing w:val="0"/>
                <w:w w:val="100"/>
                <w:position w:val="0"/>
                <w:sz w:val="21"/>
                <w:szCs w:val="21"/>
                <w:highlight w:val="none"/>
              </w:rPr>
              <w:t>的得</w:t>
            </w:r>
            <w:r>
              <w:rPr>
                <w:rFonts w:hint="eastAsia" w:ascii="宋体" w:hAnsi="宋体" w:eastAsia="宋体" w:cs="宋体"/>
                <w:i w:val="0"/>
                <w:iCs w:val="0"/>
                <w:caps w:val="0"/>
                <w:color w:val="auto"/>
                <w:spacing w:val="0"/>
                <w:w w:val="100"/>
                <w:position w:val="0"/>
                <w:sz w:val="21"/>
                <w:szCs w:val="21"/>
                <w:highlight w:val="none"/>
                <w:lang w:val="en-US" w:eastAsia="zh-CN"/>
              </w:rPr>
              <w:t>基础分</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3</w:t>
            </w:r>
            <w:r>
              <w:rPr>
                <w:rFonts w:hint="eastAsia" w:ascii="宋体" w:hAnsi="宋体" w:eastAsia="宋体" w:cs="宋体"/>
                <w:i w:val="0"/>
                <w:iCs w:val="0"/>
                <w:caps w:val="0"/>
                <w:color w:val="auto"/>
                <w:spacing w:val="0"/>
                <w:w w:val="100"/>
                <w:position w:val="0"/>
                <w:sz w:val="21"/>
                <w:szCs w:val="21"/>
                <w:highlight w:val="none"/>
              </w:rPr>
              <w:t>分）</w:t>
            </w:r>
            <w:r>
              <w:rPr>
                <w:rFonts w:hint="eastAsia" w:ascii="宋体" w:hAnsi="宋体" w:eastAsia="宋体" w:cs="宋体"/>
                <w:i w:val="0"/>
                <w:iCs w:val="0"/>
                <w:caps w:val="0"/>
                <w:color w:val="auto"/>
                <w:spacing w:val="0"/>
                <w:w w:val="100"/>
                <w:position w:val="0"/>
                <w:sz w:val="21"/>
                <w:szCs w:val="21"/>
                <w:highlight w:val="none"/>
                <w:lang w:eastAsia="zh-CN"/>
              </w:rPr>
              <w:t>；</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rPr>
              <w:t>低于基准价的，按每低于基准价1%</w:t>
            </w:r>
            <w:r>
              <w:rPr>
                <w:rFonts w:hint="eastAsia" w:ascii="宋体" w:hAnsi="宋体" w:eastAsia="宋体" w:cs="宋体"/>
                <w:i w:val="0"/>
                <w:iCs w:val="0"/>
                <w:caps w:val="0"/>
                <w:color w:val="auto"/>
                <w:spacing w:val="0"/>
                <w:w w:val="100"/>
                <w:position w:val="0"/>
                <w:sz w:val="21"/>
                <w:szCs w:val="21"/>
                <w:highlight w:val="none"/>
                <w:lang w:val="en-US" w:eastAsia="zh-CN"/>
              </w:rPr>
              <w:t>加0.1</w:t>
            </w:r>
            <w:r>
              <w:rPr>
                <w:rFonts w:hint="eastAsia" w:ascii="宋体" w:hAnsi="宋体" w:eastAsia="宋体" w:cs="宋体"/>
                <w:i w:val="0"/>
                <w:iCs w:val="0"/>
                <w:caps w:val="0"/>
                <w:color w:val="auto"/>
                <w:spacing w:val="0"/>
                <w:w w:val="100"/>
                <w:position w:val="0"/>
                <w:sz w:val="21"/>
                <w:szCs w:val="21"/>
                <w:highlight w:val="none"/>
              </w:rPr>
              <w:t>分的比例从</w:t>
            </w:r>
            <w:r>
              <w:rPr>
                <w:rFonts w:hint="eastAsia" w:ascii="宋体" w:hAnsi="宋体" w:eastAsia="宋体" w:cs="宋体"/>
                <w:i w:val="0"/>
                <w:iCs w:val="0"/>
                <w:caps w:val="0"/>
                <w:color w:val="auto"/>
                <w:spacing w:val="0"/>
                <w:w w:val="100"/>
                <w:position w:val="0"/>
                <w:sz w:val="21"/>
                <w:szCs w:val="21"/>
                <w:highlight w:val="none"/>
                <w:lang w:val="en-US" w:eastAsia="zh-CN"/>
              </w:rPr>
              <w:t>基础分</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3</w:t>
            </w:r>
            <w:r>
              <w:rPr>
                <w:rFonts w:hint="eastAsia" w:ascii="宋体" w:hAnsi="宋体" w:eastAsia="宋体" w:cs="宋体"/>
                <w:i w:val="0"/>
                <w:iCs w:val="0"/>
                <w:caps w:val="0"/>
                <w:color w:val="auto"/>
                <w:spacing w:val="0"/>
                <w:w w:val="100"/>
                <w:position w:val="0"/>
                <w:sz w:val="21"/>
                <w:szCs w:val="21"/>
                <w:highlight w:val="none"/>
              </w:rPr>
              <w:t>分）</w:t>
            </w:r>
            <w:r>
              <w:rPr>
                <w:rFonts w:hint="eastAsia" w:ascii="宋体" w:hAnsi="宋体" w:eastAsia="宋体" w:cs="宋体"/>
                <w:i w:val="0"/>
                <w:iCs w:val="0"/>
                <w:caps w:val="0"/>
                <w:color w:val="auto"/>
                <w:spacing w:val="0"/>
                <w:w w:val="100"/>
                <w:position w:val="0"/>
                <w:sz w:val="21"/>
                <w:szCs w:val="21"/>
                <w:highlight w:val="none"/>
                <w:lang w:val="en-US" w:eastAsia="zh-CN"/>
              </w:rPr>
              <w:t>的基础上加</w:t>
            </w:r>
            <w:r>
              <w:rPr>
                <w:rFonts w:hint="eastAsia" w:ascii="宋体" w:hAnsi="宋体" w:eastAsia="宋体" w:cs="宋体"/>
                <w:i w:val="0"/>
                <w:iCs w:val="0"/>
                <w:caps w:val="0"/>
                <w:color w:val="auto"/>
                <w:spacing w:val="0"/>
                <w:w w:val="100"/>
                <w:position w:val="0"/>
                <w:sz w:val="21"/>
                <w:szCs w:val="21"/>
                <w:highlight w:val="none"/>
              </w:rPr>
              <w:t>分，</w:t>
            </w:r>
            <w:r>
              <w:rPr>
                <w:rFonts w:hint="eastAsia" w:ascii="宋体" w:hAnsi="宋体" w:eastAsia="宋体" w:cs="宋体"/>
                <w:i w:val="0"/>
                <w:iCs w:val="0"/>
                <w:caps w:val="0"/>
                <w:color w:val="auto"/>
                <w:spacing w:val="0"/>
                <w:w w:val="100"/>
                <w:position w:val="0"/>
                <w:sz w:val="21"/>
                <w:szCs w:val="21"/>
                <w:highlight w:val="none"/>
                <w:lang w:val="en-US" w:eastAsia="zh-CN"/>
              </w:rPr>
              <w:t>最高加至5分</w:t>
            </w:r>
            <w:r>
              <w:rPr>
                <w:rFonts w:hint="eastAsia" w:ascii="宋体" w:hAnsi="宋体" w:eastAsia="宋体" w:cs="宋体"/>
                <w:i w:val="0"/>
                <w:iCs w:val="0"/>
                <w:caps w:val="0"/>
                <w:color w:val="auto"/>
                <w:spacing w:val="0"/>
                <w:w w:val="100"/>
                <w:position w:val="0"/>
                <w:sz w:val="21"/>
                <w:szCs w:val="21"/>
                <w:highlight w:val="none"/>
              </w:rPr>
              <w:t>为止；</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高</w:t>
            </w:r>
            <w:r>
              <w:rPr>
                <w:rFonts w:hint="eastAsia" w:ascii="宋体" w:hAnsi="宋体" w:eastAsia="宋体" w:cs="宋体"/>
                <w:i w:val="0"/>
                <w:iCs w:val="0"/>
                <w:caps w:val="0"/>
                <w:color w:val="auto"/>
                <w:spacing w:val="0"/>
                <w:w w:val="100"/>
                <w:position w:val="0"/>
                <w:sz w:val="21"/>
                <w:szCs w:val="21"/>
                <w:highlight w:val="none"/>
              </w:rPr>
              <w:t>于基准价的，按每高于基准价1%</w:t>
            </w:r>
            <w:r>
              <w:rPr>
                <w:rFonts w:hint="eastAsia" w:ascii="宋体" w:hAnsi="宋体" w:eastAsia="宋体" w:cs="宋体"/>
                <w:i w:val="0"/>
                <w:iCs w:val="0"/>
                <w:caps w:val="0"/>
                <w:color w:val="auto"/>
                <w:spacing w:val="0"/>
                <w:w w:val="100"/>
                <w:position w:val="0"/>
                <w:sz w:val="21"/>
                <w:szCs w:val="21"/>
                <w:highlight w:val="none"/>
                <w:lang w:val="en-US" w:eastAsia="zh-CN"/>
              </w:rPr>
              <w:t>扣0.1</w:t>
            </w:r>
            <w:r>
              <w:rPr>
                <w:rFonts w:hint="eastAsia" w:ascii="宋体" w:hAnsi="宋体" w:eastAsia="宋体" w:cs="宋体"/>
                <w:i w:val="0"/>
                <w:iCs w:val="0"/>
                <w:caps w:val="0"/>
                <w:color w:val="auto"/>
                <w:spacing w:val="0"/>
                <w:w w:val="100"/>
                <w:position w:val="0"/>
                <w:sz w:val="21"/>
                <w:szCs w:val="21"/>
                <w:highlight w:val="none"/>
              </w:rPr>
              <w:t>分的比例从</w:t>
            </w:r>
            <w:r>
              <w:rPr>
                <w:rFonts w:hint="eastAsia" w:ascii="宋体" w:hAnsi="宋体" w:eastAsia="宋体" w:cs="宋体"/>
                <w:i w:val="0"/>
                <w:iCs w:val="0"/>
                <w:caps w:val="0"/>
                <w:color w:val="auto"/>
                <w:spacing w:val="0"/>
                <w:w w:val="100"/>
                <w:position w:val="0"/>
                <w:sz w:val="21"/>
                <w:szCs w:val="21"/>
                <w:highlight w:val="none"/>
                <w:lang w:val="en-US" w:eastAsia="zh-CN"/>
              </w:rPr>
              <w:t>基础分</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3</w:t>
            </w:r>
            <w:r>
              <w:rPr>
                <w:rFonts w:hint="eastAsia" w:ascii="宋体" w:hAnsi="宋体" w:eastAsia="宋体" w:cs="宋体"/>
                <w:i w:val="0"/>
                <w:iCs w:val="0"/>
                <w:caps w:val="0"/>
                <w:color w:val="auto"/>
                <w:spacing w:val="0"/>
                <w:w w:val="100"/>
                <w:position w:val="0"/>
                <w:sz w:val="21"/>
                <w:szCs w:val="21"/>
                <w:highlight w:val="none"/>
              </w:rPr>
              <w:t>分）</w:t>
            </w:r>
            <w:r>
              <w:rPr>
                <w:rFonts w:hint="eastAsia" w:ascii="宋体" w:hAnsi="宋体" w:eastAsia="宋体" w:cs="宋体"/>
                <w:i w:val="0"/>
                <w:iCs w:val="0"/>
                <w:caps w:val="0"/>
                <w:color w:val="auto"/>
                <w:spacing w:val="0"/>
                <w:w w:val="100"/>
                <w:position w:val="0"/>
                <w:sz w:val="21"/>
                <w:szCs w:val="21"/>
                <w:highlight w:val="none"/>
                <w:lang w:val="en-US" w:eastAsia="zh-CN"/>
              </w:rPr>
              <w:t>的基础上</w:t>
            </w:r>
            <w:r>
              <w:rPr>
                <w:rFonts w:hint="eastAsia" w:ascii="宋体" w:hAnsi="宋体" w:eastAsia="宋体" w:cs="宋体"/>
                <w:i w:val="0"/>
                <w:iCs w:val="0"/>
                <w:caps w:val="0"/>
                <w:color w:val="auto"/>
                <w:spacing w:val="0"/>
                <w:w w:val="100"/>
                <w:position w:val="0"/>
                <w:sz w:val="21"/>
                <w:szCs w:val="21"/>
                <w:highlight w:val="none"/>
              </w:rPr>
              <w:t>进行扣分，扣完为止。</w:t>
            </w:r>
          </w:p>
          <w:p>
            <w:pPr>
              <w:keepNext w:val="0"/>
              <w:keepLines w:val="0"/>
              <w:pageBreakBefore w:val="0"/>
              <w:kinsoku/>
              <w:wordWrap w:val="0"/>
              <w:overflowPunct/>
              <w:topLinePunct w:val="0"/>
              <w:bidi w:val="0"/>
              <w:spacing w:line="360" w:lineRule="auto"/>
              <w:jc w:val="left"/>
              <w:textAlignment w:val="auto"/>
              <w:rPr>
                <w:rFonts w:hint="eastAsia" w:ascii="宋体" w:hAnsi="宋体" w:eastAsia="宋体" w:cs="宋体"/>
                <w:i w:val="0"/>
                <w:iCs w:val="0"/>
                <w:caps w:val="0"/>
                <w:color w:val="auto"/>
                <w:spacing w:val="0"/>
                <w:w w:val="100"/>
                <w:position w:val="0"/>
                <w:sz w:val="21"/>
                <w:szCs w:val="21"/>
                <w:highlight w:val="none"/>
              </w:rPr>
            </w:pPr>
            <w:r>
              <w:rPr>
                <w:rFonts w:hint="eastAsia" w:ascii="宋体" w:hAnsi="宋体" w:eastAsia="宋体" w:cs="宋体"/>
                <w:b/>
                <w:bCs/>
                <w:i w:val="0"/>
                <w:iCs w:val="0"/>
                <w:caps w:val="0"/>
                <w:color w:val="auto"/>
                <w:spacing w:val="0"/>
                <w:w w:val="100"/>
                <w:position w:val="0"/>
                <w:sz w:val="21"/>
                <w:szCs w:val="21"/>
                <w:highlight w:val="none"/>
                <w:lang w:val="en-US" w:eastAsia="zh-CN"/>
              </w:rPr>
              <w:t>注：</w:t>
            </w:r>
            <w:r>
              <w:rPr>
                <w:rFonts w:hint="eastAsia" w:ascii="宋体" w:hAnsi="宋体" w:eastAsia="宋体" w:cs="宋体"/>
                <w:b/>
                <w:bCs/>
                <w:i w:val="0"/>
                <w:iCs w:val="0"/>
                <w:caps w:val="0"/>
                <w:color w:val="auto"/>
                <w:spacing w:val="0"/>
                <w:w w:val="100"/>
                <w:position w:val="0"/>
                <w:sz w:val="21"/>
                <w:szCs w:val="21"/>
                <w:highlight w:val="none"/>
              </w:rPr>
              <w:t>不足1%的按比例扣分。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restart"/>
            <w:shd w:val="clear" w:color="auto" w:fill="auto"/>
            <w:vAlign w:val="center"/>
          </w:tcPr>
          <w:p>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.2.4</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p>
            <w:pPr>
              <w:spacing w:line="360" w:lineRule="auto"/>
              <w:jc w:val="center"/>
              <w:rPr>
                <w:rFonts w:hint="eastAsia" w:ascii="宋体" w:hAnsi="宋体" w:eastAsia="宋体" w:cs="宋体"/>
                <w:color w:val="auto"/>
                <w:szCs w:val="21"/>
                <w:highlight w:val="none"/>
              </w:rPr>
            </w:pPr>
          </w:p>
        </w:tc>
        <w:tc>
          <w:tcPr>
            <w:tcW w:w="1377" w:type="dxa"/>
            <w:gridSpan w:val="2"/>
            <w:vMerge w:val="restart"/>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综合标</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（总分</w:t>
            </w:r>
            <w:r>
              <w:rPr>
                <w:rFonts w:hint="eastAsia" w:ascii="宋体" w:hAnsi="宋体" w:eastAsia="宋体" w:cs="宋体"/>
                <w:color w:val="auto"/>
                <w:spacing w:val="0"/>
                <w:w w:val="100"/>
                <w:position w:val="0"/>
                <w:sz w:val="21"/>
                <w:szCs w:val="21"/>
                <w:highlight w:val="none"/>
                <w:lang w:val="en-US" w:eastAsia="zh-CN"/>
              </w:rPr>
              <w:t>3</w:t>
            </w:r>
            <w:r>
              <w:rPr>
                <w:rFonts w:hint="eastAsia" w:ascii="宋体" w:hAnsi="宋体" w:eastAsia="宋体" w:cs="宋体"/>
                <w:color w:val="auto"/>
                <w:spacing w:val="0"/>
                <w:w w:val="100"/>
                <w:position w:val="0"/>
                <w:sz w:val="21"/>
                <w:szCs w:val="21"/>
                <w:highlight w:val="none"/>
              </w:rPr>
              <w:t>0分）</w:t>
            </w:r>
          </w:p>
        </w:tc>
        <w:tc>
          <w:tcPr>
            <w:tcW w:w="1200" w:type="dxa"/>
            <w:gridSpan w:val="2"/>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i w:val="0"/>
                <w:iCs w:val="0"/>
                <w:caps w:val="0"/>
                <w:color w:val="auto"/>
                <w:spacing w:val="0"/>
                <w:w w:val="100"/>
                <w:position w:val="0"/>
                <w:sz w:val="21"/>
                <w:szCs w:val="21"/>
                <w:highlight w:val="none"/>
              </w:rPr>
              <w:t>项目</w:t>
            </w:r>
          </w:p>
        </w:tc>
        <w:tc>
          <w:tcPr>
            <w:tcW w:w="3879"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评审标准</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评审计分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36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i w:val="0"/>
                <w:iCs w:val="0"/>
                <w:caps w:val="0"/>
                <w:color w:val="auto"/>
                <w:spacing w:val="0"/>
                <w:w w:val="100"/>
                <w:position w:val="0"/>
                <w:sz w:val="21"/>
                <w:szCs w:val="21"/>
                <w:highlight w:val="none"/>
              </w:rPr>
              <w:t>企业业绩</w:t>
            </w:r>
            <w:r>
              <w:rPr>
                <w:rFonts w:hint="eastAsia" w:cs="宋体"/>
                <w:i w:val="0"/>
                <w:iCs w:val="0"/>
                <w:caps w:val="0"/>
                <w:color w:val="auto"/>
                <w:spacing w:val="0"/>
                <w:w w:val="100"/>
                <w:position w:val="0"/>
                <w:sz w:val="21"/>
                <w:szCs w:val="21"/>
                <w:highlight w:val="none"/>
                <w:lang w:eastAsia="zh-CN"/>
              </w:rPr>
              <w:t>（</w:t>
            </w:r>
            <w:r>
              <w:rPr>
                <w:rFonts w:hint="eastAsia" w:cs="宋体"/>
                <w:i w:val="0"/>
                <w:iCs w:val="0"/>
                <w:caps w:val="0"/>
                <w:color w:val="auto"/>
                <w:spacing w:val="0"/>
                <w:w w:val="100"/>
                <w:position w:val="0"/>
                <w:sz w:val="21"/>
                <w:szCs w:val="21"/>
                <w:highlight w:val="none"/>
                <w:lang w:val="en-US" w:eastAsia="zh-CN"/>
              </w:rPr>
              <w:t>2分</w:t>
            </w:r>
            <w:r>
              <w:rPr>
                <w:rFonts w:hint="eastAsia" w:cs="宋体"/>
                <w:i w:val="0"/>
                <w:iCs w:val="0"/>
                <w:caps w:val="0"/>
                <w:color w:val="auto"/>
                <w:spacing w:val="0"/>
                <w:w w:val="100"/>
                <w:position w:val="0"/>
                <w:sz w:val="21"/>
                <w:szCs w:val="21"/>
                <w:highlight w:val="none"/>
                <w:lang w:eastAsia="zh-CN"/>
              </w:rPr>
              <w:t>）</w:t>
            </w:r>
          </w:p>
        </w:tc>
        <w:tc>
          <w:tcPr>
            <w:tcW w:w="3879"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依据招标文件设定的标准评审</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0≤得分≤2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restart"/>
            <w:shd w:val="clear" w:color="auto" w:fill="auto"/>
            <w:vAlign w:val="center"/>
          </w:tcPr>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color w:val="auto"/>
                <w:highlight w:val="none"/>
                <w:lang w:eastAsia="zh-CN"/>
              </w:rPr>
            </w:pPr>
            <w:r>
              <w:rPr>
                <w:rFonts w:hint="eastAsia" w:ascii="宋体" w:hAnsi="宋体" w:eastAsia="宋体" w:cs="宋体"/>
                <w:i w:val="0"/>
                <w:iCs w:val="0"/>
                <w:caps w:val="0"/>
                <w:color w:val="auto"/>
                <w:spacing w:val="0"/>
                <w:w w:val="100"/>
                <w:position w:val="0"/>
                <w:sz w:val="21"/>
                <w:szCs w:val="21"/>
                <w:highlight w:val="none"/>
              </w:rPr>
              <w:t>企业既往项目人员在岗情况</w:t>
            </w:r>
            <w:r>
              <w:rPr>
                <w:rFonts w:hint="eastAsia" w:ascii="宋体" w:hAnsi="宋体" w:cs="宋体"/>
                <w:i w:val="0"/>
                <w:iCs w:val="0"/>
                <w:caps w:val="0"/>
                <w:color w:val="auto"/>
                <w:spacing w:val="0"/>
                <w:w w:val="100"/>
                <w:position w:val="0"/>
                <w:sz w:val="21"/>
                <w:szCs w:val="21"/>
                <w:highlight w:val="none"/>
                <w:lang w:eastAsia="zh-CN"/>
              </w:rPr>
              <w:t>（</w:t>
            </w:r>
            <w:r>
              <w:rPr>
                <w:rFonts w:hint="eastAsia" w:ascii="宋体" w:hAnsi="宋体" w:cs="宋体"/>
                <w:i w:val="0"/>
                <w:iCs w:val="0"/>
                <w:caps w:val="0"/>
                <w:color w:val="auto"/>
                <w:spacing w:val="0"/>
                <w:w w:val="100"/>
                <w:position w:val="0"/>
                <w:sz w:val="21"/>
                <w:szCs w:val="21"/>
                <w:highlight w:val="none"/>
                <w:lang w:val="en-US" w:eastAsia="zh-CN"/>
              </w:rPr>
              <w:t>8分</w:t>
            </w:r>
            <w:r>
              <w:rPr>
                <w:rFonts w:hint="eastAsia" w:ascii="宋体" w:hAnsi="宋体" w:cs="宋体"/>
                <w:i w:val="0"/>
                <w:iCs w:val="0"/>
                <w:caps w:val="0"/>
                <w:color w:val="auto"/>
                <w:spacing w:val="0"/>
                <w:w w:val="100"/>
                <w:position w:val="0"/>
                <w:sz w:val="21"/>
                <w:szCs w:val="21"/>
                <w:highlight w:val="none"/>
                <w:lang w:eastAsia="zh-CN"/>
              </w:rPr>
              <w:t>）</w:t>
            </w:r>
          </w:p>
        </w:tc>
        <w:tc>
          <w:tcPr>
            <w:tcW w:w="1520" w:type="dxa"/>
            <w:vMerge w:val="restart"/>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企业项目经理实名制平均考勤率</w:t>
            </w:r>
          </w:p>
        </w:tc>
        <w:tc>
          <w:tcPr>
            <w:tcW w:w="2359" w:type="dxa"/>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平均考勤率≥80%</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1520" w:type="dxa"/>
            <w:vMerge w:val="continue"/>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p>
        </w:tc>
        <w:tc>
          <w:tcPr>
            <w:tcW w:w="2359" w:type="dxa"/>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80%</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平均考勤</w:t>
            </w:r>
            <w:r>
              <w:rPr>
                <w:rFonts w:hint="eastAsia" w:ascii="宋体" w:hAnsi="宋体" w:eastAsia="宋体" w:cs="宋体"/>
                <w:i w:val="0"/>
                <w:iCs w:val="0"/>
                <w:caps w:val="0"/>
                <w:color w:val="auto"/>
                <w:spacing w:val="0"/>
                <w:w w:val="100"/>
                <w:position w:val="0"/>
                <w:sz w:val="21"/>
                <w:szCs w:val="21"/>
                <w:highlight w:val="none"/>
                <w:lang w:val="en-US" w:eastAsia="zh-CN"/>
              </w:rPr>
              <w:t>率</w:t>
            </w:r>
            <w:r>
              <w:rPr>
                <w:rFonts w:hint="eastAsia" w:ascii="宋体" w:hAnsi="宋体" w:eastAsia="宋体" w:cs="宋体"/>
                <w:i w:val="0"/>
                <w:iCs w:val="0"/>
                <w:caps w:val="0"/>
                <w:color w:val="auto"/>
                <w:spacing w:val="0"/>
                <w:w w:val="100"/>
                <w:position w:val="0"/>
                <w:sz w:val="21"/>
                <w:szCs w:val="21"/>
                <w:highlight w:val="none"/>
              </w:rPr>
              <w:t>≥30%</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8×（平均考勤率-30%）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1520" w:type="dxa"/>
            <w:vMerge w:val="continue"/>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p>
        </w:tc>
        <w:tc>
          <w:tcPr>
            <w:tcW w:w="2359" w:type="dxa"/>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平均考勤率</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30%</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1520" w:type="dxa"/>
            <w:vMerge w:val="restart"/>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企业项目建筑工人实名制平均考勤率</w:t>
            </w:r>
          </w:p>
        </w:tc>
        <w:tc>
          <w:tcPr>
            <w:tcW w:w="2359" w:type="dxa"/>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平均考勤率</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80%</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1520" w:type="dxa"/>
            <w:vMerge w:val="continue"/>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p>
        </w:tc>
        <w:tc>
          <w:tcPr>
            <w:tcW w:w="2359" w:type="dxa"/>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80%</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平均考勤</w:t>
            </w:r>
            <w:r>
              <w:rPr>
                <w:rFonts w:hint="eastAsia" w:ascii="宋体" w:hAnsi="宋体" w:eastAsia="宋体" w:cs="宋体"/>
                <w:i w:val="0"/>
                <w:iCs w:val="0"/>
                <w:caps w:val="0"/>
                <w:color w:val="auto"/>
                <w:spacing w:val="0"/>
                <w:w w:val="100"/>
                <w:position w:val="0"/>
                <w:sz w:val="21"/>
                <w:szCs w:val="21"/>
                <w:highlight w:val="none"/>
                <w:lang w:val="en-US" w:eastAsia="zh-CN"/>
              </w:rPr>
              <w:t>率</w:t>
            </w:r>
            <w:r>
              <w:rPr>
                <w:rFonts w:hint="eastAsia" w:ascii="宋体" w:hAnsi="宋体" w:eastAsia="宋体" w:cs="宋体"/>
                <w:i w:val="0"/>
                <w:iCs w:val="0"/>
                <w:caps w:val="0"/>
                <w:color w:val="auto"/>
                <w:spacing w:val="0"/>
                <w:w w:val="100"/>
                <w:position w:val="0"/>
                <w:sz w:val="21"/>
                <w:szCs w:val="21"/>
                <w:highlight w:val="none"/>
              </w:rPr>
              <w:t>≥30%</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8×（平均考勤率-30%）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1520" w:type="dxa"/>
            <w:vMerge w:val="continue"/>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p>
        </w:tc>
        <w:tc>
          <w:tcPr>
            <w:tcW w:w="2359" w:type="dxa"/>
            <w:shd w:val="clear" w:color="auto" w:fill="auto"/>
            <w:vAlign w:val="center"/>
          </w:tcPr>
          <w:p>
            <w:pPr>
              <w:keepNext w:val="0"/>
              <w:keepLines w:val="0"/>
              <w:pageBreakBefore w:val="0"/>
              <w:kinsoku/>
              <w:wordWrap w:val="0"/>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平均考勤率</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30%</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restart"/>
            <w:shd w:val="clear" w:color="auto" w:fill="auto"/>
            <w:vAlign w:val="center"/>
          </w:tcPr>
          <w:p>
            <w:pPr>
              <w:spacing w:line="360" w:lineRule="auto"/>
              <w:jc w:val="left"/>
              <w:rPr>
                <w:rFonts w:hint="eastAsia" w:ascii="宋体" w:hAnsi="宋体" w:eastAsia="宋体" w:cs="宋体"/>
                <w:color w:val="auto"/>
                <w:highlight w:val="none"/>
                <w:lang w:eastAsia="zh-CN"/>
              </w:rPr>
            </w:pPr>
            <w:r>
              <w:rPr>
                <w:rFonts w:hint="eastAsia" w:ascii="宋体" w:hAnsi="宋体" w:eastAsia="宋体" w:cs="宋体"/>
                <w:i w:val="0"/>
                <w:iCs w:val="0"/>
                <w:caps w:val="0"/>
                <w:color w:val="FF0000"/>
                <w:spacing w:val="0"/>
                <w:w w:val="100"/>
                <w:position w:val="0"/>
                <w:sz w:val="21"/>
                <w:szCs w:val="21"/>
                <w:highlight w:val="none"/>
              </w:rPr>
              <w:t>企业信用</w:t>
            </w:r>
            <w:r>
              <w:rPr>
                <w:rFonts w:hint="eastAsia" w:ascii="宋体" w:hAnsi="宋体" w:cs="宋体"/>
                <w:i w:val="0"/>
                <w:iCs w:val="0"/>
                <w:caps w:val="0"/>
                <w:color w:val="FF0000"/>
                <w:spacing w:val="0"/>
                <w:w w:val="100"/>
                <w:position w:val="0"/>
                <w:sz w:val="21"/>
                <w:szCs w:val="21"/>
                <w:highlight w:val="none"/>
                <w:lang w:eastAsia="zh-CN"/>
              </w:rPr>
              <w:t>（</w:t>
            </w:r>
            <w:r>
              <w:rPr>
                <w:rFonts w:hint="eastAsia" w:ascii="宋体" w:hAnsi="宋体" w:cs="宋体"/>
                <w:i w:val="0"/>
                <w:iCs w:val="0"/>
                <w:caps w:val="0"/>
                <w:color w:val="FF0000"/>
                <w:spacing w:val="0"/>
                <w:w w:val="100"/>
                <w:position w:val="0"/>
                <w:sz w:val="21"/>
                <w:szCs w:val="21"/>
                <w:highlight w:val="none"/>
                <w:lang w:val="en-US" w:eastAsia="zh-CN"/>
              </w:rPr>
              <w:t>15分</w:t>
            </w:r>
            <w:r>
              <w:rPr>
                <w:rFonts w:hint="eastAsia" w:ascii="宋体" w:hAnsi="宋体" w:cs="宋体"/>
                <w:i w:val="0"/>
                <w:iCs w:val="0"/>
                <w:caps w:val="0"/>
                <w:color w:val="FF0000"/>
                <w:spacing w:val="0"/>
                <w:w w:val="100"/>
                <w:position w:val="0"/>
                <w:sz w:val="21"/>
                <w:szCs w:val="21"/>
                <w:highlight w:val="none"/>
                <w:lang w:eastAsia="zh-CN"/>
              </w:rPr>
              <w:t>）</w:t>
            </w:r>
          </w:p>
        </w:tc>
        <w:tc>
          <w:tcPr>
            <w:tcW w:w="3879" w:type="dxa"/>
            <w:gridSpan w:val="2"/>
            <w:shd w:val="clear" w:color="auto" w:fill="auto"/>
            <w:vAlign w:val="center"/>
          </w:tcPr>
          <w:p>
            <w:pPr>
              <w:spacing w:line="360" w:lineRule="auto"/>
              <w:rPr>
                <w:rFonts w:hint="eastAsia"/>
                <w:color w:val="auto"/>
                <w:highlight w:val="none"/>
              </w:rPr>
            </w:pPr>
            <w:r>
              <w:rPr>
                <w:rFonts w:hint="eastAsia"/>
                <w:color w:val="auto"/>
                <w:highlight w:val="none"/>
                <w:lang w:eastAsia="zh-CN"/>
              </w:rPr>
              <w:t>☑</w:t>
            </w:r>
            <w:r>
              <w:rPr>
                <w:rFonts w:hint="eastAsia"/>
                <w:color w:val="auto"/>
                <w:highlight w:val="none"/>
              </w:rPr>
              <w:t>采用</w:t>
            </w:r>
          </w:p>
          <w:p>
            <w:pPr>
              <w:keepNext w:val="0"/>
              <w:keepLines w:val="0"/>
              <w:pageBreakBefore w:val="0"/>
              <w:kinsoku/>
              <w:wordWrap/>
              <w:overflowPunct/>
              <w:topLinePunct w:val="0"/>
              <w:bidi w:val="0"/>
              <w:spacing w:line="360" w:lineRule="auto"/>
              <w:jc w:val="both"/>
              <w:textAlignment w:val="auto"/>
              <w:rPr>
                <w:rFonts w:hint="eastAsia"/>
                <w:color w:val="auto"/>
                <w:highlight w:val="none"/>
              </w:rPr>
            </w:pPr>
            <w:r>
              <w:rPr>
                <w:rFonts w:hint="eastAsia"/>
                <w:color w:val="auto"/>
                <w:highlight w:val="none"/>
              </w:rPr>
              <w:t>□不采用</w:t>
            </w:r>
          </w:p>
          <w:p>
            <w:pPr>
              <w:keepNext w:val="0"/>
              <w:keepLines w:val="0"/>
              <w:pageBreakBefore w:val="0"/>
              <w:kinsoku/>
              <w:wordWrap/>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lang w:val="en-US" w:eastAsia="zh-CN"/>
              </w:rPr>
              <w:t>方法一：</w:t>
            </w:r>
            <w:r>
              <w:rPr>
                <w:rFonts w:hint="eastAsia" w:ascii="宋体" w:hAnsi="宋体" w:eastAsia="宋体" w:cs="宋体"/>
                <w:i w:val="0"/>
                <w:iCs w:val="0"/>
                <w:caps w:val="0"/>
                <w:color w:val="auto"/>
                <w:spacing w:val="0"/>
                <w:w w:val="100"/>
                <w:position w:val="0"/>
                <w:sz w:val="21"/>
                <w:szCs w:val="21"/>
                <w:highlight w:val="none"/>
              </w:rPr>
              <w:t>有效投标人的市场企业信用评价分值为L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（n为从1到n的自然数，示例：L</w:t>
            </w:r>
            <w:r>
              <w:rPr>
                <w:rFonts w:hint="eastAsia" w:ascii="宋体" w:hAnsi="宋体" w:eastAsia="宋体" w:cs="宋体"/>
                <w:i w:val="0"/>
                <w:iCs w:val="0"/>
                <w:caps w:val="0"/>
                <w:color w:val="auto"/>
                <w:spacing w:val="0"/>
                <w:w w:val="100"/>
                <w:position w:val="0"/>
                <w:sz w:val="21"/>
                <w:szCs w:val="21"/>
                <w:highlight w:val="none"/>
                <w:vertAlign w:val="subscript"/>
              </w:rPr>
              <w:t>1</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2</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其中最高值为L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MA</w:t>
            </w:r>
            <w:r>
              <w:rPr>
                <w:rFonts w:hint="eastAsia" w:ascii="宋体" w:hAnsi="宋体" w:eastAsia="宋体" w:cs="宋体"/>
                <w:i w:val="0"/>
                <w:iCs w:val="0"/>
                <w:caps w:val="0"/>
                <w:color w:val="auto"/>
                <w:spacing w:val="0"/>
                <w:w w:val="100"/>
                <w:position w:val="0"/>
                <w:sz w:val="21"/>
                <w:szCs w:val="21"/>
                <w:highlight w:val="none"/>
                <w:vertAlign w:val="subscript"/>
              </w:rPr>
              <w:t>X</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投标人的企业信用得分L</w:t>
            </w:r>
            <w:r>
              <w:rPr>
                <w:rFonts w:hint="eastAsia" w:ascii="宋体" w:hAnsi="宋体" w:eastAsia="宋体" w:cs="宋体"/>
                <w:i w:val="0"/>
                <w:iCs w:val="0"/>
                <w:caps w:val="0"/>
                <w:color w:val="auto"/>
                <w:spacing w:val="0"/>
                <w:w w:val="100"/>
                <w:position w:val="0"/>
                <w:sz w:val="21"/>
                <w:szCs w:val="21"/>
                <w:highlight w:val="none"/>
                <w:vertAlign w:val="subscript"/>
              </w:rPr>
              <w:t>i</w:t>
            </w:r>
            <w:r>
              <w:rPr>
                <w:rFonts w:hint="eastAsia" w:ascii="宋体" w:hAnsi="宋体" w:eastAsia="宋体" w:cs="宋体"/>
                <w:i w:val="0"/>
                <w:iCs w:val="0"/>
                <w:caps w:val="0"/>
                <w:color w:val="auto"/>
                <w:spacing w:val="0"/>
                <w:w w:val="100"/>
                <w:position w:val="0"/>
                <w:sz w:val="21"/>
                <w:szCs w:val="21"/>
                <w:highlight w:val="none"/>
              </w:rPr>
              <w:t>=15</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MAX</w:t>
            </w:r>
          </w:p>
        </w:tc>
        <w:tc>
          <w:tcPr>
            <w:tcW w:w="1823" w:type="dxa"/>
            <w:vMerge w:val="restart"/>
            <w:shd w:val="clear" w:color="auto" w:fill="auto"/>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i w:val="0"/>
                <w:iCs w:val="0"/>
                <w:caps w:val="0"/>
                <w:color w:val="auto"/>
                <w:spacing w:val="0"/>
                <w:w w:val="100"/>
                <w:position w:val="0"/>
                <w:sz w:val="21"/>
                <w:szCs w:val="21"/>
                <w:highlight w:val="none"/>
              </w:rPr>
              <w:t>0-15</w:t>
            </w:r>
            <w:r>
              <w:rPr>
                <w:rFonts w:hint="eastAsia" w:ascii="宋体" w:hAnsi="宋体" w:cs="宋体"/>
                <w:i w:val="0"/>
                <w:iCs w:val="0"/>
                <w:caps w:val="0"/>
                <w:color w:val="auto"/>
                <w:spacing w:val="0"/>
                <w:w w:val="100"/>
                <w:position w:val="0"/>
                <w:sz w:val="21"/>
                <w:szCs w:val="21"/>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3879" w:type="dxa"/>
            <w:gridSpan w:val="2"/>
            <w:shd w:val="clear" w:color="auto" w:fill="auto"/>
            <w:vAlign w:val="center"/>
          </w:tcPr>
          <w:p>
            <w:pPr>
              <w:spacing w:line="360" w:lineRule="auto"/>
              <w:rPr>
                <w:rFonts w:hint="eastAsia"/>
                <w:color w:val="auto"/>
                <w:highlight w:val="none"/>
              </w:rPr>
            </w:pPr>
            <w:r>
              <w:rPr>
                <w:rFonts w:hint="eastAsia"/>
                <w:color w:val="auto"/>
                <w:highlight w:val="none"/>
              </w:rPr>
              <w:t>□采用</w:t>
            </w:r>
          </w:p>
          <w:p>
            <w:pPr>
              <w:keepNext w:val="0"/>
              <w:keepLines w:val="0"/>
              <w:pageBreakBefore w:val="0"/>
              <w:kinsoku/>
              <w:wordWrap/>
              <w:overflowPunct/>
              <w:topLinePunct w:val="0"/>
              <w:bidi w:val="0"/>
              <w:spacing w:line="360" w:lineRule="auto"/>
              <w:jc w:val="both"/>
              <w:textAlignment w:val="auto"/>
              <w:rPr>
                <w:rFonts w:hint="eastAsia"/>
                <w:color w:val="auto"/>
                <w:highlight w:val="none"/>
              </w:rPr>
            </w:pPr>
            <w:r>
              <w:rPr>
                <w:rFonts w:hint="eastAsia"/>
                <w:color w:val="auto"/>
                <w:highlight w:val="none"/>
              </w:rPr>
              <w:t>□不采用</w:t>
            </w:r>
          </w:p>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方法二：某有效投标人市场企业信用评价分为L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（n为从1到n的自然数</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示例：L</w:t>
            </w:r>
            <w:r>
              <w:rPr>
                <w:rFonts w:hint="eastAsia" w:ascii="宋体" w:hAnsi="宋体" w:eastAsia="宋体" w:cs="宋体"/>
                <w:i w:val="0"/>
                <w:iCs w:val="0"/>
                <w:caps w:val="0"/>
                <w:color w:val="auto"/>
                <w:spacing w:val="0"/>
                <w:w w:val="100"/>
                <w:position w:val="0"/>
                <w:sz w:val="21"/>
                <w:szCs w:val="21"/>
                <w:highlight w:val="none"/>
                <w:vertAlign w:val="subscript"/>
              </w:rPr>
              <w:t>1</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2</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 xml:space="preserve"> 投标人的企业信用得分L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i</w:t>
            </w:r>
            <w:r>
              <w:rPr>
                <w:rFonts w:hint="eastAsia" w:ascii="宋体" w:hAnsi="宋体" w:eastAsia="宋体" w:cs="宋体"/>
                <w:i w:val="0"/>
                <w:iCs w:val="0"/>
                <w:caps w:val="0"/>
                <w:color w:val="auto"/>
                <w:spacing w:val="0"/>
                <w:w w:val="100"/>
                <w:position w:val="0"/>
                <w:sz w:val="21"/>
                <w:szCs w:val="21"/>
                <w:highlight w:val="none"/>
              </w:rPr>
              <w:t>=6+</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n</w:t>
            </w:r>
            <w:r>
              <w:rPr>
                <w:rFonts w:hint="eastAsia" w:ascii="宋体" w:hAnsi="宋体" w:eastAsia="宋体" w:cs="宋体"/>
                <w:i w:val="0"/>
                <w:iCs w:val="0"/>
                <w:caps w:val="0"/>
                <w:color w:val="auto"/>
                <w:spacing w:val="0"/>
                <w:w w:val="100"/>
                <w:position w:val="0"/>
                <w:sz w:val="21"/>
                <w:szCs w:val="21"/>
                <w:highlight w:val="none"/>
              </w:rPr>
              <w:t>-80</w:t>
            </w:r>
            <w:r>
              <w:rPr>
                <w:rFonts w:hint="eastAsia" w:ascii="宋体" w:hAnsi="宋体" w:eastAsia="宋体" w:cs="宋体"/>
                <w:i w:val="0"/>
                <w:iCs w:val="0"/>
                <w:caps w:val="0"/>
                <w:color w:val="auto"/>
                <w:spacing w:val="0"/>
                <w:w w:val="100"/>
                <w:position w:val="0"/>
                <w:sz w:val="21"/>
                <w:szCs w:val="21"/>
                <w:highlight w:val="none"/>
                <w:lang w:val="en-US" w:eastAsia="zh-CN"/>
              </w:rPr>
              <w:t xml:space="preserve">）/10 </w:t>
            </w:r>
          </w:p>
        </w:tc>
        <w:tc>
          <w:tcPr>
            <w:tcW w:w="1823"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vMerge w:val="continue"/>
            <w:shd w:val="clear" w:color="auto" w:fill="auto"/>
            <w:vAlign w:val="center"/>
          </w:tcPr>
          <w:p>
            <w:pPr>
              <w:spacing w:line="360" w:lineRule="auto"/>
              <w:jc w:val="left"/>
              <w:rPr>
                <w:rFonts w:hint="eastAsia" w:ascii="宋体" w:hAnsi="宋体" w:eastAsia="宋体" w:cs="宋体"/>
                <w:color w:val="auto"/>
                <w:highlight w:val="none"/>
              </w:rPr>
            </w:pPr>
          </w:p>
        </w:tc>
        <w:tc>
          <w:tcPr>
            <w:tcW w:w="3879" w:type="dxa"/>
            <w:gridSpan w:val="2"/>
            <w:shd w:val="clear" w:color="auto" w:fill="auto"/>
            <w:vAlign w:val="center"/>
          </w:tcPr>
          <w:p>
            <w:pPr>
              <w:spacing w:line="360" w:lineRule="auto"/>
              <w:rPr>
                <w:rFonts w:hint="eastAsia"/>
                <w:color w:val="auto"/>
                <w:highlight w:val="none"/>
              </w:rPr>
            </w:pPr>
            <w:r>
              <w:rPr>
                <w:rFonts w:hint="eastAsia"/>
                <w:color w:val="auto"/>
                <w:highlight w:val="none"/>
                <w:lang w:eastAsia="zh-CN"/>
              </w:rPr>
              <w:t>□</w:t>
            </w:r>
            <w:r>
              <w:rPr>
                <w:rFonts w:hint="eastAsia"/>
                <w:color w:val="auto"/>
                <w:highlight w:val="none"/>
              </w:rPr>
              <w:t>采用</w:t>
            </w:r>
          </w:p>
          <w:p>
            <w:pPr>
              <w:keepNext w:val="0"/>
              <w:keepLines w:val="0"/>
              <w:pageBreakBefore w:val="0"/>
              <w:kinsoku/>
              <w:wordWrap/>
              <w:overflowPunct/>
              <w:topLinePunct w:val="0"/>
              <w:bidi w:val="0"/>
              <w:spacing w:line="360" w:lineRule="auto"/>
              <w:jc w:val="both"/>
              <w:textAlignment w:val="auto"/>
              <w:rPr>
                <w:rFonts w:hint="eastAsia"/>
                <w:color w:val="auto"/>
                <w:highlight w:val="none"/>
              </w:rPr>
            </w:pPr>
            <w:r>
              <w:rPr>
                <w:rFonts w:hint="eastAsia"/>
                <w:color w:val="auto"/>
                <w:highlight w:val="none"/>
              </w:rPr>
              <w:t>□不采用</w:t>
            </w:r>
          </w:p>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i w:val="0"/>
                <w:iCs w:val="0"/>
                <w:caps w:val="0"/>
                <w:color w:val="auto"/>
                <w:spacing w:val="0"/>
                <w:w w:val="100"/>
                <w:position w:val="0"/>
                <w:sz w:val="21"/>
                <w:szCs w:val="21"/>
                <w:highlight w:val="none"/>
                <w:vertAlign w:val="subscript"/>
                <w:lang w:val="en-US" w:eastAsia="zh-CN"/>
              </w:rPr>
            </w:pPr>
            <w:r>
              <w:rPr>
                <w:rFonts w:hint="eastAsia" w:ascii="宋体" w:hAnsi="宋体" w:eastAsia="宋体" w:cs="宋体"/>
                <w:i w:val="0"/>
                <w:iCs w:val="0"/>
                <w:caps w:val="0"/>
                <w:color w:val="auto"/>
                <w:spacing w:val="0"/>
                <w:w w:val="100"/>
                <w:position w:val="0"/>
                <w:sz w:val="21"/>
                <w:szCs w:val="21"/>
                <w:highlight w:val="none"/>
              </w:rPr>
              <w:t>方法三：某有效投标人市场企业信用评价分为L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（n为从1到n的自然数</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示例：L</w:t>
            </w:r>
            <w:r>
              <w:rPr>
                <w:rFonts w:hint="eastAsia" w:ascii="宋体" w:hAnsi="宋体" w:eastAsia="宋体" w:cs="宋体"/>
                <w:i w:val="0"/>
                <w:iCs w:val="0"/>
                <w:caps w:val="0"/>
                <w:color w:val="auto"/>
                <w:spacing w:val="0"/>
                <w:w w:val="100"/>
                <w:position w:val="0"/>
                <w:sz w:val="21"/>
                <w:szCs w:val="21"/>
                <w:highlight w:val="none"/>
                <w:vertAlign w:val="subscript"/>
              </w:rPr>
              <w:t>1</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2</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 xml:space="preserve"> 所有有效投标人L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的算术平均值作为基准值</w:t>
            </w:r>
            <w:r>
              <w:rPr>
                <w:rFonts w:hint="eastAsia" w:ascii="宋体" w:hAnsi="宋体" w:eastAsia="宋体" w:cs="宋体"/>
                <w:i w:val="0"/>
                <w:iCs w:val="0"/>
                <w:caps w:val="0"/>
                <w:color w:val="auto"/>
                <w:spacing w:val="0"/>
                <w:w w:val="100"/>
                <w:position w:val="0"/>
                <w:sz w:val="21"/>
                <w:szCs w:val="21"/>
                <w:highlight w:val="none"/>
                <w:lang w:val="en-US" w:eastAsia="zh-CN"/>
              </w:rPr>
              <w:t>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0</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投标人市场企业信用评价分偏差率为L</w:t>
            </w:r>
            <w:r>
              <w:rPr>
                <w:rFonts w:hint="eastAsia" w:ascii="宋体" w:hAnsi="宋体" w:eastAsia="宋体" w:cs="宋体"/>
                <w:i w:val="0"/>
                <w:iCs w:val="0"/>
                <w:caps w:val="0"/>
                <w:color w:val="auto"/>
                <w:spacing w:val="0"/>
                <w:w w:val="100"/>
                <w:position w:val="0"/>
                <w:sz w:val="21"/>
                <w:szCs w:val="21"/>
                <w:highlight w:val="none"/>
                <w:vertAlign w:val="subscript"/>
              </w:rPr>
              <w:t>m</w:t>
            </w:r>
            <w:r>
              <w:rPr>
                <w:rFonts w:hint="eastAsia" w:ascii="宋体" w:hAnsi="宋体" w:eastAsia="宋体" w:cs="宋体"/>
                <w:i w:val="0"/>
                <w:iCs w:val="0"/>
                <w:caps w:val="0"/>
                <w:color w:val="auto"/>
                <w:spacing w:val="0"/>
                <w:w w:val="100"/>
                <w:position w:val="0"/>
                <w:sz w:val="21"/>
                <w:szCs w:val="21"/>
                <w:highlight w:val="none"/>
              </w:rPr>
              <w:t>=100</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val="en-US" w:eastAsia="zh-CN"/>
              </w:rPr>
              <w:t>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0</w:t>
            </w:r>
          </w:p>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i w:val="0"/>
                <w:iCs w:val="0"/>
                <w:caps w:val="0"/>
                <w:color w:val="auto"/>
                <w:spacing w:val="0"/>
                <w:w w:val="100"/>
                <w:position w:val="0"/>
                <w:sz w:val="21"/>
                <w:szCs w:val="21"/>
                <w:highlight w:val="none"/>
                <w:vertAlign w:val="baseline"/>
                <w:lang w:val="en-US" w:eastAsia="zh-CN"/>
              </w:rPr>
            </w:pP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m</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≥150%，L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i</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＝15分</w:t>
            </w:r>
          </w:p>
          <w:p>
            <w:pPr>
              <w:keepNext w:val="0"/>
              <w:keepLines w:val="0"/>
              <w:pageBreakBefore w:val="0"/>
              <w:kinsoku/>
              <w:wordWrap w:val="0"/>
              <w:overflowPunct/>
              <w:topLinePunct w:val="0"/>
              <w:bidi w:val="0"/>
              <w:spacing w:line="360" w:lineRule="auto"/>
              <w:jc w:val="both"/>
              <w:textAlignment w:val="auto"/>
              <w:rPr>
                <w:rFonts w:hint="default" w:ascii="宋体" w:hAnsi="宋体" w:eastAsia="宋体" w:cs="宋体"/>
                <w:i w:val="0"/>
                <w:iCs w:val="0"/>
                <w:caps w:val="0"/>
                <w:color w:val="auto"/>
                <w:spacing w:val="0"/>
                <w:w w:val="100"/>
                <w:position w:val="0"/>
                <w:sz w:val="21"/>
                <w:szCs w:val="21"/>
                <w:highlight w:val="none"/>
                <w:lang w:val="en-US" w:eastAsia="zh-CN"/>
              </w:rPr>
            </w:pPr>
            <w:r>
              <w:rPr>
                <w:rFonts w:hint="eastAsia" w:ascii="宋体" w:hAnsi="宋体" w:eastAsia="宋体" w:cs="宋体"/>
                <w:i w:val="0"/>
                <w:iCs w:val="0"/>
                <w:caps w:val="0"/>
                <w:color w:val="auto"/>
                <w:spacing w:val="0"/>
                <w:w w:val="100"/>
                <w:position w:val="0"/>
                <w:sz w:val="21"/>
                <w:szCs w:val="21"/>
                <w:highlight w:val="none"/>
                <w:vertAlign w:val="baseline"/>
                <w:lang w:val="en-US" w:eastAsia="zh-CN"/>
              </w:rPr>
              <w:t>120%≤</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m</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＜150%，L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i</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＝12分</w:t>
            </w:r>
          </w:p>
          <w:p>
            <w:pPr>
              <w:keepNext w:val="0"/>
              <w:keepLines w:val="0"/>
              <w:pageBreakBefore w:val="0"/>
              <w:kinsoku/>
              <w:wordWrap w:val="0"/>
              <w:overflowPunct/>
              <w:topLinePunct w:val="0"/>
              <w:bidi w:val="0"/>
              <w:spacing w:line="360" w:lineRule="auto"/>
              <w:jc w:val="both"/>
              <w:textAlignment w:val="auto"/>
              <w:rPr>
                <w:rFonts w:hint="default" w:ascii="宋体" w:hAnsi="宋体" w:eastAsia="宋体" w:cs="宋体"/>
                <w:i w:val="0"/>
                <w:iCs w:val="0"/>
                <w:caps w:val="0"/>
                <w:color w:val="auto"/>
                <w:spacing w:val="0"/>
                <w:w w:val="100"/>
                <w:position w:val="0"/>
                <w:sz w:val="21"/>
                <w:szCs w:val="21"/>
                <w:highlight w:val="none"/>
                <w:lang w:val="en-US" w:eastAsia="zh-CN"/>
              </w:rPr>
            </w:pPr>
            <w:r>
              <w:rPr>
                <w:rFonts w:hint="eastAsia" w:ascii="宋体" w:hAnsi="宋体" w:eastAsia="宋体" w:cs="宋体"/>
                <w:i w:val="0"/>
                <w:iCs w:val="0"/>
                <w:caps w:val="0"/>
                <w:color w:val="auto"/>
                <w:spacing w:val="0"/>
                <w:w w:val="100"/>
                <w:position w:val="0"/>
                <w:sz w:val="21"/>
                <w:szCs w:val="21"/>
                <w:highlight w:val="none"/>
                <w:vertAlign w:val="baseline"/>
                <w:lang w:val="en-US" w:eastAsia="zh-CN"/>
              </w:rPr>
              <w:t>90%≤</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m</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＜120%，L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i</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＝9分</w:t>
            </w:r>
          </w:p>
          <w:p>
            <w:pPr>
              <w:keepNext w:val="0"/>
              <w:keepLines w:val="0"/>
              <w:pageBreakBefore w:val="0"/>
              <w:kinsoku/>
              <w:wordWrap w:val="0"/>
              <w:overflowPunct/>
              <w:topLinePunct w:val="0"/>
              <w:bidi w:val="0"/>
              <w:spacing w:line="360" w:lineRule="auto"/>
              <w:jc w:val="both"/>
              <w:textAlignment w:val="auto"/>
              <w:rPr>
                <w:rFonts w:hint="default" w:ascii="宋体" w:hAnsi="宋体" w:eastAsia="宋体" w:cs="宋体"/>
                <w:i w:val="0"/>
                <w:iCs w:val="0"/>
                <w:caps w:val="0"/>
                <w:color w:val="auto"/>
                <w:spacing w:val="0"/>
                <w:w w:val="100"/>
                <w:position w:val="0"/>
                <w:sz w:val="21"/>
                <w:szCs w:val="21"/>
                <w:highlight w:val="none"/>
                <w:lang w:val="en-US" w:eastAsia="zh-CN"/>
              </w:rPr>
            </w:pPr>
            <w:r>
              <w:rPr>
                <w:rFonts w:hint="eastAsia" w:ascii="宋体" w:hAnsi="宋体" w:eastAsia="宋体" w:cs="宋体"/>
                <w:i w:val="0"/>
                <w:iCs w:val="0"/>
                <w:caps w:val="0"/>
                <w:color w:val="auto"/>
                <w:spacing w:val="0"/>
                <w:w w:val="100"/>
                <w:position w:val="0"/>
                <w:sz w:val="21"/>
                <w:szCs w:val="21"/>
                <w:highlight w:val="none"/>
                <w:vertAlign w:val="baseline"/>
                <w:lang w:val="en-US" w:eastAsia="zh-CN"/>
              </w:rPr>
              <w:t>60%≤</w:t>
            </w: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m</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＜90%，L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i</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＝6分</w:t>
            </w:r>
          </w:p>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L</w:t>
            </w:r>
            <w:r>
              <w:rPr>
                <w:rFonts w:hint="eastAsia" w:ascii="宋体" w:hAnsi="宋体" w:eastAsia="宋体" w:cs="宋体"/>
                <w:i w:val="0"/>
                <w:iCs w:val="0"/>
                <w:caps w:val="0"/>
                <w:color w:val="auto"/>
                <w:spacing w:val="0"/>
                <w:w w:val="100"/>
                <w:position w:val="0"/>
                <w:sz w:val="21"/>
                <w:szCs w:val="21"/>
                <w:highlight w:val="none"/>
                <w:vertAlign w:val="subscript"/>
              </w:rPr>
              <w:t>m</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＜60%，L</w:t>
            </w:r>
            <w:r>
              <w:rPr>
                <w:rFonts w:hint="eastAsia" w:ascii="宋体" w:hAnsi="宋体" w:eastAsia="宋体" w:cs="宋体"/>
                <w:i w:val="0"/>
                <w:iCs w:val="0"/>
                <w:caps w:val="0"/>
                <w:color w:val="auto"/>
                <w:spacing w:val="0"/>
                <w:w w:val="100"/>
                <w:position w:val="0"/>
                <w:sz w:val="21"/>
                <w:szCs w:val="21"/>
                <w:highlight w:val="none"/>
                <w:vertAlign w:val="subscript"/>
                <w:lang w:val="en-US" w:eastAsia="zh-CN"/>
              </w:rPr>
              <w:t>i</w:t>
            </w:r>
            <w:r>
              <w:rPr>
                <w:rFonts w:hint="eastAsia" w:ascii="宋体" w:hAnsi="宋体" w:eastAsia="宋体" w:cs="宋体"/>
                <w:i w:val="0"/>
                <w:iCs w:val="0"/>
                <w:caps w:val="0"/>
                <w:color w:val="auto"/>
                <w:spacing w:val="0"/>
                <w:w w:val="100"/>
                <w:position w:val="0"/>
                <w:sz w:val="21"/>
                <w:szCs w:val="21"/>
                <w:highlight w:val="none"/>
                <w:vertAlign w:val="baseline"/>
                <w:lang w:val="en-US" w:eastAsia="zh-CN"/>
              </w:rPr>
              <w:t>＝3分</w:t>
            </w:r>
          </w:p>
        </w:tc>
        <w:tc>
          <w:tcPr>
            <w:tcW w:w="1823" w:type="dxa"/>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20"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377" w:type="dxa"/>
            <w:gridSpan w:val="2"/>
            <w:vMerge w:val="continue"/>
            <w:shd w:val="clear" w:color="auto" w:fill="auto"/>
            <w:vAlign w:val="center"/>
          </w:tcPr>
          <w:p>
            <w:pPr>
              <w:spacing w:line="360" w:lineRule="auto"/>
              <w:jc w:val="center"/>
              <w:rPr>
                <w:rFonts w:hint="eastAsia" w:ascii="宋体" w:hAnsi="宋体" w:eastAsia="宋体" w:cs="宋体"/>
                <w:color w:val="auto"/>
                <w:szCs w:val="21"/>
                <w:highlight w:val="none"/>
              </w:rPr>
            </w:pPr>
          </w:p>
        </w:tc>
        <w:tc>
          <w:tcPr>
            <w:tcW w:w="1200" w:type="dxa"/>
            <w:gridSpan w:val="2"/>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i w:val="0"/>
                <w:iCs w:val="0"/>
                <w:caps w:val="0"/>
                <w:color w:val="auto"/>
                <w:spacing w:val="0"/>
                <w:w w:val="100"/>
                <w:position w:val="0"/>
                <w:sz w:val="21"/>
                <w:szCs w:val="21"/>
                <w:highlight w:val="none"/>
              </w:rPr>
              <w:t>拟派项目经理信用</w:t>
            </w:r>
            <w:r>
              <w:rPr>
                <w:rFonts w:hint="eastAsia" w:ascii="宋体" w:hAnsi="宋体" w:cs="宋体"/>
                <w:i w:val="0"/>
                <w:iCs w:val="0"/>
                <w:caps w:val="0"/>
                <w:color w:val="auto"/>
                <w:spacing w:val="0"/>
                <w:w w:val="100"/>
                <w:position w:val="0"/>
                <w:sz w:val="21"/>
                <w:szCs w:val="21"/>
                <w:highlight w:val="none"/>
                <w:lang w:eastAsia="zh-CN"/>
              </w:rPr>
              <w:t>（</w:t>
            </w:r>
            <w:r>
              <w:rPr>
                <w:rFonts w:hint="eastAsia" w:ascii="宋体" w:hAnsi="宋体" w:cs="宋体"/>
                <w:i w:val="0"/>
                <w:iCs w:val="0"/>
                <w:caps w:val="0"/>
                <w:color w:val="auto"/>
                <w:spacing w:val="0"/>
                <w:w w:val="100"/>
                <w:position w:val="0"/>
                <w:sz w:val="21"/>
                <w:szCs w:val="21"/>
                <w:highlight w:val="none"/>
                <w:lang w:val="en-US" w:eastAsia="zh-CN"/>
              </w:rPr>
              <w:t>5分</w:t>
            </w:r>
            <w:r>
              <w:rPr>
                <w:rFonts w:hint="eastAsia" w:ascii="宋体" w:hAnsi="宋体" w:cs="宋体"/>
                <w:i w:val="0"/>
                <w:iCs w:val="0"/>
                <w:caps w:val="0"/>
                <w:color w:val="auto"/>
                <w:spacing w:val="0"/>
                <w:w w:val="100"/>
                <w:position w:val="0"/>
                <w:sz w:val="21"/>
                <w:szCs w:val="21"/>
                <w:highlight w:val="none"/>
                <w:lang w:eastAsia="zh-CN"/>
              </w:rPr>
              <w:t>）</w:t>
            </w:r>
          </w:p>
        </w:tc>
        <w:tc>
          <w:tcPr>
            <w:tcW w:w="3879" w:type="dxa"/>
            <w:gridSpan w:val="2"/>
            <w:shd w:val="clear" w:color="auto" w:fill="auto"/>
            <w:vAlign w:val="center"/>
          </w:tcPr>
          <w:p>
            <w:pPr>
              <w:keepNext w:val="0"/>
              <w:keepLines w:val="0"/>
              <w:pageBreakBefore w:val="0"/>
              <w:kinsoku/>
              <w:wordWrap w:val="0"/>
              <w:overflowPunct/>
              <w:topLinePunct w:val="0"/>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i w:val="0"/>
                <w:iCs w:val="0"/>
                <w:caps w:val="0"/>
                <w:color w:val="auto"/>
                <w:spacing w:val="0"/>
                <w:w w:val="100"/>
                <w:position w:val="0"/>
                <w:sz w:val="21"/>
                <w:szCs w:val="21"/>
                <w:highlight w:val="none"/>
              </w:rPr>
              <w:t>有效投标人的拟派项目经理市场个人信用评价分值为W</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（n为从1到n的自然数，示例W</w:t>
            </w:r>
            <w:r>
              <w:rPr>
                <w:rFonts w:hint="eastAsia" w:ascii="宋体" w:hAnsi="宋体" w:cs="宋体"/>
                <w:i w:val="0"/>
                <w:iCs w:val="0"/>
                <w:caps w:val="0"/>
                <w:color w:val="auto"/>
                <w:spacing w:val="0"/>
                <w:w w:val="100"/>
                <w:position w:val="0"/>
                <w:sz w:val="21"/>
                <w:szCs w:val="21"/>
                <w:highlight w:val="none"/>
                <w:vertAlign w:val="subscript"/>
                <w:lang w:val="en-US" w:eastAsia="zh-CN"/>
              </w:rPr>
              <w:t>1</w:t>
            </w:r>
            <w:r>
              <w:rPr>
                <w:rFonts w:hint="eastAsia" w:ascii="宋体" w:hAnsi="宋体" w:eastAsia="宋体" w:cs="宋体"/>
                <w:i w:val="0"/>
                <w:iCs w:val="0"/>
                <w:caps w:val="0"/>
                <w:color w:val="auto"/>
                <w:spacing w:val="0"/>
                <w:w w:val="100"/>
                <w:position w:val="0"/>
                <w:sz w:val="21"/>
                <w:szCs w:val="21"/>
                <w:highlight w:val="none"/>
              </w:rPr>
              <w:t>、W</w:t>
            </w:r>
            <w:r>
              <w:rPr>
                <w:rFonts w:hint="eastAsia" w:ascii="宋体" w:hAnsi="宋体" w:eastAsia="宋体" w:cs="宋体"/>
                <w:i w:val="0"/>
                <w:iCs w:val="0"/>
                <w:caps w:val="0"/>
                <w:color w:val="auto"/>
                <w:spacing w:val="0"/>
                <w:w w:val="100"/>
                <w:position w:val="0"/>
                <w:sz w:val="21"/>
                <w:szCs w:val="21"/>
                <w:highlight w:val="none"/>
                <w:vertAlign w:val="subscript"/>
              </w:rPr>
              <w:t>2</w:t>
            </w:r>
            <w:r>
              <w:rPr>
                <w:rFonts w:hint="eastAsia" w:ascii="宋体" w:hAnsi="宋体" w:eastAsia="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W</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其中</w:t>
            </w:r>
            <w:r>
              <w:rPr>
                <w:rFonts w:hint="eastAsia" w:ascii="宋体" w:hAnsi="宋体" w:eastAsia="宋体" w:cs="宋体"/>
                <w:i w:val="0"/>
                <w:iCs w:val="0"/>
                <w:caps w:val="0"/>
                <w:color w:val="auto"/>
                <w:spacing w:val="0"/>
                <w:w w:val="100"/>
                <w:position w:val="0"/>
                <w:sz w:val="21"/>
                <w:szCs w:val="21"/>
                <w:highlight w:val="none"/>
                <w:lang w:val="en-US" w:eastAsia="zh-CN"/>
              </w:rPr>
              <w:t>最高</w:t>
            </w:r>
            <w:r>
              <w:rPr>
                <w:rFonts w:hint="eastAsia" w:ascii="宋体" w:hAnsi="宋体" w:eastAsia="宋体" w:cs="宋体"/>
                <w:i w:val="0"/>
                <w:iCs w:val="0"/>
                <w:caps w:val="0"/>
                <w:color w:val="auto"/>
                <w:spacing w:val="0"/>
                <w:w w:val="100"/>
                <w:position w:val="0"/>
                <w:sz w:val="21"/>
                <w:szCs w:val="21"/>
                <w:highlight w:val="none"/>
              </w:rPr>
              <w:t>值为W</w:t>
            </w:r>
            <w:r>
              <w:rPr>
                <w:rFonts w:hint="eastAsia" w:ascii="宋体" w:hAnsi="宋体" w:cs="宋体"/>
                <w:i w:val="0"/>
                <w:iCs w:val="0"/>
                <w:caps w:val="0"/>
                <w:color w:val="auto"/>
                <w:spacing w:val="0"/>
                <w:w w:val="100"/>
                <w:position w:val="0"/>
                <w:sz w:val="21"/>
                <w:szCs w:val="21"/>
                <w:highlight w:val="none"/>
                <w:vertAlign w:val="subscript"/>
                <w:lang w:val="en-US" w:eastAsia="zh-CN"/>
              </w:rPr>
              <w:t>MAX</w:t>
            </w:r>
            <w:r>
              <w:rPr>
                <w:rFonts w:hint="eastAsia" w:ascii="宋体" w:hAnsi="宋体" w:eastAsia="宋体" w:cs="宋体"/>
                <w:i w:val="0"/>
                <w:iCs w:val="0"/>
                <w:caps w:val="0"/>
                <w:color w:val="auto"/>
                <w:spacing w:val="0"/>
                <w:w w:val="100"/>
                <w:position w:val="0"/>
                <w:sz w:val="21"/>
                <w:szCs w:val="21"/>
                <w:highlight w:val="none"/>
                <w:lang w:eastAsia="zh-CN"/>
              </w:rPr>
              <w:t>，</w:t>
            </w:r>
            <w:r>
              <w:rPr>
                <w:rFonts w:hint="eastAsia" w:ascii="宋体" w:hAnsi="宋体" w:eastAsia="宋体" w:cs="宋体"/>
                <w:i w:val="0"/>
                <w:iCs w:val="0"/>
                <w:caps w:val="0"/>
                <w:color w:val="auto"/>
                <w:spacing w:val="0"/>
                <w:w w:val="100"/>
                <w:position w:val="0"/>
                <w:sz w:val="21"/>
                <w:szCs w:val="21"/>
                <w:highlight w:val="none"/>
              </w:rPr>
              <w:t>投标人拟派项目经理信用得分：W</w:t>
            </w:r>
            <w:r>
              <w:rPr>
                <w:rFonts w:hint="eastAsia" w:ascii="宋体" w:hAnsi="宋体" w:eastAsia="宋体" w:cs="宋体"/>
                <w:i w:val="0"/>
                <w:iCs w:val="0"/>
                <w:caps w:val="0"/>
                <w:color w:val="auto"/>
                <w:spacing w:val="0"/>
                <w:w w:val="100"/>
                <w:position w:val="0"/>
                <w:sz w:val="21"/>
                <w:szCs w:val="21"/>
                <w:highlight w:val="none"/>
                <w:vertAlign w:val="subscript"/>
              </w:rPr>
              <w:t>i</w:t>
            </w:r>
            <w:r>
              <w:rPr>
                <w:rFonts w:hint="eastAsia" w:ascii="宋体" w:hAnsi="宋体" w:eastAsia="宋体" w:cs="宋体"/>
                <w:i w:val="0"/>
                <w:iCs w:val="0"/>
                <w:caps w:val="0"/>
                <w:color w:val="auto"/>
                <w:spacing w:val="0"/>
                <w:w w:val="100"/>
                <w:position w:val="0"/>
                <w:sz w:val="21"/>
                <w:szCs w:val="21"/>
                <w:highlight w:val="none"/>
              </w:rPr>
              <w:t>=5</w:t>
            </w:r>
            <w:r>
              <w:rPr>
                <w:rFonts w:hint="eastAsia" w:ascii="宋体" w:hAnsi="宋体" w:cs="宋体"/>
                <w:i w:val="0"/>
                <w:iCs w:val="0"/>
                <w:caps w:val="0"/>
                <w:color w:val="auto"/>
                <w:spacing w:val="0"/>
                <w:w w:val="100"/>
                <w:position w:val="0"/>
                <w:sz w:val="21"/>
                <w:szCs w:val="21"/>
                <w:highlight w:val="none"/>
                <w:lang w:val="en-US" w:eastAsia="zh-CN"/>
              </w:rPr>
              <w:t>×</w:t>
            </w:r>
            <w:r>
              <w:rPr>
                <w:rFonts w:hint="eastAsia" w:ascii="宋体" w:hAnsi="宋体" w:eastAsia="宋体" w:cs="宋体"/>
                <w:i w:val="0"/>
                <w:iCs w:val="0"/>
                <w:caps w:val="0"/>
                <w:color w:val="auto"/>
                <w:spacing w:val="0"/>
                <w:w w:val="100"/>
                <w:position w:val="0"/>
                <w:sz w:val="21"/>
                <w:szCs w:val="21"/>
                <w:highlight w:val="none"/>
              </w:rPr>
              <w:t>W</w:t>
            </w:r>
            <w:r>
              <w:rPr>
                <w:rFonts w:hint="eastAsia" w:ascii="宋体" w:hAnsi="宋体" w:eastAsia="宋体" w:cs="宋体"/>
                <w:i w:val="0"/>
                <w:iCs w:val="0"/>
                <w:caps w:val="0"/>
                <w:color w:val="auto"/>
                <w:spacing w:val="0"/>
                <w:w w:val="100"/>
                <w:position w:val="0"/>
                <w:sz w:val="21"/>
                <w:szCs w:val="21"/>
                <w:highlight w:val="none"/>
                <w:vertAlign w:val="subscript"/>
              </w:rPr>
              <w:t>n</w:t>
            </w:r>
            <w:r>
              <w:rPr>
                <w:rFonts w:hint="eastAsia" w:ascii="宋体" w:hAnsi="宋体" w:eastAsia="宋体" w:cs="宋体"/>
                <w:i w:val="0"/>
                <w:iCs w:val="0"/>
                <w:caps w:val="0"/>
                <w:color w:val="auto"/>
                <w:spacing w:val="0"/>
                <w:w w:val="100"/>
                <w:position w:val="0"/>
                <w:sz w:val="21"/>
                <w:szCs w:val="21"/>
                <w:highlight w:val="none"/>
              </w:rPr>
              <w:t>/W</w:t>
            </w:r>
            <w:r>
              <w:rPr>
                <w:rFonts w:hint="eastAsia" w:ascii="宋体" w:hAnsi="宋体" w:eastAsia="宋体" w:cs="宋体"/>
                <w:i w:val="0"/>
                <w:iCs w:val="0"/>
                <w:caps w:val="0"/>
                <w:color w:val="auto"/>
                <w:spacing w:val="0"/>
                <w:w w:val="100"/>
                <w:position w:val="0"/>
                <w:sz w:val="21"/>
                <w:szCs w:val="21"/>
                <w:highlight w:val="none"/>
                <w:vertAlign w:val="subscript"/>
              </w:rPr>
              <w:t>MAX</w:t>
            </w:r>
          </w:p>
        </w:tc>
        <w:tc>
          <w:tcPr>
            <w:tcW w:w="1823" w:type="dxa"/>
            <w:shd w:val="clear" w:color="auto" w:fill="auto"/>
            <w:vAlign w:val="center"/>
          </w:tcPr>
          <w:p>
            <w:pPr>
              <w:keepNext w:val="0"/>
              <w:keepLines w:val="0"/>
              <w:pageBreakBefore w:val="0"/>
              <w:kinsoku/>
              <w:wordWrap w:val="0"/>
              <w:overflowPunct/>
              <w:topLinePunct w:val="0"/>
              <w:bidi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i w:val="0"/>
                <w:iCs w:val="0"/>
                <w:caps w:val="0"/>
                <w:color w:val="auto"/>
                <w:spacing w:val="0"/>
                <w:w w:val="100"/>
                <w:position w:val="0"/>
                <w:sz w:val="21"/>
                <w:szCs w:val="21"/>
                <w:highlight w:val="none"/>
              </w:rPr>
              <w:t>0-5</w:t>
            </w:r>
            <w:r>
              <w:rPr>
                <w:rFonts w:hint="eastAsia" w:ascii="宋体" w:hAnsi="宋体" w:cs="宋体"/>
                <w:i w:val="0"/>
                <w:iCs w:val="0"/>
                <w:caps w:val="0"/>
                <w:color w:val="auto"/>
                <w:spacing w:val="0"/>
                <w:w w:val="100"/>
                <w:position w:val="0"/>
                <w:sz w:val="21"/>
                <w:szCs w:val="21"/>
                <w:highlight w:val="none"/>
                <w:lang w:eastAsia="zh-CN"/>
              </w:rPr>
              <w:t>分</w:t>
            </w:r>
          </w:p>
        </w:tc>
      </w:tr>
    </w:tbl>
    <w:p>
      <w:pPr>
        <w:pStyle w:val="3"/>
        <w:rPr>
          <w:rFonts w:hint="eastAsia"/>
          <w:color w:val="auto"/>
          <w:highlight w:val="none"/>
        </w:rPr>
      </w:pPr>
    </w:p>
    <w:bookmarkEnd w:id="620"/>
    <w:bookmarkEnd w:id="621"/>
    <w:bookmarkEnd w:id="622"/>
    <w:bookmarkEnd w:id="623"/>
    <w:bookmarkEnd w:id="624"/>
    <w:bookmarkEnd w:id="625"/>
    <w:bookmarkEnd w:id="626"/>
    <w:bookmarkEnd w:id="627"/>
    <w:p>
      <w:pPr>
        <w:pStyle w:val="43"/>
        <w:keepNext w:val="0"/>
        <w:keepLines w:val="0"/>
        <w:pageBreakBefore w:val="0"/>
        <w:widowControl/>
        <w:kinsoku/>
        <w:wordWrap w:val="0"/>
        <w:overflowPunct/>
        <w:topLinePunct w:val="0"/>
        <w:bidi w:val="0"/>
        <w:spacing w:before="0" w:beforeAutospacing="0" w:after="0" w:afterAutospacing="0" w:line="240" w:lineRule="auto"/>
        <w:jc w:val="both"/>
        <w:textAlignment w:val="auto"/>
        <w:outlineLvl w:val="9"/>
        <w:rPr>
          <w:rFonts w:hint="default" w:ascii="宋体" w:hAnsi="宋体" w:eastAsia="宋体" w:cs="宋体"/>
          <w:b/>
          <w:bCs/>
          <w:i w:val="0"/>
          <w:iCs w:val="0"/>
          <w:caps w:val="0"/>
          <w:color w:val="191919"/>
          <w:spacing w:val="0"/>
          <w:w w:val="100"/>
          <w:position w:val="0"/>
          <w:sz w:val="28"/>
          <w:szCs w:val="28"/>
          <w:lang w:val="en-US" w:eastAsia="zh-CN"/>
        </w:rPr>
      </w:pPr>
      <w:bookmarkStart w:id="628" w:name="_Toc27979"/>
      <w:bookmarkStart w:id="629" w:name="_Toc152045767"/>
      <w:bookmarkStart w:id="630" w:name="_Toc144974826"/>
      <w:bookmarkStart w:id="631" w:name="_Toc152042546"/>
      <w:bookmarkStart w:id="632" w:name="_Toc179632785"/>
      <w:r>
        <w:rPr>
          <w:rFonts w:hint="eastAsia" w:ascii="宋体" w:hAnsi="宋体" w:eastAsia="宋体" w:cs="宋体"/>
          <w:b/>
          <w:bCs/>
          <w:i w:val="0"/>
          <w:iCs w:val="0"/>
          <w:caps w:val="0"/>
          <w:color w:val="191919"/>
          <w:spacing w:val="0"/>
          <w:w w:val="100"/>
          <w:position w:val="0"/>
          <w:sz w:val="28"/>
          <w:szCs w:val="28"/>
          <w:lang w:val="en-US" w:eastAsia="zh-CN"/>
        </w:rPr>
        <w:t>附件</w:t>
      </w:r>
      <w:bookmarkEnd w:id="628"/>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outlineLvl w:val="9"/>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（一）评标基准价的计算</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1.有关定义：</w:t>
      </w:r>
    </w:p>
    <w:tbl>
      <w:tblPr>
        <w:tblStyle w:val="49"/>
        <w:tblW w:w="97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2"/>
        <w:gridCol w:w="22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X</w:t>
            </w:r>
            <w:r>
              <w:rPr>
                <w:rFonts w:hint="eastAsia" w:ascii="宋体" w:hAnsi="宋体" w:eastAsia="宋体" w:cs="宋体"/>
                <w:i w:val="0"/>
                <w:iCs w:val="0"/>
                <w:color w:val="191919"/>
                <w:spacing w:val="0"/>
                <w:w w:val="100"/>
                <w:kern w:val="0"/>
                <w:position w:val="0"/>
                <w:sz w:val="21"/>
                <w:szCs w:val="21"/>
                <w:u w:val="none"/>
                <w:vertAlign w:val="subscript"/>
                <w:lang w:val="en-US" w:eastAsia="zh-CN" w:bidi="ar"/>
              </w:rPr>
              <w:t>i</w:t>
            </w:r>
            <w:r>
              <w:rPr>
                <w:rFonts w:hint="eastAsia" w:ascii="宋体" w:hAnsi="宋体" w:eastAsia="宋体" w:cs="宋体"/>
                <w:i w:val="0"/>
                <w:iCs w:val="0"/>
                <w:color w:val="191919"/>
                <w:spacing w:val="0"/>
                <w:w w:val="100"/>
                <w:kern w:val="0"/>
                <w:position w:val="0"/>
                <w:sz w:val="21"/>
                <w:szCs w:val="21"/>
                <w:u w:val="none"/>
                <w:lang w:val="en-US" w:eastAsia="zh-CN" w:bidi="ar"/>
              </w:rPr>
              <w:t>， i为1到N的整数值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有效投标报价的数量</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有效投标报价的算术平均值</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求和</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有效投标报价的标准差</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position w:val="0"/>
                <w:sz w:val="21"/>
                <w:szCs w:val="21"/>
                <w:u w:val="none"/>
              </w:rPr>
              <w:t>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变异系数</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参与评标基准价计算的有效投标报价范围的最大值（上限）</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参与评标基准价计算的有效投标报价范围的最小值（下限）</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确定参与评标基准价计算的有效投标报价范围的调整系数</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参与投标报价基准价计算去掉最高最低值的数量</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投标报价基准价</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分部分项工程项目清单综合单价的基准价</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Jf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措施项目费（不含安全文明施工措施费）的基准价</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Js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5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材料单价的基准价</w:t>
            </w:r>
          </w:p>
        </w:tc>
        <w:tc>
          <w:tcPr>
            <w:tcW w:w="2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Jc</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2.投标报价基准价计算</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lang w:eastAsia="zh-CN"/>
        </w:rPr>
      </w:pPr>
      <w:r>
        <w:rPr>
          <w:rFonts w:hint="eastAsia" w:ascii="宋体" w:hAnsi="宋体" w:eastAsia="宋体" w:cs="宋体"/>
          <w:i w:val="0"/>
          <w:iCs w:val="0"/>
          <w:caps w:val="0"/>
          <w:color w:val="191919"/>
          <w:spacing w:val="0"/>
          <w:w w:val="100"/>
          <w:position w:val="0"/>
          <w:sz w:val="21"/>
          <w:szCs w:val="21"/>
        </w:rPr>
        <w:t>有效投标报价数据（</w:t>
      </w:r>
      <w:r>
        <w:rPr>
          <w:rFonts w:hint="default" w:ascii="Cambria" w:hAnsi="Cambria" w:eastAsia="宋体" w:cs="Cambria"/>
          <w:i w:val="0"/>
          <w:iCs w:val="0"/>
          <w:color w:val="191919"/>
          <w:spacing w:val="0"/>
          <w:w w:val="100"/>
          <w:kern w:val="0"/>
          <w:position w:val="0"/>
          <w:sz w:val="21"/>
          <w:szCs w:val="21"/>
          <w:u w:val="none"/>
          <w:lang w:val="en-US" w:eastAsia="zh-CN" w:bidi="ar"/>
        </w:rPr>
        <w:t>X</w:t>
      </w:r>
      <w:r>
        <w:rPr>
          <w:rFonts w:hint="default" w:ascii="Cambria" w:hAnsi="Cambria" w:eastAsia="宋体" w:cs="Cambria"/>
          <w:i w:val="0"/>
          <w:iCs w:val="0"/>
          <w:color w:val="191919"/>
          <w:spacing w:val="0"/>
          <w:w w:val="100"/>
          <w:kern w:val="0"/>
          <w:position w:val="0"/>
          <w:sz w:val="21"/>
          <w:szCs w:val="21"/>
          <w:u w:val="none"/>
          <w:vertAlign w:val="subscript"/>
          <w:lang w:val="en-US" w:eastAsia="zh-CN" w:bidi="ar"/>
        </w:rPr>
        <w:t>1</w:t>
      </w:r>
      <w:r>
        <w:rPr>
          <w:rFonts w:hint="default" w:ascii="Cambria" w:hAnsi="Cambria" w:eastAsia="宋体" w:cs="Cambria"/>
          <w:i w:val="0"/>
          <w:iCs w:val="0"/>
          <w:color w:val="191919"/>
          <w:spacing w:val="0"/>
          <w:w w:val="100"/>
          <w:kern w:val="0"/>
          <w:position w:val="0"/>
          <w:sz w:val="21"/>
          <w:szCs w:val="21"/>
          <w:u w:val="none"/>
          <w:lang w:val="en-US" w:eastAsia="zh-CN" w:bidi="ar"/>
        </w:rPr>
        <w:t>，X</w:t>
      </w:r>
      <w:r>
        <w:rPr>
          <w:rFonts w:hint="default" w:ascii="Cambria" w:hAnsi="Cambria" w:eastAsia="宋体" w:cs="Cambria"/>
          <w:i w:val="0"/>
          <w:iCs w:val="0"/>
          <w:color w:val="191919"/>
          <w:spacing w:val="0"/>
          <w:w w:val="100"/>
          <w:kern w:val="0"/>
          <w:position w:val="0"/>
          <w:sz w:val="21"/>
          <w:szCs w:val="21"/>
          <w:u w:val="none"/>
          <w:vertAlign w:val="subscript"/>
          <w:lang w:val="en-US" w:eastAsia="zh-CN" w:bidi="ar"/>
        </w:rPr>
        <w:t>2</w:t>
      </w:r>
      <w:r>
        <w:rPr>
          <w:rFonts w:hint="eastAsia" w:ascii="Cambria" w:hAnsi="Cambria" w:eastAsia="宋体" w:cs="Cambria"/>
          <w:i w:val="0"/>
          <w:iCs w:val="0"/>
          <w:color w:val="191919"/>
          <w:spacing w:val="0"/>
          <w:w w:val="100"/>
          <w:kern w:val="0"/>
          <w:position w:val="0"/>
          <w:sz w:val="21"/>
          <w:szCs w:val="21"/>
          <w:u w:val="none"/>
          <w:lang w:val="en-US" w:eastAsia="zh-CN" w:bidi="ar"/>
        </w:rPr>
        <w:t>，</w:t>
      </w:r>
      <w:r>
        <w:rPr>
          <w:rFonts w:hint="default" w:ascii="Cambria" w:hAnsi="Cambria" w:eastAsia="宋体" w:cs="Cambria"/>
          <w:i w:val="0"/>
          <w:iCs w:val="0"/>
          <w:color w:val="191919"/>
          <w:spacing w:val="0"/>
          <w:w w:val="100"/>
          <w:kern w:val="0"/>
          <w:position w:val="0"/>
          <w:sz w:val="21"/>
          <w:szCs w:val="21"/>
          <w:u w:val="none"/>
          <w:lang w:val="en-US" w:eastAsia="zh-CN" w:bidi="ar"/>
        </w:rPr>
        <w:t xml:space="preserve"> X</w:t>
      </w:r>
      <w:r>
        <w:rPr>
          <w:rFonts w:hint="default" w:ascii="Cambria" w:hAnsi="Cambria" w:eastAsia="宋体" w:cs="Cambria"/>
          <w:i w:val="0"/>
          <w:iCs w:val="0"/>
          <w:color w:val="191919"/>
          <w:spacing w:val="0"/>
          <w:w w:val="100"/>
          <w:kern w:val="0"/>
          <w:position w:val="0"/>
          <w:sz w:val="21"/>
          <w:szCs w:val="21"/>
          <w:u w:val="none"/>
          <w:vertAlign w:val="subscript"/>
          <w:lang w:val="en-US" w:eastAsia="zh-CN" w:bidi="ar"/>
        </w:rPr>
        <w:t>3</w:t>
      </w:r>
      <w:r>
        <w:rPr>
          <w:rFonts w:hint="default" w:ascii="Cambria" w:hAnsi="Cambria" w:eastAsia="宋体" w:cs="Cambria"/>
          <w:i w:val="0"/>
          <w:iCs w:val="0"/>
          <w:color w:val="191919"/>
          <w:spacing w:val="0"/>
          <w:w w:val="100"/>
          <w:kern w:val="0"/>
          <w:position w:val="0"/>
          <w:sz w:val="21"/>
          <w:szCs w:val="21"/>
          <w:u w:val="none"/>
          <w:lang w:val="en-US" w:eastAsia="zh-CN" w:bidi="ar"/>
        </w:rPr>
        <w:t xml:space="preserve"> ……X</w:t>
      </w:r>
      <w:r>
        <w:rPr>
          <w:rFonts w:hint="default" w:ascii="Cambria" w:hAnsi="Cambria" w:eastAsia="宋体" w:cs="Cambria"/>
          <w:i w:val="0"/>
          <w:iCs w:val="0"/>
          <w:color w:val="191919"/>
          <w:spacing w:val="0"/>
          <w:w w:val="100"/>
          <w:kern w:val="0"/>
          <w:position w:val="0"/>
          <w:sz w:val="21"/>
          <w:szCs w:val="21"/>
          <w:u w:val="none"/>
          <w:vertAlign w:val="subscript"/>
          <w:lang w:val="en-US" w:eastAsia="zh-CN" w:bidi="ar"/>
        </w:rPr>
        <w:t>n</w:t>
      </w:r>
      <w:r>
        <w:rPr>
          <w:rFonts w:hint="eastAsia" w:ascii="宋体" w:hAnsi="宋体" w:eastAsia="宋体" w:cs="宋体"/>
          <w:i w:val="0"/>
          <w:iCs w:val="0"/>
          <w:caps w:val="0"/>
          <w:color w:val="191919"/>
          <w:spacing w:val="0"/>
          <w:w w:val="100"/>
          <w:position w:val="0"/>
          <w:sz w:val="21"/>
          <w:szCs w:val="21"/>
        </w:rPr>
        <w:t>）</w:t>
      </w:r>
      <w:r>
        <w:rPr>
          <w:rFonts w:hint="eastAsia" w:ascii="宋体" w:hAnsi="宋体" w:eastAsia="宋体" w:cs="宋体"/>
          <w:i w:val="0"/>
          <w:iCs w:val="0"/>
          <w:caps w:val="0"/>
          <w:color w:val="191919"/>
          <w:spacing w:val="0"/>
          <w:w w:val="100"/>
          <w:position w:val="0"/>
          <w:sz w:val="21"/>
          <w:szCs w:val="21"/>
          <w:lang w:eastAsia="zh-CN"/>
        </w:rPr>
        <w:t>，</w:t>
      </w:r>
      <w:r>
        <w:rPr>
          <w:rFonts w:hint="eastAsia" w:ascii="宋体" w:hAnsi="宋体" w:eastAsia="宋体" w:cs="宋体"/>
          <w:i w:val="0"/>
          <w:iCs w:val="0"/>
          <w:caps w:val="0"/>
          <w:color w:val="191919"/>
          <w:spacing w:val="0"/>
          <w:w w:val="100"/>
          <w:position w:val="0"/>
          <w:sz w:val="21"/>
          <w:szCs w:val="21"/>
        </w:rPr>
        <w:t>其平均值为</w:t>
      </w:r>
      <w:r>
        <w:rPr>
          <w:rFonts w:hint="default" w:ascii="Calibri" w:hAnsi="Calibri" w:eastAsia="宋体" w:cs="Calibri"/>
          <w:i w:val="0"/>
          <w:iCs w:val="0"/>
          <w:caps w:val="0"/>
          <w:color w:val="191919"/>
          <w:spacing w:val="0"/>
          <w:w w:val="100"/>
          <w:position w:val="0"/>
          <w:sz w:val="21"/>
          <w:szCs w:val="21"/>
          <w:lang w:val="en-US" w:eastAsia="zh-CN"/>
        </w:rPr>
        <w:t>µ</w:t>
      </w:r>
      <w:r>
        <w:rPr>
          <w:rFonts w:hint="eastAsia" w:ascii="宋体" w:hAnsi="宋体" w:eastAsia="宋体" w:cs="宋体"/>
          <w:i w:val="0"/>
          <w:iCs w:val="0"/>
          <w:caps w:val="0"/>
          <w:color w:val="191919"/>
          <w:spacing w:val="0"/>
          <w:w w:val="100"/>
          <w:position w:val="0"/>
          <w:sz w:val="21"/>
          <w:szCs w:val="21"/>
          <w:lang w:eastAsia="zh-CN"/>
        </w:rPr>
        <w:t>，</w:t>
      </w:r>
    </w:p>
    <w:p>
      <w:pPr>
        <w:spacing w:line="360" w:lineRule="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spacing w:val="0"/>
          <w:w w:val="100"/>
          <w:position w:val="0"/>
          <w:sz w:val="21"/>
          <w:szCs w:val="21"/>
        </w:rPr>
        <w:drawing>
          <wp:inline distT="0" distB="0" distL="114300" distR="114300">
            <wp:extent cx="1036955" cy="454025"/>
            <wp:effectExtent l="0" t="0" r="10795" b="317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1"/>
                    <a:srcRect r="2740"/>
                    <a:stretch>
                      <a:fillRect/>
                    </a:stretch>
                  </pic:blipFill>
                  <pic:spPr>
                    <a:xfrm>
                      <a:off x="0" y="0"/>
                      <a:ext cx="1036955" cy="454025"/>
                    </a:xfrm>
                    <a:prstGeom prst="rect">
                      <a:avLst/>
                    </a:prstGeom>
                    <a:noFill/>
                    <a:ln>
                      <a:noFill/>
                    </a:ln>
                  </pic:spPr>
                </pic:pic>
              </a:graphicData>
            </a:graphic>
          </wp:inline>
        </w:drawing>
      </w:r>
      <w:r>
        <w:rPr>
          <w:rFonts w:hint="eastAsia" w:ascii="宋体" w:hAnsi="宋体" w:eastAsia="宋体" w:cs="宋体"/>
          <w:i w:val="0"/>
          <w:iCs w:val="0"/>
          <w:caps w:val="0"/>
          <w:color w:val="191919"/>
          <w:spacing w:val="0"/>
          <w:w w:val="100"/>
          <w:position w:val="0"/>
          <w:sz w:val="21"/>
          <w:szCs w:val="21"/>
          <w:lang w:val="en-US" w:eastAsia="zh-CN"/>
        </w:rPr>
        <w:t>；其标准差为</w:t>
      </w:r>
      <w:r>
        <w:rPr>
          <w:rFonts w:hint="default" w:ascii="Calibri" w:hAnsi="Calibri" w:eastAsia="宋体" w:cs="Calibri"/>
          <w:i w:val="0"/>
          <w:iCs w:val="0"/>
          <w:color w:val="191919"/>
          <w:spacing w:val="0"/>
          <w:w w:val="100"/>
          <w:kern w:val="0"/>
          <w:position w:val="0"/>
          <w:sz w:val="21"/>
          <w:szCs w:val="21"/>
          <w:u w:val="none"/>
          <w:lang w:val="en-US" w:eastAsia="zh-CN" w:bidi="ar"/>
        </w:rPr>
        <w:t>σ</w:t>
      </w:r>
      <w:r>
        <w:rPr>
          <w:rFonts w:hint="eastAsia" w:ascii="宋体" w:hAnsi="宋体" w:eastAsia="宋体" w:cs="宋体"/>
          <w:i w:val="0"/>
          <w:iCs w:val="0"/>
          <w:color w:val="191919"/>
          <w:spacing w:val="0"/>
          <w:w w:val="100"/>
          <w:position w:val="0"/>
          <w:sz w:val="21"/>
          <w:szCs w:val="21"/>
          <w:u w:val="none"/>
          <w:lang w:eastAsia="zh-CN"/>
        </w:rPr>
        <w:t>，</w:t>
      </w:r>
      <w:r>
        <w:rPr>
          <w:rFonts w:hint="eastAsia" w:ascii="宋体" w:hAnsi="宋体" w:eastAsia="宋体" w:cs="宋体"/>
          <w:spacing w:val="0"/>
          <w:w w:val="100"/>
          <w:position w:val="0"/>
          <w:sz w:val="21"/>
          <w:szCs w:val="21"/>
        </w:rPr>
        <w:drawing>
          <wp:inline distT="0" distB="0" distL="114300" distR="114300">
            <wp:extent cx="1343025" cy="492125"/>
            <wp:effectExtent l="0" t="0" r="952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1343025" cy="492125"/>
                    </a:xfrm>
                    <a:prstGeom prst="rect">
                      <a:avLst/>
                    </a:prstGeom>
                    <a:noFill/>
                    <a:ln>
                      <a:noFill/>
                    </a:ln>
                  </pic:spPr>
                </pic:pic>
              </a:graphicData>
            </a:graphic>
          </wp:inline>
        </w:drawing>
      </w:r>
      <w:r>
        <w:rPr>
          <w:rFonts w:hint="eastAsia" w:ascii="宋体" w:hAnsi="宋体" w:eastAsia="宋体" w:cs="宋体"/>
          <w:spacing w:val="0"/>
          <w:w w:val="100"/>
          <w:position w:val="0"/>
          <w:sz w:val="21"/>
          <w:szCs w:val="21"/>
          <w:lang w:eastAsia="zh-CN"/>
        </w:rPr>
        <w:t>；</w:t>
      </w:r>
      <w:r>
        <w:rPr>
          <w:rFonts w:hint="eastAsia" w:ascii="宋体" w:hAnsi="宋体" w:eastAsia="宋体" w:cs="宋体"/>
          <w:spacing w:val="0"/>
          <w:w w:val="100"/>
          <w:position w:val="0"/>
          <w:sz w:val="21"/>
          <w:szCs w:val="21"/>
          <w:lang w:val="en-US" w:eastAsia="zh-CN"/>
        </w:rPr>
        <w:t>标准差与平均数</w:t>
      </w:r>
      <w:r>
        <w:rPr>
          <w:rFonts w:hint="eastAsia" w:ascii="宋体" w:hAnsi="宋体" w:eastAsia="宋体" w:cs="宋体"/>
          <w:i w:val="0"/>
          <w:iCs w:val="0"/>
          <w:caps w:val="0"/>
          <w:color w:val="191919"/>
          <w:spacing w:val="0"/>
          <w:w w:val="100"/>
          <w:position w:val="0"/>
          <w:sz w:val="21"/>
          <w:szCs w:val="21"/>
        </w:rPr>
        <w:t>的比值为变异系数，记为</w:t>
      </w:r>
      <w:r>
        <w:rPr>
          <w:rFonts w:hint="default" w:ascii="Cambria" w:hAnsi="Cambria" w:eastAsia="宋体" w:cs="Cambria"/>
          <w:i w:val="0"/>
          <w:iCs w:val="0"/>
          <w:color w:val="191919"/>
          <w:spacing w:val="0"/>
          <w:w w:val="100"/>
          <w:kern w:val="0"/>
          <w:position w:val="0"/>
          <w:sz w:val="21"/>
          <w:szCs w:val="21"/>
          <w:u w:val="none"/>
          <w:lang w:val="en-US" w:eastAsia="zh-CN" w:bidi="ar"/>
        </w:rPr>
        <w:t>Z</w:t>
      </w:r>
      <w:r>
        <w:rPr>
          <w:rFonts w:hint="eastAsia" w:ascii="Cambria" w:hAnsi="Cambria" w:eastAsia="宋体" w:cs="Cambria"/>
          <w:i w:val="0"/>
          <w:iCs w:val="0"/>
          <w:color w:val="191919"/>
          <w:spacing w:val="0"/>
          <w:w w:val="100"/>
          <w:kern w:val="0"/>
          <w:position w:val="0"/>
          <w:sz w:val="21"/>
          <w:szCs w:val="21"/>
          <w:u w:val="none"/>
          <w:lang w:val="en-US" w:eastAsia="zh-CN" w:bidi="ar"/>
        </w:rPr>
        <w:t>，</w:t>
      </w:r>
      <w:r>
        <w:rPr>
          <w:rFonts w:hint="default" w:ascii="Cambria" w:hAnsi="Cambria" w:eastAsia="宋体" w:cs="Cambria"/>
          <w:i w:val="0"/>
          <w:iCs w:val="0"/>
          <w:color w:val="191919"/>
          <w:spacing w:val="0"/>
          <w:w w:val="100"/>
          <w:kern w:val="0"/>
          <w:position w:val="0"/>
          <w:sz w:val="21"/>
          <w:szCs w:val="21"/>
          <w:u w:val="none"/>
          <w:lang w:val="en-US" w:eastAsia="zh-CN" w:bidi="ar"/>
        </w:rPr>
        <w:t>Z=（σ/µ）×100%</w:t>
      </w:r>
      <w:r>
        <w:rPr>
          <w:rFonts w:hint="eastAsia" w:ascii="宋体" w:hAnsi="宋体" w:eastAsia="宋体" w:cs="宋体"/>
          <w:i w:val="0"/>
          <w:iCs w:val="0"/>
          <w:caps w:val="0"/>
          <w:color w:val="191919"/>
          <w:spacing w:val="0"/>
          <w:w w:val="100"/>
          <w:position w:val="0"/>
          <w:sz w:val="21"/>
          <w:szCs w:val="21"/>
          <w:lang w:eastAsia="zh-CN"/>
        </w:rPr>
        <w:t>；</w:t>
      </w:r>
      <w:r>
        <w:rPr>
          <w:rFonts w:hint="eastAsia" w:ascii="宋体" w:hAnsi="宋体" w:eastAsia="宋体" w:cs="宋体"/>
          <w:i w:val="0"/>
          <w:iCs w:val="0"/>
          <w:caps w:val="0"/>
          <w:color w:val="191919"/>
          <w:spacing w:val="0"/>
          <w:w w:val="100"/>
          <w:position w:val="0"/>
          <w:sz w:val="21"/>
          <w:szCs w:val="21"/>
        </w:rPr>
        <w:t>参与评标基准价计算的有效投标报价范围的最大值（上限</w:t>
      </w:r>
      <w:r>
        <w:rPr>
          <w:rFonts w:hint="eastAsia" w:ascii="宋体" w:hAnsi="宋体" w:eastAsia="宋体" w:cs="宋体"/>
          <w:i w:val="0"/>
          <w:iCs w:val="0"/>
          <w:caps w:val="0"/>
          <w:color w:val="191919"/>
          <w:spacing w:val="0"/>
          <w:w w:val="100"/>
          <w:position w:val="0"/>
          <w:sz w:val="21"/>
          <w:szCs w:val="21"/>
          <w:lang w:eastAsia="zh-CN"/>
        </w:rPr>
        <w:t>）</w:t>
      </w:r>
      <w:r>
        <w:rPr>
          <w:rFonts w:hint="eastAsia" w:ascii="宋体" w:hAnsi="宋体" w:eastAsia="宋体" w:cs="宋体"/>
          <w:i w:val="0"/>
          <w:iCs w:val="0"/>
          <w:caps w:val="0"/>
          <w:color w:val="191919"/>
          <w:spacing w:val="0"/>
          <w:w w:val="100"/>
          <w:position w:val="0"/>
          <w:sz w:val="21"/>
          <w:szCs w:val="21"/>
        </w:rPr>
        <w:t>确定为：</w:t>
      </w:r>
      <w:r>
        <w:rPr>
          <w:rFonts w:hint="default" w:ascii="Cambria" w:hAnsi="Cambria" w:eastAsia="宋体" w:cs="Cambria"/>
          <w:i w:val="0"/>
          <w:iCs w:val="0"/>
          <w:color w:val="191919"/>
          <w:spacing w:val="0"/>
          <w:w w:val="100"/>
          <w:kern w:val="0"/>
          <w:position w:val="0"/>
          <w:sz w:val="21"/>
          <w:szCs w:val="21"/>
          <w:u w:val="none"/>
          <w:lang w:val="en-US" w:eastAsia="zh-CN" w:bidi="ar"/>
        </w:rPr>
        <w:t>MAX=µ+3×K×σ</w:t>
      </w:r>
      <w:r>
        <w:rPr>
          <w:rFonts w:hint="eastAsia" w:ascii="宋体" w:hAnsi="宋体" w:eastAsia="宋体" w:cs="宋体"/>
          <w:i w:val="0"/>
          <w:iCs w:val="0"/>
          <w:caps w:val="0"/>
          <w:color w:val="191919"/>
          <w:spacing w:val="0"/>
          <w:w w:val="100"/>
          <w:position w:val="0"/>
          <w:sz w:val="21"/>
          <w:szCs w:val="21"/>
          <w:lang w:eastAsia="zh-CN"/>
        </w:rPr>
        <w:t>，</w:t>
      </w:r>
      <w:r>
        <w:rPr>
          <w:rFonts w:hint="eastAsia" w:ascii="宋体" w:hAnsi="宋体" w:eastAsia="宋体" w:cs="宋体"/>
          <w:i w:val="0"/>
          <w:iCs w:val="0"/>
          <w:caps w:val="0"/>
          <w:color w:val="191919"/>
          <w:spacing w:val="0"/>
          <w:w w:val="100"/>
          <w:position w:val="0"/>
          <w:sz w:val="21"/>
          <w:szCs w:val="21"/>
        </w:rPr>
        <w:t>最小值（下限）为：</w:t>
      </w:r>
      <w:r>
        <w:rPr>
          <w:rFonts w:hint="eastAsia" w:ascii="Cambria" w:hAnsi="Cambria" w:eastAsia="宋体" w:cs="Cambria"/>
          <w:i w:val="0"/>
          <w:iCs w:val="0"/>
          <w:color w:val="191919"/>
          <w:spacing w:val="0"/>
          <w:w w:val="100"/>
          <w:kern w:val="0"/>
          <w:position w:val="0"/>
          <w:sz w:val="21"/>
          <w:szCs w:val="21"/>
          <w:u w:val="none"/>
          <w:lang w:val="en-US" w:eastAsia="zh-CN" w:bidi="ar"/>
        </w:rPr>
        <w:t>MIN=µ-2</w:t>
      </w:r>
      <w:r>
        <w:rPr>
          <w:rFonts w:hint="default" w:ascii="Cambria" w:hAnsi="Cambria" w:eastAsia="宋体" w:cs="Cambria"/>
          <w:i w:val="0"/>
          <w:iCs w:val="0"/>
          <w:color w:val="191919"/>
          <w:spacing w:val="0"/>
          <w:w w:val="100"/>
          <w:kern w:val="0"/>
          <w:position w:val="0"/>
          <w:sz w:val="21"/>
          <w:szCs w:val="21"/>
          <w:u w:val="none"/>
          <w:lang w:val="en-US" w:eastAsia="zh-CN" w:bidi="ar"/>
        </w:rPr>
        <w:t>×K×σ</w:t>
      </w:r>
      <w:r>
        <w:rPr>
          <w:rFonts w:hint="eastAsia" w:ascii="宋体" w:hAnsi="宋体" w:eastAsia="宋体" w:cs="宋体"/>
          <w:i w:val="0"/>
          <w:iCs w:val="0"/>
          <w:color w:val="191919"/>
          <w:spacing w:val="0"/>
          <w:w w:val="100"/>
          <w:position w:val="0"/>
          <w:sz w:val="21"/>
          <w:szCs w:val="21"/>
          <w:u w:val="none"/>
          <w:lang w:eastAsia="zh-CN"/>
        </w:rPr>
        <w:t>；</w:t>
      </w:r>
      <w:r>
        <w:rPr>
          <w:rFonts w:hint="eastAsia" w:ascii="宋体" w:hAnsi="宋体" w:eastAsia="宋体" w:cs="宋体"/>
          <w:i w:val="0"/>
          <w:iCs w:val="0"/>
          <w:caps w:val="0"/>
          <w:color w:val="191919"/>
          <w:spacing w:val="0"/>
          <w:w w:val="100"/>
          <w:position w:val="0"/>
          <w:sz w:val="21"/>
          <w:szCs w:val="21"/>
        </w:rPr>
        <w:t>在此范围内的有效投标报价参与评标基准价的计算。</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lang w:eastAsia="zh-CN"/>
        </w:rPr>
      </w:pPr>
      <w:r>
        <w:rPr>
          <w:rFonts w:hint="eastAsia" w:ascii="宋体" w:hAnsi="宋体" w:eastAsia="宋体" w:cs="宋体"/>
          <w:i w:val="0"/>
          <w:iCs w:val="0"/>
          <w:caps w:val="0"/>
          <w:color w:val="191919"/>
          <w:spacing w:val="0"/>
          <w:w w:val="100"/>
          <w:position w:val="0"/>
          <w:sz w:val="21"/>
          <w:szCs w:val="21"/>
        </w:rPr>
        <w:t>K值的取值为</w:t>
      </w:r>
      <w:r>
        <w:rPr>
          <w:rFonts w:hint="eastAsia" w:ascii="宋体" w:hAnsi="宋体" w:eastAsia="宋体" w:cs="宋体"/>
          <w:i w:val="0"/>
          <w:iCs w:val="0"/>
          <w:caps w:val="0"/>
          <w:color w:val="191919"/>
          <w:spacing w:val="0"/>
          <w:w w:val="100"/>
          <w:position w:val="0"/>
          <w:sz w:val="21"/>
          <w:szCs w:val="21"/>
          <w:lang w:eastAsia="zh-CN"/>
        </w:rPr>
        <w:t>：</w:t>
      </w:r>
    </w:p>
    <w:tbl>
      <w:tblPr>
        <w:tblStyle w:val="49"/>
        <w:tblW w:w="97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3"/>
        <w:gridCol w:w="2506"/>
        <w:gridCol w:w="1189"/>
        <w:gridCol w:w="1166"/>
        <w:gridCol w:w="2079"/>
        <w:gridCol w:w="16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1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序号</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Z范围</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K值</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序号</w:t>
            </w:r>
          </w:p>
        </w:tc>
        <w:tc>
          <w:tcPr>
            <w:tcW w:w="20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Z范围</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K值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1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1</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Z</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10%</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0.1</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4</w:t>
            </w:r>
          </w:p>
        </w:tc>
        <w:tc>
          <w:tcPr>
            <w:tcW w:w="20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6%</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Z</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4%</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1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2</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10%</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Z</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8%</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0.15</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5</w:t>
            </w:r>
          </w:p>
        </w:tc>
        <w:tc>
          <w:tcPr>
            <w:tcW w:w="20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4%</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Z</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2%</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1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3</w:t>
            </w:r>
          </w:p>
        </w:tc>
        <w:tc>
          <w:tcPr>
            <w:tcW w:w="25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8%</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Z</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6%</w:t>
            </w:r>
          </w:p>
        </w:tc>
        <w:tc>
          <w:tcPr>
            <w:tcW w:w="11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0.2</w:t>
            </w:r>
          </w:p>
        </w:tc>
        <w:tc>
          <w:tcPr>
            <w:tcW w:w="11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6</w:t>
            </w:r>
          </w:p>
        </w:tc>
        <w:tc>
          <w:tcPr>
            <w:tcW w:w="20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2%</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Z</w:t>
            </w:r>
            <w:r>
              <w:rPr>
                <w:rFonts w:hint="eastAsia" w:ascii="宋体" w:hAnsi="宋体" w:cs="宋体"/>
                <w:i w:val="0"/>
                <w:iCs w:val="0"/>
                <w:color w:val="191919"/>
                <w:spacing w:val="0"/>
                <w:w w:val="100"/>
                <w:kern w:val="0"/>
                <w:position w:val="0"/>
                <w:sz w:val="21"/>
                <w:szCs w:val="21"/>
                <w:u w:val="none"/>
                <w:lang w:val="en-US" w:eastAsia="zh-CN" w:bidi="ar"/>
              </w:rPr>
              <w:t>＞</w:t>
            </w:r>
            <w:r>
              <w:rPr>
                <w:rFonts w:hint="eastAsia" w:ascii="宋体" w:hAnsi="宋体" w:eastAsia="宋体" w:cs="宋体"/>
                <w:i w:val="0"/>
                <w:iCs w:val="0"/>
                <w:color w:val="191919"/>
                <w:spacing w:val="0"/>
                <w:w w:val="100"/>
                <w:kern w:val="0"/>
                <w:position w:val="0"/>
                <w:sz w:val="21"/>
                <w:szCs w:val="21"/>
                <w:u w:val="none"/>
                <w:lang w:val="en-US" w:eastAsia="zh-CN" w:bidi="ar"/>
              </w:rPr>
              <w:t>0%</w:t>
            </w:r>
          </w:p>
        </w:tc>
        <w:tc>
          <w:tcPr>
            <w:tcW w:w="16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0.35</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投标报价基准价计算规则见下表。</w:t>
      </w:r>
    </w:p>
    <w:tbl>
      <w:tblPr>
        <w:tblStyle w:val="49"/>
        <w:tblW w:w="9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71"/>
        <w:gridCol w:w="56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jc w:val="center"/>
        </w:trPr>
        <w:tc>
          <w:tcPr>
            <w:tcW w:w="4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pacing w:val="0"/>
                <w:w w:val="100"/>
                <w:position w:val="0"/>
                <w:sz w:val="21"/>
                <w:szCs w:val="21"/>
                <w:u w:val="none"/>
              </w:rPr>
            </w:pPr>
            <w:r>
              <w:rPr>
                <w:rFonts w:hint="eastAsia" w:ascii="宋体" w:hAnsi="宋体" w:eastAsia="宋体" w:cs="宋体"/>
                <w:i w:val="0"/>
                <w:iCs w:val="0"/>
                <w:color w:val="000000"/>
                <w:spacing w:val="0"/>
                <w:w w:val="100"/>
                <w:kern w:val="0"/>
                <w:position w:val="0"/>
                <w:sz w:val="21"/>
                <w:szCs w:val="21"/>
                <w:u w:val="none"/>
                <w:lang w:val="en-US" w:eastAsia="zh-CN" w:bidi="ar"/>
              </w:rPr>
              <w:t>有效投标报价在MAX、MIN范围内（含MAX、MIN值）的个数</w:t>
            </w:r>
          </w:p>
        </w:tc>
        <w:tc>
          <w:tcPr>
            <w:tcW w:w="5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pacing w:val="0"/>
                <w:w w:val="100"/>
                <w:position w:val="0"/>
                <w:sz w:val="21"/>
                <w:szCs w:val="21"/>
                <w:u w:val="none"/>
              </w:rPr>
            </w:pPr>
            <w:r>
              <w:rPr>
                <w:rFonts w:hint="eastAsia" w:ascii="宋体" w:hAnsi="宋体" w:eastAsia="宋体" w:cs="宋体"/>
                <w:i w:val="0"/>
                <w:iCs w:val="0"/>
                <w:color w:val="000000"/>
                <w:spacing w:val="0"/>
                <w:w w:val="100"/>
                <w:kern w:val="0"/>
                <w:position w:val="0"/>
                <w:sz w:val="21"/>
                <w:szCs w:val="21"/>
                <w:u w:val="none"/>
                <w:lang w:val="en-US" w:eastAsia="zh-CN" w:bidi="ar"/>
              </w:rPr>
              <w:t>投标报价基准价J的计算方法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jc w:val="center"/>
        </w:trPr>
        <w:tc>
          <w:tcPr>
            <w:tcW w:w="4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pacing w:val="0"/>
                <w:w w:val="100"/>
                <w:position w:val="0"/>
                <w:sz w:val="21"/>
                <w:szCs w:val="21"/>
                <w:u w:val="none"/>
              </w:rPr>
            </w:pPr>
            <w:r>
              <w:rPr>
                <w:rFonts w:hint="eastAsia" w:ascii="宋体" w:hAnsi="宋体" w:eastAsia="宋体" w:cs="宋体"/>
                <w:i w:val="0"/>
                <w:iCs w:val="0"/>
                <w:color w:val="000000"/>
                <w:spacing w:val="0"/>
                <w:w w:val="100"/>
                <w:kern w:val="0"/>
                <w:position w:val="0"/>
                <w:sz w:val="21"/>
                <w:szCs w:val="21"/>
                <w:u w:val="none"/>
                <w:lang w:val="en-US" w:eastAsia="zh-CN" w:bidi="ar"/>
              </w:rPr>
              <w:t>个数＜3</w:t>
            </w:r>
          </w:p>
        </w:tc>
        <w:tc>
          <w:tcPr>
            <w:tcW w:w="5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pacing w:val="0"/>
                <w:w w:val="100"/>
                <w:position w:val="0"/>
                <w:sz w:val="21"/>
                <w:szCs w:val="21"/>
                <w:u w:val="none"/>
              </w:rPr>
            </w:pPr>
            <w:r>
              <w:rPr>
                <w:rFonts w:hint="eastAsia" w:ascii="宋体" w:hAnsi="宋体" w:eastAsia="宋体" w:cs="宋体"/>
                <w:i w:val="0"/>
                <w:iCs w:val="0"/>
                <w:color w:val="000000"/>
                <w:spacing w:val="0"/>
                <w:w w:val="100"/>
                <w:kern w:val="0"/>
                <w:position w:val="0"/>
                <w:sz w:val="21"/>
                <w:szCs w:val="21"/>
                <w:u w:val="none"/>
                <w:lang w:val="en-US" w:eastAsia="zh-CN" w:bidi="ar"/>
              </w:rPr>
              <w:t>所有有效投标报价（不受MAX、MIN范围的限制）的算术平均值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4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pacing w:val="0"/>
                <w:w w:val="100"/>
                <w:position w:val="0"/>
                <w:sz w:val="21"/>
                <w:szCs w:val="21"/>
                <w:highlight w:val="yellow"/>
                <w:u w:val="none"/>
              </w:rPr>
            </w:pPr>
            <w:r>
              <w:rPr>
                <w:rFonts w:hint="eastAsia" w:ascii="宋体" w:hAnsi="宋体" w:eastAsia="宋体" w:cs="宋体"/>
                <w:i w:val="0"/>
                <w:iCs w:val="0"/>
                <w:color w:val="000000"/>
                <w:spacing w:val="0"/>
                <w:w w:val="100"/>
                <w:kern w:val="0"/>
                <w:position w:val="0"/>
                <w:sz w:val="21"/>
                <w:szCs w:val="21"/>
                <w:highlight w:val="none"/>
                <w:u w:val="none"/>
                <w:lang w:val="en-US" w:eastAsia="zh-CN" w:bidi="ar"/>
              </w:rPr>
              <w:t>3≤个数≤6</w:t>
            </w:r>
          </w:p>
        </w:tc>
        <w:tc>
          <w:tcPr>
            <w:tcW w:w="5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pacing w:val="0"/>
                <w:w w:val="100"/>
                <w:position w:val="0"/>
                <w:sz w:val="21"/>
                <w:szCs w:val="21"/>
                <w:u w:val="none"/>
              </w:rPr>
            </w:pPr>
            <w:r>
              <w:rPr>
                <w:rFonts w:hint="eastAsia" w:ascii="宋体" w:hAnsi="宋体" w:eastAsia="宋体" w:cs="宋体"/>
                <w:i w:val="0"/>
                <w:iCs w:val="0"/>
                <w:color w:val="000000"/>
                <w:spacing w:val="0"/>
                <w:w w:val="100"/>
                <w:kern w:val="0"/>
                <w:position w:val="0"/>
                <w:sz w:val="21"/>
                <w:szCs w:val="21"/>
                <w:u w:val="none"/>
                <w:lang w:val="en-US" w:eastAsia="zh-CN" w:bidi="ar"/>
              </w:rPr>
              <w:t>在MAX、MIN范围内的所有有效投标报价的算术平均值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jc w:val="center"/>
        </w:trPr>
        <w:tc>
          <w:tcPr>
            <w:tcW w:w="40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pacing w:val="0"/>
                <w:w w:val="100"/>
                <w:position w:val="0"/>
                <w:sz w:val="21"/>
                <w:szCs w:val="21"/>
                <w:highlight w:val="yellow"/>
                <w:u w:val="none"/>
              </w:rPr>
            </w:pPr>
            <w:r>
              <w:rPr>
                <w:rFonts w:hint="eastAsia" w:ascii="宋体" w:hAnsi="宋体" w:eastAsia="宋体" w:cs="宋体"/>
                <w:i w:val="0"/>
                <w:iCs w:val="0"/>
                <w:color w:val="000000"/>
                <w:spacing w:val="0"/>
                <w:w w:val="100"/>
                <w:kern w:val="0"/>
                <w:position w:val="0"/>
                <w:sz w:val="21"/>
                <w:szCs w:val="21"/>
                <w:highlight w:val="none"/>
                <w:u w:val="none"/>
                <w:lang w:val="en-US" w:eastAsia="zh-CN" w:bidi="ar"/>
              </w:rPr>
              <w:t>个数＞6</w:t>
            </w:r>
          </w:p>
        </w:tc>
        <w:tc>
          <w:tcPr>
            <w:tcW w:w="5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spacing w:val="0"/>
                <w:w w:val="100"/>
                <w:position w:val="0"/>
                <w:sz w:val="21"/>
                <w:szCs w:val="21"/>
                <w:u w:val="none"/>
              </w:rPr>
            </w:pPr>
            <w:r>
              <w:rPr>
                <w:rFonts w:hint="eastAsia" w:ascii="宋体" w:hAnsi="宋体" w:eastAsia="宋体" w:cs="宋体"/>
                <w:i w:val="0"/>
                <w:iCs w:val="0"/>
                <w:color w:val="000000"/>
                <w:spacing w:val="0"/>
                <w:w w:val="100"/>
                <w:kern w:val="0"/>
                <w:position w:val="0"/>
                <w:sz w:val="21"/>
                <w:szCs w:val="21"/>
                <w:u w:val="none"/>
                <w:lang w:val="en-US" w:eastAsia="zh-CN" w:bidi="ar"/>
              </w:rPr>
              <w:t>在MAX、MIN范围内的所有有效投标报价去掉M个最高报价和M个最低报价后的算术平均值，M为有效投标报价在MAX、MIN范围内的个数÷4后向下取整的整数值</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上述参与评标基准价计算的有效投标报价，均不含规费、安全文明施工措施费、暂列金额、专业工程暂估价和税金。</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3.分部分项工程项目清单综合单价基准价、措施项目费（不含安全文明施工措施费）基准价、材料单价基准价是所有有效投标报价中相应项目的算术平均值。</w:t>
      </w:r>
    </w:p>
    <w:tbl>
      <w:tblPr>
        <w:tblStyle w:val="49"/>
        <w:tblW w:w="95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773"/>
        <w:gridCol w:w="5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3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基准价分类</w:t>
            </w:r>
          </w:p>
        </w:tc>
        <w:tc>
          <w:tcPr>
            <w:tcW w:w="5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基准价计算方法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3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分部分项工程项目清单综合单价基准价Jf</w:t>
            </w:r>
          </w:p>
        </w:tc>
        <w:tc>
          <w:tcPr>
            <w:tcW w:w="5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有效投标报价中的分部分项工程项目清单综合单价的算术平均值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3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措施项目费（不含安全文明施工措施费）基准价Js</w:t>
            </w:r>
          </w:p>
        </w:tc>
        <w:tc>
          <w:tcPr>
            <w:tcW w:w="5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有效投标报价中的措施项目费的算术平均值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37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材料单价基准价Jc</w:t>
            </w:r>
          </w:p>
        </w:tc>
        <w:tc>
          <w:tcPr>
            <w:tcW w:w="57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有效投标报价中的材料单价的算术平均值</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outlineLvl w:val="9"/>
        <w:rPr>
          <w:rFonts w:hint="eastAsia" w:ascii="宋体" w:hAnsi="宋体" w:eastAsia="宋体" w:cs="宋体"/>
          <w:i w:val="0"/>
          <w:iCs w:val="0"/>
          <w:caps w:val="0"/>
          <w:color w:val="191919"/>
          <w:spacing w:val="0"/>
          <w:w w:val="100"/>
          <w:position w:val="0"/>
          <w:sz w:val="21"/>
          <w:szCs w:val="21"/>
        </w:rPr>
      </w:pP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outlineLvl w:val="9"/>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（二）评审计分</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1.有关定义：</w:t>
      </w:r>
    </w:p>
    <w:tbl>
      <w:tblPr>
        <w:tblStyle w:val="49"/>
        <w:tblW w:w="9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47"/>
        <w:gridCol w:w="2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商务标总得分</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投标报价评审得分</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FA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分部分项工程项目清单综合单价评审得分</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FB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措施项目费（不含安全文明施工措施费）评审得分</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FC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材料单价评审得分</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FD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偏差率</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pacing w:val="0"/>
                <w:w w:val="100"/>
                <w:position w:val="0"/>
                <w:sz w:val="21"/>
                <w:szCs w:val="21"/>
                <w:u w:val="none"/>
                <w:lang w:val="en-US" w:eastAsia="zh-CN"/>
              </w:rPr>
            </w:pPr>
            <w:r>
              <w:rPr>
                <w:rFonts w:hint="eastAsia" w:ascii="宋体" w:hAnsi="宋体" w:eastAsia="宋体" w:cs="宋体"/>
                <w:i w:val="0"/>
                <w:iCs w:val="0"/>
                <w:color w:val="191919"/>
                <w:spacing w:val="0"/>
                <w:w w:val="100"/>
                <w:position w:val="0"/>
                <w:sz w:val="21"/>
                <w:szCs w:val="21"/>
                <w:u w:val="none"/>
              </w:rPr>
              <w:t>α</w:t>
            </w:r>
            <w:r>
              <w:rPr>
                <w:rFonts w:hint="eastAsia" w:ascii="宋体" w:hAnsi="宋体" w:eastAsia="宋体" w:cs="宋体"/>
                <w:i w:val="0"/>
                <w:iCs w:val="0"/>
                <w:color w:val="191919"/>
                <w:spacing w:val="0"/>
                <w:w w:val="100"/>
                <w:position w:val="0"/>
                <w:sz w:val="21"/>
                <w:szCs w:val="21"/>
                <w:u w:val="none"/>
                <w:vertAlign w:val="subscript"/>
                <w:lang w:val="en-US" w:eastAsia="zh-CN"/>
              </w:rPr>
              <w:t>FA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71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pacing w:val="0"/>
                <w:w w:val="100"/>
                <w:position w:val="0"/>
                <w:sz w:val="21"/>
                <w:szCs w:val="21"/>
                <w:u w:val="none"/>
              </w:rPr>
            </w:pPr>
            <w:r>
              <w:rPr>
                <w:rFonts w:hint="eastAsia" w:ascii="宋体" w:hAnsi="宋体" w:eastAsia="宋体" w:cs="宋体"/>
                <w:i w:val="0"/>
                <w:iCs w:val="0"/>
                <w:color w:val="191919"/>
                <w:spacing w:val="0"/>
                <w:w w:val="100"/>
                <w:kern w:val="0"/>
                <w:position w:val="0"/>
                <w:sz w:val="21"/>
                <w:szCs w:val="21"/>
                <w:u w:val="none"/>
                <w:lang w:val="en-US" w:eastAsia="zh-CN" w:bidi="ar"/>
              </w:rPr>
              <w:t>最低价偏差率</w:t>
            </w:r>
          </w:p>
        </w:tc>
        <w:tc>
          <w:tcPr>
            <w:tcW w:w="2072"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pacing w:val="0"/>
                <w:w w:val="100"/>
                <w:position w:val="0"/>
                <w:sz w:val="21"/>
                <w:szCs w:val="21"/>
                <w:u w:val="none"/>
                <w:lang w:val="en-US" w:eastAsia="zh-CN"/>
              </w:rPr>
            </w:pPr>
            <w:r>
              <w:rPr>
                <w:rFonts w:hint="eastAsia" w:ascii="宋体" w:hAnsi="宋体" w:eastAsia="宋体" w:cs="宋体"/>
                <w:i w:val="0"/>
                <w:iCs w:val="0"/>
                <w:color w:val="191919"/>
                <w:spacing w:val="0"/>
                <w:w w:val="100"/>
                <w:position w:val="0"/>
                <w:sz w:val="21"/>
                <w:szCs w:val="21"/>
                <w:u w:val="none"/>
              </w:rPr>
              <w:t>β</w:t>
            </w:r>
            <w:r>
              <w:rPr>
                <w:rFonts w:hint="eastAsia" w:ascii="宋体" w:hAnsi="宋体" w:eastAsia="宋体" w:cs="宋体"/>
                <w:i w:val="0"/>
                <w:iCs w:val="0"/>
                <w:color w:val="191919"/>
                <w:spacing w:val="0"/>
                <w:w w:val="100"/>
                <w:position w:val="0"/>
                <w:sz w:val="21"/>
                <w:szCs w:val="21"/>
                <w:u w:val="none"/>
                <w:vertAlign w:val="subscript"/>
                <w:lang w:val="en-US" w:eastAsia="zh-CN"/>
              </w:rPr>
              <w:t>FA</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2.商务标得分等于下列4项得分之和。</w:t>
      </w:r>
    </w:p>
    <w:tbl>
      <w:tblPr>
        <w:tblStyle w:val="49"/>
        <w:tblW w:w="90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3"/>
        <w:gridCol w:w="5036"/>
        <w:gridCol w:w="1110"/>
        <w:gridCol w:w="21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序号</w:t>
            </w:r>
          </w:p>
        </w:tc>
        <w:tc>
          <w:tcPr>
            <w:tcW w:w="5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项目</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分值</w:t>
            </w:r>
          </w:p>
        </w:tc>
        <w:tc>
          <w:tcPr>
            <w:tcW w:w="21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评审得分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1</w:t>
            </w:r>
          </w:p>
        </w:tc>
        <w:tc>
          <w:tcPr>
            <w:tcW w:w="5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投标报价评审</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30</w:t>
            </w:r>
          </w:p>
        </w:tc>
        <w:tc>
          <w:tcPr>
            <w:tcW w:w="21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30≥FA≥0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2</w:t>
            </w:r>
          </w:p>
        </w:tc>
        <w:tc>
          <w:tcPr>
            <w:tcW w:w="5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分部分项工程项目清单综合单价评审</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10</w:t>
            </w:r>
          </w:p>
        </w:tc>
        <w:tc>
          <w:tcPr>
            <w:tcW w:w="21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10≥FB≥0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3</w:t>
            </w:r>
          </w:p>
        </w:tc>
        <w:tc>
          <w:tcPr>
            <w:tcW w:w="5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措施项目费（不含安全文明施工措施费）评审</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5</w:t>
            </w:r>
          </w:p>
        </w:tc>
        <w:tc>
          <w:tcPr>
            <w:tcW w:w="21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5≥FC≥0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75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4</w:t>
            </w:r>
          </w:p>
        </w:tc>
        <w:tc>
          <w:tcPr>
            <w:tcW w:w="5036"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材料单价评审</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5</w:t>
            </w:r>
          </w:p>
        </w:tc>
        <w:tc>
          <w:tcPr>
            <w:tcW w:w="21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5≥FD≥0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57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合计</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50</w:t>
            </w:r>
          </w:p>
        </w:tc>
        <w:tc>
          <w:tcPr>
            <w:tcW w:w="219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F=FA+FB+FC+FD</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3.投标报价的评审，共计30分。</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偏差率</w:t>
      </w:r>
      <w:r>
        <w:rPr>
          <w:rFonts w:hint="eastAsia" w:ascii="宋体" w:hAnsi="宋体" w:eastAsia="宋体" w:cs="宋体"/>
          <w:i w:val="0"/>
          <w:iCs w:val="0"/>
          <w:caps w:val="0"/>
          <w:color w:val="191919"/>
          <w:spacing w:val="0"/>
          <w:w w:val="100"/>
          <w:position w:val="0"/>
          <w:sz w:val="21"/>
          <w:szCs w:val="21"/>
          <w:lang w:val="en-US" w:eastAsia="zh-CN"/>
        </w:rPr>
        <w:t>=</w:t>
      </w:r>
      <w:r>
        <w:rPr>
          <w:rFonts w:hint="eastAsia" w:ascii="宋体" w:hAnsi="宋体" w:eastAsia="宋体" w:cs="宋体"/>
          <w:i w:val="0"/>
          <w:iCs w:val="0"/>
          <w:caps w:val="0"/>
          <w:color w:val="191919"/>
          <w:spacing w:val="0"/>
          <w:w w:val="100"/>
          <w:position w:val="0"/>
          <w:sz w:val="21"/>
          <w:szCs w:val="21"/>
        </w:rPr>
        <w:t>（投标人有效投标报价-投标报价基准价）/ 投标报价基准价；</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计分规则见下表。</w:t>
      </w:r>
    </w:p>
    <w:tbl>
      <w:tblPr>
        <w:tblStyle w:val="49"/>
        <w:tblW w:w="90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8"/>
        <w:gridCol w:w="1167"/>
        <w:gridCol w:w="4282"/>
        <w:gridCol w:w="28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序号</w:t>
            </w:r>
          </w:p>
        </w:tc>
        <w:tc>
          <w:tcPr>
            <w:tcW w:w="11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偏差率</w:t>
            </w:r>
          </w:p>
        </w:tc>
        <w:tc>
          <w:tcPr>
            <w:tcW w:w="4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满足条件</w:t>
            </w:r>
          </w:p>
        </w:tc>
        <w:tc>
          <w:tcPr>
            <w:tcW w:w="2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计分FA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909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综合评估法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jc w:val="center"/>
        </w:trPr>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1</w:t>
            </w:r>
          </w:p>
        </w:tc>
        <w:tc>
          <w:tcPr>
            <w:tcW w:w="11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α</w:t>
            </w:r>
            <w:r>
              <w:rPr>
                <w:rStyle w:val="118"/>
                <w:rFonts w:hint="eastAsia" w:ascii="宋体" w:hAnsi="宋体" w:eastAsia="宋体" w:cs="宋体"/>
                <w:sz w:val="21"/>
                <w:szCs w:val="21"/>
                <w:lang w:val="en-US" w:eastAsia="zh-CN" w:bidi="ar"/>
              </w:rPr>
              <w:t>FA</w:t>
            </w:r>
            <w:r>
              <w:rPr>
                <w:rStyle w:val="131"/>
                <w:rFonts w:hint="eastAsia" w:ascii="宋体" w:hAnsi="宋体" w:eastAsia="宋体" w:cs="宋体"/>
                <w:sz w:val="21"/>
                <w:szCs w:val="21"/>
                <w:lang w:val="en-US" w:eastAsia="zh-CN" w:bidi="ar"/>
              </w:rPr>
              <w:t>=0</w:t>
            </w:r>
          </w:p>
        </w:tc>
        <w:tc>
          <w:tcPr>
            <w:tcW w:w="4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FA=满分</w:t>
            </w:r>
          </w:p>
        </w:tc>
        <w:tc>
          <w:tcPr>
            <w:tcW w:w="2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FA=30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jc w:val="center"/>
        </w:trPr>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2</w:t>
            </w:r>
          </w:p>
        </w:tc>
        <w:tc>
          <w:tcPr>
            <w:tcW w:w="11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α</w:t>
            </w:r>
            <w:r>
              <w:rPr>
                <w:rStyle w:val="118"/>
                <w:rFonts w:hint="eastAsia" w:ascii="宋体" w:hAnsi="宋体" w:eastAsia="宋体" w:cs="宋体"/>
                <w:sz w:val="21"/>
                <w:szCs w:val="21"/>
                <w:lang w:val="en-US" w:eastAsia="zh-CN" w:bidi="ar"/>
              </w:rPr>
              <w:t>FA</w:t>
            </w:r>
            <w:r>
              <w:rPr>
                <w:rStyle w:val="131"/>
                <w:rFonts w:hint="eastAsia" w:ascii="宋体" w:hAnsi="宋体" w:eastAsia="宋体" w:cs="宋体"/>
                <w:sz w:val="21"/>
                <w:szCs w:val="21"/>
                <w:lang w:val="en-US" w:eastAsia="zh-CN" w:bidi="ar"/>
              </w:rPr>
              <w:t>&lt;0</w:t>
            </w:r>
          </w:p>
        </w:tc>
        <w:tc>
          <w:tcPr>
            <w:tcW w:w="4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偏差率</w:t>
            </w:r>
            <w:r>
              <w:rPr>
                <w:rStyle w:val="129"/>
                <w:rFonts w:hint="eastAsia" w:ascii="宋体" w:hAnsi="宋体" w:eastAsia="宋体" w:cs="宋体"/>
                <w:sz w:val="21"/>
                <w:szCs w:val="21"/>
                <w:lang w:val="en-US" w:eastAsia="zh-CN" w:bidi="ar"/>
              </w:rPr>
              <w:t>α</w:t>
            </w:r>
            <w:r>
              <w:rPr>
                <w:rStyle w:val="118"/>
                <w:rFonts w:hint="eastAsia" w:ascii="宋体" w:hAnsi="宋体" w:eastAsia="宋体" w:cs="宋体"/>
                <w:sz w:val="21"/>
                <w:szCs w:val="21"/>
                <w:lang w:val="en-US" w:eastAsia="zh-CN" w:bidi="ar"/>
              </w:rPr>
              <w:t>FA</w:t>
            </w:r>
            <w:r>
              <w:rPr>
                <w:rStyle w:val="131"/>
                <w:rFonts w:hint="eastAsia" w:ascii="宋体" w:hAnsi="宋体" w:eastAsia="宋体" w:cs="宋体"/>
                <w:sz w:val="21"/>
                <w:szCs w:val="21"/>
                <w:lang w:val="en-US" w:eastAsia="zh-CN" w:bidi="ar"/>
              </w:rPr>
              <w:t>每减少1%时，在满分30分上减扣1分；以此类推，减扣至0为止。</w:t>
            </w:r>
          </w:p>
        </w:tc>
        <w:tc>
          <w:tcPr>
            <w:tcW w:w="2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FA=30-|</w:t>
            </w:r>
            <w:r>
              <w:rPr>
                <w:rStyle w:val="129"/>
                <w:rFonts w:hint="eastAsia" w:ascii="宋体" w:hAnsi="宋体" w:eastAsia="宋体" w:cs="宋体"/>
                <w:sz w:val="21"/>
                <w:szCs w:val="21"/>
                <w:lang w:val="en-US" w:eastAsia="zh-CN" w:bidi="ar"/>
              </w:rPr>
              <w:t>α</w:t>
            </w:r>
            <w:r>
              <w:rPr>
                <w:rStyle w:val="118"/>
                <w:rFonts w:hint="eastAsia" w:ascii="宋体" w:hAnsi="宋体" w:eastAsia="宋体" w:cs="宋体"/>
                <w:sz w:val="21"/>
                <w:szCs w:val="21"/>
                <w:lang w:val="en-US" w:eastAsia="zh-CN" w:bidi="ar"/>
              </w:rPr>
              <w:t>FA</w:t>
            </w:r>
            <w:r>
              <w:rPr>
                <w:rStyle w:val="131"/>
                <w:rFonts w:hint="eastAsia" w:ascii="宋体" w:hAnsi="宋体" w:eastAsia="宋体" w:cs="宋体"/>
                <w:sz w:val="21"/>
                <w:szCs w:val="21"/>
                <w:lang w:val="en-US" w:eastAsia="zh-CN" w:bidi="ar"/>
              </w:rPr>
              <w:t>|×100×1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jc w:val="center"/>
        </w:trPr>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3</w:t>
            </w:r>
          </w:p>
        </w:tc>
        <w:tc>
          <w:tcPr>
            <w:tcW w:w="11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α</w:t>
            </w:r>
            <w:r>
              <w:rPr>
                <w:rStyle w:val="118"/>
                <w:rFonts w:hint="eastAsia" w:ascii="宋体" w:hAnsi="宋体" w:eastAsia="宋体" w:cs="宋体"/>
                <w:sz w:val="21"/>
                <w:szCs w:val="21"/>
                <w:lang w:val="en-US" w:eastAsia="zh-CN" w:bidi="ar"/>
              </w:rPr>
              <w:t>FA</w:t>
            </w:r>
            <w:r>
              <w:rPr>
                <w:rStyle w:val="131"/>
                <w:rFonts w:hint="eastAsia" w:ascii="宋体" w:hAnsi="宋体" w:eastAsia="宋体" w:cs="宋体"/>
                <w:sz w:val="21"/>
                <w:szCs w:val="21"/>
                <w:lang w:val="en-US" w:eastAsia="zh-CN" w:bidi="ar"/>
              </w:rPr>
              <w:t>&gt;0</w:t>
            </w:r>
          </w:p>
        </w:tc>
        <w:tc>
          <w:tcPr>
            <w:tcW w:w="4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偏差率</w:t>
            </w:r>
            <w:r>
              <w:rPr>
                <w:rStyle w:val="129"/>
                <w:rFonts w:hint="eastAsia" w:ascii="宋体" w:hAnsi="宋体" w:eastAsia="宋体" w:cs="宋体"/>
                <w:sz w:val="21"/>
                <w:szCs w:val="21"/>
                <w:lang w:val="en-US" w:eastAsia="zh-CN" w:bidi="ar"/>
              </w:rPr>
              <w:t>α</w:t>
            </w:r>
            <w:r>
              <w:rPr>
                <w:rStyle w:val="118"/>
                <w:rFonts w:hint="eastAsia" w:ascii="宋体" w:hAnsi="宋体" w:eastAsia="宋体" w:cs="宋体"/>
                <w:sz w:val="21"/>
                <w:szCs w:val="21"/>
                <w:lang w:val="en-US" w:eastAsia="zh-CN" w:bidi="ar"/>
              </w:rPr>
              <w:t>FA</w:t>
            </w:r>
            <w:r>
              <w:rPr>
                <w:rFonts w:hint="eastAsia" w:ascii="宋体" w:hAnsi="宋体" w:eastAsia="宋体" w:cs="宋体"/>
                <w:i w:val="0"/>
                <w:iCs w:val="0"/>
                <w:color w:val="191919"/>
                <w:kern w:val="0"/>
                <w:sz w:val="21"/>
                <w:szCs w:val="21"/>
                <w:u w:val="none"/>
                <w:lang w:val="en-US" w:eastAsia="zh-CN" w:bidi="ar"/>
              </w:rPr>
              <w:t>每增加1%时，在满分30分上减扣2分；以此类推，减扣至0为止。</w:t>
            </w:r>
          </w:p>
        </w:tc>
        <w:tc>
          <w:tcPr>
            <w:tcW w:w="28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FA=30-|</w:t>
            </w:r>
            <w:r>
              <w:rPr>
                <w:rStyle w:val="129"/>
                <w:rFonts w:hint="eastAsia" w:ascii="宋体" w:hAnsi="宋体" w:eastAsia="宋体" w:cs="宋体"/>
                <w:sz w:val="21"/>
                <w:szCs w:val="21"/>
                <w:lang w:val="en-US" w:eastAsia="zh-CN" w:bidi="ar"/>
              </w:rPr>
              <w:t>α</w:t>
            </w:r>
            <w:r>
              <w:rPr>
                <w:rStyle w:val="118"/>
                <w:rFonts w:hint="eastAsia" w:ascii="宋体" w:hAnsi="宋体" w:eastAsia="宋体" w:cs="宋体"/>
                <w:sz w:val="21"/>
                <w:szCs w:val="21"/>
                <w:lang w:val="en-US" w:eastAsia="zh-CN" w:bidi="ar"/>
              </w:rPr>
              <w:t>FA</w:t>
            </w:r>
            <w:r>
              <w:rPr>
                <w:rStyle w:val="131"/>
                <w:rFonts w:hint="eastAsia" w:ascii="宋体" w:hAnsi="宋体" w:eastAsia="宋体" w:cs="宋体"/>
                <w:sz w:val="21"/>
                <w:szCs w:val="21"/>
                <w:lang w:val="en-US" w:eastAsia="zh-CN" w:bidi="ar"/>
              </w:rPr>
              <w:t>|×100×2</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注：表中的</w:t>
      </w:r>
      <w:r>
        <w:rPr>
          <w:rFonts w:hint="default" w:ascii="Cambria" w:hAnsi="Cambria" w:eastAsia="宋体" w:cs="Cambria"/>
          <w:i w:val="0"/>
          <w:iCs w:val="0"/>
          <w:color w:val="191919"/>
          <w:kern w:val="0"/>
          <w:sz w:val="21"/>
          <w:szCs w:val="21"/>
          <w:u w:val="none"/>
          <w:lang w:val="en-US" w:eastAsia="zh-CN" w:bidi="ar"/>
        </w:rPr>
        <w:t>|</w:t>
      </w:r>
      <w:r>
        <w:rPr>
          <w:rStyle w:val="129"/>
          <w:rFonts w:hint="default" w:ascii="Cambria" w:hAnsi="Cambria" w:cs="Cambria"/>
          <w:sz w:val="21"/>
          <w:szCs w:val="21"/>
          <w:lang w:val="en-US" w:eastAsia="zh-CN" w:bidi="ar"/>
        </w:rPr>
        <w:t>α</w:t>
      </w:r>
      <w:r>
        <w:rPr>
          <w:rStyle w:val="118"/>
          <w:rFonts w:hint="default" w:ascii="Cambria" w:hAnsi="Cambria" w:cs="Cambria"/>
          <w:sz w:val="21"/>
          <w:szCs w:val="21"/>
          <w:lang w:val="en-US" w:eastAsia="zh-CN" w:bidi="ar"/>
        </w:rPr>
        <w:t>FA</w:t>
      </w:r>
      <w:r>
        <w:rPr>
          <w:rStyle w:val="131"/>
          <w:rFonts w:hint="default" w:ascii="Cambria" w:hAnsi="Cambria" w:cs="Cambria"/>
          <w:sz w:val="21"/>
          <w:szCs w:val="21"/>
          <w:lang w:val="en-US" w:eastAsia="zh-CN" w:bidi="ar"/>
        </w:rPr>
        <w:t>|</w:t>
      </w:r>
      <w:r>
        <w:rPr>
          <w:rFonts w:hint="eastAsia" w:ascii="宋体" w:hAnsi="宋体" w:eastAsia="宋体" w:cs="宋体"/>
          <w:i w:val="0"/>
          <w:iCs w:val="0"/>
          <w:caps w:val="0"/>
          <w:color w:val="191919"/>
          <w:spacing w:val="0"/>
          <w:w w:val="100"/>
          <w:position w:val="0"/>
          <w:sz w:val="21"/>
          <w:szCs w:val="21"/>
        </w:rPr>
        <w:t>为取绝对值函数。</w:t>
      </w:r>
      <w:r>
        <w:rPr>
          <w:rFonts w:hint="default" w:ascii="Cambria" w:hAnsi="Cambria" w:eastAsia="宋体" w:cs="Cambria"/>
          <w:i w:val="0"/>
          <w:iCs w:val="0"/>
          <w:caps w:val="0"/>
          <w:color w:val="191919"/>
          <w:spacing w:val="0"/>
          <w:w w:val="100"/>
          <w:position w:val="0"/>
          <w:sz w:val="21"/>
          <w:szCs w:val="21"/>
        </w:rPr>
        <w:t>FA</w:t>
      </w:r>
      <w:r>
        <w:rPr>
          <w:rFonts w:hint="eastAsia" w:ascii="宋体" w:hAnsi="宋体" w:eastAsia="宋体" w:cs="宋体"/>
          <w:i w:val="0"/>
          <w:iCs w:val="0"/>
          <w:caps w:val="0"/>
          <w:color w:val="191919"/>
          <w:spacing w:val="0"/>
          <w:w w:val="100"/>
          <w:position w:val="0"/>
          <w:sz w:val="21"/>
          <w:szCs w:val="21"/>
        </w:rPr>
        <w:t>分值数据保留小数点后三位。</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4.分部分项工程项目清单综合单价评审，共计10分。计分规则见下表。</w:t>
      </w:r>
    </w:p>
    <w:tbl>
      <w:tblPr>
        <w:tblStyle w:val="49"/>
        <w:tblW w:w="90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16"/>
        <w:gridCol w:w="3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54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分部分项工程项目清单综合单价</w:t>
            </w:r>
          </w:p>
        </w:tc>
        <w:tc>
          <w:tcPr>
            <w:tcW w:w="36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90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P为分部分项工程项目清单综合单价项数总数，R为计分系数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909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综合评估法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4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在分部分项工程项目清单综合单价基准价95%-103%（不含95%和含103%）内的项数E</w:t>
            </w:r>
          </w:p>
        </w:tc>
        <w:tc>
          <w:tcPr>
            <w:tcW w:w="36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FB1=10</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E</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R</w:t>
            </w:r>
            <w:r>
              <w:rPr>
                <w:rFonts w:hint="eastAsia" w:ascii="宋体" w:hAnsi="宋体" w:eastAsia="宋体" w:cs="宋体"/>
                <w:i w:val="0"/>
                <w:iCs w:val="0"/>
                <w:color w:val="191919"/>
                <w:kern w:val="0"/>
                <w:sz w:val="21"/>
                <w:szCs w:val="21"/>
                <w:u w:val="none"/>
                <w:vertAlign w:val="subscript"/>
                <w:lang w:val="en-US" w:eastAsia="zh-CN" w:bidi="ar"/>
              </w:rPr>
              <w:t>1</w:t>
            </w:r>
            <w:r>
              <w:rPr>
                <w:rFonts w:hint="eastAsia" w:ascii="宋体" w:hAnsi="宋体" w:eastAsia="宋体" w:cs="宋体"/>
                <w:i w:val="0"/>
                <w:iCs w:val="0"/>
                <w:color w:val="191919"/>
                <w:kern w:val="0"/>
                <w:sz w:val="21"/>
                <w:szCs w:val="21"/>
                <w:u w:val="none"/>
                <w:lang w:val="en-US" w:eastAsia="zh-CN" w:bidi="ar"/>
              </w:rPr>
              <w:t>/P，其中计分系数R</w:t>
            </w:r>
            <w:r>
              <w:rPr>
                <w:rFonts w:hint="eastAsia" w:ascii="宋体" w:hAnsi="宋体" w:eastAsia="宋体" w:cs="宋体"/>
                <w:i w:val="0"/>
                <w:iCs w:val="0"/>
                <w:color w:val="191919"/>
                <w:kern w:val="0"/>
                <w:sz w:val="21"/>
                <w:szCs w:val="21"/>
                <w:u w:val="none"/>
                <w:vertAlign w:val="subscript"/>
                <w:lang w:val="en-US" w:eastAsia="zh-CN" w:bidi="ar"/>
              </w:rPr>
              <w:t>1</w:t>
            </w:r>
            <w:r>
              <w:rPr>
                <w:rFonts w:hint="eastAsia" w:ascii="宋体" w:hAnsi="宋体" w:eastAsia="宋体" w:cs="宋体"/>
                <w:i w:val="0"/>
                <w:iCs w:val="0"/>
                <w:color w:val="191919"/>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4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在分部分项工程项目清单综合单价基准价93%-95%（含93%和95%）内的项数H</w:t>
            </w:r>
          </w:p>
        </w:tc>
        <w:tc>
          <w:tcPr>
            <w:tcW w:w="36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FB2=10</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H</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R</w:t>
            </w:r>
            <w:r>
              <w:rPr>
                <w:rFonts w:hint="eastAsia" w:ascii="宋体" w:hAnsi="宋体" w:eastAsia="宋体" w:cs="宋体"/>
                <w:i w:val="0"/>
                <w:iCs w:val="0"/>
                <w:color w:val="191919"/>
                <w:kern w:val="0"/>
                <w:sz w:val="21"/>
                <w:szCs w:val="21"/>
                <w:u w:val="none"/>
                <w:vertAlign w:val="subscript"/>
                <w:lang w:val="en-US" w:eastAsia="zh-CN" w:bidi="ar"/>
              </w:rPr>
              <w:t>2</w:t>
            </w:r>
            <w:r>
              <w:rPr>
                <w:rFonts w:hint="eastAsia" w:ascii="宋体" w:hAnsi="宋体" w:eastAsia="宋体" w:cs="宋体"/>
                <w:i w:val="0"/>
                <w:iCs w:val="0"/>
                <w:color w:val="191919"/>
                <w:kern w:val="0"/>
                <w:sz w:val="21"/>
                <w:szCs w:val="21"/>
                <w:u w:val="none"/>
                <w:lang w:val="en-US" w:eastAsia="zh-CN" w:bidi="ar"/>
              </w:rPr>
              <w:t>/P，其中计分系数R</w:t>
            </w:r>
            <w:r>
              <w:rPr>
                <w:rFonts w:hint="eastAsia" w:ascii="宋体" w:hAnsi="宋体" w:eastAsia="宋体" w:cs="宋体"/>
                <w:i w:val="0"/>
                <w:iCs w:val="0"/>
                <w:color w:val="191919"/>
                <w:kern w:val="0"/>
                <w:sz w:val="21"/>
                <w:szCs w:val="21"/>
                <w:u w:val="none"/>
                <w:vertAlign w:val="subscript"/>
                <w:lang w:val="en-US" w:eastAsia="zh-CN" w:bidi="ar"/>
              </w:rPr>
              <w:t>2</w:t>
            </w:r>
            <w:r>
              <w:rPr>
                <w:rFonts w:hint="eastAsia" w:ascii="宋体" w:hAnsi="宋体" w:eastAsia="宋体" w:cs="宋体"/>
                <w:i w:val="0"/>
                <w:iCs w:val="0"/>
                <w:color w:val="191919"/>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54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低于分部分项工程项目清单综合单价基准价93%和高于分部分项工程项目清单综合单价基准价103%的项数</w:t>
            </w:r>
          </w:p>
        </w:tc>
        <w:tc>
          <w:tcPr>
            <w:tcW w:w="36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FB3=0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541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z w:val="21"/>
                <w:szCs w:val="21"/>
                <w:u w:val="none"/>
              </w:rPr>
            </w:pPr>
          </w:p>
        </w:tc>
        <w:tc>
          <w:tcPr>
            <w:tcW w:w="36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上述合计FB=FB1+FB2+FB3，FB的最高分为10分</w:t>
            </w:r>
          </w:p>
        </w:tc>
      </w:tr>
    </w:tbl>
    <w:p>
      <w:pPr>
        <w:shd w:val="clear" w:color="auto" w:fill="auto"/>
        <w:rPr>
          <w:rFonts w:hint="eastAsia" w:ascii="宋体" w:hAnsi="宋体" w:eastAsia="宋体" w:cs="宋体"/>
          <w:vanish/>
          <w:spacing w:val="0"/>
          <w:w w:val="100"/>
          <w:position w:val="0"/>
          <w:sz w:val="21"/>
          <w:szCs w:val="21"/>
        </w:rPr>
      </w:pP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注：FB分值数据保留小数点后三位。</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5.措施项目费（不含安全文明施工措施费）的评审，共计5分。计分规则见下表。</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偏差率</w:t>
      </w:r>
      <w:r>
        <w:rPr>
          <w:rStyle w:val="129"/>
          <w:rFonts w:hint="default" w:ascii="Cambria" w:hAnsi="Cambria" w:cs="Cambria"/>
          <w:sz w:val="21"/>
          <w:szCs w:val="21"/>
          <w:lang w:val="en-US" w:eastAsia="zh-CN" w:bidi="ar"/>
        </w:rPr>
        <w:t>α</w:t>
      </w:r>
      <w:r>
        <w:rPr>
          <w:rStyle w:val="118"/>
          <w:rFonts w:hint="default" w:ascii="Cambria" w:hAnsi="Cambria" w:cs="Cambria"/>
          <w:sz w:val="21"/>
          <w:szCs w:val="21"/>
          <w:lang w:val="en-US" w:eastAsia="zh-CN" w:bidi="ar"/>
        </w:rPr>
        <w:t>F</w:t>
      </w:r>
      <w:r>
        <w:rPr>
          <w:rStyle w:val="118"/>
          <w:rFonts w:hint="eastAsia" w:ascii="Cambria" w:hAnsi="Cambria" w:cs="Cambria"/>
          <w:sz w:val="21"/>
          <w:szCs w:val="21"/>
          <w:lang w:val="en-US" w:eastAsia="zh-CN" w:bidi="ar"/>
        </w:rPr>
        <w:t>C</w:t>
      </w:r>
      <w:r>
        <w:rPr>
          <w:rFonts w:hint="eastAsia" w:ascii="宋体" w:hAnsi="宋体" w:eastAsia="宋体" w:cs="宋体"/>
          <w:i w:val="0"/>
          <w:iCs w:val="0"/>
          <w:caps w:val="0"/>
          <w:color w:val="191919"/>
          <w:spacing w:val="0"/>
          <w:w w:val="100"/>
          <w:position w:val="0"/>
          <w:sz w:val="21"/>
          <w:szCs w:val="21"/>
        </w:rPr>
        <w:t>=（投标人措施项目费报价-措施项目费基准价）</w:t>
      </w:r>
      <w:r>
        <w:rPr>
          <w:rFonts w:hint="eastAsia" w:ascii="宋体" w:hAnsi="宋体" w:cs="宋体"/>
          <w:i w:val="0"/>
          <w:iCs w:val="0"/>
          <w:caps w:val="0"/>
          <w:color w:val="191919"/>
          <w:spacing w:val="0"/>
          <w:w w:val="100"/>
          <w:position w:val="0"/>
          <w:sz w:val="21"/>
          <w:szCs w:val="21"/>
          <w:lang w:val="en-US" w:eastAsia="zh-CN"/>
        </w:rPr>
        <w:t>÷</w:t>
      </w:r>
      <w:r>
        <w:rPr>
          <w:rFonts w:hint="eastAsia" w:ascii="宋体" w:hAnsi="宋体" w:eastAsia="宋体" w:cs="宋体"/>
          <w:i w:val="0"/>
          <w:iCs w:val="0"/>
          <w:caps w:val="0"/>
          <w:color w:val="191919"/>
          <w:spacing w:val="0"/>
          <w:w w:val="100"/>
          <w:position w:val="0"/>
          <w:sz w:val="21"/>
          <w:szCs w:val="21"/>
        </w:rPr>
        <w:t>措施项目费基准价</w:t>
      </w:r>
      <w:r>
        <w:rPr>
          <w:rFonts w:hint="eastAsia" w:ascii="宋体" w:hAnsi="宋体" w:cs="宋体"/>
          <w:i w:val="0"/>
          <w:iCs w:val="0"/>
          <w:caps w:val="0"/>
          <w:color w:val="191919"/>
          <w:spacing w:val="0"/>
          <w:w w:val="100"/>
          <w:position w:val="0"/>
          <w:sz w:val="21"/>
          <w:szCs w:val="21"/>
          <w:lang w:val="en-US" w:eastAsia="zh-CN"/>
        </w:rPr>
        <w:t>×</w:t>
      </w:r>
      <w:r>
        <w:rPr>
          <w:rFonts w:hint="eastAsia" w:ascii="宋体" w:hAnsi="宋体" w:eastAsia="宋体" w:cs="宋体"/>
          <w:i w:val="0"/>
          <w:iCs w:val="0"/>
          <w:caps w:val="0"/>
          <w:color w:val="191919"/>
          <w:spacing w:val="0"/>
          <w:w w:val="100"/>
          <w:position w:val="0"/>
          <w:sz w:val="21"/>
          <w:szCs w:val="21"/>
        </w:rPr>
        <w:t>100%</w:t>
      </w:r>
    </w:p>
    <w:tbl>
      <w:tblPr>
        <w:tblStyle w:val="49"/>
        <w:tblW w:w="90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13"/>
        <w:gridCol w:w="1213"/>
        <w:gridCol w:w="3103"/>
        <w:gridCol w:w="34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序号</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偏差率α</w:t>
            </w:r>
            <w:r>
              <w:rPr>
                <w:rFonts w:hint="eastAsia" w:ascii="宋体" w:hAnsi="宋体" w:eastAsia="宋体" w:cs="宋体"/>
                <w:i w:val="0"/>
                <w:iCs w:val="0"/>
                <w:color w:val="191919"/>
                <w:kern w:val="0"/>
                <w:sz w:val="21"/>
                <w:szCs w:val="21"/>
                <w:u w:val="none"/>
                <w:vertAlign w:val="subscript"/>
                <w:lang w:val="en-US" w:eastAsia="zh-CN" w:bidi="ar"/>
              </w:rPr>
              <w:t>FC</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满足条件</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计分FC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901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综合评估法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α</w:t>
            </w:r>
            <w:r>
              <w:rPr>
                <w:rFonts w:hint="eastAsia" w:ascii="宋体" w:hAnsi="宋体" w:eastAsia="宋体" w:cs="宋体"/>
                <w:i w:val="0"/>
                <w:iCs w:val="0"/>
                <w:color w:val="191919"/>
                <w:kern w:val="0"/>
                <w:sz w:val="21"/>
                <w:szCs w:val="21"/>
                <w:u w:val="none"/>
                <w:vertAlign w:val="subscript"/>
                <w:lang w:val="en-US" w:eastAsia="zh-CN" w:bidi="ar"/>
              </w:rPr>
              <w:t>FC</w:t>
            </w:r>
            <w:r>
              <w:rPr>
                <w:rFonts w:hint="eastAsia" w:ascii="宋体" w:hAnsi="宋体" w:eastAsia="宋体" w:cs="宋体"/>
                <w:i w:val="0"/>
                <w:iCs w:val="0"/>
                <w:color w:val="191919"/>
                <w:kern w:val="0"/>
                <w:sz w:val="21"/>
                <w:szCs w:val="21"/>
                <w:u w:val="none"/>
                <w:lang w:val="en-US" w:eastAsia="zh-CN" w:bidi="ar"/>
              </w:rPr>
              <w:t>=O</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FC=基础分</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FC=3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2</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α</w:t>
            </w:r>
            <w:r>
              <w:rPr>
                <w:rFonts w:hint="eastAsia" w:ascii="宋体" w:hAnsi="宋体" w:eastAsia="宋体" w:cs="宋体"/>
                <w:i w:val="0"/>
                <w:iCs w:val="0"/>
                <w:color w:val="191919"/>
                <w:kern w:val="0"/>
                <w:sz w:val="21"/>
                <w:szCs w:val="21"/>
                <w:u w:val="none"/>
                <w:vertAlign w:val="subscript"/>
                <w:lang w:val="en-US" w:eastAsia="zh-CN" w:bidi="ar"/>
              </w:rPr>
              <w:t>FC</w:t>
            </w:r>
            <w:r>
              <w:rPr>
                <w:rFonts w:hint="eastAsia" w:ascii="宋体" w:hAnsi="宋体" w:eastAsia="宋体" w:cs="宋体"/>
                <w:i w:val="0"/>
                <w:iCs w:val="0"/>
                <w:color w:val="191919"/>
                <w:kern w:val="0"/>
                <w:sz w:val="21"/>
                <w:szCs w:val="21"/>
                <w:u w:val="none"/>
                <w:lang w:val="en-US" w:eastAsia="zh-CN" w:bidi="ar"/>
              </w:rPr>
              <w:t>&lt;0</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偏差率α</w:t>
            </w:r>
            <w:r>
              <w:rPr>
                <w:rFonts w:hint="eastAsia" w:ascii="宋体" w:hAnsi="宋体" w:eastAsia="宋体" w:cs="宋体"/>
                <w:i w:val="0"/>
                <w:iCs w:val="0"/>
                <w:color w:val="191919"/>
                <w:kern w:val="0"/>
                <w:sz w:val="21"/>
                <w:szCs w:val="21"/>
                <w:u w:val="none"/>
                <w:vertAlign w:val="subscript"/>
                <w:lang w:val="en-US" w:eastAsia="zh-CN" w:bidi="ar"/>
              </w:rPr>
              <w:t>FC</w:t>
            </w:r>
            <w:r>
              <w:rPr>
                <w:rFonts w:hint="eastAsia" w:ascii="宋体" w:hAnsi="宋体" w:eastAsia="宋体" w:cs="宋体"/>
                <w:i w:val="0"/>
                <w:iCs w:val="0"/>
                <w:color w:val="191919"/>
                <w:kern w:val="0"/>
                <w:sz w:val="21"/>
                <w:szCs w:val="21"/>
                <w:u w:val="none"/>
                <w:lang w:val="en-US" w:eastAsia="zh-CN" w:bidi="ar"/>
              </w:rPr>
              <w:t>每减少1 %时，在基础分上加0.1分；以此类推，最高加至5分为止。</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w:t>
            </w:r>
            <w:r>
              <w:rPr>
                <w:rStyle w:val="119"/>
                <w:rFonts w:hint="eastAsia" w:ascii="宋体" w:hAnsi="宋体" w:eastAsia="宋体" w:cs="宋体"/>
                <w:sz w:val="21"/>
                <w:szCs w:val="21"/>
                <w:lang w:val="en-US" w:eastAsia="zh-CN" w:bidi="ar"/>
              </w:rPr>
              <w:t>C=3+|</w:t>
            </w:r>
            <w:r>
              <w:rPr>
                <w:rFonts w:hint="eastAsia" w:ascii="宋体" w:hAnsi="宋体" w:eastAsia="宋体" w:cs="宋体"/>
                <w:i w:val="0"/>
                <w:iCs w:val="0"/>
                <w:color w:val="191919"/>
                <w:kern w:val="0"/>
                <w:sz w:val="21"/>
                <w:szCs w:val="21"/>
                <w:u w:val="none"/>
                <w:lang w:val="en-US" w:eastAsia="zh-CN" w:bidi="ar"/>
              </w:rPr>
              <w:t>α</w:t>
            </w:r>
            <w:r>
              <w:rPr>
                <w:rFonts w:hint="eastAsia" w:ascii="宋体" w:hAnsi="宋体" w:eastAsia="宋体" w:cs="宋体"/>
                <w:i w:val="0"/>
                <w:iCs w:val="0"/>
                <w:color w:val="191919"/>
                <w:kern w:val="0"/>
                <w:sz w:val="21"/>
                <w:szCs w:val="21"/>
                <w:u w:val="none"/>
                <w:vertAlign w:val="subscript"/>
                <w:lang w:val="en-US" w:eastAsia="zh-CN" w:bidi="ar"/>
              </w:rPr>
              <w:t>FC</w:t>
            </w:r>
            <w:r>
              <w:rPr>
                <w:rStyle w:val="119"/>
                <w:rFonts w:hint="eastAsia" w:ascii="宋体" w:hAnsi="宋体" w:eastAsia="宋体" w:cs="宋体"/>
                <w:sz w:val="21"/>
                <w:szCs w:val="21"/>
                <w:lang w:val="en-US" w:eastAsia="zh-CN" w:bidi="ar"/>
              </w:rPr>
              <w:t>|×100×0.1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3</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α</w:t>
            </w:r>
            <w:r>
              <w:rPr>
                <w:rFonts w:hint="eastAsia" w:ascii="宋体" w:hAnsi="宋体" w:eastAsia="宋体" w:cs="宋体"/>
                <w:i w:val="0"/>
                <w:iCs w:val="0"/>
                <w:color w:val="191919"/>
                <w:kern w:val="0"/>
                <w:sz w:val="21"/>
                <w:szCs w:val="21"/>
                <w:u w:val="none"/>
                <w:vertAlign w:val="subscript"/>
                <w:lang w:val="en-US" w:eastAsia="zh-CN" w:bidi="ar"/>
              </w:rPr>
              <w:t>FC</w:t>
            </w:r>
            <w:r>
              <w:rPr>
                <w:rFonts w:hint="eastAsia" w:ascii="宋体" w:hAnsi="宋体" w:eastAsia="宋体" w:cs="宋体"/>
                <w:i w:val="0"/>
                <w:iCs w:val="0"/>
                <w:color w:val="191919"/>
                <w:kern w:val="0"/>
                <w:sz w:val="21"/>
                <w:szCs w:val="21"/>
                <w:u w:val="none"/>
                <w:lang w:val="en-US" w:eastAsia="zh-CN" w:bidi="ar"/>
              </w:rPr>
              <w:t>&gt;0</w:t>
            </w: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偏差率α</w:t>
            </w:r>
            <w:r>
              <w:rPr>
                <w:rFonts w:hint="eastAsia" w:ascii="宋体" w:hAnsi="宋体" w:eastAsia="宋体" w:cs="宋体"/>
                <w:i w:val="0"/>
                <w:iCs w:val="0"/>
                <w:color w:val="191919"/>
                <w:kern w:val="0"/>
                <w:sz w:val="21"/>
                <w:szCs w:val="21"/>
                <w:u w:val="none"/>
                <w:vertAlign w:val="subscript"/>
                <w:lang w:val="en-US" w:eastAsia="zh-CN" w:bidi="ar"/>
              </w:rPr>
              <w:t>FC</w:t>
            </w:r>
            <w:r>
              <w:rPr>
                <w:rFonts w:hint="eastAsia" w:ascii="宋体" w:hAnsi="宋体" w:eastAsia="宋体" w:cs="宋体"/>
                <w:i w:val="0"/>
                <w:iCs w:val="0"/>
                <w:color w:val="191919"/>
                <w:kern w:val="0"/>
                <w:sz w:val="21"/>
                <w:szCs w:val="21"/>
                <w:u w:val="none"/>
                <w:lang w:val="en-US" w:eastAsia="zh-CN" w:bidi="ar"/>
              </w:rPr>
              <w:t>每增加1%时，在基础分上 减扣0.1分；以此类推，减扣至0为止。</w:t>
            </w:r>
          </w:p>
        </w:tc>
        <w:tc>
          <w:tcPr>
            <w:tcW w:w="3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w:t>
            </w:r>
            <w:r>
              <w:rPr>
                <w:rStyle w:val="119"/>
                <w:rFonts w:hint="eastAsia" w:ascii="宋体" w:hAnsi="宋体" w:eastAsia="宋体" w:cs="宋体"/>
                <w:sz w:val="21"/>
                <w:szCs w:val="21"/>
                <w:lang w:val="en-US" w:eastAsia="zh-CN" w:bidi="ar"/>
              </w:rPr>
              <w:t>C=3-|</w:t>
            </w:r>
            <w:r>
              <w:rPr>
                <w:rFonts w:hint="eastAsia" w:ascii="宋体" w:hAnsi="宋体" w:eastAsia="宋体" w:cs="宋体"/>
                <w:i w:val="0"/>
                <w:iCs w:val="0"/>
                <w:color w:val="191919"/>
                <w:kern w:val="0"/>
                <w:sz w:val="21"/>
                <w:szCs w:val="21"/>
                <w:u w:val="none"/>
                <w:lang w:val="en-US" w:eastAsia="zh-CN" w:bidi="ar"/>
              </w:rPr>
              <w:t>α</w:t>
            </w:r>
            <w:r>
              <w:rPr>
                <w:rFonts w:hint="eastAsia" w:ascii="宋体" w:hAnsi="宋体" w:eastAsia="宋体" w:cs="宋体"/>
                <w:i w:val="0"/>
                <w:iCs w:val="0"/>
                <w:color w:val="191919"/>
                <w:kern w:val="0"/>
                <w:sz w:val="21"/>
                <w:szCs w:val="21"/>
                <w:u w:val="none"/>
                <w:vertAlign w:val="subscript"/>
                <w:lang w:val="en-US" w:eastAsia="zh-CN" w:bidi="ar"/>
              </w:rPr>
              <w:t>FC</w:t>
            </w:r>
            <w:r>
              <w:rPr>
                <w:rStyle w:val="119"/>
                <w:rFonts w:hint="eastAsia" w:ascii="宋体" w:hAnsi="宋体" w:eastAsia="宋体" w:cs="宋体"/>
                <w:sz w:val="21"/>
                <w:szCs w:val="21"/>
                <w:lang w:val="en-US" w:eastAsia="zh-CN" w:bidi="ar"/>
              </w:rPr>
              <w:t>|×100×0.1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12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z w:val="21"/>
                <w:szCs w:val="21"/>
                <w:u w:val="none"/>
              </w:rPr>
            </w:pPr>
          </w:p>
        </w:tc>
        <w:tc>
          <w:tcPr>
            <w:tcW w:w="121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z w:val="21"/>
                <w:szCs w:val="21"/>
                <w:u w:val="none"/>
              </w:rPr>
            </w:pPr>
          </w:p>
        </w:tc>
        <w:tc>
          <w:tcPr>
            <w:tcW w:w="310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z w:val="21"/>
                <w:szCs w:val="21"/>
                <w:u w:val="none"/>
              </w:rPr>
            </w:pPr>
          </w:p>
        </w:tc>
        <w:tc>
          <w:tcPr>
            <w:tcW w:w="34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FC最高分为5分</w:t>
            </w:r>
          </w:p>
        </w:tc>
      </w:tr>
    </w:tbl>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注：表中的</w:t>
      </w:r>
      <w:r>
        <w:rPr>
          <w:rStyle w:val="119"/>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α</w:t>
      </w:r>
      <w:r>
        <w:rPr>
          <w:rFonts w:hint="eastAsia" w:ascii="宋体" w:hAnsi="宋体" w:eastAsia="宋体" w:cs="宋体"/>
          <w:i w:val="0"/>
          <w:iCs w:val="0"/>
          <w:color w:val="191919"/>
          <w:kern w:val="0"/>
          <w:sz w:val="21"/>
          <w:szCs w:val="21"/>
          <w:u w:val="none"/>
          <w:vertAlign w:val="subscript"/>
          <w:lang w:val="en-US" w:eastAsia="zh-CN" w:bidi="ar"/>
        </w:rPr>
        <w:t>FC</w:t>
      </w:r>
      <w:r>
        <w:rPr>
          <w:rStyle w:val="119"/>
          <w:rFonts w:hint="eastAsia" w:ascii="宋体" w:hAnsi="宋体" w:eastAsia="宋体" w:cs="宋体"/>
          <w:sz w:val="21"/>
          <w:szCs w:val="21"/>
          <w:lang w:val="en-US" w:eastAsia="zh-CN" w:bidi="ar"/>
        </w:rPr>
        <w:t>|</w:t>
      </w:r>
      <w:r>
        <w:rPr>
          <w:rFonts w:hint="eastAsia" w:ascii="宋体" w:hAnsi="宋体" w:eastAsia="宋体" w:cs="宋体"/>
          <w:i w:val="0"/>
          <w:iCs w:val="0"/>
          <w:caps w:val="0"/>
          <w:color w:val="191919"/>
          <w:spacing w:val="0"/>
          <w:w w:val="100"/>
          <w:position w:val="0"/>
          <w:sz w:val="21"/>
          <w:szCs w:val="21"/>
        </w:rPr>
        <w:t>用为取绝对值函数。FC分值数据保留小数点后三位。</w:t>
      </w:r>
    </w:p>
    <w:p>
      <w:pPr>
        <w:pStyle w:val="43"/>
        <w:keepNext w:val="0"/>
        <w:keepLines w:val="0"/>
        <w:pageBreakBefore w:val="0"/>
        <w:widowControl/>
        <w:kinsoku/>
        <w:wordWrap w:val="0"/>
        <w:overflowPunct/>
        <w:topLinePunct w:val="0"/>
        <w:bidi w:val="0"/>
        <w:spacing w:before="0" w:beforeAutospacing="0" w:after="0" w:afterAutospacing="0" w:line="360" w:lineRule="auto"/>
        <w:jc w:val="both"/>
        <w:textAlignment w:val="auto"/>
        <w:outlineLvl w:val="9"/>
        <w:rPr>
          <w:rFonts w:hint="eastAsia" w:ascii="宋体" w:hAnsi="宋体" w:eastAsia="宋体" w:cs="宋体"/>
          <w:i w:val="0"/>
          <w:iCs w:val="0"/>
          <w:caps w:val="0"/>
          <w:color w:val="191919"/>
          <w:spacing w:val="0"/>
          <w:w w:val="100"/>
          <w:position w:val="0"/>
          <w:sz w:val="21"/>
          <w:szCs w:val="21"/>
        </w:rPr>
      </w:pPr>
      <w:r>
        <w:rPr>
          <w:rFonts w:hint="eastAsia" w:ascii="宋体" w:hAnsi="宋体" w:eastAsia="宋体" w:cs="宋体"/>
          <w:i w:val="0"/>
          <w:iCs w:val="0"/>
          <w:caps w:val="0"/>
          <w:color w:val="191919"/>
          <w:spacing w:val="0"/>
          <w:w w:val="100"/>
          <w:position w:val="0"/>
          <w:sz w:val="21"/>
          <w:szCs w:val="21"/>
        </w:rPr>
        <w:t>6.材料单价的评审，共计5分。计分规则见下表。</w:t>
      </w:r>
    </w:p>
    <w:p>
      <w:pPr>
        <w:shd w:val="clear" w:color="auto" w:fill="auto"/>
        <w:rPr>
          <w:rFonts w:hint="eastAsia" w:ascii="宋体" w:hAnsi="宋体" w:eastAsia="宋体" w:cs="宋体"/>
          <w:vanish/>
          <w:spacing w:val="0"/>
          <w:w w:val="100"/>
          <w:position w:val="0"/>
          <w:sz w:val="21"/>
          <w:szCs w:val="21"/>
        </w:rPr>
      </w:pPr>
    </w:p>
    <w:tbl>
      <w:tblPr>
        <w:tblStyle w:val="49"/>
        <w:tblW w:w="9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32"/>
        <w:gridCol w:w="3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投标报价材料单价</w:t>
            </w:r>
          </w:p>
        </w:tc>
        <w:tc>
          <w:tcPr>
            <w:tcW w:w="39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计分FD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905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Pd为工程量清单材料表中的材料总数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905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综合评估法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5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在材料单价基准价95%-103%（不含95%和含103%）内的项数Md</w:t>
            </w:r>
          </w:p>
        </w:tc>
        <w:tc>
          <w:tcPr>
            <w:tcW w:w="39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FD1=5</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Md</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Rd</w:t>
            </w:r>
            <w:r>
              <w:rPr>
                <w:rFonts w:hint="eastAsia" w:ascii="宋体" w:hAnsi="宋体" w:eastAsia="宋体" w:cs="宋体"/>
                <w:i w:val="0"/>
                <w:iCs w:val="0"/>
                <w:color w:val="191919"/>
                <w:kern w:val="0"/>
                <w:sz w:val="21"/>
                <w:szCs w:val="21"/>
                <w:u w:val="none"/>
                <w:vertAlign w:val="subscript"/>
                <w:lang w:val="en-US" w:eastAsia="zh-CN" w:bidi="ar"/>
              </w:rPr>
              <w:t>1</w:t>
            </w:r>
            <w:r>
              <w:rPr>
                <w:rFonts w:hint="eastAsia" w:ascii="宋体" w:hAnsi="宋体" w:eastAsia="宋体" w:cs="宋体"/>
                <w:i w:val="0"/>
                <w:iCs w:val="0"/>
                <w:color w:val="191919"/>
                <w:kern w:val="0"/>
                <w:sz w:val="21"/>
                <w:szCs w:val="21"/>
                <w:u w:val="none"/>
                <w:lang w:val="en-US" w:eastAsia="zh-CN" w:bidi="ar"/>
              </w:rPr>
              <w:t>/Pd，其中计分系数Rd</w:t>
            </w:r>
            <w:r>
              <w:rPr>
                <w:rFonts w:hint="eastAsia" w:ascii="宋体" w:hAnsi="宋体" w:eastAsia="宋体" w:cs="宋体"/>
                <w:i w:val="0"/>
                <w:iCs w:val="0"/>
                <w:color w:val="191919"/>
                <w:kern w:val="0"/>
                <w:sz w:val="21"/>
                <w:szCs w:val="21"/>
                <w:u w:val="none"/>
                <w:vertAlign w:val="subscript"/>
                <w:lang w:val="en-US" w:eastAsia="zh-CN" w:bidi="ar"/>
              </w:rPr>
              <w:t>1</w:t>
            </w:r>
            <w:r>
              <w:rPr>
                <w:rFonts w:hint="eastAsia" w:ascii="宋体" w:hAnsi="宋体" w:eastAsia="宋体" w:cs="宋体"/>
                <w:i w:val="0"/>
                <w:iCs w:val="0"/>
                <w:color w:val="191919"/>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5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在材料单价基准价93%-95%（含93%和95%）内的项数Nd</w:t>
            </w:r>
          </w:p>
        </w:tc>
        <w:tc>
          <w:tcPr>
            <w:tcW w:w="39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FD2=5</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Nd</w:t>
            </w:r>
            <w:r>
              <w:rPr>
                <w:rStyle w:val="131"/>
                <w:rFonts w:hint="eastAsia" w:ascii="宋体" w:hAnsi="宋体" w:eastAsia="宋体" w:cs="宋体"/>
                <w:sz w:val="21"/>
                <w:szCs w:val="21"/>
                <w:lang w:val="en-US" w:eastAsia="zh-CN" w:bidi="ar"/>
              </w:rPr>
              <w:t>×</w:t>
            </w:r>
            <w:r>
              <w:rPr>
                <w:rFonts w:hint="eastAsia" w:ascii="宋体" w:hAnsi="宋体" w:eastAsia="宋体" w:cs="宋体"/>
                <w:i w:val="0"/>
                <w:iCs w:val="0"/>
                <w:color w:val="191919"/>
                <w:kern w:val="0"/>
                <w:sz w:val="21"/>
                <w:szCs w:val="21"/>
                <w:u w:val="none"/>
                <w:lang w:val="en-US" w:eastAsia="zh-CN" w:bidi="ar"/>
              </w:rPr>
              <w:t>Rd</w:t>
            </w:r>
            <w:r>
              <w:rPr>
                <w:rFonts w:hint="eastAsia" w:ascii="宋体" w:hAnsi="宋体" w:eastAsia="宋体" w:cs="宋体"/>
                <w:i w:val="0"/>
                <w:iCs w:val="0"/>
                <w:color w:val="191919"/>
                <w:kern w:val="0"/>
                <w:sz w:val="21"/>
                <w:szCs w:val="21"/>
                <w:u w:val="none"/>
                <w:vertAlign w:val="subscript"/>
                <w:lang w:val="en-US" w:eastAsia="zh-CN" w:bidi="ar"/>
              </w:rPr>
              <w:t>2</w:t>
            </w:r>
            <w:r>
              <w:rPr>
                <w:rFonts w:hint="eastAsia" w:ascii="宋体" w:hAnsi="宋体" w:eastAsia="宋体" w:cs="宋体"/>
                <w:i w:val="0"/>
                <w:iCs w:val="0"/>
                <w:color w:val="191919"/>
                <w:kern w:val="0"/>
                <w:sz w:val="21"/>
                <w:szCs w:val="21"/>
                <w:u w:val="none"/>
                <w:lang w:val="en-US" w:eastAsia="zh-CN" w:bidi="ar"/>
              </w:rPr>
              <w:t>/Pd，其中计分系数Rd2=0.5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51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低于材料单价基准价93%和高于材料单价基准价103%的项数</w:t>
            </w:r>
          </w:p>
        </w:tc>
        <w:tc>
          <w:tcPr>
            <w:tcW w:w="39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FD3=0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5132"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191919"/>
                <w:sz w:val="21"/>
                <w:szCs w:val="21"/>
                <w:u w:val="none"/>
              </w:rPr>
            </w:pPr>
          </w:p>
        </w:tc>
        <w:tc>
          <w:tcPr>
            <w:tcW w:w="392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191919"/>
                <w:sz w:val="21"/>
                <w:szCs w:val="21"/>
                <w:u w:val="none"/>
              </w:rPr>
            </w:pPr>
            <w:r>
              <w:rPr>
                <w:rFonts w:hint="eastAsia" w:ascii="宋体" w:hAnsi="宋体" w:eastAsia="宋体" w:cs="宋体"/>
                <w:i w:val="0"/>
                <w:iCs w:val="0"/>
                <w:color w:val="191919"/>
                <w:kern w:val="0"/>
                <w:sz w:val="21"/>
                <w:szCs w:val="21"/>
                <w:u w:val="none"/>
                <w:lang w:val="en-US" w:eastAsia="zh-CN" w:bidi="ar"/>
              </w:rPr>
              <w:t>上述合计FD=FD1+FD2+FD3，FD最高分为5分</w:t>
            </w:r>
          </w:p>
        </w:tc>
      </w:tr>
    </w:tbl>
    <w:p>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132" w:beforeAutospacing="0" w:after="378" w:afterAutospacing="0" w:line="360" w:lineRule="auto"/>
        <w:ind w:left="0" w:right="0" w:firstLine="0"/>
        <w:jc w:val="left"/>
        <w:rPr>
          <w:rFonts w:hint="eastAsia" w:ascii="宋体" w:hAnsi="宋体" w:eastAsia="宋体" w:cs="宋体"/>
          <w:i w:val="0"/>
          <w:iCs w:val="0"/>
          <w:caps w:val="0"/>
          <w:color w:val="191919"/>
          <w:spacing w:val="0"/>
          <w:w w:val="100"/>
          <w:position w:val="0"/>
          <w:sz w:val="21"/>
          <w:szCs w:val="21"/>
          <w:shd w:val="clear" w:color="auto" w:fill="FFFFFF"/>
        </w:rPr>
      </w:pPr>
      <w:r>
        <w:rPr>
          <w:rFonts w:hint="eastAsia" w:ascii="宋体" w:hAnsi="宋体" w:eastAsia="宋体" w:cs="宋体"/>
          <w:i w:val="0"/>
          <w:iCs w:val="0"/>
          <w:caps w:val="0"/>
          <w:color w:val="191919"/>
          <w:spacing w:val="0"/>
          <w:w w:val="100"/>
          <w:position w:val="0"/>
          <w:sz w:val="21"/>
          <w:szCs w:val="21"/>
          <w:shd w:val="clear" w:color="auto" w:fill="FFFFFF"/>
        </w:rPr>
        <w:t>注：招标文件应提供工程量清单材料表。投标人漏报材料单价的，该投标人漏报项不参与材料单价基准价计算。</w:t>
      </w:r>
    </w:p>
    <w:p>
      <w:pPr>
        <w:pageBreakBefore w:val="0"/>
        <w:widowControl w:val="0"/>
        <w:kinsoku/>
        <w:wordWrap/>
        <w:overflowPunct/>
        <w:topLinePunct w:val="0"/>
        <w:autoSpaceDE/>
        <w:autoSpaceDN/>
        <w:bidi w:val="0"/>
        <w:adjustRightInd/>
        <w:spacing w:line="360" w:lineRule="auto"/>
        <w:ind w:firstLine="422" w:firstLineChars="200"/>
        <w:textAlignment w:val="auto"/>
        <w:outlineLvl w:val="1"/>
        <w:rPr>
          <w:rFonts w:hint="eastAsia" w:ascii="宋体" w:hAnsi="宋体" w:eastAsia="宋体" w:cs="宋体"/>
          <w:b/>
          <w:bCs/>
          <w:color w:val="auto"/>
          <w:spacing w:val="0"/>
          <w:w w:val="100"/>
          <w:kern w:val="0"/>
          <w:position w:val="0"/>
          <w:sz w:val="21"/>
          <w:szCs w:val="21"/>
          <w:highlight w:val="none"/>
        </w:rPr>
      </w:pPr>
      <w:bookmarkStart w:id="633" w:name="_Toc30325"/>
      <w:bookmarkStart w:id="634" w:name="_Toc32642"/>
      <w:r>
        <w:rPr>
          <w:rFonts w:hint="eastAsia" w:ascii="宋体" w:hAnsi="宋体" w:eastAsia="宋体" w:cs="宋体"/>
          <w:b/>
          <w:bCs/>
          <w:color w:val="auto"/>
          <w:spacing w:val="0"/>
          <w:w w:val="100"/>
          <w:kern w:val="0"/>
          <w:position w:val="0"/>
          <w:sz w:val="21"/>
          <w:szCs w:val="21"/>
          <w:highlight w:val="none"/>
        </w:rPr>
        <w:t>1. 评标方法</w:t>
      </w:r>
      <w:bookmarkEnd w:id="633"/>
      <w:bookmarkEnd w:id="634"/>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pStyle w:val="195"/>
        <w:pageBreakBefore w:val="0"/>
        <w:widowControl w:val="0"/>
        <w:kinsoku/>
        <w:wordWrap/>
        <w:overflowPunct/>
        <w:topLinePunct w:val="0"/>
        <w:autoSpaceDE/>
        <w:autoSpaceDN/>
        <w:bidi w:val="0"/>
        <w:adjustRightInd/>
        <w:snapToGrid w:val="0"/>
        <w:spacing w:before="0" w:line="360" w:lineRule="auto"/>
        <w:ind w:firstLine="420" w:firstLineChars="200"/>
        <w:textAlignment w:val="auto"/>
        <w:outlineLvl w:val="9"/>
        <w:rPr>
          <w:rFonts w:hint="eastAsia" w:ascii="宋体" w:hAnsi="宋体" w:eastAsia="宋体" w:cs="宋体"/>
          <w:bCs/>
          <w:color w:val="auto"/>
          <w:spacing w:val="0"/>
          <w:w w:val="100"/>
          <w:position w:val="0"/>
          <w:sz w:val="21"/>
          <w:szCs w:val="21"/>
          <w:highlight w:val="none"/>
        </w:rPr>
      </w:pPr>
      <w:bookmarkStart w:id="635" w:name="_Toc16938"/>
      <w:bookmarkStart w:id="636" w:name="_Toc10417"/>
      <w:bookmarkStart w:id="637" w:name="_Toc179632619"/>
      <w:bookmarkStart w:id="638" w:name="_Toc144974568"/>
      <w:bookmarkStart w:id="639" w:name="_Toc4593"/>
      <w:bookmarkStart w:id="640" w:name="_Toc152042378"/>
      <w:bookmarkStart w:id="641" w:name="_Toc458759013"/>
      <w:bookmarkStart w:id="642" w:name="_Toc6860"/>
      <w:bookmarkStart w:id="643" w:name="_Toc8713"/>
      <w:bookmarkStart w:id="644" w:name="_Toc8536"/>
      <w:bookmarkStart w:id="645" w:name="_Toc152045601"/>
      <w:bookmarkStart w:id="646" w:name="_Toc8285"/>
      <w:r>
        <w:rPr>
          <w:rFonts w:hint="eastAsia" w:ascii="宋体" w:hAnsi="宋体" w:eastAsia="宋体" w:cs="宋体"/>
          <w:bCs/>
          <w:color w:val="auto"/>
          <w:spacing w:val="0"/>
          <w:w w:val="100"/>
          <w:position w:val="0"/>
          <w:sz w:val="21"/>
          <w:szCs w:val="21"/>
          <w:highlight w:val="none"/>
        </w:rPr>
        <w:t>2. 评审标准</w:t>
      </w:r>
      <w:bookmarkEnd w:id="635"/>
      <w:bookmarkEnd w:id="636"/>
      <w:bookmarkEnd w:id="637"/>
      <w:bookmarkEnd w:id="638"/>
      <w:bookmarkEnd w:id="639"/>
      <w:bookmarkEnd w:id="640"/>
      <w:bookmarkEnd w:id="641"/>
      <w:bookmarkEnd w:id="642"/>
      <w:bookmarkEnd w:id="643"/>
      <w:bookmarkEnd w:id="644"/>
      <w:bookmarkEnd w:id="645"/>
      <w:bookmarkEnd w:id="646"/>
    </w:p>
    <w:p>
      <w:pPr>
        <w:pageBreakBefore w:val="0"/>
        <w:widowControl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color w:val="auto"/>
          <w:spacing w:val="0"/>
          <w:w w:val="100"/>
          <w:position w:val="0"/>
          <w:sz w:val="21"/>
          <w:szCs w:val="21"/>
          <w:highlight w:val="none"/>
        </w:rPr>
      </w:pPr>
      <w:bookmarkStart w:id="647" w:name="_Toc144974569"/>
      <w:bookmarkStart w:id="648" w:name="_Toc152042379"/>
      <w:bookmarkStart w:id="649" w:name="_Toc179632620"/>
      <w:bookmarkStart w:id="650" w:name="_Toc458758944"/>
      <w:bookmarkStart w:id="651" w:name="_Toc450850891"/>
      <w:bookmarkStart w:id="652" w:name="_Toc458759014"/>
      <w:bookmarkStart w:id="653" w:name="_Toc152045602"/>
      <w:r>
        <w:rPr>
          <w:rFonts w:hint="eastAsia" w:ascii="宋体" w:hAnsi="宋体" w:eastAsia="宋体" w:cs="宋体"/>
          <w:color w:val="auto"/>
          <w:spacing w:val="0"/>
          <w:w w:val="100"/>
          <w:position w:val="0"/>
          <w:sz w:val="21"/>
          <w:szCs w:val="21"/>
          <w:highlight w:val="none"/>
        </w:rPr>
        <w:t>2.1 初步评审标准</w:t>
      </w:r>
      <w:bookmarkEnd w:id="647"/>
      <w:bookmarkEnd w:id="648"/>
      <w:bookmarkEnd w:id="649"/>
      <w:bookmarkEnd w:id="650"/>
      <w:bookmarkEnd w:id="651"/>
      <w:bookmarkEnd w:id="652"/>
      <w:bookmarkEnd w:id="653"/>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2.1.1 形式评审标准：见评标办法前附表。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2.1.2 资格评审标准：见评标办法前附表。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2.1.3 响应性评审标准：见评标办法前附表。</w:t>
      </w:r>
    </w:p>
    <w:p>
      <w:pPr>
        <w:pageBreakBefore w:val="0"/>
        <w:widowControl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color w:val="auto"/>
          <w:spacing w:val="0"/>
          <w:w w:val="100"/>
          <w:position w:val="0"/>
          <w:sz w:val="21"/>
          <w:szCs w:val="21"/>
          <w:highlight w:val="none"/>
        </w:rPr>
      </w:pPr>
      <w:bookmarkStart w:id="654" w:name="_Toc458758945"/>
      <w:bookmarkStart w:id="655" w:name="_Toc179632621"/>
      <w:bookmarkStart w:id="656" w:name="_Toc450850892"/>
      <w:bookmarkStart w:id="657" w:name="_Toc152045603"/>
      <w:bookmarkStart w:id="658" w:name="_Toc144974570"/>
      <w:bookmarkStart w:id="659" w:name="_Toc458759015"/>
      <w:bookmarkStart w:id="660" w:name="_Toc152042380"/>
      <w:r>
        <w:rPr>
          <w:rFonts w:hint="eastAsia" w:ascii="宋体" w:hAnsi="宋体" w:eastAsia="宋体" w:cs="宋体"/>
          <w:color w:val="auto"/>
          <w:spacing w:val="0"/>
          <w:w w:val="100"/>
          <w:position w:val="0"/>
          <w:sz w:val="21"/>
          <w:szCs w:val="21"/>
          <w:highlight w:val="none"/>
        </w:rPr>
        <w:t>2.2 分值构成与评分标准</w:t>
      </w:r>
      <w:bookmarkEnd w:id="654"/>
      <w:bookmarkEnd w:id="655"/>
      <w:bookmarkEnd w:id="656"/>
      <w:bookmarkEnd w:id="657"/>
      <w:bookmarkEnd w:id="658"/>
      <w:bookmarkEnd w:id="659"/>
      <w:bookmarkEnd w:id="660"/>
    </w:p>
    <w:p>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4"/>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2.2.1分值构成</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（1）施工组织设计：见评标办法前附表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（2）投标报价：见评标办法前附表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（3）综合标：见评标办法前附表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2.2.2 评标基准价计算</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评标基准价计算方法：见评标办法前附表。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4"/>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2.2.3 投标报价的偏差率计算</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投标报价的偏差率计算公式：见评标办法前附表。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4"/>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2.2.4 评分标准</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（1）施工组织设计：见评标办法前附表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（2）投标报价：见评标办法前附表</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（3）综合标：见评标办法前附表</w:t>
      </w:r>
    </w:p>
    <w:p>
      <w:pPr>
        <w:pStyle w:val="195"/>
        <w:pageBreakBefore w:val="0"/>
        <w:widowControl w:val="0"/>
        <w:kinsoku/>
        <w:wordWrap/>
        <w:overflowPunct/>
        <w:topLinePunct w:val="0"/>
        <w:autoSpaceDE/>
        <w:autoSpaceDN/>
        <w:bidi w:val="0"/>
        <w:adjustRightInd/>
        <w:snapToGrid w:val="0"/>
        <w:spacing w:before="0" w:line="360" w:lineRule="auto"/>
        <w:ind w:firstLine="420" w:firstLineChars="200"/>
        <w:textAlignment w:val="auto"/>
        <w:outlineLvl w:val="9"/>
        <w:rPr>
          <w:rFonts w:hint="eastAsia" w:ascii="宋体" w:hAnsi="宋体" w:eastAsia="宋体" w:cs="宋体"/>
          <w:bCs/>
          <w:color w:val="auto"/>
          <w:spacing w:val="0"/>
          <w:w w:val="100"/>
          <w:position w:val="0"/>
          <w:sz w:val="21"/>
          <w:szCs w:val="21"/>
          <w:highlight w:val="none"/>
        </w:rPr>
      </w:pPr>
      <w:bookmarkStart w:id="661" w:name="_Toc179632622"/>
      <w:bookmarkStart w:id="662" w:name="_Toc5997"/>
      <w:bookmarkStart w:id="663" w:name="_Toc9178"/>
      <w:bookmarkStart w:id="664" w:name="_Toc15419"/>
      <w:bookmarkStart w:id="665" w:name="_Toc10598"/>
      <w:bookmarkStart w:id="666" w:name="_Toc29942"/>
      <w:bookmarkStart w:id="667" w:name="_Toc12254"/>
      <w:bookmarkStart w:id="668" w:name="_Toc152045604"/>
      <w:bookmarkStart w:id="669" w:name="_Toc458759016"/>
      <w:bookmarkStart w:id="670" w:name="_Toc152042381"/>
      <w:bookmarkStart w:id="671" w:name="_Toc15804"/>
      <w:bookmarkStart w:id="672" w:name="_Toc144974571"/>
      <w:r>
        <w:rPr>
          <w:rFonts w:hint="eastAsia" w:ascii="宋体" w:hAnsi="宋体" w:eastAsia="宋体" w:cs="宋体"/>
          <w:bCs/>
          <w:color w:val="auto"/>
          <w:spacing w:val="0"/>
          <w:w w:val="100"/>
          <w:position w:val="0"/>
          <w:sz w:val="21"/>
          <w:szCs w:val="21"/>
          <w:highlight w:val="none"/>
        </w:rPr>
        <w:t>3. 评标程序</w:t>
      </w:r>
      <w:bookmarkEnd w:id="661"/>
      <w:bookmarkEnd w:id="662"/>
      <w:bookmarkEnd w:id="663"/>
      <w:bookmarkEnd w:id="664"/>
      <w:bookmarkEnd w:id="665"/>
      <w:bookmarkEnd w:id="666"/>
      <w:bookmarkEnd w:id="667"/>
      <w:bookmarkEnd w:id="668"/>
      <w:bookmarkEnd w:id="669"/>
      <w:bookmarkEnd w:id="670"/>
      <w:bookmarkEnd w:id="671"/>
      <w:bookmarkEnd w:id="672"/>
    </w:p>
    <w:p>
      <w:pPr>
        <w:pageBreakBefore w:val="0"/>
        <w:widowControl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bCs/>
          <w:color w:val="auto"/>
          <w:spacing w:val="0"/>
          <w:w w:val="100"/>
          <w:position w:val="0"/>
          <w:sz w:val="21"/>
          <w:szCs w:val="21"/>
          <w:highlight w:val="none"/>
        </w:rPr>
      </w:pPr>
      <w:bookmarkStart w:id="673" w:name="_Toc152042382"/>
      <w:bookmarkStart w:id="674" w:name="_Toc458759017"/>
      <w:bookmarkStart w:id="675" w:name="_Toc458758947"/>
      <w:bookmarkStart w:id="676" w:name="_Toc152045605"/>
      <w:bookmarkStart w:id="677" w:name="_Toc179632623"/>
      <w:bookmarkStart w:id="678" w:name="_Toc450850894"/>
      <w:bookmarkStart w:id="679" w:name="_Toc144974572"/>
      <w:r>
        <w:rPr>
          <w:rFonts w:hint="eastAsia" w:ascii="宋体" w:hAnsi="宋体" w:eastAsia="宋体" w:cs="宋体"/>
          <w:color w:val="auto"/>
          <w:spacing w:val="0"/>
          <w:w w:val="100"/>
          <w:position w:val="0"/>
          <w:sz w:val="21"/>
          <w:szCs w:val="21"/>
          <w:highlight w:val="none"/>
        </w:rPr>
        <w:t>3.1 初步评审</w:t>
      </w:r>
      <w:bookmarkEnd w:id="673"/>
      <w:bookmarkEnd w:id="674"/>
      <w:bookmarkEnd w:id="675"/>
      <w:bookmarkEnd w:id="676"/>
      <w:bookmarkEnd w:id="677"/>
      <w:bookmarkEnd w:id="678"/>
      <w:bookmarkEnd w:id="679"/>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3.1.1 评标委员会依据本章第2.1款规定的标准对投标文件进行初步评审。有一项不符合评审标准的，作</w:t>
      </w:r>
      <w:r>
        <w:rPr>
          <w:rFonts w:hint="eastAsia" w:ascii="宋体" w:hAnsi="宋体" w:eastAsia="宋体" w:cs="宋体"/>
          <w:color w:val="auto"/>
          <w:spacing w:val="0"/>
          <w:w w:val="100"/>
          <w:position w:val="0"/>
          <w:sz w:val="21"/>
          <w:szCs w:val="21"/>
          <w:highlight w:val="none"/>
          <w:lang w:val="en-US" w:eastAsia="zh-CN"/>
        </w:rPr>
        <w:t>否决投标</w:t>
      </w:r>
      <w:r>
        <w:rPr>
          <w:rFonts w:hint="eastAsia" w:ascii="宋体" w:hAnsi="宋体" w:eastAsia="宋体" w:cs="宋体"/>
          <w:color w:val="auto"/>
          <w:spacing w:val="0"/>
          <w:w w:val="100"/>
          <w:position w:val="0"/>
          <w:sz w:val="21"/>
          <w:szCs w:val="21"/>
          <w:highlight w:val="none"/>
        </w:rPr>
        <w:t>处理。</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4"/>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3.1.2 投标人有以下情形之一的，其投标作</w:t>
      </w:r>
      <w:r>
        <w:rPr>
          <w:rFonts w:hint="eastAsia" w:ascii="宋体" w:hAnsi="宋体" w:eastAsia="宋体" w:cs="宋体"/>
          <w:color w:val="auto"/>
          <w:spacing w:val="0"/>
          <w:w w:val="100"/>
          <w:position w:val="0"/>
          <w:sz w:val="21"/>
          <w:szCs w:val="21"/>
          <w:highlight w:val="none"/>
          <w:lang w:val="en-US" w:eastAsia="zh-CN"/>
        </w:rPr>
        <w:t>否决投标</w:t>
      </w:r>
      <w:r>
        <w:rPr>
          <w:rFonts w:hint="eastAsia" w:ascii="宋体" w:hAnsi="宋体" w:eastAsia="宋体" w:cs="宋体"/>
          <w:color w:val="auto"/>
          <w:spacing w:val="0"/>
          <w:w w:val="100"/>
          <w:position w:val="0"/>
          <w:sz w:val="21"/>
          <w:szCs w:val="21"/>
          <w:highlight w:val="none"/>
        </w:rPr>
        <w:t>处理：</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（1）第二章“投标人须知”第1.4.3项规定的任何一种情形的；</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（2）串通投标或弄虚作假或有其他违法行为的；</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（3）不按评标委员会要求澄清、说明或补正的。</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3.1.3投标报价有算术错误的，评标委员会按以下原则对投标报价进行修正，修正的价格经投标人书面确认后具有约束力。投标人不接受修正价格的，其投标作</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处理。</w:t>
      </w:r>
    </w:p>
    <w:p>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bookmarkStart w:id="680" w:name="_Toc152042383"/>
      <w:r>
        <w:rPr>
          <w:rFonts w:hint="eastAsia" w:ascii="宋体" w:hAnsi="宋体" w:eastAsia="宋体" w:cs="宋体"/>
          <w:color w:val="auto"/>
          <w:spacing w:val="0"/>
          <w:w w:val="100"/>
          <w:position w:val="0"/>
          <w:sz w:val="21"/>
          <w:szCs w:val="21"/>
          <w:highlight w:val="none"/>
        </w:rPr>
        <w:t>（1）投标文件中的大写金额与小写金额不一致的，以大写金额为准；</w:t>
      </w:r>
      <w:bookmarkEnd w:id="680"/>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（2）总价金额与依据单价计算出的结果不一致的，以单价金额为准修正总价，但单价金额小数点有明显错误的除外。</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color w:val="auto"/>
          <w:spacing w:val="0"/>
          <w:w w:val="100"/>
          <w:position w:val="0"/>
          <w:sz w:val="21"/>
          <w:szCs w:val="21"/>
          <w:highlight w:val="none"/>
        </w:rPr>
      </w:pPr>
      <w:bookmarkStart w:id="681" w:name="_Toc458758948"/>
      <w:bookmarkStart w:id="682" w:name="_Toc179632624"/>
      <w:bookmarkStart w:id="683" w:name="_Toc152045606"/>
      <w:bookmarkStart w:id="684" w:name="_Toc152042384"/>
      <w:bookmarkStart w:id="685" w:name="_Toc144974573"/>
      <w:bookmarkStart w:id="686" w:name="_Toc450850895"/>
      <w:bookmarkStart w:id="687" w:name="_Toc458759018"/>
      <w:r>
        <w:rPr>
          <w:rFonts w:hint="eastAsia" w:ascii="宋体" w:hAnsi="宋体" w:eastAsia="宋体" w:cs="宋体"/>
          <w:color w:val="auto"/>
          <w:spacing w:val="0"/>
          <w:w w:val="100"/>
          <w:position w:val="0"/>
          <w:sz w:val="21"/>
          <w:szCs w:val="21"/>
          <w:highlight w:val="none"/>
        </w:rPr>
        <w:t>3.2 详细评审</w:t>
      </w:r>
      <w:bookmarkEnd w:id="681"/>
      <w:bookmarkEnd w:id="682"/>
      <w:bookmarkEnd w:id="683"/>
      <w:bookmarkEnd w:id="684"/>
      <w:bookmarkEnd w:id="685"/>
      <w:bookmarkEnd w:id="686"/>
      <w:bookmarkEnd w:id="687"/>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3.2.1 评标委员会按本章第2.2 款规定的量化因素和分值进行打分，并计算出综合评估得分。</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1）按本章第2.2.4</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1）目规定的评审因素和分值对施工组织设计计算出得分A ；</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2）按本章第2.2.4</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2）目规定的评审因素和分值对</w:t>
      </w:r>
      <w:r>
        <w:rPr>
          <w:rFonts w:hint="eastAsia" w:ascii="宋体" w:hAnsi="宋体" w:cs="宋体"/>
          <w:color w:val="auto"/>
          <w:spacing w:val="0"/>
          <w:w w:val="100"/>
          <w:position w:val="0"/>
          <w:sz w:val="21"/>
          <w:szCs w:val="21"/>
          <w:highlight w:val="none"/>
          <w:lang w:eastAsia="zh-CN"/>
        </w:rPr>
        <w:t>投标报价</w:t>
      </w:r>
      <w:r>
        <w:rPr>
          <w:rFonts w:hint="eastAsia" w:ascii="宋体" w:hAnsi="宋体" w:eastAsia="宋体" w:cs="宋体"/>
          <w:color w:val="auto"/>
          <w:spacing w:val="0"/>
          <w:w w:val="100"/>
          <w:position w:val="0"/>
          <w:sz w:val="21"/>
          <w:szCs w:val="21"/>
          <w:highlight w:val="none"/>
        </w:rPr>
        <w:t>计算出得分B；</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3）按本章第2.2.4</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3）目规定的评审因素和分值对</w:t>
      </w:r>
      <w:r>
        <w:rPr>
          <w:rFonts w:hint="eastAsia" w:ascii="宋体" w:hAnsi="宋体" w:cs="宋体"/>
          <w:color w:val="auto"/>
          <w:spacing w:val="0"/>
          <w:w w:val="100"/>
          <w:position w:val="0"/>
          <w:sz w:val="21"/>
          <w:szCs w:val="21"/>
          <w:highlight w:val="none"/>
          <w:lang w:eastAsia="zh-CN"/>
        </w:rPr>
        <w:t>综合标</w:t>
      </w:r>
      <w:r>
        <w:rPr>
          <w:rFonts w:hint="eastAsia" w:ascii="宋体" w:hAnsi="宋体" w:eastAsia="宋体" w:cs="宋体"/>
          <w:color w:val="auto"/>
          <w:spacing w:val="0"/>
          <w:w w:val="100"/>
          <w:position w:val="0"/>
          <w:sz w:val="21"/>
          <w:szCs w:val="21"/>
          <w:highlight w:val="none"/>
        </w:rPr>
        <w:t>计算出得分C；</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3.2.2 评分分值数据保留小数点后三位。相同分值的可逐步向小数点后增加位数至不同为止。</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4"/>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3.2.3 投标人得分=A+B+C</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color w:val="auto"/>
          <w:spacing w:val="0"/>
          <w:w w:val="100"/>
          <w:position w:val="0"/>
          <w:sz w:val="21"/>
          <w:szCs w:val="21"/>
          <w:highlight w:val="none"/>
        </w:rPr>
      </w:pPr>
      <w:bookmarkStart w:id="688" w:name="_Toc144974575"/>
      <w:bookmarkStart w:id="689" w:name="_Toc458759019"/>
      <w:bookmarkStart w:id="690" w:name="_Toc458758949"/>
      <w:bookmarkStart w:id="691" w:name="_Toc179632625"/>
      <w:bookmarkStart w:id="692" w:name="_Toc450850896"/>
      <w:bookmarkStart w:id="693" w:name="_Toc152042385"/>
      <w:bookmarkStart w:id="694" w:name="_Toc152045607"/>
      <w:r>
        <w:rPr>
          <w:rFonts w:hint="eastAsia" w:ascii="宋体" w:hAnsi="宋体" w:eastAsia="宋体" w:cs="宋体"/>
          <w:color w:val="auto"/>
          <w:spacing w:val="0"/>
          <w:w w:val="100"/>
          <w:position w:val="0"/>
          <w:sz w:val="21"/>
          <w:szCs w:val="21"/>
          <w:highlight w:val="none"/>
        </w:rPr>
        <w:t>3.3 投标文件的澄清</w:t>
      </w:r>
      <w:bookmarkEnd w:id="688"/>
      <w:r>
        <w:rPr>
          <w:rFonts w:hint="eastAsia" w:ascii="宋体" w:hAnsi="宋体" w:eastAsia="宋体" w:cs="宋体"/>
          <w:color w:val="auto"/>
          <w:spacing w:val="0"/>
          <w:w w:val="100"/>
          <w:position w:val="0"/>
          <w:sz w:val="21"/>
          <w:szCs w:val="21"/>
          <w:highlight w:val="none"/>
        </w:rPr>
        <w:t>和补正</w:t>
      </w:r>
      <w:bookmarkEnd w:id="689"/>
      <w:bookmarkEnd w:id="690"/>
      <w:bookmarkEnd w:id="691"/>
      <w:bookmarkEnd w:id="692"/>
      <w:bookmarkEnd w:id="693"/>
      <w:bookmarkEnd w:id="694"/>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3.3.1在评标过程中，评标委员会可以书面形式要求投标人对所提交投标文件中不明确的内容进行书面澄清或说明，或者对细微偏差进行补正。在评标结束前，投标人未对评委的质疑进行书面澄清或未按要求提供相关证明材料的评标委员会有权进行相关处理。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3.3.2 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3.3.3 评标委员会对投标人提交的澄清、说明或补正有疑问的，可以要求投标人进一步澄清、说明或补正，直至满足评标委员会的要求。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3"/>
        <w:rPr>
          <w:rFonts w:hint="eastAsia" w:ascii="宋体" w:hAnsi="宋体" w:eastAsia="宋体" w:cs="宋体"/>
          <w:color w:val="auto"/>
          <w:spacing w:val="0"/>
          <w:w w:val="100"/>
          <w:position w:val="0"/>
          <w:sz w:val="21"/>
          <w:szCs w:val="21"/>
          <w:highlight w:val="none"/>
        </w:rPr>
      </w:pPr>
      <w:bookmarkStart w:id="695" w:name="_Toc458759020"/>
      <w:bookmarkStart w:id="696" w:name="_Toc450850897"/>
      <w:bookmarkStart w:id="697" w:name="_Toc152042386"/>
      <w:bookmarkStart w:id="698" w:name="_Toc152045608"/>
      <w:bookmarkStart w:id="699" w:name="_Toc179632626"/>
      <w:bookmarkStart w:id="700" w:name="_Toc458758950"/>
      <w:bookmarkStart w:id="701" w:name="_Toc144974576"/>
      <w:r>
        <w:rPr>
          <w:rFonts w:hint="eastAsia" w:ascii="宋体" w:hAnsi="宋体" w:eastAsia="宋体" w:cs="宋体"/>
          <w:color w:val="auto"/>
          <w:spacing w:val="0"/>
          <w:w w:val="100"/>
          <w:position w:val="0"/>
          <w:sz w:val="21"/>
          <w:szCs w:val="21"/>
          <w:highlight w:val="none"/>
        </w:rPr>
        <w:t>3.4 评标结果</w:t>
      </w:r>
      <w:bookmarkEnd w:id="695"/>
      <w:bookmarkEnd w:id="696"/>
      <w:bookmarkEnd w:id="697"/>
      <w:bookmarkEnd w:id="698"/>
      <w:bookmarkEnd w:id="699"/>
      <w:bookmarkEnd w:id="700"/>
      <w:bookmarkEnd w:id="701"/>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3.4.1除第二章“投标人须知”前附表授权直接确定中标人外，评标委员会按照得分由高到低的顺序推荐中标候选人。</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3.4.2 评标委员会完成评标后，应当向招标人提交书面评标报告。</w:t>
      </w:r>
    </w:p>
    <w:p>
      <w:pPr>
        <w:snapToGrid w:val="0"/>
        <w:spacing w:line="360" w:lineRule="auto"/>
        <w:ind w:firstLine="420" w:firstLineChars="200"/>
        <w:rPr>
          <w:rFonts w:hint="eastAsia" w:ascii="宋体" w:hAnsi="宋体" w:eastAsia="宋体" w:cs="宋体"/>
          <w:color w:val="auto"/>
          <w:spacing w:val="0"/>
          <w:w w:val="100"/>
          <w:position w:val="0"/>
          <w:sz w:val="21"/>
          <w:szCs w:val="21"/>
          <w:highlight w:val="none"/>
        </w:rPr>
      </w:pPr>
    </w:p>
    <w:p>
      <w:pPr>
        <w:spacing w:after="382" w:afterLines="100" w:line="420" w:lineRule="exact"/>
        <w:outlineLvl w:val="9"/>
        <w:rPr>
          <w:rFonts w:hint="eastAsia" w:ascii="宋体" w:hAnsi="宋体" w:eastAsia="宋体" w:cs="宋体"/>
          <w:b/>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br w:type="page"/>
      </w:r>
      <w:bookmarkStart w:id="702" w:name="_Toc18170"/>
      <w:r>
        <w:rPr>
          <w:rFonts w:hint="eastAsia" w:ascii="宋体" w:hAnsi="宋体" w:eastAsia="宋体" w:cs="宋体"/>
          <w:color w:val="auto"/>
          <w:spacing w:val="0"/>
          <w:w w:val="100"/>
          <w:position w:val="0"/>
          <w:sz w:val="21"/>
          <w:szCs w:val="21"/>
          <w:highlight w:val="none"/>
        </w:rPr>
        <w:t>附件A：</w:t>
      </w:r>
      <w:bookmarkEnd w:id="702"/>
    </w:p>
    <w:p>
      <w:pPr>
        <w:spacing w:line="440" w:lineRule="exact"/>
        <w:jc w:val="center"/>
        <w:outlineLvl w:val="9"/>
        <w:rPr>
          <w:rFonts w:hint="eastAsia" w:ascii="宋体" w:hAnsi="宋体" w:eastAsia="宋体" w:cs="宋体"/>
          <w:color w:val="auto"/>
          <w:spacing w:val="0"/>
          <w:w w:val="100"/>
          <w:position w:val="0"/>
          <w:sz w:val="21"/>
          <w:szCs w:val="21"/>
          <w:highlight w:val="none"/>
        </w:rPr>
      </w:pPr>
      <w:bookmarkStart w:id="703" w:name="_Toc6972"/>
      <w:bookmarkStart w:id="704" w:name="_Toc8981"/>
      <w:bookmarkStart w:id="705" w:name="_Toc472"/>
      <w:bookmarkStart w:id="706" w:name="_Toc24503"/>
      <w:bookmarkStart w:id="707" w:name="_Toc21490_WPSOffice_Level1"/>
      <w:bookmarkStart w:id="708" w:name="_Toc15065"/>
      <w:r>
        <w:rPr>
          <w:rFonts w:hint="eastAsia" w:ascii="宋体" w:hAnsi="宋体" w:eastAsia="宋体" w:cs="宋体"/>
          <w:b/>
          <w:color w:val="auto"/>
          <w:spacing w:val="0"/>
          <w:w w:val="100"/>
          <w:position w:val="0"/>
          <w:sz w:val="21"/>
          <w:szCs w:val="21"/>
          <w:highlight w:val="none"/>
        </w:rPr>
        <w:t>评标详细程序</w:t>
      </w:r>
      <w:bookmarkEnd w:id="703"/>
      <w:bookmarkEnd w:id="704"/>
      <w:bookmarkEnd w:id="705"/>
      <w:bookmarkEnd w:id="706"/>
      <w:bookmarkEnd w:id="707"/>
      <w:bookmarkEnd w:id="708"/>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A0.总则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本附件是本章“评标办法”的组成部分，是对本章第3条所规定的评标程序的进一步细化，评标委员会应当按照本附件所规定的详细程序开展并完成评标工作。</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A1.基本程序</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评标活动将按以下五个步骤进行：</w:t>
      </w:r>
    </w:p>
    <w:p>
      <w:pPr>
        <w:keepNext w:val="0"/>
        <w:keepLines w:val="0"/>
        <w:pageBreakBefore w:val="0"/>
        <w:widowControl w:val="0"/>
        <w:numPr>
          <w:ilvl w:val="0"/>
          <w:numId w:val="4"/>
        </w:numP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bookmarkStart w:id="709" w:name="_Toc25827_WPSOffice_Level1"/>
      <w:r>
        <w:rPr>
          <w:rFonts w:hint="eastAsia" w:ascii="宋体" w:hAnsi="宋体" w:eastAsia="宋体" w:cs="宋体"/>
          <w:color w:val="auto"/>
          <w:spacing w:val="0"/>
          <w:w w:val="100"/>
          <w:position w:val="0"/>
          <w:sz w:val="21"/>
          <w:szCs w:val="21"/>
          <w:highlight w:val="none"/>
        </w:rPr>
        <w:t>评标准备；</w:t>
      </w:r>
      <w:bookmarkEnd w:id="709"/>
    </w:p>
    <w:p>
      <w:pPr>
        <w:keepNext w:val="0"/>
        <w:keepLines w:val="0"/>
        <w:pageBreakBefore w:val="0"/>
        <w:widowControl w:val="0"/>
        <w:numPr>
          <w:ilvl w:val="0"/>
          <w:numId w:val="4"/>
        </w:numP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bookmarkStart w:id="710" w:name="_Toc15080_WPSOffice_Level1"/>
      <w:r>
        <w:rPr>
          <w:rFonts w:hint="eastAsia" w:ascii="宋体" w:hAnsi="宋体" w:eastAsia="宋体" w:cs="宋体"/>
          <w:color w:val="auto"/>
          <w:spacing w:val="0"/>
          <w:w w:val="100"/>
          <w:position w:val="0"/>
          <w:sz w:val="21"/>
          <w:szCs w:val="21"/>
          <w:highlight w:val="none"/>
        </w:rPr>
        <w:t>初步评审；</w:t>
      </w:r>
      <w:bookmarkEnd w:id="710"/>
    </w:p>
    <w:p>
      <w:pPr>
        <w:keepNext w:val="0"/>
        <w:keepLines w:val="0"/>
        <w:pageBreakBefore w:val="0"/>
        <w:widowControl w:val="0"/>
        <w:numPr>
          <w:ilvl w:val="0"/>
          <w:numId w:val="4"/>
        </w:numP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bookmarkStart w:id="711" w:name="_Toc5571_WPSOffice_Level1"/>
      <w:r>
        <w:rPr>
          <w:rFonts w:hint="eastAsia" w:ascii="宋体" w:hAnsi="宋体" w:eastAsia="宋体" w:cs="宋体"/>
          <w:color w:val="auto"/>
          <w:spacing w:val="0"/>
          <w:w w:val="100"/>
          <w:position w:val="0"/>
          <w:sz w:val="21"/>
          <w:szCs w:val="21"/>
          <w:highlight w:val="none"/>
        </w:rPr>
        <w:t>详细评审；</w:t>
      </w:r>
      <w:bookmarkEnd w:id="711"/>
    </w:p>
    <w:p>
      <w:pPr>
        <w:keepNext w:val="0"/>
        <w:keepLines w:val="0"/>
        <w:pageBreakBefore w:val="0"/>
        <w:widowControl w:val="0"/>
        <w:numPr>
          <w:ilvl w:val="0"/>
          <w:numId w:val="4"/>
        </w:numP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bookmarkStart w:id="712" w:name="_Toc18464_WPSOffice_Level1"/>
      <w:r>
        <w:rPr>
          <w:rFonts w:hint="eastAsia" w:ascii="宋体" w:hAnsi="宋体" w:eastAsia="宋体" w:cs="宋体"/>
          <w:color w:val="auto"/>
          <w:spacing w:val="0"/>
          <w:w w:val="100"/>
          <w:position w:val="0"/>
          <w:sz w:val="21"/>
          <w:szCs w:val="21"/>
          <w:highlight w:val="none"/>
        </w:rPr>
        <w:t>澄清、说明或补正；</w:t>
      </w:r>
      <w:bookmarkEnd w:id="712"/>
    </w:p>
    <w:p>
      <w:pPr>
        <w:keepNext w:val="0"/>
        <w:keepLines w:val="0"/>
        <w:pageBreakBefore w:val="0"/>
        <w:widowControl w:val="0"/>
        <w:numPr>
          <w:ilvl w:val="0"/>
          <w:numId w:val="4"/>
        </w:numP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bookmarkStart w:id="713" w:name="_Toc6953_WPSOffice_Level1"/>
      <w:r>
        <w:rPr>
          <w:rFonts w:hint="eastAsia" w:ascii="宋体" w:hAnsi="宋体" w:eastAsia="宋体" w:cs="宋体"/>
          <w:color w:val="auto"/>
          <w:spacing w:val="0"/>
          <w:w w:val="100"/>
          <w:position w:val="0"/>
          <w:sz w:val="21"/>
          <w:szCs w:val="21"/>
          <w:highlight w:val="none"/>
        </w:rPr>
        <w:t>推荐中标候选人或者直接确定中标人及提交评标报告。</w:t>
      </w:r>
      <w:bookmarkEnd w:id="713"/>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A2. 评标准备</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A2.1评标委员会成员签到</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评标委员会成员到达评标现场时应在签到表上签到以证明其出席。</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14" w:name="_Toc2782_WPSOffice_Level1"/>
      <w:r>
        <w:rPr>
          <w:rFonts w:hint="eastAsia" w:ascii="宋体" w:hAnsi="宋体" w:eastAsia="宋体" w:cs="宋体"/>
          <w:b/>
          <w:color w:val="auto"/>
          <w:spacing w:val="0"/>
          <w:w w:val="100"/>
          <w:position w:val="0"/>
          <w:sz w:val="21"/>
          <w:szCs w:val="21"/>
          <w:highlight w:val="none"/>
        </w:rPr>
        <w:t>A2.2评标委员会的分工</w:t>
      </w:r>
      <w:bookmarkEnd w:id="714"/>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评标委员会首先推选一名评标委员会主任。评标委员会主任负责评标活动的组织领导工作。评标委员会主任在与其他评标委员会成员协商的基础上，可以将评标委员会划分为技术组和商务组。</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15" w:name="_Toc19391_WPSOffice_Level1"/>
      <w:r>
        <w:rPr>
          <w:rFonts w:hint="eastAsia" w:ascii="宋体" w:hAnsi="宋体" w:eastAsia="宋体" w:cs="宋体"/>
          <w:b/>
          <w:color w:val="auto"/>
          <w:spacing w:val="0"/>
          <w:w w:val="100"/>
          <w:position w:val="0"/>
          <w:sz w:val="21"/>
          <w:szCs w:val="21"/>
          <w:highlight w:val="none"/>
        </w:rPr>
        <w:t>A2.3 熟悉文件资料</w:t>
      </w:r>
      <w:bookmarkEnd w:id="715"/>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A2.3.1评标委员会主任应组织评标委员会成员认真研究招标文件，了解和熟悉招标目的、招标范围、主要合同条件、质量标准和工期要求等，掌握评标标准和方法，</w:t>
      </w:r>
      <w:r>
        <w:rPr>
          <w:rFonts w:hint="eastAsia" w:ascii="宋体" w:hAnsi="宋体" w:eastAsia="宋体" w:cs="宋体"/>
          <w:color w:val="auto"/>
          <w:spacing w:val="0"/>
          <w:w w:val="100"/>
          <w:position w:val="0"/>
          <w:sz w:val="21"/>
          <w:szCs w:val="21"/>
          <w:highlight w:val="none"/>
          <w:lang w:val="en-US" w:eastAsia="zh-CN"/>
        </w:rPr>
        <w:t>熟悉电子交易平台评标系统的操作手册</w:t>
      </w:r>
      <w:r>
        <w:rPr>
          <w:rFonts w:hint="eastAsia" w:ascii="宋体" w:hAnsi="宋体" w:eastAsia="宋体" w:cs="宋体"/>
          <w:color w:val="auto"/>
          <w:spacing w:val="0"/>
          <w:w w:val="100"/>
          <w:position w:val="0"/>
          <w:sz w:val="21"/>
          <w:szCs w:val="21"/>
          <w:highlight w:val="none"/>
        </w:rPr>
        <w:t>。未在招标文件中规定的标准和方法不得作为评标的依据。</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A2.4暗标编号（适用于对施工组织设计进行暗标评审的）</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第二章“投标人须知”前附表第10.3款要求对施工组织设计采用“暗标”评审方式且第八章“投标文件格式”中对施工组织设计的编制有暗标要求，则在评标工作开始前，应编制投标文件暗标编码，并就暗标编码与投标人的对应关系做好暗标记录。暗标编码按随机方式编制。在评标委员会全体成员均完成暗标部分评审并对评审结果进行汇总和签字确认后，方可向评标委员会公布暗标记录。</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A2.5对投标文件进行基础性数据分析和整理工作（清标）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2.5.1在不改变投标人投标文件实质性内容的前提下，评标委员会应当对投标文件进行基础性数据分析和整理（本章中简称为“清标”），从而发现并提取其中可能存在的对招标范围理解的偏差，投标报价的算术性错误，错漏项，投标报价构成不合理、不平衡报价，不可竞争费不符合相关规定，投标报价低于其成本等明显异常的问题，并就这些问题整理形成清标成果。评标委员会对清标成果审议后，决定需要投标人进行书面澄清、说明或补正的问题，形成质疑问卷，向投标人发出问题澄清通知（包括质疑问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A2.5.2投标人接到评标委员会发出的问题澄清通知后，应按评标委员会的要求提供书面澄清资料并按要求进行密封，在规定的时间递交到指定地点。</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A3. 初步评审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A3.1形式评审</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评标委员会根据评标办法前附表中规定的评审因素和评审标准，对投标人的投标文件进行形式评审，并记录评审结果。</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16" w:name="_Toc14796_WPSOffice_Level1"/>
      <w:r>
        <w:rPr>
          <w:rFonts w:hint="eastAsia" w:ascii="宋体" w:hAnsi="宋体" w:eastAsia="宋体" w:cs="宋体"/>
          <w:b/>
          <w:color w:val="auto"/>
          <w:spacing w:val="0"/>
          <w:w w:val="100"/>
          <w:position w:val="0"/>
          <w:sz w:val="21"/>
          <w:szCs w:val="21"/>
          <w:highlight w:val="none"/>
        </w:rPr>
        <w:t>A3.2资格评审</w:t>
      </w:r>
      <w:bookmarkEnd w:id="716"/>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评标委员会根据评标办法前附表中规定的评审因素和评审标准，对投标人的投标文件进行资格评审，并记录评审结果。</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17" w:name="_Toc31624_WPSOffice_Level1"/>
      <w:r>
        <w:rPr>
          <w:rFonts w:hint="eastAsia" w:ascii="宋体" w:hAnsi="宋体" w:eastAsia="宋体" w:cs="宋体"/>
          <w:b/>
          <w:color w:val="auto"/>
          <w:spacing w:val="0"/>
          <w:w w:val="100"/>
          <w:position w:val="0"/>
          <w:sz w:val="21"/>
          <w:szCs w:val="21"/>
          <w:highlight w:val="none"/>
        </w:rPr>
        <w:t>A3.3响应性评审</w:t>
      </w:r>
      <w:bookmarkEnd w:id="717"/>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A3.3.1评审委员会根据评标办法前附表中规定的评审因素和评审标准，对投标人的投标文件进行响应性评审，并记录评审结果。</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A3.3.2投标人投标价格不得超出（不含等于）按照本章前附表的规定计算的“拦标价”，凡投标人的投标价格超出“拦标价”），该投标人的投标文件不能通过响应性评审（适用于设立拦标价的情形）。</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A3.3.2投标人投标价格不得超出（不含等于）招标控制价，凡投标人的投标价格超出招标控制价的，该投标人的投标文件不能通过响应性评审（适用于设立招标控制价的情形）。</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lang w:eastAsia="zh-CN"/>
        </w:rPr>
      </w:pPr>
      <w:bookmarkStart w:id="718" w:name="_Toc30936_WPSOffice_Level1"/>
      <w:r>
        <w:rPr>
          <w:rFonts w:hint="eastAsia" w:ascii="宋体" w:hAnsi="宋体" w:eastAsia="宋体" w:cs="宋体"/>
          <w:b/>
          <w:color w:val="auto"/>
          <w:spacing w:val="0"/>
          <w:w w:val="100"/>
          <w:position w:val="0"/>
          <w:sz w:val="21"/>
          <w:szCs w:val="21"/>
          <w:highlight w:val="none"/>
        </w:rPr>
        <w:t>A3.4 判断投标是否为</w:t>
      </w:r>
      <w:bookmarkEnd w:id="718"/>
      <w:r>
        <w:rPr>
          <w:rFonts w:hint="eastAsia" w:ascii="宋体" w:hAnsi="宋体" w:eastAsia="宋体" w:cs="宋体"/>
          <w:b/>
          <w:color w:val="auto"/>
          <w:spacing w:val="0"/>
          <w:w w:val="100"/>
          <w:position w:val="0"/>
          <w:sz w:val="21"/>
          <w:szCs w:val="21"/>
          <w:highlight w:val="none"/>
          <w:lang w:eastAsia="zh-CN"/>
        </w:rPr>
        <w:t>否决投标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A3.4.1判断投标人的投标是否为</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的全部条件，在本章附件B中集中列示。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A3.4.2本章附件B集中列示的</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条件不应与第二章“投标人须知”和本章正本部分包括的</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条件抵触，如果出现相互矛盾的情况，以第二章“投标人须知”和本章正文部分的规定为准。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A3.4.3评标委员会在评标（包括初步评审和详细评审）过程中，依据本章附件B中规定的</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条件判断投标人的投标是否为</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19" w:name="_Toc18123_WPSOffice_Level1"/>
      <w:r>
        <w:rPr>
          <w:rFonts w:hint="eastAsia" w:ascii="宋体" w:hAnsi="宋体" w:eastAsia="宋体" w:cs="宋体"/>
          <w:b/>
          <w:color w:val="auto"/>
          <w:spacing w:val="0"/>
          <w:w w:val="100"/>
          <w:position w:val="0"/>
          <w:sz w:val="21"/>
          <w:szCs w:val="21"/>
          <w:highlight w:val="none"/>
        </w:rPr>
        <w:t>A3.5 算术错误修正</w:t>
      </w:r>
      <w:bookmarkEnd w:id="719"/>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评标委员会依据本章中规定的相关原则对投标报价中存在的算术错误进行修正，并根据算术错误修正结果计算评标价。</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0" w:name="_Toc8956_WPSOffice_Level1"/>
      <w:r>
        <w:rPr>
          <w:rFonts w:hint="eastAsia" w:ascii="宋体" w:hAnsi="宋体" w:eastAsia="宋体" w:cs="宋体"/>
          <w:b/>
          <w:color w:val="auto"/>
          <w:spacing w:val="0"/>
          <w:w w:val="100"/>
          <w:position w:val="0"/>
          <w:sz w:val="21"/>
          <w:szCs w:val="21"/>
          <w:highlight w:val="none"/>
        </w:rPr>
        <w:t>A3.6 澄清、说明或补充</w:t>
      </w:r>
      <w:bookmarkEnd w:id="720"/>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在初步评审过程中，评标委员会应当就投标文件中不明确的内容要求投标人进行澄清、说明或者补正。投标人对此以书面形式予以澄清、说明或者补正。澄清、说明或补正根据本章第3.3款的规定执行。</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1" w:name="_Toc13627_WPSOffice_Level1"/>
      <w:r>
        <w:rPr>
          <w:rFonts w:hint="eastAsia" w:ascii="宋体" w:hAnsi="宋体" w:eastAsia="宋体" w:cs="宋体"/>
          <w:b/>
          <w:color w:val="auto"/>
          <w:spacing w:val="0"/>
          <w:w w:val="100"/>
          <w:position w:val="0"/>
          <w:sz w:val="21"/>
          <w:szCs w:val="21"/>
          <w:highlight w:val="none"/>
        </w:rPr>
        <w:t>A4. 详细评审</w:t>
      </w:r>
      <w:bookmarkEnd w:id="7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只有通过了初步评审、被判定为合格的投标方可进入详细评审。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2" w:name="_Toc24373_WPSOffice_Level1"/>
      <w:r>
        <w:rPr>
          <w:rFonts w:hint="eastAsia" w:ascii="宋体" w:hAnsi="宋体" w:eastAsia="宋体" w:cs="宋体"/>
          <w:b/>
          <w:color w:val="auto"/>
          <w:spacing w:val="0"/>
          <w:w w:val="100"/>
          <w:position w:val="0"/>
          <w:sz w:val="21"/>
          <w:szCs w:val="21"/>
          <w:highlight w:val="none"/>
        </w:rPr>
        <w:t>A4.1 详细评审的程序</w:t>
      </w:r>
      <w:bookmarkEnd w:id="722"/>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评标委员会按照本章第3.2款中规定的程序进行详细评审。</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（1）施工组织设计评审和评分；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（2）综合标评审和评分；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（3）投标报价评审和评分；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（4）汇总评分结果。</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A4.2施工组织设计评审和评分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按照评标办法前附表中规定的分值设定、各项评分因素、评分标准，对施工组织设计进行评审和评分，施工组织设计的得分记录为A。</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A4.</w:t>
      </w:r>
      <w:r>
        <w:rPr>
          <w:rFonts w:hint="eastAsia" w:ascii="宋体" w:hAnsi="宋体" w:eastAsia="宋体" w:cs="宋体"/>
          <w:b/>
          <w:color w:val="auto"/>
          <w:spacing w:val="0"/>
          <w:w w:val="100"/>
          <w:position w:val="0"/>
          <w:sz w:val="21"/>
          <w:szCs w:val="21"/>
          <w:highlight w:val="none"/>
          <w:lang w:val="en-US" w:eastAsia="zh-CN"/>
        </w:rPr>
        <w:t>3</w:t>
      </w:r>
      <w:r>
        <w:rPr>
          <w:rFonts w:hint="eastAsia" w:ascii="宋体" w:hAnsi="宋体" w:eastAsia="宋体" w:cs="宋体"/>
          <w:b/>
          <w:color w:val="auto"/>
          <w:spacing w:val="0"/>
          <w:w w:val="100"/>
          <w:position w:val="0"/>
          <w:sz w:val="21"/>
          <w:szCs w:val="21"/>
          <w:highlight w:val="none"/>
        </w:rPr>
        <w:t>投标报价评审和评分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A4.</w:t>
      </w:r>
      <w:r>
        <w:rPr>
          <w:rFonts w:hint="eastAsia" w:ascii="宋体" w:hAnsi="宋体" w:eastAsia="宋体" w:cs="宋体"/>
          <w:color w:val="auto"/>
          <w:spacing w:val="0"/>
          <w:w w:val="100"/>
          <w:position w:val="0"/>
          <w:sz w:val="21"/>
          <w:szCs w:val="21"/>
          <w:highlight w:val="none"/>
          <w:lang w:val="en-US" w:eastAsia="zh-CN"/>
        </w:rPr>
        <w:t>4</w:t>
      </w:r>
      <w:r>
        <w:rPr>
          <w:rFonts w:hint="eastAsia" w:ascii="宋体" w:hAnsi="宋体" w:eastAsia="宋体" w:cs="宋体"/>
          <w:color w:val="auto"/>
          <w:spacing w:val="0"/>
          <w:w w:val="100"/>
          <w:position w:val="0"/>
          <w:sz w:val="21"/>
          <w:szCs w:val="21"/>
          <w:highlight w:val="none"/>
        </w:rPr>
        <w:t>.1按照评标办法前附表中规定的方法计算“评标基准价”。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A4.</w:t>
      </w:r>
      <w:r>
        <w:rPr>
          <w:rFonts w:hint="eastAsia" w:ascii="宋体" w:hAnsi="宋体" w:eastAsia="宋体" w:cs="宋体"/>
          <w:color w:val="auto"/>
          <w:spacing w:val="0"/>
          <w:w w:val="100"/>
          <w:position w:val="0"/>
          <w:sz w:val="21"/>
          <w:szCs w:val="21"/>
          <w:highlight w:val="none"/>
          <w:lang w:val="en-US" w:eastAsia="zh-CN"/>
        </w:rPr>
        <w:t>4</w:t>
      </w:r>
      <w:r>
        <w:rPr>
          <w:rFonts w:hint="eastAsia" w:ascii="宋体" w:hAnsi="宋体" w:eastAsia="宋体" w:cs="宋体"/>
          <w:color w:val="auto"/>
          <w:spacing w:val="0"/>
          <w:w w:val="100"/>
          <w:position w:val="0"/>
          <w:sz w:val="21"/>
          <w:szCs w:val="21"/>
          <w:highlight w:val="none"/>
        </w:rPr>
        <w:t>.2按照评标办法前附表中规定的方法，计算各个已通过了初步评审、施工组织设计评审的投标总报价、分部分项工程量清单项目综合单价、材料费、措施项目清单报价的“偏差率”。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A4.</w:t>
      </w:r>
      <w:r>
        <w:rPr>
          <w:rFonts w:hint="eastAsia" w:ascii="宋体" w:hAnsi="宋体" w:eastAsia="宋体" w:cs="宋体"/>
          <w:color w:val="auto"/>
          <w:spacing w:val="0"/>
          <w:w w:val="100"/>
          <w:position w:val="0"/>
          <w:sz w:val="21"/>
          <w:szCs w:val="21"/>
          <w:highlight w:val="none"/>
          <w:lang w:val="en-US" w:eastAsia="zh-CN"/>
        </w:rPr>
        <w:t>4</w:t>
      </w:r>
      <w:r>
        <w:rPr>
          <w:rFonts w:hint="eastAsia" w:ascii="宋体" w:hAnsi="宋体" w:eastAsia="宋体" w:cs="宋体"/>
          <w:color w:val="auto"/>
          <w:spacing w:val="0"/>
          <w:w w:val="100"/>
          <w:position w:val="0"/>
          <w:sz w:val="21"/>
          <w:szCs w:val="21"/>
          <w:highlight w:val="none"/>
        </w:rPr>
        <w:t>.3按照评标办法前附表中规定的评分标准，对照投标报价的偏差率，分别对各个投标报价进行评分，投标报价的得分记录为</w:t>
      </w:r>
      <w:r>
        <w:rPr>
          <w:rFonts w:hint="eastAsia" w:ascii="宋体" w:hAnsi="宋体" w:eastAsia="宋体" w:cs="宋体"/>
          <w:color w:val="auto"/>
          <w:spacing w:val="0"/>
          <w:w w:val="100"/>
          <w:position w:val="0"/>
          <w:sz w:val="21"/>
          <w:szCs w:val="21"/>
          <w:highlight w:val="none"/>
          <w:lang w:val="en-US" w:eastAsia="zh-CN"/>
        </w:rPr>
        <w:t>B</w:t>
      </w:r>
      <w:r>
        <w:rPr>
          <w:rFonts w:hint="eastAsia" w:ascii="宋体" w:hAnsi="宋体" w:eastAsia="宋体" w:cs="宋体"/>
          <w:color w:val="auto"/>
          <w:spacing w:val="0"/>
          <w:w w:val="100"/>
          <w:position w:val="0"/>
          <w:sz w:val="21"/>
          <w:szCs w:val="21"/>
          <w:highlight w:val="none"/>
        </w:rPr>
        <w:t>。</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A4.</w:t>
      </w:r>
      <w:r>
        <w:rPr>
          <w:rFonts w:hint="eastAsia" w:ascii="宋体" w:hAnsi="宋体" w:eastAsia="宋体" w:cs="宋体"/>
          <w:b/>
          <w:color w:val="auto"/>
          <w:spacing w:val="0"/>
          <w:w w:val="100"/>
          <w:position w:val="0"/>
          <w:sz w:val="21"/>
          <w:szCs w:val="21"/>
          <w:highlight w:val="none"/>
          <w:lang w:val="en-US" w:eastAsia="zh-CN"/>
        </w:rPr>
        <w:t>4综合标</w:t>
      </w:r>
      <w:r>
        <w:rPr>
          <w:rFonts w:hint="eastAsia" w:ascii="宋体" w:hAnsi="宋体" w:eastAsia="宋体" w:cs="宋体"/>
          <w:b/>
          <w:color w:val="auto"/>
          <w:spacing w:val="0"/>
          <w:w w:val="100"/>
          <w:position w:val="0"/>
          <w:sz w:val="21"/>
          <w:szCs w:val="21"/>
          <w:highlight w:val="none"/>
        </w:rPr>
        <w:t>评分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b/>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rPr>
        <w:t>按照评标办法前附表中规定的分值设定、各项评分因素、评分标准，对</w:t>
      </w:r>
      <w:r>
        <w:rPr>
          <w:rFonts w:hint="eastAsia" w:ascii="宋体" w:hAnsi="宋体" w:eastAsia="宋体" w:cs="宋体"/>
          <w:color w:val="auto"/>
          <w:spacing w:val="0"/>
          <w:w w:val="100"/>
          <w:position w:val="0"/>
          <w:sz w:val="21"/>
          <w:szCs w:val="21"/>
          <w:highlight w:val="none"/>
          <w:lang w:val="en-US" w:eastAsia="zh-CN"/>
        </w:rPr>
        <w:t>综合标</w:t>
      </w:r>
      <w:r>
        <w:rPr>
          <w:rFonts w:hint="eastAsia" w:ascii="宋体" w:hAnsi="宋体" w:eastAsia="宋体" w:cs="宋体"/>
          <w:color w:val="auto"/>
          <w:spacing w:val="0"/>
          <w:w w:val="100"/>
          <w:position w:val="0"/>
          <w:sz w:val="21"/>
          <w:szCs w:val="21"/>
          <w:highlight w:val="none"/>
        </w:rPr>
        <w:t>评审和评分，</w:t>
      </w:r>
      <w:r>
        <w:rPr>
          <w:rFonts w:hint="eastAsia" w:ascii="宋体" w:hAnsi="宋体" w:eastAsia="宋体" w:cs="宋体"/>
          <w:color w:val="auto"/>
          <w:spacing w:val="0"/>
          <w:w w:val="100"/>
          <w:position w:val="0"/>
          <w:sz w:val="21"/>
          <w:szCs w:val="21"/>
          <w:highlight w:val="none"/>
          <w:lang w:val="en-US" w:eastAsia="zh-CN"/>
        </w:rPr>
        <w:t>综合标</w:t>
      </w:r>
      <w:r>
        <w:rPr>
          <w:rFonts w:hint="eastAsia" w:ascii="宋体" w:hAnsi="宋体" w:eastAsia="宋体" w:cs="宋体"/>
          <w:color w:val="auto"/>
          <w:spacing w:val="0"/>
          <w:w w:val="100"/>
          <w:position w:val="0"/>
          <w:sz w:val="21"/>
          <w:szCs w:val="21"/>
          <w:highlight w:val="none"/>
        </w:rPr>
        <w:t>的得分记录为</w:t>
      </w:r>
      <w:r>
        <w:rPr>
          <w:rFonts w:hint="eastAsia" w:ascii="宋体" w:hAnsi="宋体" w:eastAsia="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A4.</w:t>
      </w:r>
      <w:r>
        <w:rPr>
          <w:rFonts w:hint="eastAsia" w:ascii="宋体" w:hAnsi="宋体" w:eastAsia="宋体" w:cs="宋体"/>
          <w:b/>
          <w:color w:val="auto"/>
          <w:spacing w:val="0"/>
          <w:w w:val="100"/>
          <w:position w:val="0"/>
          <w:sz w:val="21"/>
          <w:szCs w:val="21"/>
          <w:highlight w:val="none"/>
          <w:lang w:val="en-US" w:eastAsia="zh-CN"/>
        </w:rPr>
        <w:t>5</w:t>
      </w:r>
      <w:r>
        <w:rPr>
          <w:rFonts w:hint="eastAsia" w:ascii="宋体" w:hAnsi="宋体" w:eastAsia="宋体" w:cs="宋体"/>
          <w:b/>
          <w:color w:val="auto"/>
          <w:spacing w:val="0"/>
          <w:w w:val="100"/>
          <w:position w:val="0"/>
          <w:sz w:val="21"/>
          <w:szCs w:val="21"/>
          <w:highlight w:val="none"/>
        </w:rPr>
        <w:t>澄清、说明或补正</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spacing w:val="0"/>
          <w:w w:val="100"/>
          <w:kern w:val="0"/>
          <w:position w:val="0"/>
          <w:sz w:val="21"/>
          <w:szCs w:val="21"/>
          <w:highlight w:val="none"/>
        </w:rPr>
      </w:pPr>
      <w:r>
        <w:rPr>
          <w:rFonts w:hint="eastAsia" w:ascii="宋体" w:hAnsi="宋体" w:eastAsia="宋体" w:cs="宋体"/>
          <w:color w:val="auto"/>
          <w:spacing w:val="0"/>
          <w:w w:val="100"/>
          <w:position w:val="0"/>
          <w:sz w:val="21"/>
          <w:szCs w:val="21"/>
          <w:highlight w:val="none"/>
        </w:rPr>
        <w:t>在详细评审过程中，评标委员会应当就投标文件中不明确的内容要求投标人进行澄清、说明或者补正。投标人对此以书面形式予以澄清、说明或者补正。澄清、说明或补正根据本章第3.3款的规定执行。</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A4.</w:t>
      </w:r>
      <w:r>
        <w:rPr>
          <w:rFonts w:hint="eastAsia" w:ascii="宋体" w:hAnsi="宋体" w:eastAsia="宋体" w:cs="宋体"/>
          <w:b/>
          <w:color w:val="auto"/>
          <w:spacing w:val="0"/>
          <w:w w:val="100"/>
          <w:position w:val="0"/>
          <w:sz w:val="21"/>
          <w:szCs w:val="21"/>
          <w:highlight w:val="none"/>
          <w:lang w:val="en-US" w:eastAsia="zh-CN"/>
        </w:rPr>
        <w:t>6</w:t>
      </w:r>
      <w:r>
        <w:rPr>
          <w:rFonts w:hint="eastAsia" w:ascii="宋体" w:hAnsi="宋体" w:eastAsia="宋体" w:cs="宋体"/>
          <w:b/>
          <w:color w:val="auto"/>
          <w:spacing w:val="0"/>
          <w:w w:val="100"/>
          <w:position w:val="0"/>
          <w:sz w:val="21"/>
          <w:szCs w:val="21"/>
          <w:highlight w:val="none"/>
        </w:rPr>
        <w:t>汇总评分结果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A4.</w:t>
      </w:r>
      <w:r>
        <w:rPr>
          <w:rFonts w:hint="eastAsia" w:ascii="宋体" w:hAnsi="宋体" w:eastAsia="宋体" w:cs="宋体"/>
          <w:color w:val="auto"/>
          <w:spacing w:val="0"/>
          <w:w w:val="100"/>
          <w:position w:val="0"/>
          <w:sz w:val="21"/>
          <w:szCs w:val="21"/>
          <w:highlight w:val="none"/>
          <w:lang w:val="en-US" w:eastAsia="zh-CN"/>
        </w:rPr>
        <w:t>6</w:t>
      </w:r>
      <w:r>
        <w:rPr>
          <w:rFonts w:hint="eastAsia" w:ascii="宋体" w:hAnsi="宋体" w:eastAsia="宋体" w:cs="宋体"/>
          <w:color w:val="auto"/>
          <w:spacing w:val="0"/>
          <w:w w:val="100"/>
          <w:position w:val="0"/>
          <w:sz w:val="21"/>
          <w:szCs w:val="21"/>
          <w:highlight w:val="none"/>
        </w:rPr>
        <w:t>.1评标委员会成员应填写详细评审评分汇总表。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A4.</w:t>
      </w:r>
      <w:r>
        <w:rPr>
          <w:rFonts w:hint="eastAsia" w:ascii="宋体" w:hAnsi="宋体" w:eastAsia="宋体" w:cs="宋体"/>
          <w:color w:val="auto"/>
          <w:spacing w:val="0"/>
          <w:w w:val="100"/>
          <w:position w:val="0"/>
          <w:sz w:val="21"/>
          <w:szCs w:val="21"/>
          <w:highlight w:val="none"/>
          <w:lang w:val="en-US" w:eastAsia="zh-CN"/>
        </w:rPr>
        <w:t>6</w:t>
      </w:r>
      <w:r>
        <w:rPr>
          <w:rFonts w:hint="eastAsia" w:ascii="宋体" w:hAnsi="宋体" w:eastAsia="宋体" w:cs="宋体"/>
          <w:color w:val="auto"/>
          <w:spacing w:val="0"/>
          <w:w w:val="100"/>
          <w:position w:val="0"/>
          <w:sz w:val="21"/>
          <w:szCs w:val="21"/>
          <w:highlight w:val="none"/>
        </w:rPr>
        <w:t>.2详细评审工作全部结束后，汇总各个评标委员会成员的详细评审评分结果，并按照详细评审最终得分由高至低的次序对投标人进行排序。</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A5.推荐中标候选人或者直接确定中标人</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3" w:name="_Toc16943_WPSOffice_Level1"/>
      <w:r>
        <w:rPr>
          <w:rFonts w:hint="eastAsia" w:ascii="宋体" w:hAnsi="宋体" w:eastAsia="宋体" w:cs="宋体"/>
          <w:b/>
          <w:color w:val="auto"/>
          <w:spacing w:val="0"/>
          <w:w w:val="100"/>
          <w:position w:val="0"/>
          <w:sz w:val="21"/>
          <w:szCs w:val="21"/>
          <w:highlight w:val="none"/>
        </w:rPr>
        <w:t>A5.1 推荐中标候选人</w:t>
      </w:r>
      <w:bookmarkEnd w:id="723"/>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A5.1.1除第二章“投标人须知”前附表授权直接确定中标人外，评标委员会在推荐中标候选人时，应遵照以下原则：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（1）评标委员会按照最终得分由高至低的次序排列，并根据第二章“投标人须知”前附表第7.1款规定的中标候选人数量，将排序在前的投标人推荐为中标候选人。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（2）如果评标委员会根据本章的规定作</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处理后，有效投标不足三个，且少于第二章“投标人须知”前附表第7.1款规定的中标候选人数量的，则评标委员会可以将所有有效标按最终得分由高至低的次序作为中标候选人向招标人推荐。如果因有效投标不足三个使得投标明显缺乏竞争的，评标委员会可以否决全部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A5.1.2投标截止时间前，递交投标文件的投标人数量少于三个或者所有投标被否决的，招标人应当依法重新招标。</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A5.2 直接确定中标人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第二章“投标人须知”前附表授权评标委员会直接确定中标人的，评标委员会按照最终得分由高至低的次序排列，并确定排名第一的投标人为中标人。</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4" w:name="_Toc21273_WPSOffice_Level1"/>
      <w:r>
        <w:rPr>
          <w:rFonts w:hint="eastAsia" w:ascii="宋体" w:hAnsi="宋体" w:eastAsia="宋体" w:cs="宋体"/>
          <w:b/>
          <w:color w:val="auto"/>
          <w:spacing w:val="0"/>
          <w:w w:val="100"/>
          <w:position w:val="0"/>
          <w:sz w:val="21"/>
          <w:szCs w:val="21"/>
          <w:highlight w:val="none"/>
        </w:rPr>
        <w:t>A5.3 编制评标报告</w:t>
      </w:r>
      <w:bookmarkEnd w:id="724"/>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评标委员会根据本章第3.4.2项规定向招标人提交评标报告。评标报告应当由全体评标委员会成员签字（签章）。评标报告应当包括以下内容：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1</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基本情况和数据表；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2</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评标委员会成员名单；</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3</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开标记录；</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4</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符合要求的投标一览表；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情况说明；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评标标准、评标方法或者评标因素一览表；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7</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评分比较一览表（包括评标委员会在评标过程中所形成的所有记载评标结果、结论的表格、说明、记录等文件）；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8</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经评审的投标人排序；</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9</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推荐的中标候选人名单（如果第二章“投标人须知”前附表授权评标委员会直接确定中标人，则为“确定的中标人”）与签订合同前要处理的事宜；</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10</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澄清、说明、补正事项纪要。</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5" w:name="_Toc2684_WPSOffice_Level1"/>
      <w:r>
        <w:rPr>
          <w:rFonts w:hint="eastAsia" w:ascii="宋体" w:hAnsi="宋体" w:eastAsia="宋体" w:cs="宋体"/>
          <w:b/>
          <w:color w:val="auto"/>
          <w:spacing w:val="0"/>
          <w:w w:val="100"/>
          <w:position w:val="0"/>
          <w:sz w:val="21"/>
          <w:szCs w:val="21"/>
          <w:highlight w:val="none"/>
        </w:rPr>
        <w:t>A6. 特殊情况的处置程序</w:t>
      </w:r>
      <w:bookmarkEnd w:id="725"/>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A6.1 关于评标活动暂停</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A6.2.1评标委员会应当执行连续评标的原则，按评标办法中规定的程序、内容、办法、标准完成全部评标工作。只有发生不可抗力导致评标工作无法继续时，评标活动方可暂停。</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A6.2.2发生评标暂停情况时，评标委员会应当封存全部投标文件和评标记录，待不可抗力的影响结束且具备继续评标的条件时，由原评标委员会继续评标。</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6" w:name="_Toc2398_WPSOffice_Level1"/>
      <w:r>
        <w:rPr>
          <w:rFonts w:hint="eastAsia" w:ascii="宋体" w:hAnsi="宋体" w:eastAsia="宋体" w:cs="宋体"/>
          <w:b/>
          <w:color w:val="auto"/>
          <w:spacing w:val="0"/>
          <w:w w:val="100"/>
          <w:position w:val="0"/>
          <w:sz w:val="21"/>
          <w:szCs w:val="21"/>
          <w:highlight w:val="none"/>
        </w:rPr>
        <w:t>A6.2 关于评标中途更换评委</w:t>
      </w:r>
      <w:bookmarkEnd w:id="726"/>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A6.2.1除非发生下列情况之一，评标委员会成员不得在评标中途更换；</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（1）因不可抗拒的客观原因，不能到场或需在评标中途退出评标活动。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（2）根据法律法规规定，某个或某几个评标委员会成员需要回避。</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A6.2.2退出评标的评标委员会成员，其已完成的评标行为无效。由招标人根据本招标文件规定的评标委员会成员产生方式另行确定代替者进行评标。</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7" w:name="_Toc13130_WPSOffice_Level1"/>
      <w:r>
        <w:rPr>
          <w:rFonts w:hint="eastAsia" w:ascii="宋体" w:hAnsi="宋体" w:eastAsia="宋体" w:cs="宋体"/>
          <w:b/>
          <w:color w:val="auto"/>
          <w:spacing w:val="0"/>
          <w:w w:val="100"/>
          <w:position w:val="0"/>
          <w:sz w:val="21"/>
          <w:szCs w:val="21"/>
          <w:highlight w:val="none"/>
        </w:rPr>
        <w:t>A6.</w:t>
      </w:r>
      <w:r>
        <w:rPr>
          <w:rFonts w:hint="eastAsia" w:ascii="宋体" w:hAnsi="宋体" w:eastAsia="宋体" w:cs="宋体"/>
          <w:b/>
          <w:color w:val="auto"/>
          <w:spacing w:val="0"/>
          <w:w w:val="100"/>
          <w:position w:val="0"/>
          <w:sz w:val="21"/>
          <w:szCs w:val="21"/>
          <w:highlight w:val="none"/>
          <w:lang w:val="en-US" w:eastAsia="zh-CN"/>
        </w:rPr>
        <w:t>3</w:t>
      </w:r>
      <w:r>
        <w:rPr>
          <w:rFonts w:hint="eastAsia" w:ascii="宋体" w:hAnsi="宋体" w:eastAsia="宋体" w:cs="宋体"/>
          <w:b/>
          <w:color w:val="auto"/>
          <w:spacing w:val="0"/>
          <w:w w:val="100"/>
          <w:position w:val="0"/>
          <w:sz w:val="21"/>
          <w:szCs w:val="21"/>
          <w:highlight w:val="none"/>
        </w:rPr>
        <w:t>记名投票</w:t>
      </w:r>
      <w:bookmarkEnd w:id="727"/>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在任何评标环节中，需评标委员会就某项定性的评审结论做出表决的，由评标委员会全体成员按照少数服从多数的原则，以记名投票方式表决。</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pacing w:val="0"/>
          <w:w w:val="100"/>
          <w:position w:val="0"/>
          <w:sz w:val="21"/>
          <w:szCs w:val="21"/>
          <w:highlight w:val="none"/>
        </w:rPr>
      </w:pPr>
      <w:bookmarkStart w:id="728" w:name="_Toc16572_WPSOffice_Level1"/>
      <w:r>
        <w:rPr>
          <w:rFonts w:hint="eastAsia" w:ascii="宋体" w:hAnsi="宋体" w:eastAsia="宋体" w:cs="宋体"/>
          <w:b/>
          <w:color w:val="auto"/>
          <w:spacing w:val="0"/>
          <w:w w:val="100"/>
          <w:position w:val="0"/>
          <w:sz w:val="21"/>
          <w:szCs w:val="21"/>
          <w:highlight w:val="none"/>
        </w:rPr>
        <w:t>A7.补充条款</w:t>
      </w:r>
      <w:bookmarkEnd w:id="728"/>
    </w:p>
    <w:p>
      <w:pPr>
        <w:spacing w:line="440" w:lineRule="exact"/>
        <w:ind w:firstLine="420" w:firstLineChars="200"/>
        <w:rPr>
          <w:rFonts w:hint="eastAsia" w:ascii="宋体" w:hAnsi="宋体" w:eastAsia="宋体" w:cs="宋体"/>
          <w:b/>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无。</w:t>
      </w:r>
    </w:p>
    <w:p>
      <w:pPr>
        <w:spacing w:line="420" w:lineRule="exact"/>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br w:type="page"/>
      </w:r>
      <w:bookmarkStart w:id="729" w:name="_Toc19785"/>
      <w:r>
        <w:rPr>
          <w:rFonts w:hint="eastAsia" w:ascii="宋体" w:hAnsi="宋体" w:eastAsia="宋体" w:cs="宋体"/>
          <w:color w:val="auto"/>
          <w:spacing w:val="0"/>
          <w:w w:val="100"/>
          <w:position w:val="0"/>
          <w:sz w:val="21"/>
          <w:szCs w:val="21"/>
          <w:highlight w:val="none"/>
        </w:rPr>
        <w:t>附件</w:t>
      </w:r>
      <w:r>
        <w:rPr>
          <w:rFonts w:hint="eastAsia" w:ascii="宋体" w:hAnsi="宋体" w:eastAsia="宋体" w:cs="宋体"/>
          <w:color w:val="auto"/>
          <w:spacing w:val="0"/>
          <w:w w:val="100"/>
          <w:position w:val="0"/>
          <w:sz w:val="21"/>
          <w:szCs w:val="21"/>
          <w:highlight w:val="none"/>
          <w:lang w:val="en-US" w:eastAsia="zh-CN"/>
        </w:rPr>
        <w:t>B</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w:t>
      </w:r>
      <w:bookmarkEnd w:id="729"/>
    </w:p>
    <w:p>
      <w:pPr>
        <w:spacing w:line="430" w:lineRule="exact"/>
        <w:jc w:val="center"/>
        <w:outlineLvl w:val="9"/>
        <w:rPr>
          <w:rFonts w:hint="eastAsia" w:ascii="宋体" w:hAnsi="宋体" w:eastAsia="宋体" w:cs="宋体"/>
          <w:color w:val="auto"/>
          <w:spacing w:val="0"/>
          <w:w w:val="100"/>
          <w:position w:val="0"/>
          <w:sz w:val="21"/>
          <w:szCs w:val="21"/>
          <w:highlight w:val="none"/>
        </w:rPr>
      </w:pPr>
      <w:bookmarkStart w:id="730" w:name="_Toc22425"/>
      <w:bookmarkStart w:id="731" w:name="_Toc13723"/>
      <w:bookmarkStart w:id="732" w:name="_Toc14834_WPSOffice_Level1"/>
      <w:bookmarkStart w:id="733" w:name="_Toc5990"/>
      <w:bookmarkStart w:id="734" w:name="_Toc20180"/>
      <w:bookmarkStart w:id="735" w:name="_Toc23672"/>
      <w:bookmarkStart w:id="736" w:name="_Toc14527"/>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w:t>
      </w:r>
      <w:bookmarkEnd w:id="730"/>
      <w:bookmarkEnd w:id="731"/>
      <w:bookmarkEnd w:id="732"/>
      <w:bookmarkEnd w:id="733"/>
      <w:bookmarkEnd w:id="734"/>
      <w:bookmarkEnd w:id="735"/>
      <w:bookmarkEnd w:id="736"/>
    </w:p>
    <w:p>
      <w:pPr>
        <w:spacing w:line="430" w:lineRule="exact"/>
        <w:rPr>
          <w:rFonts w:hint="eastAsia" w:ascii="宋体" w:hAnsi="宋体" w:eastAsia="宋体" w:cs="宋体"/>
          <w:b/>
          <w:color w:val="auto"/>
          <w:spacing w:val="0"/>
          <w:w w:val="100"/>
          <w:position w:val="0"/>
          <w:sz w:val="21"/>
          <w:szCs w:val="21"/>
          <w:highlight w:val="none"/>
        </w:rPr>
      </w:pPr>
      <w:r>
        <w:rPr>
          <w:rFonts w:hint="eastAsia" w:ascii="宋体" w:hAnsi="宋体" w:eastAsia="宋体" w:cs="宋体"/>
          <w:b/>
          <w:color w:val="auto"/>
          <w:spacing w:val="0"/>
          <w:w w:val="100"/>
          <w:position w:val="0"/>
          <w:sz w:val="21"/>
          <w:szCs w:val="21"/>
          <w:highlight w:val="none"/>
        </w:rPr>
        <w:t>B0.总则</w:t>
      </w:r>
    </w:p>
    <w:p>
      <w:pPr>
        <w:spacing w:line="430" w:lineRule="exact"/>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本附件所集中列示的</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条件，是本章“评标办法”的组成部分，是对第二章“投标人须知”和本章正文部分所规定的</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条件的总结和补充，如果出现相互矛盾的情况，以第二章“投标人须知”和本章正文部分的规定为准。</w:t>
      </w:r>
    </w:p>
    <w:p>
      <w:pPr>
        <w:spacing w:line="430" w:lineRule="exact"/>
        <w:rPr>
          <w:rFonts w:hint="eastAsia" w:ascii="宋体" w:hAnsi="宋体" w:eastAsia="宋体" w:cs="宋体"/>
          <w:b/>
          <w:color w:val="auto"/>
          <w:spacing w:val="0"/>
          <w:w w:val="100"/>
          <w:position w:val="0"/>
          <w:sz w:val="21"/>
          <w:szCs w:val="21"/>
          <w:highlight w:val="none"/>
        </w:rPr>
      </w:pPr>
      <w:bookmarkStart w:id="737" w:name="_Toc24609_WPSOffice_Level1"/>
      <w:r>
        <w:rPr>
          <w:rFonts w:hint="eastAsia" w:ascii="宋体" w:hAnsi="宋体" w:eastAsia="宋体" w:cs="宋体"/>
          <w:b/>
          <w:color w:val="auto"/>
          <w:spacing w:val="0"/>
          <w:w w:val="100"/>
          <w:position w:val="0"/>
          <w:sz w:val="21"/>
          <w:szCs w:val="21"/>
          <w:highlight w:val="none"/>
        </w:rPr>
        <w:t>B1.</w:t>
      </w:r>
      <w:r>
        <w:rPr>
          <w:rFonts w:hint="eastAsia" w:ascii="宋体" w:hAnsi="宋体" w:eastAsia="宋体" w:cs="宋体"/>
          <w:b/>
          <w:color w:val="auto"/>
          <w:spacing w:val="0"/>
          <w:w w:val="100"/>
          <w:position w:val="0"/>
          <w:sz w:val="21"/>
          <w:szCs w:val="21"/>
          <w:highlight w:val="none"/>
          <w:lang w:eastAsia="zh-CN"/>
        </w:rPr>
        <w:t>否决投标</w:t>
      </w:r>
      <w:r>
        <w:rPr>
          <w:rFonts w:hint="eastAsia" w:ascii="宋体" w:hAnsi="宋体" w:eastAsia="宋体" w:cs="宋体"/>
          <w:b/>
          <w:color w:val="auto"/>
          <w:spacing w:val="0"/>
          <w:w w:val="100"/>
          <w:position w:val="0"/>
          <w:sz w:val="21"/>
          <w:szCs w:val="21"/>
          <w:highlight w:val="none"/>
        </w:rPr>
        <w:t>条件</w:t>
      </w:r>
      <w:bookmarkEnd w:id="737"/>
    </w:p>
    <w:p>
      <w:pPr>
        <w:spacing w:before="104" w:line="200" w:lineRule="auto"/>
        <w:ind w:firstLine="203" w:firstLineChars="100"/>
        <w:jc w:val="center"/>
        <w:outlineLvl w:val="9"/>
        <w:rPr>
          <w:rFonts w:ascii="黑体" w:hAnsi="黑体" w:eastAsia="黑体" w:cs="黑体"/>
          <w:sz w:val="34"/>
          <w:szCs w:val="34"/>
        </w:rPr>
      </w:pPr>
      <w:bookmarkStart w:id="738" w:name="_Toc2352"/>
      <w:r>
        <w:rPr>
          <w:rFonts w:ascii="宋体" w:hAnsi="宋体" w:eastAsia="宋体" w:cs="宋体"/>
          <w:b/>
          <w:bCs/>
          <w:spacing w:val="-4"/>
          <w:sz w:val="21"/>
          <w:szCs w:val="21"/>
        </w:rPr>
        <w:t>否决投标的情形</w:t>
      </w:r>
      <w:bookmarkEnd w:id="738"/>
    </w:p>
    <w:tbl>
      <w:tblPr>
        <w:tblStyle w:val="388"/>
        <w:tblW w:w="92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629"/>
        <w:gridCol w:w="2449"/>
        <w:gridCol w:w="5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1053" w:type="dxa"/>
            <w:gridSpan w:val="2"/>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序号</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评审项目</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否决投标项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4" w:type="dxa"/>
            <w:vMerge w:val="restart"/>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vMerge w:val="restart"/>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1.1</w:t>
            </w:r>
          </w:p>
        </w:tc>
        <w:tc>
          <w:tcPr>
            <w:tcW w:w="2449" w:type="dxa"/>
            <w:vMerge w:val="restart"/>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投标总价</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不等于各单项工程报价之和且拒不按照评标委员会要求进行澄清、说明或者修正影响评标的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高于最高投标限价的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1.2</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单项工程费</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不等于各单位工程报价之和且拒不按照评标委员会要求进行澄清、说明或者修正影响评标的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1.3</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单位工程费</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不等于分部分项工程费+措施项目费+其他项目费+规费+税金之和且拒不按照评标委员会要求进行澄清、说明或者修正影响评标的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24" w:type="dxa"/>
            <w:vMerge w:val="restart"/>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2</w:t>
            </w: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2.1</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分部分项工程费及单价措施费总价</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不等于各分部分项工程项目清单（含单价措施项目）费之和且拒不按照评标委员会要求进行澄清、说明或者修正影响评标的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2.2</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分部分项工程项目编码</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与招标文件发布的清单不一致的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2.3</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分部分项工程项目名称</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与招标文件发布的清单不一致的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2.4</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分部分项工程项目特征</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与招标文件发布的清单不一致的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2.5</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分部分项工程项目计量</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单位</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与招标文件发布的清单不一致的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2.6</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分部分项工程项目工程量</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与招标文件发布的清单不一致的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2.7</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分部分项工程项目清单的综合单价</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不等于人工费、材料费、机械费、管理费及利润之和且拒不按照评标委员会要求进行澄清、说明或者修正影响评标的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2.8</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材料单价</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综合单价中的材料单价与材料表中材料单价不一致的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424" w:type="dxa"/>
            <w:vMerge w:val="restart"/>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3</w:t>
            </w: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3.1</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安全文明施工措施费</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与河南省相关规定要求不符的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3.2</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其他措施费（费率类）项目</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与招标文件要求不符的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jc w:val="center"/>
        </w:trPr>
        <w:tc>
          <w:tcPr>
            <w:tcW w:w="424" w:type="dxa"/>
            <w:vMerge w:val="restart"/>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4</w:t>
            </w: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4.1</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其他项目费</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不等于各组成部分之和（暂列金额+专业工程暂估价+计日工费+总承包服务费）且拒不按照评标委员会要求进行澄清、说明或者修正影响评标的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4.2</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暂列金额</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与招标文件发布的金额不一致的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424" w:type="dxa"/>
            <w:vMerge w:val="restart"/>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4.3</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暂估价</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与招标文件发布的金额不一致的（包括材料暂估单价、工程设备暂估单价和专业工程暂估价）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4.4</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计日工</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与招标文件发布的数量不一致的（计日工按照8小时工作制）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4.5</w:t>
            </w: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总承包服务费</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不符合招标文件规定的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424" w:type="dxa"/>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5</w:t>
            </w:r>
          </w:p>
        </w:tc>
        <w:tc>
          <w:tcPr>
            <w:tcW w:w="629" w:type="dxa"/>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lang w:val="en-US" w:eastAsia="zh-CN"/>
              </w:rPr>
            </w:pP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规费</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与河南省相关规定要求不符的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424" w:type="dxa"/>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6</w:t>
            </w:r>
          </w:p>
        </w:tc>
        <w:tc>
          <w:tcPr>
            <w:tcW w:w="629" w:type="dxa"/>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lang w:val="en-US" w:eastAsia="zh-CN"/>
              </w:rPr>
            </w:pP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税金</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与河南省相关规定要求不符的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9" w:hRule="atLeast"/>
          <w:jc w:val="center"/>
        </w:trPr>
        <w:tc>
          <w:tcPr>
            <w:tcW w:w="424" w:type="dxa"/>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7</w:t>
            </w: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244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电子投标文件的</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雷同性分析</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评标系统提示不同投标人的电子投标文件的文件制作机器码或者文件创建标识码、已标价工程量清单的文件制作机器码或者文件创建标识码、造价软件锁号、已标价工程量清单的软件加密锁使用人统一社会信用代码（或身份证号码）等信息相同或一致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4" w:type="dxa"/>
            <w:vMerge w:val="restart"/>
            <w:tcBorders>
              <w:tl2br w:val="nil"/>
              <w:tr2bl w:val="nil"/>
            </w:tcBorders>
            <w:noWrap w:val="0"/>
            <w:vAlign w:val="center"/>
          </w:tcPr>
          <w:p>
            <w:pPr>
              <w:pStyle w:val="389"/>
              <w:autoSpaceDE w:val="0"/>
              <w:autoSpaceDN w:val="0"/>
              <w:spacing w:before="65" w:line="360" w:lineRule="auto"/>
              <w:ind w:left="154"/>
              <w:rPr>
                <w:rFonts w:hint="eastAsia" w:ascii="宋体" w:hAnsi="宋体" w:eastAsia="宋体" w:cs="宋体"/>
                <w:sz w:val="21"/>
                <w:szCs w:val="21"/>
              </w:rPr>
            </w:pPr>
            <w:r>
              <w:rPr>
                <w:rFonts w:hint="eastAsia" w:ascii="宋体" w:hAnsi="宋体" w:eastAsia="宋体" w:cs="宋体"/>
                <w:sz w:val="21"/>
                <w:szCs w:val="21"/>
              </w:rPr>
              <w:t>8</w:t>
            </w: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w:t>
            </w:r>
          </w:p>
        </w:tc>
        <w:tc>
          <w:tcPr>
            <w:tcW w:w="2449" w:type="dxa"/>
            <w:vMerge w:val="restart"/>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对招标文件的响应、</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重大偏差及违反法律、</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法规、规章、规范性</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文件规定的情况</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投标文件不符合招标文件格式要求、未加盖投标单位章、法定代表人（或委托代理人）签字的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投标人不符合国家或者招标文件规定的资质、资格条件的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8.3</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投标联合体没有提交共同投标协议，共同投标协议未按招标文件规定的格式签署、提交，未明确联合体牵头人和各方拟承担的工作和责任的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8.4</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同一投标人提交两个以上不同的投标文件或者投标报价的，但招标文件要求提交备选投标的除外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8.5</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投标人名称与营业执照、资质证书、安全生产许可证不一致，或前述证照无效的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8.6</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项目经理（建造师）资格不符合招标文件规定的专业等级要求，或投标截止当日在其他项目担任项目经理（建造师）（以合同签订日期为准）的，同一工程相邻分段发包或分期施工的除外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8.7</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项目经理（建造师）、技术负责人、安全负责人的社保非本单位缴纳（已退休的人员除外）的。社保在单位分支机构（非独立法人）缴纳的视同本单位缴纳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8.8</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采用资格预审的项目，投标文件与资格预审申请文件的项目经理（建造师）不一致（离职、死亡的除外）且未在投标截止时间前经招标人同意的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424" w:type="dxa"/>
            <w:vMerge w:val="restart"/>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8.9</w:t>
            </w:r>
          </w:p>
        </w:tc>
        <w:tc>
          <w:tcPr>
            <w:tcW w:w="2449" w:type="dxa"/>
            <w:vMerge w:val="restart"/>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企业、项目经理（建造师）类似项目业绩不符合招标文件投标资格要求的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8.10</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投标人为招标人不具有独立法人资格的附属机构（单位）的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8.11</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投标人与招标人存在利害关系且可能影响招标公正性的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8.12</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投标人与本招标项目的其他投标人为同一单位负责人的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8.13</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投标人与本招标项目的其他投标人存在控股、管理关系的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8.14</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投标人为本招标项目的代建单位、招标代理机构或承担设计、造价咨询、监理业务的单位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8.15</w:t>
            </w:r>
          </w:p>
        </w:tc>
        <w:tc>
          <w:tcPr>
            <w:tcW w:w="2449" w:type="dxa"/>
            <w:vMerge w:val="restart"/>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对招标文件的响应、</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重大偏差及违反法律、</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法规、规章、规范性</w:t>
            </w:r>
          </w:p>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文件规定的情况</w:t>
            </w: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投标人与本招标项目的代建单位、招标代理机构、设计单位、造价咨询机构、监理单位的法定代表人为同一人的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8.16</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投标人与本招标项目的代建单位、招标代理机构、造价咨询机构、监理单位存在管理关系、相互控股或参股关系的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8.17</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投标人被依法暂停或取消项目所在区域或行业投标资格的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8.18</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投标人被责令停业，暂扣或吊销执照，或吊销资质证书的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8.19</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投标人进入清算程序，或被宣告破产，或其他丧失履约能力情形的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8.20</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投标人或拟派项目经理被列入建筑市场主体“黑名单”且在管理期限内的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8.21</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投标人被市场监管机关在国家企业信用信息公示系统中列入严重违法失信企业名单且在管理期限内的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8.22</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投标人或其法定代表人、拟委任的项目经理在“信用中国”网站重点领域严重失信主体名单中被限制或者禁止参与招标投标活动的“严重失信主体”且在管理期限内的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8.23</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投标人拖欠工人工资，情节严重被有关行政主管部门向社会公布且在公布的期限内的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8.24</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投标人违反法律、法规、规章或无正当理由放弃中标资格受到行业主管部门处罚且在处罚期内的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8.25</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投标报价低于成本且不能提供相关证明材料，或者提交的相关材料无法证明投标人可以按照其报价以及招标文件规定的质量标准和履行期限完成招标项目的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8.26</w:t>
            </w:r>
          </w:p>
        </w:tc>
        <w:tc>
          <w:tcPr>
            <w:tcW w:w="2449" w:type="dxa"/>
            <w:vMerge w:val="continue"/>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投标文件没有按照招标文件要求提供投标保证，或者所提供的投标保证有瑕疵的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424" w:type="dxa"/>
            <w:vMerge w:val="restart"/>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8.27</w:t>
            </w:r>
          </w:p>
        </w:tc>
        <w:tc>
          <w:tcPr>
            <w:tcW w:w="2449" w:type="dxa"/>
            <w:vMerge w:val="restart"/>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对投标项目工期承诺超过招标文件规定的完成期限的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8.28</w:t>
            </w:r>
          </w:p>
        </w:tc>
        <w:tc>
          <w:tcPr>
            <w:tcW w:w="2449"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对投标项目的质量承诺不满足招标文件规定要求的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8.29</w:t>
            </w:r>
          </w:p>
        </w:tc>
        <w:tc>
          <w:tcPr>
            <w:tcW w:w="2449"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技术标违反国家强制性标准要求的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8.30</w:t>
            </w:r>
          </w:p>
        </w:tc>
        <w:tc>
          <w:tcPr>
            <w:tcW w:w="2449"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投标人拒不按照评标委员会要求对投标文件进行澄清、说明或者补正，影响评标的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424"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629"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center"/>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8.31</w:t>
            </w:r>
          </w:p>
        </w:tc>
        <w:tc>
          <w:tcPr>
            <w:tcW w:w="2449" w:type="dxa"/>
            <w:vMerge w:val="continue"/>
            <w:tcBorders>
              <w:tl2br w:val="nil"/>
              <w:tr2bl w:val="nil"/>
            </w:tcBorders>
            <w:noWrap w:val="0"/>
            <w:vAlign w:val="center"/>
          </w:tcPr>
          <w:p>
            <w:pPr>
              <w:autoSpaceDE w:val="0"/>
              <w:autoSpaceDN w:val="0"/>
              <w:spacing w:line="360" w:lineRule="auto"/>
              <w:rPr>
                <w:rFonts w:hint="eastAsia" w:ascii="宋体" w:hAnsi="宋体" w:eastAsia="宋体" w:cs="宋体"/>
                <w:sz w:val="21"/>
                <w:szCs w:val="21"/>
              </w:rPr>
            </w:pPr>
          </w:p>
        </w:tc>
        <w:tc>
          <w:tcPr>
            <w:tcW w:w="5711" w:type="dxa"/>
            <w:tcBorders>
              <w:tl2br w:val="nil"/>
              <w:tr2bl w:val="nil"/>
            </w:tcBorders>
            <w:noWrap w:val="0"/>
            <w:vAlign w:val="center"/>
          </w:tcPr>
          <w:p>
            <w:pPr>
              <w:keepNext w:val="0"/>
              <w:keepLines w:val="0"/>
              <w:pageBreakBefore w:val="0"/>
              <w:kinsoku/>
              <w:wordWrap w:val="0"/>
              <w:overflowPunct/>
              <w:topLinePunct w:val="0"/>
              <w:autoSpaceDE w:val="0"/>
              <w:autoSpaceDN w:val="0"/>
              <w:bidi w:val="0"/>
              <w:spacing w:line="360" w:lineRule="auto"/>
              <w:jc w:val="both"/>
              <w:textAlignment w:val="auto"/>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投标人在本次投标活动中有串通投标、弄虚作假、行贿等违法行为的</w:t>
            </w:r>
          </w:p>
        </w:tc>
      </w:tr>
    </w:tbl>
    <w:p>
      <w:pPr>
        <w:spacing w:line="430" w:lineRule="exact"/>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B2.</w:t>
      </w:r>
      <w:r>
        <w:rPr>
          <w:rFonts w:hint="eastAsia" w:ascii="宋体" w:hAnsi="宋体" w:eastAsia="宋体" w:cs="宋体"/>
          <w:color w:val="auto"/>
          <w:spacing w:val="0"/>
          <w:w w:val="100"/>
          <w:position w:val="0"/>
          <w:sz w:val="21"/>
          <w:szCs w:val="21"/>
          <w:highlight w:val="none"/>
          <w:lang w:eastAsia="zh-CN"/>
        </w:rPr>
        <w:t>否决投标</w:t>
      </w:r>
      <w:r>
        <w:rPr>
          <w:rFonts w:hint="eastAsia" w:ascii="宋体" w:hAnsi="宋体" w:eastAsia="宋体" w:cs="宋体"/>
          <w:color w:val="auto"/>
          <w:spacing w:val="0"/>
          <w:w w:val="100"/>
          <w:position w:val="0"/>
          <w:sz w:val="21"/>
          <w:szCs w:val="21"/>
          <w:highlight w:val="none"/>
        </w:rPr>
        <w:t>说明</w:t>
      </w:r>
    </w:p>
    <w:p>
      <w:pPr>
        <w:spacing w:line="430" w:lineRule="exact"/>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B2.1评标委员会应对照招标文件规定的否决投标条件以及投标文件存在的具体问题，对判定为否决投标的投标文件进行否决投标情况说明。</w:t>
      </w:r>
    </w:p>
    <w:p>
      <w:pPr>
        <w:spacing w:line="360" w:lineRule="auto"/>
        <w:rPr>
          <w:rFonts w:hint="eastAsia" w:ascii="宋体" w:hAnsi="宋体" w:cs="宋体"/>
          <w:color w:val="auto"/>
          <w:sz w:val="22"/>
          <w:szCs w:val="22"/>
          <w:highlight w:val="none"/>
        </w:rPr>
      </w:pPr>
    </w:p>
    <w:p>
      <w:pPr>
        <w:pStyle w:val="4"/>
        <w:ind w:left="402"/>
        <w:jc w:val="center"/>
        <w:rPr>
          <w:rFonts w:hint="eastAsia" w:ascii="宋体" w:hAnsi="宋体" w:cs="宋体"/>
          <w:color w:val="auto"/>
          <w:sz w:val="36"/>
          <w:szCs w:val="36"/>
          <w:highlight w:val="none"/>
        </w:rPr>
      </w:pPr>
      <w:r>
        <w:rPr>
          <w:rFonts w:hint="eastAsia" w:ascii="宋体" w:hAnsi="宋体" w:cs="宋体"/>
          <w:b w:val="0"/>
          <w:bCs w:val="0"/>
          <w:color w:val="auto"/>
          <w:sz w:val="28"/>
          <w:szCs w:val="28"/>
          <w:highlight w:val="none"/>
        </w:rPr>
        <w:br w:type="page"/>
      </w:r>
      <w:bookmarkEnd w:id="629"/>
      <w:bookmarkEnd w:id="630"/>
      <w:bookmarkEnd w:id="631"/>
      <w:bookmarkEnd w:id="632"/>
      <w:bookmarkStart w:id="739" w:name="_Toc15443"/>
      <w:bookmarkStart w:id="740" w:name="_Toc9378"/>
      <w:bookmarkStart w:id="741" w:name="_Toc7005"/>
      <w:bookmarkStart w:id="742" w:name="_Toc23693"/>
      <w:bookmarkStart w:id="743" w:name="_Toc330624061"/>
      <w:bookmarkStart w:id="744" w:name="_Toc330911223"/>
      <w:r>
        <w:rPr>
          <w:rFonts w:hint="eastAsia" w:ascii="宋体" w:hAnsi="宋体" w:cs="宋体"/>
          <w:color w:val="auto"/>
          <w:sz w:val="36"/>
          <w:szCs w:val="36"/>
          <w:highlight w:val="none"/>
        </w:rPr>
        <w:t>第四章 合同条款及格式</w:t>
      </w:r>
      <w:bookmarkEnd w:id="739"/>
    </w:p>
    <w:bookmarkEnd w:id="740"/>
    <w:bookmarkEnd w:id="741"/>
    <w:p>
      <w:pPr>
        <w:spacing w:line="400" w:lineRule="exact"/>
        <w:jc w:val="center"/>
        <w:rPr>
          <w:rFonts w:hint="eastAsia" w:ascii="宋体" w:hAnsi="宋体" w:cs="宋体"/>
          <w:b/>
          <w:color w:val="auto"/>
          <w:sz w:val="32"/>
          <w:szCs w:val="32"/>
          <w:highlight w:val="none"/>
        </w:rPr>
      </w:pPr>
      <w:bookmarkStart w:id="745" w:name="_Toc8551"/>
      <w:bookmarkStart w:id="746" w:name="_Toc13090_WPSOffice_Level1"/>
      <w:bookmarkStart w:id="747" w:name="_Toc3851_WPSOffice_Level1"/>
      <w:bookmarkStart w:id="748" w:name="_Toc23896_WPSOffice_Level1"/>
      <w:r>
        <w:rPr>
          <w:rFonts w:hint="eastAsia" w:ascii="宋体" w:hAnsi="宋体" w:cs="宋体"/>
          <w:b/>
          <w:color w:val="auto"/>
          <w:sz w:val="32"/>
          <w:szCs w:val="32"/>
          <w:highlight w:val="none"/>
        </w:rPr>
        <w:t>（由中标人和招标人参照施工合同统一版本签订）</w:t>
      </w:r>
      <w:bookmarkEnd w:id="745"/>
      <w:bookmarkEnd w:id="746"/>
      <w:bookmarkEnd w:id="747"/>
      <w:bookmarkEnd w:id="748"/>
    </w:p>
    <w:p>
      <w:pPr>
        <w:ind w:firstLine="1155" w:firstLineChars="550"/>
        <w:rPr>
          <w:rFonts w:hint="eastAsia" w:ascii="宋体" w:hAnsi="宋体" w:cs="宋体"/>
          <w:color w:val="auto"/>
          <w:highlight w:val="none"/>
        </w:rPr>
      </w:pPr>
    </w:p>
    <w:p>
      <w:pPr>
        <w:pStyle w:val="2"/>
        <w:rPr>
          <w:rFonts w:hint="eastAsia" w:ascii="宋体" w:hAnsi="宋体" w:cs="宋体"/>
          <w:color w:val="auto"/>
          <w:szCs w:val="21"/>
          <w:highlight w:val="none"/>
        </w:rPr>
      </w:pPr>
      <w:bookmarkStart w:id="749" w:name="_Toc246997083"/>
      <w:bookmarkStart w:id="750" w:name="_Toc179632789"/>
      <w:bookmarkStart w:id="751" w:name="_Toc296602587"/>
      <w:bookmarkStart w:id="752" w:name="_Toc144974834"/>
      <w:bookmarkStart w:id="753" w:name="_Toc152045772"/>
      <w:bookmarkStart w:id="754" w:name="_Toc152042554"/>
      <w:bookmarkStart w:id="755" w:name="_Toc246996340"/>
      <w:bookmarkStart w:id="756" w:name="_Toc247085855"/>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p>
      <w:pPr>
        <w:pStyle w:val="2"/>
        <w:rPr>
          <w:rFonts w:hint="eastAsia" w:ascii="宋体" w:hAnsi="宋体" w:cs="宋体"/>
          <w:color w:val="auto"/>
          <w:szCs w:val="21"/>
          <w:highlight w:val="none"/>
        </w:rPr>
      </w:pPr>
    </w:p>
    <w:bookmarkEnd w:id="749"/>
    <w:bookmarkEnd w:id="750"/>
    <w:bookmarkEnd w:id="751"/>
    <w:bookmarkEnd w:id="752"/>
    <w:bookmarkEnd w:id="753"/>
    <w:bookmarkEnd w:id="754"/>
    <w:bookmarkEnd w:id="755"/>
    <w:bookmarkEnd w:id="756"/>
    <w:p>
      <w:pPr>
        <w:pStyle w:val="4"/>
        <w:ind w:left="402"/>
        <w:jc w:val="center"/>
        <w:rPr>
          <w:rFonts w:hint="eastAsia"/>
          <w:color w:val="auto"/>
          <w:sz w:val="36"/>
          <w:szCs w:val="36"/>
          <w:highlight w:val="none"/>
        </w:rPr>
      </w:pPr>
      <w:bookmarkStart w:id="757" w:name="_Toc28660"/>
      <w:bookmarkStart w:id="758" w:name="_Toc10882"/>
      <w:r>
        <w:rPr>
          <w:rFonts w:hint="eastAsia"/>
          <w:color w:val="auto"/>
          <w:sz w:val="36"/>
          <w:szCs w:val="36"/>
          <w:highlight w:val="none"/>
        </w:rPr>
        <w:t>第五章工程量清单</w:t>
      </w:r>
      <w:bookmarkEnd w:id="757"/>
      <w:bookmarkEnd w:id="758"/>
    </w:p>
    <w:p>
      <w:pPr>
        <w:spacing w:line="400" w:lineRule="exact"/>
        <w:jc w:val="center"/>
        <w:rPr>
          <w:rFonts w:hint="eastAsia" w:ascii="宋体" w:hAnsi="宋体" w:cs="宋体"/>
          <w:b/>
          <w:color w:val="auto"/>
          <w:sz w:val="32"/>
          <w:szCs w:val="32"/>
          <w:highlight w:val="none"/>
        </w:rPr>
      </w:pPr>
      <w:bookmarkStart w:id="759" w:name="_Toc144974838"/>
      <w:bookmarkStart w:id="760" w:name="_Toc152042557"/>
      <w:bookmarkStart w:id="761" w:name="_Toc296602590"/>
      <w:bookmarkStart w:id="762" w:name="_Toc246997087"/>
      <w:bookmarkStart w:id="763" w:name="_Toc152045775"/>
      <w:bookmarkStart w:id="764" w:name="_Toc296602591"/>
      <w:bookmarkStart w:id="765" w:name="_Toc246996344"/>
      <w:bookmarkStart w:id="766" w:name="_Toc247085859"/>
      <w:bookmarkStart w:id="767" w:name="_Toc152045776"/>
      <w:bookmarkStart w:id="768" w:name="_Toc179632793"/>
      <w:bookmarkStart w:id="769" w:name="_Toc144974837"/>
      <w:bookmarkStart w:id="770" w:name="_Toc152042558"/>
      <w:r>
        <w:rPr>
          <w:rFonts w:hint="eastAsia" w:ascii="宋体" w:hAnsi="宋体" w:cs="宋体"/>
          <w:b/>
          <w:color w:val="auto"/>
          <w:sz w:val="32"/>
          <w:szCs w:val="32"/>
          <w:highlight w:val="none"/>
        </w:rPr>
        <w:t>（请投标企业自行下载）</w:t>
      </w:r>
    </w:p>
    <w:p>
      <w:pPr>
        <w:spacing w:line="400" w:lineRule="exact"/>
        <w:rPr>
          <w:rFonts w:hint="eastAsia" w:ascii="宋体" w:hAnsi="宋体" w:cs="宋体"/>
          <w:b/>
          <w:color w:val="auto"/>
          <w:sz w:val="32"/>
          <w:szCs w:val="32"/>
          <w:highlight w:val="none"/>
        </w:rPr>
      </w:pPr>
    </w:p>
    <w:bookmarkEnd w:id="759"/>
    <w:bookmarkEnd w:id="760"/>
    <w:bookmarkEnd w:id="761"/>
    <w:bookmarkEnd w:id="762"/>
    <w:bookmarkEnd w:id="763"/>
    <w:bookmarkEnd w:id="764"/>
    <w:bookmarkEnd w:id="765"/>
    <w:bookmarkEnd w:id="766"/>
    <w:bookmarkEnd w:id="767"/>
    <w:bookmarkEnd w:id="768"/>
    <w:bookmarkEnd w:id="769"/>
    <w:bookmarkEnd w:id="770"/>
    <w:p>
      <w:pPr>
        <w:spacing w:line="440" w:lineRule="exact"/>
        <w:rPr>
          <w:rFonts w:hint="eastAsia" w:ascii="宋体" w:hAnsi="宋体" w:cs="宋体"/>
          <w:b/>
          <w:color w:val="auto"/>
          <w:sz w:val="44"/>
          <w:szCs w:val="44"/>
          <w:highlight w:val="none"/>
        </w:rPr>
      </w:pPr>
      <w:bookmarkStart w:id="771" w:name="_Toc144974851"/>
      <w:bookmarkStart w:id="772" w:name="_Toc246997093"/>
      <w:bookmarkStart w:id="773" w:name="_Toc247085866"/>
      <w:bookmarkStart w:id="774" w:name="_Toc296602596"/>
      <w:bookmarkStart w:id="775" w:name="_Toc152042571"/>
      <w:bookmarkStart w:id="776" w:name="_Toc152045782"/>
      <w:bookmarkStart w:id="777" w:name="_Toc179632800"/>
      <w:bookmarkStart w:id="778" w:name="_Toc246996350"/>
      <w:bookmarkStart w:id="779" w:name="_Toc247096438"/>
      <w:bookmarkStart w:id="780" w:name="_Toc152045785"/>
      <w:bookmarkStart w:id="781" w:name="_Toc152042574"/>
      <w:bookmarkStart w:id="782" w:name="_Toc144974854"/>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3"/>
        <w:rPr>
          <w:rFonts w:hint="eastAsia" w:hAnsi="宋体"/>
          <w:b/>
          <w:color w:val="auto"/>
          <w:sz w:val="44"/>
          <w:szCs w:val="44"/>
          <w:highlight w:val="none"/>
        </w:rPr>
      </w:pPr>
    </w:p>
    <w:p>
      <w:pPr>
        <w:pStyle w:val="3"/>
        <w:rPr>
          <w:rFonts w:hint="eastAsia" w:hAnsi="宋体"/>
          <w:b/>
          <w:color w:val="auto"/>
          <w:sz w:val="44"/>
          <w:szCs w:val="44"/>
          <w:highlight w:val="none"/>
        </w:rPr>
      </w:pPr>
    </w:p>
    <w:p>
      <w:pPr>
        <w:pStyle w:val="3"/>
        <w:rPr>
          <w:rFonts w:hint="eastAsia" w:hAnsi="宋体"/>
          <w:b/>
          <w:color w:val="auto"/>
          <w:sz w:val="44"/>
          <w:szCs w:val="44"/>
          <w:highlight w:val="none"/>
        </w:rPr>
      </w:pPr>
    </w:p>
    <w:p>
      <w:pPr>
        <w:pStyle w:val="3"/>
        <w:rPr>
          <w:rFonts w:hint="eastAsia" w:hAnsi="宋体"/>
          <w:b/>
          <w:color w:val="auto"/>
          <w:sz w:val="44"/>
          <w:szCs w:val="44"/>
          <w:highlight w:val="none"/>
        </w:rPr>
      </w:pPr>
    </w:p>
    <w:p>
      <w:pPr>
        <w:pStyle w:val="3"/>
        <w:rPr>
          <w:rFonts w:hint="eastAsia" w:hAnsi="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p>
      <w:pPr>
        <w:pStyle w:val="2"/>
        <w:rPr>
          <w:rFonts w:hint="eastAsia" w:ascii="宋体" w:hAnsi="宋体" w:cs="宋体"/>
          <w:b/>
          <w:color w:val="auto"/>
          <w:sz w:val="44"/>
          <w:szCs w:val="44"/>
          <w:highlight w:val="none"/>
        </w:rPr>
      </w:pPr>
    </w:p>
    <w:bookmarkEnd w:id="771"/>
    <w:bookmarkEnd w:id="772"/>
    <w:bookmarkEnd w:id="773"/>
    <w:bookmarkEnd w:id="774"/>
    <w:bookmarkEnd w:id="775"/>
    <w:bookmarkEnd w:id="776"/>
    <w:bookmarkEnd w:id="777"/>
    <w:bookmarkEnd w:id="778"/>
    <w:bookmarkEnd w:id="779"/>
    <w:p>
      <w:pPr>
        <w:rPr>
          <w:rFonts w:hint="eastAsia"/>
          <w:color w:val="auto"/>
          <w:sz w:val="36"/>
          <w:szCs w:val="36"/>
          <w:highlight w:val="none"/>
        </w:rPr>
      </w:pPr>
      <w:bookmarkStart w:id="783" w:name="_Toc28522"/>
      <w:bookmarkStart w:id="784" w:name="_Toc24348"/>
      <w:bookmarkStart w:id="785" w:name="_Toc246997096"/>
      <w:bookmarkStart w:id="786" w:name="_Toc10755"/>
      <w:bookmarkStart w:id="787" w:name="_Toc247085870"/>
      <w:bookmarkStart w:id="788" w:name="_Toc179632804"/>
      <w:bookmarkStart w:id="789" w:name="_Toc246996353"/>
      <w:bookmarkStart w:id="790" w:name="_Toc18947"/>
      <w:bookmarkStart w:id="791" w:name="_Toc296602599"/>
      <w:r>
        <w:rPr>
          <w:rFonts w:hint="eastAsia"/>
          <w:color w:val="auto"/>
          <w:sz w:val="36"/>
          <w:szCs w:val="36"/>
          <w:highlight w:val="none"/>
        </w:rPr>
        <w:br w:type="page"/>
      </w:r>
    </w:p>
    <w:p>
      <w:pPr>
        <w:pStyle w:val="4"/>
        <w:ind w:left="402"/>
        <w:jc w:val="center"/>
        <w:rPr>
          <w:rFonts w:hint="eastAsia"/>
          <w:color w:val="auto"/>
          <w:sz w:val="36"/>
          <w:szCs w:val="36"/>
          <w:highlight w:val="none"/>
        </w:rPr>
      </w:pPr>
      <w:bookmarkStart w:id="792" w:name="_Toc4739"/>
      <w:r>
        <w:rPr>
          <w:rFonts w:hint="eastAsia"/>
          <w:color w:val="auto"/>
          <w:sz w:val="36"/>
          <w:szCs w:val="36"/>
          <w:highlight w:val="none"/>
        </w:rPr>
        <w:t>第六章图  纸</w:t>
      </w:r>
      <w:bookmarkEnd w:id="783"/>
      <w:bookmarkEnd w:id="792"/>
    </w:p>
    <w:bookmarkEnd w:id="784"/>
    <w:p>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eastAsia="zh-CN"/>
        </w:rPr>
        <w:t>如有</w:t>
      </w:r>
      <w:r>
        <w:rPr>
          <w:rFonts w:hint="eastAsia" w:ascii="宋体" w:hAnsi="宋体" w:cs="宋体"/>
          <w:b/>
          <w:color w:val="auto"/>
          <w:sz w:val="32"/>
          <w:szCs w:val="32"/>
          <w:highlight w:val="none"/>
        </w:rPr>
        <w:t>请投标企业自行下载）</w:t>
      </w:r>
    </w:p>
    <w:p>
      <w:pPr>
        <w:rPr>
          <w:rFonts w:hint="eastAsia"/>
          <w:color w:val="auto"/>
          <w:sz w:val="36"/>
          <w:szCs w:val="36"/>
          <w:highlight w:val="none"/>
        </w:rPr>
      </w:pPr>
    </w:p>
    <w:p>
      <w:pPr>
        <w:rPr>
          <w:rFonts w:hint="eastAsia"/>
          <w:color w:val="auto"/>
          <w:sz w:val="36"/>
          <w:szCs w:val="36"/>
          <w:highlight w:val="none"/>
        </w:rPr>
      </w:pPr>
      <w:bookmarkStart w:id="793" w:name="_Toc10053"/>
      <w:r>
        <w:rPr>
          <w:rFonts w:hint="eastAsia"/>
          <w:color w:val="auto"/>
          <w:sz w:val="36"/>
          <w:szCs w:val="36"/>
          <w:highlight w:val="none"/>
        </w:rPr>
        <w:br w:type="page"/>
      </w:r>
    </w:p>
    <w:p>
      <w:pPr>
        <w:pStyle w:val="4"/>
        <w:ind w:left="402"/>
        <w:jc w:val="center"/>
        <w:rPr>
          <w:rFonts w:hint="eastAsia"/>
          <w:color w:val="auto"/>
          <w:sz w:val="36"/>
          <w:szCs w:val="36"/>
          <w:highlight w:val="none"/>
        </w:rPr>
      </w:pPr>
      <w:r>
        <w:rPr>
          <w:rFonts w:hint="eastAsia"/>
          <w:color w:val="auto"/>
          <w:sz w:val="36"/>
          <w:szCs w:val="36"/>
          <w:highlight w:val="none"/>
        </w:rPr>
        <w:t>第七章技术标准和要求</w:t>
      </w:r>
      <w:bookmarkEnd w:id="780"/>
      <w:bookmarkEnd w:id="781"/>
      <w:bookmarkEnd w:id="782"/>
      <w:bookmarkEnd w:id="785"/>
      <w:bookmarkEnd w:id="786"/>
      <w:bookmarkEnd w:id="787"/>
      <w:bookmarkEnd w:id="788"/>
      <w:bookmarkEnd w:id="789"/>
      <w:bookmarkEnd w:id="790"/>
      <w:bookmarkEnd w:id="791"/>
      <w:bookmarkEnd w:id="793"/>
    </w:p>
    <w:p>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适用现行的国家、行业以及地方规范、标准、规程和设计要求</w:t>
      </w:r>
    </w:p>
    <w:p>
      <w:pPr>
        <w:jc w:val="center"/>
        <w:rPr>
          <w:rFonts w:hint="eastAsia" w:ascii="宋体" w:hAnsi="宋体" w:cs="宋体"/>
          <w:color w:val="auto"/>
          <w:sz w:val="24"/>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pStyle w:val="47"/>
        <w:ind w:firstLine="240"/>
        <w:rPr>
          <w:rFonts w:hint="eastAsia" w:ascii="宋体" w:hAnsi="宋体" w:cs="宋体"/>
          <w:color w:val="auto"/>
          <w:highlight w:val="none"/>
        </w:rPr>
      </w:pPr>
    </w:p>
    <w:p>
      <w:pPr>
        <w:spacing w:line="360" w:lineRule="auto"/>
        <w:jc w:val="center"/>
        <w:outlineLvl w:val="0"/>
        <w:rPr>
          <w:rFonts w:hint="eastAsia" w:ascii="宋体" w:hAnsi="宋体" w:cs="宋体"/>
          <w:b/>
          <w:bCs/>
          <w:color w:val="auto"/>
          <w:kern w:val="44"/>
          <w:sz w:val="36"/>
          <w:szCs w:val="36"/>
          <w:highlight w:val="none"/>
        </w:rPr>
      </w:pPr>
      <w:bookmarkStart w:id="794" w:name="_Toc5470"/>
      <w:r>
        <w:rPr>
          <w:rFonts w:hint="eastAsia" w:ascii="宋体" w:hAnsi="宋体" w:cs="宋体"/>
          <w:b/>
          <w:bCs/>
          <w:color w:val="auto"/>
          <w:kern w:val="44"/>
          <w:sz w:val="36"/>
          <w:szCs w:val="36"/>
          <w:highlight w:val="none"/>
        </w:rPr>
        <w:t>第八章投标文件格式</w:t>
      </w:r>
      <w:bookmarkEnd w:id="742"/>
      <w:bookmarkEnd w:id="743"/>
      <w:bookmarkEnd w:id="744"/>
      <w:bookmarkEnd w:id="794"/>
    </w:p>
    <w:p>
      <w:pPr>
        <w:spacing w:line="360" w:lineRule="auto"/>
        <w:rPr>
          <w:rFonts w:hint="eastAsia" w:ascii="宋体" w:hAnsi="宋体" w:cs="宋体"/>
          <w:color w:val="auto"/>
          <w:highlight w:val="none"/>
        </w:rPr>
      </w:pPr>
    </w:p>
    <w:p>
      <w:pPr>
        <w:spacing w:line="360" w:lineRule="auto"/>
        <w:ind w:firstLine="1280" w:firstLineChars="400"/>
        <w:rPr>
          <w:rFonts w:hint="eastAsia" w:ascii="宋体" w:hAnsi="宋体" w:cs="宋体"/>
          <w:color w:val="auto"/>
          <w:sz w:val="32"/>
          <w:szCs w:val="32"/>
          <w:highlight w:val="none"/>
          <w:u w:val="single"/>
        </w:rPr>
      </w:pPr>
    </w:p>
    <w:p>
      <w:pPr>
        <w:spacing w:line="360" w:lineRule="auto"/>
        <w:ind w:firstLine="1446" w:firstLineChars="400"/>
        <w:rPr>
          <w:rFonts w:hint="eastAsia" w:ascii="宋体" w:hAnsi="宋体" w:cs="宋体"/>
          <w:b/>
          <w:bCs/>
          <w:color w:val="auto"/>
          <w:sz w:val="36"/>
          <w:szCs w:val="36"/>
          <w:highlight w:val="none"/>
        </w:rPr>
      </w:pPr>
      <w:r>
        <w:rPr>
          <w:rFonts w:hint="eastAsia" w:ascii="宋体" w:hAnsi="宋体" w:cs="宋体"/>
          <w:b/>
          <w:bCs/>
          <w:color w:val="auto"/>
          <w:sz w:val="36"/>
          <w:szCs w:val="36"/>
          <w:highlight w:val="none"/>
          <w:u w:val="single"/>
        </w:rPr>
        <w:t xml:space="preserve">                            </w:t>
      </w:r>
      <w:r>
        <w:rPr>
          <w:rFonts w:hint="eastAsia" w:ascii="宋体" w:hAnsi="宋体" w:cs="宋体"/>
          <w:b/>
          <w:bCs/>
          <w:color w:val="auto"/>
          <w:sz w:val="36"/>
          <w:szCs w:val="36"/>
          <w:highlight w:val="none"/>
        </w:rPr>
        <w:t>（项目名称）</w:t>
      </w:r>
    </w:p>
    <w:p>
      <w:pPr>
        <w:pStyle w:val="47"/>
        <w:ind w:firstLine="240"/>
        <w:rPr>
          <w:rFonts w:hint="eastAsia" w:ascii="宋体" w:hAnsi="宋体" w:cs="宋体"/>
          <w:b/>
          <w:bCs/>
          <w:color w:val="auto"/>
          <w:highlight w:val="none"/>
        </w:rPr>
      </w:pPr>
    </w:p>
    <w:p>
      <w:pPr>
        <w:spacing w:line="360" w:lineRule="auto"/>
        <w:jc w:val="center"/>
        <w:rPr>
          <w:rFonts w:hint="eastAsia" w:ascii="宋体" w:hAnsi="宋体" w:cs="宋体"/>
          <w:b/>
          <w:bCs/>
          <w:color w:val="auto"/>
          <w:sz w:val="28"/>
          <w:szCs w:val="28"/>
          <w:highlight w:val="none"/>
          <w:u w:val="single"/>
        </w:rPr>
      </w:pPr>
    </w:p>
    <w:p>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rPr>
        <w:t>（项目编号）</w:t>
      </w:r>
    </w:p>
    <w:p>
      <w:pPr>
        <w:spacing w:before="312" w:beforeLines="100" w:line="360" w:lineRule="auto"/>
        <w:jc w:val="center"/>
        <w:rPr>
          <w:rFonts w:hint="eastAsia" w:ascii="宋体" w:hAnsi="宋体" w:cs="宋体"/>
          <w:b/>
          <w:bCs/>
          <w:color w:val="auto"/>
          <w:sz w:val="24"/>
          <w:szCs w:val="24"/>
          <w:highlight w:val="none"/>
          <w:lang w:eastAsia="zh-CN"/>
        </w:rPr>
      </w:pPr>
    </w:p>
    <w:p>
      <w:pPr>
        <w:pStyle w:val="2"/>
        <w:rPr>
          <w:rFonts w:hint="eastAsia"/>
        </w:rPr>
      </w:pPr>
    </w:p>
    <w:p>
      <w:pPr>
        <w:pStyle w:val="2"/>
        <w:rPr>
          <w:rFonts w:hint="eastAsia"/>
        </w:rPr>
      </w:pPr>
    </w:p>
    <w:p>
      <w:pPr>
        <w:spacing w:line="360" w:lineRule="auto"/>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投 标 文 件</w:t>
      </w:r>
    </w:p>
    <w:p>
      <w:pPr>
        <w:spacing w:line="360" w:lineRule="auto"/>
        <w:jc w:val="center"/>
        <w:rPr>
          <w:rFonts w:hint="eastAsia" w:ascii="宋体" w:hAnsi="宋体" w:cs="宋体"/>
          <w:b/>
          <w:bCs/>
          <w:color w:val="auto"/>
          <w:sz w:val="32"/>
          <w:szCs w:val="32"/>
          <w:highlight w:val="none"/>
        </w:rPr>
      </w:pPr>
    </w:p>
    <w:p>
      <w:pPr>
        <w:spacing w:line="360" w:lineRule="auto"/>
        <w:jc w:val="center"/>
        <w:rPr>
          <w:rFonts w:hint="eastAsia" w:ascii="宋体" w:hAnsi="宋体" w:cs="宋体"/>
          <w:b/>
          <w:bCs/>
          <w:color w:val="auto"/>
          <w:sz w:val="32"/>
          <w:szCs w:val="32"/>
          <w:highlight w:val="none"/>
        </w:rPr>
      </w:pPr>
    </w:p>
    <w:p>
      <w:pPr>
        <w:spacing w:line="360" w:lineRule="auto"/>
        <w:jc w:val="center"/>
        <w:rPr>
          <w:rFonts w:hint="eastAsia" w:ascii="宋体" w:hAnsi="宋体" w:cs="宋体"/>
          <w:b/>
          <w:bCs/>
          <w:color w:val="auto"/>
          <w:sz w:val="32"/>
          <w:szCs w:val="32"/>
          <w:highlight w:val="none"/>
        </w:rPr>
      </w:pPr>
    </w:p>
    <w:p>
      <w:pPr>
        <w:spacing w:line="360" w:lineRule="auto"/>
        <w:jc w:val="center"/>
        <w:rPr>
          <w:rFonts w:hint="eastAsia" w:ascii="宋体" w:hAnsi="宋体" w:cs="宋体"/>
          <w:b/>
          <w:bCs/>
          <w:color w:val="auto"/>
          <w:sz w:val="32"/>
          <w:szCs w:val="32"/>
          <w:highlight w:val="none"/>
        </w:rPr>
      </w:pPr>
    </w:p>
    <w:p>
      <w:pPr>
        <w:spacing w:line="360" w:lineRule="auto"/>
        <w:jc w:val="center"/>
        <w:rPr>
          <w:rFonts w:hint="eastAsia" w:ascii="宋体" w:hAnsi="宋体" w:cs="宋体"/>
          <w:b/>
          <w:bCs/>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1124" w:firstLineChars="400"/>
        <w:jc w:val="both"/>
        <w:textAlignment w:val="auto"/>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投标人：</w:t>
      </w: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lang w:eastAsia="zh-CN"/>
        </w:rPr>
        <w:t>（盖电子公章）</w:t>
      </w:r>
    </w:p>
    <w:p>
      <w:pPr>
        <w:keepNext w:val="0"/>
        <w:keepLines w:val="0"/>
        <w:pageBreakBefore w:val="0"/>
        <w:widowControl w:val="0"/>
        <w:kinsoku/>
        <w:wordWrap/>
        <w:overflowPunct/>
        <w:topLinePunct w:val="0"/>
        <w:autoSpaceDE/>
        <w:autoSpaceDN/>
        <w:bidi w:val="0"/>
        <w:adjustRightInd/>
        <w:snapToGrid/>
        <w:spacing w:line="360" w:lineRule="auto"/>
        <w:ind w:firstLine="1124" w:firstLineChars="400"/>
        <w:jc w:val="both"/>
        <w:textAlignment w:val="auto"/>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eastAsia="zh-CN"/>
        </w:rPr>
        <w:t>法定代表人：</w:t>
      </w: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lang w:eastAsia="zh-CN"/>
        </w:rPr>
        <w:t>（签字或电子章）</w:t>
      </w:r>
    </w:p>
    <w:p>
      <w:pPr>
        <w:keepNext w:val="0"/>
        <w:keepLines w:val="0"/>
        <w:pageBreakBefore w:val="0"/>
        <w:widowControl w:val="0"/>
        <w:kinsoku/>
        <w:wordWrap/>
        <w:overflowPunct/>
        <w:topLinePunct w:val="0"/>
        <w:autoSpaceDE/>
        <w:autoSpaceDN/>
        <w:bidi w:val="0"/>
        <w:adjustRightInd/>
        <w:snapToGrid/>
        <w:spacing w:line="360" w:lineRule="auto"/>
        <w:ind w:firstLine="1124" w:firstLineChars="400"/>
        <w:jc w:val="both"/>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rPr>
        <w:t>年</w:t>
      </w: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rPr>
        <w:t>月</w:t>
      </w:r>
      <w:r>
        <w:rPr>
          <w:rFonts w:hint="eastAsia" w:ascii="宋体" w:hAnsi="宋体" w:cs="宋体"/>
          <w:b/>
          <w:bCs/>
          <w:color w:val="auto"/>
          <w:sz w:val="28"/>
          <w:szCs w:val="28"/>
          <w:highlight w:val="none"/>
          <w:u w:val="single"/>
        </w:rPr>
        <w:t xml:space="preserve">         </w:t>
      </w:r>
      <w:r>
        <w:rPr>
          <w:rFonts w:hint="eastAsia" w:ascii="宋体" w:hAnsi="宋体" w:cs="宋体"/>
          <w:b/>
          <w:bCs/>
          <w:color w:val="auto"/>
          <w:sz w:val="28"/>
          <w:szCs w:val="28"/>
          <w:highlight w:val="none"/>
        </w:rPr>
        <w:t>日</w:t>
      </w:r>
    </w:p>
    <w:p>
      <w:pPr>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br w:type="page"/>
      </w:r>
      <w:bookmarkStart w:id="795" w:name="_Toc3646"/>
      <w:bookmarkStart w:id="796" w:name="_Toc701"/>
    </w:p>
    <w:bookmarkEnd w:id="795"/>
    <w:bookmarkEnd w:id="796"/>
    <w:p>
      <w:pPr>
        <w:jc w:val="center"/>
        <w:outlineLvl w:val="2"/>
        <w:rPr>
          <w:rFonts w:hint="eastAsia" w:ascii="宋体" w:hAnsi="宋体" w:cs="宋体"/>
          <w:b/>
          <w:bCs/>
          <w:color w:val="auto"/>
          <w:sz w:val="24"/>
          <w:highlight w:val="none"/>
        </w:rPr>
      </w:pPr>
      <w:bookmarkStart w:id="797" w:name="_Toc6277"/>
      <w:bookmarkStart w:id="798" w:name="_Toc144974856"/>
      <w:bookmarkStart w:id="799" w:name="_Toc296602601"/>
      <w:bookmarkStart w:id="800" w:name="_Toc246996355"/>
      <w:bookmarkStart w:id="801" w:name="_Toc152042576"/>
      <w:bookmarkStart w:id="802" w:name="_Toc179632807"/>
      <w:bookmarkStart w:id="803" w:name="_Toc152045787"/>
      <w:bookmarkStart w:id="804" w:name="_Toc246997098"/>
      <w:bookmarkStart w:id="805" w:name="_Toc16327"/>
      <w:bookmarkStart w:id="806" w:name="_Toc19936"/>
      <w:bookmarkStart w:id="807" w:name="_Toc247085873"/>
      <w:bookmarkStart w:id="808" w:name="_Toc6795"/>
      <w:r>
        <w:rPr>
          <w:rFonts w:hint="eastAsia" w:ascii="宋体" w:hAnsi="宋体" w:cs="宋体"/>
          <w:b/>
          <w:bCs/>
          <w:color w:val="auto"/>
          <w:sz w:val="24"/>
          <w:highlight w:val="none"/>
        </w:rPr>
        <w:t>目    录</w:t>
      </w:r>
      <w:bookmarkEnd w:id="797"/>
      <w:bookmarkEnd w:id="798"/>
      <w:bookmarkEnd w:id="799"/>
      <w:bookmarkEnd w:id="800"/>
      <w:bookmarkEnd w:id="801"/>
      <w:bookmarkEnd w:id="802"/>
      <w:bookmarkEnd w:id="803"/>
      <w:bookmarkEnd w:id="804"/>
      <w:bookmarkEnd w:id="805"/>
      <w:bookmarkEnd w:id="806"/>
      <w:bookmarkEnd w:id="807"/>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rPr>
        <w:t>一、投标函及投标函附录</w:t>
      </w:r>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rPr>
        <w:t>二、法定代表人身份证明</w:t>
      </w:r>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rPr>
        <w:t>三、授权委托书</w:t>
      </w:r>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四、投标保证金 </w:t>
      </w:r>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rPr>
        <w:t>五、已标价工程量清单</w:t>
      </w:r>
    </w:p>
    <w:p>
      <w:pPr>
        <w:spacing w:line="540" w:lineRule="exact"/>
        <w:ind w:firstLine="752" w:firstLineChars="342"/>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六、施工组织设计</w:t>
      </w:r>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rPr>
        <w:t>七、项目管理机构</w:t>
      </w:r>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lang w:eastAsia="zh-CN"/>
        </w:rPr>
        <w:t>八</w:t>
      </w:r>
      <w:r>
        <w:rPr>
          <w:rFonts w:hint="eastAsia" w:ascii="宋体" w:hAnsi="宋体" w:cs="宋体"/>
          <w:color w:val="auto"/>
          <w:sz w:val="22"/>
          <w:szCs w:val="22"/>
          <w:highlight w:val="none"/>
        </w:rPr>
        <w:t>、资格审查资料</w:t>
      </w:r>
      <w:bookmarkStart w:id="809" w:name="_Toc247085874"/>
      <w:bookmarkStart w:id="810" w:name="_Toc296602602"/>
      <w:bookmarkStart w:id="811" w:name="_Toc152042577"/>
      <w:bookmarkStart w:id="812" w:name="_Toc179632808"/>
      <w:bookmarkStart w:id="813" w:name="_Toc246997099"/>
      <w:bookmarkStart w:id="814" w:name="_Toc152045788"/>
      <w:bookmarkStart w:id="815" w:name="_Toc144974857"/>
      <w:bookmarkStart w:id="816" w:name="_Toc246996356"/>
    </w:p>
    <w:p>
      <w:pPr>
        <w:spacing w:line="540" w:lineRule="exact"/>
        <w:ind w:firstLine="752" w:firstLineChars="342"/>
        <w:rPr>
          <w:rFonts w:hint="eastAsia" w:ascii="宋体" w:hAnsi="宋体" w:cs="宋体"/>
          <w:color w:val="auto"/>
          <w:sz w:val="22"/>
          <w:szCs w:val="22"/>
          <w:highlight w:val="none"/>
        </w:rPr>
      </w:pPr>
      <w:r>
        <w:rPr>
          <w:rFonts w:hint="eastAsia" w:ascii="宋体" w:hAnsi="宋体" w:cs="宋体"/>
          <w:color w:val="auto"/>
          <w:sz w:val="22"/>
          <w:szCs w:val="22"/>
          <w:highlight w:val="none"/>
          <w:lang w:eastAsia="zh-CN"/>
        </w:rPr>
        <w:t>九</w:t>
      </w:r>
      <w:r>
        <w:rPr>
          <w:rFonts w:hint="eastAsia" w:ascii="宋体" w:hAnsi="宋体" w:cs="宋体"/>
          <w:color w:val="auto"/>
          <w:sz w:val="22"/>
          <w:szCs w:val="22"/>
          <w:highlight w:val="none"/>
        </w:rPr>
        <w:t>、其他材料</w:t>
      </w:r>
    </w:p>
    <w:p>
      <w:pPr>
        <w:spacing w:line="540" w:lineRule="exact"/>
        <w:ind w:firstLine="752" w:firstLineChars="342"/>
        <w:rPr>
          <w:rFonts w:hint="eastAsia" w:ascii="宋体" w:hAnsi="宋体" w:cs="宋体"/>
          <w:color w:val="auto"/>
          <w:sz w:val="22"/>
          <w:szCs w:val="22"/>
          <w:highlight w:val="none"/>
        </w:rPr>
      </w:pPr>
    </w:p>
    <w:p>
      <w:pPr>
        <w:spacing w:line="540" w:lineRule="exact"/>
        <w:rPr>
          <w:rFonts w:hint="eastAsia" w:ascii="宋体" w:hAnsi="宋体" w:cs="宋体"/>
          <w:color w:val="auto"/>
          <w:highlight w:val="none"/>
        </w:rPr>
      </w:pPr>
    </w:p>
    <w:p>
      <w:pPr>
        <w:spacing w:line="540" w:lineRule="exact"/>
        <w:rPr>
          <w:rFonts w:hint="eastAsia" w:ascii="宋体" w:hAnsi="宋体" w:cs="宋体"/>
          <w:color w:val="auto"/>
          <w:highlight w:val="none"/>
        </w:rPr>
      </w:pPr>
    </w:p>
    <w:p>
      <w:pPr>
        <w:spacing w:line="540" w:lineRule="exact"/>
        <w:rPr>
          <w:rFonts w:hint="eastAsia" w:ascii="宋体" w:hAnsi="宋体" w:cs="宋体"/>
          <w:color w:val="auto"/>
          <w:highlight w:val="none"/>
        </w:rPr>
      </w:pPr>
    </w:p>
    <w:p>
      <w:pPr>
        <w:spacing w:line="540" w:lineRule="exact"/>
        <w:rPr>
          <w:rFonts w:hint="eastAsia" w:ascii="宋体" w:hAnsi="宋体" w:cs="宋体"/>
          <w:color w:val="auto"/>
          <w:highlight w:val="none"/>
        </w:rPr>
      </w:pPr>
    </w:p>
    <w:p>
      <w:pPr>
        <w:spacing w:line="540" w:lineRule="exact"/>
        <w:rPr>
          <w:rFonts w:hint="eastAsia" w:ascii="宋体" w:hAnsi="宋体" w:cs="宋体"/>
          <w:color w:val="auto"/>
          <w:highlight w:val="none"/>
        </w:rPr>
      </w:pPr>
    </w:p>
    <w:p>
      <w:pPr>
        <w:spacing w:line="540" w:lineRule="exact"/>
        <w:jc w:val="center"/>
        <w:outlineLvl w:val="1"/>
        <w:rPr>
          <w:rFonts w:hint="eastAsia" w:ascii="宋体" w:hAnsi="宋体" w:cs="宋体"/>
          <w:color w:val="auto"/>
          <w:highlight w:val="none"/>
        </w:rPr>
      </w:pPr>
      <w:r>
        <w:rPr>
          <w:rFonts w:hint="eastAsia" w:ascii="宋体" w:hAnsi="宋体" w:cs="宋体"/>
          <w:color w:val="auto"/>
          <w:highlight w:val="none"/>
        </w:rPr>
        <w:br w:type="page"/>
      </w:r>
      <w:bookmarkEnd w:id="809"/>
      <w:bookmarkEnd w:id="810"/>
      <w:bookmarkEnd w:id="811"/>
      <w:bookmarkEnd w:id="812"/>
      <w:bookmarkEnd w:id="813"/>
      <w:bookmarkEnd w:id="814"/>
      <w:bookmarkEnd w:id="815"/>
      <w:bookmarkEnd w:id="816"/>
      <w:bookmarkStart w:id="817" w:name="_Toc17446"/>
      <w:bookmarkStart w:id="818" w:name="_Toc26945"/>
      <w:bookmarkStart w:id="819" w:name="_Toc28869"/>
      <w:bookmarkStart w:id="820" w:name="_Toc152045790"/>
      <w:bookmarkStart w:id="821" w:name="_Toc152042579"/>
      <w:bookmarkStart w:id="822" w:name="_Toc144974859"/>
      <w:bookmarkStart w:id="823" w:name="_Toc179632810"/>
      <w:bookmarkStart w:id="824" w:name="_Toc247085876"/>
      <w:bookmarkStart w:id="825" w:name="_Toc296602604"/>
      <w:bookmarkStart w:id="826" w:name="_Toc246997101"/>
      <w:bookmarkStart w:id="827" w:name="_Toc246996358"/>
      <w:r>
        <w:rPr>
          <w:rFonts w:hint="eastAsia" w:ascii="宋体" w:hAnsi="宋体" w:cs="宋体"/>
          <w:b/>
          <w:bCs/>
          <w:color w:val="auto"/>
          <w:sz w:val="28"/>
          <w:szCs w:val="28"/>
          <w:highlight w:val="none"/>
        </w:rPr>
        <w:t>一、投标函及投标函附录</w:t>
      </w:r>
      <w:bookmarkEnd w:id="817"/>
      <w:bookmarkEnd w:id="818"/>
      <w:bookmarkEnd w:id="819"/>
    </w:p>
    <w:p>
      <w:pPr>
        <w:pStyle w:val="6"/>
        <w:spacing w:before="0" w:after="0"/>
        <w:jc w:val="center"/>
        <w:rPr>
          <w:rFonts w:hint="eastAsia" w:ascii="宋体" w:hAnsi="宋体" w:cs="宋体"/>
          <w:color w:val="auto"/>
          <w:sz w:val="28"/>
          <w:szCs w:val="28"/>
          <w:highlight w:val="none"/>
        </w:rPr>
      </w:pPr>
      <w:bookmarkStart w:id="828" w:name="_Toc18788"/>
      <w:bookmarkStart w:id="829" w:name="_Toc296602603"/>
      <w:bookmarkStart w:id="830" w:name="_Toc246997100"/>
      <w:bookmarkStart w:id="831" w:name="_Toc144974858"/>
      <w:bookmarkStart w:id="832" w:name="_Toc246996357"/>
      <w:bookmarkStart w:id="833" w:name="_Toc26705"/>
      <w:bookmarkStart w:id="834" w:name="_Toc152042578"/>
      <w:bookmarkStart w:id="835" w:name="_Toc247085875"/>
      <w:bookmarkStart w:id="836" w:name="_Toc179632809"/>
      <w:bookmarkStart w:id="837" w:name="_Toc152045789"/>
      <w:r>
        <w:rPr>
          <w:rFonts w:hint="eastAsia" w:ascii="宋体" w:hAnsi="宋体" w:cs="宋体"/>
          <w:color w:val="auto"/>
          <w:sz w:val="28"/>
          <w:szCs w:val="28"/>
          <w:highlight w:val="none"/>
        </w:rPr>
        <w:t>（一）投标函</w:t>
      </w:r>
      <w:bookmarkEnd w:id="828"/>
      <w:bookmarkEnd w:id="829"/>
      <w:bookmarkEnd w:id="830"/>
      <w:bookmarkEnd w:id="831"/>
      <w:bookmarkEnd w:id="832"/>
      <w:bookmarkEnd w:id="833"/>
      <w:bookmarkEnd w:id="834"/>
      <w:bookmarkEnd w:id="835"/>
      <w:bookmarkEnd w:id="836"/>
      <w:bookmarkEnd w:id="837"/>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bookmarkStart w:id="838" w:name="_Toc10133"/>
      <w:r>
        <w:rPr>
          <w:rFonts w:hint="eastAsia" w:ascii="宋体" w:hAnsi="宋体" w:eastAsia="宋体" w:cs="宋体"/>
          <w:b w:val="0"/>
          <w:bCs w:val="0"/>
          <w:i w:val="0"/>
          <w:iCs w:val="0"/>
          <w:caps w:val="0"/>
          <w:color w:val="333333"/>
          <w:spacing w:val="0"/>
          <w:sz w:val="22"/>
          <w:szCs w:val="22"/>
        </w:rPr>
        <w:t>致：</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（招标人名称）</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在考察现场并充分研究</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u w:val="single"/>
        </w:rPr>
        <w:t>（项目名称）</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rPr>
        <w:t>标段（以下简称“本工程”）施工招标文件的全部内容后，我方兹以：人民币（大写）：</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RMB￥：</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元的投标价格和按合同约定有权得到的其他金额，并严格按照合同约定，施工、竣工和交付本工程并维修其中的任何缺陷。</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在我方的上述投标报价中，包括：</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安全文明施工费RMB￥：</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rPr>
        <w:t>元</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暂列金额（不包括计日工部分）RMB￥：</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rPr>
        <w:t>元</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专业工程暂估价RMB￥：</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rPr>
        <w:t>元</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如果我方中标，我方保证在</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或按照合同约定的开工日期开始本工程的施工，</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天（日历天）内竣工，并确保工程质量达到</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标准。我方同意本投标函在招标文件规定的提交投标文件截止时间后，在招标文件规定的投标有效期期满前对我方具有约束力，且随时准备接受你方发出的中标通知书。</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随本投标函递交的投标函附录是本投标函的组成部分，对我方构成约束力。</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随同本投标函递交投标保证金一份，金额为人民币（大写）：</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w:t>
      </w:r>
      <w:r>
        <w:rPr>
          <w:rFonts w:hint="eastAsia" w:ascii="宋体" w:hAnsi="宋体" w:eastAsia="宋体" w:cs="宋体"/>
          <w:b w:val="0"/>
          <w:bCs w:val="0"/>
          <w:i w:val="0"/>
          <w:iCs w:val="0"/>
          <w:caps w:val="0"/>
          <w:color w:val="333333"/>
          <w:spacing w:val="0"/>
          <w:sz w:val="22"/>
          <w:szCs w:val="22"/>
          <w:lang w:val="en-US" w:eastAsia="zh-CN"/>
        </w:rPr>
        <w:t xml:space="preserve"> </w:t>
      </w:r>
      <w:r>
        <w:rPr>
          <w:rFonts w:hint="eastAsia" w:ascii="宋体" w:hAnsi="宋体" w:eastAsia="宋体" w:cs="宋体"/>
          <w:b w:val="0"/>
          <w:bCs w:val="0"/>
          <w:i w:val="0"/>
          <w:iCs w:val="0"/>
          <w:caps w:val="0"/>
          <w:color w:val="333333"/>
          <w:spacing w:val="0"/>
          <w:sz w:val="22"/>
          <w:szCs w:val="22"/>
          <w:u w:val="single"/>
          <w:lang w:val="en-US" w:eastAsia="zh-CN"/>
        </w:rPr>
        <w:t xml:space="preserve">    </w:t>
      </w:r>
      <w:r>
        <w:rPr>
          <w:rFonts w:hint="eastAsia" w:ascii="宋体" w:hAnsi="宋体" w:eastAsia="宋体" w:cs="宋体"/>
          <w:b w:val="0"/>
          <w:bCs w:val="0"/>
          <w:i w:val="0"/>
          <w:iCs w:val="0"/>
          <w:caps w:val="0"/>
          <w:color w:val="333333"/>
          <w:spacing w:val="0"/>
          <w:sz w:val="22"/>
          <w:szCs w:val="22"/>
        </w:rPr>
        <w:t>元）。</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在签署协议书之前，你方的中标通知书连同本投标函，包括投标函附录，对双方具有约束力。</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 </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 </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lang w:val="en-US" w:eastAsia="zh-CN"/>
        </w:rPr>
      </w:pPr>
      <w:r>
        <w:rPr>
          <w:rFonts w:hint="eastAsia" w:ascii="宋体" w:hAnsi="宋体" w:eastAsia="宋体" w:cs="宋体"/>
          <w:b w:val="0"/>
          <w:bCs w:val="0"/>
          <w:i w:val="0"/>
          <w:iCs w:val="0"/>
          <w:caps w:val="0"/>
          <w:color w:val="333333"/>
          <w:spacing w:val="0"/>
          <w:sz w:val="22"/>
          <w:szCs w:val="22"/>
        </w:rPr>
        <w:t>投标人（盖电子签章）：</w:t>
      </w:r>
      <w:r>
        <w:rPr>
          <w:rFonts w:hint="eastAsia" w:ascii="宋体" w:hAnsi="宋体" w:eastAsia="宋体" w:cs="宋体"/>
          <w:b w:val="0"/>
          <w:bCs w:val="0"/>
          <w:i w:val="0"/>
          <w:iCs w:val="0"/>
          <w:caps w:val="0"/>
          <w:color w:val="333333"/>
          <w:spacing w:val="0"/>
          <w:sz w:val="22"/>
          <w:szCs w:val="22"/>
          <w:lang w:val="en-US" w:eastAsia="zh-CN"/>
        </w:rPr>
        <w:t xml:space="preserve">     </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 </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lang w:val="en-US" w:eastAsia="zh-CN"/>
        </w:rPr>
      </w:pPr>
      <w:r>
        <w:rPr>
          <w:rFonts w:hint="eastAsia" w:ascii="宋体" w:hAnsi="宋体" w:eastAsia="宋体" w:cs="宋体"/>
          <w:b w:val="0"/>
          <w:bCs w:val="0"/>
          <w:i w:val="0"/>
          <w:iCs w:val="0"/>
          <w:caps w:val="0"/>
          <w:color w:val="333333"/>
          <w:spacing w:val="0"/>
          <w:sz w:val="22"/>
          <w:szCs w:val="22"/>
        </w:rPr>
        <w:t>法定代表人或委托代理人（签字或盖章）：</w:t>
      </w:r>
      <w:r>
        <w:rPr>
          <w:rFonts w:hint="eastAsia" w:ascii="宋体" w:hAnsi="宋体" w:eastAsia="宋体" w:cs="宋体"/>
          <w:b w:val="0"/>
          <w:bCs w:val="0"/>
          <w:i w:val="0"/>
          <w:iCs w:val="0"/>
          <w:caps w:val="0"/>
          <w:color w:val="333333"/>
          <w:spacing w:val="0"/>
          <w:sz w:val="22"/>
          <w:szCs w:val="22"/>
          <w:lang w:val="en-US" w:eastAsia="zh-CN"/>
        </w:rPr>
        <w:t xml:space="preserve">   </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rPr>
      </w:pPr>
      <w:r>
        <w:rPr>
          <w:rFonts w:hint="eastAsia" w:ascii="宋体" w:hAnsi="宋体" w:eastAsia="宋体" w:cs="宋体"/>
          <w:b w:val="0"/>
          <w:bCs w:val="0"/>
          <w:i w:val="0"/>
          <w:iCs w:val="0"/>
          <w:caps w:val="0"/>
          <w:color w:val="333333"/>
          <w:spacing w:val="0"/>
          <w:sz w:val="22"/>
          <w:szCs w:val="22"/>
        </w:rPr>
        <w:t> </w:t>
      </w:r>
    </w:p>
    <w:p>
      <w:pPr>
        <w:pStyle w:val="4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firstLine="440" w:firstLineChars="200"/>
        <w:jc w:val="both"/>
        <w:textAlignment w:val="auto"/>
        <w:rPr>
          <w:rFonts w:hint="eastAsia" w:ascii="宋体" w:hAnsi="宋体" w:eastAsia="宋体" w:cs="宋体"/>
          <w:b w:val="0"/>
          <w:bCs w:val="0"/>
          <w:i w:val="0"/>
          <w:iCs w:val="0"/>
          <w:caps w:val="0"/>
          <w:color w:val="333333"/>
          <w:spacing w:val="0"/>
          <w:sz w:val="22"/>
          <w:szCs w:val="22"/>
          <w:lang w:val="en-US" w:eastAsia="zh-CN"/>
        </w:rPr>
      </w:pPr>
      <w:r>
        <w:rPr>
          <w:rFonts w:hint="eastAsia" w:ascii="宋体" w:hAnsi="宋体" w:eastAsia="宋体" w:cs="宋体"/>
          <w:b w:val="0"/>
          <w:bCs w:val="0"/>
          <w:i w:val="0"/>
          <w:iCs w:val="0"/>
          <w:caps w:val="0"/>
          <w:color w:val="333333"/>
          <w:spacing w:val="0"/>
          <w:sz w:val="22"/>
          <w:szCs w:val="22"/>
        </w:rPr>
        <w:t>日  期：</w:t>
      </w:r>
      <w:r>
        <w:rPr>
          <w:rFonts w:hint="eastAsia" w:ascii="宋体" w:hAnsi="宋体" w:eastAsia="宋体" w:cs="宋体"/>
          <w:b w:val="0"/>
          <w:bCs w:val="0"/>
          <w:i w:val="0"/>
          <w:iCs w:val="0"/>
          <w:caps w:val="0"/>
          <w:color w:val="333333"/>
          <w:spacing w:val="0"/>
          <w:sz w:val="22"/>
          <w:szCs w:val="22"/>
          <w:lang w:val="en-US" w:eastAsia="zh-CN"/>
        </w:rPr>
        <w:t xml:space="preserve">         </w:t>
      </w:r>
    </w:p>
    <w:p>
      <w:pPr>
        <w:pStyle w:val="6"/>
        <w:jc w:val="center"/>
        <w:rPr>
          <w:rFonts w:hint="eastAsia" w:ascii="宋体" w:hAnsi="宋体" w:cs="宋体"/>
          <w:color w:val="auto"/>
          <w:highlight w:val="none"/>
        </w:rPr>
      </w:pPr>
      <w:r>
        <w:rPr>
          <w:rFonts w:hint="eastAsia" w:ascii="宋体" w:hAnsi="宋体" w:eastAsia="宋体" w:cs="宋体"/>
          <w:color w:val="auto"/>
          <w:sz w:val="22"/>
          <w:szCs w:val="22"/>
          <w:highlight w:val="none"/>
        </w:rPr>
        <w:br w:type="page"/>
      </w:r>
      <w:bookmarkStart w:id="839" w:name="_Toc27437"/>
      <w:r>
        <w:rPr>
          <w:rFonts w:hint="eastAsia" w:ascii="宋体" w:hAnsi="宋体" w:cs="宋体"/>
          <w:color w:val="auto"/>
          <w:sz w:val="28"/>
          <w:szCs w:val="28"/>
          <w:highlight w:val="none"/>
        </w:rPr>
        <w:t>（二）投标函</w:t>
      </w:r>
      <w:bookmarkEnd w:id="820"/>
      <w:bookmarkEnd w:id="821"/>
      <w:bookmarkEnd w:id="822"/>
      <w:bookmarkEnd w:id="823"/>
      <w:bookmarkEnd w:id="824"/>
      <w:bookmarkEnd w:id="825"/>
      <w:bookmarkEnd w:id="826"/>
      <w:bookmarkEnd w:id="827"/>
      <w:r>
        <w:rPr>
          <w:rFonts w:hint="eastAsia" w:ascii="宋体" w:hAnsi="宋体" w:cs="宋体"/>
          <w:color w:val="auto"/>
          <w:sz w:val="28"/>
          <w:szCs w:val="28"/>
          <w:highlight w:val="none"/>
        </w:rPr>
        <w:t>附录</w:t>
      </w:r>
      <w:bookmarkEnd w:id="838"/>
      <w:bookmarkEnd w:id="839"/>
    </w:p>
    <w:tbl>
      <w:tblPr>
        <w:tblStyle w:val="49"/>
        <w:tblW w:w="863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85"/>
        <w:gridCol w:w="1159"/>
        <w:gridCol w:w="423"/>
        <w:gridCol w:w="831"/>
        <w:gridCol w:w="737"/>
        <w:gridCol w:w="1404"/>
        <w:gridCol w:w="914"/>
        <w:gridCol w:w="168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0"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工程名称</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投标人名称</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5"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所投标段</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117"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投标总价（含不可竞争费、暂列金额、专业暂估价）</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u w:val="single"/>
              </w:rPr>
            </w:pPr>
            <w:r>
              <w:rPr>
                <w:rFonts w:hint="eastAsia" w:ascii="宋体" w:hAnsi="宋体" w:cs="宋体"/>
                <w:b w:val="0"/>
                <w:bCs w:val="0"/>
                <w:color w:val="000000"/>
                <w:sz w:val="22"/>
                <w:szCs w:val="22"/>
              </w:rPr>
              <w:t>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rPr>
            </w:pPr>
            <w:r>
              <w:rPr>
                <w:rFonts w:hint="eastAsia" w:ascii="宋体" w:hAnsi="宋体" w:cs="宋体"/>
                <w:b w:val="0"/>
                <w:bCs w:val="0"/>
                <w:color w:val="000000"/>
                <w:sz w:val="22"/>
                <w:szCs w:val="22"/>
              </w:rPr>
              <w:t>其中：</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rPr>
            </w:pPr>
            <w:r>
              <w:rPr>
                <w:rFonts w:hint="eastAsia" w:ascii="宋体" w:hAnsi="宋体" w:cs="宋体"/>
                <w:b w:val="0"/>
                <w:bCs w:val="0"/>
                <w:color w:val="000000"/>
                <w:sz w:val="22"/>
                <w:szCs w:val="22"/>
              </w:rPr>
              <w:t>1、安全文明措施费：大写：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rPr>
            </w:pPr>
            <w:r>
              <w:rPr>
                <w:rFonts w:hint="eastAsia" w:ascii="宋体" w:hAnsi="宋体" w:cs="宋体"/>
                <w:b w:val="0"/>
                <w:bCs w:val="0"/>
                <w:color w:val="000000"/>
                <w:sz w:val="22"/>
                <w:szCs w:val="22"/>
              </w:rPr>
              <w:t>2、规费：大写：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u w:val="single"/>
              </w:rPr>
            </w:pPr>
            <w:r>
              <w:rPr>
                <w:rFonts w:hint="eastAsia" w:ascii="宋体" w:hAnsi="宋体" w:cs="宋体"/>
                <w:b w:val="0"/>
                <w:bCs w:val="0"/>
                <w:color w:val="000000"/>
                <w:sz w:val="22"/>
                <w:szCs w:val="22"/>
              </w:rPr>
              <w:t>3、</w:t>
            </w:r>
            <w:r>
              <w:rPr>
                <w:rFonts w:hint="eastAsia" w:ascii="宋体" w:hAnsi="宋体" w:cs="宋体"/>
                <w:b w:val="0"/>
                <w:bCs w:val="0"/>
                <w:color w:val="000000"/>
                <w:sz w:val="22"/>
                <w:szCs w:val="22"/>
                <w:lang w:eastAsia="zh-CN"/>
              </w:rPr>
              <w:t>增值</w:t>
            </w:r>
            <w:r>
              <w:rPr>
                <w:rFonts w:hint="eastAsia" w:ascii="宋体" w:hAnsi="宋体" w:cs="宋体"/>
                <w:b w:val="0"/>
                <w:bCs w:val="0"/>
                <w:color w:val="000000"/>
                <w:sz w:val="22"/>
                <w:szCs w:val="22"/>
              </w:rPr>
              <w:t>税：大写：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u w:val="single"/>
              </w:rPr>
            </w:pPr>
            <w:r>
              <w:rPr>
                <w:rFonts w:hint="eastAsia" w:ascii="宋体" w:hAnsi="宋体" w:cs="宋体"/>
                <w:b w:val="0"/>
                <w:bCs w:val="0"/>
                <w:color w:val="000000"/>
                <w:sz w:val="22"/>
                <w:szCs w:val="22"/>
              </w:rPr>
              <w:t>4、专业工程暂估价：大写：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u w:val="single"/>
              </w:rPr>
            </w:pPr>
            <w:r>
              <w:rPr>
                <w:rFonts w:hint="eastAsia" w:ascii="宋体" w:hAnsi="宋体" w:cs="宋体"/>
                <w:b w:val="0"/>
                <w:bCs w:val="0"/>
                <w:color w:val="000000"/>
                <w:sz w:val="22"/>
                <w:szCs w:val="22"/>
              </w:rPr>
              <w:t>5、暂列金额：大写：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000000"/>
                <w:sz w:val="22"/>
                <w:szCs w:val="22"/>
              </w:rPr>
            </w:pPr>
            <w:r>
              <w:rPr>
                <w:rFonts w:hint="eastAsia" w:ascii="宋体" w:hAnsi="宋体" w:cs="宋体"/>
                <w:b w:val="0"/>
                <w:bCs w:val="0"/>
                <w:color w:val="000000"/>
                <w:sz w:val="22"/>
                <w:szCs w:val="22"/>
              </w:rPr>
              <w:t>以上1、2、3、4、5项足额计取，不得优惠。</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2"/>
                <w:szCs w:val="22"/>
              </w:rPr>
            </w:pPr>
            <w:r>
              <w:rPr>
                <w:rFonts w:hint="eastAsia" w:ascii="宋体" w:hAnsi="宋体" w:cs="宋体"/>
                <w:b w:val="0"/>
                <w:bCs w:val="0"/>
                <w:color w:val="auto"/>
                <w:sz w:val="22"/>
                <w:szCs w:val="22"/>
                <w:highlight w:val="none"/>
              </w:rPr>
              <w:t>1+2+3+4+5=</w:t>
            </w:r>
            <w:r>
              <w:rPr>
                <w:rFonts w:hint="eastAsia" w:ascii="宋体" w:hAnsi="宋体" w:cs="宋体"/>
                <w:b w:val="0"/>
                <w:bCs w:val="0"/>
                <w:color w:val="auto"/>
                <w:sz w:val="22"/>
                <w:szCs w:val="22"/>
                <w:highlight w:val="none"/>
                <w:u w:val="single"/>
              </w:rPr>
              <w:t xml:space="preserve">           </w:t>
            </w:r>
            <w:r>
              <w:rPr>
                <w:rFonts w:hint="eastAsia" w:ascii="宋体" w:hAnsi="宋体" w:cs="宋体"/>
                <w:b w:val="0"/>
                <w:bCs w:val="0"/>
                <w:color w:val="auto"/>
                <w:sz w:val="22"/>
                <w:szCs w:val="22"/>
                <w:highlight w:val="none"/>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21"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扣除不可竞争费、暂列金额、专业暂估价后的投标总价</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auto"/>
                <w:sz w:val="22"/>
                <w:szCs w:val="22"/>
                <w:highlight w:val="none"/>
              </w:rPr>
            </w:pPr>
            <w:r>
              <w:rPr>
                <w:rFonts w:hint="eastAsia" w:ascii="宋体" w:hAnsi="宋体" w:cs="宋体"/>
                <w:b w:val="0"/>
                <w:bCs w:val="0"/>
                <w:color w:val="000000"/>
                <w:sz w:val="22"/>
                <w:szCs w:val="22"/>
              </w:rPr>
              <w:t xml:space="preserve">大写：          （¥：         元）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7"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措施项目费（不含安全文明施工费）</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val="0"/>
                <w:bCs w:val="0"/>
                <w:color w:val="000000"/>
                <w:sz w:val="22"/>
                <w:szCs w:val="22"/>
                <w:u w:val="single"/>
              </w:rPr>
            </w:pPr>
            <w:r>
              <w:rPr>
                <w:rFonts w:hint="eastAsia" w:ascii="宋体" w:hAnsi="宋体" w:cs="宋体"/>
                <w:b w:val="0"/>
                <w:bCs w:val="0"/>
                <w:color w:val="000000"/>
                <w:sz w:val="22"/>
                <w:szCs w:val="22"/>
              </w:rPr>
              <w:t>措施费总报价：大写：          （¥：         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auto"/>
                <w:sz w:val="22"/>
                <w:szCs w:val="22"/>
                <w:highlight w:val="none"/>
              </w:rPr>
            </w:pPr>
            <w:r>
              <w:rPr>
                <w:rFonts w:hint="eastAsia" w:ascii="宋体" w:hAnsi="宋体" w:cs="宋体"/>
                <w:b w:val="0"/>
                <w:bCs w:val="0"/>
                <w:color w:val="000000"/>
                <w:sz w:val="22"/>
                <w:szCs w:val="22"/>
              </w:rPr>
              <w:t>扣除安全文明措施费后的</w:t>
            </w:r>
            <w:r>
              <w:rPr>
                <w:rFonts w:hint="eastAsia" w:ascii="宋体" w:hAnsi="宋体" w:cs="宋体"/>
                <w:b w:val="0"/>
                <w:bCs w:val="0"/>
                <w:color w:val="000000"/>
                <w:sz w:val="22"/>
                <w:szCs w:val="22"/>
                <w:lang w:eastAsia="zh-CN"/>
              </w:rPr>
              <w:t>措施项目费</w:t>
            </w:r>
            <w:r>
              <w:rPr>
                <w:rFonts w:hint="eastAsia" w:ascii="宋体" w:hAnsi="宋体" w:cs="宋体"/>
                <w:b w:val="0"/>
                <w:bCs w:val="0"/>
                <w:color w:val="000000"/>
                <w:sz w:val="22"/>
                <w:szCs w:val="22"/>
              </w:rPr>
              <w:t>报价：大写：   （¥：   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投标工期</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日历天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5"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投标质量</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5"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投标有效期</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项目经理</w:t>
            </w:r>
          </w:p>
        </w:tc>
        <w:tc>
          <w:tcPr>
            <w:tcW w:w="11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p>
        </w:tc>
        <w:tc>
          <w:tcPr>
            <w:tcW w:w="4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级别</w:t>
            </w:r>
          </w:p>
        </w:tc>
        <w:tc>
          <w:tcPr>
            <w:tcW w:w="83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p>
        </w:tc>
        <w:tc>
          <w:tcPr>
            <w:tcW w:w="7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注册编号</w:t>
            </w:r>
          </w:p>
        </w:tc>
        <w:tc>
          <w:tcPr>
            <w:tcW w:w="1404"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p>
        </w:tc>
        <w:tc>
          <w:tcPr>
            <w:tcW w:w="914"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安全考核证号</w:t>
            </w:r>
          </w:p>
        </w:tc>
        <w:tc>
          <w:tcPr>
            <w:tcW w:w="1686"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sz w:val="22"/>
                <w:szCs w:val="22"/>
                <w:highlight w:val="none"/>
              </w:rPr>
              <w:t>投标人手机号码</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14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备注</w:t>
            </w:r>
          </w:p>
        </w:tc>
        <w:tc>
          <w:tcPr>
            <w:tcW w:w="715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 w:val="22"/>
                <w:szCs w:val="22"/>
                <w:highlight w:val="none"/>
              </w:rPr>
            </w:pPr>
          </w:p>
        </w:tc>
      </w:tr>
    </w:tbl>
    <w:p>
      <w:pPr>
        <w:spacing w:line="360" w:lineRule="auto"/>
        <w:ind w:firstLine="440" w:firstLineChars="200"/>
        <w:rPr>
          <w:rFonts w:hint="eastAsia" w:ascii="宋体" w:hAnsi="宋体" w:eastAsia="宋体" w:cs="宋体"/>
          <w:bCs/>
          <w:color w:val="auto"/>
          <w:sz w:val="22"/>
          <w:szCs w:val="22"/>
          <w:highlight w:val="none"/>
          <w:lang w:eastAsia="zh-CN"/>
        </w:rPr>
      </w:pPr>
      <w:r>
        <w:rPr>
          <w:rFonts w:hint="eastAsia" w:ascii="宋体" w:hAnsi="宋体" w:cs="宋体"/>
          <w:bCs/>
          <w:color w:val="auto"/>
          <w:sz w:val="22"/>
          <w:szCs w:val="22"/>
          <w:highlight w:val="none"/>
        </w:rPr>
        <w:t>投标人：</w:t>
      </w:r>
      <w:r>
        <w:rPr>
          <w:rFonts w:hint="eastAsia" w:ascii="宋体" w:hAnsi="宋体" w:cs="宋体"/>
          <w:bCs/>
          <w:color w:val="auto"/>
          <w:sz w:val="22"/>
          <w:szCs w:val="22"/>
          <w:highlight w:val="none"/>
          <w:lang w:eastAsia="zh-CN"/>
        </w:rPr>
        <w:t>（盖电子公章）</w:t>
      </w:r>
    </w:p>
    <w:p>
      <w:pPr>
        <w:spacing w:line="360" w:lineRule="auto"/>
        <w:ind w:firstLine="440" w:firstLineChars="200"/>
        <w:rPr>
          <w:rFonts w:hint="eastAsia" w:ascii="宋体" w:hAnsi="宋体" w:eastAsia="宋体" w:cs="宋体"/>
          <w:bCs/>
          <w:color w:val="auto"/>
          <w:sz w:val="22"/>
          <w:szCs w:val="22"/>
          <w:highlight w:val="none"/>
          <w:lang w:eastAsia="zh-CN"/>
        </w:rPr>
      </w:pPr>
      <w:r>
        <w:rPr>
          <w:rFonts w:hint="eastAsia" w:ascii="宋体" w:hAnsi="宋体" w:cs="宋体"/>
          <w:bCs/>
          <w:color w:val="auto"/>
          <w:sz w:val="22"/>
          <w:szCs w:val="22"/>
          <w:highlight w:val="none"/>
          <w:lang w:eastAsia="zh-CN"/>
        </w:rPr>
        <w:t>法定代表人：（签字或电子章）</w:t>
      </w:r>
    </w:p>
    <w:p>
      <w:pPr>
        <w:spacing w:line="360" w:lineRule="auto"/>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日期：</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p>
    <w:p>
      <w:pPr>
        <w:pStyle w:val="5"/>
        <w:jc w:val="center"/>
        <w:rPr>
          <w:rFonts w:hint="eastAsia" w:ascii="宋体" w:hAnsi="宋体" w:eastAsia="宋体" w:cs="宋体"/>
          <w:color w:val="auto"/>
          <w:sz w:val="28"/>
          <w:szCs w:val="28"/>
          <w:highlight w:val="none"/>
        </w:rPr>
      </w:pPr>
      <w:bookmarkStart w:id="840" w:name="_Toc144974860"/>
      <w:bookmarkStart w:id="841" w:name="_Toc11265"/>
      <w:bookmarkStart w:id="842" w:name="_Toc246996359"/>
      <w:bookmarkStart w:id="843" w:name="_Toc179632811"/>
      <w:bookmarkStart w:id="844" w:name="_Toc29749"/>
      <w:bookmarkStart w:id="845" w:name="_Toc152045791"/>
      <w:bookmarkStart w:id="846" w:name="_Toc26527"/>
      <w:bookmarkStart w:id="847" w:name="_Toc246997102"/>
      <w:bookmarkStart w:id="848" w:name="_Toc152042580"/>
      <w:bookmarkStart w:id="849" w:name="_Toc296602605"/>
      <w:bookmarkStart w:id="850" w:name="_Toc247085877"/>
      <w:r>
        <w:rPr>
          <w:rFonts w:hint="eastAsia" w:ascii="宋体" w:hAnsi="宋体" w:eastAsia="宋体" w:cs="宋体"/>
          <w:color w:val="auto"/>
          <w:sz w:val="28"/>
          <w:szCs w:val="28"/>
          <w:highlight w:val="none"/>
        </w:rPr>
        <w:t>二、法定代表人身份证明</w:t>
      </w:r>
      <w:bookmarkEnd w:id="840"/>
      <w:bookmarkEnd w:id="841"/>
      <w:bookmarkEnd w:id="842"/>
      <w:bookmarkEnd w:id="843"/>
      <w:bookmarkEnd w:id="844"/>
      <w:bookmarkEnd w:id="845"/>
      <w:bookmarkEnd w:id="846"/>
      <w:bookmarkEnd w:id="847"/>
      <w:bookmarkEnd w:id="848"/>
      <w:bookmarkEnd w:id="849"/>
      <w:bookmarkEnd w:id="850"/>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投标人名称：</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单位性质：</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地址：</w:t>
      </w:r>
      <w:r>
        <w:rPr>
          <w:rFonts w:hint="eastAsia" w:ascii="宋体" w:hAnsi="宋体" w:cs="宋体"/>
          <w:color w:val="auto"/>
          <w:sz w:val="22"/>
          <w:szCs w:val="22"/>
          <w:highlight w:val="none"/>
          <w:u w:val="singl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成立时间：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经营期限：</w:t>
      </w:r>
      <w:r>
        <w:rPr>
          <w:rFonts w:hint="eastAsia" w:ascii="宋体" w:hAnsi="宋体" w:cs="宋体"/>
          <w:color w:val="auto"/>
          <w:sz w:val="22"/>
          <w:szCs w:val="22"/>
          <w:highlight w:val="none"/>
          <w:u w:val="singl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姓名：</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性别：</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年龄：</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职务：</w:t>
      </w:r>
      <w:r>
        <w:rPr>
          <w:rFonts w:hint="eastAsia" w:ascii="宋体" w:hAnsi="宋体" w:cs="宋体"/>
          <w:color w:val="auto"/>
          <w:sz w:val="22"/>
          <w:szCs w:val="22"/>
          <w:highlight w:val="none"/>
          <w:u w:val="single"/>
        </w:rPr>
        <w:t xml:space="preserve">        </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系</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（投标人名称）的法定代表人。</w:t>
      </w:r>
    </w:p>
    <w:p>
      <w:pPr>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特此证明。</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jc w:val="righ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 xml:space="preserve">                         投标人：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lang w:eastAsia="zh-CN"/>
        </w:rPr>
        <w:t>（盖电子公章）</w:t>
      </w:r>
    </w:p>
    <w:p>
      <w:pPr>
        <w:spacing w:line="440" w:lineRule="exact"/>
        <w:jc w:val="right"/>
        <w:rPr>
          <w:rFonts w:hint="eastAsia" w:ascii="宋体" w:hAnsi="宋体" w:cs="宋体"/>
          <w:color w:val="auto"/>
          <w:sz w:val="22"/>
          <w:szCs w:val="22"/>
          <w:highlight w:val="none"/>
        </w:rPr>
      </w:pPr>
    </w:p>
    <w:p>
      <w:pPr>
        <w:spacing w:line="440" w:lineRule="exact"/>
        <w:jc w:val="right"/>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pStyle w:val="5"/>
        <w:jc w:val="center"/>
        <w:rPr>
          <w:rFonts w:hint="eastAsia" w:ascii="宋体" w:hAnsi="宋体" w:eastAsia="宋体" w:cs="宋体"/>
          <w:color w:val="auto"/>
          <w:sz w:val="28"/>
          <w:szCs w:val="28"/>
          <w:highlight w:val="none"/>
        </w:rPr>
      </w:pPr>
      <w:bookmarkStart w:id="851" w:name="_Toc17697"/>
      <w:bookmarkStart w:id="852" w:name="_Toc296602606"/>
      <w:bookmarkStart w:id="853" w:name="_Toc21614"/>
      <w:bookmarkStart w:id="854" w:name="_Toc144974861"/>
      <w:bookmarkStart w:id="855" w:name="_Toc179632812"/>
      <w:bookmarkStart w:id="856" w:name="_Toc247085878"/>
      <w:bookmarkStart w:id="857" w:name="_Toc16484"/>
      <w:bookmarkStart w:id="858" w:name="_Toc246997103"/>
      <w:bookmarkStart w:id="859" w:name="_Toc152045792"/>
      <w:bookmarkStart w:id="860" w:name="_Toc152042581"/>
      <w:bookmarkStart w:id="861" w:name="_Toc246996360"/>
      <w:r>
        <w:rPr>
          <w:rFonts w:hint="eastAsia" w:ascii="宋体" w:hAnsi="宋体" w:eastAsia="宋体" w:cs="宋体"/>
          <w:color w:val="auto"/>
          <w:sz w:val="28"/>
          <w:szCs w:val="28"/>
          <w:highlight w:val="none"/>
        </w:rPr>
        <w:t>三、授权委托书</w:t>
      </w:r>
      <w:bookmarkEnd w:id="851"/>
      <w:bookmarkEnd w:id="852"/>
      <w:bookmarkEnd w:id="853"/>
      <w:bookmarkEnd w:id="854"/>
      <w:bookmarkEnd w:id="855"/>
      <w:bookmarkEnd w:id="856"/>
      <w:bookmarkEnd w:id="857"/>
      <w:bookmarkEnd w:id="858"/>
      <w:bookmarkEnd w:id="859"/>
      <w:bookmarkEnd w:id="860"/>
      <w:bookmarkEnd w:id="861"/>
    </w:p>
    <w:p>
      <w:pPr>
        <w:spacing w:line="440" w:lineRule="exact"/>
        <w:rPr>
          <w:rFonts w:hint="eastAsia" w:ascii="宋体" w:hAnsi="宋体" w:cs="宋体"/>
          <w:color w:val="auto"/>
          <w:szCs w:val="21"/>
          <w:highlight w:val="none"/>
        </w:rPr>
      </w:pPr>
    </w:p>
    <w:p>
      <w:pPr>
        <w:topLinePunct/>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（姓名）系</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（投标人名称）的法定代表人，现委托</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（姓名）为我方代理人。代理人根据授权，以我方名义签署、澄清、说明、补正、递交、撤回、修改</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lang w:eastAsia="zh-CN"/>
        </w:rPr>
        <w:t>（项目名称）</w:t>
      </w:r>
      <w:r>
        <w:rPr>
          <w:rFonts w:hint="eastAsia" w:ascii="宋体" w:hAnsi="宋体" w:cs="宋体"/>
          <w:color w:val="auto"/>
          <w:sz w:val="22"/>
          <w:szCs w:val="22"/>
          <w:highlight w:val="none"/>
        </w:rPr>
        <w:t>投标文件、签订合同和处理有关事宜，其法律后果由我方承担。</w:t>
      </w: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委托期限：</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w:t>
      </w:r>
    </w:p>
    <w:p>
      <w:pPr>
        <w:spacing w:line="44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代理人无转委托权。</w:t>
      </w:r>
    </w:p>
    <w:p>
      <w:pPr>
        <w:spacing w:line="44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附：法定代表人</w:t>
      </w:r>
      <w:r>
        <w:rPr>
          <w:rFonts w:hint="eastAsia" w:ascii="宋体" w:hAnsi="宋体" w:cs="宋体"/>
          <w:color w:val="auto"/>
          <w:sz w:val="22"/>
          <w:szCs w:val="22"/>
          <w:highlight w:val="none"/>
          <w:lang w:eastAsia="zh-CN"/>
        </w:rPr>
        <w:t>及授权委托人</w:t>
      </w:r>
      <w:r>
        <w:rPr>
          <w:rFonts w:hint="eastAsia" w:ascii="宋体" w:hAnsi="宋体" w:cs="宋体"/>
          <w:color w:val="auto"/>
          <w:sz w:val="22"/>
          <w:szCs w:val="22"/>
          <w:highlight w:val="none"/>
        </w:rPr>
        <w:t>身份证</w:t>
      </w:r>
      <w:r>
        <w:rPr>
          <w:rFonts w:hint="eastAsia" w:ascii="宋体" w:hAnsi="宋体" w:cs="宋体"/>
          <w:color w:val="auto"/>
          <w:sz w:val="22"/>
          <w:szCs w:val="22"/>
          <w:highlight w:val="none"/>
          <w:lang w:eastAsia="zh-CN"/>
        </w:rPr>
        <w:t>复印件</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投标人：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lang w:eastAsia="zh-CN"/>
        </w:rPr>
        <w:t>（盖电子公章）</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法定代表人：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lang w:eastAsia="zh-CN"/>
        </w:rPr>
        <w:t>（签字或电子章）</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身份证号码：</w:t>
      </w:r>
      <w:r>
        <w:rPr>
          <w:rFonts w:hint="eastAsia" w:ascii="宋体" w:hAnsi="宋体" w:cs="宋体"/>
          <w:color w:val="auto"/>
          <w:sz w:val="22"/>
          <w:szCs w:val="22"/>
          <w:highlight w:val="none"/>
          <w:u w:val="single"/>
        </w:rPr>
        <w:t xml:space="preserve">                                     </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授权委托人：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u w:val="single"/>
          <w:lang w:eastAsia="zh-CN"/>
        </w:rPr>
        <w:t>（签字或电子章）</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身份证号码：</w:t>
      </w:r>
      <w:r>
        <w:rPr>
          <w:rFonts w:hint="eastAsia" w:ascii="宋体" w:hAnsi="宋体" w:cs="宋体"/>
          <w:color w:val="auto"/>
          <w:sz w:val="22"/>
          <w:szCs w:val="22"/>
          <w:highlight w:val="none"/>
          <w:u w:val="single"/>
        </w:rPr>
        <w:t xml:space="preserve">                                     </w:t>
      </w:r>
    </w:p>
    <w:p>
      <w:pPr>
        <w:pStyle w:val="2"/>
        <w:rPr>
          <w:rFonts w:hint="eastAsia"/>
          <w:sz w:val="22"/>
          <w:szCs w:val="22"/>
          <w:lang w:eastAsia="zh-CN"/>
        </w:rPr>
      </w:pPr>
    </w:p>
    <w:p>
      <w:pPr>
        <w:rPr>
          <w:rFonts w:hint="eastAsia"/>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ind w:firstLine="2420" w:firstLineChars="1100"/>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pPr>
        <w:spacing w:line="400" w:lineRule="exact"/>
        <w:rPr>
          <w:rFonts w:hint="eastAsia" w:ascii="宋体" w:hAnsi="宋体" w:cs="宋体"/>
          <w:color w:val="auto"/>
          <w:sz w:val="22"/>
          <w:szCs w:val="22"/>
          <w:highlight w:val="none"/>
        </w:rPr>
      </w:pPr>
    </w:p>
    <w:p>
      <w:pPr>
        <w:spacing w:line="400" w:lineRule="exact"/>
        <w:rPr>
          <w:rFonts w:hint="eastAsia" w:ascii="宋体" w:hAnsi="宋体" w:cs="宋体"/>
          <w:color w:val="auto"/>
          <w:sz w:val="22"/>
          <w:szCs w:val="22"/>
          <w:highlight w:val="none"/>
        </w:rPr>
      </w:pPr>
    </w:p>
    <w:p>
      <w:pPr>
        <w:rPr>
          <w:rFonts w:hint="eastAsia" w:ascii="宋体" w:hAnsi="宋体" w:cs="宋体"/>
          <w:b/>
          <w:bCs/>
          <w:color w:val="auto"/>
          <w:sz w:val="20"/>
          <w:szCs w:val="20"/>
          <w:highlight w:val="none"/>
        </w:rPr>
      </w:pPr>
      <w:bookmarkStart w:id="862" w:name="_Toc144974862"/>
      <w:bookmarkStart w:id="863" w:name="_Toc179632814"/>
      <w:bookmarkStart w:id="864" w:name="_Toc152045794"/>
      <w:bookmarkStart w:id="865" w:name="_Toc246996362"/>
      <w:bookmarkStart w:id="866" w:name="_Toc152042583"/>
      <w:bookmarkStart w:id="867" w:name="_Toc246997105"/>
      <w:bookmarkStart w:id="868" w:name="_Toc247085880"/>
      <w:bookmarkStart w:id="869" w:name="_Toc296602607"/>
    </w:p>
    <w:p>
      <w:pPr>
        <w:rPr>
          <w:rFonts w:hint="eastAsia" w:ascii="宋体" w:hAnsi="宋体" w:cs="宋体"/>
          <w:color w:val="auto"/>
          <w:highlight w:val="none"/>
        </w:rPr>
      </w:pPr>
    </w:p>
    <w:p>
      <w:pPr>
        <w:rPr>
          <w:rFonts w:hint="eastAsia" w:ascii="宋体" w:hAnsi="宋体" w:cs="宋体"/>
          <w:color w:val="auto"/>
          <w:highlight w:val="none"/>
        </w:rPr>
      </w:pPr>
    </w:p>
    <w:p>
      <w:pPr>
        <w:rPr>
          <w:rFonts w:hint="eastAsia"/>
          <w:color w:val="auto"/>
          <w:highlight w:val="none"/>
        </w:rPr>
      </w:pPr>
    </w:p>
    <w:p>
      <w:pPr>
        <w:rPr>
          <w:rFonts w:hint="eastAsia"/>
          <w:color w:val="auto"/>
          <w:highlight w:val="none"/>
        </w:rPr>
      </w:pPr>
    </w:p>
    <w:p>
      <w:pPr>
        <w:rPr>
          <w:rFonts w:hint="eastAsia" w:ascii="宋体" w:hAnsi="宋体" w:cs="宋体"/>
          <w:color w:val="auto"/>
          <w:highlight w:val="none"/>
        </w:rPr>
      </w:pPr>
    </w:p>
    <w:p>
      <w:pPr>
        <w:pStyle w:val="2"/>
        <w:rPr>
          <w:rFonts w:hint="eastAsia"/>
          <w:color w:val="auto"/>
          <w:highlight w:val="none"/>
        </w:rPr>
      </w:pPr>
    </w:p>
    <w:p>
      <w:pPr>
        <w:pStyle w:val="5"/>
        <w:jc w:val="center"/>
        <w:rPr>
          <w:rFonts w:hint="eastAsia" w:ascii="宋体" w:hAnsi="宋体" w:eastAsia="宋体" w:cs="宋体"/>
          <w:color w:val="auto"/>
          <w:sz w:val="28"/>
          <w:szCs w:val="28"/>
          <w:highlight w:val="none"/>
        </w:rPr>
      </w:pPr>
      <w:bookmarkStart w:id="870" w:name="_Toc21487"/>
      <w:bookmarkStart w:id="871" w:name="_Toc23016"/>
      <w:bookmarkStart w:id="872" w:name="_Toc10435"/>
      <w:r>
        <w:rPr>
          <w:rFonts w:hint="eastAsia" w:ascii="宋体" w:hAnsi="宋体" w:eastAsia="宋体" w:cs="宋体"/>
          <w:color w:val="auto"/>
          <w:sz w:val="28"/>
          <w:szCs w:val="28"/>
          <w:highlight w:val="none"/>
        </w:rPr>
        <w:t>四、投标保证金</w:t>
      </w:r>
      <w:bookmarkEnd w:id="862"/>
      <w:bookmarkEnd w:id="863"/>
      <w:bookmarkEnd w:id="864"/>
      <w:bookmarkEnd w:id="865"/>
      <w:bookmarkEnd w:id="866"/>
      <w:bookmarkEnd w:id="867"/>
      <w:bookmarkEnd w:id="868"/>
      <w:bookmarkEnd w:id="869"/>
      <w:bookmarkEnd w:id="870"/>
      <w:bookmarkEnd w:id="871"/>
      <w:bookmarkEnd w:id="872"/>
    </w:p>
    <w:p>
      <w:pPr>
        <w:jc w:val="center"/>
        <w:outlineLvl w:val="9"/>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投标保证金</w:t>
      </w:r>
      <w:r>
        <w:rPr>
          <w:rFonts w:hint="eastAsia" w:ascii="宋体" w:hAnsi="宋体" w:eastAsia="宋体" w:cs="宋体"/>
          <w:b/>
          <w:bCs/>
          <w:color w:val="auto"/>
          <w:sz w:val="28"/>
          <w:szCs w:val="28"/>
          <w:highlight w:val="none"/>
          <w:lang w:eastAsia="zh-CN"/>
        </w:rPr>
        <w:t>承诺函</w:t>
      </w:r>
    </w:p>
    <w:p>
      <w:pPr>
        <w:autoSpaceDE w:val="0"/>
        <w:autoSpaceDN w:val="0"/>
        <w:snapToGrid w:val="0"/>
        <w:spacing w:line="600" w:lineRule="exact"/>
        <w:ind w:firstLine="420" w:firstLineChars="200"/>
        <w:rPr>
          <w:rFonts w:ascii="宋体" w:hAnsi="宋体" w:cs="宋体"/>
          <w:szCs w:val="21"/>
          <w:highlight w:val="none"/>
        </w:rPr>
      </w:pPr>
      <w:r>
        <w:rPr>
          <w:rFonts w:hint="eastAsia" w:ascii="宋体" w:hAnsi="宋体" w:cs="宋体"/>
          <w:szCs w:val="21"/>
          <w:highlight w:val="none"/>
          <w:lang w:eastAsia="zh-CN"/>
        </w:rPr>
        <w:t>（招标人名称）</w:t>
      </w:r>
      <w:r>
        <w:rPr>
          <w:rFonts w:hint="eastAsia" w:ascii="宋体" w:hAnsi="宋体" w:cs="宋体"/>
          <w:szCs w:val="21"/>
          <w:highlight w:val="none"/>
        </w:rPr>
        <w:t>：</w:t>
      </w:r>
    </w:p>
    <w:p>
      <w:pPr>
        <w:autoSpaceDE w:val="0"/>
        <w:autoSpaceDN w:val="0"/>
        <w:snapToGrid w:val="0"/>
        <w:spacing w:line="600" w:lineRule="exact"/>
        <w:ind w:firstLine="420" w:firstLineChars="200"/>
        <w:rPr>
          <w:rFonts w:hint="eastAsia" w:ascii="宋体" w:hAnsi="宋体" w:cs="宋体"/>
          <w:szCs w:val="21"/>
          <w:highlight w:val="none"/>
          <w:lang w:val="en-US" w:eastAsia="zh-CN"/>
        </w:rPr>
      </w:pPr>
      <w:r>
        <w:rPr>
          <w:rFonts w:hint="eastAsia" w:ascii="宋体" w:hAnsi="宋体" w:cs="宋体"/>
          <w:szCs w:val="21"/>
          <w:highlight w:val="none"/>
          <w:lang w:eastAsia="zh-CN"/>
        </w:rPr>
        <w:t>我公司因参加</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none"/>
          <w:lang w:val="en-US" w:eastAsia="zh-CN"/>
        </w:rPr>
        <w:t>（项目名称）</w:t>
      </w:r>
      <w:r>
        <w:rPr>
          <w:rFonts w:hint="eastAsia" w:ascii="宋体" w:hAnsi="宋体" w:cs="宋体"/>
          <w:szCs w:val="21"/>
          <w:highlight w:val="none"/>
        </w:rPr>
        <w:t>投标活动，</w:t>
      </w:r>
      <w:r>
        <w:rPr>
          <w:rFonts w:hint="eastAsia" w:ascii="宋体" w:hAnsi="宋体" w:cs="宋体"/>
          <w:szCs w:val="21"/>
          <w:highlight w:val="none"/>
          <w:lang w:eastAsia="zh-CN"/>
        </w:rPr>
        <w:t>特承诺在规定的投标有效期内不撤销或修改投标文件，在收到中标通知书后，在中标通知书规定的期限内按照招标文件与中标人及时签订合同，合同签订后及时上传合同。如有违反，愿意缴纳招标控制价的</w:t>
      </w:r>
      <w:r>
        <w:rPr>
          <w:rFonts w:hint="eastAsia" w:ascii="宋体" w:hAnsi="宋体" w:cs="宋体"/>
          <w:szCs w:val="21"/>
          <w:highlight w:val="none"/>
          <w:lang w:val="en-US" w:eastAsia="zh-CN"/>
        </w:rPr>
        <w:t>2%（最高不超过80万）的违约金。</w:t>
      </w:r>
    </w:p>
    <w:p>
      <w:pPr>
        <w:autoSpaceDE w:val="0"/>
        <w:autoSpaceDN w:val="0"/>
        <w:snapToGrid w:val="0"/>
        <w:spacing w:line="600" w:lineRule="exact"/>
        <w:ind w:firstLine="420" w:firstLineChars="200"/>
        <w:rPr>
          <w:rFonts w:hint="eastAsia" w:ascii="宋体" w:hAnsi="宋体" w:cs="宋体"/>
          <w:szCs w:val="21"/>
          <w:highlight w:val="none"/>
          <w:lang w:eastAsia="zh-CN"/>
        </w:rPr>
      </w:pPr>
      <w:r>
        <w:rPr>
          <w:rFonts w:hint="eastAsia" w:ascii="宋体" w:hAnsi="宋体" w:cs="宋体"/>
          <w:szCs w:val="21"/>
          <w:highlight w:val="none"/>
        </w:rPr>
        <w:t>如有</w:t>
      </w:r>
      <w:r>
        <w:rPr>
          <w:rFonts w:hint="eastAsia" w:ascii="宋体" w:hAnsi="宋体" w:cs="宋体"/>
          <w:szCs w:val="21"/>
          <w:highlight w:val="none"/>
          <w:lang w:eastAsia="zh-CN"/>
        </w:rPr>
        <w:t>争议，服从由行政监督部门作出的行政决定，或仲裁委员会作出的仲裁裁决，或工程项目所在地人民法院作出的判决。</w:t>
      </w:r>
    </w:p>
    <w:p>
      <w:pPr>
        <w:pStyle w:val="2"/>
        <w:ind w:firstLine="420" w:firstLineChars="200"/>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本投标承诺函在投标有效期内保持有效。</w:t>
      </w:r>
    </w:p>
    <w:p>
      <w:pPr>
        <w:pStyle w:val="2"/>
      </w:pPr>
    </w:p>
    <w:p/>
    <w:p>
      <w:pPr>
        <w:autoSpaceDE w:val="0"/>
        <w:autoSpaceDN w:val="0"/>
        <w:snapToGrid w:val="0"/>
        <w:spacing w:line="600" w:lineRule="exact"/>
        <w:ind w:firstLine="3990" w:firstLineChars="1900"/>
        <w:rPr>
          <w:rFonts w:ascii="宋体" w:hAnsi="宋体" w:cs="宋体"/>
          <w:szCs w:val="21"/>
          <w:highlight w:val="none"/>
        </w:rPr>
      </w:pPr>
    </w:p>
    <w:p>
      <w:pPr>
        <w:autoSpaceDE w:val="0"/>
        <w:autoSpaceDN w:val="0"/>
        <w:snapToGrid w:val="0"/>
        <w:spacing w:line="600" w:lineRule="exact"/>
        <w:ind w:firstLine="3780" w:firstLineChars="1800"/>
        <w:rPr>
          <w:rFonts w:ascii="宋体" w:hAnsi="宋体" w:cs="宋体"/>
          <w:szCs w:val="21"/>
          <w:highlight w:val="none"/>
        </w:rPr>
      </w:pPr>
    </w:p>
    <w:p>
      <w:pPr>
        <w:autoSpaceDE w:val="0"/>
        <w:autoSpaceDN w:val="0"/>
        <w:snapToGrid w:val="0"/>
        <w:spacing w:line="600" w:lineRule="exact"/>
        <w:ind w:firstLine="3780" w:firstLineChars="1800"/>
        <w:rPr>
          <w:rFonts w:ascii="宋体" w:hAnsi="宋体" w:cs="宋体"/>
          <w:szCs w:val="21"/>
          <w:highlight w:val="none"/>
        </w:rPr>
      </w:pPr>
      <w:r>
        <w:rPr>
          <w:rFonts w:hint="eastAsia" w:ascii="宋体" w:hAnsi="宋体" w:cs="宋体"/>
          <w:szCs w:val="21"/>
          <w:highlight w:val="none"/>
        </w:rPr>
        <w:t>投标人：（单位电子签章）</w:t>
      </w:r>
    </w:p>
    <w:p>
      <w:pPr>
        <w:autoSpaceDE w:val="0"/>
        <w:autoSpaceDN w:val="0"/>
        <w:snapToGrid w:val="0"/>
        <w:spacing w:line="600" w:lineRule="exact"/>
        <w:ind w:firstLine="3780" w:firstLineChars="1800"/>
        <w:rPr>
          <w:rFonts w:ascii="宋体" w:hAnsi="宋体" w:cs="宋体"/>
          <w:szCs w:val="21"/>
          <w:highlight w:val="none"/>
        </w:rPr>
      </w:pPr>
      <w:r>
        <w:rPr>
          <w:rFonts w:hint="eastAsia" w:ascii="宋体" w:hAnsi="宋体" w:cs="宋体"/>
          <w:szCs w:val="21"/>
          <w:highlight w:val="none"/>
        </w:rPr>
        <w:t>法定代表人：（法定代表人电子签名）</w:t>
      </w:r>
    </w:p>
    <w:p>
      <w:pPr>
        <w:autoSpaceDE w:val="0"/>
        <w:autoSpaceDN w:val="0"/>
        <w:snapToGrid w:val="0"/>
        <w:spacing w:line="600" w:lineRule="exact"/>
        <w:ind w:firstLine="4200" w:firstLineChars="2000"/>
        <w:rPr>
          <w:rFonts w:ascii="宋体" w:hAnsi="宋体" w:cs="宋体"/>
          <w:szCs w:val="21"/>
          <w:highlight w:val="none"/>
        </w:rPr>
      </w:pPr>
      <w:r>
        <w:rPr>
          <w:rFonts w:hint="eastAsia" w:ascii="宋体" w:hAnsi="宋体" w:cs="宋体"/>
          <w:szCs w:val="21"/>
          <w:highlight w:val="none"/>
        </w:rPr>
        <w:t>年   月   日</w:t>
      </w:r>
    </w:p>
    <w:p>
      <w:pPr>
        <w:pStyle w:val="47"/>
        <w:jc w:val="center"/>
        <w:rPr>
          <w:rFonts w:hint="eastAsia" w:ascii="宋体" w:hAnsi="宋体" w:eastAsia="宋体" w:cs="宋体"/>
          <w:color w:val="auto"/>
          <w:szCs w:val="21"/>
          <w:highlight w:val="none"/>
          <w:lang w:eastAsia="zh-CN"/>
        </w:rPr>
      </w:pPr>
    </w:p>
    <w:p>
      <w:pPr>
        <w:pStyle w:val="48"/>
        <w:rPr>
          <w:rFonts w:hint="eastAsia" w:ascii="宋体" w:hAnsi="宋体" w:cs="宋体"/>
          <w:color w:val="auto"/>
          <w:szCs w:val="21"/>
          <w:highlight w:val="none"/>
        </w:rPr>
      </w:pPr>
    </w:p>
    <w:p>
      <w:pPr>
        <w:rPr>
          <w:rFonts w:hint="eastAsia" w:ascii="宋体" w:hAnsi="宋体" w:cs="宋体"/>
          <w:color w:val="auto"/>
          <w:szCs w:val="21"/>
          <w:highlight w:val="none"/>
        </w:rPr>
      </w:pPr>
    </w:p>
    <w:p>
      <w:pPr>
        <w:pStyle w:val="47"/>
        <w:rPr>
          <w:rFonts w:hint="eastAsia" w:ascii="宋体" w:hAnsi="宋体" w:cs="宋体"/>
          <w:color w:val="auto"/>
          <w:szCs w:val="21"/>
          <w:highlight w:val="none"/>
        </w:rPr>
      </w:pPr>
    </w:p>
    <w:p>
      <w:pPr>
        <w:pStyle w:val="48"/>
        <w:rPr>
          <w:rFonts w:hint="eastAsia" w:ascii="宋体" w:hAnsi="宋体" w:cs="宋体"/>
          <w:color w:val="auto"/>
          <w:szCs w:val="21"/>
          <w:highlight w:val="none"/>
        </w:rPr>
      </w:pPr>
    </w:p>
    <w:p>
      <w:pPr>
        <w:rPr>
          <w:rFonts w:hint="eastAsia" w:ascii="宋体" w:hAnsi="宋体" w:cs="宋体"/>
          <w:color w:val="auto"/>
          <w:szCs w:val="21"/>
          <w:highlight w:val="none"/>
        </w:rPr>
      </w:pPr>
    </w:p>
    <w:p>
      <w:pPr>
        <w:rPr>
          <w:rFonts w:hint="eastAsia" w:ascii="宋体" w:hAnsi="宋体" w:cs="宋体"/>
          <w:b/>
          <w:bCs/>
          <w:color w:val="auto"/>
          <w:sz w:val="28"/>
          <w:szCs w:val="28"/>
          <w:highlight w:val="none"/>
        </w:rPr>
      </w:pPr>
      <w:bookmarkStart w:id="873" w:name="_Toc20094"/>
      <w:bookmarkStart w:id="874" w:name="_Toc23954"/>
      <w:r>
        <w:rPr>
          <w:rFonts w:hint="eastAsia" w:ascii="宋体" w:hAnsi="宋体" w:cs="宋体"/>
          <w:b/>
          <w:bCs/>
          <w:color w:val="auto"/>
          <w:sz w:val="28"/>
          <w:szCs w:val="28"/>
          <w:highlight w:val="none"/>
        </w:rPr>
        <w:br w:type="page"/>
      </w:r>
    </w:p>
    <w:p>
      <w:pPr>
        <w:spacing w:line="540" w:lineRule="exact"/>
        <w:jc w:val="center"/>
        <w:outlineLvl w:val="1"/>
        <w:rPr>
          <w:rFonts w:hint="eastAsia" w:ascii="宋体" w:hAnsi="宋体" w:cs="宋体"/>
          <w:b/>
          <w:bCs/>
          <w:color w:val="auto"/>
          <w:sz w:val="28"/>
          <w:szCs w:val="28"/>
          <w:highlight w:val="none"/>
        </w:rPr>
      </w:pPr>
      <w:bookmarkStart w:id="875" w:name="_Toc27488"/>
      <w:r>
        <w:rPr>
          <w:rFonts w:hint="eastAsia" w:ascii="宋体" w:hAnsi="宋体" w:cs="宋体"/>
          <w:b/>
          <w:bCs/>
          <w:color w:val="auto"/>
          <w:sz w:val="28"/>
          <w:szCs w:val="28"/>
          <w:highlight w:val="none"/>
        </w:rPr>
        <w:t>五、已标价工程量清单</w:t>
      </w:r>
      <w:bookmarkEnd w:id="873"/>
      <w:bookmarkEnd w:id="875"/>
    </w:p>
    <w:p>
      <w:pPr>
        <w:spacing w:line="540" w:lineRule="exact"/>
        <w:jc w:val="center"/>
        <w:rPr>
          <w:rFonts w:hint="eastAsia" w:ascii="宋体" w:hAnsi="宋体" w:cs="宋体"/>
          <w:b/>
          <w:bCs/>
          <w:color w:val="auto"/>
          <w:sz w:val="28"/>
          <w:szCs w:val="28"/>
          <w:highlight w:val="none"/>
        </w:rPr>
      </w:pPr>
    </w:p>
    <w:p>
      <w:pPr>
        <w:rPr>
          <w:rFonts w:hint="eastAsia"/>
          <w:color w:val="auto"/>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spacing w:line="540" w:lineRule="exact"/>
        <w:jc w:val="center"/>
        <w:rPr>
          <w:rFonts w:hint="eastAsia" w:ascii="宋体" w:hAnsi="宋体" w:cs="宋体"/>
          <w:b/>
          <w:bCs/>
          <w:color w:val="auto"/>
          <w:sz w:val="28"/>
          <w:szCs w:val="28"/>
          <w:highlight w:val="none"/>
        </w:rPr>
      </w:pPr>
    </w:p>
    <w:p>
      <w:pPr>
        <w:rPr>
          <w:rFonts w:hint="eastAsia" w:ascii="宋体" w:hAnsi="宋体" w:cs="宋体"/>
          <w:b/>
          <w:bCs/>
          <w:color w:val="auto"/>
          <w:sz w:val="28"/>
          <w:szCs w:val="28"/>
          <w:highlight w:val="none"/>
        </w:rPr>
      </w:pPr>
      <w:bookmarkStart w:id="876" w:name="_Toc7624"/>
      <w:bookmarkStart w:id="877" w:name="_Toc18671"/>
      <w:r>
        <w:rPr>
          <w:rFonts w:hint="eastAsia" w:ascii="宋体" w:hAnsi="宋体" w:cs="宋体"/>
          <w:b/>
          <w:bCs/>
          <w:color w:val="auto"/>
          <w:sz w:val="28"/>
          <w:szCs w:val="28"/>
          <w:highlight w:val="none"/>
        </w:rPr>
        <w:br w:type="page"/>
      </w:r>
    </w:p>
    <w:p>
      <w:pPr>
        <w:spacing w:line="540" w:lineRule="exact"/>
        <w:jc w:val="center"/>
        <w:outlineLvl w:val="1"/>
        <w:rPr>
          <w:rFonts w:hint="eastAsia" w:ascii="宋体" w:hAnsi="宋体" w:cs="宋体"/>
          <w:b/>
          <w:bCs/>
          <w:color w:val="auto"/>
          <w:sz w:val="28"/>
          <w:szCs w:val="28"/>
          <w:highlight w:val="none"/>
        </w:rPr>
      </w:pPr>
      <w:bookmarkStart w:id="878" w:name="_Toc15447"/>
      <w:bookmarkStart w:id="879" w:name="_Toc17895"/>
      <w:r>
        <w:rPr>
          <w:rFonts w:hint="eastAsia" w:ascii="宋体" w:hAnsi="宋体" w:cs="宋体"/>
          <w:b/>
          <w:bCs/>
          <w:color w:val="auto"/>
          <w:sz w:val="28"/>
          <w:szCs w:val="28"/>
          <w:highlight w:val="none"/>
          <w:lang w:eastAsia="zh-CN"/>
        </w:rPr>
        <w:t>六</w:t>
      </w:r>
      <w:r>
        <w:rPr>
          <w:rFonts w:hint="eastAsia" w:ascii="宋体" w:hAnsi="宋体" w:cs="宋体"/>
          <w:b/>
          <w:bCs/>
          <w:color w:val="auto"/>
          <w:sz w:val="28"/>
          <w:szCs w:val="28"/>
          <w:highlight w:val="none"/>
        </w:rPr>
        <w:t>、 施工组织设计</w:t>
      </w:r>
      <w:bookmarkEnd w:id="878"/>
      <w:bookmarkEnd w:id="879"/>
    </w:p>
    <w:p>
      <w:pPr>
        <w:spacing w:line="360" w:lineRule="auto"/>
        <w:ind w:firstLine="440" w:firstLineChars="200"/>
        <w:rPr>
          <w:rFonts w:hint="eastAsia" w:ascii="宋体" w:hAnsi="宋体" w:eastAsia="宋体" w:cs="宋体"/>
          <w:color w:val="000000" w:themeColor="text1"/>
          <w:sz w:val="22"/>
          <w:szCs w:val="22"/>
          <w14:textFill>
            <w14:solidFill>
              <w14:schemeClr w14:val="tx1"/>
            </w14:solidFill>
          </w14:textFill>
        </w:rPr>
      </w:pPr>
      <w:r>
        <w:rPr>
          <w:rFonts w:ascii="宋体" w:hAnsi="宋体" w:cs="TimesNewRomanPSMT"/>
          <w:color w:val="auto"/>
          <w:kern w:val="0"/>
          <w:sz w:val="22"/>
          <w:szCs w:val="22"/>
          <w:highlight w:val="none"/>
        </w:rPr>
        <w:t xml:space="preserve">1. </w:t>
      </w:r>
      <w:r>
        <w:rPr>
          <w:rFonts w:hint="eastAsia" w:ascii="宋体" w:hAnsi="宋体" w:eastAsia="宋体" w:cs="宋体"/>
          <w:color w:val="000000" w:themeColor="text1"/>
          <w:sz w:val="22"/>
          <w:szCs w:val="22"/>
          <w14:textFill>
            <w14:solidFill>
              <w14:schemeClr w14:val="tx1"/>
            </w14:solidFill>
          </w14:textFill>
        </w:rPr>
        <w:t>投标人应根据招标文件和对现场的勘察情况，采用文字并结合图表形式，参考以下要点编制本工程的施工组织设计：</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主要施工方案与技术措施；</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质量管理体系与措施；</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安全管理体系与措施；</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文明施工、环境保护管理体系及施工现场扬尘治理措施；</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工期保证措施；</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拟投入资源配备计划；</w:t>
      </w:r>
    </w:p>
    <w:p>
      <w:pPr>
        <w:numPr>
          <w:ilvl w:val="0"/>
          <w:numId w:val="5"/>
        </w:numPr>
        <w:tabs>
          <w:tab w:val="clear" w:pos="840"/>
        </w:tabs>
        <w:spacing w:line="360" w:lineRule="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施工进度表与网络计划图；</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施工总平面图布置；</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i w:val="0"/>
          <w:iCs w:val="0"/>
          <w:caps w:val="0"/>
          <w:color w:val="191919"/>
          <w:spacing w:val="0"/>
          <w:w w:val="100"/>
          <w:position w:val="0"/>
          <w:sz w:val="21"/>
          <w:szCs w:val="21"/>
        </w:rPr>
        <w:t>建造方式的创新应用实施方案</w:t>
      </w:r>
      <w:r>
        <w:rPr>
          <w:rFonts w:hint="eastAsia" w:ascii="宋体" w:hAnsi="宋体" w:eastAsia="宋体" w:cs="宋体"/>
          <w:color w:val="000000" w:themeColor="text1"/>
          <w:sz w:val="22"/>
          <w:szCs w:val="22"/>
          <w14:textFill>
            <w14:solidFill>
              <w14:schemeClr w14:val="tx1"/>
            </w14:solidFill>
          </w14:textFill>
        </w:rPr>
        <w:t>；</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采用新工艺、新技术、新设备、新材料、BIM等的程度；</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施工现场实施信息化监控和数据处理</w:t>
      </w:r>
      <w:r>
        <w:rPr>
          <w:rFonts w:hint="eastAsia" w:ascii="宋体" w:hAnsi="宋体" w:eastAsia="宋体" w:cs="宋体"/>
          <w:b/>
          <w:bCs/>
          <w:color w:val="000000" w:themeColor="text1"/>
          <w:sz w:val="22"/>
          <w:szCs w:val="22"/>
          <w14:textFill>
            <w14:solidFill>
              <w14:schemeClr w14:val="tx1"/>
            </w14:solidFill>
          </w14:textFill>
        </w:rPr>
        <w:t>；</w:t>
      </w:r>
    </w:p>
    <w:p>
      <w:pPr>
        <w:numPr>
          <w:ilvl w:val="0"/>
          <w:numId w:val="5"/>
        </w:numPr>
        <w:tabs>
          <w:tab w:val="clear" w:pos="840"/>
        </w:tabs>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风险管理措施；</w:t>
      </w:r>
    </w:p>
    <w:p>
      <w:pPr>
        <w:numPr>
          <w:ilvl w:val="0"/>
          <w:numId w:val="6"/>
        </w:num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施工组织设计除采用文字表述外可附下列图表，图表及格式要求附后。</w:t>
      </w:r>
      <w:r>
        <w:rPr>
          <w:rFonts w:hint="eastAsia" w:ascii="宋体" w:hAnsi="宋体" w:eastAsia="宋体" w:cs="宋体"/>
          <w:color w:val="000000" w:themeColor="text1"/>
          <w:sz w:val="22"/>
          <w:szCs w:val="22"/>
          <w:lang w:eastAsia="zh-CN"/>
          <w14:textFill>
            <w14:solidFill>
              <w14:schemeClr w14:val="tx1"/>
            </w14:solidFill>
          </w14:textFill>
        </w:rPr>
        <w:t>本项目</w:t>
      </w:r>
      <w:r>
        <w:rPr>
          <w:rFonts w:hint="eastAsia" w:ascii="宋体" w:hAnsi="宋体" w:eastAsia="宋体" w:cs="宋体"/>
          <w:color w:val="000000" w:themeColor="text1"/>
          <w:sz w:val="22"/>
          <w:szCs w:val="22"/>
          <w14:textFill>
            <w14:solidFill>
              <w14:schemeClr w14:val="tx1"/>
            </w14:solidFill>
          </w14:textFill>
        </w:rPr>
        <w:t>采用技术暗标评审，下述表格应按照章节内容，严格按给定的格式附在相应的章节中。</w:t>
      </w:r>
    </w:p>
    <w:p>
      <w:pPr>
        <w:spacing w:line="420" w:lineRule="exact"/>
        <w:ind w:firstLine="442" w:firstLineChars="200"/>
        <w:jc w:val="left"/>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
          <w:color w:val="000000" w:themeColor="text1"/>
          <w:sz w:val="22"/>
          <w:szCs w:val="22"/>
          <w14:textFill>
            <w14:solidFill>
              <w14:schemeClr w14:val="tx1"/>
            </w14:solidFill>
          </w14:textFill>
        </w:rPr>
        <w:t>附表格式：</w:t>
      </w:r>
    </w:p>
    <w:p>
      <w:p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附表一  拟投入本工程的主要施工设备表</w:t>
      </w:r>
    </w:p>
    <w:p>
      <w:p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附表二  拟配备本工程的试验和检测仪器设备表</w:t>
      </w:r>
    </w:p>
    <w:p>
      <w:p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附表三  劳动力计划表</w:t>
      </w:r>
    </w:p>
    <w:p>
      <w:pPr>
        <w:spacing w:line="420" w:lineRule="exact"/>
        <w:ind w:left="420"/>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附表四  计划开、竣工日期和施工进度网络图</w:t>
      </w:r>
    </w:p>
    <w:p>
      <w:p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附表五  施工总平面图</w:t>
      </w:r>
    </w:p>
    <w:p>
      <w:p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附表六  临时用地表</w:t>
      </w:r>
    </w:p>
    <w:p>
      <w:pPr>
        <w:spacing w:line="420" w:lineRule="exact"/>
        <w:ind w:left="420"/>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附表七  施工组织设计(技术暗标部分)编制要求</w:t>
      </w:r>
    </w:p>
    <w:p>
      <w:pPr>
        <w:pStyle w:val="47"/>
        <w:rPr>
          <w:rFonts w:hint="eastAsia"/>
          <w:sz w:val="22"/>
          <w:szCs w:val="22"/>
          <w:lang w:val="en-US" w:eastAsia="zh-CN"/>
        </w:rPr>
      </w:pPr>
    </w:p>
    <w:p>
      <w:pPr>
        <w:pStyle w:val="47"/>
        <w:rPr>
          <w:rFonts w:hint="eastAsia"/>
          <w:lang w:val="en-US" w:eastAsia="zh-CN"/>
        </w:rPr>
      </w:pPr>
    </w:p>
    <w:p>
      <w:pPr>
        <w:spacing w:line="360" w:lineRule="auto"/>
        <w:rPr>
          <w:rFonts w:hint="eastAsia" w:ascii="宋体" w:hAnsi="宋体" w:cs="宋体"/>
          <w:b/>
          <w:color w:val="auto"/>
          <w:kern w:val="0"/>
          <w:sz w:val="24"/>
          <w:highlight w:val="none"/>
        </w:rPr>
      </w:pPr>
      <w:r>
        <w:rPr>
          <w:rFonts w:hint="eastAsia" w:ascii="宋体" w:hAnsi="宋体" w:cs="宋体"/>
          <w:color w:val="auto"/>
          <w:highlight w:val="none"/>
        </w:rPr>
        <w:br w:type="page"/>
      </w:r>
      <w:bookmarkStart w:id="880" w:name="_Toc436576402"/>
      <w:bookmarkEnd w:id="880"/>
      <w:bookmarkStart w:id="881" w:name="_Toc291759786"/>
      <w:bookmarkStart w:id="882" w:name="_Toc24175"/>
      <w:bookmarkStart w:id="883" w:name="_Toc381360546"/>
      <w:bookmarkStart w:id="884" w:name="_Toc10201"/>
      <w:bookmarkStart w:id="885" w:name="_Toc4346"/>
      <w:r>
        <w:rPr>
          <w:rFonts w:hint="eastAsia" w:ascii="宋体" w:hAnsi="宋体" w:cs="宋体"/>
          <w:b/>
          <w:color w:val="auto"/>
          <w:kern w:val="0"/>
          <w:sz w:val="24"/>
          <w:highlight w:val="none"/>
        </w:rPr>
        <w:t>附表一：拟投入本工程的主要施工设备表</w:t>
      </w:r>
      <w:bookmarkEnd w:id="881"/>
      <w:bookmarkEnd w:id="882"/>
      <w:bookmarkEnd w:id="883"/>
      <w:bookmarkEnd w:id="884"/>
      <w:bookmarkEnd w:id="885"/>
    </w:p>
    <w:tbl>
      <w:tblPr>
        <w:tblStyle w:val="4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810"/>
        <w:gridCol w:w="938"/>
        <w:gridCol w:w="938"/>
        <w:gridCol w:w="938"/>
        <w:gridCol w:w="938"/>
        <w:gridCol w:w="1025"/>
        <w:gridCol w:w="937"/>
        <w:gridCol w:w="1358"/>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序号</w:t>
            </w:r>
          </w:p>
        </w:tc>
        <w:tc>
          <w:tcPr>
            <w:tcW w:w="810"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设备</w:t>
            </w:r>
          </w:p>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名称</w:t>
            </w:r>
          </w:p>
        </w:tc>
        <w:tc>
          <w:tcPr>
            <w:tcW w:w="938"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型号</w:t>
            </w:r>
          </w:p>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规格</w:t>
            </w:r>
          </w:p>
        </w:tc>
        <w:tc>
          <w:tcPr>
            <w:tcW w:w="938"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数量</w:t>
            </w:r>
          </w:p>
        </w:tc>
        <w:tc>
          <w:tcPr>
            <w:tcW w:w="938"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国别</w:t>
            </w:r>
          </w:p>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产地</w:t>
            </w:r>
          </w:p>
        </w:tc>
        <w:tc>
          <w:tcPr>
            <w:tcW w:w="938"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制造</w:t>
            </w:r>
          </w:p>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年份</w:t>
            </w:r>
          </w:p>
        </w:tc>
        <w:tc>
          <w:tcPr>
            <w:tcW w:w="1025"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额定功率（KW）</w:t>
            </w:r>
          </w:p>
        </w:tc>
        <w:tc>
          <w:tcPr>
            <w:tcW w:w="937"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生产</w:t>
            </w:r>
          </w:p>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能力</w:t>
            </w:r>
          </w:p>
        </w:tc>
        <w:tc>
          <w:tcPr>
            <w:tcW w:w="1358"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用于施工部位</w:t>
            </w:r>
          </w:p>
        </w:tc>
        <w:tc>
          <w:tcPr>
            <w:tcW w:w="936" w:type="dxa"/>
            <w:noWrap w:val="0"/>
            <w:vAlign w:val="center"/>
          </w:tcPr>
          <w:p>
            <w:pPr>
              <w:autoSpaceDE w:val="0"/>
              <w:autoSpaceDN w:val="0"/>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40"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810"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25"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358"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9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bl>
    <w:p>
      <w:pPr>
        <w:tabs>
          <w:tab w:val="left" w:pos="3560"/>
        </w:tabs>
        <w:adjustRightInd w:val="0"/>
        <w:snapToGrid w:val="0"/>
        <w:spacing w:line="360" w:lineRule="auto"/>
        <w:rPr>
          <w:rFonts w:hint="eastAsia" w:ascii="宋体" w:hAnsi="宋体" w:cs="宋体"/>
          <w:color w:val="auto"/>
          <w:sz w:val="24"/>
          <w:highlight w:val="none"/>
        </w:rPr>
      </w:pPr>
    </w:p>
    <w:p>
      <w:pPr>
        <w:tabs>
          <w:tab w:val="left" w:pos="3560"/>
        </w:tabs>
        <w:adjustRightInd w:val="0"/>
        <w:snapToGrid w:val="0"/>
        <w:spacing w:line="360" w:lineRule="auto"/>
        <w:rPr>
          <w:rFonts w:hint="eastAsia" w:ascii="宋体" w:hAnsi="宋体" w:cs="宋体"/>
          <w:color w:val="auto"/>
          <w:sz w:val="24"/>
          <w:highlight w:val="none"/>
        </w:rPr>
      </w:pPr>
    </w:p>
    <w:p>
      <w:pPr>
        <w:pStyle w:val="2"/>
        <w:rPr>
          <w:rFonts w:hint="eastAsia" w:ascii="宋体" w:hAnsi="宋体" w:cs="宋体"/>
          <w:color w:val="auto"/>
          <w:highlight w:val="none"/>
        </w:rPr>
      </w:pPr>
    </w:p>
    <w:p>
      <w:pPr>
        <w:spacing w:line="360" w:lineRule="auto"/>
        <w:rPr>
          <w:rFonts w:hint="eastAsia" w:ascii="宋体" w:hAnsi="宋体" w:cs="宋体"/>
          <w:b/>
          <w:color w:val="auto"/>
          <w:sz w:val="24"/>
          <w:highlight w:val="none"/>
        </w:rPr>
      </w:pPr>
      <w:bookmarkStart w:id="886" w:name="_Toc13703"/>
      <w:bookmarkStart w:id="887" w:name="_Toc291759787"/>
      <w:bookmarkStart w:id="888" w:name="_Toc20416"/>
      <w:bookmarkStart w:id="889" w:name="_Toc13924"/>
      <w:bookmarkStart w:id="890" w:name="_Toc381360547"/>
      <w:r>
        <w:rPr>
          <w:rFonts w:hint="eastAsia" w:ascii="宋体" w:hAnsi="宋体" w:cs="宋体"/>
          <w:b/>
          <w:color w:val="auto"/>
          <w:kern w:val="0"/>
          <w:sz w:val="24"/>
          <w:highlight w:val="none"/>
        </w:rPr>
        <w:t>附表二：拟配备本工程的试验和检测仪器设备表</w:t>
      </w:r>
      <w:bookmarkEnd w:id="886"/>
      <w:bookmarkEnd w:id="887"/>
      <w:bookmarkEnd w:id="888"/>
      <w:bookmarkEnd w:id="889"/>
      <w:bookmarkEnd w:id="890"/>
    </w:p>
    <w:tbl>
      <w:tblPr>
        <w:tblStyle w:val="49"/>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013"/>
        <w:gridCol w:w="1016"/>
        <w:gridCol w:w="1016"/>
        <w:gridCol w:w="1016"/>
        <w:gridCol w:w="1212"/>
        <w:gridCol w:w="1204"/>
        <w:gridCol w:w="1204"/>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序号</w:t>
            </w:r>
          </w:p>
        </w:tc>
        <w:tc>
          <w:tcPr>
            <w:tcW w:w="1013"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仪器设备名称</w:t>
            </w:r>
          </w:p>
        </w:tc>
        <w:tc>
          <w:tcPr>
            <w:tcW w:w="1016"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型号</w:t>
            </w:r>
          </w:p>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规格</w:t>
            </w:r>
          </w:p>
        </w:tc>
        <w:tc>
          <w:tcPr>
            <w:tcW w:w="1016"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数量</w:t>
            </w:r>
          </w:p>
        </w:tc>
        <w:tc>
          <w:tcPr>
            <w:tcW w:w="1016"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国别</w:t>
            </w:r>
          </w:p>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产地</w:t>
            </w:r>
          </w:p>
        </w:tc>
        <w:tc>
          <w:tcPr>
            <w:tcW w:w="1212"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制造</w:t>
            </w:r>
          </w:p>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年份</w:t>
            </w:r>
          </w:p>
        </w:tc>
        <w:tc>
          <w:tcPr>
            <w:tcW w:w="1204"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已使用台时数</w:t>
            </w:r>
          </w:p>
        </w:tc>
        <w:tc>
          <w:tcPr>
            <w:tcW w:w="1204"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用途</w:t>
            </w:r>
          </w:p>
        </w:tc>
        <w:tc>
          <w:tcPr>
            <w:tcW w:w="1054" w:type="dxa"/>
            <w:noWrap w:val="0"/>
            <w:vAlign w:val="center"/>
          </w:tcPr>
          <w:p>
            <w:pPr>
              <w:autoSpaceDE w:val="0"/>
              <w:autoSpaceDN w:val="0"/>
              <w:adjustRightInd w:val="0"/>
              <w:snapToGrid w:val="0"/>
              <w:spacing w:line="360" w:lineRule="auto"/>
              <w:jc w:val="left"/>
              <w:rPr>
                <w:rFonts w:hint="eastAsia" w:ascii="宋体" w:hAnsi="宋体" w:cs="宋体"/>
                <w:color w:val="auto"/>
                <w:kern w:val="0"/>
                <w:sz w:val="22"/>
                <w:highlight w:val="none"/>
              </w:rPr>
            </w:pPr>
            <w:r>
              <w:rPr>
                <w:rFonts w:hint="eastAsia" w:ascii="宋体" w:hAnsi="宋体" w:cs="宋体"/>
                <w:color w:val="auto"/>
                <w:kern w:val="0"/>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tcBorders>
              <w:bottom w:val="single" w:color="auto" w:sz="4" w:space="0"/>
            </w:tcBorders>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tcBorders>
              <w:bottom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tcBorders>
              <w:top w:val="single" w:color="auto" w:sz="4" w:space="0"/>
              <w:left w:val="single" w:color="auto" w:sz="4" w:space="0"/>
              <w:bottom w:val="single" w:color="auto" w:sz="4" w:space="0"/>
              <w:right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tcBorders>
              <w:top w:val="single" w:color="auto" w:sz="4" w:space="0"/>
            </w:tcBorders>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tcBorders>
              <w:top w:val="single" w:color="auto" w:sz="4" w:space="0"/>
            </w:tcBorders>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bookmarkStart w:id="891" w:name="_Toc381360548"/>
            <w:bookmarkStart w:id="892" w:name="_Toc291759788"/>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13"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p>
        </w:tc>
        <w:tc>
          <w:tcPr>
            <w:tcW w:w="101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1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1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20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5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bl>
    <w:p>
      <w:pPr>
        <w:spacing w:line="360" w:lineRule="auto"/>
        <w:rPr>
          <w:rFonts w:hint="eastAsia" w:ascii="宋体" w:hAnsi="宋体" w:cs="宋体"/>
          <w:color w:val="auto"/>
          <w:highlight w:val="none"/>
        </w:rPr>
      </w:pPr>
      <w:bookmarkStart w:id="893" w:name="_Toc7121"/>
    </w:p>
    <w:p>
      <w:pPr>
        <w:spacing w:line="360" w:lineRule="auto"/>
        <w:rPr>
          <w:rFonts w:hint="eastAsia" w:ascii="宋体" w:hAnsi="宋体" w:cs="宋体"/>
          <w:color w:val="auto"/>
          <w:highlight w:val="none"/>
        </w:rPr>
      </w:pPr>
    </w:p>
    <w:p>
      <w:pPr>
        <w:pStyle w:val="2"/>
        <w:rPr>
          <w:rFonts w:hint="eastAsia" w:ascii="宋体" w:hAnsi="宋体" w:cs="宋体"/>
          <w:color w:val="auto"/>
          <w:highlight w:val="none"/>
        </w:rPr>
      </w:pPr>
    </w:p>
    <w:p>
      <w:pPr>
        <w:spacing w:line="360" w:lineRule="auto"/>
        <w:rPr>
          <w:rFonts w:hint="eastAsia" w:ascii="宋体" w:hAnsi="宋体" w:cs="宋体"/>
          <w:b/>
          <w:color w:val="auto"/>
          <w:kern w:val="0"/>
          <w:sz w:val="24"/>
          <w:highlight w:val="none"/>
        </w:rPr>
      </w:pPr>
      <w:bookmarkStart w:id="894" w:name="_Toc32089"/>
      <w:bookmarkStart w:id="895" w:name="_Toc12003"/>
      <w:r>
        <w:rPr>
          <w:rFonts w:hint="eastAsia" w:ascii="宋体" w:hAnsi="宋体" w:cs="宋体"/>
          <w:b/>
          <w:color w:val="auto"/>
          <w:kern w:val="0"/>
          <w:sz w:val="24"/>
          <w:highlight w:val="none"/>
        </w:rPr>
        <w:t>附表三：劳动力计划表</w:t>
      </w:r>
      <w:bookmarkEnd w:id="891"/>
      <w:bookmarkEnd w:id="892"/>
      <w:bookmarkEnd w:id="893"/>
      <w:bookmarkEnd w:id="894"/>
      <w:bookmarkEnd w:id="895"/>
    </w:p>
    <w:p>
      <w:pPr>
        <w:tabs>
          <w:tab w:val="left" w:pos="3560"/>
        </w:tabs>
        <w:adjustRightInd w:val="0"/>
        <w:snapToGrid w:val="0"/>
        <w:spacing w:line="360" w:lineRule="auto"/>
        <w:ind w:firstLine="489" w:firstLineChars="204"/>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单位：人</w:t>
      </w:r>
    </w:p>
    <w:tbl>
      <w:tblPr>
        <w:tblStyle w:val="49"/>
        <w:tblW w:w="8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093"/>
        <w:gridCol w:w="1092"/>
        <w:gridCol w:w="1093"/>
        <w:gridCol w:w="1093"/>
        <w:gridCol w:w="1093"/>
        <w:gridCol w:w="1093"/>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r>
              <w:rPr>
                <w:rFonts w:hint="eastAsia" w:ascii="宋体" w:hAnsi="宋体" w:cs="宋体"/>
                <w:color w:val="auto"/>
                <w:sz w:val="22"/>
                <w:highlight w:val="none"/>
              </w:rPr>
              <w:t>工种</w:t>
            </w:r>
          </w:p>
        </w:tc>
        <w:tc>
          <w:tcPr>
            <w:tcW w:w="7653" w:type="dxa"/>
            <w:gridSpan w:val="7"/>
            <w:noWrap w:val="0"/>
            <w:vAlign w:val="center"/>
          </w:tcPr>
          <w:p>
            <w:pPr>
              <w:tabs>
                <w:tab w:val="left" w:pos="3560"/>
              </w:tabs>
              <w:adjustRightInd w:val="0"/>
              <w:snapToGrid w:val="0"/>
              <w:spacing w:line="360" w:lineRule="auto"/>
              <w:jc w:val="both"/>
              <w:rPr>
                <w:rFonts w:hint="eastAsia" w:ascii="宋体" w:hAnsi="宋体" w:cs="宋体"/>
                <w:color w:val="auto"/>
                <w:sz w:val="22"/>
                <w:highlight w:val="none"/>
              </w:rPr>
            </w:pPr>
            <w:r>
              <w:rPr>
                <w:rFonts w:hint="eastAsia" w:ascii="宋体" w:hAnsi="宋体" w:cs="宋体"/>
                <w:color w:val="auto"/>
                <w:kern w:val="0"/>
                <w:sz w:val="22"/>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11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2"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3"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09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bl>
    <w:p>
      <w:pPr>
        <w:tabs>
          <w:tab w:val="left" w:pos="3560"/>
        </w:tabs>
        <w:adjustRightInd w:val="0"/>
        <w:snapToGrid w:val="0"/>
        <w:spacing w:line="360" w:lineRule="auto"/>
        <w:rPr>
          <w:rFonts w:hint="eastAsia" w:ascii="宋体" w:hAnsi="宋体" w:cs="宋体"/>
          <w:color w:val="auto"/>
          <w:sz w:val="24"/>
          <w:highlight w:val="none"/>
        </w:rPr>
      </w:pPr>
    </w:p>
    <w:p>
      <w:pPr>
        <w:tabs>
          <w:tab w:val="left" w:pos="3560"/>
        </w:tabs>
        <w:adjustRightInd w:val="0"/>
        <w:snapToGrid w:val="0"/>
        <w:spacing w:line="360" w:lineRule="auto"/>
        <w:rPr>
          <w:rFonts w:hint="eastAsia" w:ascii="宋体" w:hAnsi="宋体" w:cs="宋体"/>
          <w:color w:val="auto"/>
          <w:sz w:val="24"/>
          <w:highlight w:val="none"/>
        </w:rPr>
      </w:pPr>
    </w:p>
    <w:p>
      <w:pPr>
        <w:pStyle w:val="2"/>
        <w:rPr>
          <w:rFonts w:hint="eastAsia" w:ascii="宋体" w:hAnsi="宋体" w:cs="宋体"/>
          <w:color w:val="auto"/>
          <w:highlight w:val="none"/>
        </w:rPr>
      </w:pPr>
    </w:p>
    <w:p>
      <w:pPr>
        <w:spacing w:line="360" w:lineRule="auto"/>
        <w:rPr>
          <w:rFonts w:hint="eastAsia" w:ascii="宋体" w:hAnsi="宋体" w:cs="宋体"/>
          <w:b/>
          <w:color w:val="auto"/>
          <w:kern w:val="0"/>
          <w:sz w:val="24"/>
          <w:highlight w:val="none"/>
        </w:rPr>
      </w:pPr>
      <w:bookmarkStart w:id="896" w:name="_Toc381360550"/>
      <w:bookmarkStart w:id="897" w:name="_Toc2380"/>
      <w:bookmarkStart w:id="898" w:name="_Toc3056"/>
      <w:bookmarkStart w:id="899" w:name="_Toc291759790"/>
      <w:bookmarkStart w:id="900" w:name="_Toc4277"/>
      <w:r>
        <w:rPr>
          <w:rFonts w:hint="eastAsia" w:ascii="宋体" w:hAnsi="宋体" w:cs="宋体"/>
          <w:b/>
          <w:color w:val="auto"/>
          <w:kern w:val="0"/>
          <w:sz w:val="24"/>
          <w:highlight w:val="none"/>
        </w:rPr>
        <w:t>附表四：</w:t>
      </w:r>
      <w:bookmarkEnd w:id="896"/>
      <w:bookmarkEnd w:id="897"/>
      <w:bookmarkEnd w:id="898"/>
      <w:bookmarkEnd w:id="899"/>
      <w:bookmarkEnd w:id="900"/>
      <w:r>
        <w:rPr>
          <w:rFonts w:hint="eastAsia" w:ascii="宋体" w:hAnsi="宋体" w:cs="宋体"/>
          <w:b/>
          <w:color w:val="auto"/>
          <w:kern w:val="0"/>
          <w:sz w:val="24"/>
          <w:highlight w:val="none"/>
        </w:rPr>
        <w:t>计划开、竣工日期和施工进度网络图</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1．投标人应递交施工进度网络图或施工进度表，说明按招标文件要求的计划工期进行施工的各个关键日期。</w:t>
      </w:r>
    </w:p>
    <w:p>
      <w:pPr>
        <w:spacing w:line="360" w:lineRule="auto"/>
        <w:ind w:firstLine="444" w:firstLineChars="202"/>
        <w:rPr>
          <w:rFonts w:hint="eastAsia" w:ascii="宋体" w:hAnsi="宋体" w:cs="宋体"/>
          <w:color w:val="auto"/>
          <w:sz w:val="22"/>
          <w:szCs w:val="22"/>
          <w:highlight w:val="none"/>
        </w:rPr>
      </w:pPr>
      <w:r>
        <w:rPr>
          <w:rFonts w:hint="eastAsia" w:ascii="宋体" w:hAnsi="宋体" w:cs="宋体"/>
          <w:color w:val="auto"/>
          <w:sz w:val="22"/>
          <w:szCs w:val="22"/>
          <w:highlight w:val="none"/>
        </w:rPr>
        <w:t>2．施工进度表可采用网络图和（或）横道图表示。</w:t>
      </w:r>
    </w:p>
    <w:p>
      <w:pPr>
        <w:spacing w:line="360" w:lineRule="auto"/>
        <w:rPr>
          <w:rFonts w:hint="eastAsia" w:ascii="宋体" w:hAnsi="宋体" w:cs="宋体"/>
          <w:b/>
          <w:color w:val="auto"/>
          <w:kern w:val="0"/>
          <w:sz w:val="24"/>
          <w:highlight w:val="none"/>
        </w:rPr>
      </w:pPr>
      <w:bookmarkStart w:id="901" w:name="_Toc1527"/>
      <w:bookmarkStart w:id="902" w:name="_Toc14530"/>
    </w:p>
    <w:p>
      <w:pPr>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附表五：施工总平面布置图</w:t>
      </w:r>
      <w:bookmarkEnd w:id="901"/>
      <w:bookmarkEnd w:id="902"/>
    </w:p>
    <w:p>
      <w:pPr>
        <w:autoSpaceDE w:val="0"/>
        <w:autoSpaceDN w:val="0"/>
        <w:adjustRightInd w:val="0"/>
        <w:snapToGrid w:val="0"/>
        <w:spacing w:line="360" w:lineRule="auto"/>
        <w:ind w:firstLine="448" w:firstLineChars="204"/>
        <w:jc w:val="left"/>
        <w:rPr>
          <w:rFonts w:hint="eastAsia" w:ascii="宋体" w:hAnsi="宋体" w:cs="宋体"/>
          <w:color w:val="auto"/>
          <w:kern w:val="0"/>
          <w:sz w:val="22"/>
          <w:highlight w:val="none"/>
        </w:rPr>
      </w:pPr>
      <w:r>
        <w:rPr>
          <w:rFonts w:hint="eastAsia" w:ascii="宋体" w:hAnsi="宋体" w:cs="宋体"/>
          <w:color w:val="auto"/>
          <w:kern w:val="0"/>
          <w:sz w:val="22"/>
          <w:highlight w:val="none"/>
        </w:rPr>
        <w:t>投标人应递交一份施工总平面图，绘出现场临时设施布置图表并附文字说明，说明临时设施、加工车间、现场办公、设备及仓储、供电、供水、卫生、生活、道路、消防等设施的情况和布置。</w:t>
      </w:r>
      <w:bookmarkStart w:id="903" w:name="_Toc381360551"/>
      <w:bookmarkStart w:id="904" w:name="_Toc291759791"/>
      <w:bookmarkStart w:id="905" w:name="_Toc21908"/>
    </w:p>
    <w:p>
      <w:pPr>
        <w:spacing w:line="360" w:lineRule="auto"/>
        <w:rPr>
          <w:rFonts w:hint="eastAsia" w:ascii="宋体" w:hAnsi="宋体" w:cs="宋体"/>
          <w:b/>
          <w:color w:val="auto"/>
          <w:sz w:val="24"/>
          <w:highlight w:val="none"/>
        </w:rPr>
      </w:pPr>
      <w:bookmarkStart w:id="906" w:name="_Toc29313"/>
      <w:bookmarkStart w:id="907" w:name="_Toc30188"/>
    </w:p>
    <w:p>
      <w:pPr>
        <w:spacing w:line="360" w:lineRule="auto"/>
        <w:rPr>
          <w:rFonts w:hint="eastAsia" w:ascii="宋体" w:hAnsi="宋体" w:cs="宋体"/>
          <w:color w:val="auto"/>
          <w:highlight w:val="none"/>
        </w:rPr>
      </w:pPr>
      <w:r>
        <w:rPr>
          <w:rFonts w:hint="eastAsia" w:ascii="宋体" w:hAnsi="宋体" w:cs="宋体"/>
          <w:b/>
          <w:color w:val="auto"/>
          <w:sz w:val="24"/>
          <w:highlight w:val="none"/>
        </w:rPr>
        <w:t>附表六：临时用地表</w:t>
      </w:r>
      <w:bookmarkEnd w:id="903"/>
      <w:bookmarkEnd w:id="904"/>
      <w:bookmarkEnd w:id="905"/>
      <w:bookmarkEnd w:id="906"/>
      <w:bookmarkEnd w:id="907"/>
    </w:p>
    <w:tbl>
      <w:tblPr>
        <w:tblStyle w:val="49"/>
        <w:tblpPr w:leftFromText="180" w:rightFromText="180" w:vertAnchor="text" w:horzAnchor="page" w:tblpX="1468" w:tblpY="397"/>
        <w:tblOverlap w:val="never"/>
        <w:tblW w:w="9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6"/>
        <w:gridCol w:w="2544"/>
        <w:gridCol w:w="2281"/>
        <w:gridCol w:w="1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536" w:type="dxa"/>
            <w:noWrap w:val="0"/>
            <w:vAlign w:val="center"/>
          </w:tcPr>
          <w:p>
            <w:pPr>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用途</w:t>
            </w:r>
          </w:p>
        </w:tc>
        <w:tc>
          <w:tcPr>
            <w:tcW w:w="2544" w:type="dxa"/>
            <w:noWrap w:val="0"/>
            <w:vAlign w:val="center"/>
          </w:tcPr>
          <w:p>
            <w:pPr>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面 积（平方米）</w:t>
            </w:r>
          </w:p>
        </w:tc>
        <w:tc>
          <w:tcPr>
            <w:tcW w:w="2281" w:type="dxa"/>
            <w:noWrap w:val="0"/>
            <w:vAlign w:val="center"/>
          </w:tcPr>
          <w:p>
            <w:pPr>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位 置</w:t>
            </w:r>
          </w:p>
        </w:tc>
        <w:tc>
          <w:tcPr>
            <w:tcW w:w="1997" w:type="dxa"/>
            <w:noWrap w:val="0"/>
            <w:vAlign w:val="center"/>
          </w:tcPr>
          <w:p>
            <w:pPr>
              <w:adjustRightInd w:val="0"/>
              <w:snapToGrid w:val="0"/>
              <w:spacing w:line="360" w:lineRule="auto"/>
              <w:jc w:val="both"/>
              <w:rPr>
                <w:rFonts w:hint="eastAsia" w:ascii="宋体" w:hAnsi="宋体" w:cs="宋体"/>
                <w:color w:val="auto"/>
                <w:kern w:val="0"/>
                <w:sz w:val="22"/>
                <w:highlight w:val="none"/>
              </w:rPr>
            </w:pPr>
            <w:r>
              <w:rPr>
                <w:rFonts w:hint="eastAsia" w:ascii="宋体" w:hAnsi="宋体" w:cs="宋体"/>
                <w:color w:val="auto"/>
                <w:kern w:val="0"/>
                <w:sz w:val="22"/>
                <w:highlight w:val="none"/>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5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54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28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99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5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54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28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99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5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54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28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99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5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54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28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99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536"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544"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2281"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c>
          <w:tcPr>
            <w:tcW w:w="1997" w:type="dxa"/>
            <w:noWrap w:val="0"/>
            <w:vAlign w:val="center"/>
          </w:tcPr>
          <w:p>
            <w:pPr>
              <w:tabs>
                <w:tab w:val="left" w:pos="3560"/>
              </w:tabs>
              <w:adjustRightInd w:val="0"/>
              <w:snapToGrid w:val="0"/>
              <w:spacing w:line="360" w:lineRule="auto"/>
              <w:ind w:firstLine="448" w:firstLineChars="204"/>
              <w:jc w:val="both"/>
              <w:rPr>
                <w:rFonts w:hint="eastAsia" w:ascii="宋体" w:hAnsi="宋体" w:cs="宋体"/>
                <w:color w:val="auto"/>
                <w:sz w:val="22"/>
                <w:highlight w:val="none"/>
              </w:rPr>
            </w:pPr>
          </w:p>
        </w:tc>
      </w:tr>
    </w:tbl>
    <w:p>
      <w:pPr>
        <w:rPr>
          <w:rFonts w:hint="eastAsia" w:ascii="宋体" w:hAnsi="宋体" w:cs="宋体"/>
          <w:b/>
          <w:bCs/>
          <w:color w:val="auto"/>
          <w:sz w:val="28"/>
          <w:szCs w:val="28"/>
          <w:highlight w:val="none"/>
        </w:rPr>
      </w:pPr>
    </w:p>
    <w:p>
      <w:pPr>
        <w:rPr>
          <w:rFonts w:hint="eastAsia" w:ascii="宋体" w:hAnsi="宋体" w:cs="宋体"/>
          <w:b/>
          <w:bCs/>
          <w:color w:val="auto"/>
          <w:sz w:val="28"/>
          <w:szCs w:val="28"/>
          <w:highlight w:val="none"/>
        </w:rPr>
      </w:pPr>
    </w:p>
    <w:p>
      <w:pPr>
        <w:tabs>
          <w:tab w:val="left" w:pos="615"/>
          <w:tab w:val="left" w:pos="1544"/>
        </w:tabs>
        <w:spacing w:line="360" w:lineRule="auto"/>
        <w:rPr>
          <w:rFonts w:hint="eastAsia" w:ascii="宋体" w:hAnsi="宋体" w:cs="宋体"/>
          <w:color w:val="auto"/>
          <w:sz w:val="22"/>
          <w:highlight w:val="none"/>
        </w:rPr>
      </w:pPr>
    </w:p>
    <w:p>
      <w:pPr>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br w:type="page"/>
      </w:r>
    </w:p>
    <w:p>
      <w:pPr>
        <w:spacing w:line="360" w:lineRule="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附表七：施工组织设计(技术暗标部分)编制要求</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TimesNewRomanPSMT"/>
          <w:b w:val="0"/>
          <w:bCs w:val="0"/>
          <w:color w:val="auto"/>
          <w:kern w:val="0"/>
          <w:sz w:val="22"/>
          <w:szCs w:val="22"/>
          <w:highlight w:val="none"/>
          <w:lang w:val="en-US" w:eastAsia="zh-CN"/>
        </w:rPr>
      </w:pPr>
      <w:r>
        <w:rPr>
          <w:rFonts w:hint="eastAsia" w:ascii="宋体" w:hAnsi="宋体" w:cs="TimesNewRomanPSMT"/>
          <w:b w:val="0"/>
          <w:bCs w:val="0"/>
          <w:color w:val="auto"/>
          <w:kern w:val="0"/>
          <w:sz w:val="22"/>
          <w:szCs w:val="22"/>
          <w:highlight w:val="none"/>
          <w:lang w:val="en-US" w:eastAsia="zh-CN"/>
        </w:rPr>
        <w:t>（1）技术标暗标要求：施工组织设计采用暗标评审办法。评审前，电子评标系统对各投标单位的施工组织设计按规定格式进行编号，然后由评委逐一评审打分，评委打分结束后由电子评标系统再对号公布投标单位名称。</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TimesNewRomanPSMT"/>
          <w:b w:val="0"/>
          <w:bCs w:val="0"/>
          <w:color w:val="auto"/>
          <w:kern w:val="0"/>
          <w:sz w:val="22"/>
          <w:szCs w:val="22"/>
          <w:highlight w:val="none"/>
          <w:lang w:val="en-US" w:eastAsia="zh-CN"/>
        </w:rPr>
      </w:pPr>
      <w:r>
        <w:rPr>
          <w:rFonts w:hint="eastAsia" w:ascii="宋体" w:hAnsi="宋体" w:cs="TimesNewRomanPSMT"/>
          <w:b w:val="0"/>
          <w:bCs w:val="0"/>
          <w:color w:val="auto"/>
          <w:kern w:val="0"/>
          <w:sz w:val="22"/>
          <w:szCs w:val="22"/>
          <w:highlight w:val="none"/>
          <w:lang w:val="en-US" w:eastAsia="zh-CN"/>
        </w:rPr>
        <w:t xml:space="preserve">（2）技术标采用暗标格式、图表大小、字体要求：“暗标”应当以能够隐去投标人的身份为原则，未按要求编写施工组织设计的，该施工组织设计为零分。具体要求如下： </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1、编写软件及版本要求：Microsoft Word 2007或以上；</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2、任何情况下，技术暗标中不得出现任何涂改或删除痕迹；</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3、除满足上述各项要求外，构成投标文件的“技术暗标”的正文中均不得出现投标人的名称和其它可识别投标人身份的字符、徽标、人员名称以及其他特殊标记等。</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4、字体要求：宋体；上页边距：3厘米；下页边距：3厘米；左页边距：2厘米；右页边距：2厘米；对齐方式：左对齐；大纲级别：正文文本；行距：固定值25磅；段前：0行/0磅；段后：0行/0磅；正文纸张方向：纵向；正文字体要求：四号；纸张大小：A4；左侧缩进：0字符/0厘米；右侧缩进：0字符/0厘米；不得设置页码、页眉、页脚、目录。</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kern w:val="0"/>
          <w:sz w:val="22"/>
          <w:szCs w:val="22"/>
          <w:lang w:val="en-US" w:eastAsia="zh-CN" w:bidi="ar"/>
        </w:rPr>
      </w:pPr>
      <w:r>
        <w:rPr>
          <w:rFonts w:hint="eastAsia" w:ascii="宋体" w:hAnsi="宋体" w:eastAsia="宋体" w:cs="宋体"/>
          <w:color w:val="auto"/>
          <w:kern w:val="0"/>
          <w:sz w:val="22"/>
          <w:szCs w:val="22"/>
          <w:lang w:val="en-US" w:eastAsia="zh-CN" w:bidi="ar"/>
        </w:rPr>
        <w:t>5、技术标文件、内容、文字、标设图形均不得出现彩色文字；不得出现投标单位名称、相关人员姓名等能体现有关投标单位信息的提示性标记、文字、语句等。</w:t>
      </w:r>
    </w:p>
    <w:p>
      <w:pPr>
        <w:rPr>
          <w:rFonts w:hint="eastAsia" w:ascii="宋体" w:hAnsi="宋体" w:cs="宋体"/>
          <w:b/>
          <w:bCs/>
          <w:color w:val="auto"/>
          <w:sz w:val="28"/>
          <w:szCs w:val="28"/>
          <w:highlight w:val="none"/>
        </w:rPr>
      </w:pPr>
      <w:r>
        <w:drawing>
          <wp:inline distT="0" distB="0" distL="114300" distR="114300">
            <wp:extent cx="5950585" cy="3338830"/>
            <wp:effectExtent l="0" t="0" r="1206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950585" cy="3338830"/>
                    </a:xfrm>
                    <a:prstGeom prst="rect">
                      <a:avLst/>
                    </a:prstGeom>
                    <a:noFill/>
                    <a:ln>
                      <a:noFill/>
                    </a:ln>
                  </pic:spPr>
                </pic:pic>
              </a:graphicData>
            </a:graphic>
          </wp:inline>
        </w:drawing>
      </w:r>
    </w:p>
    <w:p>
      <w:pPr>
        <w:rPr>
          <w:rFonts w:hint="eastAsia" w:ascii="宋体" w:hAnsi="宋体" w:cs="宋体"/>
          <w:b/>
          <w:bCs/>
          <w:color w:val="auto"/>
          <w:sz w:val="28"/>
          <w:szCs w:val="28"/>
          <w:highlight w:val="none"/>
        </w:rPr>
      </w:pPr>
    </w:p>
    <w:bookmarkEnd w:id="874"/>
    <w:bookmarkEnd w:id="876"/>
    <w:bookmarkEnd w:id="877"/>
    <w:p>
      <w:pPr>
        <w:rPr>
          <w:rFonts w:hint="eastAsia"/>
        </w:rPr>
      </w:pPr>
      <w:bookmarkStart w:id="908" w:name="_Toc144974865"/>
      <w:bookmarkStart w:id="909" w:name="_Toc152042586"/>
      <w:bookmarkStart w:id="910" w:name="_Toc296602610"/>
      <w:bookmarkStart w:id="911" w:name="_Toc247085883"/>
      <w:bookmarkStart w:id="912" w:name="_Toc179632817"/>
      <w:bookmarkStart w:id="913" w:name="_Toc246997108"/>
      <w:bookmarkStart w:id="914" w:name="_Toc152045797"/>
      <w:bookmarkStart w:id="915" w:name="_Toc246996365"/>
    </w:p>
    <w:p>
      <w:pPr>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br w:type="page"/>
      </w:r>
    </w:p>
    <w:p>
      <w:pPr>
        <w:spacing w:line="540" w:lineRule="exact"/>
        <w:jc w:val="center"/>
        <w:outlineLvl w:val="1"/>
        <w:rPr>
          <w:rFonts w:hint="eastAsia" w:ascii="宋体" w:hAnsi="宋体" w:cs="宋体"/>
          <w:b/>
          <w:bCs/>
          <w:color w:val="auto"/>
          <w:sz w:val="28"/>
          <w:szCs w:val="28"/>
          <w:highlight w:val="none"/>
        </w:rPr>
      </w:pPr>
      <w:bookmarkStart w:id="916" w:name="_Toc296602614"/>
      <w:bookmarkStart w:id="917" w:name="_Toc144974871"/>
      <w:bookmarkStart w:id="918" w:name="_Toc247085887"/>
      <w:bookmarkStart w:id="919" w:name="_Toc26548"/>
      <w:bookmarkStart w:id="920" w:name="_Toc179632823"/>
      <w:bookmarkStart w:id="921" w:name="_Toc152045803"/>
      <w:bookmarkStart w:id="922" w:name="_Toc246996369"/>
      <w:bookmarkStart w:id="923" w:name="_Toc152042592"/>
      <w:bookmarkStart w:id="924" w:name="_Toc22226"/>
      <w:bookmarkStart w:id="925" w:name="_Toc246997112"/>
      <w:r>
        <w:rPr>
          <w:rFonts w:hint="eastAsia" w:ascii="宋体" w:hAnsi="宋体" w:cs="宋体"/>
          <w:b/>
          <w:bCs/>
          <w:color w:val="auto"/>
          <w:sz w:val="28"/>
          <w:szCs w:val="28"/>
          <w:highlight w:val="none"/>
          <w:lang w:eastAsia="zh-CN"/>
        </w:rPr>
        <w:t>七</w:t>
      </w:r>
      <w:r>
        <w:rPr>
          <w:rFonts w:hint="eastAsia" w:ascii="宋体" w:hAnsi="宋体" w:cs="宋体"/>
          <w:b/>
          <w:bCs/>
          <w:color w:val="auto"/>
          <w:sz w:val="28"/>
          <w:szCs w:val="28"/>
          <w:highlight w:val="none"/>
        </w:rPr>
        <w:t>、项目管理机构</w:t>
      </w:r>
      <w:bookmarkEnd w:id="916"/>
      <w:bookmarkEnd w:id="917"/>
      <w:bookmarkEnd w:id="918"/>
      <w:bookmarkEnd w:id="919"/>
      <w:bookmarkEnd w:id="920"/>
      <w:bookmarkEnd w:id="921"/>
      <w:bookmarkEnd w:id="922"/>
      <w:bookmarkEnd w:id="923"/>
      <w:bookmarkEnd w:id="924"/>
      <w:bookmarkEnd w:id="925"/>
    </w:p>
    <w:p>
      <w:pPr>
        <w:pStyle w:val="6"/>
        <w:spacing w:before="0" w:after="0"/>
        <w:jc w:val="center"/>
        <w:rPr>
          <w:rFonts w:hint="eastAsia" w:ascii="宋体" w:hAnsi="宋体" w:cs="宋体"/>
          <w:color w:val="auto"/>
          <w:sz w:val="28"/>
          <w:szCs w:val="28"/>
          <w:highlight w:val="none"/>
        </w:rPr>
      </w:pPr>
      <w:bookmarkStart w:id="926" w:name="_Toc179632824"/>
      <w:bookmarkStart w:id="927" w:name="_Toc152045804"/>
      <w:bookmarkStart w:id="928" w:name="_Toc23141"/>
      <w:bookmarkStart w:id="929" w:name="_Toc246997113"/>
      <w:bookmarkStart w:id="930" w:name="_Toc152042593"/>
      <w:bookmarkStart w:id="931" w:name="_Toc246996370"/>
      <w:bookmarkStart w:id="932" w:name="_Toc247085888"/>
      <w:bookmarkStart w:id="933" w:name="_Toc13930"/>
      <w:bookmarkStart w:id="934" w:name="_Toc296602615"/>
      <w:bookmarkStart w:id="935" w:name="_Toc144974872"/>
      <w:r>
        <w:rPr>
          <w:rFonts w:hint="eastAsia" w:ascii="宋体" w:hAnsi="宋体" w:cs="宋体"/>
          <w:color w:val="auto"/>
          <w:sz w:val="28"/>
          <w:szCs w:val="28"/>
          <w:highlight w:val="none"/>
        </w:rPr>
        <w:t>（一）项目管理机构组成表</w:t>
      </w:r>
      <w:bookmarkEnd w:id="926"/>
      <w:bookmarkEnd w:id="927"/>
      <w:bookmarkEnd w:id="928"/>
      <w:bookmarkEnd w:id="929"/>
      <w:bookmarkEnd w:id="930"/>
      <w:bookmarkEnd w:id="931"/>
      <w:bookmarkEnd w:id="932"/>
      <w:bookmarkEnd w:id="933"/>
      <w:bookmarkEnd w:id="934"/>
      <w:bookmarkEnd w:id="935"/>
    </w:p>
    <w:tbl>
      <w:tblPr>
        <w:tblStyle w:val="49"/>
        <w:tblW w:w="9598"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796"/>
        <w:gridCol w:w="793"/>
        <w:gridCol w:w="1394"/>
        <w:gridCol w:w="766"/>
        <w:gridCol w:w="870"/>
        <w:gridCol w:w="848"/>
        <w:gridCol w:w="2485"/>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904" w:type="dxa"/>
            <w:vMerge w:val="restart"/>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职务</w:t>
            </w:r>
          </w:p>
        </w:tc>
        <w:tc>
          <w:tcPr>
            <w:tcW w:w="796" w:type="dxa"/>
            <w:vMerge w:val="restart"/>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姓名</w:t>
            </w:r>
          </w:p>
        </w:tc>
        <w:tc>
          <w:tcPr>
            <w:tcW w:w="793" w:type="dxa"/>
            <w:vMerge w:val="restart"/>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职称</w:t>
            </w:r>
          </w:p>
        </w:tc>
        <w:tc>
          <w:tcPr>
            <w:tcW w:w="6363" w:type="dxa"/>
            <w:gridSpan w:val="5"/>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执业或职业资格证明</w:t>
            </w:r>
          </w:p>
        </w:tc>
        <w:tc>
          <w:tcPr>
            <w:tcW w:w="742" w:type="dxa"/>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904" w:type="dxa"/>
            <w:vMerge w:val="continue"/>
            <w:noWrap w:val="0"/>
            <w:vAlign w:val="center"/>
          </w:tcPr>
          <w:p>
            <w:pPr>
              <w:spacing w:line="440" w:lineRule="exact"/>
              <w:jc w:val="center"/>
              <w:rPr>
                <w:rFonts w:hint="eastAsia" w:ascii="宋体" w:hAnsi="宋体" w:cs="宋体"/>
                <w:color w:val="auto"/>
                <w:sz w:val="22"/>
                <w:szCs w:val="22"/>
                <w:highlight w:val="none"/>
              </w:rPr>
            </w:pPr>
          </w:p>
        </w:tc>
        <w:tc>
          <w:tcPr>
            <w:tcW w:w="796" w:type="dxa"/>
            <w:vMerge w:val="continue"/>
            <w:noWrap w:val="0"/>
            <w:vAlign w:val="center"/>
          </w:tcPr>
          <w:p>
            <w:pPr>
              <w:spacing w:line="440" w:lineRule="exact"/>
              <w:jc w:val="center"/>
              <w:rPr>
                <w:rFonts w:hint="eastAsia" w:ascii="宋体" w:hAnsi="宋体" w:cs="宋体"/>
                <w:color w:val="auto"/>
                <w:sz w:val="22"/>
                <w:szCs w:val="22"/>
                <w:highlight w:val="none"/>
              </w:rPr>
            </w:pPr>
          </w:p>
        </w:tc>
        <w:tc>
          <w:tcPr>
            <w:tcW w:w="793" w:type="dxa"/>
            <w:vMerge w:val="continue"/>
            <w:noWrap w:val="0"/>
            <w:vAlign w:val="center"/>
          </w:tcPr>
          <w:p>
            <w:pPr>
              <w:spacing w:line="440" w:lineRule="exact"/>
              <w:jc w:val="center"/>
              <w:rPr>
                <w:rFonts w:hint="eastAsia" w:ascii="宋体" w:hAnsi="宋体" w:cs="宋体"/>
                <w:color w:val="auto"/>
                <w:sz w:val="22"/>
                <w:szCs w:val="22"/>
                <w:highlight w:val="none"/>
              </w:rPr>
            </w:pPr>
          </w:p>
        </w:tc>
        <w:tc>
          <w:tcPr>
            <w:tcW w:w="1394" w:type="dxa"/>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证书名称</w:t>
            </w:r>
          </w:p>
        </w:tc>
        <w:tc>
          <w:tcPr>
            <w:tcW w:w="766" w:type="dxa"/>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级别</w:t>
            </w:r>
          </w:p>
        </w:tc>
        <w:tc>
          <w:tcPr>
            <w:tcW w:w="870" w:type="dxa"/>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证号</w:t>
            </w:r>
          </w:p>
        </w:tc>
        <w:tc>
          <w:tcPr>
            <w:tcW w:w="848" w:type="dxa"/>
            <w:noWrap w:val="0"/>
            <w:vAlign w:val="center"/>
          </w:tcPr>
          <w:p>
            <w:pPr>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专业</w:t>
            </w:r>
          </w:p>
        </w:tc>
        <w:tc>
          <w:tcPr>
            <w:tcW w:w="2485" w:type="dxa"/>
            <w:noWrap w:val="0"/>
            <w:vAlign w:val="center"/>
          </w:tcPr>
          <w:p>
            <w:pPr>
              <w:spacing w:line="44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社保</w:t>
            </w:r>
          </w:p>
        </w:tc>
        <w:tc>
          <w:tcPr>
            <w:tcW w:w="742" w:type="dxa"/>
            <w:noWrap w:val="0"/>
            <w:vAlign w:val="center"/>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center"/>
          </w:tcPr>
          <w:p>
            <w:pPr>
              <w:spacing w:line="440" w:lineRule="exact"/>
              <w:jc w:val="center"/>
              <w:rPr>
                <w:rFonts w:hint="eastAsia" w:ascii="宋体" w:hAnsi="宋体" w:cs="宋体"/>
                <w:color w:val="auto"/>
                <w:sz w:val="22"/>
                <w:szCs w:val="22"/>
                <w:highlight w:val="none"/>
              </w:rPr>
            </w:pPr>
          </w:p>
        </w:tc>
        <w:tc>
          <w:tcPr>
            <w:tcW w:w="796" w:type="dxa"/>
            <w:noWrap w:val="0"/>
            <w:vAlign w:val="center"/>
          </w:tcPr>
          <w:p>
            <w:pPr>
              <w:spacing w:line="440" w:lineRule="exact"/>
              <w:jc w:val="center"/>
              <w:rPr>
                <w:rFonts w:hint="eastAsia" w:ascii="宋体" w:hAnsi="宋体" w:cs="宋体"/>
                <w:color w:val="auto"/>
                <w:sz w:val="22"/>
                <w:szCs w:val="22"/>
                <w:highlight w:val="none"/>
              </w:rPr>
            </w:pPr>
          </w:p>
        </w:tc>
        <w:tc>
          <w:tcPr>
            <w:tcW w:w="793" w:type="dxa"/>
            <w:noWrap w:val="0"/>
            <w:vAlign w:val="center"/>
          </w:tcPr>
          <w:p>
            <w:pPr>
              <w:spacing w:line="440" w:lineRule="exact"/>
              <w:jc w:val="center"/>
              <w:rPr>
                <w:rFonts w:hint="eastAsia" w:ascii="宋体" w:hAnsi="宋体" w:cs="宋体"/>
                <w:color w:val="auto"/>
                <w:sz w:val="22"/>
                <w:szCs w:val="22"/>
                <w:highlight w:val="none"/>
              </w:rPr>
            </w:pPr>
          </w:p>
        </w:tc>
        <w:tc>
          <w:tcPr>
            <w:tcW w:w="1394" w:type="dxa"/>
            <w:noWrap w:val="0"/>
            <w:vAlign w:val="center"/>
          </w:tcPr>
          <w:p>
            <w:pPr>
              <w:spacing w:line="440" w:lineRule="exact"/>
              <w:jc w:val="center"/>
              <w:rPr>
                <w:rFonts w:hint="eastAsia" w:ascii="宋体" w:hAnsi="宋体" w:cs="宋体"/>
                <w:color w:val="auto"/>
                <w:sz w:val="22"/>
                <w:szCs w:val="22"/>
                <w:highlight w:val="none"/>
              </w:rPr>
            </w:pPr>
          </w:p>
        </w:tc>
        <w:tc>
          <w:tcPr>
            <w:tcW w:w="766" w:type="dxa"/>
            <w:noWrap w:val="0"/>
            <w:vAlign w:val="center"/>
          </w:tcPr>
          <w:p>
            <w:pPr>
              <w:spacing w:line="440" w:lineRule="exact"/>
              <w:jc w:val="center"/>
              <w:rPr>
                <w:rFonts w:hint="eastAsia" w:ascii="宋体" w:hAnsi="宋体" w:cs="宋体"/>
                <w:color w:val="auto"/>
                <w:sz w:val="22"/>
                <w:szCs w:val="22"/>
                <w:highlight w:val="none"/>
              </w:rPr>
            </w:pPr>
          </w:p>
        </w:tc>
        <w:tc>
          <w:tcPr>
            <w:tcW w:w="870" w:type="dxa"/>
            <w:noWrap w:val="0"/>
            <w:vAlign w:val="center"/>
          </w:tcPr>
          <w:p>
            <w:pPr>
              <w:spacing w:line="440" w:lineRule="exact"/>
              <w:jc w:val="center"/>
              <w:rPr>
                <w:rFonts w:hint="eastAsia" w:ascii="宋体" w:hAnsi="宋体" w:cs="宋体"/>
                <w:color w:val="auto"/>
                <w:sz w:val="22"/>
                <w:szCs w:val="22"/>
                <w:highlight w:val="none"/>
              </w:rPr>
            </w:pPr>
          </w:p>
        </w:tc>
        <w:tc>
          <w:tcPr>
            <w:tcW w:w="848" w:type="dxa"/>
            <w:noWrap w:val="0"/>
            <w:vAlign w:val="center"/>
          </w:tcPr>
          <w:p>
            <w:pPr>
              <w:spacing w:line="440" w:lineRule="exact"/>
              <w:jc w:val="center"/>
              <w:rPr>
                <w:rFonts w:hint="eastAsia" w:ascii="宋体" w:hAnsi="宋体" w:cs="宋体"/>
                <w:color w:val="auto"/>
                <w:sz w:val="22"/>
                <w:szCs w:val="22"/>
                <w:highlight w:val="none"/>
              </w:rPr>
            </w:pPr>
          </w:p>
        </w:tc>
        <w:tc>
          <w:tcPr>
            <w:tcW w:w="2485" w:type="dxa"/>
            <w:noWrap w:val="0"/>
            <w:vAlign w:val="center"/>
          </w:tcPr>
          <w:p>
            <w:pPr>
              <w:spacing w:line="440" w:lineRule="exact"/>
              <w:jc w:val="center"/>
              <w:rPr>
                <w:rFonts w:hint="eastAsia" w:ascii="宋体" w:hAnsi="宋体" w:cs="宋体"/>
                <w:color w:val="auto"/>
                <w:sz w:val="22"/>
                <w:szCs w:val="22"/>
                <w:highlight w:val="none"/>
              </w:rPr>
            </w:pPr>
          </w:p>
        </w:tc>
        <w:tc>
          <w:tcPr>
            <w:tcW w:w="742" w:type="dxa"/>
            <w:noWrap w:val="0"/>
            <w:vAlign w:val="center"/>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noWrap w:val="0"/>
            <w:vAlign w:val="top"/>
          </w:tcPr>
          <w:p>
            <w:pPr>
              <w:spacing w:line="440" w:lineRule="exact"/>
              <w:jc w:val="center"/>
              <w:rPr>
                <w:rFonts w:hint="eastAsia" w:ascii="宋体" w:hAnsi="宋体" w:cs="宋体"/>
                <w:color w:val="auto"/>
                <w:sz w:val="22"/>
                <w:szCs w:val="22"/>
                <w:highlight w:val="none"/>
              </w:rPr>
            </w:pPr>
          </w:p>
        </w:tc>
        <w:tc>
          <w:tcPr>
            <w:tcW w:w="796" w:type="dxa"/>
            <w:noWrap w:val="0"/>
            <w:vAlign w:val="top"/>
          </w:tcPr>
          <w:p>
            <w:pPr>
              <w:spacing w:line="440" w:lineRule="exact"/>
              <w:jc w:val="center"/>
              <w:rPr>
                <w:rFonts w:hint="eastAsia" w:ascii="宋体" w:hAnsi="宋体" w:cs="宋体"/>
                <w:color w:val="auto"/>
                <w:sz w:val="22"/>
                <w:szCs w:val="22"/>
                <w:highlight w:val="none"/>
              </w:rPr>
            </w:pPr>
          </w:p>
        </w:tc>
        <w:tc>
          <w:tcPr>
            <w:tcW w:w="793" w:type="dxa"/>
            <w:noWrap w:val="0"/>
            <w:vAlign w:val="top"/>
          </w:tcPr>
          <w:p>
            <w:pPr>
              <w:spacing w:line="440" w:lineRule="exact"/>
              <w:jc w:val="center"/>
              <w:rPr>
                <w:rFonts w:hint="eastAsia" w:ascii="宋体" w:hAnsi="宋体" w:cs="宋体"/>
                <w:color w:val="auto"/>
                <w:sz w:val="22"/>
                <w:szCs w:val="22"/>
                <w:highlight w:val="none"/>
              </w:rPr>
            </w:pPr>
          </w:p>
        </w:tc>
        <w:tc>
          <w:tcPr>
            <w:tcW w:w="1394" w:type="dxa"/>
            <w:noWrap w:val="0"/>
            <w:vAlign w:val="top"/>
          </w:tcPr>
          <w:p>
            <w:pPr>
              <w:spacing w:line="440" w:lineRule="exact"/>
              <w:jc w:val="center"/>
              <w:rPr>
                <w:rFonts w:hint="eastAsia" w:ascii="宋体" w:hAnsi="宋体" w:cs="宋体"/>
                <w:color w:val="auto"/>
                <w:sz w:val="22"/>
                <w:szCs w:val="22"/>
                <w:highlight w:val="none"/>
              </w:rPr>
            </w:pPr>
          </w:p>
        </w:tc>
        <w:tc>
          <w:tcPr>
            <w:tcW w:w="766" w:type="dxa"/>
            <w:noWrap w:val="0"/>
            <w:vAlign w:val="top"/>
          </w:tcPr>
          <w:p>
            <w:pPr>
              <w:spacing w:line="440" w:lineRule="exact"/>
              <w:jc w:val="center"/>
              <w:rPr>
                <w:rFonts w:hint="eastAsia" w:ascii="宋体" w:hAnsi="宋体" w:cs="宋体"/>
                <w:color w:val="auto"/>
                <w:sz w:val="22"/>
                <w:szCs w:val="22"/>
                <w:highlight w:val="none"/>
              </w:rPr>
            </w:pPr>
          </w:p>
        </w:tc>
        <w:tc>
          <w:tcPr>
            <w:tcW w:w="870" w:type="dxa"/>
            <w:noWrap w:val="0"/>
            <w:vAlign w:val="top"/>
          </w:tcPr>
          <w:p>
            <w:pPr>
              <w:spacing w:line="440" w:lineRule="exact"/>
              <w:jc w:val="center"/>
              <w:rPr>
                <w:rFonts w:hint="eastAsia" w:ascii="宋体" w:hAnsi="宋体" w:cs="宋体"/>
                <w:color w:val="auto"/>
                <w:sz w:val="22"/>
                <w:szCs w:val="22"/>
                <w:highlight w:val="none"/>
              </w:rPr>
            </w:pPr>
          </w:p>
        </w:tc>
        <w:tc>
          <w:tcPr>
            <w:tcW w:w="848" w:type="dxa"/>
            <w:noWrap w:val="0"/>
            <w:vAlign w:val="top"/>
          </w:tcPr>
          <w:p>
            <w:pPr>
              <w:spacing w:line="440" w:lineRule="exact"/>
              <w:jc w:val="center"/>
              <w:rPr>
                <w:rFonts w:hint="eastAsia" w:ascii="宋体" w:hAnsi="宋体" w:cs="宋体"/>
                <w:color w:val="auto"/>
                <w:sz w:val="22"/>
                <w:szCs w:val="22"/>
                <w:highlight w:val="none"/>
              </w:rPr>
            </w:pPr>
          </w:p>
        </w:tc>
        <w:tc>
          <w:tcPr>
            <w:tcW w:w="2485" w:type="dxa"/>
            <w:noWrap w:val="0"/>
            <w:vAlign w:val="top"/>
          </w:tcPr>
          <w:p>
            <w:pPr>
              <w:spacing w:line="440" w:lineRule="exact"/>
              <w:jc w:val="center"/>
              <w:rPr>
                <w:rFonts w:hint="eastAsia" w:ascii="宋体" w:hAnsi="宋体" w:cs="宋体"/>
                <w:color w:val="auto"/>
                <w:sz w:val="22"/>
                <w:szCs w:val="22"/>
                <w:highlight w:val="none"/>
              </w:rPr>
            </w:pPr>
          </w:p>
        </w:tc>
        <w:tc>
          <w:tcPr>
            <w:tcW w:w="742" w:type="dxa"/>
            <w:noWrap w:val="0"/>
            <w:vAlign w:val="top"/>
          </w:tcPr>
          <w:p>
            <w:pPr>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0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93"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848"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c>
          <w:tcPr>
            <w:tcW w:w="742" w:type="dxa"/>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宋体" w:hAnsi="宋体" w:cs="宋体"/>
                <w:color w:val="auto"/>
                <w:szCs w:val="21"/>
                <w:highlight w:val="none"/>
              </w:rPr>
            </w:pPr>
          </w:p>
        </w:tc>
      </w:tr>
    </w:tbl>
    <w:p>
      <w:pPr>
        <w:topLinePunct/>
        <w:spacing w:line="440" w:lineRule="exact"/>
        <w:jc w:val="center"/>
        <w:rPr>
          <w:rFonts w:hint="eastAsia" w:ascii="宋体" w:hAnsi="宋体" w:cs="宋体"/>
          <w:color w:val="auto"/>
          <w:sz w:val="20"/>
          <w:highlight w:val="none"/>
        </w:rPr>
      </w:pPr>
    </w:p>
    <w:p>
      <w:pPr>
        <w:spacing w:before="312" w:beforeLines="100" w:after="156" w:afterLines="50"/>
        <w:jc w:val="center"/>
        <w:outlineLvl w:val="2"/>
        <w:rPr>
          <w:rFonts w:hint="eastAsia" w:ascii="宋体" w:hAnsi="宋体" w:cs="宋体"/>
          <w:b/>
          <w:bCs/>
          <w:color w:val="auto"/>
          <w:sz w:val="32"/>
          <w:szCs w:val="32"/>
          <w:highlight w:val="none"/>
        </w:rPr>
      </w:pPr>
      <w:r>
        <w:rPr>
          <w:rFonts w:hint="eastAsia" w:ascii="宋体" w:hAnsi="宋体" w:cs="宋体"/>
          <w:color w:val="auto"/>
          <w:sz w:val="20"/>
          <w:highlight w:val="none"/>
        </w:rPr>
        <w:br w:type="page"/>
      </w:r>
      <w:bookmarkStart w:id="936" w:name="_Toc12470"/>
      <w:bookmarkStart w:id="937" w:name="_Toc152042594"/>
      <w:bookmarkStart w:id="938" w:name="_Toc247085889"/>
      <w:bookmarkStart w:id="939" w:name="_Toc152045805"/>
      <w:bookmarkStart w:id="940" w:name="_Toc246996371"/>
      <w:bookmarkStart w:id="941" w:name="_Toc179632825"/>
      <w:bookmarkStart w:id="942" w:name="_Toc246997114"/>
      <w:bookmarkStart w:id="943" w:name="_Toc296602616"/>
      <w:bookmarkStart w:id="944" w:name="_Toc144974873"/>
      <w:r>
        <w:rPr>
          <w:rFonts w:hint="eastAsia" w:ascii="宋体" w:hAnsi="宋体" w:cs="宋体"/>
          <w:b/>
          <w:bCs/>
          <w:color w:val="auto"/>
          <w:sz w:val="28"/>
          <w:szCs w:val="28"/>
          <w:highlight w:val="none"/>
        </w:rPr>
        <w:t>（二）主要人员简历表</w:t>
      </w:r>
      <w:bookmarkEnd w:id="936"/>
    </w:p>
    <w:p>
      <w:pPr>
        <w:autoSpaceDE w:val="0"/>
        <w:autoSpaceDN w:val="0"/>
        <w:adjustRightInd w:val="0"/>
        <w:snapToGrid w:val="0"/>
        <w:spacing w:line="360" w:lineRule="auto"/>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eastAsia="zh-CN"/>
        </w:rPr>
        <w:t>附</w:t>
      </w: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项目经理简历表</w:t>
      </w:r>
    </w:p>
    <w:p>
      <w:pPr>
        <w:autoSpaceDE w:val="0"/>
        <w:autoSpaceDN w:val="0"/>
        <w:adjustRightInd w:val="0"/>
        <w:snapToGrid w:val="0"/>
        <w:spacing w:line="360" w:lineRule="auto"/>
        <w:ind w:firstLine="448" w:firstLineChars="204"/>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项目经理应附身份证、注册证、</w:t>
      </w:r>
      <w:r>
        <w:rPr>
          <w:rFonts w:hint="eastAsia" w:ascii="宋体" w:hAnsi="宋体" w:eastAsia="宋体" w:cs="宋体"/>
          <w:color w:val="auto"/>
          <w:kern w:val="0"/>
          <w:sz w:val="22"/>
          <w:szCs w:val="22"/>
          <w:highlight w:val="none"/>
          <w:lang w:eastAsia="zh-CN"/>
        </w:rPr>
        <w:t>劳动合同</w:t>
      </w:r>
      <w:r>
        <w:rPr>
          <w:rFonts w:hint="eastAsia" w:ascii="宋体" w:hAnsi="宋体" w:eastAsia="宋体" w:cs="宋体"/>
          <w:color w:val="auto"/>
          <w:kern w:val="0"/>
          <w:sz w:val="22"/>
          <w:szCs w:val="22"/>
          <w:highlight w:val="none"/>
        </w:rPr>
        <w:t>、社保证明，业绩须附</w:t>
      </w:r>
      <w:r>
        <w:rPr>
          <w:rFonts w:hint="eastAsia" w:ascii="宋体" w:hAnsi="宋体" w:eastAsia="宋体" w:cs="宋体"/>
          <w:color w:val="auto"/>
          <w:kern w:val="0"/>
          <w:sz w:val="22"/>
          <w:szCs w:val="22"/>
          <w:highlight w:val="none"/>
          <w:lang w:eastAsia="zh-CN"/>
        </w:rPr>
        <w:t>中标通知书、</w:t>
      </w:r>
      <w:r>
        <w:rPr>
          <w:rFonts w:hint="eastAsia" w:ascii="宋体" w:hAnsi="宋体" w:eastAsia="宋体" w:cs="宋体"/>
          <w:color w:val="auto"/>
          <w:kern w:val="0"/>
          <w:sz w:val="22"/>
          <w:szCs w:val="22"/>
          <w:highlight w:val="none"/>
        </w:rPr>
        <w:t>合同协议书复印件</w:t>
      </w:r>
      <w:r>
        <w:rPr>
          <w:rFonts w:hint="eastAsia" w:ascii="宋体" w:hAnsi="宋体" w:eastAsia="宋体" w:cs="宋体"/>
          <w:color w:val="auto"/>
          <w:kern w:val="0"/>
          <w:sz w:val="22"/>
          <w:szCs w:val="22"/>
          <w:highlight w:val="none"/>
          <w:lang w:eastAsia="zh-CN"/>
        </w:rPr>
        <w:t>，类似项目限于以项目经理身份参与的项目。</w:t>
      </w:r>
    </w:p>
    <w:tbl>
      <w:tblPr>
        <w:tblStyle w:val="49"/>
        <w:tblW w:w="87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367"/>
        <w:gridCol w:w="1681"/>
        <w:gridCol w:w="907"/>
        <w:gridCol w:w="775"/>
        <w:gridCol w:w="1078"/>
        <w:gridCol w:w="755"/>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69"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姓名</w:t>
            </w:r>
          </w:p>
        </w:tc>
        <w:tc>
          <w:tcPr>
            <w:tcW w:w="1681" w:type="dxa"/>
            <w:noWrap w:val="0"/>
            <w:vAlign w:val="top"/>
          </w:tcPr>
          <w:p>
            <w:pPr>
              <w:spacing w:line="360" w:lineRule="auto"/>
              <w:rPr>
                <w:rFonts w:hint="eastAsia" w:ascii="宋体" w:hAnsi="宋体" w:cs="宋体"/>
                <w:color w:val="auto"/>
                <w:sz w:val="22"/>
                <w:szCs w:val="22"/>
                <w:highlight w:val="none"/>
              </w:rPr>
            </w:pPr>
          </w:p>
        </w:tc>
        <w:tc>
          <w:tcPr>
            <w:tcW w:w="907"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年龄</w:t>
            </w:r>
          </w:p>
        </w:tc>
        <w:tc>
          <w:tcPr>
            <w:tcW w:w="775" w:type="dxa"/>
            <w:noWrap w:val="0"/>
            <w:vAlign w:val="top"/>
          </w:tcPr>
          <w:p>
            <w:pPr>
              <w:spacing w:line="360" w:lineRule="auto"/>
              <w:rPr>
                <w:rFonts w:hint="eastAsia" w:ascii="宋体" w:hAnsi="宋体" w:cs="宋体"/>
                <w:color w:val="auto"/>
                <w:sz w:val="22"/>
                <w:szCs w:val="22"/>
                <w:highlight w:val="none"/>
              </w:rPr>
            </w:pPr>
          </w:p>
        </w:tc>
        <w:tc>
          <w:tcPr>
            <w:tcW w:w="1833"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学  历</w:t>
            </w:r>
          </w:p>
        </w:tc>
        <w:tc>
          <w:tcPr>
            <w:tcW w:w="1849" w:type="dxa"/>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669"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职称</w:t>
            </w:r>
          </w:p>
        </w:tc>
        <w:tc>
          <w:tcPr>
            <w:tcW w:w="1681" w:type="dxa"/>
            <w:noWrap w:val="0"/>
            <w:vAlign w:val="top"/>
          </w:tcPr>
          <w:p>
            <w:pPr>
              <w:spacing w:line="360" w:lineRule="auto"/>
              <w:rPr>
                <w:rFonts w:hint="eastAsia" w:ascii="宋体" w:hAnsi="宋体" w:cs="宋体"/>
                <w:color w:val="auto"/>
                <w:sz w:val="22"/>
                <w:szCs w:val="22"/>
                <w:highlight w:val="none"/>
              </w:rPr>
            </w:pPr>
          </w:p>
        </w:tc>
        <w:tc>
          <w:tcPr>
            <w:tcW w:w="907"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职务</w:t>
            </w:r>
          </w:p>
        </w:tc>
        <w:tc>
          <w:tcPr>
            <w:tcW w:w="775" w:type="dxa"/>
            <w:noWrap w:val="0"/>
            <w:vAlign w:val="top"/>
          </w:tcPr>
          <w:p>
            <w:pPr>
              <w:spacing w:line="360" w:lineRule="auto"/>
              <w:rPr>
                <w:rFonts w:hint="eastAsia" w:ascii="宋体" w:hAnsi="宋体" w:cs="宋体"/>
                <w:color w:val="auto"/>
                <w:sz w:val="22"/>
                <w:szCs w:val="22"/>
                <w:highlight w:val="none"/>
              </w:rPr>
            </w:pPr>
          </w:p>
        </w:tc>
        <w:tc>
          <w:tcPr>
            <w:tcW w:w="1833"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拟在本合同任职</w:t>
            </w:r>
          </w:p>
        </w:tc>
        <w:tc>
          <w:tcPr>
            <w:tcW w:w="1849" w:type="dxa"/>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69"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毕业学校</w:t>
            </w:r>
          </w:p>
        </w:tc>
        <w:tc>
          <w:tcPr>
            <w:tcW w:w="7045" w:type="dxa"/>
            <w:gridSpan w:val="6"/>
            <w:noWrap w:val="0"/>
            <w:vAlign w:val="center"/>
          </w:tcPr>
          <w:p>
            <w:pPr>
              <w:spacing w:line="360" w:lineRule="auto"/>
              <w:ind w:firstLine="880" w:firstLineChars="400"/>
              <w:rPr>
                <w:rFonts w:hint="eastAsia" w:ascii="宋体" w:hAnsi="宋体" w:cs="宋体"/>
                <w:color w:val="auto"/>
                <w:sz w:val="22"/>
                <w:szCs w:val="22"/>
                <w:highlight w:val="none"/>
              </w:rPr>
            </w:pPr>
            <w:r>
              <w:rPr>
                <w:rFonts w:hint="eastAsia" w:ascii="宋体" w:hAnsi="宋体" w:cs="宋体"/>
                <w:color w:val="auto"/>
                <w:sz w:val="22"/>
                <w:szCs w:val="22"/>
                <w:highlight w:val="none"/>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14" w:type="dxa"/>
            <w:gridSpan w:val="8"/>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302" w:type="dxa"/>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时间</w:t>
            </w:r>
          </w:p>
        </w:tc>
        <w:tc>
          <w:tcPr>
            <w:tcW w:w="2955" w:type="dxa"/>
            <w:gridSpan w:val="3"/>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参加过的类似项目</w:t>
            </w:r>
          </w:p>
        </w:tc>
        <w:tc>
          <w:tcPr>
            <w:tcW w:w="1853"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担任职务</w:t>
            </w:r>
          </w:p>
        </w:tc>
        <w:tc>
          <w:tcPr>
            <w:tcW w:w="2604" w:type="dxa"/>
            <w:gridSpan w:val="2"/>
            <w:noWrap w:val="0"/>
            <w:vAlign w:val="center"/>
          </w:tcPr>
          <w:p>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02" w:type="dxa"/>
            <w:noWrap w:val="0"/>
            <w:vAlign w:val="top"/>
          </w:tcPr>
          <w:p>
            <w:pPr>
              <w:spacing w:line="360" w:lineRule="auto"/>
              <w:rPr>
                <w:rFonts w:hint="eastAsia" w:ascii="宋体" w:hAnsi="宋体" w:cs="宋体"/>
                <w:color w:val="auto"/>
                <w:sz w:val="22"/>
                <w:szCs w:val="22"/>
                <w:highlight w:val="none"/>
              </w:rPr>
            </w:pPr>
          </w:p>
        </w:tc>
        <w:tc>
          <w:tcPr>
            <w:tcW w:w="2955" w:type="dxa"/>
            <w:gridSpan w:val="3"/>
            <w:noWrap w:val="0"/>
            <w:vAlign w:val="top"/>
          </w:tcPr>
          <w:p>
            <w:pPr>
              <w:spacing w:line="360" w:lineRule="auto"/>
              <w:rPr>
                <w:rFonts w:hint="eastAsia" w:ascii="宋体" w:hAnsi="宋体" w:cs="宋体"/>
                <w:color w:val="auto"/>
                <w:sz w:val="22"/>
                <w:szCs w:val="22"/>
                <w:highlight w:val="none"/>
              </w:rPr>
            </w:pPr>
          </w:p>
        </w:tc>
        <w:tc>
          <w:tcPr>
            <w:tcW w:w="1853" w:type="dxa"/>
            <w:gridSpan w:val="2"/>
            <w:noWrap w:val="0"/>
            <w:vAlign w:val="top"/>
          </w:tcPr>
          <w:p>
            <w:pPr>
              <w:spacing w:line="360" w:lineRule="auto"/>
              <w:rPr>
                <w:rFonts w:hint="eastAsia" w:ascii="宋体" w:hAnsi="宋体" w:cs="宋体"/>
                <w:color w:val="auto"/>
                <w:sz w:val="22"/>
                <w:szCs w:val="22"/>
                <w:highlight w:val="none"/>
              </w:rPr>
            </w:pPr>
          </w:p>
        </w:tc>
        <w:tc>
          <w:tcPr>
            <w:tcW w:w="2604" w:type="dxa"/>
            <w:gridSpan w:val="2"/>
            <w:noWrap w:val="0"/>
            <w:vAlign w:val="top"/>
          </w:tcPr>
          <w:p>
            <w:pPr>
              <w:spacing w:line="360" w:lineRule="auto"/>
              <w:rPr>
                <w:rFonts w:hint="eastAsia" w:ascii="宋体" w:hAnsi="宋体" w:cs="宋体"/>
                <w:color w:val="auto"/>
                <w:sz w:val="22"/>
                <w:szCs w:val="22"/>
                <w:highlight w:val="none"/>
              </w:rPr>
            </w:pPr>
          </w:p>
        </w:tc>
      </w:tr>
    </w:tbl>
    <w:p>
      <w:pPr>
        <w:rPr>
          <w:rFonts w:hint="eastAsia" w:ascii="黑体" w:hAnsi="宋体" w:eastAsia="黑体"/>
          <w:szCs w:val="21"/>
        </w:rPr>
      </w:pPr>
      <w:r>
        <w:rPr>
          <w:rFonts w:hint="eastAsia" w:ascii="黑体" w:hAnsi="宋体" w:eastAsia="黑体"/>
          <w:szCs w:val="21"/>
        </w:rPr>
        <w:br w:type="page"/>
      </w:r>
    </w:p>
    <w:p>
      <w:pPr>
        <w:spacing w:line="360" w:lineRule="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附2：主要项目管理人员简历表</w:t>
      </w:r>
    </w:p>
    <w:p>
      <w:pPr>
        <w:spacing w:line="36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主要项目管理人员指技术负责人、专职安全生产管理人员等岗位人员。</w:t>
      </w:r>
    </w:p>
    <w:p>
      <w:pPr>
        <w:spacing w:line="36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技术负责人应附职称证、身份证</w:t>
      </w:r>
      <w:r>
        <w:rPr>
          <w:rFonts w:hint="eastAsia" w:ascii="宋体" w:hAnsi="宋体" w:eastAsia="宋体" w:cs="宋体"/>
          <w:color w:val="auto"/>
          <w:spacing w:val="0"/>
          <w:w w:val="100"/>
          <w:position w:val="0"/>
          <w:sz w:val="21"/>
          <w:szCs w:val="21"/>
          <w:highlight w:val="none"/>
          <w:lang w:eastAsia="zh-CN"/>
        </w:rPr>
        <w:t>等复印件</w:t>
      </w:r>
      <w:r>
        <w:rPr>
          <w:rFonts w:hint="eastAsia" w:ascii="宋体" w:hAnsi="宋体" w:eastAsia="宋体" w:cs="宋体"/>
          <w:color w:val="auto"/>
          <w:spacing w:val="0"/>
          <w:w w:val="100"/>
          <w:position w:val="0"/>
          <w:sz w:val="21"/>
          <w:szCs w:val="21"/>
          <w:highlight w:val="none"/>
        </w:rPr>
        <w:t>。</w:t>
      </w:r>
    </w:p>
    <w:p>
      <w:pPr>
        <w:spacing w:line="36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专职安全生产管理人员应附安全生产考核合格证书、身份证</w:t>
      </w:r>
      <w:r>
        <w:rPr>
          <w:rFonts w:hint="eastAsia" w:ascii="宋体" w:hAnsi="宋体" w:eastAsia="宋体" w:cs="宋体"/>
          <w:color w:val="auto"/>
          <w:spacing w:val="0"/>
          <w:w w:val="100"/>
          <w:position w:val="0"/>
          <w:sz w:val="21"/>
          <w:szCs w:val="21"/>
          <w:highlight w:val="none"/>
          <w:lang w:eastAsia="zh-CN"/>
        </w:rPr>
        <w:t>等复印件</w:t>
      </w:r>
      <w:r>
        <w:rPr>
          <w:rFonts w:hint="eastAsia" w:ascii="宋体" w:hAnsi="宋体" w:eastAsia="宋体" w:cs="宋体"/>
          <w:color w:val="auto"/>
          <w:spacing w:val="0"/>
          <w:w w:val="100"/>
          <w:position w:val="0"/>
          <w:sz w:val="21"/>
          <w:szCs w:val="21"/>
          <w:highlight w:val="none"/>
        </w:rPr>
        <w:t>。</w:t>
      </w:r>
    </w:p>
    <w:p>
      <w:pPr>
        <w:spacing w:line="36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其他管理人员应附身份证、</w:t>
      </w:r>
      <w:r>
        <w:rPr>
          <w:rFonts w:hint="eastAsia" w:ascii="宋体" w:hAnsi="宋体" w:eastAsia="宋体" w:cs="宋体"/>
          <w:color w:val="auto"/>
          <w:spacing w:val="0"/>
          <w:w w:val="100"/>
          <w:position w:val="0"/>
          <w:sz w:val="21"/>
          <w:szCs w:val="21"/>
          <w:highlight w:val="none"/>
          <w:lang w:eastAsia="zh-CN"/>
        </w:rPr>
        <w:t>岗位证等复印件</w:t>
      </w:r>
      <w:r>
        <w:rPr>
          <w:rFonts w:hint="eastAsia" w:ascii="宋体" w:hAnsi="宋体" w:eastAsia="宋体" w:cs="宋体"/>
          <w:color w:val="auto"/>
          <w:spacing w:val="0"/>
          <w:w w:val="100"/>
          <w:position w:val="0"/>
          <w:sz w:val="21"/>
          <w:szCs w:val="21"/>
          <w:highlight w:val="none"/>
        </w:rPr>
        <w:t>。</w:t>
      </w:r>
    </w:p>
    <w:tbl>
      <w:tblPr>
        <w:tblStyle w:val="49"/>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0"/>
        <w:gridCol w:w="44"/>
        <w:gridCol w:w="2374"/>
        <w:gridCol w:w="580"/>
        <w:gridCol w:w="1261"/>
        <w:gridCol w:w="533"/>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30" w:type="dxa"/>
            <w:noWrap w:val="0"/>
            <w:vAlign w:val="center"/>
          </w:tcPr>
          <w:p>
            <w:pPr>
              <w:jc w:val="left"/>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岗位名称</w:t>
            </w:r>
          </w:p>
        </w:tc>
        <w:tc>
          <w:tcPr>
            <w:tcW w:w="7169" w:type="dxa"/>
            <w:gridSpan w:val="6"/>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30" w:type="dxa"/>
            <w:noWrap w:val="0"/>
            <w:vAlign w:val="center"/>
          </w:tcPr>
          <w:p>
            <w:pPr>
              <w:jc w:val="left"/>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姓名</w:t>
            </w:r>
          </w:p>
        </w:tc>
        <w:tc>
          <w:tcPr>
            <w:tcW w:w="2998"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1261"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年龄</w:t>
            </w:r>
          </w:p>
        </w:tc>
        <w:tc>
          <w:tcPr>
            <w:tcW w:w="2910"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30" w:type="dxa"/>
            <w:noWrap w:val="0"/>
            <w:vAlign w:val="center"/>
          </w:tcPr>
          <w:p>
            <w:pPr>
              <w:jc w:val="left"/>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性别</w:t>
            </w:r>
          </w:p>
        </w:tc>
        <w:tc>
          <w:tcPr>
            <w:tcW w:w="2998"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1261"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毕业学校</w:t>
            </w:r>
          </w:p>
        </w:tc>
        <w:tc>
          <w:tcPr>
            <w:tcW w:w="2910"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30" w:type="dxa"/>
            <w:noWrap w:val="0"/>
            <w:vAlign w:val="center"/>
          </w:tcPr>
          <w:p>
            <w:pPr>
              <w:jc w:val="left"/>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学历和专业</w:t>
            </w:r>
          </w:p>
        </w:tc>
        <w:tc>
          <w:tcPr>
            <w:tcW w:w="2998"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1261"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毕业时间</w:t>
            </w:r>
          </w:p>
        </w:tc>
        <w:tc>
          <w:tcPr>
            <w:tcW w:w="2910"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30" w:type="dxa"/>
            <w:noWrap w:val="0"/>
            <w:vAlign w:val="center"/>
          </w:tcPr>
          <w:p>
            <w:pPr>
              <w:jc w:val="left"/>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拥有的执业资格</w:t>
            </w:r>
          </w:p>
        </w:tc>
        <w:tc>
          <w:tcPr>
            <w:tcW w:w="2998"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1261"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专业职称</w:t>
            </w:r>
          </w:p>
        </w:tc>
        <w:tc>
          <w:tcPr>
            <w:tcW w:w="2910"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2330" w:type="dxa"/>
            <w:noWrap w:val="0"/>
            <w:vAlign w:val="center"/>
          </w:tcPr>
          <w:p>
            <w:pPr>
              <w:jc w:val="left"/>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执业资格证书编号</w:t>
            </w:r>
          </w:p>
        </w:tc>
        <w:tc>
          <w:tcPr>
            <w:tcW w:w="2998"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1261"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工作年限</w:t>
            </w:r>
          </w:p>
        </w:tc>
        <w:tc>
          <w:tcPr>
            <w:tcW w:w="2910"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9499" w:type="dxa"/>
            <w:gridSpan w:val="7"/>
            <w:noWrap w:val="0"/>
            <w:vAlign w:val="center"/>
          </w:tcPr>
          <w:p>
            <w:pPr>
              <w:spacing w:line="276" w:lineRule="auto"/>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主要工作业绩及担任的主要工作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2374"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时间</w:t>
            </w:r>
          </w:p>
        </w:tc>
        <w:tc>
          <w:tcPr>
            <w:tcW w:w="2374"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参加过的类似项目名称</w:t>
            </w:r>
          </w:p>
        </w:tc>
        <w:tc>
          <w:tcPr>
            <w:tcW w:w="2374"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工程概况说明</w:t>
            </w:r>
          </w:p>
        </w:tc>
        <w:tc>
          <w:tcPr>
            <w:tcW w:w="2377" w:type="dxa"/>
            <w:noWrap w:val="0"/>
            <w:vAlign w:val="center"/>
          </w:tcPr>
          <w:p>
            <w:pPr>
              <w:jc w:val="center"/>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4"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4" w:type="dxa"/>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4"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7" w:type="dxa"/>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4"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4" w:type="dxa"/>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4"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7" w:type="dxa"/>
            <w:noWrap w:val="0"/>
            <w:vAlign w:val="center"/>
          </w:tcPr>
          <w:p>
            <w:pPr>
              <w:jc w:val="center"/>
              <w:rPr>
                <w:rFonts w:hint="eastAsia" w:ascii="宋体" w:hAnsi="宋体" w:eastAsia="宋体" w:cs="宋体"/>
                <w:color w:val="auto"/>
                <w:spacing w:val="0"/>
                <w:w w:val="100"/>
                <w:positio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374" w:type="dxa"/>
            <w:gridSpan w:val="2"/>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4" w:type="dxa"/>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4" w:type="dxa"/>
            <w:gridSpan w:val="3"/>
            <w:noWrap w:val="0"/>
            <w:vAlign w:val="center"/>
          </w:tcPr>
          <w:p>
            <w:pPr>
              <w:jc w:val="center"/>
              <w:rPr>
                <w:rFonts w:hint="eastAsia" w:ascii="宋体" w:hAnsi="宋体" w:eastAsia="宋体" w:cs="宋体"/>
                <w:color w:val="auto"/>
                <w:spacing w:val="0"/>
                <w:w w:val="100"/>
                <w:position w:val="0"/>
                <w:sz w:val="22"/>
                <w:szCs w:val="22"/>
                <w:highlight w:val="none"/>
              </w:rPr>
            </w:pPr>
          </w:p>
        </w:tc>
        <w:tc>
          <w:tcPr>
            <w:tcW w:w="2377" w:type="dxa"/>
            <w:noWrap w:val="0"/>
            <w:vAlign w:val="center"/>
          </w:tcPr>
          <w:p>
            <w:pPr>
              <w:jc w:val="center"/>
              <w:rPr>
                <w:rFonts w:hint="eastAsia" w:ascii="宋体" w:hAnsi="宋体" w:eastAsia="宋体" w:cs="宋体"/>
                <w:color w:val="auto"/>
                <w:spacing w:val="0"/>
                <w:w w:val="100"/>
                <w:position w:val="0"/>
                <w:sz w:val="22"/>
                <w:szCs w:val="22"/>
                <w:highlight w:val="none"/>
              </w:rPr>
            </w:pPr>
          </w:p>
        </w:tc>
      </w:tr>
    </w:tbl>
    <w:p>
      <w:pPr>
        <w:rPr>
          <w:rFonts w:hint="eastAsia" w:ascii="黑体" w:hAnsi="宋体" w:eastAsia="黑体"/>
          <w:szCs w:val="21"/>
        </w:rPr>
      </w:pPr>
      <w:r>
        <w:rPr>
          <w:rFonts w:hint="eastAsia" w:ascii="黑体" w:hAnsi="宋体" w:eastAsia="黑体"/>
          <w:szCs w:val="21"/>
        </w:rPr>
        <w:br w:type="page"/>
      </w:r>
    </w:p>
    <w:p>
      <w:pPr>
        <w:jc w:val="both"/>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附3：承诺书</w:t>
      </w:r>
    </w:p>
    <w:p>
      <w:pPr>
        <w:widowControl/>
        <w:tabs>
          <w:tab w:val="left" w:pos="425"/>
        </w:tabs>
        <w:jc w:val="center"/>
        <w:outlineLvl w:val="9"/>
        <w:rPr>
          <w:rFonts w:hint="eastAsia" w:ascii="宋体" w:hAnsi="宋体" w:eastAsia="宋体" w:cs="宋体"/>
          <w:b/>
          <w:color w:val="auto"/>
          <w:spacing w:val="0"/>
          <w:w w:val="100"/>
          <w:position w:val="0"/>
          <w:sz w:val="30"/>
          <w:szCs w:val="30"/>
          <w:highlight w:val="none"/>
        </w:rPr>
      </w:pPr>
      <w:r>
        <w:rPr>
          <w:rFonts w:hint="eastAsia" w:ascii="宋体" w:hAnsi="宋体" w:eastAsia="宋体" w:cs="宋体"/>
          <w:b/>
          <w:color w:val="auto"/>
          <w:spacing w:val="0"/>
          <w:w w:val="100"/>
          <w:position w:val="0"/>
          <w:sz w:val="30"/>
          <w:szCs w:val="30"/>
          <w:highlight w:val="none"/>
        </w:rPr>
        <w:t>无在建承诺书</w:t>
      </w: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_________________（招标人名称）：</w:t>
      </w:r>
    </w:p>
    <w:p>
      <w:pPr>
        <w:spacing w:line="48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我方在此声明，我方拟派往</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eastAsia="zh-CN"/>
        </w:rPr>
        <w:t>（</w:t>
      </w:r>
      <w:r>
        <w:rPr>
          <w:rFonts w:hint="eastAsia" w:ascii="宋体" w:hAnsi="宋体" w:eastAsia="宋体" w:cs="宋体"/>
          <w:color w:val="auto"/>
          <w:spacing w:val="0"/>
          <w:w w:val="100"/>
          <w:position w:val="0"/>
          <w:sz w:val="21"/>
          <w:szCs w:val="21"/>
          <w:highlight w:val="none"/>
          <w:u w:val="single"/>
        </w:rPr>
        <w:t>项目名称</w:t>
      </w:r>
      <w:r>
        <w:rPr>
          <w:rFonts w:hint="eastAsia" w:ascii="宋体" w:hAnsi="宋体" w:eastAsia="宋体" w:cs="宋体"/>
          <w:color w:val="auto"/>
          <w:spacing w:val="0"/>
          <w:w w:val="100"/>
          <w:position w:val="0"/>
          <w:sz w:val="21"/>
          <w:szCs w:val="21"/>
          <w:highlight w:val="none"/>
          <w:u w:val="single"/>
          <w:lang w:eastAsia="zh-CN"/>
        </w:rPr>
        <w:t>）</w:t>
      </w:r>
      <w:r>
        <w:rPr>
          <w:rFonts w:hint="eastAsia" w:ascii="宋体" w:hAnsi="宋体" w:eastAsia="宋体" w:cs="宋体"/>
          <w:color w:val="auto"/>
          <w:spacing w:val="0"/>
          <w:w w:val="100"/>
          <w:position w:val="0"/>
          <w:sz w:val="21"/>
          <w:szCs w:val="21"/>
          <w:highlight w:val="none"/>
        </w:rPr>
        <w:t xml:space="preserve"> （以下简称“本工程”）的项目经理</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（项目经理姓名）现阶段没有担任任何在施建设工程项目的项目经理。</w:t>
      </w:r>
    </w:p>
    <w:p>
      <w:pPr>
        <w:spacing w:line="480" w:lineRule="auto"/>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我方保证上述信息的真实和准确，并愿意承担因我方就此弄虚作假所引起的一切法律后果。</w:t>
      </w: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特此承诺。</w:t>
      </w: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rPr>
          <w:rFonts w:hint="eastAsia" w:ascii="宋体" w:hAnsi="宋体" w:eastAsia="宋体" w:cs="宋体"/>
          <w:color w:val="auto"/>
          <w:spacing w:val="0"/>
          <w:w w:val="100"/>
          <w:position w:val="0"/>
          <w:sz w:val="21"/>
          <w:szCs w:val="21"/>
          <w:highlight w:val="none"/>
        </w:rPr>
      </w:pPr>
    </w:p>
    <w:p>
      <w:pPr>
        <w:spacing w:line="480" w:lineRule="auto"/>
        <w:jc w:val="center"/>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0"/>
          <w:w w:val="100"/>
          <w:position w:val="0"/>
          <w:sz w:val="21"/>
          <w:szCs w:val="21"/>
          <w:highlight w:val="none"/>
        </w:rPr>
        <w:t>投标人：</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rPr>
        <w:t>（盖电子公章）</w:t>
      </w:r>
    </w:p>
    <w:p>
      <w:pPr>
        <w:spacing w:line="480" w:lineRule="auto"/>
        <w:jc w:val="right"/>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法定代表人或其委托代理人：</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rPr>
        <w:t xml:space="preserve"> （签字或电子章）</w:t>
      </w:r>
    </w:p>
    <w:p>
      <w:pPr>
        <w:jc w:val="right"/>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_____年_____月______日</w:t>
      </w:r>
    </w:p>
    <w:p>
      <w:pPr>
        <w:autoSpaceDE w:val="0"/>
        <w:autoSpaceDN w:val="0"/>
        <w:adjustRightInd w:val="0"/>
        <w:spacing w:line="420" w:lineRule="exact"/>
        <w:jc w:val="left"/>
        <w:rPr>
          <w:rFonts w:hint="eastAsia" w:ascii="宋体" w:hAnsi="宋体" w:cs="宋体"/>
          <w:color w:val="auto"/>
          <w:kern w:val="0"/>
          <w:szCs w:val="21"/>
          <w:highlight w:val="none"/>
        </w:rPr>
      </w:pPr>
    </w:p>
    <w:bookmarkEnd w:id="937"/>
    <w:bookmarkEnd w:id="938"/>
    <w:bookmarkEnd w:id="939"/>
    <w:bookmarkEnd w:id="940"/>
    <w:bookmarkEnd w:id="941"/>
    <w:bookmarkEnd w:id="942"/>
    <w:bookmarkEnd w:id="943"/>
    <w:bookmarkEnd w:id="944"/>
    <w:p>
      <w:pPr>
        <w:rPr>
          <w:rFonts w:hint="eastAsia" w:ascii="宋体" w:hAnsi="宋体" w:eastAsia="宋体" w:cs="宋体"/>
          <w:color w:val="auto"/>
          <w:sz w:val="28"/>
          <w:szCs w:val="28"/>
          <w:highlight w:val="none"/>
          <w:lang w:eastAsia="zh-CN"/>
        </w:rPr>
      </w:pPr>
      <w:bookmarkStart w:id="945" w:name="_Toc246996372"/>
      <w:bookmarkStart w:id="946" w:name="_Toc152045807"/>
      <w:bookmarkStart w:id="947" w:name="_Toc144974875"/>
      <w:bookmarkStart w:id="948" w:name="_Toc247085890"/>
      <w:bookmarkStart w:id="949" w:name="_Toc246997115"/>
      <w:bookmarkStart w:id="950" w:name="_Toc2696"/>
      <w:bookmarkStart w:id="951" w:name="_Toc296602617"/>
      <w:bookmarkStart w:id="952" w:name="_Toc9035"/>
      <w:bookmarkStart w:id="953" w:name="_Toc16423"/>
      <w:bookmarkStart w:id="954" w:name="_Toc152042596"/>
      <w:bookmarkStart w:id="955" w:name="_Toc179632827"/>
      <w:r>
        <w:rPr>
          <w:rFonts w:hint="eastAsia" w:ascii="宋体" w:hAnsi="宋体" w:eastAsia="宋体" w:cs="宋体"/>
          <w:color w:val="auto"/>
          <w:sz w:val="28"/>
          <w:szCs w:val="28"/>
          <w:highlight w:val="none"/>
          <w:lang w:eastAsia="zh-CN"/>
        </w:rPr>
        <w:br w:type="page"/>
      </w:r>
    </w:p>
    <w:p>
      <w:pPr>
        <w:pStyle w:val="5"/>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八</w:t>
      </w:r>
      <w:r>
        <w:rPr>
          <w:rFonts w:hint="eastAsia" w:ascii="宋体" w:hAnsi="宋体" w:eastAsia="宋体" w:cs="宋体"/>
          <w:color w:val="auto"/>
          <w:sz w:val="28"/>
          <w:szCs w:val="28"/>
          <w:highlight w:val="none"/>
        </w:rPr>
        <w:t>、资格审查资料</w:t>
      </w:r>
      <w:bookmarkEnd w:id="945"/>
      <w:bookmarkEnd w:id="946"/>
      <w:bookmarkEnd w:id="947"/>
      <w:bookmarkEnd w:id="948"/>
      <w:bookmarkEnd w:id="949"/>
      <w:bookmarkEnd w:id="950"/>
      <w:bookmarkEnd w:id="951"/>
      <w:bookmarkEnd w:id="952"/>
      <w:bookmarkEnd w:id="953"/>
      <w:bookmarkEnd w:id="954"/>
      <w:bookmarkEnd w:id="955"/>
    </w:p>
    <w:p>
      <w:pPr>
        <w:pStyle w:val="6"/>
        <w:spacing w:before="0" w:after="0"/>
        <w:jc w:val="center"/>
        <w:rPr>
          <w:rFonts w:hint="eastAsia" w:ascii="宋体" w:hAnsi="宋体" w:cs="宋体"/>
          <w:color w:val="auto"/>
          <w:sz w:val="28"/>
          <w:szCs w:val="28"/>
          <w:highlight w:val="none"/>
        </w:rPr>
      </w:pPr>
      <w:bookmarkStart w:id="956" w:name="_Toc152045808"/>
      <w:bookmarkStart w:id="957" w:name="_Toc152042597"/>
      <w:bookmarkStart w:id="958" w:name="_Toc246996373"/>
      <w:bookmarkStart w:id="959" w:name="_Toc144974876"/>
      <w:bookmarkStart w:id="960" w:name="_Toc246997116"/>
      <w:bookmarkStart w:id="961" w:name="_Toc296602618"/>
      <w:bookmarkStart w:id="962" w:name="_Toc15834"/>
      <w:bookmarkStart w:id="963" w:name="_Toc179632828"/>
      <w:bookmarkStart w:id="964" w:name="_Toc10024"/>
      <w:bookmarkStart w:id="965" w:name="_Toc247085891"/>
      <w:r>
        <w:rPr>
          <w:rFonts w:hint="eastAsia" w:ascii="宋体" w:hAnsi="宋体" w:cs="宋体"/>
          <w:color w:val="auto"/>
          <w:sz w:val="28"/>
          <w:szCs w:val="28"/>
          <w:highlight w:val="none"/>
        </w:rPr>
        <w:t>（一）投标人基本情况表</w:t>
      </w:r>
      <w:bookmarkEnd w:id="956"/>
      <w:bookmarkEnd w:id="957"/>
      <w:bookmarkEnd w:id="958"/>
      <w:bookmarkEnd w:id="959"/>
      <w:bookmarkEnd w:id="960"/>
      <w:bookmarkEnd w:id="961"/>
      <w:bookmarkEnd w:id="962"/>
      <w:bookmarkEnd w:id="963"/>
      <w:bookmarkEnd w:id="964"/>
      <w:bookmarkEnd w:id="965"/>
    </w:p>
    <w:tbl>
      <w:tblPr>
        <w:tblStyle w:val="49"/>
        <w:tblW w:w="95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3"/>
        <w:gridCol w:w="999"/>
        <w:gridCol w:w="1058"/>
        <w:gridCol w:w="934"/>
        <w:gridCol w:w="468"/>
        <w:gridCol w:w="349"/>
        <w:gridCol w:w="1200"/>
        <w:gridCol w:w="542"/>
        <w:gridCol w:w="957"/>
        <w:gridCol w:w="11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投标人名称</w:t>
            </w:r>
          </w:p>
        </w:tc>
        <w:tc>
          <w:tcPr>
            <w:tcW w:w="7616"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注册地址</w:t>
            </w:r>
          </w:p>
        </w:tc>
        <w:tc>
          <w:tcPr>
            <w:tcW w:w="3808" w:type="dxa"/>
            <w:gridSpan w:val="5"/>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邮政编码</w:t>
            </w:r>
          </w:p>
        </w:tc>
        <w:tc>
          <w:tcPr>
            <w:tcW w:w="2608"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923"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联系方式</w:t>
            </w:r>
          </w:p>
        </w:tc>
        <w:tc>
          <w:tcPr>
            <w:tcW w:w="999"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联系人</w:t>
            </w:r>
          </w:p>
        </w:tc>
        <w:tc>
          <w:tcPr>
            <w:tcW w:w="280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电 话</w:t>
            </w:r>
          </w:p>
        </w:tc>
        <w:tc>
          <w:tcPr>
            <w:tcW w:w="2608"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1923"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传  真</w:t>
            </w:r>
          </w:p>
        </w:tc>
        <w:tc>
          <w:tcPr>
            <w:tcW w:w="280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网 址</w:t>
            </w:r>
          </w:p>
        </w:tc>
        <w:tc>
          <w:tcPr>
            <w:tcW w:w="2608"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组织结构</w:t>
            </w:r>
          </w:p>
        </w:tc>
        <w:tc>
          <w:tcPr>
            <w:tcW w:w="7616"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w:t>
            </w:r>
          </w:p>
        </w:tc>
        <w:tc>
          <w:tcPr>
            <w:tcW w:w="999"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姓名</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技术职称</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电话</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技术负责人</w:t>
            </w:r>
          </w:p>
        </w:tc>
        <w:tc>
          <w:tcPr>
            <w:tcW w:w="999"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姓名</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140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技术职称</w:t>
            </w:r>
          </w:p>
        </w:tc>
        <w:tc>
          <w:tcPr>
            <w:tcW w:w="209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电话</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成立时间</w:t>
            </w:r>
          </w:p>
        </w:tc>
        <w:tc>
          <w:tcPr>
            <w:tcW w:w="205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5559"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ind w:firstLine="110" w:firstLineChars="5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企业资质等级</w:t>
            </w:r>
          </w:p>
        </w:tc>
        <w:tc>
          <w:tcPr>
            <w:tcW w:w="205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34"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其中</w:t>
            </w:r>
          </w:p>
        </w:tc>
        <w:tc>
          <w:tcPr>
            <w:tcW w:w="255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建造师</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2"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营业执照号</w:t>
            </w:r>
          </w:p>
        </w:tc>
        <w:tc>
          <w:tcPr>
            <w:tcW w:w="205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34"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255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高级职称人员</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6"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注册资金</w:t>
            </w:r>
          </w:p>
        </w:tc>
        <w:tc>
          <w:tcPr>
            <w:tcW w:w="205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34"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255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中级职称人员</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7"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开户银行</w:t>
            </w:r>
          </w:p>
        </w:tc>
        <w:tc>
          <w:tcPr>
            <w:tcW w:w="205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34"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255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初级职称人员</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8"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账号</w:t>
            </w:r>
          </w:p>
        </w:tc>
        <w:tc>
          <w:tcPr>
            <w:tcW w:w="205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934"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c>
          <w:tcPr>
            <w:tcW w:w="255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技  工</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67" w:hRule="atLeast"/>
        </w:trPr>
        <w:tc>
          <w:tcPr>
            <w:tcW w:w="1923" w:type="dxa"/>
            <w:tcBorders>
              <w:top w:val="single" w:color="auto" w:sz="4" w:space="0"/>
              <w:left w:val="single" w:color="auto" w:sz="4" w:space="0"/>
              <w:right w:val="single" w:color="auto" w:sz="4" w:space="0"/>
            </w:tcBorders>
            <w:noWrap w:val="0"/>
            <w:vAlign w:val="center"/>
          </w:tcPr>
          <w:p>
            <w:pPr>
              <w:topLinePunct/>
              <w:spacing w:line="440" w:lineRule="exact"/>
              <w:ind w:firstLine="220" w:firstLineChars="10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经营范围</w:t>
            </w:r>
          </w:p>
        </w:tc>
        <w:tc>
          <w:tcPr>
            <w:tcW w:w="7616" w:type="dxa"/>
            <w:gridSpan w:val="9"/>
            <w:tcBorders>
              <w:top w:val="single" w:color="auto" w:sz="4" w:space="0"/>
              <w:left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p>
            <w:pPr>
              <w:topLinePunct/>
              <w:spacing w:line="440" w:lineRule="exact"/>
              <w:jc w:val="center"/>
              <w:rPr>
                <w:rFonts w:hint="eastAsia" w:ascii="宋体" w:hAnsi="宋体" w:cs="宋体"/>
                <w:color w:val="auto"/>
                <w:sz w:val="22"/>
                <w:szCs w:val="22"/>
                <w:highlight w:val="none"/>
              </w:rPr>
            </w:pPr>
          </w:p>
          <w:p>
            <w:pPr>
              <w:topLinePunct/>
              <w:spacing w:line="440" w:lineRule="exact"/>
              <w:jc w:val="center"/>
              <w:rPr>
                <w:rFonts w:hint="eastAsia" w:ascii="宋体" w:hAnsi="宋体" w:cs="宋体"/>
                <w:color w:val="auto"/>
                <w:sz w:val="22"/>
                <w:szCs w:val="22"/>
                <w:highlight w:val="none"/>
              </w:rPr>
            </w:pPr>
          </w:p>
          <w:p>
            <w:pPr>
              <w:topLinePunct/>
              <w:spacing w:line="440" w:lineRule="exact"/>
              <w:jc w:val="center"/>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923"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备注</w:t>
            </w:r>
          </w:p>
        </w:tc>
        <w:tc>
          <w:tcPr>
            <w:tcW w:w="7616"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cs="宋体"/>
                <w:color w:val="auto"/>
                <w:sz w:val="22"/>
                <w:szCs w:val="22"/>
                <w:highlight w:val="none"/>
              </w:rPr>
            </w:pPr>
          </w:p>
        </w:tc>
      </w:tr>
    </w:tbl>
    <w:p>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备注：本表后应附企业法人营业执照、资质证书、安全生产许可证以及投标人认为必要的其他证件等材料的复印件。</w:t>
      </w:r>
    </w:p>
    <w:p>
      <w:pPr>
        <w:pStyle w:val="6"/>
        <w:spacing w:before="0" w:after="0"/>
        <w:jc w:val="center"/>
        <w:rPr>
          <w:rFonts w:hint="eastAsia" w:ascii="宋体" w:hAnsi="宋体" w:cs="宋体"/>
          <w:color w:val="auto"/>
          <w:sz w:val="28"/>
          <w:szCs w:val="28"/>
          <w:highlight w:val="none"/>
        </w:rPr>
      </w:pPr>
      <w:bookmarkStart w:id="966" w:name="_Toc144974877"/>
      <w:bookmarkStart w:id="967" w:name="_Toc1653"/>
      <w:bookmarkStart w:id="968" w:name="_Toc152045809"/>
      <w:bookmarkStart w:id="969" w:name="_Toc247527849"/>
      <w:bookmarkStart w:id="970" w:name="_Toc152042598"/>
      <w:bookmarkStart w:id="971" w:name="_Toc265953295"/>
      <w:bookmarkStart w:id="972" w:name="_Toc11465"/>
      <w:bookmarkStart w:id="973" w:name="_Toc296602619"/>
      <w:bookmarkStart w:id="974" w:name="_Toc247514301"/>
      <w:bookmarkStart w:id="975" w:name="_Toc144974881"/>
      <w:bookmarkStart w:id="976" w:name="_Toc152045813"/>
      <w:bookmarkStart w:id="977" w:name="_Toc179632833"/>
      <w:bookmarkStart w:id="978" w:name="_Toc152042602"/>
      <w:r>
        <w:rPr>
          <w:rFonts w:hint="eastAsia" w:ascii="宋体" w:hAnsi="宋体" w:cs="宋体"/>
          <w:color w:val="auto"/>
          <w:sz w:val="28"/>
          <w:szCs w:val="28"/>
          <w:highlight w:val="none"/>
        </w:rPr>
        <w:t>（二）近年财务状况表</w:t>
      </w:r>
      <w:bookmarkEnd w:id="966"/>
      <w:bookmarkEnd w:id="967"/>
      <w:bookmarkEnd w:id="968"/>
      <w:bookmarkEnd w:id="969"/>
      <w:bookmarkEnd w:id="970"/>
      <w:bookmarkEnd w:id="971"/>
      <w:bookmarkEnd w:id="972"/>
      <w:bookmarkEnd w:id="973"/>
      <w:bookmarkEnd w:id="974"/>
    </w:p>
    <w:p>
      <w:pPr>
        <w:topLinePunct/>
        <w:spacing w:line="440" w:lineRule="exact"/>
        <w:jc w:val="center"/>
        <w:rPr>
          <w:rFonts w:hint="eastAsia" w:ascii="宋体" w:hAnsi="宋体" w:cs="宋体"/>
          <w:color w:val="auto"/>
          <w:sz w:val="22"/>
          <w:szCs w:val="22"/>
          <w:highlight w:val="none"/>
        </w:rPr>
      </w:pPr>
    </w:p>
    <w:p>
      <w:pPr>
        <w:tabs>
          <w:tab w:val="left" w:pos="3560"/>
        </w:tabs>
        <w:adjustRightInd w:val="0"/>
        <w:snapToGrid w:val="0"/>
        <w:spacing w:line="360" w:lineRule="auto"/>
        <w:ind w:firstLine="448" w:firstLineChars="204"/>
        <w:rPr>
          <w:rFonts w:hint="eastAsia" w:ascii="宋体" w:hAnsi="宋体" w:cs="宋体"/>
          <w:color w:val="auto"/>
          <w:kern w:val="0"/>
          <w:sz w:val="22"/>
          <w:szCs w:val="22"/>
          <w:highlight w:val="none"/>
        </w:rPr>
      </w:pPr>
      <w:r>
        <w:rPr>
          <w:rFonts w:hint="eastAsia" w:ascii="宋体" w:hAnsi="宋体" w:cs="宋体"/>
          <w:color w:val="auto"/>
          <w:sz w:val="22"/>
          <w:szCs w:val="22"/>
          <w:highlight w:val="none"/>
        </w:rPr>
        <w:t>备注：在此附经会计师事务所或审计机构审计的财务财务会计报表，包括资产负债表、损益表、现金流量表、利润表和财务情况说明书的复印件，具体年份要求见第二章“投标人须知前附表”的规定。</w:t>
      </w: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2"/>
          <w:szCs w:val="22"/>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0"/>
          <w:szCs w:val="20"/>
          <w:highlight w:val="none"/>
        </w:rPr>
      </w:pPr>
    </w:p>
    <w:p>
      <w:pPr>
        <w:spacing w:line="440" w:lineRule="exact"/>
        <w:rPr>
          <w:rFonts w:hint="eastAsia" w:ascii="宋体" w:hAnsi="宋体" w:cs="宋体"/>
          <w:color w:val="auto"/>
          <w:sz w:val="23"/>
          <w:szCs w:val="23"/>
          <w:highlight w:val="none"/>
        </w:rPr>
      </w:pPr>
    </w:p>
    <w:p>
      <w:pPr>
        <w:pStyle w:val="2"/>
        <w:rPr>
          <w:rFonts w:hint="eastAsia"/>
          <w:color w:val="auto"/>
          <w:highlight w:val="none"/>
        </w:rPr>
      </w:pPr>
    </w:p>
    <w:p>
      <w:pPr>
        <w:pStyle w:val="6"/>
        <w:spacing w:before="0" w:after="0"/>
        <w:jc w:val="center"/>
        <w:rPr>
          <w:rFonts w:hint="eastAsia" w:ascii="宋体" w:hAnsi="宋体" w:cs="宋体"/>
          <w:color w:val="auto"/>
          <w:sz w:val="28"/>
          <w:szCs w:val="28"/>
          <w:highlight w:val="none"/>
        </w:rPr>
      </w:pPr>
      <w:bookmarkStart w:id="979" w:name="_Toc247514302"/>
      <w:bookmarkStart w:id="980" w:name="_Toc144974878"/>
      <w:bookmarkStart w:id="981" w:name="_Toc152042599"/>
      <w:bookmarkStart w:id="982" w:name="_Toc2327"/>
      <w:bookmarkStart w:id="983" w:name="_Toc152045810"/>
      <w:bookmarkStart w:id="984" w:name="_Toc265953296"/>
      <w:bookmarkStart w:id="985" w:name="_Toc28341"/>
      <w:bookmarkStart w:id="986" w:name="_Toc296602620"/>
      <w:bookmarkStart w:id="987" w:name="_Toc247527850"/>
      <w:r>
        <w:rPr>
          <w:rFonts w:hint="eastAsia" w:ascii="宋体" w:hAnsi="宋体" w:cs="宋体"/>
          <w:color w:val="auto"/>
          <w:sz w:val="28"/>
          <w:szCs w:val="28"/>
          <w:highlight w:val="none"/>
        </w:rPr>
        <w:t>（三）近年完成的类似项目情况表</w:t>
      </w:r>
      <w:bookmarkEnd w:id="979"/>
      <w:bookmarkEnd w:id="980"/>
      <w:bookmarkEnd w:id="981"/>
      <w:bookmarkEnd w:id="982"/>
      <w:bookmarkEnd w:id="983"/>
      <w:bookmarkEnd w:id="984"/>
      <w:bookmarkEnd w:id="985"/>
      <w:bookmarkEnd w:id="986"/>
      <w:bookmarkEnd w:id="987"/>
    </w:p>
    <w:tbl>
      <w:tblPr>
        <w:tblStyle w:val="4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项目所在地</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发包人名称</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发包人地址</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发包人电话</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合同价格</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开工日期</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竣工日期</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承担的工作</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工程质量</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建造师</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技术负责人</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项目描述</w:t>
            </w:r>
          </w:p>
        </w:tc>
        <w:tc>
          <w:tcPr>
            <w:tcW w:w="6253" w:type="dxa"/>
            <w:noWrap w:val="0"/>
            <w:vAlign w:val="top"/>
          </w:tcPr>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备注</w:t>
            </w:r>
          </w:p>
        </w:tc>
        <w:tc>
          <w:tcPr>
            <w:tcW w:w="6253" w:type="dxa"/>
            <w:noWrap w:val="0"/>
            <w:vAlign w:val="top"/>
          </w:tcPr>
          <w:p>
            <w:pPr>
              <w:topLinePunct/>
              <w:spacing w:line="440" w:lineRule="exact"/>
              <w:rPr>
                <w:rFonts w:hint="eastAsia" w:ascii="宋体" w:hAnsi="宋体" w:cs="宋体"/>
                <w:color w:val="auto"/>
                <w:sz w:val="22"/>
                <w:szCs w:val="22"/>
                <w:highlight w:val="none"/>
              </w:rPr>
            </w:pPr>
          </w:p>
        </w:tc>
      </w:tr>
    </w:tbl>
    <w:p>
      <w:pPr>
        <w:spacing w:line="360" w:lineRule="auto"/>
        <w:ind w:left="630" w:hanging="660" w:hangingChars="3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备注：1、类似项目指</w:t>
      </w:r>
      <w:r>
        <w:rPr>
          <w:rFonts w:hint="eastAsia" w:ascii="宋体" w:hAnsi="宋体" w:cs="宋体"/>
          <w:color w:val="auto"/>
          <w:sz w:val="22"/>
          <w:szCs w:val="22"/>
          <w:highlight w:val="none"/>
          <w:u w:val="single"/>
        </w:rPr>
        <w:t xml:space="preserve">        同投标人须知前附表              </w:t>
      </w:r>
      <w:r>
        <w:rPr>
          <w:rFonts w:hint="eastAsia" w:ascii="宋体" w:hAnsi="宋体" w:cs="宋体"/>
          <w:color w:val="auto"/>
          <w:sz w:val="22"/>
          <w:szCs w:val="22"/>
          <w:highlight w:val="none"/>
        </w:rPr>
        <w:t xml:space="preserve"> 的工程。</w:t>
      </w:r>
    </w:p>
    <w:p>
      <w:pPr>
        <w:spacing w:line="360" w:lineRule="auto"/>
        <w:ind w:left="630" w:leftChars="300"/>
        <w:rPr>
          <w:rFonts w:hint="eastAsia" w:ascii="宋体" w:hAnsi="宋体" w:cs="宋体"/>
          <w:color w:val="auto"/>
          <w:sz w:val="22"/>
          <w:szCs w:val="22"/>
          <w:highlight w:val="none"/>
        </w:rPr>
      </w:pPr>
      <w:r>
        <w:rPr>
          <w:rFonts w:hint="eastAsia" w:ascii="宋体" w:hAnsi="宋体"/>
          <w:color w:val="auto"/>
          <w:sz w:val="22"/>
          <w:szCs w:val="22"/>
          <w:highlight w:val="none"/>
        </w:rPr>
        <w:t>2、本表后附项目中标通知书、合同协议书等复印件（业绩以合同签订日期为准，须提供中标通知书、合同协议书的相关材料），具体年份要求见投标人须知前附表。每张表格只填写一个项目，并标明序号。</w:t>
      </w:r>
    </w:p>
    <w:p>
      <w:pPr>
        <w:pStyle w:val="6"/>
        <w:spacing w:before="0" w:after="0"/>
        <w:jc w:val="center"/>
        <w:rPr>
          <w:rFonts w:hint="eastAsia" w:ascii="宋体" w:hAnsi="宋体" w:cs="宋体"/>
          <w:color w:val="auto"/>
          <w:sz w:val="28"/>
          <w:szCs w:val="28"/>
          <w:highlight w:val="none"/>
        </w:rPr>
      </w:pPr>
      <w:bookmarkStart w:id="988" w:name="_Toc144974879"/>
      <w:bookmarkStart w:id="989" w:name="_Toc29296"/>
      <w:bookmarkStart w:id="990" w:name="_Toc265953297"/>
      <w:bookmarkStart w:id="991" w:name="_Toc296602621"/>
      <w:bookmarkStart w:id="992" w:name="_Toc247514303"/>
      <w:bookmarkStart w:id="993" w:name="_Toc152045811"/>
      <w:bookmarkStart w:id="994" w:name="_Toc5449"/>
      <w:bookmarkStart w:id="995" w:name="_Toc247527851"/>
      <w:bookmarkStart w:id="996" w:name="_Toc152042600"/>
      <w:r>
        <w:rPr>
          <w:rFonts w:hint="eastAsia" w:ascii="宋体" w:hAnsi="宋体" w:cs="宋体"/>
          <w:color w:val="auto"/>
          <w:sz w:val="28"/>
          <w:szCs w:val="28"/>
          <w:highlight w:val="none"/>
        </w:rPr>
        <w:t>（四）正在实施的和新承接的项目情况表</w:t>
      </w:r>
      <w:bookmarkEnd w:id="988"/>
      <w:bookmarkEnd w:id="989"/>
      <w:bookmarkEnd w:id="990"/>
      <w:bookmarkEnd w:id="991"/>
      <w:bookmarkEnd w:id="992"/>
      <w:bookmarkEnd w:id="993"/>
      <w:bookmarkEnd w:id="994"/>
      <w:bookmarkEnd w:id="995"/>
      <w:bookmarkEnd w:id="996"/>
    </w:p>
    <w:tbl>
      <w:tblPr>
        <w:tblStyle w:val="4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6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项目所在地</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发包人名称</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发包人地址</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发包人电话</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签约合同价</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开工日期</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计划竣工日期</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承担的工作</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工程质量</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建造师</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技术负责人</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9"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项目描述</w:t>
            </w:r>
          </w:p>
        </w:tc>
        <w:tc>
          <w:tcPr>
            <w:tcW w:w="6403" w:type="dxa"/>
            <w:noWrap w:val="0"/>
            <w:vAlign w:val="top"/>
          </w:tcPr>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p>
            <w:pPr>
              <w:topLinePunct/>
              <w:spacing w:line="440" w:lineRule="exact"/>
              <w:rPr>
                <w:rFonts w:hint="eastAsia" w:ascii="宋体"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19" w:type="dxa"/>
            <w:noWrap w:val="0"/>
            <w:vAlign w:val="center"/>
          </w:tcPr>
          <w:p>
            <w:pPr>
              <w:topLinePunct/>
              <w:spacing w:line="44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备注</w:t>
            </w:r>
          </w:p>
        </w:tc>
        <w:tc>
          <w:tcPr>
            <w:tcW w:w="6403" w:type="dxa"/>
            <w:noWrap w:val="0"/>
            <w:vAlign w:val="top"/>
          </w:tcPr>
          <w:p>
            <w:pPr>
              <w:topLinePunct/>
              <w:spacing w:line="440" w:lineRule="exact"/>
              <w:rPr>
                <w:rFonts w:hint="eastAsia" w:ascii="宋体" w:hAnsi="宋体" w:cs="宋体"/>
                <w:color w:val="auto"/>
                <w:sz w:val="22"/>
                <w:szCs w:val="22"/>
                <w:highlight w:val="none"/>
              </w:rPr>
            </w:pPr>
          </w:p>
        </w:tc>
      </w:tr>
    </w:tbl>
    <w:p>
      <w:pPr>
        <w:spacing w:line="360" w:lineRule="auto"/>
        <w:ind w:firstLine="220" w:firstLineChars="100"/>
        <w:rPr>
          <w:rFonts w:ascii="宋体" w:hAnsi="宋体" w:cs="宋体"/>
          <w:color w:val="auto"/>
          <w:sz w:val="22"/>
          <w:szCs w:val="22"/>
          <w:highlight w:val="none"/>
        </w:rPr>
      </w:pPr>
      <w:bookmarkStart w:id="997" w:name="_Toc246997117"/>
      <w:bookmarkStart w:id="998" w:name="_Toc296602622"/>
      <w:bookmarkStart w:id="999" w:name="_Toc247085892"/>
      <w:bookmarkStart w:id="1000" w:name="_Toc246996374"/>
      <w:bookmarkStart w:id="1001" w:name="_Toc30739"/>
      <w:r>
        <w:rPr>
          <w:rFonts w:hint="eastAsia" w:ascii="宋体" w:hAnsi="宋体" w:cs="宋体"/>
          <w:color w:val="auto"/>
          <w:sz w:val="22"/>
          <w:szCs w:val="22"/>
          <w:highlight w:val="none"/>
        </w:rPr>
        <w:t>备注：本表后附合同协议书或中标通知书复印件。每张表格只填写一个项目，并标明序号。</w:t>
      </w:r>
    </w:p>
    <w:p>
      <w:pPr>
        <w:rPr>
          <w:rFonts w:hint="eastAsia" w:ascii="宋体" w:hAnsi="宋体" w:cs="宋体"/>
          <w:color w:val="auto"/>
          <w:sz w:val="22"/>
          <w:szCs w:val="22"/>
          <w:highlight w:val="none"/>
        </w:rPr>
      </w:pPr>
    </w:p>
    <w:p>
      <w:pPr>
        <w:spacing w:before="0" w:after="0"/>
        <w:jc w:val="center"/>
        <w:outlineLvl w:val="9"/>
        <w:rPr>
          <w:rFonts w:hint="eastAsia" w:ascii="宋体" w:hAnsi="宋体" w:cs="宋体"/>
          <w:color w:val="auto"/>
          <w:sz w:val="28"/>
          <w:szCs w:val="28"/>
          <w:highlight w:val="yellow"/>
        </w:rPr>
      </w:pPr>
    </w:p>
    <w:p>
      <w:pPr>
        <w:pStyle w:val="2"/>
        <w:rPr>
          <w:rFonts w:hint="eastAsia"/>
        </w:rPr>
      </w:pPr>
    </w:p>
    <w:p>
      <w:pPr>
        <w:spacing w:line="360" w:lineRule="auto"/>
        <w:rPr>
          <w:rFonts w:hint="eastAsia" w:ascii="宋体" w:hAnsi="宋体" w:cs="宋体"/>
          <w:color w:val="auto"/>
          <w:sz w:val="22"/>
          <w:szCs w:val="22"/>
          <w:highlight w:val="none"/>
        </w:rPr>
      </w:pPr>
    </w:p>
    <w:p>
      <w:pPr>
        <w:pStyle w:val="6"/>
        <w:spacing w:before="0" w:after="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（五）</w:t>
      </w:r>
      <w:r>
        <w:rPr>
          <w:rFonts w:hint="eastAsia" w:ascii="宋体" w:hAnsi="宋体" w:eastAsia="宋体" w:cs="宋体"/>
          <w:color w:val="auto"/>
          <w:sz w:val="28"/>
          <w:szCs w:val="28"/>
          <w:highlight w:val="none"/>
        </w:rPr>
        <w:t>信用报告</w:t>
      </w:r>
    </w:p>
    <w:p>
      <w:pPr>
        <w:spacing w:before="312" w:beforeLines="100" w:after="312" w:afterLines="100"/>
        <w:jc w:val="left"/>
        <w:rPr>
          <w:rFonts w:hint="eastAsia" w:ascii="宋体" w:hAnsi="宋体" w:cs="宋体"/>
          <w:color w:val="auto"/>
          <w:sz w:val="22"/>
          <w:szCs w:val="22"/>
          <w:highlight w:val="none"/>
        </w:rPr>
      </w:pPr>
    </w:p>
    <w:bookmarkEnd w:id="975"/>
    <w:bookmarkEnd w:id="976"/>
    <w:bookmarkEnd w:id="977"/>
    <w:bookmarkEnd w:id="978"/>
    <w:bookmarkEnd w:id="997"/>
    <w:bookmarkEnd w:id="998"/>
    <w:bookmarkEnd w:id="999"/>
    <w:bookmarkEnd w:id="1000"/>
    <w:bookmarkEnd w:id="1001"/>
    <w:p>
      <w:pPr>
        <w:pStyle w:val="6"/>
        <w:spacing w:before="0" w:after="0"/>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（六）</w:t>
      </w:r>
      <w:r>
        <w:rPr>
          <w:rFonts w:hint="eastAsia" w:ascii="宋体" w:hAnsi="宋体" w:eastAsia="宋体" w:cs="宋体"/>
          <w:color w:val="auto"/>
          <w:sz w:val="28"/>
          <w:szCs w:val="28"/>
          <w:highlight w:val="none"/>
          <w:lang w:eastAsia="zh-CN"/>
        </w:rPr>
        <w:t>信誉承诺</w:t>
      </w:r>
    </w:p>
    <w:p>
      <w:pPr>
        <w:rPr>
          <w:rFonts w:hint="eastAsia" w:ascii="宋体" w:hAnsi="宋体" w:eastAsia="宋体" w:cs="宋体"/>
          <w:color w:val="auto"/>
          <w:spacing w:val="0"/>
          <w:w w:val="100"/>
          <w:position w:val="0"/>
          <w:szCs w:val="21"/>
          <w:highlight w:val="none"/>
        </w:rPr>
      </w:pPr>
    </w:p>
    <w:p>
      <w:pPr>
        <w:spacing w:line="360" w:lineRule="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kern w:val="0"/>
          <w:position w:val="0"/>
          <w:sz w:val="21"/>
          <w:szCs w:val="21"/>
          <w:highlight w:val="none"/>
          <w:u w:val="single"/>
        </w:rPr>
        <w:t>致：（填写招标人名称）</w:t>
      </w:r>
      <w:r>
        <w:rPr>
          <w:rFonts w:hint="eastAsia" w:ascii="宋体" w:hAnsi="宋体" w:eastAsia="宋体" w:cs="宋体"/>
          <w:color w:val="auto"/>
          <w:spacing w:val="0"/>
          <w:w w:val="100"/>
          <w:position w:val="0"/>
          <w:sz w:val="21"/>
          <w:szCs w:val="21"/>
          <w:highlight w:val="none"/>
        </w:rPr>
        <w:t>：</w:t>
      </w:r>
    </w:p>
    <w:p>
      <w:pPr>
        <w:spacing w:line="500" w:lineRule="exact"/>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spacing w:line="500" w:lineRule="exact"/>
        <w:ind w:firstLine="440" w:firstLineChars="200"/>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我公司郑重承诺未处于被责令停业、投标资格被取消或财产被接管、冻结和破产状态；最近三年内没有骗取中标或者严重违约以及重大工程质量、安全生产事故等问题，未存在被有关部门暂停投标资格并在暂停期内的情况。</w:t>
      </w:r>
    </w:p>
    <w:p>
      <w:pPr>
        <w:spacing w:line="500" w:lineRule="exact"/>
        <w:ind w:firstLine="440" w:firstLineChars="200"/>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若招标人发现我公司存在以上情况，招标人有权取消我单位</w:t>
      </w:r>
      <w:r>
        <w:rPr>
          <w:rFonts w:hint="eastAsia" w:ascii="宋体" w:hAnsi="宋体" w:eastAsia="宋体" w:cs="宋体"/>
          <w:color w:val="auto"/>
          <w:spacing w:val="0"/>
          <w:w w:val="100"/>
          <w:position w:val="0"/>
          <w:sz w:val="22"/>
          <w:szCs w:val="22"/>
          <w:highlight w:val="none"/>
          <w:lang w:val="en-US" w:eastAsia="zh-CN"/>
        </w:rPr>
        <w:t>投标</w:t>
      </w:r>
      <w:r>
        <w:rPr>
          <w:rFonts w:hint="eastAsia" w:ascii="宋体" w:hAnsi="宋体" w:eastAsia="宋体" w:cs="宋体"/>
          <w:color w:val="auto"/>
          <w:spacing w:val="0"/>
          <w:w w:val="100"/>
          <w:position w:val="0"/>
          <w:sz w:val="22"/>
          <w:szCs w:val="22"/>
          <w:highlight w:val="none"/>
        </w:rPr>
        <w:t>资格或中标资格、拒签或提前</w:t>
      </w:r>
      <w:r>
        <w:rPr>
          <w:rFonts w:hint="eastAsia" w:ascii="宋体" w:hAnsi="宋体" w:eastAsia="宋体" w:cs="宋体"/>
          <w:color w:val="auto"/>
          <w:spacing w:val="0"/>
          <w:w w:val="100"/>
          <w:position w:val="0"/>
          <w:sz w:val="22"/>
          <w:szCs w:val="22"/>
          <w:highlight w:val="none"/>
          <w:lang w:val="en-US" w:eastAsia="zh-CN"/>
        </w:rPr>
        <w:t>终</w:t>
      </w:r>
      <w:r>
        <w:rPr>
          <w:rFonts w:hint="eastAsia" w:ascii="宋体" w:hAnsi="宋体" w:eastAsia="宋体" w:cs="宋体"/>
          <w:color w:val="auto"/>
          <w:spacing w:val="0"/>
          <w:w w:val="100"/>
          <w:position w:val="0"/>
          <w:sz w:val="22"/>
          <w:szCs w:val="22"/>
          <w:highlight w:val="none"/>
        </w:rPr>
        <w:t>止合同，并向有关建设主管部门上报作进一步处罚，同时我单位自愿接受招标人要求赔偿的相应损失并承担由此带来的一切法律责任。</w:t>
      </w:r>
    </w:p>
    <w:p>
      <w:pPr>
        <w:spacing w:line="500" w:lineRule="exact"/>
        <w:ind w:firstLine="440" w:firstLineChars="200"/>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2"/>
          <w:szCs w:val="22"/>
          <w:highlight w:val="none"/>
        </w:rPr>
        <w:t xml:space="preserve">    特此承诺</w:t>
      </w:r>
    </w:p>
    <w:p>
      <w:pPr>
        <w:spacing w:line="500" w:lineRule="exact"/>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spacing w:line="500" w:lineRule="exact"/>
        <w:ind w:firstLine="420" w:firstLineChars="200"/>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autoSpaceDE w:val="0"/>
        <w:autoSpaceDN w:val="0"/>
        <w:adjustRightInd w:val="0"/>
        <w:spacing w:line="360" w:lineRule="auto"/>
        <w:ind w:right="210"/>
        <w:jc w:val="right"/>
        <w:rPr>
          <w:rFonts w:hint="eastAsia" w:ascii="宋体" w:hAnsi="宋体" w:eastAsia="宋体" w:cs="宋体"/>
          <w:bCs/>
          <w:color w:val="auto"/>
          <w:spacing w:val="0"/>
          <w:w w:val="100"/>
          <w:kern w:val="0"/>
          <w:position w:val="0"/>
          <w:sz w:val="21"/>
          <w:szCs w:val="21"/>
          <w:highlight w:val="none"/>
        </w:rPr>
      </w:pPr>
      <w:r>
        <w:rPr>
          <w:rFonts w:hint="eastAsia" w:ascii="宋体" w:hAnsi="宋体" w:eastAsia="宋体" w:cs="宋体"/>
          <w:bCs/>
          <w:color w:val="auto"/>
          <w:spacing w:val="0"/>
          <w:w w:val="100"/>
          <w:kern w:val="0"/>
          <w:position w:val="0"/>
          <w:sz w:val="21"/>
          <w:szCs w:val="21"/>
          <w:highlight w:val="none"/>
        </w:rPr>
        <w:t>投标人：</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（盖电子公章）</w:t>
      </w:r>
    </w:p>
    <w:p>
      <w:pPr>
        <w:autoSpaceDE w:val="0"/>
        <w:autoSpaceDN w:val="0"/>
        <w:adjustRightInd w:val="0"/>
        <w:spacing w:line="360" w:lineRule="auto"/>
        <w:jc w:val="right"/>
        <w:outlineLvl w:val="9"/>
        <w:rPr>
          <w:rFonts w:hint="eastAsia" w:ascii="宋体" w:hAnsi="宋体" w:eastAsia="宋体" w:cs="宋体"/>
          <w:bCs/>
          <w:color w:val="auto"/>
          <w:spacing w:val="0"/>
          <w:w w:val="100"/>
          <w:kern w:val="0"/>
          <w:position w:val="0"/>
          <w:sz w:val="21"/>
          <w:szCs w:val="21"/>
          <w:highlight w:val="none"/>
        </w:rPr>
      </w:pPr>
      <w:r>
        <w:rPr>
          <w:rFonts w:hint="eastAsia" w:ascii="宋体" w:hAnsi="宋体" w:eastAsia="宋体" w:cs="宋体"/>
          <w:bCs/>
          <w:color w:val="auto"/>
          <w:spacing w:val="0"/>
          <w:w w:val="100"/>
          <w:kern w:val="0"/>
          <w:position w:val="0"/>
          <w:sz w:val="21"/>
          <w:szCs w:val="21"/>
          <w:highlight w:val="none"/>
        </w:rPr>
        <w:t>法定代表人或其委托代理人：</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（签字或电子章）</w:t>
      </w:r>
    </w:p>
    <w:p>
      <w:pPr>
        <w:autoSpaceDE w:val="0"/>
        <w:autoSpaceDN w:val="0"/>
        <w:adjustRightInd w:val="0"/>
        <w:spacing w:line="360" w:lineRule="auto"/>
        <w:jc w:val="center"/>
        <w:rPr>
          <w:rFonts w:hint="eastAsia" w:ascii="宋体" w:hAnsi="宋体" w:eastAsia="宋体" w:cs="宋体"/>
          <w:color w:val="auto"/>
          <w:spacing w:val="0"/>
          <w:w w:val="100"/>
          <w:position w:val="0"/>
          <w:sz w:val="21"/>
          <w:szCs w:val="21"/>
          <w:highlight w:val="none"/>
        </w:rPr>
      </w:pPr>
      <w:r>
        <w:rPr>
          <w:rFonts w:hint="eastAsia" w:ascii="宋体" w:hAnsi="宋体" w:eastAsia="宋体" w:cs="宋体"/>
          <w:bCs/>
          <w:color w:val="auto"/>
          <w:spacing w:val="0"/>
          <w:w w:val="100"/>
          <w:kern w:val="0"/>
          <w:position w:val="0"/>
          <w:sz w:val="21"/>
          <w:szCs w:val="21"/>
          <w:highlight w:val="none"/>
          <w:lang w:val="en-US" w:eastAsia="zh-CN"/>
        </w:rPr>
        <w:t xml:space="preserve">             </w:t>
      </w:r>
      <w:r>
        <w:rPr>
          <w:rFonts w:hint="eastAsia" w:ascii="宋体" w:hAnsi="宋体" w:eastAsia="宋体" w:cs="宋体"/>
          <w:bCs/>
          <w:color w:val="auto"/>
          <w:spacing w:val="0"/>
          <w:w w:val="100"/>
          <w:kern w:val="0"/>
          <w:position w:val="0"/>
          <w:sz w:val="21"/>
          <w:szCs w:val="21"/>
          <w:highlight w:val="none"/>
        </w:rPr>
        <w:t>日期：</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年</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月</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日</w:t>
      </w:r>
    </w:p>
    <w:p>
      <w:pPr>
        <w:pStyle w:val="247"/>
        <w:widowControl/>
        <w:jc w:val="center"/>
        <w:outlineLvl w:val="2"/>
        <w:rPr>
          <w:rFonts w:hint="eastAsia" w:ascii="宋体" w:hAnsi="宋体" w:eastAsia="宋体" w:cs="宋体"/>
          <w:color w:val="auto"/>
          <w:spacing w:val="0"/>
          <w:w w:val="100"/>
          <w:position w:val="0"/>
          <w:sz w:val="22"/>
          <w:szCs w:val="22"/>
          <w:highlight w:val="none"/>
        </w:rPr>
      </w:pPr>
      <w:r>
        <w:rPr>
          <w:rFonts w:hint="eastAsia" w:ascii="宋体" w:hAnsi="宋体" w:eastAsia="宋体" w:cs="宋体"/>
          <w:color w:val="auto"/>
          <w:spacing w:val="0"/>
          <w:w w:val="100"/>
          <w:position w:val="0"/>
          <w:sz w:val="21"/>
          <w:szCs w:val="21"/>
          <w:highlight w:val="none"/>
        </w:rPr>
        <w:br w:type="page"/>
      </w:r>
      <w:r>
        <w:rPr>
          <w:rFonts w:hint="eastAsia" w:ascii="宋体" w:hAnsi="宋体" w:eastAsia="宋体" w:cs="宋体"/>
          <w:b/>
          <w:bCs/>
          <w:color w:val="auto"/>
          <w:kern w:val="2"/>
          <w:sz w:val="28"/>
          <w:szCs w:val="28"/>
          <w:highlight w:val="none"/>
          <w:lang w:val="en-US" w:eastAsia="zh-CN" w:bidi="ar-SA"/>
        </w:rPr>
        <w:t>（七）无行贿承诺</w:t>
      </w: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spacing w:line="360" w:lineRule="auto"/>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kern w:val="0"/>
          <w:position w:val="0"/>
          <w:sz w:val="21"/>
          <w:szCs w:val="21"/>
          <w:highlight w:val="none"/>
          <w:u w:val="single"/>
        </w:rPr>
        <w:t>致：（填写招标人名称）</w:t>
      </w:r>
      <w:r>
        <w:rPr>
          <w:rFonts w:hint="eastAsia" w:ascii="宋体" w:hAnsi="宋体" w:eastAsia="宋体" w:cs="宋体"/>
          <w:color w:val="auto"/>
          <w:spacing w:val="0"/>
          <w:w w:val="100"/>
          <w:position w:val="0"/>
          <w:sz w:val="21"/>
          <w:szCs w:val="21"/>
          <w:highlight w:val="none"/>
        </w:rPr>
        <w:t>：</w:t>
      </w:r>
    </w:p>
    <w:p>
      <w:pPr>
        <w:spacing w:line="500" w:lineRule="exact"/>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spacing w:line="500" w:lineRule="exact"/>
        <w:ind w:firstLine="840" w:firstLineChars="4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lang w:val="en-US" w:eastAsia="zh-CN"/>
        </w:rPr>
        <w:t xml:space="preserve">   </w:t>
      </w:r>
      <w:r>
        <w:rPr>
          <w:rFonts w:hint="eastAsia" w:ascii="宋体" w:hAnsi="宋体" w:eastAsia="宋体" w:cs="宋体"/>
          <w:color w:val="auto"/>
          <w:spacing w:val="0"/>
          <w:w w:val="100"/>
          <w:position w:val="0"/>
          <w:sz w:val="21"/>
          <w:szCs w:val="21"/>
          <w:highlight w:val="none"/>
        </w:rPr>
        <w:t>日以来我公司</w:t>
      </w:r>
      <w:r>
        <w:rPr>
          <w:rFonts w:hint="eastAsia" w:ascii="宋体" w:hAnsi="宋体" w:eastAsia="宋体" w:cs="宋体"/>
          <w:color w:val="auto"/>
          <w:spacing w:val="0"/>
          <w:w w:val="100"/>
          <w:position w:val="0"/>
          <w:sz w:val="21"/>
          <w:szCs w:val="21"/>
          <w:highlight w:val="none"/>
          <w:u w:val="single"/>
        </w:rPr>
        <w:t xml:space="preserve">    （企业名称）   </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color w:val="auto"/>
          <w:spacing w:val="0"/>
          <w:w w:val="100"/>
          <w:position w:val="0"/>
          <w:sz w:val="21"/>
          <w:szCs w:val="21"/>
          <w:highlight w:val="none"/>
          <w:u w:val="single"/>
        </w:rPr>
        <w:t xml:space="preserve"> 企业法定代表人姓名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none"/>
        </w:rPr>
        <w:t>（身份证号：</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none"/>
        </w:rPr>
        <w:t>），</w:t>
      </w:r>
      <w:r>
        <w:rPr>
          <w:rFonts w:hint="eastAsia" w:ascii="宋体" w:hAnsi="宋体" w:eastAsia="宋体" w:cs="宋体"/>
          <w:color w:val="auto"/>
          <w:spacing w:val="0"/>
          <w:w w:val="100"/>
          <w:position w:val="0"/>
          <w:sz w:val="21"/>
          <w:szCs w:val="21"/>
          <w:highlight w:val="none"/>
          <w:u w:val="single"/>
        </w:rPr>
        <w:t xml:space="preserve">    项目经理姓名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none"/>
        </w:rPr>
        <w:t>（身份证号：</w:t>
      </w:r>
      <w:r>
        <w:rPr>
          <w:rFonts w:hint="eastAsia" w:ascii="宋体" w:hAnsi="宋体" w:eastAsia="宋体" w:cs="宋体"/>
          <w:color w:val="auto"/>
          <w:spacing w:val="0"/>
          <w:w w:val="100"/>
          <w:position w:val="0"/>
          <w:sz w:val="21"/>
          <w:szCs w:val="21"/>
          <w:highlight w:val="none"/>
          <w:u w:val="single"/>
        </w:rPr>
        <w:t xml:space="preserve">      </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u w:val="none"/>
        </w:rPr>
        <w:t>）</w:t>
      </w:r>
      <w:r>
        <w:rPr>
          <w:rFonts w:hint="eastAsia" w:ascii="宋体" w:hAnsi="宋体" w:eastAsia="宋体" w:cs="宋体"/>
          <w:color w:val="auto"/>
          <w:spacing w:val="0"/>
          <w:w w:val="100"/>
          <w:position w:val="0"/>
          <w:sz w:val="21"/>
          <w:szCs w:val="21"/>
          <w:highlight w:val="none"/>
        </w:rPr>
        <w:t>无行贿犯罪记录。</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若招标人发现我公司存在以上情况，招标人有权取消我单位</w:t>
      </w:r>
      <w:r>
        <w:rPr>
          <w:rFonts w:hint="eastAsia" w:ascii="宋体" w:hAnsi="宋体" w:eastAsia="宋体" w:cs="宋体"/>
          <w:color w:val="auto"/>
          <w:spacing w:val="0"/>
          <w:w w:val="100"/>
          <w:position w:val="0"/>
          <w:sz w:val="21"/>
          <w:szCs w:val="21"/>
          <w:highlight w:val="none"/>
          <w:lang w:val="en-US" w:eastAsia="zh-CN"/>
        </w:rPr>
        <w:t>投标</w:t>
      </w:r>
      <w:r>
        <w:rPr>
          <w:rFonts w:hint="eastAsia" w:ascii="宋体" w:hAnsi="宋体" w:eastAsia="宋体" w:cs="宋体"/>
          <w:color w:val="auto"/>
          <w:spacing w:val="0"/>
          <w:w w:val="100"/>
          <w:position w:val="0"/>
          <w:sz w:val="21"/>
          <w:szCs w:val="21"/>
          <w:highlight w:val="none"/>
        </w:rPr>
        <w:t>资格或中标资格、拒签或提前</w:t>
      </w:r>
      <w:r>
        <w:rPr>
          <w:rFonts w:hint="eastAsia" w:ascii="宋体" w:hAnsi="宋体" w:eastAsia="宋体" w:cs="宋体"/>
          <w:color w:val="auto"/>
          <w:spacing w:val="0"/>
          <w:w w:val="100"/>
          <w:position w:val="0"/>
          <w:sz w:val="21"/>
          <w:szCs w:val="21"/>
          <w:highlight w:val="none"/>
          <w:lang w:val="en-US" w:eastAsia="zh-CN"/>
        </w:rPr>
        <w:t>终</w:t>
      </w:r>
      <w:r>
        <w:rPr>
          <w:rFonts w:hint="eastAsia" w:ascii="宋体" w:hAnsi="宋体" w:eastAsia="宋体" w:cs="宋体"/>
          <w:color w:val="auto"/>
          <w:spacing w:val="0"/>
          <w:w w:val="100"/>
          <w:position w:val="0"/>
          <w:sz w:val="21"/>
          <w:szCs w:val="21"/>
          <w:highlight w:val="none"/>
        </w:rPr>
        <w:t>止合同，并向有关建设主管部门上报作进一步处罚</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同时我单位自愿接受招标人要求赔偿的相应损失并承担由此带来的一切法律责任。</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特此承诺</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autoSpaceDE w:val="0"/>
        <w:autoSpaceDN w:val="0"/>
        <w:adjustRightInd w:val="0"/>
        <w:spacing w:line="360" w:lineRule="auto"/>
        <w:ind w:right="210"/>
        <w:jc w:val="right"/>
        <w:outlineLvl w:val="9"/>
        <w:rPr>
          <w:rFonts w:hint="eastAsia" w:ascii="宋体" w:hAnsi="宋体" w:eastAsia="宋体" w:cs="宋体"/>
          <w:bCs/>
          <w:color w:val="auto"/>
          <w:spacing w:val="0"/>
          <w:w w:val="100"/>
          <w:kern w:val="0"/>
          <w:position w:val="0"/>
          <w:sz w:val="21"/>
          <w:szCs w:val="21"/>
          <w:highlight w:val="none"/>
        </w:rPr>
      </w:pPr>
      <w:r>
        <w:rPr>
          <w:rFonts w:hint="eastAsia" w:ascii="宋体" w:hAnsi="宋体" w:eastAsia="宋体" w:cs="宋体"/>
          <w:bCs/>
          <w:color w:val="auto"/>
          <w:spacing w:val="0"/>
          <w:w w:val="100"/>
          <w:kern w:val="0"/>
          <w:position w:val="0"/>
          <w:sz w:val="21"/>
          <w:szCs w:val="21"/>
          <w:highlight w:val="none"/>
        </w:rPr>
        <w:t>投标人：</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（盖电子公章）</w:t>
      </w:r>
    </w:p>
    <w:p>
      <w:pPr>
        <w:autoSpaceDE w:val="0"/>
        <w:autoSpaceDN w:val="0"/>
        <w:adjustRightInd w:val="0"/>
        <w:spacing w:line="360" w:lineRule="auto"/>
        <w:jc w:val="right"/>
        <w:outlineLvl w:val="9"/>
        <w:rPr>
          <w:rFonts w:hint="eastAsia" w:ascii="宋体" w:hAnsi="宋体" w:eastAsia="宋体" w:cs="宋体"/>
          <w:bCs/>
          <w:color w:val="auto"/>
          <w:spacing w:val="0"/>
          <w:w w:val="100"/>
          <w:kern w:val="0"/>
          <w:position w:val="0"/>
          <w:sz w:val="21"/>
          <w:szCs w:val="21"/>
          <w:highlight w:val="none"/>
        </w:rPr>
      </w:pPr>
      <w:r>
        <w:rPr>
          <w:rFonts w:hint="eastAsia" w:ascii="宋体" w:hAnsi="宋体" w:eastAsia="宋体" w:cs="宋体"/>
          <w:bCs/>
          <w:color w:val="auto"/>
          <w:spacing w:val="0"/>
          <w:w w:val="100"/>
          <w:kern w:val="0"/>
          <w:position w:val="0"/>
          <w:sz w:val="21"/>
          <w:szCs w:val="21"/>
          <w:highlight w:val="none"/>
        </w:rPr>
        <w:t>法定代表人或其委托代理人：</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（签字或电子章）</w:t>
      </w:r>
    </w:p>
    <w:p>
      <w:pPr>
        <w:autoSpaceDE w:val="0"/>
        <w:autoSpaceDN w:val="0"/>
        <w:adjustRightInd w:val="0"/>
        <w:spacing w:line="360" w:lineRule="auto"/>
        <w:jc w:val="center"/>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bCs/>
          <w:color w:val="auto"/>
          <w:spacing w:val="0"/>
          <w:w w:val="100"/>
          <w:kern w:val="0"/>
          <w:position w:val="0"/>
          <w:sz w:val="21"/>
          <w:szCs w:val="21"/>
          <w:highlight w:val="none"/>
          <w:lang w:val="en-US" w:eastAsia="zh-CN"/>
        </w:rPr>
        <w:t xml:space="preserve">             </w:t>
      </w:r>
      <w:r>
        <w:rPr>
          <w:rFonts w:hint="eastAsia" w:ascii="宋体" w:hAnsi="宋体" w:eastAsia="宋体" w:cs="宋体"/>
          <w:bCs/>
          <w:color w:val="auto"/>
          <w:spacing w:val="0"/>
          <w:w w:val="100"/>
          <w:kern w:val="0"/>
          <w:position w:val="0"/>
          <w:sz w:val="21"/>
          <w:szCs w:val="21"/>
          <w:highlight w:val="none"/>
        </w:rPr>
        <w:t>日期：</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年</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月</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日</w:t>
      </w: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outlineLvl w:val="9"/>
        <w:rPr>
          <w:rFonts w:hint="eastAsia" w:ascii="宋体" w:hAnsi="宋体" w:eastAsia="宋体" w:cs="宋体"/>
          <w:color w:val="auto"/>
          <w:spacing w:val="0"/>
          <w:w w:val="100"/>
          <w:position w:val="0"/>
          <w:sz w:val="21"/>
          <w:szCs w:val="21"/>
          <w:highlight w:val="none"/>
        </w:rPr>
      </w:pPr>
    </w:p>
    <w:p>
      <w:pPr>
        <w:pStyle w:val="2"/>
        <w:spacing w:after="0" w:line="360" w:lineRule="auto"/>
        <w:ind w:firstLine="420" w:firstLineChars="200"/>
        <w:jc w:val="center"/>
        <w:outlineLvl w:val="2"/>
        <w:rPr>
          <w:rFonts w:hint="eastAsia" w:ascii="宋体" w:hAnsi="宋体" w:eastAsia="宋体" w:cs="宋体"/>
          <w:b/>
          <w:color w:val="auto"/>
          <w:spacing w:val="0"/>
          <w:w w:val="100"/>
          <w:position w:val="0"/>
          <w:sz w:val="22"/>
          <w:szCs w:val="22"/>
          <w:highlight w:val="none"/>
        </w:rPr>
      </w:pPr>
      <w:r>
        <w:rPr>
          <w:rFonts w:hint="eastAsia" w:ascii="宋体" w:hAnsi="宋体" w:eastAsia="宋体" w:cs="宋体"/>
          <w:color w:val="auto"/>
          <w:spacing w:val="0"/>
          <w:w w:val="100"/>
          <w:position w:val="0"/>
          <w:sz w:val="21"/>
          <w:szCs w:val="21"/>
          <w:highlight w:val="none"/>
        </w:rPr>
        <w:br w:type="page"/>
      </w:r>
      <w:r>
        <w:rPr>
          <w:rFonts w:hint="eastAsia" w:ascii="宋体" w:hAnsi="宋体" w:eastAsia="宋体" w:cs="宋体"/>
          <w:b/>
          <w:bCs/>
          <w:color w:val="auto"/>
          <w:kern w:val="2"/>
          <w:sz w:val="28"/>
          <w:szCs w:val="28"/>
          <w:highlight w:val="none"/>
          <w:lang w:val="en-US" w:eastAsia="zh-CN" w:bidi="ar-SA"/>
        </w:rPr>
        <w:t>（八）未被列入环保失信黑名单承诺</w:t>
      </w:r>
    </w:p>
    <w:p>
      <w:pPr>
        <w:spacing w:line="360" w:lineRule="auto"/>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kern w:val="0"/>
          <w:position w:val="0"/>
          <w:sz w:val="21"/>
          <w:szCs w:val="21"/>
          <w:highlight w:val="none"/>
          <w:u w:val="single"/>
        </w:rPr>
        <w:t>致：（填写招标人名称）</w:t>
      </w:r>
      <w:r>
        <w:rPr>
          <w:rFonts w:hint="eastAsia" w:ascii="宋体" w:hAnsi="宋体" w:eastAsia="宋体" w:cs="宋体"/>
          <w:color w:val="auto"/>
          <w:spacing w:val="0"/>
          <w:w w:val="100"/>
          <w:position w:val="0"/>
          <w:sz w:val="21"/>
          <w:szCs w:val="21"/>
          <w:highlight w:val="none"/>
        </w:rPr>
        <w:t>：</w:t>
      </w:r>
    </w:p>
    <w:p>
      <w:pPr>
        <w:spacing w:line="500" w:lineRule="exact"/>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我公司</w:t>
      </w:r>
      <w:r>
        <w:rPr>
          <w:rFonts w:hint="eastAsia" w:ascii="宋体" w:hAnsi="宋体" w:eastAsia="宋体" w:cs="宋体"/>
          <w:color w:val="auto"/>
          <w:spacing w:val="0"/>
          <w:w w:val="100"/>
          <w:position w:val="0"/>
          <w:sz w:val="21"/>
          <w:szCs w:val="21"/>
          <w:highlight w:val="none"/>
          <w:u w:val="single"/>
        </w:rPr>
        <w:t xml:space="preserve">       （公司名称）              </w:t>
      </w:r>
      <w:r>
        <w:rPr>
          <w:rFonts w:hint="eastAsia" w:ascii="宋体" w:hAnsi="宋体" w:eastAsia="宋体" w:cs="宋体"/>
          <w:color w:val="auto"/>
          <w:spacing w:val="0"/>
          <w:w w:val="100"/>
          <w:position w:val="0"/>
          <w:sz w:val="21"/>
          <w:szCs w:val="21"/>
          <w:highlight w:val="none"/>
        </w:rPr>
        <w:t>未被列入环保失信黑名单。</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若招标人发现我公司存在以上情况，招标人有权取消我单位</w:t>
      </w:r>
      <w:r>
        <w:rPr>
          <w:rFonts w:hint="eastAsia" w:ascii="宋体" w:hAnsi="宋体" w:eastAsia="宋体" w:cs="宋体"/>
          <w:color w:val="auto"/>
          <w:spacing w:val="0"/>
          <w:w w:val="100"/>
          <w:position w:val="0"/>
          <w:sz w:val="21"/>
          <w:szCs w:val="21"/>
          <w:highlight w:val="none"/>
          <w:lang w:val="en-US" w:eastAsia="zh-CN"/>
        </w:rPr>
        <w:t>投标</w:t>
      </w:r>
      <w:r>
        <w:rPr>
          <w:rFonts w:hint="eastAsia" w:ascii="宋体" w:hAnsi="宋体" w:eastAsia="宋体" w:cs="宋体"/>
          <w:color w:val="auto"/>
          <w:spacing w:val="0"/>
          <w:w w:val="100"/>
          <w:position w:val="0"/>
          <w:sz w:val="21"/>
          <w:szCs w:val="21"/>
          <w:highlight w:val="none"/>
        </w:rPr>
        <w:t>资格或中标资格、拒签或提前</w:t>
      </w:r>
      <w:r>
        <w:rPr>
          <w:rFonts w:hint="eastAsia" w:ascii="宋体" w:hAnsi="宋体" w:eastAsia="宋体" w:cs="宋体"/>
          <w:color w:val="auto"/>
          <w:spacing w:val="0"/>
          <w:w w:val="100"/>
          <w:position w:val="0"/>
          <w:sz w:val="21"/>
          <w:szCs w:val="21"/>
          <w:highlight w:val="none"/>
          <w:lang w:val="en-US" w:eastAsia="zh-CN"/>
        </w:rPr>
        <w:t>终</w:t>
      </w:r>
      <w:r>
        <w:rPr>
          <w:rFonts w:hint="eastAsia" w:ascii="宋体" w:hAnsi="宋体" w:eastAsia="宋体" w:cs="宋体"/>
          <w:color w:val="auto"/>
          <w:spacing w:val="0"/>
          <w:w w:val="100"/>
          <w:position w:val="0"/>
          <w:sz w:val="21"/>
          <w:szCs w:val="21"/>
          <w:highlight w:val="none"/>
        </w:rPr>
        <w:t>止合同，并向有关建设主管部门上报作进一步处罚</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同时我单位自愿接受招标人要求赔偿的相应损失并承担由此带来的一切法律责任。</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p>
    <w:p>
      <w:pPr>
        <w:spacing w:line="500" w:lineRule="exact"/>
        <w:ind w:firstLine="315" w:firstLineChars="15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特此承诺</w:t>
      </w: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pStyle w:val="47"/>
        <w:ind w:firstLine="240"/>
        <w:outlineLvl w:val="9"/>
        <w:rPr>
          <w:rFonts w:hint="eastAsia" w:ascii="宋体" w:hAnsi="宋体" w:eastAsia="宋体" w:cs="宋体"/>
          <w:color w:val="auto"/>
          <w:spacing w:val="0"/>
          <w:w w:val="100"/>
          <w:position w:val="0"/>
          <w:highlight w:val="none"/>
        </w:rPr>
      </w:pPr>
    </w:p>
    <w:p>
      <w:pPr>
        <w:pStyle w:val="48"/>
        <w:ind w:left="480" w:firstLine="400"/>
        <w:outlineLvl w:val="9"/>
        <w:rPr>
          <w:rFonts w:hint="eastAsia" w:ascii="宋体" w:hAnsi="宋体" w:eastAsia="宋体" w:cs="宋体"/>
          <w:color w:val="auto"/>
          <w:spacing w:val="0"/>
          <w:w w:val="100"/>
          <w:position w:val="0"/>
          <w:highlight w:val="none"/>
        </w:rPr>
      </w:pPr>
    </w:p>
    <w:p>
      <w:pPr>
        <w:pStyle w:val="48"/>
        <w:ind w:left="480" w:firstLine="400"/>
        <w:outlineLvl w:val="9"/>
        <w:rPr>
          <w:rFonts w:hint="eastAsia" w:ascii="宋体" w:hAnsi="宋体" w:eastAsia="宋体" w:cs="宋体"/>
          <w:color w:val="auto"/>
          <w:spacing w:val="0"/>
          <w:w w:val="100"/>
          <w:position w:val="0"/>
          <w:highlight w:val="none"/>
        </w:rPr>
      </w:pPr>
    </w:p>
    <w:p>
      <w:pPr>
        <w:spacing w:line="500" w:lineRule="exact"/>
        <w:ind w:firstLine="420" w:firstLineChars="200"/>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 </w:t>
      </w:r>
    </w:p>
    <w:p>
      <w:pPr>
        <w:autoSpaceDE w:val="0"/>
        <w:autoSpaceDN w:val="0"/>
        <w:adjustRightInd w:val="0"/>
        <w:spacing w:line="360" w:lineRule="auto"/>
        <w:ind w:right="210"/>
        <w:jc w:val="right"/>
        <w:outlineLvl w:val="9"/>
        <w:rPr>
          <w:rFonts w:hint="eastAsia" w:ascii="宋体" w:hAnsi="宋体" w:eastAsia="宋体" w:cs="宋体"/>
          <w:bCs/>
          <w:color w:val="auto"/>
          <w:spacing w:val="0"/>
          <w:w w:val="100"/>
          <w:kern w:val="0"/>
          <w:position w:val="0"/>
          <w:sz w:val="21"/>
          <w:szCs w:val="21"/>
          <w:highlight w:val="none"/>
        </w:rPr>
      </w:pPr>
      <w:r>
        <w:rPr>
          <w:rFonts w:hint="eastAsia" w:ascii="宋体" w:hAnsi="宋体" w:eastAsia="宋体" w:cs="宋体"/>
          <w:bCs/>
          <w:color w:val="auto"/>
          <w:spacing w:val="0"/>
          <w:w w:val="100"/>
          <w:kern w:val="0"/>
          <w:position w:val="0"/>
          <w:sz w:val="21"/>
          <w:szCs w:val="21"/>
          <w:highlight w:val="none"/>
        </w:rPr>
        <w:t>投标人：</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（盖电子公章）</w:t>
      </w:r>
    </w:p>
    <w:p>
      <w:pPr>
        <w:autoSpaceDE w:val="0"/>
        <w:autoSpaceDN w:val="0"/>
        <w:adjustRightInd w:val="0"/>
        <w:spacing w:line="360" w:lineRule="auto"/>
        <w:jc w:val="right"/>
        <w:outlineLvl w:val="9"/>
        <w:rPr>
          <w:rFonts w:hint="eastAsia" w:ascii="宋体" w:hAnsi="宋体" w:eastAsia="宋体" w:cs="宋体"/>
          <w:bCs/>
          <w:color w:val="auto"/>
          <w:spacing w:val="0"/>
          <w:w w:val="100"/>
          <w:kern w:val="0"/>
          <w:position w:val="0"/>
          <w:sz w:val="21"/>
          <w:szCs w:val="21"/>
          <w:highlight w:val="none"/>
        </w:rPr>
      </w:pPr>
      <w:r>
        <w:rPr>
          <w:rFonts w:hint="eastAsia" w:ascii="宋体" w:hAnsi="宋体" w:eastAsia="宋体" w:cs="宋体"/>
          <w:bCs/>
          <w:color w:val="auto"/>
          <w:spacing w:val="0"/>
          <w:w w:val="100"/>
          <w:kern w:val="0"/>
          <w:position w:val="0"/>
          <w:sz w:val="21"/>
          <w:szCs w:val="21"/>
          <w:highlight w:val="none"/>
        </w:rPr>
        <w:t>法定代表人或其委托代理人：</w:t>
      </w:r>
      <w:r>
        <w:rPr>
          <w:rFonts w:hint="eastAsia" w:ascii="宋体" w:hAnsi="宋体" w:eastAsia="宋体" w:cs="宋体"/>
          <w:bCs/>
          <w:color w:val="auto"/>
          <w:spacing w:val="0"/>
          <w:w w:val="100"/>
          <w:kern w:val="0"/>
          <w:position w:val="0"/>
          <w:sz w:val="21"/>
          <w:szCs w:val="21"/>
          <w:highlight w:val="none"/>
          <w:u w:val="single"/>
        </w:rPr>
        <w:t xml:space="preserve">           </w:t>
      </w:r>
      <w:r>
        <w:rPr>
          <w:rFonts w:hint="eastAsia" w:ascii="宋体" w:hAnsi="宋体" w:eastAsia="宋体" w:cs="宋体"/>
          <w:bCs/>
          <w:color w:val="auto"/>
          <w:spacing w:val="0"/>
          <w:w w:val="100"/>
          <w:kern w:val="0"/>
          <w:position w:val="0"/>
          <w:sz w:val="21"/>
          <w:szCs w:val="21"/>
          <w:highlight w:val="none"/>
        </w:rPr>
        <w:t>（签字或电子章）</w:t>
      </w:r>
    </w:p>
    <w:p>
      <w:pPr>
        <w:pStyle w:val="2"/>
        <w:spacing w:after="0" w:line="360" w:lineRule="auto"/>
        <w:ind w:firstLine="420" w:firstLineChars="200"/>
        <w:jc w:val="center"/>
        <w:outlineLvl w:val="9"/>
        <w:rPr>
          <w:rFonts w:hint="eastAsia" w:ascii="宋体" w:hAnsi="宋体" w:eastAsia="宋体" w:cs="宋体"/>
          <w:bCs/>
          <w:color w:val="auto"/>
          <w:spacing w:val="0"/>
          <w:w w:val="100"/>
          <w:position w:val="0"/>
          <w:sz w:val="21"/>
          <w:szCs w:val="21"/>
          <w:highlight w:val="none"/>
        </w:rPr>
      </w:pPr>
      <w:r>
        <w:rPr>
          <w:rFonts w:hint="eastAsia" w:ascii="宋体" w:hAnsi="宋体" w:eastAsia="宋体" w:cs="宋体"/>
          <w:bCs/>
          <w:color w:val="auto"/>
          <w:spacing w:val="0"/>
          <w:w w:val="100"/>
          <w:position w:val="0"/>
          <w:sz w:val="21"/>
          <w:szCs w:val="21"/>
          <w:highlight w:val="none"/>
          <w:lang w:val="en-US" w:eastAsia="zh-CN"/>
        </w:rPr>
        <w:t xml:space="preserve">         </w:t>
      </w:r>
      <w:r>
        <w:rPr>
          <w:rFonts w:hint="eastAsia" w:ascii="宋体" w:hAnsi="宋体" w:eastAsia="宋体" w:cs="宋体"/>
          <w:bCs/>
          <w:color w:val="auto"/>
          <w:spacing w:val="0"/>
          <w:w w:val="100"/>
          <w:position w:val="0"/>
          <w:sz w:val="21"/>
          <w:szCs w:val="21"/>
          <w:highlight w:val="none"/>
        </w:rPr>
        <w:t>日期：</w:t>
      </w:r>
      <w:r>
        <w:rPr>
          <w:rFonts w:hint="eastAsia" w:ascii="宋体" w:hAnsi="宋体" w:eastAsia="宋体" w:cs="宋体"/>
          <w:bCs/>
          <w:color w:val="auto"/>
          <w:spacing w:val="0"/>
          <w:w w:val="100"/>
          <w:position w:val="0"/>
          <w:sz w:val="21"/>
          <w:szCs w:val="21"/>
          <w:highlight w:val="none"/>
          <w:u w:val="single"/>
        </w:rPr>
        <w:t xml:space="preserve">         </w:t>
      </w:r>
      <w:r>
        <w:rPr>
          <w:rFonts w:hint="eastAsia" w:ascii="宋体" w:hAnsi="宋体" w:eastAsia="宋体" w:cs="宋体"/>
          <w:bCs/>
          <w:color w:val="auto"/>
          <w:spacing w:val="0"/>
          <w:w w:val="100"/>
          <w:position w:val="0"/>
          <w:sz w:val="21"/>
          <w:szCs w:val="21"/>
          <w:highlight w:val="none"/>
        </w:rPr>
        <w:t>年</w:t>
      </w:r>
      <w:r>
        <w:rPr>
          <w:rFonts w:hint="eastAsia" w:ascii="宋体" w:hAnsi="宋体" w:eastAsia="宋体" w:cs="宋体"/>
          <w:bCs/>
          <w:color w:val="auto"/>
          <w:spacing w:val="0"/>
          <w:w w:val="100"/>
          <w:position w:val="0"/>
          <w:sz w:val="21"/>
          <w:szCs w:val="21"/>
          <w:highlight w:val="none"/>
          <w:u w:val="single"/>
        </w:rPr>
        <w:t xml:space="preserve">     </w:t>
      </w:r>
      <w:r>
        <w:rPr>
          <w:rFonts w:hint="eastAsia" w:ascii="宋体" w:hAnsi="宋体" w:eastAsia="宋体" w:cs="宋体"/>
          <w:bCs/>
          <w:color w:val="auto"/>
          <w:spacing w:val="0"/>
          <w:w w:val="100"/>
          <w:position w:val="0"/>
          <w:sz w:val="21"/>
          <w:szCs w:val="21"/>
          <w:highlight w:val="none"/>
        </w:rPr>
        <w:t>月</w:t>
      </w:r>
      <w:r>
        <w:rPr>
          <w:rFonts w:hint="eastAsia" w:ascii="宋体" w:hAnsi="宋体" w:eastAsia="宋体" w:cs="宋体"/>
          <w:bCs/>
          <w:color w:val="auto"/>
          <w:spacing w:val="0"/>
          <w:w w:val="100"/>
          <w:position w:val="0"/>
          <w:sz w:val="21"/>
          <w:szCs w:val="21"/>
          <w:highlight w:val="none"/>
          <w:u w:val="single"/>
        </w:rPr>
        <w:t xml:space="preserve">    </w:t>
      </w:r>
      <w:r>
        <w:rPr>
          <w:rFonts w:hint="eastAsia" w:ascii="宋体" w:hAnsi="宋体" w:eastAsia="宋体" w:cs="宋体"/>
          <w:bCs/>
          <w:color w:val="auto"/>
          <w:spacing w:val="0"/>
          <w:w w:val="100"/>
          <w:position w:val="0"/>
          <w:sz w:val="21"/>
          <w:szCs w:val="21"/>
          <w:highlight w:val="none"/>
        </w:rPr>
        <w:t>日</w:t>
      </w:r>
    </w:p>
    <w:p>
      <w:pPr>
        <w:autoSpaceDE w:val="0"/>
        <w:autoSpaceDN w:val="0"/>
        <w:adjustRightInd w:val="0"/>
        <w:spacing w:line="360" w:lineRule="auto"/>
        <w:jc w:val="right"/>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bCs/>
          <w:color w:val="auto"/>
          <w:spacing w:val="0"/>
          <w:w w:val="100"/>
          <w:position w:val="0"/>
          <w:sz w:val="21"/>
          <w:szCs w:val="21"/>
          <w:highlight w:val="none"/>
        </w:rPr>
        <w:br w:type="page"/>
      </w:r>
    </w:p>
    <w:p>
      <w:pPr>
        <w:pStyle w:val="2"/>
        <w:spacing w:after="0" w:line="360" w:lineRule="auto"/>
        <w:ind w:firstLine="643" w:firstLineChars="200"/>
        <w:jc w:val="center"/>
        <w:outlineLvl w:val="2"/>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（九）关于农民工工资的承诺书</w:t>
      </w:r>
    </w:p>
    <w:p>
      <w:pPr>
        <w:pStyle w:val="2"/>
        <w:spacing w:after="0" w:line="360" w:lineRule="auto"/>
        <w:ind w:firstLine="420" w:firstLineChars="200"/>
        <w:jc w:val="left"/>
        <w:outlineLvl w:val="9"/>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投标人需承诺遵守《保障农民工工资支付条例》，且未被列入尚在执行期的拖欠农民工工资黑名单（由投标人出具承诺，格式自拟）。</w:t>
      </w: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color w:val="auto"/>
          <w:highlight w:val="none"/>
        </w:rPr>
      </w:pPr>
    </w:p>
    <w:p>
      <w:pPr>
        <w:outlineLvl w:val="9"/>
        <w:rPr>
          <w:rFonts w:hint="eastAsia" w:ascii="宋体" w:hAnsi="宋体" w:cs="宋体"/>
          <w:b/>
          <w:bCs/>
          <w:color w:val="auto"/>
          <w:sz w:val="28"/>
          <w:szCs w:val="28"/>
          <w:highlight w:val="none"/>
          <w:lang w:eastAsia="zh-CN"/>
        </w:rPr>
      </w:pPr>
      <w:bookmarkStart w:id="1002" w:name="_Toc16122"/>
      <w:bookmarkStart w:id="1003" w:name="_Toc32525"/>
      <w:r>
        <w:rPr>
          <w:rFonts w:hint="eastAsia" w:ascii="宋体" w:hAnsi="宋体" w:cs="宋体"/>
          <w:b/>
          <w:bCs/>
          <w:color w:val="auto"/>
          <w:sz w:val="28"/>
          <w:szCs w:val="28"/>
          <w:highlight w:val="none"/>
          <w:lang w:eastAsia="zh-CN"/>
        </w:rPr>
        <w:br w:type="page"/>
      </w:r>
    </w:p>
    <w:p>
      <w:pPr>
        <w:spacing w:line="540" w:lineRule="exact"/>
        <w:jc w:val="center"/>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eastAsia="zh-CN"/>
        </w:rPr>
        <w:t>九</w:t>
      </w:r>
      <w:r>
        <w:rPr>
          <w:rFonts w:hint="eastAsia" w:ascii="宋体" w:hAnsi="宋体" w:cs="宋体"/>
          <w:b/>
          <w:bCs/>
          <w:color w:val="auto"/>
          <w:sz w:val="28"/>
          <w:szCs w:val="28"/>
          <w:highlight w:val="none"/>
        </w:rPr>
        <w:t>、其他材料</w:t>
      </w:r>
      <w:bookmarkEnd w:id="1002"/>
      <w:bookmarkEnd w:id="1003"/>
    </w:p>
    <w:p>
      <w:pPr>
        <w:pStyle w:val="2"/>
        <w:rPr>
          <w:rFonts w:hint="eastAsia"/>
          <w:highlight w:val="none"/>
          <w:lang w:eastAsia="zh-CN"/>
        </w:rPr>
      </w:pPr>
    </w:p>
    <w:p>
      <w:pPr>
        <w:spacing w:before="0" w:after="0"/>
        <w:jc w:val="center"/>
        <w:outlineLvl w:val="9"/>
        <w:rPr>
          <w:rFonts w:hint="eastAsia" w:ascii="宋体" w:hAnsi="宋体" w:eastAsia="宋体" w:cs="宋体"/>
          <w:color w:val="auto"/>
          <w:sz w:val="28"/>
          <w:szCs w:val="28"/>
          <w:highlight w:val="none"/>
        </w:rPr>
      </w:pPr>
      <w:bookmarkStart w:id="1004" w:name="_Toc16116"/>
      <w:r>
        <w:rPr>
          <w:rFonts w:hint="eastAsia" w:ascii="宋体" w:hAnsi="宋体" w:eastAsia="宋体" w:cs="宋体"/>
          <w:b/>
          <w:bCs/>
          <w:color w:val="auto"/>
          <w:sz w:val="22"/>
          <w:szCs w:val="22"/>
          <w:highlight w:val="none"/>
          <w:lang w:val="en-US" w:eastAsia="zh-CN"/>
        </w:rPr>
        <w:t>信用承诺书</w:t>
      </w:r>
      <w:bookmarkEnd w:id="1004"/>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为营造公开、公平、公正、诚实守信的公共资源交易环境，树立诚信守法的投标人形象，本人代表本单位作出以下承诺：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一）本单位对所提交的企（事）业单位基本信息、企（事）业负责人、项目负责人、技术负责人、从业资质和资格、业绩、财务状况、信誉等所有资料，均合法、真实、准确、有效，无任何伪造、修改、虚假成份，并对所提供资料的真实性负责。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（二）严格依照国家和河南省关于招标投标的法律、法规、规章、规范性文件，参加公共资源招标投标活动，不挂靠、借用、出租、出借、转让资质，积极履行社会责任，促进廉政建设。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（三）自我约束、自我管理，守合同、重信用，不参与围标串标、弄虚作假、骗取中标、干扰评标、胁迫他人投标（放弃中标）、恶意投诉、违约毁约等行为，自觉维护公共资源招标投标的良好秩序。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（四）本单位及项目经办人员信用状况良好，未被列为失信惩戒对象或“老赖”，符合参与公共资源交易活动的相关要求。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五）本单位不存在被人力资源和社会保障部门列入拖欠农民工工资“黑名单”或因拖欠农民工工资被县级及以上有关行政主管部门限制投标资格之情形，若中标，本单位将自觉落实农民工工资保障的有关措施，及时</w:t>
      </w:r>
      <w:r>
        <w:rPr>
          <w:rFonts w:hint="eastAsia" w:ascii="宋体" w:hAnsi="宋体" w:cs="宋体"/>
          <w:color w:val="000000"/>
          <w:kern w:val="0"/>
          <w:sz w:val="22"/>
          <w:szCs w:val="22"/>
          <w:lang w:val="en-US" w:eastAsia="zh-CN" w:bidi="ar"/>
        </w:rPr>
        <w:t>缴纳</w:t>
      </w:r>
      <w:r>
        <w:rPr>
          <w:rFonts w:hint="eastAsia" w:ascii="宋体" w:hAnsi="宋体" w:eastAsia="宋体" w:cs="宋体"/>
          <w:color w:val="000000"/>
          <w:kern w:val="0"/>
          <w:sz w:val="22"/>
          <w:szCs w:val="22"/>
          <w:lang w:val="en-US" w:eastAsia="zh-CN" w:bidi="ar"/>
        </w:rPr>
        <w:t xml:space="preserve">农民工工资保证金，切实维护农民工权益。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（六）若中标，本单位将在规定的时间内与招标人签订合同并自觉履行合同义务，不转包或违法分包中标项目。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（七）自觉接受政府、行业组织、社会公众、新闻舆论的监督。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 xml:space="preserve">（九）本人已认真阅读了上述承诺，并向本单位员工作了宣传教育。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cs="宋体"/>
          <w:color w:val="000000"/>
          <w:kern w:val="0"/>
          <w:sz w:val="22"/>
          <w:szCs w:val="22"/>
          <w:lang w:val="en-US" w:eastAsia="zh-CN" w:bidi="ar"/>
        </w:rPr>
        <w:t>投标人</w:t>
      </w:r>
      <w:r>
        <w:rPr>
          <w:rFonts w:hint="eastAsia" w:ascii="宋体" w:hAnsi="宋体" w:eastAsia="宋体" w:cs="宋体"/>
          <w:color w:val="000000"/>
          <w:kern w:val="0"/>
          <w:sz w:val="22"/>
          <w:szCs w:val="22"/>
          <w:lang w:val="en-US" w:eastAsia="zh-CN" w:bidi="ar"/>
        </w:rPr>
        <w:t>名称（盖电子公章）：</w:t>
      </w:r>
      <w:r>
        <w:rPr>
          <w:rFonts w:hint="eastAsia" w:ascii="Calibri" w:hAnsi="Calibri" w:eastAsia="宋体" w:cs="Calibri"/>
          <w:color w:val="000000"/>
          <w:kern w:val="0"/>
          <w:sz w:val="22"/>
          <w:szCs w:val="22"/>
          <w:lang w:val="en-US" w:eastAsia="zh-CN" w:bidi="ar"/>
        </w:rPr>
        <w:t xml:space="preserve">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sz w:val="22"/>
          <w:szCs w:val="22"/>
        </w:rPr>
      </w:pPr>
      <w:r>
        <w:rPr>
          <w:rFonts w:hint="eastAsia" w:ascii="宋体" w:hAnsi="宋体" w:eastAsia="宋体" w:cs="宋体"/>
          <w:color w:val="000000"/>
          <w:kern w:val="0"/>
          <w:sz w:val="22"/>
          <w:szCs w:val="22"/>
          <w:lang w:val="en-US" w:eastAsia="zh-CN" w:bidi="ar"/>
        </w:rPr>
        <w:t>法定代表人（签字或电子章）：</w:t>
      </w:r>
      <w:r>
        <w:rPr>
          <w:rFonts w:hint="default" w:ascii="Calibri" w:hAnsi="Calibri" w:eastAsia="宋体" w:cs="Calibri"/>
          <w:color w:val="000000"/>
          <w:kern w:val="0"/>
          <w:sz w:val="22"/>
          <w:szCs w:val="22"/>
          <w:lang w:val="en-US" w:eastAsia="zh-CN" w:bidi="ar"/>
        </w:rPr>
        <w:t xml:space="preserve"> </w:t>
      </w:r>
    </w:p>
    <w:p>
      <w:pPr>
        <w:keepNext w:val="0"/>
        <w:keepLines w:val="0"/>
        <w:pageBreakBefore w:val="0"/>
        <w:widowControl/>
        <w:suppressLineNumbers w:val="0"/>
        <w:kinsoku/>
        <w:wordWrap/>
        <w:overflowPunct/>
        <w:topLinePunct w:val="0"/>
        <w:autoSpaceDE w:val="0"/>
        <w:autoSpaceDN w:val="0"/>
        <w:bidi w:val="0"/>
        <w:adjustRightInd w:val="0"/>
        <w:snapToGrid/>
        <w:spacing w:line="360" w:lineRule="auto"/>
        <w:ind w:left="0" w:leftChars="0" w:right="0" w:firstLine="440" w:firstLineChars="200"/>
        <w:jc w:val="both"/>
        <w:textAlignment w:val="auto"/>
        <w:rPr>
          <w:rFonts w:hint="eastAsia" w:ascii="宋体" w:hAnsi="宋体" w:cs="宋体"/>
          <w:color w:val="auto"/>
          <w:highlight w:val="none"/>
        </w:rPr>
      </w:pPr>
      <w:r>
        <w:rPr>
          <w:rFonts w:hint="eastAsia" w:ascii="宋体" w:hAnsi="宋体" w:eastAsia="宋体" w:cs="宋体"/>
          <w:color w:val="000000"/>
          <w:kern w:val="0"/>
          <w:sz w:val="22"/>
          <w:szCs w:val="22"/>
          <w:lang w:val="en-US" w:eastAsia="zh-CN" w:bidi="ar"/>
        </w:rPr>
        <w:t>日</w:t>
      </w:r>
      <w:r>
        <w:rPr>
          <w:rFonts w:hint="default" w:ascii="Calibri" w:hAnsi="Calibri" w:eastAsia="宋体" w:cs="Calibri"/>
          <w:color w:val="000000"/>
          <w:kern w:val="0"/>
          <w:sz w:val="22"/>
          <w:szCs w:val="22"/>
          <w:lang w:val="en-US" w:eastAsia="zh-CN" w:bidi="ar"/>
        </w:rPr>
        <w:t xml:space="preserve"> </w:t>
      </w:r>
      <w:r>
        <w:rPr>
          <w:rFonts w:hint="eastAsia" w:ascii="宋体" w:hAnsi="宋体" w:eastAsia="宋体" w:cs="宋体"/>
          <w:color w:val="000000"/>
          <w:kern w:val="0"/>
          <w:sz w:val="22"/>
          <w:szCs w:val="22"/>
          <w:lang w:val="en-US" w:eastAsia="zh-CN" w:bidi="ar"/>
        </w:rPr>
        <w:t>期：</w:t>
      </w:r>
      <w:r>
        <w:rPr>
          <w:rFonts w:hint="default" w:ascii="Calibri" w:hAnsi="Calibri" w:eastAsia="宋体" w:cs="Calibri"/>
          <w:color w:val="000000"/>
          <w:kern w:val="0"/>
          <w:sz w:val="22"/>
          <w:szCs w:val="22"/>
          <w:lang w:val="en-US" w:eastAsia="zh-CN" w:bidi="ar"/>
        </w:rPr>
        <w:t xml:space="preserve"> </w:t>
      </w:r>
      <w:bookmarkEnd w:id="808"/>
      <w:bookmarkEnd w:id="908"/>
      <w:bookmarkEnd w:id="909"/>
      <w:bookmarkEnd w:id="910"/>
      <w:bookmarkEnd w:id="911"/>
      <w:bookmarkEnd w:id="912"/>
      <w:bookmarkEnd w:id="913"/>
      <w:bookmarkEnd w:id="914"/>
      <w:bookmarkEnd w:id="915"/>
    </w:p>
    <w:sectPr>
      <w:headerReference r:id="rId6" w:type="default"/>
      <w:footerReference r:id="rId7" w:type="default"/>
      <w:type w:val="continuous"/>
      <w:pgSz w:w="11906" w:h="16838"/>
      <w:pgMar w:top="1587" w:right="1134"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宋体 ! important">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TimesNewRomanPSMT">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center" w:pos="4677"/>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77</w:t>
                          </w:r>
                          <w:r>
                            <w:rPr>
                              <w:rFonts w:hint="eastAsia"/>
                            </w:rPr>
                            <w:fldChar w:fldCharType="end"/>
                          </w:r>
                        </w:p>
                      </w:txbxContent>
                    </wps:txbx>
                    <wps:bodyPr wrap="none" lIns="0" tIns="0" rIns="0" bIns="0" upright="0">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PZIGbTAQAApAMAAA4AAABkcnMvZTJvRG9jLnhtbK1TS27bMBDd&#10;F8gdCO5rKUbTKoLloIWRoEDRFkh6AJoiLQL8gUNb8gXaG3TVTfc9l8+RISU5RbrJohtqhjN8M+/N&#10;aHUzGE0OIoBytqGXi5ISYblrld019NvD7euKEojMtkw7Kxp6FEBv1hevVr2vxdJ1TrciEASxUPe+&#10;oV2Mvi4K4J0wDBbOC4tB6YJhEd2wK9rAekQ3uliW5duid6H1wXEBgLebMUgnxPASQCel4mLj+N4I&#10;G0fUIDSLSAk65YGuc7dSCh6/SAkiEt1QZBrziUXQ3qazWK9YvQvMd4pPLbCXtPCMk2HKYtEz1IZF&#10;RvZB/QNlFA8OnIwL7kwxEsmKIIvL8pk29x3zInNBqcGfRYf/B8s/H74GotqGLimxzODATz9/nH79&#10;Of3+Tt5cJ316DzWm3XtMjMMHN+DWzPeAl4n2IINJXyREMI7qHs/qiiESnh5Vy6oqMcQxNjuIXzw9&#10;9wHinXCGJKOhAceXVWWHTxDH1DklVbPuVmmdR6gt6RH1qnp3lV+cQ4iuLRZJLMZukxWH7TBR27r2&#10;iMx63IGGWlx5SvRHixKndZmNMBvb2dj7oHZd3qfUCvj3+4jt5C5ThRF2KozDyzynRUvb8befs55+&#10;rvU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MPZIGbTAQAApAMAAA4AAAAAAAAAAQAgAAAA&#10;IgEAAGRycy9lMm9Eb2MueG1sUEsFBgAAAAAGAAYAWQEAAGcFAAAAAA==&#10;">
              <v:fill on="f" focussize="0,0"/>
              <v:stroke on="f" weight="1.25pt"/>
              <v:imagedata o:title=""/>
              <o:lock v:ext="edit" aspectratio="f"/>
              <v:textbox inset="0mm,0mm,0mm,0mm" style="mso-fit-shape-to-text:t;">
                <w:txbxContent>
                  <w:p>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77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tabs>
        <w:tab w:val="left" w:pos="2351"/>
      </w:tabs>
      <w:jc w:val="left"/>
      <w:rPr>
        <w:rFonts w:hint="eastAsia"/>
      </w:rPr>
    </w:pPr>
    <w:r>
      <w:rPr>
        <w:rFonts w:hint="eastAsia"/>
      </w:rPr>
      <w:tab/>
    </w: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1530" w:firstLineChars="850"/>
      <w:rPr>
        <w:rFonts w:hint="eastAsia" w:ascii="黑体" w:hAnsi="黑体" w:eastAsia="黑体" w:cs="黑体"/>
        <w:bCs/>
        <w:sz w:val="18"/>
        <w:szCs w:val="18"/>
      </w:rPr>
    </w:pPr>
  </w:p>
  <w:p>
    <w:pPr>
      <w:pStyle w:val="30"/>
      <w:pBdr>
        <w:bottom w:val="none" w:color="auto" w:sz="0" w:space="1"/>
      </w:pBdr>
      <w:jc w:val="both"/>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7AE4AC"/>
    <w:multiLevelType w:val="singleLevel"/>
    <w:tmpl w:val="BB7AE4AC"/>
    <w:lvl w:ilvl="0" w:tentative="0">
      <w:start w:val="1"/>
      <w:numFmt w:val="decimal"/>
      <w:suff w:val="nothing"/>
      <w:lvlText w:val="%1、"/>
      <w:lvlJc w:val="left"/>
    </w:lvl>
  </w:abstractNum>
  <w:abstractNum w:abstractNumId="1">
    <w:nsid w:val="C1D9CF9B"/>
    <w:multiLevelType w:val="singleLevel"/>
    <w:tmpl w:val="C1D9CF9B"/>
    <w:lvl w:ilvl="0" w:tentative="0">
      <w:start w:val="1"/>
      <w:numFmt w:val="decimal"/>
      <w:lvlText w:val="%1."/>
      <w:lvlJc w:val="left"/>
      <w:pPr>
        <w:ind w:left="425" w:hanging="425"/>
      </w:pPr>
      <w:rPr>
        <w:rFonts w:hint="default"/>
      </w:rPr>
    </w:lvl>
  </w:abstractNum>
  <w:abstractNum w:abstractNumId="2">
    <w:nsid w:val="31AD04BE"/>
    <w:multiLevelType w:val="singleLevel"/>
    <w:tmpl w:val="31AD04BE"/>
    <w:lvl w:ilvl="0" w:tentative="0">
      <w:start w:val="2"/>
      <w:numFmt w:val="decimal"/>
      <w:suff w:val="nothing"/>
      <w:lvlText w:val="%1．"/>
      <w:lvlJc w:val="left"/>
    </w:lvl>
  </w:abstractNum>
  <w:abstractNum w:abstractNumId="3">
    <w:nsid w:val="38C63D3B"/>
    <w:multiLevelType w:val="multilevel"/>
    <w:tmpl w:val="38C63D3B"/>
    <w:lvl w:ilvl="0" w:tentative="0">
      <w:start w:val="1"/>
      <w:numFmt w:val="decimal"/>
      <w:lvlText w:val="(%1)"/>
      <w:lvlJc w:val="left"/>
      <w:pPr>
        <w:tabs>
          <w:tab w:val="left" w:pos="840"/>
        </w:tabs>
        <w:ind w:left="857" w:hanging="437"/>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44A35C7C"/>
    <w:multiLevelType w:val="multilevel"/>
    <w:tmpl w:val="44A35C7C"/>
    <w:lvl w:ilvl="0" w:tentative="0">
      <w:start w:val="1"/>
      <w:numFmt w:val="japaneseCounting"/>
      <w:lvlText w:val="第%1章"/>
      <w:lvlJc w:val="left"/>
      <w:pPr>
        <w:ind w:left="0" w:firstLine="402"/>
      </w:pPr>
      <w:rPr>
        <w:rFonts w:hint="default"/>
        <w:b/>
        <w:sz w:val="36"/>
        <w:szCs w:val="44"/>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5">
    <w:nsid w:val="58115309"/>
    <w:multiLevelType w:val="singleLevel"/>
    <w:tmpl w:val="58115309"/>
    <w:lvl w:ilvl="0" w:tentative="0">
      <w:start w:val="1"/>
      <w:numFmt w:val="decimal"/>
      <w:suff w:val="nothing"/>
      <w:lvlText w:val="%1）"/>
      <w:lvlJc w:val="left"/>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ZTIxZTg0Y2JjOTJhOWJmYjNkN2U5ODZlNjIzMGMifQ=="/>
  </w:docVars>
  <w:rsids>
    <w:rsidRoot w:val="00172A27"/>
    <w:rsid w:val="0000111D"/>
    <w:rsid w:val="0001393E"/>
    <w:rsid w:val="00015D0E"/>
    <w:rsid w:val="00025F79"/>
    <w:rsid w:val="00036725"/>
    <w:rsid w:val="000476BC"/>
    <w:rsid w:val="00052BE7"/>
    <w:rsid w:val="00062768"/>
    <w:rsid w:val="0006584D"/>
    <w:rsid w:val="000744DB"/>
    <w:rsid w:val="000867DC"/>
    <w:rsid w:val="00092B91"/>
    <w:rsid w:val="00094930"/>
    <w:rsid w:val="00095D9E"/>
    <w:rsid w:val="00097822"/>
    <w:rsid w:val="000A3340"/>
    <w:rsid w:val="000A6F5F"/>
    <w:rsid w:val="000C3B0B"/>
    <w:rsid w:val="000C55A6"/>
    <w:rsid w:val="000D6265"/>
    <w:rsid w:val="000E0F5D"/>
    <w:rsid w:val="00102675"/>
    <w:rsid w:val="0011569D"/>
    <w:rsid w:val="00131883"/>
    <w:rsid w:val="00146B04"/>
    <w:rsid w:val="00157901"/>
    <w:rsid w:val="001676FA"/>
    <w:rsid w:val="00170C1D"/>
    <w:rsid w:val="0017218B"/>
    <w:rsid w:val="001A4870"/>
    <w:rsid w:val="001A7B14"/>
    <w:rsid w:val="001C63E1"/>
    <w:rsid w:val="001F1931"/>
    <w:rsid w:val="001F7295"/>
    <w:rsid w:val="00203E09"/>
    <w:rsid w:val="002066E3"/>
    <w:rsid w:val="002118A7"/>
    <w:rsid w:val="00220AB9"/>
    <w:rsid w:val="00232E53"/>
    <w:rsid w:val="00235DF4"/>
    <w:rsid w:val="002600C5"/>
    <w:rsid w:val="00263284"/>
    <w:rsid w:val="0027343F"/>
    <w:rsid w:val="00281C1F"/>
    <w:rsid w:val="00292730"/>
    <w:rsid w:val="002B1D5C"/>
    <w:rsid w:val="002B4FB2"/>
    <w:rsid w:val="002B638B"/>
    <w:rsid w:val="002C64A4"/>
    <w:rsid w:val="002E1AD9"/>
    <w:rsid w:val="002E3422"/>
    <w:rsid w:val="002E530E"/>
    <w:rsid w:val="002F255C"/>
    <w:rsid w:val="002F4D18"/>
    <w:rsid w:val="003017A9"/>
    <w:rsid w:val="00302A5C"/>
    <w:rsid w:val="00330C8C"/>
    <w:rsid w:val="00336FE0"/>
    <w:rsid w:val="00343558"/>
    <w:rsid w:val="00367CAB"/>
    <w:rsid w:val="00390AE5"/>
    <w:rsid w:val="00395671"/>
    <w:rsid w:val="003C3240"/>
    <w:rsid w:val="003D49CE"/>
    <w:rsid w:val="003E027B"/>
    <w:rsid w:val="004041F1"/>
    <w:rsid w:val="0041712A"/>
    <w:rsid w:val="0042399C"/>
    <w:rsid w:val="0043415F"/>
    <w:rsid w:val="004364B7"/>
    <w:rsid w:val="00472088"/>
    <w:rsid w:val="00472958"/>
    <w:rsid w:val="0047343E"/>
    <w:rsid w:val="0048133D"/>
    <w:rsid w:val="00483790"/>
    <w:rsid w:val="004B3D0A"/>
    <w:rsid w:val="004C0334"/>
    <w:rsid w:val="004C2E14"/>
    <w:rsid w:val="004C3C47"/>
    <w:rsid w:val="004D2923"/>
    <w:rsid w:val="004D3BDA"/>
    <w:rsid w:val="004D748A"/>
    <w:rsid w:val="004E7349"/>
    <w:rsid w:val="004F0FFA"/>
    <w:rsid w:val="00522102"/>
    <w:rsid w:val="0054047E"/>
    <w:rsid w:val="00556716"/>
    <w:rsid w:val="005574FC"/>
    <w:rsid w:val="00570944"/>
    <w:rsid w:val="00575787"/>
    <w:rsid w:val="0057583A"/>
    <w:rsid w:val="005870D8"/>
    <w:rsid w:val="00594377"/>
    <w:rsid w:val="005B0AD1"/>
    <w:rsid w:val="005B220F"/>
    <w:rsid w:val="005B5998"/>
    <w:rsid w:val="005B5E45"/>
    <w:rsid w:val="005C1B5A"/>
    <w:rsid w:val="005C2DF6"/>
    <w:rsid w:val="005C66FD"/>
    <w:rsid w:val="005D43B9"/>
    <w:rsid w:val="005E3DE4"/>
    <w:rsid w:val="005F26A7"/>
    <w:rsid w:val="00600297"/>
    <w:rsid w:val="006360EF"/>
    <w:rsid w:val="006514A0"/>
    <w:rsid w:val="00652B46"/>
    <w:rsid w:val="00664D2A"/>
    <w:rsid w:val="006750A1"/>
    <w:rsid w:val="00680F21"/>
    <w:rsid w:val="00685D5E"/>
    <w:rsid w:val="0068713B"/>
    <w:rsid w:val="006910B4"/>
    <w:rsid w:val="006A2EEF"/>
    <w:rsid w:val="006C333F"/>
    <w:rsid w:val="006D6EA5"/>
    <w:rsid w:val="006E2353"/>
    <w:rsid w:val="006E24CA"/>
    <w:rsid w:val="006E75F7"/>
    <w:rsid w:val="006F1F5D"/>
    <w:rsid w:val="006F7F78"/>
    <w:rsid w:val="00707A89"/>
    <w:rsid w:val="007135D0"/>
    <w:rsid w:val="00726EB5"/>
    <w:rsid w:val="00737540"/>
    <w:rsid w:val="007378A0"/>
    <w:rsid w:val="00760F96"/>
    <w:rsid w:val="007670AE"/>
    <w:rsid w:val="007760BA"/>
    <w:rsid w:val="00777AE9"/>
    <w:rsid w:val="00782097"/>
    <w:rsid w:val="007827C5"/>
    <w:rsid w:val="007828B1"/>
    <w:rsid w:val="007A3A06"/>
    <w:rsid w:val="007A44D8"/>
    <w:rsid w:val="007A4CCD"/>
    <w:rsid w:val="007B1F7C"/>
    <w:rsid w:val="007B3289"/>
    <w:rsid w:val="007B6433"/>
    <w:rsid w:val="007C0D5F"/>
    <w:rsid w:val="007C748B"/>
    <w:rsid w:val="007D1046"/>
    <w:rsid w:val="007E0239"/>
    <w:rsid w:val="007E32D8"/>
    <w:rsid w:val="00820F97"/>
    <w:rsid w:val="0083377B"/>
    <w:rsid w:val="008371A0"/>
    <w:rsid w:val="00845DA6"/>
    <w:rsid w:val="00867BD4"/>
    <w:rsid w:val="00876FED"/>
    <w:rsid w:val="008807D7"/>
    <w:rsid w:val="008A0D5B"/>
    <w:rsid w:val="008B2102"/>
    <w:rsid w:val="008D44F1"/>
    <w:rsid w:val="008E27DE"/>
    <w:rsid w:val="008E45F1"/>
    <w:rsid w:val="008F7F68"/>
    <w:rsid w:val="009022D2"/>
    <w:rsid w:val="009046B1"/>
    <w:rsid w:val="00905991"/>
    <w:rsid w:val="00907B7D"/>
    <w:rsid w:val="00921366"/>
    <w:rsid w:val="009257F5"/>
    <w:rsid w:val="00970762"/>
    <w:rsid w:val="00980C16"/>
    <w:rsid w:val="00981DC8"/>
    <w:rsid w:val="0098345C"/>
    <w:rsid w:val="009939E8"/>
    <w:rsid w:val="00993B47"/>
    <w:rsid w:val="009A0DC2"/>
    <w:rsid w:val="009A10E7"/>
    <w:rsid w:val="009A6AB6"/>
    <w:rsid w:val="009B055C"/>
    <w:rsid w:val="009B1F96"/>
    <w:rsid w:val="009C65B6"/>
    <w:rsid w:val="009D274B"/>
    <w:rsid w:val="009F04A5"/>
    <w:rsid w:val="00A11932"/>
    <w:rsid w:val="00A23B0F"/>
    <w:rsid w:val="00A25462"/>
    <w:rsid w:val="00A34877"/>
    <w:rsid w:val="00A45BD5"/>
    <w:rsid w:val="00A60AD4"/>
    <w:rsid w:val="00A852BE"/>
    <w:rsid w:val="00A91C35"/>
    <w:rsid w:val="00A9662C"/>
    <w:rsid w:val="00A97C86"/>
    <w:rsid w:val="00AA6D03"/>
    <w:rsid w:val="00AB144D"/>
    <w:rsid w:val="00AB17A5"/>
    <w:rsid w:val="00AC0C1E"/>
    <w:rsid w:val="00AC2AE2"/>
    <w:rsid w:val="00AD3302"/>
    <w:rsid w:val="00AD366D"/>
    <w:rsid w:val="00AE1838"/>
    <w:rsid w:val="00AE1A58"/>
    <w:rsid w:val="00AE7CF8"/>
    <w:rsid w:val="00AF3BEA"/>
    <w:rsid w:val="00AF7910"/>
    <w:rsid w:val="00B02AF2"/>
    <w:rsid w:val="00B030D2"/>
    <w:rsid w:val="00B10175"/>
    <w:rsid w:val="00B103F5"/>
    <w:rsid w:val="00B20F02"/>
    <w:rsid w:val="00B35C62"/>
    <w:rsid w:val="00B40384"/>
    <w:rsid w:val="00B4628C"/>
    <w:rsid w:val="00B80491"/>
    <w:rsid w:val="00B906D1"/>
    <w:rsid w:val="00BA2203"/>
    <w:rsid w:val="00BA7538"/>
    <w:rsid w:val="00BB0C18"/>
    <w:rsid w:val="00BC5340"/>
    <w:rsid w:val="00BD7AC5"/>
    <w:rsid w:val="00BE2BF1"/>
    <w:rsid w:val="00BE53B5"/>
    <w:rsid w:val="00C12C11"/>
    <w:rsid w:val="00C20129"/>
    <w:rsid w:val="00C30333"/>
    <w:rsid w:val="00C31388"/>
    <w:rsid w:val="00C36896"/>
    <w:rsid w:val="00C50CC9"/>
    <w:rsid w:val="00C53206"/>
    <w:rsid w:val="00C80EA0"/>
    <w:rsid w:val="00C93C7A"/>
    <w:rsid w:val="00C959FE"/>
    <w:rsid w:val="00CA1BA8"/>
    <w:rsid w:val="00CB3EF2"/>
    <w:rsid w:val="00CC104C"/>
    <w:rsid w:val="00CC2369"/>
    <w:rsid w:val="00CC38C3"/>
    <w:rsid w:val="00CD1CC3"/>
    <w:rsid w:val="00CD70C2"/>
    <w:rsid w:val="00CD72DA"/>
    <w:rsid w:val="00CE59DD"/>
    <w:rsid w:val="00D04B91"/>
    <w:rsid w:val="00D06F40"/>
    <w:rsid w:val="00D23510"/>
    <w:rsid w:val="00D27772"/>
    <w:rsid w:val="00D44821"/>
    <w:rsid w:val="00D469DA"/>
    <w:rsid w:val="00D531E4"/>
    <w:rsid w:val="00D766EF"/>
    <w:rsid w:val="00D95B46"/>
    <w:rsid w:val="00D962CB"/>
    <w:rsid w:val="00DA14F5"/>
    <w:rsid w:val="00DA4715"/>
    <w:rsid w:val="00DC6DB7"/>
    <w:rsid w:val="00DD60D0"/>
    <w:rsid w:val="00DD6AD8"/>
    <w:rsid w:val="00DE248B"/>
    <w:rsid w:val="00DE3630"/>
    <w:rsid w:val="00DE70BB"/>
    <w:rsid w:val="00DF0701"/>
    <w:rsid w:val="00DF7582"/>
    <w:rsid w:val="00DF7C58"/>
    <w:rsid w:val="00E01B28"/>
    <w:rsid w:val="00E14229"/>
    <w:rsid w:val="00E17C95"/>
    <w:rsid w:val="00E205D8"/>
    <w:rsid w:val="00E31FCE"/>
    <w:rsid w:val="00E371E8"/>
    <w:rsid w:val="00E61484"/>
    <w:rsid w:val="00E663A0"/>
    <w:rsid w:val="00E81281"/>
    <w:rsid w:val="00E836A9"/>
    <w:rsid w:val="00E872F1"/>
    <w:rsid w:val="00E91CC1"/>
    <w:rsid w:val="00EA0248"/>
    <w:rsid w:val="00EA2670"/>
    <w:rsid w:val="00EA435E"/>
    <w:rsid w:val="00EA7944"/>
    <w:rsid w:val="00EB2578"/>
    <w:rsid w:val="00EB31CE"/>
    <w:rsid w:val="00EB4B6D"/>
    <w:rsid w:val="00EC32C1"/>
    <w:rsid w:val="00EC6D28"/>
    <w:rsid w:val="00EE6B9C"/>
    <w:rsid w:val="00EE77AF"/>
    <w:rsid w:val="00EF18BE"/>
    <w:rsid w:val="00EF3879"/>
    <w:rsid w:val="00F06A7D"/>
    <w:rsid w:val="00F22AA6"/>
    <w:rsid w:val="00F308F8"/>
    <w:rsid w:val="00F31045"/>
    <w:rsid w:val="00F43DC1"/>
    <w:rsid w:val="00F53977"/>
    <w:rsid w:val="00F73E22"/>
    <w:rsid w:val="00F86922"/>
    <w:rsid w:val="00F86AA5"/>
    <w:rsid w:val="00F90DD1"/>
    <w:rsid w:val="00F91C21"/>
    <w:rsid w:val="00FA71EF"/>
    <w:rsid w:val="00FB7BC7"/>
    <w:rsid w:val="00FC0856"/>
    <w:rsid w:val="00FD6394"/>
    <w:rsid w:val="00FD7FED"/>
    <w:rsid w:val="00FF649E"/>
    <w:rsid w:val="010521FD"/>
    <w:rsid w:val="01203EA9"/>
    <w:rsid w:val="01282D1A"/>
    <w:rsid w:val="012E1F35"/>
    <w:rsid w:val="012F41F1"/>
    <w:rsid w:val="01304BD2"/>
    <w:rsid w:val="013626E0"/>
    <w:rsid w:val="013B36A5"/>
    <w:rsid w:val="014048EB"/>
    <w:rsid w:val="014F3263"/>
    <w:rsid w:val="01593EC7"/>
    <w:rsid w:val="016F7286"/>
    <w:rsid w:val="01764498"/>
    <w:rsid w:val="0183453D"/>
    <w:rsid w:val="018378FD"/>
    <w:rsid w:val="01873E0F"/>
    <w:rsid w:val="018C1643"/>
    <w:rsid w:val="019D35D7"/>
    <w:rsid w:val="01A82DCE"/>
    <w:rsid w:val="01AF1788"/>
    <w:rsid w:val="01C506B1"/>
    <w:rsid w:val="01EC0334"/>
    <w:rsid w:val="01F06E32"/>
    <w:rsid w:val="01FA47FF"/>
    <w:rsid w:val="01FB40D3"/>
    <w:rsid w:val="021A09FD"/>
    <w:rsid w:val="02287A18"/>
    <w:rsid w:val="0230215B"/>
    <w:rsid w:val="02303F29"/>
    <w:rsid w:val="02573B17"/>
    <w:rsid w:val="026B4DA4"/>
    <w:rsid w:val="02714395"/>
    <w:rsid w:val="02815B86"/>
    <w:rsid w:val="028A67B7"/>
    <w:rsid w:val="029C1412"/>
    <w:rsid w:val="02A66854"/>
    <w:rsid w:val="02C405C9"/>
    <w:rsid w:val="02C65F31"/>
    <w:rsid w:val="02DC5CB3"/>
    <w:rsid w:val="02DD6F72"/>
    <w:rsid w:val="02FF41F8"/>
    <w:rsid w:val="0301505B"/>
    <w:rsid w:val="03045AC2"/>
    <w:rsid w:val="030F42DA"/>
    <w:rsid w:val="03100052"/>
    <w:rsid w:val="031058F8"/>
    <w:rsid w:val="03165304"/>
    <w:rsid w:val="031F3633"/>
    <w:rsid w:val="032234B3"/>
    <w:rsid w:val="03280EF8"/>
    <w:rsid w:val="03305FFE"/>
    <w:rsid w:val="03377BD5"/>
    <w:rsid w:val="034067BC"/>
    <w:rsid w:val="034D095E"/>
    <w:rsid w:val="03595B8B"/>
    <w:rsid w:val="035D0C3F"/>
    <w:rsid w:val="03634CD1"/>
    <w:rsid w:val="03714138"/>
    <w:rsid w:val="037E07F8"/>
    <w:rsid w:val="038855A1"/>
    <w:rsid w:val="0395798E"/>
    <w:rsid w:val="039E740C"/>
    <w:rsid w:val="03AC66F8"/>
    <w:rsid w:val="03BE0F3E"/>
    <w:rsid w:val="03BE360A"/>
    <w:rsid w:val="03C24EF0"/>
    <w:rsid w:val="03CB7C97"/>
    <w:rsid w:val="03CE676F"/>
    <w:rsid w:val="03E37ED7"/>
    <w:rsid w:val="03E760B3"/>
    <w:rsid w:val="03E855AC"/>
    <w:rsid w:val="03F17003"/>
    <w:rsid w:val="03F97C93"/>
    <w:rsid w:val="04066FA8"/>
    <w:rsid w:val="040E5E37"/>
    <w:rsid w:val="04177516"/>
    <w:rsid w:val="043921B1"/>
    <w:rsid w:val="043D1681"/>
    <w:rsid w:val="043D770E"/>
    <w:rsid w:val="046240EF"/>
    <w:rsid w:val="046958C8"/>
    <w:rsid w:val="049319EC"/>
    <w:rsid w:val="049905BB"/>
    <w:rsid w:val="04A071A7"/>
    <w:rsid w:val="04A10F62"/>
    <w:rsid w:val="04A66578"/>
    <w:rsid w:val="04B22E6B"/>
    <w:rsid w:val="04B8741A"/>
    <w:rsid w:val="04B92804"/>
    <w:rsid w:val="04D56E5D"/>
    <w:rsid w:val="04DC59CB"/>
    <w:rsid w:val="04E15802"/>
    <w:rsid w:val="04F75026"/>
    <w:rsid w:val="04F803FC"/>
    <w:rsid w:val="04FB7AA0"/>
    <w:rsid w:val="051016E2"/>
    <w:rsid w:val="05152EFD"/>
    <w:rsid w:val="051F3CCF"/>
    <w:rsid w:val="051F7A75"/>
    <w:rsid w:val="052404AB"/>
    <w:rsid w:val="05416593"/>
    <w:rsid w:val="05502068"/>
    <w:rsid w:val="05506BDA"/>
    <w:rsid w:val="05524952"/>
    <w:rsid w:val="05551D4C"/>
    <w:rsid w:val="0557363B"/>
    <w:rsid w:val="05850883"/>
    <w:rsid w:val="05866FA8"/>
    <w:rsid w:val="05883ED0"/>
    <w:rsid w:val="05952F37"/>
    <w:rsid w:val="05972365"/>
    <w:rsid w:val="05A217DD"/>
    <w:rsid w:val="05B93E2C"/>
    <w:rsid w:val="05D6388B"/>
    <w:rsid w:val="05D830A9"/>
    <w:rsid w:val="05EC445F"/>
    <w:rsid w:val="060946B3"/>
    <w:rsid w:val="06190F92"/>
    <w:rsid w:val="06257970"/>
    <w:rsid w:val="0659482E"/>
    <w:rsid w:val="065D334B"/>
    <w:rsid w:val="066953CD"/>
    <w:rsid w:val="066E1317"/>
    <w:rsid w:val="066F786E"/>
    <w:rsid w:val="06744454"/>
    <w:rsid w:val="067A5F0E"/>
    <w:rsid w:val="067B4E70"/>
    <w:rsid w:val="067B7024"/>
    <w:rsid w:val="067F2AF7"/>
    <w:rsid w:val="068F0F61"/>
    <w:rsid w:val="06912C60"/>
    <w:rsid w:val="06930023"/>
    <w:rsid w:val="06954AF6"/>
    <w:rsid w:val="06AB256C"/>
    <w:rsid w:val="06BB2D1A"/>
    <w:rsid w:val="06BF1B73"/>
    <w:rsid w:val="06C0199D"/>
    <w:rsid w:val="06CB676A"/>
    <w:rsid w:val="06DF5D71"/>
    <w:rsid w:val="06E25A87"/>
    <w:rsid w:val="06EB1ECD"/>
    <w:rsid w:val="06EB7B81"/>
    <w:rsid w:val="06F52FEB"/>
    <w:rsid w:val="070B6708"/>
    <w:rsid w:val="07307AE3"/>
    <w:rsid w:val="073C0DA0"/>
    <w:rsid w:val="0750444D"/>
    <w:rsid w:val="07535F93"/>
    <w:rsid w:val="075631C5"/>
    <w:rsid w:val="075C3877"/>
    <w:rsid w:val="07630344"/>
    <w:rsid w:val="07714D5C"/>
    <w:rsid w:val="077648B3"/>
    <w:rsid w:val="0776767B"/>
    <w:rsid w:val="077706A0"/>
    <w:rsid w:val="07864DB9"/>
    <w:rsid w:val="078A03D3"/>
    <w:rsid w:val="079415C7"/>
    <w:rsid w:val="07AC462A"/>
    <w:rsid w:val="07BD5472"/>
    <w:rsid w:val="07BE3ADD"/>
    <w:rsid w:val="07CC550D"/>
    <w:rsid w:val="07E37AE3"/>
    <w:rsid w:val="07E6179C"/>
    <w:rsid w:val="07FE0D13"/>
    <w:rsid w:val="07FE40C3"/>
    <w:rsid w:val="083E2F6B"/>
    <w:rsid w:val="085A7352"/>
    <w:rsid w:val="086009EE"/>
    <w:rsid w:val="08620DCF"/>
    <w:rsid w:val="0865674A"/>
    <w:rsid w:val="086C26E0"/>
    <w:rsid w:val="08762705"/>
    <w:rsid w:val="08B529BB"/>
    <w:rsid w:val="08B65EF8"/>
    <w:rsid w:val="08BB45BC"/>
    <w:rsid w:val="08DD4532"/>
    <w:rsid w:val="08DD6B5C"/>
    <w:rsid w:val="08E92ED7"/>
    <w:rsid w:val="08FB2C0B"/>
    <w:rsid w:val="08FC715A"/>
    <w:rsid w:val="08FD022C"/>
    <w:rsid w:val="091343F8"/>
    <w:rsid w:val="0915651B"/>
    <w:rsid w:val="091807C0"/>
    <w:rsid w:val="09294A56"/>
    <w:rsid w:val="09320DBC"/>
    <w:rsid w:val="093218C9"/>
    <w:rsid w:val="093F51ED"/>
    <w:rsid w:val="095928FF"/>
    <w:rsid w:val="095A2027"/>
    <w:rsid w:val="095A42E8"/>
    <w:rsid w:val="0963712E"/>
    <w:rsid w:val="097A78DB"/>
    <w:rsid w:val="09B24F76"/>
    <w:rsid w:val="09B523AA"/>
    <w:rsid w:val="09B5659F"/>
    <w:rsid w:val="09C81416"/>
    <w:rsid w:val="09CA45B0"/>
    <w:rsid w:val="09D9366A"/>
    <w:rsid w:val="09DC7AF3"/>
    <w:rsid w:val="09EA0953"/>
    <w:rsid w:val="09F41167"/>
    <w:rsid w:val="09FE78C4"/>
    <w:rsid w:val="0A0B5828"/>
    <w:rsid w:val="0A0E19B8"/>
    <w:rsid w:val="0A1809A4"/>
    <w:rsid w:val="0A222B45"/>
    <w:rsid w:val="0A227B87"/>
    <w:rsid w:val="0A286498"/>
    <w:rsid w:val="0A32136A"/>
    <w:rsid w:val="0A454A85"/>
    <w:rsid w:val="0A590352"/>
    <w:rsid w:val="0A686DCE"/>
    <w:rsid w:val="0A84066B"/>
    <w:rsid w:val="0A86331C"/>
    <w:rsid w:val="0A8C26DA"/>
    <w:rsid w:val="0A954729"/>
    <w:rsid w:val="0A9D6183"/>
    <w:rsid w:val="0A9F6ED2"/>
    <w:rsid w:val="0AA12680"/>
    <w:rsid w:val="0AA2132C"/>
    <w:rsid w:val="0AA24792"/>
    <w:rsid w:val="0AAE43D8"/>
    <w:rsid w:val="0AAE6112"/>
    <w:rsid w:val="0ABC013B"/>
    <w:rsid w:val="0AC0235E"/>
    <w:rsid w:val="0AE40E63"/>
    <w:rsid w:val="0AE81DA1"/>
    <w:rsid w:val="0AF4122D"/>
    <w:rsid w:val="0AF416A8"/>
    <w:rsid w:val="0AF72C99"/>
    <w:rsid w:val="0AFB0486"/>
    <w:rsid w:val="0B0160D8"/>
    <w:rsid w:val="0B0523A4"/>
    <w:rsid w:val="0B09096D"/>
    <w:rsid w:val="0B097861"/>
    <w:rsid w:val="0B0D77B0"/>
    <w:rsid w:val="0B1B57FC"/>
    <w:rsid w:val="0B22628B"/>
    <w:rsid w:val="0B325009"/>
    <w:rsid w:val="0B330D82"/>
    <w:rsid w:val="0B3B3792"/>
    <w:rsid w:val="0B403D7B"/>
    <w:rsid w:val="0B4429E4"/>
    <w:rsid w:val="0B505490"/>
    <w:rsid w:val="0B591E2E"/>
    <w:rsid w:val="0B59779B"/>
    <w:rsid w:val="0B656F3E"/>
    <w:rsid w:val="0B673342"/>
    <w:rsid w:val="0B6902FF"/>
    <w:rsid w:val="0B70168E"/>
    <w:rsid w:val="0B7C5866"/>
    <w:rsid w:val="0B845139"/>
    <w:rsid w:val="0B911FBE"/>
    <w:rsid w:val="0B99134F"/>
    <w:rsid w:val="0BA05094"/>
    <w:rsid w:val="0BA60FAA"/>
    <w:rsid w:val="0BB772BD"/>
    <w:rsid w:val="0BCF0AAA"/>
    <w:rsid w:val="0BD353B1"/>
    <w:rsid w:val="0BD57F91"/>
    <w:rsid w:val="0BF16C73"/>
    <w:rsid w:val="0C030754"/>
    <w:rsid w:val="0C0D04B8"/>
    <w:rsid w:val="0C1236CE"/>
    <w:rsid w:val="0C171FD1"/>
    <w:rsid w:val="0C1C32BF"/>
    <w:rsid w:val="0C2679FE"/>
    <w:rsid w:val="0C2C7CAB"/>
    <w:rsid w:val="0C303C88"/>
    <w:rsid w:val="0C3923C8"/>
    <w:rsid w:val="0C3A21C1"/>
    <w:rsid w:val="0C3E1B70"/>
    <w:rsid w:val="0C5139ED"/>
    <w:rsid w:val="0C52435E"/>
    <w:rsid w:val="0C582700"/>
    <w:rsid w:val="0C793F79"/>
    <w:rsid w:val="0C7D22B4"/>
    <w:rsid w:val="0C801F4A"/>
    <w:rsid w:val="0C8879CE"/>
    <w:rsid w:val="0C8C56A3"/>
    <w:rsid w:val="0C926873"/>
    <w:rsid w:val="0CAC0DEC"/>
    <w:rsid w:val="0CAF268A"/>
    <w:rsid w:val="0CBB1217"/>
    <w:rsid w:val="0CD341B4"/>
    <w:rsid w:val="0CE375CB"/>
    <w:rsid w:val="0CF36292"/>
    <w:rsid w:val="0CFB3799"/>
    <w:rsid w:val="0CFF523E"/>
    <w:rsid w:val="0D143D4B"/>
    <w:rsid w:val="0D2E7815"/>
    <w:rsid w:val="0D320466"/>
    <w:rsid w:val="0D3249B2"/>
    <w:rsid w:val="0D3861DB"/>
    <w:rsid w:val="0D3B5CCB"/>
    <w:rsid w:val="0D4C5AE1"/>
    <w:rsid w:val="0D583AF2"/>
    <w:rsid w:val="0D58687D"/>
    <w:rsid w:val="0D631E83"/>
    <w:rsid w:val="0D6C33E2"/>
    <w:rsid w:val="0D6F1519"/>
    <w:rsid w:val="0D7C07BE"/>
    <w:rsid w:val="0D815DD4"/>
    <w:rsid w:val="0D8D29CB"/>
    <w:rsid w:val="0D98311E"/>
    <w:rsid w:val="0DAF43E2"/>
    <w:rsid w:val="0DBA3094"/>
    <w:rsid w:val="0DE52CDA"/>
    <w:rsid w:val="0DFA5B87"/>
    <w:rsid w:val="0DFE1F39"/>
    <w:rsid w:val="0E003DBE"/>
    <w:rsid w:val="0E292350"/>
    <w:rsid w:val="0E315219"/>
    <w:rsid w:val="0E344BF5"/>
    <w:rsid w:val="0E36488E"/>
    <w:rsid w:val="0E414981"/>
    <w:rsid w:val="0E475979"/>
    <w:rsid w:val="0E484B44"/>
    <w:rsid w:val="0E625C06"/>
    <w:rsid w:val="0E67321C"/>
    <w:rsid w:val="0E865963"/>
    <w:rsid w:val="0E9363F0"/>
    <w:rsid w:val="0EA11060"/>
    <w:rsid w:val="0EA53D44"/>
    <w:rsid w:val="0EA616C3"/>
    <w:rsid w:val="0EA93953"/>
    <w:rsid w:val="0EA97F9C"/>
    <w:rsid w:val="0EB30F53"/>
    <w:rsid w:val="0EB3632D"/>
    <w:rsid w:val="0EBB5316"/>
    <w:rsid w:val="0EBE46BE"/>
    <w:rsid w:val="0EC3241C"/>
    <w:rsid w:val="0ECE2B49"/>
    <w:rsid w:val="0ED1192E"/>
    <w:rsid w:val="0ED308B1"/>
    <w:rsid w:val="0EE221BF"/>
    <w:rsid w:val="0EEB6487"/>
    <w:rsid w:val="0EF56D96"/>
    <w:rsid w:val="0F201461"/>
    <w:rsid w:val="0F2F1FAC"/>
    <w:rsid w:val="0F30684C"/>
    <w:rsid w:val="0F355D07"/>
    <w:rsid w:val="0F4018A9"/>
    <w:rsid w:val="0F54115A"/>
    <w:rsid w:val="0F5B7295"/>
    <w:rsid w:val="0F61774B"/>
    <w:rsid w:val="0F64775C"/>
    <w:rsid w:val="0F781459"/>
    <w:rsid w:val="0FA34CD4"/>
    <w:rsid w:val="0FB51D65"/>
    <w:rsid w:val="0FD01776"/>
    <w:rsid w:val="0FD75673"/>
    <w:rsid w:val="0FF00FEF"/>
    <w:rsid w:val="101B45FA"/>
    <w:rsid w:val="10247039"/>
    <w:rsid w:val="103B2931"/>
    <w:rsid w:val="10517E8F"/>
    <w:rsid w:val="1052149D"/>
    <w:rsid w:val="105E064F"/>
    <w:rsid w:val="106E0081"/>
    <w:rsid w:val="106F0166"/>
    <w:rsid w:val="10754533"/>
    <w:rsid w:val="10850BAB"/>
    <w:rsid w:val="10A51DDA"/>
    <w:rsid w:val="10A55410"/>
    <w:rsid w:val="10C4437D"/>
    <w:rsid w:val="10E2302E"/>
    <w:rsid w:val="10EA4225"/>
    <w:rsid w:val="111A2AEB"/>
    <w:rsid w:val="112D0132"/>
    <w:rsid w:val="112E0021"/>
    <w:rsid w:val="11316DB2"/>
    <w:rsid w:val="113F7F0C"/>
    <w:rsid w:val="114A7D95"/>
    <w:rsid w:val="1162081D"/>
    <w:rsid w:val="1174209C"/>
    <w:rsid w:val="117635B2"/>
    <w:rsid w:val="117A2169"/>
    <w:rsid w:val="117D4B05"/>
    <w:rsid w:val="11807745"/>
    <w:rsid w:val="118270DB"/>
    <w:rsid w:val="119B31DD"/>
    <w:rsid w:val="11A51457"/>
    <w:rsid w:val="11BB0EEB"/>
    <w:rsid w:val="11BC3E6E"/>
    <w:rsid w:val="11C101AE"/>
    <w:rsid w:val="11C45444"/>
    <w:rsid w:val="11C53B12"/>
    <w:rsid w:val="11C55307"/>
    <w:rsid w:val="11D016C0"/>
    <w:rsid w:val="11D4313A"/>
    <w:rsid w:val="11E16D12"/>
    <w:rsid w:val="11E27082"/>
    <w:rsid w:val="120368E0"/>
    <w:rsid w:val="120E4547"/>
    <w:rsid w:val="12117032"/>
    <w:rsid w:val="121865DB"/>
    <w:rsid w:val="121D792D"/>
    <w:rsid w:val="1222527E"/>
    <w:rsid w:val="12296A3A"/>
    <w:rsid w:val="122B630F"/>
    <w:rsid w:val="122C11F5"/>
    <w:rsid w:val="12483506"/>
    <w:rsid w:val="12543AB7"/>
    <w:rsid w:val="125D0492"/>
    <w:rsid w:val="127E54B0"/>
    <w:rsid w:val="128F7902"/>
    <w:rsid w:val="129163CA"/>
    <w:rsid w:val="129C720C"/>
    <w:rsid w:val="12A30703"/>
    <w:rsid w:val="12AD31C8"/>
    <w:rsid w:val="12AF16CE"/>
    <w:rsid w:val="12B6701C"/>
    <w:rsid w:val="12C47136"/>
    <w:rsid w:val="12F26E2C"/>
    <w:rsid w:val="130143BE"/>
    <w:rsid w:val="130354DD"/>
    <w:rsid w:val="130E281C"/>
    <w:rsid w:val="13392CAD"/>
    <w:rsid w:val="13422B3B"/>
    <w:rsid w:val="135E3453"/>
    <w:rsid w:val="135F0873"/>
    <w:rsid w:val="135F0966"/>
    <w:rsid w:val="13631AD8"/>
    <w:rsid w:val="13877AB8"/>
    <w:rsid w:val="13936861"/>
    <w:rsid w:val="139A7BF0"/>
    <w:rsid w:val="139B74C4"/>
    <w:rsid w:val="13A051C1"/>
    <w:rsid w:val="13AE4DAE"/>
    <w:rsid w:val="13AF58EF"/>
    <w:rsid w:val="13BC2865"/>
    <w:rsid w:val="13C55D5B"/>
    <w:rsid w:val="13CB7DA9"/>
    <w:rsid w:val="13CC58CF"/>
    <w:rsid w:val="13E17339"/>
    <w:rsid w:val="13EE2D9C"/>
    <w:rsid w:val="13F310AE"/>
    <w:rsid w:val="13FF7CBB"/>
    <w:rsid w:val="14013F61"/>
    <w:rsid w:val="14082FB9"/>
    <w:rsid w:val="1424570B"/>
    <w:rsid w:val="144230CE"/>
    <w:rsid w:val="144E2CEA"/>
    <w:rsid w:val="145204CA"/>
    <w:rsid w:val="145C0BC6"/>
    <w:rsid w:val="1472040B"/>
    <w:rsid w:val="1486186E"/>
    <w:rsid w:val="14983968"/>
    <w:rsid w:val="149D6759"/>
    <w:rsid w:val="14AF1479"/>
    <w:rsid w:val="14AF41E7"/>
    <w:rsid w:val="14B8240A"/>
    <w:rsid w:val="14BB31C0"/>
    <w:rsid w:val="14CE23B0"/>
    <w:rsid w:val="14D20DB6"/>
    <w:rsid w:val="14EC0B53"/>
    <w:rsid w:val="14EF5D19"/>
    <w:rsid w:val="14F6028D"/>
    <w:rsid w:val="150021DB"/>
    <w:rsid w:val="15007F26"/>
    <w:rsid w:val="15127C5A"/>
    <w:rsid w:val="15317F27"/>
    <w:rsid w:val="15373C7A"/>
    <w:rsid w:val="153E2465"/>
    <w:rsid w:val="15414778"/>
    <w:rsid w:val="154C1AFE"/>
    <w:rsid w:val="156404B5"/>
    <w:rsid w:val="156775F4"/>
    <w:rsid w:val="156947AC"/>
    <w:rsid w:val="156D10F1"/>
    <w:rsid w:val="157C4320"/>
    <w:rsid w:val="15852665"/>
    <w:rsid w:val="15856695"/>
    <w:rsid w:val="15A467A1"/>
    <w:rsid w:val="15AD34AC"/>
    <w:rsid w:val="15BD7BC5"/>
    <w:rsid w:val="15C27640"/>
    <w:rsid w:val="15C75E4B"/>
    <w:rsid w:val="15D71AB9"/>
    <w:rsid w:val="15ED344D"/>
    <w:rsid w:val="16026889"/>
    <w:rsid w:val="161426C7"/>
    <w:rsid w:val="16184E59"/>
    <w:rsid w:val="161A5018"/>
    <w:rsid w:val="161F7B12"/>
    <w:rsid w:val="162D4D4B"/>
    <w:rsid w:val="16473933"/>
    <w:rsid w:val="16497BF3"/>
    <w:rsid w:val="16564955"/>
    <w:rsid w:val="16610551"/>
    <w:rsid w:val="166C0AC3"/>
    <w:rsid w:val="16730284"/>
    <w:rsid w:val="167C278A"/>
    <w:rsid w:val="168A2EA6"/>
    <w:rsid w:val="168C1DC1"/>
    <w:rsid w:val="16997602"/>
    <w:rsid w:val="16A43559"/>
    <w:rsid w:val="16AE57BB"/>
    <w:rsid w:val="16AE7042"/>
    <w:rsid w:val="16B938F0"/>
    <w:rsid w:val="16CA07EC"/>
    <w:rsid w:val="17471E3D"/>
    <w:rsid w:val="174C7453"/>
    <w:rsid w:val="174F6BCB"/>
    <w:rsid w:val="17526134"/>
    <w:rsid w:val="175365FC"/>
    <w:rsid w:val="17691A70"/>
    <w:rsid w:val="177117F5"/>
    <w:rsid w:val="178169D1"/>
    <w:rsid w:val="17832749"/>
    <w:rsid w:val="17872239"/>
    <w:rsid w:val="178B6F03"/>
    <w:rsid w:val="179E3A27"/>
    <w:rsid w:val="17AC5C7A"/>
    <w:rsid w:val="17B2302E"/>
    <w:rsid w:val="17BD306E"/>
    <w:rsid w:val="17C74D2B"/>
    <w:rsid w:val="17D15EA0"/>
    <w:rsid w:val="17D65CA1"/>
    <w:rsid w:val="17D8335F"/>
    <w:rsid w:val="17DA4A5F"/>
    <w:rsid w:val="17DC25C3"/>
    <w:rsid w:val="17EB6757"/>
    <w:rsid w:val="17F30693"/>
    <w:rsid w:val="17F6595F"/>
    <w:rsid w:val="180D6418"/>
    <w:rsid w:val="1819696F"/>
    <w:rsid w:val="181E5F9F"/>
    <w:rsid w:val="181F3F8B"/>
    <w:rsid w:val="18271DF9"/>
    <w:rsid w:val="18342ABD"/>
    <w:rsid w:val="183B547E"/>
    <w:rsid w:val="18403F55"/>
    <w:rsid w:val="184A23C1"/>
    <w:rsid w:val="184C3483"/>
    <w:rsid w:val="18516A33"/>
    <w:rsid w:val="1855423A"/>
    <w:rsid w:val="18577FC2"/>
    <w:rsid w:val="186506A5"/>
    <w:rsid w:val="18667C37"/>
    <w:rsid w:val="186D2211"/>
    <w:rsid w:val="1880001F"/>
    <w:rsid w:val="18844073"/>
    <w:rsid w:val="188577DD"/>
    <w:rsid w:val="18876619"/>
    <w:rsid w:val="189235C1"/>
    <w:rsid w:val="189439DF"/>
    <w:rsid w:val="189E3CDE"/>
    <w:rsid w:val="18A24E51"/>
    <w:rsid w:val="18AF7832"/>
    <w:rsid w:val="18B322DF"/>
    <w:rsid w:val="18B72C9A"/>
    <w:rsid w:val="18B83DB7"/>
    <w:rsid w:val="18D55226"/>
    <w:rsid w:val="18DE5B97"/>
    <w:rsid w:val="18E213D3"/>
    <w:rsid w:val="18F05A0A"/>
    <w:rsid w:val="18FE29CF"/>
    <w:rsid w:val="1901601B"/>
    <w:rsid w:val="19185EDD"/>
    <w:rsid w:val="1919798D"/>
    <w:rsid w:val="19362169"/>
    <w:rsid w:val="19617A98"/>
    <w:rsid w:val="197A3756"/>
    <w:rsid w:val="19833054"/>
    <w:rsid w:val="19947C30"/>
    <w:rsid w:val="199C654F"/>
    <w:rsid w:val="19A36108"/>
    <w:rsid w:val="19C05ED6"/>
    <w:rsid w:val="19D85051"/>
    <w:rsid w:val="19D928FD"/>
    <w:rsid w:val="19EC2827"/>
    <w:rsid w:val="19EC6D3F"/>
    <w:rsid w:val="19FC7F5B"/>
    <w:rsid w:val="19FD4A34"/>
    <w:rsid w:val="1A02029D"/>
    <w:rsid w:val="1A0A7151"/>
    <w:rsid w:val="1A1002C8"/>
    <w:rsid w:val="1A1B2562"/>
    <w:rsid w:val="1A1F58DD"/>
    <w:rsid w:val="1A393593"/>
    <w:rsid w:val="1A3C0718"/>
    <w:rsid w:val="1A3F7C5A"/>
    <w:rsid w:val="1A4A39F2"/>
    <w:rsid w:val="1A606D71"/>
    <w:rsid w:val="1A646862"/>
    <w:rsid w:val="1A725422"/>
    <w:rsid w:val="1A9F3D3E"/>
    <w:rsid w:val="1AAF12D5"/>
    <w:rsid w:val="1ACE7294"/>
    <w:rsid w:val="1ADA6A5C"/>
    <w:rsid w:val="1AE03C44"/>
    <w:rsid w:val="1AE96DBA"/>
    <w:rsid w:val="1AF220BF"/>
    <w:rsid w:val="1AFF6057"/>
    <w:rsid w:val="1B0756E9"/>
    <w:rsid w:val="1B0D2263"/>
    <w:rsid w:val="1B2A271F"/>
    <w:rsid w:val="1B2D10AE"/>
    <w:rsid w:val="1B371A34"/>
    <w:rsid w:val="1B3B7912"/>
    <w:rsid w:val="1B4566E5"/>
    <w:rsid w:val="1B4B052B"/>
    <w:rsid w:val="1B530684"/>
    <w:rsid w:val="1B566A66"/>
    <w:rsid w:val="1B5E36FC"/>
    <w:rsid w:val="1B5E6BEB"/>
    <w:rsid w:val="1B7D60F0"/>
    <w:rsid w:val="1B80312D"/>
    <w:rsid w:val="1B803B6F"/>
    <w:rsid w:val="1B844695"/>
    <w:rsid w:val="1BBB596B"/>
    <w:rsid w:val="1BD0277E"/>
    <w:rsid w:val="1BDD15CB"/>
    <w:rsid w:val="1BE67844"/>
    <w:rsid w:val="1BE834C2"/>
    <w:rsid w:val="1BEB34AF"/>
    <w:rsid w:val="1BEE6D2B"/>
    <w:rsid w:val="1C03306B"/>
    <w:rsid w:val="1C2702D4"/>
    <w:rsid w:val="1C283BAA"/>
    <w:rsid w:val="1C440071"/>
    <w:rsid w:val="1C475B85"/>
    <w:rsid w:val="1C4F6C7E"/>
    <w:rsid w:val="1C5A1934"/>
    <w:rsid w:val="1C7300B3"/>
    <w:rsid w:val="1C7F3E27"/>
    <w:rsid w:val="1C87265B"/>
    <w:rsid w:val="1C8E406A"/>
    <w:rsid w:val="1CA13D9D"/>
    <w:rsid w:val="1CA90611"/>
    <w:rsid w:val="1CB1421B"/>
    <w:rsid w:val="1CC113FF"/>
    <w:rsid w:val="1CC7132A"/>
    <w:rsid w:val="1CD37CCF"/>
    <w:rsid w:val="1CDA3139"/>
    <w:rsid w:val="1CDB5968"/>
    <w:rsid w:val="1CE55866"/>
    <w:rsid w:val="1CEC0D90"/>
    <w:rsid w:val="1D001AA8"/>
    <w:rsid w:val="1D166085"/>
    <w:rsid w:val="1D253664"/>
    <w:rsid w:val="1D300C7D"/>
    <w:rsid w:val="1D30438E"/>
    <w:rsid w:val="1D641F5B"/>
    <w:rsid w:val="1D6E79F7"/>
    <w:rsid w:val="1D767D65"/>
    <w:rsid w:val="1D7A1A96"/>
    <w:rsid w:val="1D8316F5"/>
    <w:rsid w:val="1D835A57"/>
    <w:rsid w:val="1D84052E"/>
    <w:rsid w:val="1D8D60CF"/>
    <w:rsid w:val="1DB569AE"/>
    <w:rsid w:val="1DC34D1A"/>
    <w:rsid w:val="1DC81AFE"/>
    <w:rsid w:val="1DCB6E63"/>
    <w:rsid w:val="1DD460A8"/>
    <w:rsid w:val="1DD736A9"/>
    <w:rsid w:val="1DE026A3"/>
    <w:rsid w:val="1DE50360"/>
    <w:rsid w:val="1DE51871"/>
    <w:rsid w:val="1DE53243"/>
    <w:rsid w:val="1DF12B02"/>
    <w:rsid w:val="1DF828A4"/>
    <w:rsid w:val="1DFF3979"/>
    <w:rsid w:val="1E0D646D"/>
    <w:rsid w:val="1E1773AB"/>
    <w:rsid w:val="1E226895"/>
    <w:rsid w:val="1E331FCC"/>
    <w:rsid w:val="1E625340"/>
    <w:rsid w:val="1E682874"/>
    <w:rsid w:val="1E773CEA"/>
    <w:rsid w:val="1E9555A3"/>
    <w:rsid w:val="1E996BC3"/>
    <w:rsid w:val="1E9A0F36"/>
    <w:rsid w:val="1E9B2A6E"/>
    <w:rsid w:val="1E9C129D"/>
    <w:rsid w:val="1EA775D8"/>
    <w:rsid w:val="1EA80A8F"/>
    <w:rsid w:val="1EA94C26"/>
    <w:rsid w:val="1EAB7199"/>
    <w:rsid w:val="1EB25D55"/>
    <w:rsid w:val="1EB31B66"/>
    <w:rsid w:val="1EBA2744"/>
    <w:rsid w:val="1EC314F6"/>
    <w:rsid w:val="1EC4759C"/>
    <w:rsid w:val="1EC56E17"/>
    <w:rsid w:val="1ED0096A"/>
    <w:rsid w:val="1EDC0931"/>
    <w:rsid w:val="1EDF719C"/>
    <w:rsid w:val="1EE76CC2"/>
    <w:rsid w:val="1EF34CD3"/>
    <w:rsid w:val="1F002F2D"/>
    <w:rsid w:val="1F0047CC"/>
    <w:rsid w:val="1F032477"/>
    <w:rsid w:val="1F0858D1"/>
    <w:rsid w:val="1F3709E9"/>
    <w:rsid w:val="1F3B2E5E"/>
    <w:rsid w:val="1F3C75E3"/>
    <w:rsid w:val="1F4223F4"/>
    <w:rsid w:val="1F481CE3"/>
    <w:rsid w:val="1F49615A"/>
    <w:rsid w:val="1F555D0C"/>
    <w:rsid w:val="1F6410B2"/>
    <w:rsid w:val="1F6B1BDD"/>
    <w:rsid w:val="1F773DAF"/>
    <w:rsid w:val="1F7E2174"/>
    <w:rsid w:val="1F947BE9"/>
    <w:rsid w:val="1F984848"/>
    <w:rsid w:val="1FA47700"/>
    <w:rsid w:val="1FD839C2"/>
    <w:rsid w:val="1FDA0CB0"/>
    <w:rsid w:val="1FEE24C3"/>
    <w:rsid w:val="1FF93EF0"/>
    <w:rsid w:val="200D451E"/>
    <w:rsid w:val="20174E36"/>
    <w:rsid w:val="203C5DB6"/>
    <w:rsid w:val="20515ADA"/>
    <w:rsid w:val="20584657"/>
    <w:rsid w:val="205F258E"/>
    <w:rsid w:val="206A685A"/>
    <w:rsid w:val="206A6B9C"/>
    <w:rsid w:val="207B66B3"/>
    <w:rsid w:val="20814095"/>
    <w:rsid w:val="20917F28"/>
    <w:rsid w:val="20A0436C"/>
    <w:rsid w:val="20C1321D"/>
    <w:rsid w:val="20E526E3"/>
    <w:rsid w:val="20FD356C"/>
    <w:rsid w:val="21102184"/>
    <w:rsid w:val="21130FE1"/>
    <w:rsid w:val="211F7986"/>
    <w:rsid w:val="21286104"/>
    <w:rsid w:val="213C22E6"/>
    <w:rsid w:val="214234F5"/>
    <w:rsid w:val="215D76CB"/>
    <w:rsid w:val="215E126F"/>
    <w:rsid w:val="216E6218"/>
    <w:rsid w:val="21771570"/>
    <w:rsid w:val="217F2DCA"/>
    <w:rsid w:val="21957C48"/>
    <w:rsid w:val="21A67760"/>
    <w:rsid w:val="21C57190"/>
    <w:rsid w:val="21CB5176"/>
    <w:rsid w:val="21CB71C6"/>
    <w:rsid w:val="21D06ED2"/>
    <w:rsid w:val="21D17F3A"/>
    <w:rsid w:val="21D578C2"/>
    <w:rsid w:val="21D65384"/>
    <w:rsid w:val="21D73DBD"/>
    <w:rsid w:val="21E0212B"/>
    <w:rsid w:val="21ED6A89"/>
    <w:rsid w:val="220D5888"/>
    <w:rsid w:val="221A6C6D"/>
    <w:rsid w:val="221F0C77"/>
    <w:rsid w:val="223236E9"/>
    <w:rsid w:val="223A73F6"/>
    <w:rsid w:val="22406CF4"/>
    <w:rsid w:val="224551CB"/>
    <w:rsid w:val="224E71F7"/>
    <w:rsid w:val="224F429B"/>
    <w:rsid w:val="225678E3"/>
    <w:rsid w:val="2267320D"/>
    <w:rsid w:val="22756270"/>
    <w:rsid w:val="227B1D42"/>
    <w:rsid w:val="227D0872"/>
    <w:rsid w:val="227F3577"/>
    <w:rsid w:val="22840ECE"/>
    <w:rsid w:val="22927CF9"/>
    <w:rsid w:val="229628CB"/>
    <w:rsid w:val="229B4DEB"/>
    <w:rsid w:val="22AC349C"/>
    <w:rsid w:val="22AD5F08"/>
    <w:rsid w:val="22B440FE"/>
    <w:rsid w:val="22B97967"/>
    <w:rsid w:val="22C528F8"/>
    <w:rsid w:val="22C6254E"/>
    <w:rsid w:val="22D675A7"/>
    <w:rsid w:val="22DA7282"/>
    <w:rsid w:val="22DE50DD"/>
    <w:rsid w:val="22E35AC4"/>
    <w:rsid w:val="22F24EF6"/>
    <w:rsid w:val="22F4274D"/>
    <w:rsid w:val="22FC1F97"/>
    <w:rsid w:val="230A01C2"/>
    <w:rsid w:val="23140FB7"/>
    <w:rsid w:val="23151041"/>
    <w:rsid w:val="231A3E68"/>
    <w:rsid w:val="231D4139"/>
    <w:rsid w:val="23225EFF"/>
    <w:rsid w:val="23242576"/>
    <w:rsid w:val="233A6ECD"/>
    <w:rsid w:val="2346187A"/>
    <w:rsid w:val="23492A98"/>
    <w:rsid w:val="234A25C0"/>
    <w:rsid w:val="234C38D6"/>
    <w:rsid w:val="234D5AF8"/>
    <w:rsid w:val="2354678D"/>
    <w:rsid w:val="235F050E"/>
    <w:rsid w:val="237872AE"/>
    <w:rsid w:val="238A1896"/>
    <w:rsid w:val="23937AF8"/>
    <w:rsid w:val="23B56380"/>
    <w:rsid w:val="23C13CBD"/>
    <w:rsid w:val="23D553C9"/>
    <w:rsid w:val="23E445AF"/>
    <w:rsid w:val="23E629DD"/>
    <w:rsid w:val="23E81727"/>
    <w:rsid w:val="23EA41D2"/>
    <w:rsid w:val="23F32A04"/>
    <w:rsid w:val="23F744DA"/>
    <w:rsid w:val="23FC2802"/>
    <w:rsid w:val="23FF75FB"/>
    <w:rsid w:val="240626CE"/>
    <w:rsid w:val="240816FB"/>
    <w:rsid w:val="240B14E2"/>
    <w:rsid w:val="240B5FA0"/>
    <w:rsid w:val="241447D4"/>
    <w:rsid w:val="243F24A7"/>
    <w:rsid w:val="24404E85"/>
    <w:rsid w:val="244679DF"/>
    <w:rsid w:val="245710F3"/>
    <w:rsid w:val="245F694D"/>
    <w:rsid w:val="24690B62"/>
    <w:rsid w:val="247F6388"/>
    <w:rsid w:val="24940192"/>
    <w:rsid w:val="249839FA"/>
    <w:rsid w:val="249D1249"/>
    <w:rsid w:val="24A84347"/>
    <w:rsid w:val="24A85C65"/>
    <w:rsid w:val="24AD0CCB"/>
    <w:rsid w:val="24B258B6"/>
    <w:rsid w:val="24B30B11"/>
    <w:rsid w:val="24C11F5B"/>
    <w:rsid w:val="24C526D1"/>
    <w:rsid w:val="24CC572F"/>
    <w:rsid w:val="24EB0BA1"/>
    <w:rsid w:val="24ED1003"/>
    <w:rsid w:val="24F133E8"/>
    <w:rsid w:val="24FB6014"/>
    <w:rsid w:val="24FF6042"/>
    <w:rsid w:val="24FF77FA"/>
    <w:rsid w:val="250A26FB"/>
    <w:rsid w:val="250D7AF6"/>
    <w:rsid w:val="25113BCC"/>
    <w:rsid w:val="2522721A"/>
    <w:rsid w:val="25292802"/>
    <w:rsid w:val="25424825"/>
    <w:rsid w:val="254E4396"/>
    <w:rsid w:val="2560449D"/>
    <w:rsid w:val="256446AD"/>
    <w:rsid w:val="256718FC"/>
    <w:rsid w:val="25853280"/>
    <w:rsid w:val="2587645F"/>
    <w:rsid w:val="2598730B"/>
    <w:rsid w:val="25A81EC9"/>
    <w:rsid w:val="25AE091B"/>
    <w:rsid w:val="25C04EEE"/>
    <w:rsid w:val="25C827BA"/>
    <w:rsid w:val="25CB59E7"/>
    <w:rsid w:val="25CB5D07"/>
    <w:rsid w:val="25DF5936"/>
    <w:rsid w:val="25E40DB9"/>
    <w:rsid w:val="25FD1F45"/>
    <w:rsid w:val="26045A9A"/>
    <w:rsid w:val="26072F90"/>
    <w:rsid w:val="260B04D9"/>
    <w:rsid w:val="2611618D"/>
    <w:rsid w:val="261165D5"/>
    <w:rsid w:val="26182617"/>
    <w:rsid w:val="261B3491"/>
    <w:rsid w:val="2640668C"/>
    <w:rsid w:val="26585020"/>
    <w:rsid w:val="265C0441"/>
    <w:rsid w:val="26600D06"/>
    <w:rsid w:val="267705B4"/>
    <w:rsid w:val="267D79B8"/>
    <w:rsid w:val="267E3536"/>
    <w:rsid w:val="26837079"/>
    <w:rsid w:val="269478D8"/>
    <w:rsid w:val="269E4415"/>
    <w:rsid w:val="269F10BE"/>
    <w:rsid w:val="26A30712"/>
    <w:rsid w:val="26A93FFA"/>
    <w:rsid w:val="26BE34C2"/>
    <w:rsid w:val="26BE651E"/>
    <w:rsid w:val="26BF42ED"/>
    <w:rsid w:val="26C30EC6"/>
    <w:rsid w:val="26CC3745"/>
    <w:rsid w:val="26D26AB5"/>
    <w:rsid w:val="26D36058"/>
    <w:rsid w:val="26D60B93"/>
    <w:rsid w:val="26E277FF"/>
    <w:rsid w:val="26E94E63"/>
    <w:rsid w:val="26F61EFB"/>
    <w:rsid w:val="26FE0ED2"/>
    <w:rsid w:val="270E5E18"/>
    <w:rsid w:val="27190705"/>
    <w:rsid w:val="271F0AC5"/>
    <w:rsid w:val="272555CB"/>
    <w:rsid w:val="27286E69"/>
    <w:rsid w:val="272F34D8"/>
    <w:rsid w:val="27325753"/>
    <w:rsid w:val="27345D06"/>
    <w:rsid w:val="2745113A"/>
    <w:rsid w:val="27466022"/>
    <w:rsid w:val="274C42DA"/>
    <w:rsid w:val="275119B2"/>
    <w:rsid w:val="27635618"/>
    <w:rsid w:val="27636BD6"/>
    <w:rsid w:val="27665A32"/>
    <w:rsid w:val="2767173F"/>
    <w:rsid w:val="276C53BD"/>
    <w:rsid w:val="276E0F98"/>
    <w:rsid w:val="277673E4"/>
    <w:rsid w:val="277B5564"/>
    <w:rsid w:val="278014E7"/>
    <w:rsid w:val="27822A1D"/>
    <w:rsid w:val="278C51A7"/>
    <w:rsid w:val="2796022C"/>
    <w:rsid w:val="27A13CA9"/>
    <w:rsid w:val="27B150B0"/>
    <w:rsid w:val="27B61415"/>
    <w:rsid w:val="27BA21B7"/>
    <w:rsid w:val="27F86B0D"/>
    <w:rsid w:val="28047475"/>
    <w:rsid w:val="280C3A2B"/>
    <w:rsid w:val="28117600"/>
    <w:rsid w:val="28202605"/>
    <w:rsid w:val="28212236"/>
    <w:rsid w:val="282E04AF"/>
    <w:rsid w:val="282F7889"/>
    <w:rsid w:val="284076AD"/>
    <w:rsid w:val="28444EC4"/>
    <w:rsid w:val="28500192"/>
    <w:rsid w:val="28620159"/>
    <w:rsid w:val="286520B3"/>
    <w:rsid w:val="28A3737E"/>
    <w:rsid w:val="28B05368"/>
    <w:rsid w:val="28B766F6"/>
    <w:rsid w:val="28C11323"/>
    <w:rsid w:val="28C8250F"/>
    <w:rsid w:val="28D9041B"/>
    <w:rsid w:val="28E67DCA"/>
    <w:rsid w:val="28FC0D3C"/>
    <w:rsid w:val="29000327"/>
    <w:rsid w:val="29086739"/>
    <w:rsid w:val="290C1F83"/>
    <w:rsid w:val="29184719"/>
    <w:rsid w:val="291D5C79"/>
    <w:rsid w:val="29245E21"/>
    <w:rsid w:val="29275693"/>
    <w:rsid w:val="292875F4"/>
    <w:rsid w:val="29393F67"/>
    <w:rsid w:val="293A2777"/>
    <w:rsid w:val="2948654D"/>
    <w:rsid w:val="29517D7C"/>
    <w:rsid w:val="295C562C"/>
    <w:rsid w:val="295F1070"/>
    <w:rsid w:val="295F41D9"/>
    <w:rsid w:val="296E0F5F"/>
    <w:rsid w:val="29716C63"/>
    <w:rsid w:val="2976365F"/>
    <w:rsid w:val="29812402"/>
    <w:rsid w:val="298C7B83"/>
    <w:rsid w:val="299870E2"/>
    <w:rsid w:val="29996ECB"/>
    <w:rsid w:val="299C0C99"/>
    <w:rsid w:val="29A0542A"/>
    <w:rsid w:val="29A111EC"/>
    <w:rsid w:val="29B13E8B"/>
    <w:rsid w:val="29B33362"/>
    <w:rsid w:val="29C6209B"/>
    <w:rsid w:val="29CF131B"/>
    <w:rsid w:val="29D41D8D"/>
    <w:rsid w:val="29D82DC8"/>
    <w:rsid w:val="29E866FD"/>
    <w:rsid w:val="29EF3C6E"/>
    <w:rsid w:val="29F2574A"/>
    <w:rsid w:val="29F7619D"/>
    <w:rsid w:val="2A007121"/>
    <w:rsid w:val="2A1B2EC4"/>
    <w:rsid w:val="2A29759A"/>
    <w:rsid w:val="2A2B6099"/>
    <w:rsid w:val="2A461AE0"/>
    <w:rsid w:val="2A5131D8"/>
    <w:rsid w:val="2A5672FD"/>
    <w:rsid w:val="2A5E212C"/>
    <w:rsid w:val="2A7520FA"/>
    <w:rsid w:val="2A81030D"/>
    <w:rsid w:val="2A973175"/>
    <w:rsid w:val="2A9767DF"/>
    <w:rsid w:val="2A983F14"/>
    <w:rsid w:val="2AB6702A"/>
    <w:rsid w:val="2AB845F4"/>
    <w:rsid w:val="2ABA5F21"/>
    <w:rsid w:val="2ABD084B"/>
    <w:rsid w:val="2ACC2074"/>
    <w:rsid w:val="2AD2551B"/>
    <w:rsid w:val="2AE546EF"/>
    <w:rsid w:val="2AE82B97"/>
    <w:rsid w:val="2AF005C2"/>
    <w:rsid w:val="2AFA3B41"/>
    <w:rsid w:val="2B0126B5"/>
    <w:rsid w:val="2B0132E0"/>
    <w:rsid w:val="2B054C24"/>
    <w:rsid w:val="2B06787C"/>
    <w:rsid w:val="2B1D22CA"/>
    <w:rsid w:val="2B39506B"/>
    <w:rsid w:val="2B3B6C89"/>
    <w:rsid w:val="2B3F1516"/>
    <w:rsid w:val="2B5449A3"/>
    <w:rsid w:val="2B5F36DC"/>
    <w:rsid w:val="2B612949"/>
    <w:rsid w:val="2B823927"/>
    <w:rsid w:val="2B8502AF"/>
    <w:rsid w:val="2B8C79C6"/>
    <w:rsid w:val="2B9975E4"/>
    <w:rsid w:val="2BB533C1"/>
    <w:rsid w:val="2BBF4052"/>
    <w:rsid w:val="2BC3635D"/>
    <w:rsid w:val="2BE256F1"/>
    <w:rsid w:val="2BFE21EE"/>
    <w:rsid w:val="2C002162"/>
    <w:rsid w:val="2C074F3B"/>
    <w:rsid w:val="2C170001"/>
    <w:rsid w:val="2C380499"/>
    <w:rsid w:val="2C43682A"/>
    <w:rsid w:val="2C703893"/>
    <w:rsid w:val="2C736DD8"/>
    <w:rsid w:val="2C8C40FD"/>
    <w:rsid w:val="2C8E0B14"/>
    <w:rsid w:val="2C8E776E"/>
    <w:rsid w:val="2CAF35DA"/>
    <w:rsid w:val="2CDF2B2F"/>
    <w:rsid w:val="2CDF4E5D"/>
    <w:rsid w:val="2CE41EB9"/>
    <w:rsid w:val="2CEC0CFB"/>
    <w:rsid w:val="2CEE2546"/>
    <w:rsid w:val="2D122477"/>
    <w:rsid w:val="2D1C5460"/>
    <w:rsid w:val="2D272A7A"/>
    <w:rsid w:val="2D314856"/>
    <w:rsid w:val="2D3447B9"/>
    <w:rsid w:val="2D3A4BC3"/>
    <w:rsid w:val="2D6B7AAF"/>
    <w:rsid w:val="2D7642C7"/>
    <w:rsid w:val="2D8131AB"/>
    <w:rsid w:val="2D8C14EE"/>
    <w:rsid w:val="2D977F83"/>
    <w:rsid w:val="2DA244AD"/>
    <w:rsid w:val="2DA42082"/>
    <w:rsid w:val="2DAC16C5"/>
    <w:rsid w:val="2DAD00C8"/>
    <w:rsid w:val="2DC0292D"/>
    <w:rsid w:val="2DC72F38"/>
    <w:rsid w:val="2DCD3C94"/>
    <w:rsid w:val="2DD41AF8"/>
    <w:rsid w:val="2DD81286"/>
    <w:rsid w:val="2DFE26D1"/>
    <w:rsid w:val="2E0658AD"/>
    <w:rsid w:val="2E070499"/>
    <w:rsid w:val="2E0D07F3"/>
    <w:rsid w:val="2E2E2D21"/>
    <w:rsid w:val="2E3D58F0"/>
    <w:rsid w:val="2E4F660A"/>
    <w:rsid w:val="2E5D5AB4"/>
    <w:rsid w:val="2E681C88"/>
    <w:rsid w:val="2E721BF4"/>
    <w:rsid w:val="2E7775FD"/>
    <w:rsid w:val="2EA21FEE"/>
    <w:rsid w:val="2EBB4928"/>
    <w:rsid w:val="2EDD678B"/>
    <w:rsid w:val="2EDE2D9F"/>
    <w:rsid w:val="2EE252C8"/>
    <w:rsid w:val="2EEE569F"/>
    <w:rsid w:val="2EF21BCF"/>
    <w:rsid w:val="2EFA0893"/>
    <w:rsid w:val="2EFE6E2D"/>
    <w:rsid w:val="2F007866"/>
    <w:rsid w:val="2F0D2540"/>
    <w:rsid w:val="2F265FEA"/>
    <w:rsid w:val="2F364819"/>
    <w:rsid w:val="2F4A4A71"/>
    <w:rsid w:val="2F57653D"/>
    <w:rsid w:val="2F5C71C0"/>
    <w:rsid w:val="2F660650"/>
    <w:rsid w:val="2F7411F8"/>
    <w:rsid w:val="2F7B42B9"/>
    <w:rsid w:val="2F8B3311"/>
    <w:rsid w:val="2F9257C7"/>
    <w:rsid w:val="2F94153F"/>
    <w:rsid w:val="2FA07EE4"/>
    <w:rsid w:val="2FA13217"/>
    <w:rsid w:val="2FA84FEB"/>
    <w:rsid w:val="2FC736C3"/>
    <w:rsid w:val="2FD218ED"/>
    <w:rsid w:val="2FF06890"/>
    <w:rsid w:val="300D3054"/>
    <w:rsid w:val="30222703"/>
    <w:rsid w:val="302723B3"/>
    <w:rsid w:val="302A6EE3"/>
    <w:rsid w:val="302D358A"/>
    <w:rsid w:val="30316E1F"/>
    <w:rsid w:val="303D034E"/>
    <w:rsid w:val="303F51A2"/>
    <w:rsid w:val="30453AFF"/>
    <w:rsid w:val="304946AE"/>
    <w:rsid w:val="304A6C19"/>
    <w:rsid w:val="305A62E5"/>
    <w:rsid w:val="305E7A2F"/>
    <w:rsid w:val="306774E3"/>
    <w:rsid w:val="306E1D90"/>
    <w:rsid w:val="30802422"/>
    <w:rsid w:val="30953F52"/>
    <w:rsid w:val="30980BEB"/>
    <w:rsid w:val="30996C7C"/>
    <w:rsid w:val="30B55C11"/>
    <w:rsid w:val="30B60882"/>
    <w:rsid w:val="30BC6ABD"/>
    <w:rsid w:val="30C93B1B"/>
    <w:rsid w:val="30CA0F93"/>
    <w:rsid w:val="30CA4330"/>
    <w:rsid w:val="30CC121C"/>
    <w:rsid w:val="30D21BDD"/>
    <w:rsid w:val="30D616E4"/>
    <w:rsid w:val="3109670C"/>
    <w:rsid w:val="311F308B"/>
    <w:rsid w:val="31201E1A"/>
    <w:rsid w:val="31215055"/>
    <w:rsid w:val="31385B27"/>
    <w:rsid w:val="313C59EB"/>
    <w:rsid w:val="31411253"/>
    <w:rsid w:val="314D0511"/>
    <w:rsid w:val="314F1E56"/>
    <w:rsid w:val="31564369"/>
    <w:rsid w:val="315C5D82"/>
    <w:rsid w:val="316C3324"/>
    <w:rsid w:val="31792E68"/>
    <w:rsid w:val="31815AF3"/>
    <w:rsid w:val="3195334D"/>
    <w:rsid w:val="319E74BF"/>
    <w:rsid w:val="31A33AA5"/>
    <w:rsid w:val="31AB491E"/>
    <w:rsid w:val="31E367AE"/>
    <w:rsid w:val="31E400DE"/>
    <w:rsid w:val="31FE7144"/>
    <w:rsid w:val="31FF02FF"/>
    <w:rsid w:val="31FF64FB"/>
    <w:rsid w:val="32005027"/>
    <w:rsid w:val="320C360F"/>
    <w:rsid w:val="321700DE"/>
    <w:rsid w:val="32213665"/>
    <w:rsid w:val="322C1F03"/>
    <w:rsid w:val="322E4844"/>
    <w:rsid w:val="323A7A1A"/>
    <w:rsid w:val="324059AE"/>
    <w:rsid w:val="32497A12"/>
    <w:rsid w:val="32534803"/>
    <w:rsid w:val="326A240A"/>
    <w:rsid w:val="327D450D"/>
    <w:rsid w:val="32970F1F"/>
    <w:rsid w:val="32C25701"/>
    <w:rsid w:val="32D83E39"/>
    <w:rsid w:val="32DD62E7"/>
    <w:rsid w:val="32DF6F75"/>
    <w:rsid w:val="32F3657D"/>
    <w:rsid w:val="330005F6"/>
    <w:rsid w:val="33145BF1"/>
    <w:rsid w:val="331A3EE5"/>
    <w:rsid w:val="33386686"/>
    <w:rsid w:val="3340463D"/>
    <w:rsid w:val="334B0167"/>
    <w:rsid w:val="33501C21"/>
    <w:rsid w:val="33531C09"/>
    <w:rsid w:val="335D7E9A"/>
    <w:rsid w:val="3365454E"/>
    <w:rsid w:val="3377467E"/>
    <w:rsid w:val="3382391F"/>
    <w:rsid w:val="3383784F"/>
    <w:rsid w:val="33A84A76"/>
    <w:rsid w:val="33A85ABF"/>
    <w:rsid w:val="33B65599"/>
    <w:rsid w:val="33C50B00"/>
    <w:rsid w:val="33D741ED"/>
    <w:rsid w:val="33EF4F96"/>
    <w:rsid w:val="340071A3"/>
    <w:rsid w:val="34020915"/>
    <w:rsid w:val="34073BD6"/>
    <w:rsid w:val="34073F90"/>
    <w:rsid w:val="340E16B5"/>
    <w:rsid w:val="34133D8C"/>
    <w:rsid w:val="342015F4"/>
    <w:rsid w:val="3424001A"/>
    <w:rsid w:val="34331823"/>
    <w:rsid w:val="34362BC5"/>
    <w:rsid w:val="343706EB"/>
    <w:rsid w:val="34410D73"/>
    <w:rsid w:val="344352E2"/>
    <w:rsid w:val="345A559F"/>
    <w:rsid w:val="345C0152"/>
    <w:rsid w:val="34683120"/>
    <w:rsid w:val="34707227"/>
    <w:rsid w:val="347100A1"/>
    <w:rsid w:val="347D612A"/>
    <w:rsid w:val="34802092"/>
    <w:rsid w:val="348F13D6"/>
    <w:rsid w:val="3492284C"/>
    <w:rsid w:val="34AA60AF"/>
    <w:rsid w:val="34AC5027"/>
    <w:rsid w:val="34C20AB2"/>
    <w:rsid w:val="34D16D92"/>
    <w:rsid w:val="34D30AEC"/>
    <w:rsid w:val="34D62671"/>
    <w:rsid w:val="34DE1825"/>
    <w:rsid w:val="34E01856"/>
    <w:rsid w:val="34E5677B"/>
    <w:rsid w:val="34F216D5"/>
    <w:rsid w:val="35157E5B"/>
    <w:rsid w:val="354E27DE"/>
    <w:rsid w:val="35507535"/>
    <w:rsid w:val="35512966"/>
    <w:rsid w:val="35586B6B"/>
    <w:rsid w:val="355C2AFF"/>
    <w:rsid w:val="356229FD"/>
    <w:rsid w:val="35640434"/>
    <w:rsid w:val="35775243"/>
    <w:rsid w:val="359079BD"/>
    <w:rsid w:val="35975FF7"/>
    <w:rsid w:val="35984B25"/>
    <w:rsid w:val="35A07F16"/>
    <w:rsid w:val="35B21239"/>
    <w:rsid w:val="35BE2E72"/>
    <w:rsid w:val="35BF5AEE"/>
    <w:rsid w:val="35DE1500"/>
    <w:rsid w:val="35E178E0"/>
    <w:rsid w:val="35EB0F46"/>
    <w:rsid w:val="35F14B66"/>
    <w:rsid w:val="360D204B"/>
    <w:rsid w:val="361249E5"/>
    <w:rsid w:val="36203B2D"/>
    <w:rsid w:val="362058DB"/>
    <w:rsid w:val="36280CF3"/>
    <w:rsid w:val="363D2A41"/>
    <w:rsid w:val="364174B1"/>
    <w:rsid w:val="366D46DB"/>
    <w:rsid w:val="368A74A0"/>
    <w:rsid w:val="3699519F"/>
    <w:rsid w:val="3699743B"/>
    <w:rsid w:val="36A43530"/>
    <w:rsid w:val="36B325A5"/>
    <w:rsid w:val="36BD7F3C"/>
    <w:rsid w:val="36C24C95"/>
    <w:rsid w:val="36C344B8"/>
    <w:rsid w:val="36F375D5"/>
    <w:rsid w:val="370A20E7"/>
    <w:rsid w:val="3713673B"/>
    <w:rsid w:val="372C636E"/>
    <w:rsid w:val="373D070E"/>
    <w:rsid w:val="374758A8"/>
    <w:rsid w:val="374E46CA"/>
    <w:rsid w:val="37643EED"/>
    <w:rsid w:val="37800A96"/>
    <w:rsid w:val="37922D2E"/>
    <w:rsid w:val="37A948DA"/>
    <w:rsid w:val="37AD242E"/>
    <w:rsid w:val="37B207B5"/>
    <w:rsid w:val="37B53921"/>
    <w:rsid w:val="37C64260"/>
    <w:rsid w:val="37CA3313"/>
    <w:rsid w:val="37E737E4"/>
    <w:rsid w:val="37EF7C5B"/>
    <w:rsid w:val="37F9283D"/>
    <w:rsid w:val="38037262"/>
    <w:rsid w:val="380D6333"/>
    <w:rsid w:val="381C3765"/>
    <w:rsid w:val="38224239"/>
    <w:rsid w:val="383523CE"/>
    <w:rsid w:val="38361D21"/>
    <w:rsid w:val="3850673F"/>
    <w:rsid w:val="385E6B8E"/>
    <w:rsid w:val="38776164"/>
    <w:rsid w:val="388008B3"/>
    <w:rsid w:val="388B22CE"/>
    <w:rsid w:val="38910D12"/>
    <w:rsid w:val="38B60778"/>
    <w:rsid w:val="38B81542"/>
    <w:rsid w:val="38BB70FC"/>
    <w:rsid w:val="390377CF"/>
    <w:rsid w:val="390C0398"/>
    <w:rsid w:val="390E2362"/>
    <w:rsid w:val="390E5F29"/>
    <w:rsid w:val="39111E53"/>
    <w:rsid w:val="39152F35"/>
    <w:rsid w:val="394144E6"/>
    <w:rsid w:val="39440601"/>
    <w:rsid w:val="394431B6"/>
    <w:rsid w:val="394876FC"/>
    <w:rsid w:val="394C69E7"/>
    <w:rsid w:val="396778BC"/>
    <w:rsid w:val="397B655D"/>
    <w:rsid w:val="397E265A"/>
    <w:rsid w:val="39945397"/>
    <w:rsid w:val="3995577D"/>
    <w:rsid w:val="39A21D90"/>
    <w:rsid w:val="39B4391F"/>
    <w:rsid w:val="39B747A8"/>
    <w:rsid w:val="39BC31C0"/>
    <w:rsid w:val="39BD75BF"/>
    <w:rsid w:val="39D5466D"/>
    <w:rsid w:val="39DA5C90"/>
    <w:rsid w:val="39DD52FC"/>
    <w:rsid w:val="39DF3C43"/>
    <w:rsid w:val="39E44E71"/>
    <w:rsid w:val="3A015A23"/>
    <w:rsid w:val="3A0A70C5"/>
    <w:rsid w:val="3A0D6176"/>
    <w:rsid w:val="3A26226E"/>
    <w:rsid w:val="3A2B507B"/>
    <w:rsid w:val="3A375FD0"/>
    <w:rsid w:val="3A386596"/>
    <w:rsid w:val="3A3A0F35"/>
    <w:rsid w:val="3A484DEB"/>
    <w:rsid w:val="3A706705"/>
    <w:rsid w:val="3A7E635D"/>
    <w:rsid w:val="3A8A6037"/>
    <w:rsid w:val="3A915A51"/>
    <w:rsid w:val="3AB9197E"/>
    <w:rsid w:val="3AB962FE"/>
    <w:rsid w:val="3AC032BC"/>
    <w:rsid w:val="3AC51C40"/>
    <w:rsid w:val="3ACB7183"/>
    <w:rsid w:val="3AD82C28"/>
    <w:rsid w:val="3AE132DF"/>
    <w:rsid w:val="3AEB54BA"/>
    <w:rsid w:val="3AEF3F90"/>
    <w:rsid w:val="3B02185C"/>
    <w:rsid w:val="3B101FEC"/>
    <w:rsid w:val="3B1D2AF0"/>
    <w:rsid w:val="3B244CAF"/>
    <w:rsid w:val="3B2A5E94"/>
    <w:rsid w:val="3B2F65C0"/>
    <w:rsid w:val="3B316B65"/>
    <w:rsid w:val="3B331C0C"/>
    <w:rsid w:val="3B387B37"/>
    <w:rsid w:val="3B514788"/>
    <w:rsid w:val="3B57061A"/>
    <w:rsid w:val="3B585CEB"/>
    <w:rsid w:val="3B5A356F"/>
    <w:rsid w:val="3B836FA7"/>
    <w:rsid w:val="3B8678B6"/>
    <w:rsid w:val="3B936B4F"/>
    <w:rsid w:val="3BA14319"/>
    <w:rsid w:val="3BA50630"/>
    <w:rsid w:val="3BA52CAD"/>
    <w:rsid w:val="3BA6436D"/>
    <w:rsid w:val="3BAA3EA2"/>
    <w:rsid w:val="3BB868BA"/>
    <w:rsid w:val="3BBF16F2"/>
    <w:rsid w:val="3BC52C1E"/>
    <w:rsid w:val="3BD360E8"/>
    <w:rsid w:val="3BD80A06"/>
    <w:rsid w:val="3BE41159"/>
    <w:rsid w:val="3BEA136D"/>
    <w:rsid w:val="3BEE2461"/>
    <w:rsid w:val="3BF910A8"/>
    <w:rsid w:val="3BFD2D78"/>
    <w:rsid w:val="3C0C2617"/>
    <w:rsid w:val="3C1B0E77"/>
    <w:rsid w:val="3C1C6B44"/>
    <w:rsid w:val="3C1E7723"/>
    <w:rsid w:val="3C1F03E3"/>
    <w:rsid w:val="3C2459F9"/>
    <w:rsid w:val="3C2D423A"/>
    <w:rsid w:val="3C307ABA"/>
    <w:rsid w:val="3C326368"/>
    <w:rsid w:val="3C326B12"/>
    <w:rsid w:val="3C4C7415"/>
    <w:rsid w:val="3C4D4F50"/>
    <w:rsid w:val="3C610B09"/>
    <w:rsid w:val="3C636521"/>
    <w:rsid w:val="3C794B3F"/>
    <w:rsid w:val="3C876F26"/>
    <w:rsid w:val="3C896A5A"/>
    <w:rsid w:val="3C8D6184"/>
    <w:rsid w:val="3C8E7BD4"/>
    <w:rsid w:val="3CA32DC2"/>
    <w:rsid w:val="3CA34BDA"/>
    <w:rsid w:val="3CAD59EE"/>
    <w:rsid w:val="3CC416DC"/>
    <w:rsid w:val="3CCA24CC"/>
    <w:rsid w:val="3CD837AC"/>
    <w:rsid w:val="3CDE6E17"/>
    <w:rsid w:val="3CE01345"/>
    <w:rsid w:val="3CE67311"/>
    <w:rsid w:val="3CE97057"/>
    <w:rsid w:val="3D0D1F67"/>
    <w:rsid w:val="3D3305EA"/>
    <w:rsid w:val="3D36791A"/>
    <w:rsid w:val="3D3C3389"/>
    <w:rsid w:val="3D3E677C"/>
    <w:rsid w:val="3D580050"/>
    <w:rsid w:val="3D5C39F7"/>
    <w:rsid w:val="3D67762A"/>
    <w:rsid w:val="3D70539A"/>
    <w:rsid w:val="3D89020A"/>
    <w:rsid w:val="3D8C1AA8"/>
    <w:rsid w:val="3D98059B"/>
    <w:rsid w:val="3DA757D7"/>
    <w:rsid w:val="3DAE1A1E"/>
    <w:rsid w:val="3DBB46C7"/>
    <w:rsid w:val="3DCB1121"/>
    <w:rsid w:val="3DCD2FF3"/>
    <w:rsid w:val="3DF5764D"/>
    <w:rsid w:val="3DF93DF4"/>
    <w:rsid w:val="3DFD10E3"/>
    <w:rsid w:val="3E0569D1"/>
    <w:rsid w:val="3E201B0B"/>
    <w:rsid w:val="3E21638B"/>
    <w:rsid w:val="3E3C10A9"/>
    <w:rsid w:val="3E485F9F"/>
    <w:rsid w:val="3E507D4A"/>
    <w:rsid w:val="3E5C73DF"/>
    <w:rsid w:val="3E761A81"/>
    <w:rsid w:val="3E7626FC"/>
    <w:rsid w:val="3E762ED7"/>
    <w:rsid w:val="3E95168D"/>
    <w:rsid w:val="3EAD43CC"/>
    <w:rsid w:val="3ED915AC"/>
    <w:rsid w:val="3EF62D23"/>
    <w:rsid w:val="3F1C06D4"/>
    <w:rsid w:val="3F2050EF"/>
    <w:rsid w:val="3F25286D"/>
    <w:rsid w:val="3F2F0762"/>
    <w:rsid w:val="3F481E32"/>
    <w:rsid w:val="3F6C47CC"/>
    <w:rsid w:val="3FAB58B6"/>
    <w:rsid w:val="3FB13A48"/>
    <w:rsid w:val="3FCE63A8"/>
    <w:rsid w:val="3FD213B8"/>
    <w:rsid w:val="3FD768CC"/>
    <w:rsid w:val="3FDD3AB4"/>
    <w:rsid w:val="3FE406A9"/>
    <w:rsid w:val="3FF51E0F"/>
    <w:rsid w:val="3FFA5C38"/>
    <w:rsid w:val="3FFD3437"/>
    <w:rsid w:val="400D1324"/>
    <w:rsid w:val="40112738"/>
    <w:rsid w:val="40161AFD"/>
    <w:rsid w:val="40251D40"/>
    <w:rsid w:val="40271F5C"/>
    <w:rsid w:val="40277B2C"/>
    <w:rsid w:val="402802E6"/>
    <w:rsid w:val="404B5AE9"/>
    <w:rsid w:val="40567B79"/>
    <w:rsid w:val="40615C57"/>
    <w:rsid w:val="407A60D5"/>
    <w:rsid w:val="40817D51"/>
    <w:rsid w:val="409E5184"/>
    <w:rsid w:val="40AB3845"/>
    <w:rsid w:val="40BE7BC5"/>
    <w:rsid w:val="40BF4E71"/>
    <w:rsid w:val="40C01584"/>
    <w:rsid w:val="40C559FD"/>
    <w:rsid w:val="40D0614F"/>
    <w:rsid w:val="40D95004"/>
    <w:rsid w:val="40F0234E"/>
    <w:rsid w:val="40FA5545"/>
    <w:rsid w:val="410653F1"/>
    <w:rsid w:val="411F6E71"/>
    <w:rsid w:val="413341C0"/>
    <w:rsid w:val="4134048C"/>
    <w:rsid w:val="414D154E"/>
    <w:rsid w:val="4153062F"/>
    <w:rsid w:val="417F04CA"/>
    <w:rsid w:val="418807D8"/>
    <w:rsid w:val="4189556D"/>
    <w:rsid w:val="418C651A"/>
    <w:rsid w:val="419158DF"/>
    <w:rsid w:val="41931657"/>
    <w:rsid w:val="41A35612"/>
    <w:rsid w:val="41B65345"/>
    <w:rsid w:val="41C450B1"/>
    <w:rsid w:val="41D04DD0"/>
    <w:rsid w:val="41E363E1"/>
    <w:rsid w:val="41E40104"/>
    <w:rsid w:val="41E41EB2"/>
    <w:rsid w:val="41E43C54"/>
    <w:rsid w:val="41E6566A"/>
    <w:rsid w:val="41E964DA"/>
    <w:rsid w:val="41EF2605"/>
    <w:rsid w:val="420B0C69"/>
    <w:rsid w:val="420E6F2F"/>
    <w:rsid w:val="421502BE"/>
    <w:rsid w:val="42220C2D"/>
    <w:rsid w:val="422449A5"/>
    <w:rsid w:val="4232311D"/>
    <w:rsid w:val="4235270E"/>
    <w:rsid w:val="42355BCD"/>
    <w:rsid w:val="423A58F4"/>
    <w:rsid w:val="423B3A51"/>
    <w:rsid w:val="42426BD9"/>
    <w:rsid w:val="425012F6"/>
    <w:rsid w:val="425D6267"/>
    <w:rsid w:val="425E5FC4"/>
    <w:rsid w:val="426E308D"/>
    <w:rsid w:val="427106B4"/>
    <w:rsid w:val="427A0342"/>
    <w:rsid w:val="427C0D5E"/>
    <w:rsid w:val="42815273"/>
    <w:rsid w:val="42887320"/>
    <w:rsid w:val="4292190E"/>
    <w:rsid w:val="429E2362"/>
    <w:rsid w:val="42B02C2C"/>
    <w:rsid w:val="42C51B0E"/>
    <w:rsid w:val="42CC7291"/>
    <w:rsid w:val="42D167FB"/>
    <w:rsid w:val="42E47D62"/>
    <w:rsid w:val="42E934F8"/>
    <w:rsid w:val="42FE44A1"/>
    <w:rsid w:val="4316292E"/>
    <w:rsid w:val="431D3F5B"/>
    <w:rsid w:val="432824BB"/>
    <w:rsid w:val="432C1C27"/>
    <w:rsid w:val="432E4553"/>
    <w:rsid w:val="434807F2"/>
    <w:rsid w:val="434C20CB"/>
    <w:rsid w:val="43615785"/>
    <w:rsid w:val="4368585A"/>
    <w:rsid w:val="43784FA8"/>
    <w:rsid w:val="43786CB4"/>
    <w:rsid w:val="43813731"/>
    <w:rsid w:val="439E0787"/>
    <w:rsid w:val="43A076B4"/>
    <w:rsid w:val="43A8628C"/>
    <w:rsid w:val="43BE0478"/>
    <w:rsid w:val="43C63CAD"/>
    <w:rsid w:val="43C75EB1"/>
    <w:rsid w:val="43CB1CC4"/>
    <w:rsid w:val="43CD6976"/>
    <w:rsid w:val="4400313D"/>
    <w:rsid w:val="44010FF4"/>
    <w:rsid w:val="441A535C"/>
    <w:rsid w:val="44201EF5"/>
    <w:rsid w:val="442809A6"/>
    <w:rsid w:val="442F13DF"/>
    <w:rsid w:val="444A6E78"/>
    <w:rsid w:val="44523CE2"/>
    <w:rsid w:val="446414CB"/>
    <w:rsid w:val="44676DCB"/>
    <w:rsid w:val="446A34D7"/>
    <w:rsid w:val="446F3374"/>
    <w:rsid w:val="446F7A2D"/>
    <w:rsid w:val="447E0CF9"/>
    <w:rsid w:val="44817DB4"/>
    <w:rsid w:val="4485608D"/>
    <w:rsid w:val="448C6DAF"/>
    <w:rsid w:val="448F0FD1"/>
    <w:rsid w:val="44925B7B"/>
    <w:rsid w:val="449618C2"/>
    <w:rsid w:val="44965B23"/>
    <w:rsid w:val="44AD004C"/>
    <w:rsid w:val="44B97FFF"/>
    <w:rsid w:val="44D034F1"/>
    <w:rsid w:val="44D638F4"/>
    <w:rsid w:val="44D96D16"/>
    <w:rsid w:val="44E05CCE"/>
    <w:rsid w:val="44E705C2"/>
    <w:rsid w:val="44FF1A8D"/>
    <w:rsid w:val="450B59A8"/>
    <w:rsid w:val="4512577F"/>
    <w:rsid w:val="451900C5"/>
    <w:rsid w:val="451B6A40"/>
    <w:rsid w:val="45385785"/>
    <w:rsid w:val="453B44DF"/>
    <w:rsid w:val="45441531"/>
    <w:rsid w:val="454E475C"/>
    <w:rsid w:val="45692C19"/>
    <w:rsid w:val="45701205"/>
    <w:rsid w:val="45735FD9"/>
    <w:rsid w:val="45762A79"/>
    <w:rsid w:val="45766BA5"/>
    <w:rsid w:val="457E715C"/>
    <w:rsid w:val="458D0AB3"/>
    <w:rsid w:val="459040FF"/>
    <w:rsid w:val="45905EAD"/>
    <w:rsid w:val="459A4B6B"/>
    <w:rsid w:val="459F2A87"/>
    <w:rsid w:val="45A73923"/>
    <w:rsid w:val="45AD6A5F"/>
    <w:rsid w:val="45B24076"/>
    <w:rsid w:val="45B95A80"/>
    <w:rsid w:val="45BD3146"/>
    <w:rsid w:val="45CA13BF"/>
    <w:rsid w:val="45D35442"/>
    <w:rsid w:val="45D811C8"/>
    <w:rsid w:val="45E22EB3"/>
    <w:rsid w:val="45E36925"/>
    <w:rsid w:val="45E5269D"/>
    <w:rsid w:val="45EF0E26"/>
    <w:rsid w:val="46004DE1"/>
    <w:rsid w:val="46060825"/>
    <w:rsid w:val="460728F4"/>
    <w:rsid w:val="4607387E"/>
    <w:rsid w:val="460768FD"/>
    <w:rsid w:val="460D74FE"/>
    <w:rsid w:val="460E38D8"/>
    <w:rsid w:val="4646578A"/>
    <w:rsid w:val="46470C62"/>
    <w:rsid w:val="46557AA5"/>
    <w:rsid w:val="46850AC4"/>
    <w:rsid w:val="468C3CC6"/>
    <w:rsid w:val="46AC140F"/>
    <w:rsid w:val="46B61944"/>
    <w:rsid w:val="46C277A4"/>
    <w:rsid w:val="46E714DE"/>
    <w:rsid w:val="46E91AA1"/>
    <w:rsid w:val="46F31B18"/>
    <w:rsid w:val="46F3420D"/>
    <w:rsid w:val="46F6477A"/>
    <w:rsid w:val="46FB38C4"/>
    <w:rsid w:val="46FE6718"/>
    <w:rsid w:val="47075944"/>
    <w:rsid w:val="470E79D1"/>
    <w:rsid w:val="4717353C"/>
    <w:rsid w:val="472725A4"/>
    <w:rsid w:val="47277FD2"/>
    <w:rsid w:val="4729039E"/>
    <w:rsid w:val="473D6CD6"/>
    <w:rsid w:val="473F4150"/>
    <w:rsid w:val="47560E42"/>
    <w:rsid w:val="475A6773"/>
    <w:rsid w:val="47633850"/>
    <w:rsid w:val="47680E90"/>
    <w:rsid w:val="47694806"/>
    <w:rsid w:val="478E1476"/>
    <w:rsid w:val="478F1A7B"/>
    <w:rsid w:val="47963072"/>
    <w:rsid w:val="47AD4470"/>
    <w:rsid w:val="47AF0DB4"/>
    <w:rsid w:val="47B26337"/>
    <w:rsid w:val="47C23517"/>
    <w:rsid w:val="47C40F03"/>
    <w:rsid w:val="47C615D0"/>
    <w:rsid w:val="47C65D4C"/>
    <w:rsid w:val="47CD07EB"/>
    <w:rsid w:val="47D93B3C"/>
    <w:rsid w:val="47E147B1"/>
    <w:rsid w:val="47F10FE6"/>
    <w:rsid w:val="47F25917"/>
    <w:rsid w:val="47F45F61"/>
    <w:rsid w:val="48025C92"/>
    <w:rsid w:val="48085EAA"/>
    <w:rsid w:val="482927DC"/>
    <w:rsid w:val="48455675"/>
    <w:rsid w:val="484A4D6E"/>
    <w:rsid w:val="484B4F86"/>
    <w:rsid w:val="48521C74"/>
    <w:rsid w:val="485F62CB"/>
    <w:rsid w:val="486240BA"/>
    <w:rsid w:val="486E1CD8"/>
    <w:rsid w:val="48780777"/>
    <w:rsid w:val="488C6E00"/>
    <w:rsid w:val="489A7D67"/>
    <w:rsid w:val="48AC1250"/>
    <w:rsid w:val="48B43E94"/>
    <w:rsid w:val="48BF0F83"/>
    <w:rsid w:val="48C67A99"/>
    <w:rsid w:val="48C90054"/>
    <w:rsid w:val="48DF1625"/>
    <w:rsid w:val="48E54C92"/>
    <w:rsid w:val="48F44440"/>
    <w:rsid w:val="490270C2"/>
    <w:rsid w:val="491017DF"/>
    <w:rsid w:val="491B4576"/>
    <w:rsid w:val="49293FA5"/>
    <w:rsid w:val="492E5123"/>
    <w:rsid w:val="49302C4E"/>
    <w:rsid w:val="49322912"/>
    <w:rsid w:val="49412E98"/>
    <w:rsid w:val="49497EF7"/>
    <w:rsid w:val="495B7601"/>
    <w:rsid w:val="4966031F"/>
    <w:rsid w:val="49873F6D"/>
    <w:rsid w:val="49937D65"/>
    <w:rsid w:val="499A554C"/>
    <w:rsid w:val="49A00C54"/>
    <w:rsid w:val="49A17BDC"/>
    <w:rsid w:val="49A32A0F"/>
    <w:rsid w:val="49A5384E"/>
    <w:rsid w:val="49AF5D75"/>
    <w:rsid w:val="49B65917"/>
    <w:rsid w:val="49C032C0"/>
    <w:rsid w:val="49CC2D84"/>
    <w:rsid w:val="49F9100D"/>
    <w:rsid w:val="49FD6207"/>
    <w:rsid w:val="4A080708"/>
    <w:rsid w:val="4A1D6AF9"/>
    <w:rsid w:val="4A2C089A"/>
    <w:rsid w:val="4A313777"/>
    <w:rsid w:val="4A390AA7"/>
    <w:rsid w:val="4A4C2CEB"/>
    <w:rsid w:val="4A4F1875"/>
    <w:rsid w:val="4A577046"/>
    <w:rsid w:val="4A58709B"/>
    <w:rsid w:val="4A5B4373"/>
    <w:rsid w:val="4A7F536E"/>
    <w:rsid w:val="4A8539EE"/>
    <w:rsid w:val="4A9329E8"/>
    <w:rsid w:val="4A9D52F4"/>
    <w:rsid w:val="4AAC63DE"/>
    <w:rsid w:val="4AC7411F"/>
    <w:rsid w:val="4ACB223D"/>
    <w:rsid w:val="4ACF1226"/>
    <w:rsid w:val="4AE30F18"/>
    <w:rsid w:val="4AEE78FE"/>
    <w:rsid w:val="4AF60EA8"/>
    <w:rsid w:val="4AF626F8"/>
    <w:rsid w:val="4AF756C9"/>
    <w:rsid w:val="4AFE2097"/>
    <w:rsid w:val="4B0B3289"/>
    <w:rsid w:val="4B0E1D4E"/>
    <w:rsid w:val="4B101F6A"/>
    <w:rsid w:val="4B186569"/>
    <w:rsid w:val="4B1A4B97"/>
    <w:rsid w:val="4B1D41B5"/>
    <w:rsid w:val="4B2A6F3C"/>
    <w:rsid w:val="4B3F2B00"/>
    <w:rsid w:val="4B4D30FB"/>
    <w:rsid w:val="4B61070C"/>
    <w:rsid w:val="4B626538"/>
    <w:rsid w:val="4B77387A"/>
    <w:rsid w:val="4B7E5126"/>
    <w:rsid w:val="4B897627"/>
    <w:rsid w:val="4B9009B5"/>
    <w:rsid w:val="4BAA3946"/>
    <w:rsid w:val="4BB30863"/>
    <w:rsid w:val="4BB61845"/>
    <w:rsid w:val="4BC908AC"/>
    <w:rsid w:val="4BD950B6"/>
    <w:rsid w:val="4C0118B3"/>
    <w:rsid w:val="4C016329"/>
    <w:rsid w:val="4C1459F9"/>
    <w:rsid w:val="4C1B2379"/>
    <w:rsid w:val="4C245A77"/>
    <w:rsid w:val="4C2D1724"/>
    <w:rsid w:val="4C396C8F"/>
    <w:rsid w:val="4C4804DF"/>
    <w:rsid w:val="4C491B8A"/>
    <w:rsid w:val="4C5260C5"/>
    <w:rsid w:val="4C547C35"/>
    <w:rsid w:val="4C567CE6"/>
    <w:rsid w:val="4C602A7D"/>
    <w:rsid w:val="4C786FFD"/>
    <w:rsid w:val="4C895ED3"/>
    <w:rsid w:val="4C983D0C"/>
    <w:rsid w:val="4CA716A7"/>
    <w:rsid w:val="4CA75022"/>
    <w:rsid w:val="4CB364A8"/>
    <w:rsid w:val="4CB60A31"/>
    <w:rsid w:val="4CC51A03"/>
    <w:rsid w:val="4CE2021B"/>
    <w:rsid w:val="4CE865CF"/>
    <w:rsid w:val="4CF27A74"/>
    <w:rsid w:val="4D0070A1"/>
    <w:rsid w:val="4D124689"/>
    <w:rsid w:val="4D165BC6"/>
    <w:rsid w:val="4D1D271C"/>
    <w:rsid w:val="4D221AE1"/>
    <w:rsid w:val="4D2B3854"/>
    <w:rsid w:val="4D4953AB"/>
    <w:rsid w:val="4D4D6CBC"/>
    <w:rsid w:val="4D5325E2"/>
    <w:rsid w:val="4D5A3970"/>
    <w:rsid w:val="4D5B26A3"/>
    <w:rsid w:val="4D5C1C0C"/>
    <w:rsid w:val="4D601DFC"/>
    <w:rsid w:val="4D8C79E0"/>
    <w:rsid w:val="4D940DD6"/>
    <w:rsid w:val="4DA23507"/>
    <w:rsid w:val="4DBF3BD5"/>
    <w:rsid w:val="4DC00199"/>
    <w:rsid w:val="4DC17BA3"/>
    <w:rsid w:val="4DC25072"/>
    <w:rsid w:val="4DF531CF"/>
    <w:rsid w:val="4DFA0CB0"/>
    <w:rsid w:val="4E116D2C"/>
    <w:rsid w:val="4E1231B5"/>
    <w:rsid w:val="4E1E5B03"/>
    <w:rsid w:val="4E2F57AA"/>
    <w:rsid w:val="4E3715BC"/>
    <w:rsid w:val="4E3F0358"/>
    <w:rsid w:val="4E45017D"/>
    <w:rsid w:val="4E5019B1"/>
    <w:rsid w:val="4E52257B"/>
    <w:rsid w:val="4E593C28"/>
    <w:rsid w:val="4E594017"/>
    <w:rsid w:val="4E594E2B"/>
    <w:rsid w:val="4E5A379F"/>
    <w:rsid w:val="4E6323B1"/>
    <w:rsid w:val="4E6A373F"/>
    <w:rsid w:val="4E766588"/>
    <w:rsid w:val="4E7C1E0B"/>
    <w:rsid w:val="4E7E368F"/>
    <w:rsid w:val="4E802F63"/>
    <w:rsid w:val="4E832C5D"/>
    <w:rsid w:val="4E8567CB"/>
    <w:rsid w:val="4E98737F"/>
    <w:rsid w:val="4E9B0304"/>
    <w:rsid w:val="4E9F337F"/>
    <w:rsid w:val="4EF120B3"/>
    <w:rsid w:val="4EF436E7"/>
    <w:rsid w:val="4F035942"/>
    <w:rsid w:val="4F0D7A61"/>
    <w:rsid w:val="4F1137C6"/>
    <w:rsid w:val="4F145D70"/>
    <w:rsid w:val="4F252D22"/>
    <w:rsid w:val="4F2900DD"/>
    <w:rsid w:val="4F2C30EB"/>
    <w:rsid w:val="4F3D7B0D"/>
    <w:rsid w:val="4F4A531F"/>
    <w:rsid w:val="4F4F5B9C"/>
    <w:rsid w:val="4F5626DE"/>
    <w:rsid w:val="4F5C39D0"/>
    <w:rsid w:val="4F7D417A"/>
    <w:rsid w:val="4F7F1AB7"/>
    <w:rsid w:val="4FA2515B"/>
    <w:rsid w:val="4FBA61BF"/>
    <w:rsid w:val="4FBD5FDB"/>
    <w:rsid w:val="4FBE1BE7"/>
    <w:rsid w:val="4FD51E3B"/>
    <w:rsid w:val="4FD5780F"/>
    <w:rsid w:val="4FDA2E75"/>
    <w:rsid w:val="4FDC066D"/>
    <w:rsid w:val="4FE1060A"/>
    <w:rsid w:val="4FF31BBA"/>
    <w:rsid w:val="50147676"/>
    <w:rsid w:val="501C315F"/>
    <w:rsid w:val="501F5F01"/>
    <w:rsid w:val="502A385B"/>
    <w:rsid w:val="504B134F"/>
    <w:rsid w:val="50593A6B"/>
    <w:rsid w:val="50594DE2"/>
    <w:rsid w:val="505E1082"/>
    <w:rsid w:val="506E02D5"/>
    <w:rsid w:val="5074727F"/>
    <w:rsid w:val="5086346A"/>
    <w:rsid w:val="508D523E"/>
    <w:rsid w:val="50BF270B"/>
    <w:rsid w:val="50FB0FC7"/>
    <w:rsid w:val="51084C55"/>
    <w:rsid w:val="510D2635"/>
    <w:rsid w:val="51121E6C"/>
    <w:rsid w:val="51186C5A"/>
    <w:rsid w:val="511B709E"/>
    <w:rsid w:val="511E3C07"/>
    <w:rsid w:val="513D513B"/>
    <w:rsid w:val="51592D52"/>
    <w:rsid w:val="517A013D"/>
    <w:rsid w:val="51813FF8"/>
    <w:rsid w:val="51817505"/>
    <w:rsid w:val="51890C0D"/>
    <w:rsid w:val="5189133A"/>
    <w:rsid w:val="51986786"/>
    <w:rsid w:val="51A67D40"/>
    <w:rsid w:val="51BE22F5"/>
    <w:rsid w:val="51CF6F3E"/>
    <w:rsid w:val="51D434EC"/>
    <w:rsid w:val="51D535C6"/>
    <w:rsid w:val="51D7511F"/>
    <w:rsid w:val="51D843FD"/>
    <w:rsid w:val="51E03570"/>
    <w:rsid w:val="51E22291"/>
    <w:rsid w:val="51FB0B52"/>
    <w:rsid w:val="51FE5AC8"/>
    <w:rsid w:val="52051495"/>
    <w:rsid w:val="52124700"/>
    <w:rsid w:val="521A7397"/>
    <w:rsid w:val="52244A5E"/>
    <w:rsid w:val="522E5D3A"/>
    <w:rsid w:val="52457D92"/>
    <w:rsid w:val="52511562"/>
    <w:rsid w:val="52553923"/>
    <w:rsid w:val="5257222D"/>
    <w:rsid w:val="525F2E40"/>
    <w:rsid w:val="52633932"/>
    <w:rsid w:val="52720E14"/>
    <w:rsid w:val="527618D9"/>
    <w:rsid w:val="52766056"/>
    <w:rsid w:val="529A224F"/>
    <w:rsid w:val="529E7E5B"/>
    <w:rsid w:val="52A336C4"/>
    <w:rsid w:val="52AE6131"/>
    <w:rsid w:val="52B0312F"/>
    <w:rsid w:val="52B0640D"/>
    <w:rsid w:val="52B72342"/>
    <w:rsid w:val="52C13B4A"/>
    <w:rsid w:val="52CA4A62"/>
    <w:rsid w:val="52CC08DA"/>
    <w:rsid w:val="52DC7647"/>
    <w:rsid w:val="52E07E22"/>
    <w:rsid w:val="52E11F9F"/>
    <w:rsid w:val="52F61A46"/>
    <w:rsid w:val="53005BCA"/>
    <w:rsid w:val="53202F66"/>
    <w:rsid w:val="53397419"/>
    <w:rsid w:val="534F1156"/>
    <w:rsid w:val="53513E45"/>
    <w:rsid w:val="53514ECE"/>
    <w:rsid w:val="535640CD"/>
    <w:rsid w:val="53571B5F"/>
    <w:rsid w:val="53575AE4"/>
    <w:rsid w:val="5359168B"/>
    <w:rsid w:val="535E1B38"/>
    <w:rsid w:val="53613393"/>
    <w:rsid w:val="5378163B"/>
    <w:rsid w:val="538D4ADA"/>
    <w:rsid w:val="539F0187"/>
    <w:rsid w:val="53A33245"/>
    <w:rsid w:val="53B04513"/>
    <w:rsid w:val="53B965CD"/>
    <w:rsid w:val="53C00FA7"/>
    <w:rsid w:val="53CA12FF"/>
    <w:rsid w:val="53D976B1"/>
    <w:rsid w:val="53DB6C22"/>
    <w:rsid w:val="53DE7223"/>
    <w:rsid w:val="53F675F8"/>
    <w:rsid w:val="53FC53FC"/>
    <w:rsid w:val="5406215C"/>
    <w:rsid w:val="541629F7"/>
    <w:rsid w:val="5428129F"/>
    <w:rsid w:val="54316AAD"/>
    <w:rsid w:val="54407E2E"/>
    <w:rsid w:val="5443126E"/>
    <w:rsid w:val="544B7B6F"/>
    <w:rsid w:val="545455E7"/>
    <w:rsid w:val="546D3F92"/>
    <w:rsid w:val="5489003F"/>
    <w:rsid w:val="549B32D8"/>
    <w:rsid w:val="54A07C64"/>
    <w:rsid w:val="54C22F35"/>
    <w:rsid w:val="54CA432C"/>
    <w:rsid w:val="54E10CBE"/>
    <w:rsid w:val="550430A9"/>
    <w:rsid w:val="55282E1A"/>
    <w:rsid w:val="553B7BE4"/>
    <w:rsid w:val="55410F72"/>
    <w:rsid w:val="55442ED5"/>
    <w:rsid w:val="55586EB3"/>
    <w:rsid w:val="55587413"/>
    <w:rsid w:val="555F1495"/>
    <w:rsid w:val="55652EB2"/>
    <w:rsid w:val="556A475F"/>
    <w:rsid w:val="557B7DD5"/>
    <w:rsid w:val="55911570"/>
    <w:rsid w:val="559D264C"/>
    <w:rsid w:val="559D3B0F"/>
    <w:rsid w:val="55BD2ADF"/>
    <w:rsid w:val="55C52562"/>
    <w:rsid w:val="55C53951"/>
    <w:rsid w:val="55C7179E"/>
    <w:rsid w:val="55CD4E70"/>
    <w:rsid w:val="55CE6CAA"/>
    <w:rsid w:val="55D86954"/>
    <w:rsid w:val="56004989"/>
    <w:rsid w:val="560C1941"/>
    <w:rsid w:val="560D0E16"/>
    <w:rsid w:val="561641C5"/>
    <w:rsid w:val="5618473B"/>
    <w:rsid w:val="562236E5"/>
    <w:rsid w:val="5625742F"/>
    <w:rsid w:val="562C457B"/>
    <w:rsid w:val="564F56F9"/>
    <w:rsid w:val="56530F5D"/>
    <w:rsid w:val="565B7F3A"/>
    <w:rsid w:val="565D1DDC"/>
    <w:rsid w:val="5663720B"/>
    <w:rsid w:val="566A79F5"/>
    <w:rsid w:val="5689497F"/>
    <w:rsid w:val="56931F82"/>
    <w:rsid w:val="56A24BF9"/>
    <w:rsid w:val="56A8685B"/>
    <w:rsid w:val="56B469FE"/>
    <w:rsid w:val="56D25A2F"/>
    <w:rsid w:val="56F751F1"/>
    <w:rsid w:val="57083339"/>
    <w:rsid w:val="571C57F3"/>
    <w:rsid w:val="571C684C"/>
    <w:rsid w:val="57356B67"/>
    <w:rsid w:val="573945F7"/>
    <w:rsid w:val="574634E9"/>
    <w:rsid w:val="57533FAD"/>
    <w:rsid w:val="57541431"/>
    <w:rsid w:val="57547C22"/>
    <w:rsid w:val="57560B41"/>
    <w:rsid w:val="57577E82"/>
    <w:rsid w:val="57600E0D"/>
    <w:rsid w:val="57682A12"/>
    <w:rsid w:val="57715B3F"/>
    <w:rsid w:val="57945CD1"/>
    <w:rsid w:val="57946FC9"/>
    <w:rsid w:val="57971EC0"/>
    <w:rsid w:val="579C62CC"/>
    <w:rsid w:val="57A445B2"/>
    <w:rsid w:val="57B42393"/>
    <w:rsid w:val="57B570EE"/>
    <w:rsid w:val="57B95737"/>
    <w:rsid w:val="57BD6FD6"/>
    <w:rsid w:val="57BE0D3C"/>
    <w:rsid w:val="57DA2368"/>
    <w:rsid w:val="57E228B7"/>
    <w:rsid w:val="57EF1159"/>
    <w:rsid w:val="58062A91"/>
    <w:rsid w:val="580C5C23"/>
    <w:rsid w:val="580F0B74"/>
    <w:rsid w:val="582232DD"/>
    <w:rsid w:val="58252484"/>
    <w:rsid w:val="58327C64"/>
    <w:rsid w:val="584E5E80"/>
    <w:rsid w:val="58530D6C"/>
    <w:rsid w:val="58547DFF"/>
    <w:rsid w:val="58591F7E"/>
    <w:rsid w:val="585A1F39"/>
    <w:rsid w:val="58642E1D"/>
    <w:rsid w:val="586567A1"/>
    <w:rsid w:val="58660376"/>
    <w:rsid w:val="587A0EC6"/>
    <w:rsid w:val="587A5D36"/>
    <w:rsid w:val="5889335C"/>
    <w:rsid w:val="58B56002"/>
    <w:rsid w:val="58D41ED8"/>
    <w:rsid w:val="58DE1B02"/>
    <w:rsid w:val="58EB0135"/>
    <w:rsid w:val="58F31C18"/>
    <w:rsid w:val="59056878"/>
    <w:rsid w:val="590B324C"/>
    <w:rsid w:val="592077C9"/>
    <w:rsid w:val="592A5C26"/>
    <w:rsid w:val="594063C2"/>
    <w:rsid w:val="5955311B"/>
    <w:rsid w:val="596114A6"/>
    <w:rsid w:val="596516D3"/>
    <w:rsid w:val="596559E9"/>
    <w:rsid w:val="59681FF2"/>
    <w:rsid w:val="596C0CB3"/>
    <w:rsid w:val="598A70B0"/>
    <w:rsid w:val="599E0097"/>
    <w:rsid w:val="59AB2670"/>
    <w:rsid w:val="59AD527E"/>
    <w:rsid w:val="59C13ACF"/>
    <w:rsid w:val="59C4655E"/>
    <w:rsid w:val="59D43A0B"/>
    <w:rsid w:val="59DB240A"/>
    <w:rsid w:val="59F07AC1"/>
    <w:rsid w:val="5A0A227A"/>
    <w:rsid w:val="5A140713"/>
    <w:rsid w:val="5A18013C"/>
    <w:rsid w:val="5A1D3126"/>
    <w:rsid w:val="5A2570B4"/>
    <w:rsid w:val="5A2A46CB"/>
    <w:rsid w:val="5A354991"/>
    <w:rsid w:val="5A375AE5"/>
    <w:rsid w:val="5A4239E5"/>
    <w:rsid w:val="5A4F1C9E"/>
    <w:rsid w:val="5A6951F3"/>
    <w:rsid w:val="5A737E20"/>
    <w:rsid w:val="5A7F6D4B"/>
    <w:rsid w:val="5A834EA3"/>
    <w:rsid w:val="5A871B1D"/>
    <w:rsid w:val="5A8D5E5B"/>
    <w:rsid w:val="5A91742C"/>
    <w:rsid w:val="5A981634"/>
    <w:rsid w:val="5A993856"/>
    <w:rsid w:val="5AA63D51"/>
    <w:rsid w:val="5AAF6571"/>
    <w:rsid w:val="5AC7192F"/>
    <w:rsid w:val="5AC8016B"/>
    <w:rsid w:val="5ADC47F3"/>
    <w:rsid w:val="5AE2433B"/>
    <w:rsid w:val="5AED297D"/>
    <w:rsid w:val="5AF63813"/>
    <w:rsid w:val="5B022F52"/>
    <w:rsid w:val="5B1429C6"/>
    <w:rsid w:val="5B257A0C"/>
    <w:rsid w:val="5B38031B"/>
    <w:rsid w:val="5B3C459F"/>
    <w:rsid w:val="5B3F311C"/>
    <w:rsid w:val="5B417F1E"/>
    <w:rsid w:val="5B4A1531"/>
    <w:rsid w:val="5B5918FB"/>
    <w:rsid w:val="5B5C48BE"/>
    <w:rsid w:val="5B5F2152"/>
    <w:rsid w:val="5B6112D8"/>
    <w:rsid w:val="5B6662D1"/>
    <w:rsid w:val="5B6A3B26"/>
    <w:rsid w:val="5B7C3DA5"/>
    <w:rsid w:val="5B8A71CF"/>
    <w:rsid w:val="5B93080E"/>
    <w:rsid w:val="5B9C20DB"/>
    <w:rsid w:val="5BA87F9D"/>
    <w:rsid w:val="5BB24738"/>
    <w:rsid w:val="5BDD3C05"/>
    <w:rsid w:val="5BEF2E0C"/>
    <w:rsid w:val="5BF415C2"/>
    <w:rsid w:val="5BF65AB9"/>
    <w:rsid w:val="5C003E1D"/>
    <w:rsid w:val="5C247F78"/>
    <w:rsid w:val="5C337866"/>
    <w:rsid w:val="5C343553"/>
    <w:rsid w:val="5C5058D6"/>
    <w:rsid w:val="5C531CB7"/>
    <w:rsid w:val="5C5B47CF"/>
    <w:rsid w:val="5C6008F4"/>
    <w:rsid w:val="5C62639E"/>
    <w:rsid w:val="5C6E09A1"/>
    <w:rsid w:val="5C71047D"/>
    <w:rsid w:val="5C741C2D"/>
    <w:rsid w:val="5C767840"/>
    <w:rsid w:val="5C80234E"/>
    <w:rsid w:val="5C8C19E4"/>
    <w:rsid w:val="5CA45B9A"/>
    <w:rsid w:val="5CB815AE"/>
    <w:rsid w:val="5CC35FC8"/>
    <w:rsid w:val="5CC3793F"/>
    <w:rsid w:val="5CEF3C87"/>
    <w:rsid w:val="5CF7049E"/>
    <w:rsid w:val="5CF83C5F"/>
    <w:rsid w:val="5D120607"/>
    <w:rsid w:val="5D2C371A"/>
    <w:rsid w:val="5D3F4885"/>
    <w:rsid w:val="5D417D61"/>
    <w:rsid w:val="5D633036"/>
    <w:rsid w:val="5D7A5DE9"/>
    <w:rsid w:val="5D814602"/>
    <w:rsid w:val="5D954997"/>
    <w:rsid w:val="5D9A5C90"/>
    <w:rsid w:val="5DBD498F"/>
    <w:rsid w:val="5DBE6783"/>
    <w:rsid w:val="5DC34C1A"/>
    <w:rsid w:val="5DC37FD2"/>
    <w:rsid w:val="5DC82CD1"/>
    <w:rsid w:val="5DD87127"/>
    <w:rsid w:val="5DDF118E"/>
    <w:rsid w:val="5DF61C69"/>
    <w:rsid w:val="5DFE779D"/>
    <w:rsid w:val="5E036AEE"/>
    <w:rsid w:val="5E08087F"/>
    <w:rsid w:val="5E1B0CE0"/>
    <w:rsid w:val="5E25066C"/>
    <w:rsid w:val="5E2A6A47"/>
    <w:rsid w:val="5E2D6537"/>
    <w:rsid w:val="5E316028"/>
    <w:rsid w:val="5E33509F"/>
    <w:rsid w:val="5E3A78A3"/>
    <w:rsid w:val="5E4A2C3E"/>
    <w:rsid w:val="5E510FE5"/>
    <w:rsid w:val="5E53252A"/>
    <w:rsid w:val="5E543AC4"/>
    <w:rsid w:val="5E587A58"/>
    <w:rsid w:val="5E7550DD"/>
    <w:rsid w:val="5E890D78"/>
    <w:rsid w:val="5E990FD6"/>
    <w:rsid w:val="5E9D1566"/>
    <w:rsid w:val="5EA26F25"/>
    <w:rsid w:val="5EAA1C56"/>
    <w:rsid w:val="5EB629D1"/>
    <w:rsid w:val="5EBE7295"/>
    <w:rsid w:val="5EC26C80"/>
    <w:rsid w:val="5EC549C2"/>
    <w:rsid w:val="5ECA1FD8"/>
    <w:rsid w:val="5ECA2293"/>
    <w:rsid w:val="5ED510A9"/>
    <w:rsid w:val="5EE0733D"/>
    <w:rsid w:val="5EEF3AD5"/>
    <w:rsid w:val="5EF37647"/>
    <w:rsid w:val="5EFB303A"/>
    <w:rsid w:val="5EFF1C82"/>
    <w:rsid w:val="5F1D035A"/>
    <w:rsid w:val="5F2711D9"/>
    <w:rsid w:val="5F28567D"/>
    <w:rsid w:val="5F316D1D"/>
    <w:rsid w:val="5F406724"/>
    <w:rsid w:val="5F4B3119"/>
    <w:rsid w:val="5F535B50"/>
    <w:rsid w:val="5F7D4AA7"/>
    <w:rsid w:val="5F8248D3"/>
    <w:rsid w:val="5F87004E"/>
    <w:rsid w:val="5F8A0861"/>
    <w:rsid w:val="5F962C10"/>
    <w:rsid w:val="5F9A7BFD"/>
    <w:rsid w:val="5FB115ED"/>
    <w:rsid w:val="5FC3155C"/>
    <w:rsid w:val="5FCD2324"/>
    <w:rsid w:val="5FEA1F09"/>
    <w:rsid w:val="5FEB2206"/>
    <w:rsid w:val="5FEF1E14"/>
    <w:rsid w:val="5FF871E4"/>
    <w:rsid w:val="5FFA4B83"/>
    <w:rsid w:val="5FFF5CB2"/>
    <w:rsid w:val="601A7244"/>
    <w:rsid w:val="60200932"/>
    <w:rsid w:val="602612F5"/>
    <w:rsid w:val="602722B9"/>
    <w:rsid w:val="603F5798"/>
    <w:rsid w:val="60665537"/>
    <w:rsid w:val="60692C39"/>
    <w:rsid w:val="607C2015"/>
    <w:rsid w:val="60877732"/>
    <w:rsid w:val="608B7237"/>
    <w:rsid w:val="60937300"/>
    <w:rsid w:val="60A54B91"/>
    <w:rsid w:val="60A675F7"/>
    <w:rsid w:val="60BC3FAC"/>
    <w:rsid w:val="60BC47E8"/>
    <w:rsid w:val="60C82547"/>
    <w:rsid w:val="60E96A0A"/>
    <w:rsid w:val="60F15082"/>
    <w:rsid w:val="60FD0443"/>
    <w:rsid w:val="61074388"/>
    <w:rsid w:val="61131634"/>
    <w:rsid w:val="611539DF"/>
    <w:rsid w:val="611901FE"/>
    <w:rsid w:val="611C36DF"/>
    <w:rsid w:val="61237970"/>
    <w:rsid w:val="61321030"/>
    <w:rsid w:val="613F3741"/>
    <w:rsid w:val="613F6CAD"/>
    <w:rsid w:val="613F7ED3"/>
    <w:rsid w:val="61462D43"/>
    <w:rsid w:val="614B102D"/>
    <w:rsid w:val="615362B5"/>
    <w:rsid w:val="615A5106"/>
    <w:rsid w:val="615D7134"/>
    <w:rsid w:val="616009FD"/>
    <w:rsid w:val="6170330B"/>
    <w:rsid w:val="61782DF6"/>
    <w:rsid w:val="6178379D"/>
    <w:rsid w:val="617955B6"/>
    <w:rsid w:val="617B23E3"/>
    <w:rsid w:val="61884B99"/>
    <w:rsid w:val="618D1B8E"/>
    <w:rsid w:val="61AE54CE"/>
    <w:rsid w:val="61B054B5"/>
    <w:rsid w:val="61C05507"/>
    <w:rsid w:val="61C4201A"/>
    <w:rsid w:val="61D1207A"/>
    <w:rsid w:val="61DC7E88"/>
    <w:rsid w:val="61E8203D"/>
    <w:rsid w:val="61EB0437"/>
    <w:rsid w:val="61ED0836"/>
    <w:rsid w:val="61F564A8"/>
    <w:rsid w:val="621731C9"/>
    <w:rsid w:val="62246792"/>
    <w:rsid w:val="62254213"/>
    <w:rsid w:val="62265778"/>
    <w:rsid w:val="62356C05"/>
    <w:rsid w:val="623D5848"/>
    <w:rsid w:val="624125B1"/>
    <w:rsid w:val="6247442D"/>
    <w:rsid w:val="62525E65"/>
    <w:rsid w:val="625360F0"/>
    <w:rsid w:val="62554035"/>
    <w:rsid w:val="6264757B"/>
    <w:rsid w:val="62670994"/>
    <w:rsid w:val="62682234"/>
    <w:rsid w:val="62717C63"/>
    <w:rsid w:val="627B391D"/>
    <w:rsid w:val="628521EB"/>
    <w:rsid w:val="62894684"/>
    <w:rsid w:val="628C1A7E"/>
    <w:rsid w:val="629B43B7"/>
    <w:rsid w:val="62A63B7B"/>
    <w:rsid w:val="62B64D4D"/>
    <w:rsid w:val="62B721AD"/>
    <w:rsid w:val="62DB47B4"/>
    <w:rsid w:val="62DD22DA"/>
    <w:rsid w:val="62F13B61"/>
    <w:rsid w:val="62F35FA1"/>
    <w:rsid w:val="62FB30A8"/>
    <w:rsid w:val="63006260"/>
    <w:rsid w:val="631C31BE"/>
    <w:rsid w:val="631F0B45"/>
    <w:rsid w:val="6324117D"/>
    <w:rsid w:val="63296040"/>
    <w:rsid w:val="632E2B36"/>
    <w:rsid w:val="633721CB"/>
    <w:rsid w:val="633F374D"/>
    <w:rsid w:val="63400ABB"/>
    <w:rsid w:val="635A4449"/>
    <w:rsid w:val="63610C3A"/>
    <w:rsid w:val="637075F2"/>
    <w:rsid w:val="637473B8"/>
    <w:rsid w:val="639B6EDF"/>
    <w:rsid w:val="639D174A"/>
    <w:rsid w:val="63A13700"/>
    <w:rsid w:val="63A941D9"/>
    <w:rsid w:val="63C3146A"/>
    <w:rsid w:val="63D5673F"/>
    <w:rsid w:val="63E23BB1"/>
    <w:rsid w:val="63E634F2"/>
    <w:rsid w:val="63EF7A86"/>
    <w:rsid w:val="63FE6F2D"/>
    <w:rsid w:val="6402249F"/>
    <w:rsid w:val="641A08B5"/>
    <w:rsid w:val="64202DC6"/>
    <w:rsid w:val="642207D6"/>
    <w:rsid w:val="643D70B1"/>
    <w:rsid w:val="64421F47"/>
    <w:rsid w:val="645A41B3"/>
    <w:rsid w:val="64606CD4"/>
    <w:rsid w:val="646A7C76"/>
    <w:rsid w:val="646B1B68"/>
    <w:rsid w:val="6493693E"/>
    <w:rsid w:val="649966D5"/>
    <w:rsid w:val="649E1337"/>
    <w:rsid w:val="649E2E8C"/>
    <w:rsid w:val="649F353D"/>
    <w:rsid w:val="64A72E2E"/>
    <w:rsid w:val="64B4350F"/>
    <w:rsid w:val="64BB664B"/>
    <w:rsid w:val="64BC0D45"/>
    <w:rsid w:val="64C508CB"/>
    <w:rsid w:val="64E46315"/>
    <w:rsid w:val="64F1454B"/>
    <w:rsid w:val="652636FC"/>
    <w:rsid w:val="654F4FE5"/>
    <w:rsid w:val="65535396"/>
    <w:rsid w:val="655820EC"/>
    <w:rsid w:val="6564446D"/>
    <w:rsid w:val="65705687"/>
    <w:rsid w:val="658630FD"/>
    <w:rsid w:val="658A069C"/>
    <w:rsid w:val="6594595B"/>
    <w:rsid w:val="65964ECB"/>
    <w:rsid w:val="659C6ED5"/>
    <w:rsid w:val="659E164A"/>
    <w:rsid w:val="65AB2B63"/>
    <w:rsid w:val="65FA488D"/>
    <w:rsid w:val="65FA7647"/>
    <w:rsid w:val="66002571"/>
    <w:rsid w:val="66021134"/>
    <w:rsid w:val="660306AB"/>
    <w:rsid w:val="66270189"/>
    <w:rsid w:val="66274422"/>
    <w:rsid w:val="663C360D"/>
    <w:rsid w:val="663D33FB"/>
    <w:rsid w:val="664E7A92"/>
    <w:rsid w:val="665B6338"/>
    <w:rsid w:val="666618FF"/>
    <w:rsid w:val="666A4039"/>
    <w:rsid w:val="666B3A2C"/>
    <w:rsid w:val="667D7624"/>
    <w:rsid w:val="66867A94"/>
    <w:rsid w:val="668F5FE1"/>
    <w:rsid w:val="66A34FF2"/>
    <w:rsid w:val="66C0263F"/>
    <w:rsid w:val="66D422A0"/>
    <w:rsid w:val="66DE0D17"/>
    <w:rsid w:val="66E87550"/>
    <w:rsid w:val="66F575EB"/>
    <w:rsid w:val="67081EAA"/>
    <w:rsid w:val="671A6AA7"/>
    <w:rsid w:val="67202D6F"/>
    <w:rsid w:val="67242BCD"/>
    <w:rsid w:val="672F1572"/>
    <w:rsid w:val="67332F8A"/>
    <w:rsid w:val="674C70FC"/>
    <w:rsid w:val="67564D51"/>
    <w:rsid w:val="675863D3"/>
    <w:rsid w:val="675A5898"/>
    <w:rsid w:val="675D5329"/>
    <w:rsid w:val="67642B40"/>
    <w:rsid w:val="67684C07"/>
    <w:rsid w:val="676942D2"/>
    <w:rsid w:val="67734E94"/>
    <w:rsid w:val="677D5E3A"/>
    <w:rsid w:val="678F3DBF"/>
    <w:rsid w:val="67987117"/>
    <w:rsid w:val="679F04A6"/>
    <w:rsid w:val="67A24DAF"/>
    <w:rsid w:val="67A50C5E"/>
    <w:rsid w:val="67A5654F"/>
    <w:rsid w:val="67A61638"/>
    <w:rsid w:val="67B215DE"/>
    <w:rsid w:val="67B348A6"/>
    <w:rsid w:val="67C9107F"/>
    <w:rsid w:val="67CF2561"/>
    <w:rsid w:val="67DA7FED"/>
    <w:rsid w:val="67E714A6"/>
    <w:rsid w:val="67ED129F"/>
    <w:rsid w:val="67F4149B"/>
    <w:rsid w:val="68055677"/>
    <w:rsid w:val="68145290"/>
    <w:rsid w:val="68291F34"/>
    <w:rsid w:val="683926A8"/>
    <w:rsid w:val="683E194D"/>
    <w:rsid w:val="68441F99"/>
    <w:rsid w:val="68460921"/>
    <w:rsid w:val="68490BA5"/>
    <w:rsid w:val="686A468E"/>
    <w:rsid w:val="686E580B"/>
    <w:rsid w:val="68776B3B"/>
    <w:rsid w:val="687B7DCC"/>
    <w:rsid w:val="689B75F0"/>
    <w:rsid w:val="68B71C98"/>
    <w:rsid w:val="68C31F72"/>
    <w:rsid w:val="68CB2828"/>
    <w:rsid w:val="68CC58FB"/>
    <w:rsid w:val="68E258A1"/>
    <w:rsid w:val="68E5013A"/>
    <w:rsid w:val="68F46132"/>
    <w:rsid w:val="68F532CF"/>
    <w:rsid w:val="68F76301"/>
    <w:rsid w:val="69042589"/>
    <w:rsid w:val="690B0958"/>
    <w:rsid w:val="690E4799"/>
    <w:rsid w:val="691702F9"/>
    <w:rsid w:val="6924760F"/>
    <w:rsid w:val="6927340E"/>
    <w:rsid w:val="69487ADE"/>
    <w:rsid w:val="694A2693"/>
    <w:rsid w:val="69564B94"/>
    <w:rsid w:val="69592E49"/>
    <w:rsid w:val="695D1FA9"/>
    <w:rsid w:val="69652352"/>
    <w:rsid w:val="69823BDB"/>
    <w:rsid w:val="699A504F"/>
    <w:rsid w:val="699D0161"/>
    <w:rsid w:val="69A51678"/>
    <w:rsid w:val="69A739BB"/>
    <w:rsid w:val="69A91954"/>
    <w:rsid w:val="69AF641F"/>
    <w:rsid w:val="69C621BE"/>
    <w:rsid w:val="69D02B99"/>
    <w:rsid w:val="69D03104"/>
    <w:rsid w:val="69D07728"/>
    <w:rsid w:val="69D361E5"/>
    <w:rsid w:val="69D3707C"/>
    <w:rsid w:val="69E403F2"/>
    <w:rsid w:val="69EE1271"/>
    <w:rsid w:val="6A070584"/>
    <w:rsid w:val="6A1D1DA5"/>
    <w:rsid w:val="6A321D4B"/>
    <w:rsid w:val="6A3D2DC1"/>
    <w:rsid w:val="6A410EA9"/>
    <w:rsid w:val="6A413A96"/>
    <w:rsid w:val="6A506AFA"/>
    <w:rsid w:val="6A6301D1"/>
    <w:rsid w:val="6A68037F"/>
    <w:rsid w:val="6A7169E0"/>
    <w:rsid w:val="6A757984"/>
    <w:rsid w:val="6A7E0847"/>
    <w:rsid w:val="6A82536B"/>
    <w:rsid w:val="6A877239"/>
    <w:rsid w:val="6A895C11"/>
    <w:rsid w:val="6A8B2F63"/>
    <w:rsid w:val="6A92042E"/>
    <w:rsid w:val="6A973A0E"/>
    <w:rsid w:val="6A9C2A7B"/>
    <w:rsid w:val="6AA812C3"/>
    <w:rsid w:val="6AA8778B"/>
    <w:rsid w:val="6AAB6191"/>
    <w:rsid w:val="6ACA4A18"/>
    <w:rsid w:val="6AD20B92"/>
    <w:rsid w:val="6AED6BFB"/>
    <w:rsid w:val="6AF9611F"/>
    <w:rsid w:val="6AFF68D3"/>
    <w:rsid w:val="6B016F5B"/>
    <w:rsid w:val="6B223424"/>
    <w:rsid w:val="6B2927D5"/>
    <w:rsid w:val="6B38262D"/>
    <w:rsid w:val="6B4750DC"/>
    <w:rsid w:val="6B643D08"/>
    <w:rsid w:val="6B6F35ED"/>
    <w:rsid w:val="6B792062"/>
    <w:rsid w:val="6B9A16B0"/>
    <w:rsid w:val="6B9B024E"/>
    <w:rsid w:val="6BAC2E4F"/>
    <w:rsid w:val="6BB9504A"/>
    <w:rsid w:val="6BC524A5"/>
    <w:rsid w:val="6BC73B27"/>
    <w:rsid w:val="6BE73050"/>
    <w:rsid w:val="6C07486C"/>
    <w:rsid w:val="6C077332"/>
    <w:rsid w:val="6C160C95"/>
    <w:rsid w:val="6C194FD7"/>
    <w:rsid w:val="6C1A00FB"/>
    <w:rsid w:val="6C316FB9"/>
    <w:rsid w:val="6C4619A4"/>
    <w:rsid w:val="6C4E516A"/>
    <w:rsid w:val="6C515AE7"/>
    <w:rsid w:val="6C5A4451"/>
    <w:rsid w:val="6C5C00D6"/>
    <w:rsid w:val="6C627D07"/>
    <w:rsid w:val="6C7147F8"/>
    <w:rsid w:val="6C730AE1"/>
    <w:rsid w:val="6C8A3643"/>
    <w:rsid w:val="6C991555"/>
    <w:rsid w:val="6C995F02"/>
    <w:rsid w:val="6C9C075E"/>
    <w:rsid w:val="6CCA4FCD"/>
    <w:rsid w:val="6CDE15A9"/>
    <w:rsid w:val="6CDE3F4A"/>
    <w:rsid w:val="6CEB1A97"/>
    <w:rsid w:val="6D0B1684"/>
    <w:rsid w:val="6D0C786B"/>
    <w:rsid w:val="6D0E4F5A"/>
    <w:rsid w:val="6D1559C8"/>
    <w:rsid w:val="6D160A03"/>
    <w:rsid w:val="6D2158B7"/>
    <w:rsid w:val="6D260503"/>
    <w:rsid w:val="6D293FA7"/>
    <w:rsid w:val="6D3909BE"/>
    <w:rsid w:val="6D3F7F0E"/>
    <w:rsid w:val="6D43216C"/>
    <w:rsid w:val="6D4B2536"/>
    <w:rsid w:val="6D5502EE"/>
    <w:rsid w:val="6D6C2B69"/>
    <w:rsid w:val="6D8A2978"/>
    <w:rsid w:val="6D8E6C32"/>
    <w:rsid w:val="6DA305C4"/>
    <w:rsid w:val="6DC17186"/>
    <w:rsid w:val="6DC522E8"/>
    <w:rsid w:val="6DCD1E30"/>
    <w:rsid w:val="6DD4663E"/>
    <w:rsid w:val="6DDC5530"/>
    <w:rsid w:val="6DDD5DE9"/>
    <w:rsid w:val="6DF332FA"/>
    <w:rsid w:val="6E02353D"/>
    <w:rsid w:val="6E0950DA"/>
    <w:rsid w:val="6E184B0E"/>
    <w:rsid w:val="6E276AFF"/>
    <w:rsid w:val="6E2C496C"/>
    <w:rsid w:val="6E55485A"/>
    <w:rsid w:val="6E7064BC"/>
    <w:rsid w:val="6E800D39"/>
    <w:rsid w:val="6E895A0C"/>
    <w:rsid w:val="6E8A27DA"/>
    <w:rsid w:val="6E8C2E06"/>
    <w:rsid w:val="6E8D72AA"/>
    <w:rsid w:val="6E963CE7"/>
    <w:rsid w:val="6EA840E4"/>
    <w:rsid w:val="6EAC0EF6"/>
    <w:rsid w:val="6EBA3895"/>
    <w:rsid w:val="6EC9257C"/>
    <w:rsid w:val="6EDE7B06"/>
    <w:rsid w:val="6EE80984"/>
    <w:rsid w:val="6EEB5D7F"/>
    <w:rsid w:val="6EEF7D86"/>
    <w:rsid w:val="6EF17EB4"/>
    <w:rsid w:val="6F094457"/>
    <w:rsid w:val="6F0C53D3"/>
    <w:rsid w:val="6F1A48B6"/>
    <w:rsid w:val="6F1A6664"/>
    <w:rsid w:val="6F280D81"/>
    <w:rsid w:val="6F2B6AC3"/>
    <w:rsid w:val="6F333FFC"/>
    <w:rsid w:val="6F334FBB"/>
    <w:rsid w:val="6F467459"/>
    <w:rsid w:val="6F5023C3"/>
    <w:rsid w:val="6F5E6DC1"/>
    <w:rsid w:val="6F683873"/>
    <w:rsid w:val="6F687ECD"/>
    <w:rsid w:val="6F787B3F"/>
    <w:rsid w:val="6F991A83"/>
    <w:rsid w:val="6FA02BB0"/>
    <w:rsid w:val="6FA42374"/>
    <w:rsid w:val="6FA7439C"/>
    <w:rsid w:val="6FA76D1C"/>
    <w:rsid w:val="6FBB54E7"/>
    <w:rsid w:val="6FC0720B"/>
    <w:rsid w:val="6FC46FA9"/>
    <w:rsid w:val="6FC95D74"/>
    <w:rsid w:val="6FCF744E"/>
    <w:rsid w:val="6FE2671E"/>
    <w:rsid w:val="700510C2"/>
    <w:rsid w:val="7007308C"/>
    <w:rsid w:val="700929B0"/>
    <w:rsid w:val="70156891"/>
    <w:rsid w:val="703218E7"/>
    <w:rsid w:val="704D1AD0"/>
    <w:rsid w:val="704F4118"/>
    <w:rsid w:val="705345BE"/>
    <w:rsid w:val="705F4B97"/>
    <w:rsid w:val="706576F0"/>
    <w:rsid w:val="707D2358"/>
    <w:rsid w:val="707D50FC"/>
    <w:rsid w:val="707F4A77"/>
    <w:rsid w:val="708304A5"/>
    <w:rsid w:val="70984BC8"/>
    <w:rsid w:val="70A067AE"/>
    <w:rsid w:val="70A93C88"/>
    <w:rsid w:val="70B41174"/>
    <w:rsid w:val="70B728D1"/>
    <w:rsid w:val="70BD4C56"/>
    <w:rsid w:val="70BD7BEF"/>
    <w:rsid w:val="70C40629"/>
    <w:rsid w:val="70C540C0"/>
    <w:rsid w:val="70CC1BE0"/>
    <w:rsid w:val="70E734A8"/>
    <w:rsid w:val="70EA0D37"/>
    <w:rsid w:val="70EA65D7"/>
    <w:rsid w:val="70F97328"/>
    <w:rsid w:val="710819D4"/>
    <w:rsid w:val="710C5627"/>
    <w:rsid w:val="710E7BF7"/>
    <w:rsid w:val="71271CDD"/>
    <w:rsid w:val="712B3349"/>
    <w:rsid w:val="71354A5A"/>
    <w:rsid w:val="71526589"/>
    <w:rsid w:val="71527485"/>
    <w:rsid w:val="716560AD"/>
    <w:rsid w:val="71706A0F"/>
    <w:rsid w:val="71756AF0"/>
    <w:rsid w:val="71B13DA5"/>
    <w:rsid w:val="71C54FAD"/>
    <w:rsid w:val="71C805F9"/>
    <w:rsid w:val="71C905C1"/>
    <w:rsid w:val="71CA4040"/>
    <w:rsid w:val="71D3747D"/>
    <w:rsid w:val="71D66FFC"/>
    <w:rsid w:val="71E068A0"/>
    <w:rsid w:val="71F51A89"/>
    <w:rsid w:val="71F907B3"/>
    <w:rsid w:val="71FE3BC8"/>
    <w:rsid w:val="71FE401B"/>
    <w:rsid w:val="720248F6"/>
    <w:rsid w:val="721553B9"/>
    <w:rsid w:val="721D1AAE"/>
    <w:rsid w:val="721E0635"/>
    <w:rsid w:val="72220A0F"/>
    <w:rsid w:val="72323CC5"/>
    <w:rsid w:val="72557B6B"/>
    <w:rsid w:val="725A3C8C"/>
    <w:rsid w:val="72653024"/>
    <w:rsid w:val="726E73F3"/>
    <w:rsid w:val="728E516B"/>
    <w:rsid w:val="72912A35"/>
    <w:rsid w:val="72A20E4A"/>
    <w:rsid w:val="72CE5775"/>
    <w:rsid w:val="72D54D7C"/>
    <w:rsid w:val="72D84A79"/>
    <w:rsid w:val="72D92B78"/>
    <w:rsid w:val="72EE7BFD"/>
    <w:rsid w:val="72F9018C"/>
    <w:rsid w:val="73032B47"/>
    <w:rsid w:val="730B5328"/>
    <w:rsid w:val="731C48E6"/>
    <w:rsid w:val="73265E4F"/>
    <w:rsid w:val="73316DC5"/>
    <w:rsid w:val="734A3397"/>
    <w:rsid w:val="734D096F"/>
    <w:rsid w:val="73550960"/>
    <w:rsid w:val="736E51D0"/>
    <w:rsid w:val="737B5F85"/>
    <w:rsid w:val="737F118B"/>
    <w:rsid w:val="739328D0"/>
    <w:rsid w:val="73A239B1"/>
    <w:rsid w:val="73BC418E"/>
    <w:rsid w:val="73BD0D29"/>
    <w:rsid w:val="73C43706"/>
    <w:rsid w:val="73D51D03"/>
    <w:rsid w:val="73F9767C"/>
    <w:rsid w:val="73FD7457"/>
    <w:rsid w:val="74060602"/>
    <w:rsid w:val="74106AE3"/>
    <w:rsid w:val="74210D9D"/>
    <w:rsid w:val="742C1313"/>
    <w:rsid w:val="74307FAD"/>
    <w:rsid w:val="7431692A"/>
    <w:rsid w:val="743A2CCE"/>
    <w:rsid w:val="743B0D04"/>
    <w:rsid w:val="744B2DDA"/>
    <w:rsid w:val="74626AE3"/>
    <w:rsid w:val="74697E0C"/>
    <w:rsid w:val="747F5BCD"/>
    <w:rsid w:val="749D3BAB"/>
    <w:rsid w:val="74B62489"/>
    <w:rsid w:val="74BB2E71"/>
    <w:rsid w:val="74C35F1C"/>
    <w:rsid w:val="74DA65D5"/>
    <w:rsid w:val="74E664AD"/>
    <w:rsid w:val="74E67714"/>
    <w:rsid w:val="74F74CEC"/>
    <w:rsid w:val="74FC5698"/>
    <w:rsid w:val="74FE4523"/>
    <w:rsid w:val="75001A43"/>
    <w:rsid w:val="751D0C5C"/>
    <w:rsid w:val="75297601"/>
    <w:rsid w:val="752B1BC9"/>
    <w:rsid w:val="753264C9"/>
    <w:rsid w:val="753E6865"/>
    <w:rsid w:val="754461E9"/>
    <w:rsid w:val="75567BCE"/>
    <w:rsid w:val="75677CE0"/>
    <w:rsid w:val="75720FA8"/>
    <w:rsid w:val="75737957"/>
    <w:rsid w:val="757B0F4D"/>
    <w:rsid w:val="757C5983"/>
    <w:rsid w:val="75834033"/>
    <w:rsid w:val="75847AFF"/>
    <w:rsid w:val="75864002"/>
    <w:rsid w:val="758A5960"/>
    <w:rsid w:val="75A63B2B"/>
    <w:rsid w:val="75A65AB8"/>
    <w:rsid w:val="75B415C0"/>
    <w:rsid w:val="75BF5485"/>
    <w:rsid w:val="75C046E6"/>
    <w:rsid w:val="75E813C1"/>
    <w:rsid w:val="75F42B7F"/>
    <w:rsid w:val="7610431D"/>
    <w:rsid w:val="76115D13"/>
    <w:rsid w:val="76281791"/>
    <w:rsid w:val="7629236B"/>
    <w:rsid w:val="762D4D3D"/>
    <w:rsid w:val="763D7808"/>
    <w:rsid w:val="76484B74"/>
    <w:rsid w:val="765124AB"/>
    <w:rsid w:val="76557BFE"/>
    <w:rsid w:val="765C6A1F"/>
    <w:rsid w:val="765F4A43"/>
    <w:rsid w:val="76733229"/>
    <w:rsid w:val="7674108F"/>
    <w:rsid w:val="768C1D80"/>
    <w:rsid w:val="769D3E02"/>
    <w:rsid w:val="76A1399C"/>
    <w:rsid w:val="76AA32D3"/>
    <w:rsid w:val="76AB5CE4"/>
    <w:rsid w:val="76C269AB"/>
    <w:rsid w:val="76C959EF"/>
    <w:rsid w:val="76CA6401"/>
    <w:rsid w:val="77006400"/>
    <w:rsid w:val="77075720"/>
    <w:rsid w:val="771005F4"/>
    <w:rsid w:val="7714111C"/>
    <w:rsid w:val="771816DB"/>
    <w:rsid w:val="771D4733"/>
    <w:rsid w:val="772462D2"/>
    <w:rsid w:val="77372717"/>
    <w:rsid w:val="773F4EBA"/>
    <w:rsid w:val="774C782B"/>
    <w:rsid w:val="7751199D"/>
    <w:rsid w:val="77674410"/>
    <w:rsid w:val="77702DC2"/>
    <w:rsid w:val="77744E9E"/>
    <w:rsid w:val="777D7011"/>
    <w:rsid w:val="777D770E"/>
    <w:rsid w:val="77871C79"/>
    <w:rsid w:val="7788775C"/>
    <w:rsid w:val="778B0448"/>
    <w:rsid w:val="778B6351"/>
    <w:rsid w:val="778B764A"/>
    <w:rsid w:val="7795588C"/>
    <w:rsid w:val="77990D58"/>
    <w:rsid w:val="77A474D4"/>
    <w:rsid w:val="77A8000F"/>
    <w:rsid w:val="77AF566A"/>
    <w:rsid w:val="77B91110"/>
    <w:rsid w:val="77C33D3D"/>
    <w:rsid w:val="77D51C22"/>
    <w:rsid w:val="77D617AC"/>
    <w:rsid w:val="77DE29A9"/>
    <w:rsid w:val="77F43EF6"/>
    <w:rsid w:val="77FE10F3"/>
    <w:rsid w:val="7803238B"/>
    <w:rsid w:val="78063C29"/>
    <w:rsid w:val="78085FF7"/>
    <w:rsid w:val="780A4A7F"/>
    <w:rsid w:val="780B56E4"/>
    <w:rsid w:val="78216C42"/>
    <w:rsid w:val="782A7913"/>
    <w:rsid w:val="783A3050"/>
    <w:rsid w:val="783C3AEF"/>
    <w:rsid w:val="78603773"/>
    <w:rsid w:val="78815905"/>
    <w:rsid w:val="78830F15"/>
    <w:rsid w:val="788A224D"/>
    <w:rsid w:val="7898332F"/>
    <w:rsid w:val="789B6A68"/>
    <w:rsid w:val="78A14A07"/>
    <w:rsid w:val="78A551F0"/>
    <w:rsid w:val="78AD3DD1"/>
    <w:rsid w:val="78CA6C48"/>
    <w:rsid w:val="78DB2185"/>
    <w:rsid w:val="78F900A0"/>
    <w:rsid w:val="78FB0FA9"/>
    <w:rsid w:val="792D62D5"/>
    <w:rsid w:val="794B066A"/>
    <w:rsid w:val="794C090E"/>
    <w:rsid w:val="79507852"/>
    <w:rsid w:val="795A1893"/>
    <w:rsid w:val="79622FAB"/>
    <w:rsid w:val="79652BD2"/>
    <w:rsid w:val="796C6C45"/>
    <w:rsid w:val="79794FC3"/>
    <w:rsid w:val="797F5A41"/>
    <w:rsid w:val="799B5CCD"/>
    <w:rsid w:val="79B41512"/>
    <w:rsid w:val="79C15F51"/>
    <w:rsid w:val="79D7587D"/>
    <w:rsid w:val="79E052E6"/>
    <w:rsid w:val="79E85156"/>
    <w:rsid w:val="79EE0E19"/>
    <w:rsid w:val="79F03EE6"/>
    <w:rsid w:val="79FC49E2"/>
    <w:rsid w:val="7A0E04AA"/>
    <w:rsid w:val="7A24483B"/>
    <w:rsid w:val="7A396538"/>
    <w:rsid w:val="7A3C1B84"/>
    <w:rsid w:val="7A450B26"/>
    <w:rsid w:val="7A460C55"/>
    <w:rsid w:val="7A5275FA"/>
    <w:rsid w:val="7A5A0ACB"/>
    <w:rsid w:val="7A5B7A8E"/>
    <w:rsid w:val="7A637055"/>
    <w:rsid w:val="7A650D96"/>
    <w:rsid w:val="7A6A0E9C"/>
    <w:rsid w:val="7A6D1D3E"/>
    <w:rsid w:val="7A734B40"/>
    <w:rsid w:val="7A855718"/>
    <w:rsid w:val="7A8712CB"/>
    <w:rsid w:val="7A884DCA"/>
    <w:rsid w:val="7A99353C"/>
    <w:rsid w:val="7A9C4DB8"/>
    <w:rsid w:val="7AA23E87"/>
    <w:rsid w:val="7AA57862"/>
    <w:rsid w:val="7AC83ABB"/>
    <w:rsid w:val="7ACC1D4A"/>
    <w:rsid w:val="7AE2097E"/>
    <w:rsid w:val="7AED2E98"/>
    <w:rsid w:val="7AEE76FB"/>
    <w:rsid w:val="7B0A1D7E"/>
    <w:rsid w:val="7B0C08EF"/>
    <w:rsid w:val="7B187EFC"/>
    <w:rsid w:val="7B1C2DED"/>
    <w:rsid w:val="7B1E5B36"/>
    <w:rsid w:val="7B334D35"/>
    <w:rsid w:val="7B3867F0"/>
    <w:rsid w:val="7B3923F0"/>
    <w:rsid w:val="7B3E7406"/>
    <w:rsid w:val="7B3F45C1"/>
    <w:rsid w:val="7B4231CA"/>
    <w:rsid w:val="7B4358B9"/>
    <w:rsid w:val="7B4461BA"/>
    <w:rsid w:val="7B486307"/>
    <w:rsid w:val="7B4B58F8"/>
    <w:rsid w:val="7B6E2211"/>
    <w:rsid w:val="7B766CE9"/>
    <w:rsid w:val="7B8008AE"/>
    <w:rsid w:val="7B802929"/>
    <w:rsid w:val="7B880168"/>
    <w:rsid w:val="7B915A22"/>
    <w:rsid w:val="7B955DDD"/>
    <w:rsid w:val="7B95754E"/>
    <w:rsid w:val="7B9D2585"/>
    <w:rsid w:val="7BAC301B"/>
    <w:rsid w:val="7BB15DAE"/>
    <w:rsid w:val="7BB73BB8"/>
    <w:rsid w:val="7BC57062"/>
    <w:rsid w:val="7BC6204D"/>
    <w:rsid w:val="7BCC6F38"/>
    <w:rsid w:val="7BD04C7A"/>
    <w:rsid w:val="7BD13A19"/>
    <w:rsid w:val="7BD543C1"/>
    <w:rsid w:val="7BD752DA"/>
    <w:rsid w:val="7BDC2489"/>
    <w:rsid w:val="7BE02E34"/>
    <w:rsid w:val="7BE95D3C"/>
    <w:rsid w:val="7BF1074D"/>
    <w:rsid w:val="7BFC538F"/>
    <w:rsid w:val="7C0D60CB"/>
    <w:rsid w:val="7C17178D"/>
    <w:rsid w:val="7C173B6D"/>
    <w:rsid w:val="7C187929"/>
    <w:rsid w:val="7C33013C"/>
    <w:rsid w:val="7C373600"/>
    <w:rsid w:val="7C4363ED"/>
    <w:rsid w:val="7C4429AB"/>
    <w:rsid w:val="7C517436"/>
    <w:rsid w:val="7C5261D1"/>
    <w:rsid w:val="7C540977"/>
    <w:rsid w:val="7C5D7139"/>
    <w:rsid w:val="7C641883"/>
    <w:rsid w:val="7C694787"/>
    <w:rsid w:val="7C6F2735"/>
    <w:rsid w:val="7C75312C"/>
    <w:rsid w:val="7C8761E9"/>
    <w:rsid w:val="7C88092E"/>
    <w:rsid w:val="7C896BD7"/>
    <w:rsid w:val="7C8B42F5"/>
    <w:rsid w:val="7C991510"/>
    <w:rsid w:val="7C9B6A7C"/>
    <w:rsid w:val="7CAB4D9F"/>
    <w:rsid w:val="7CB023B6"/>
    <w:rsid w:val="7CB238F7"/>
    <w:rsid w:val="7CB93960"/>
    <w:rsid w:val="7CBB152F"/>
    <w:rsid w:val="7CDC10B7"/>
    <w:rsid w:val="7CED360A"/>
    <w:rsid w:val="7CED53B8"/>
    <w:rsid w:val="7CEF1130"/>
    <w:rsid w:val="7CF848A6"/>
    <w:rsid w:val="7CFD73B0"/>
    <w:rsid w:val="7D052701"/>
    <w:rsid w:val="7D086083"/>
    <w:rsid w:val="7D0C742C"/>
    <w:rsid w:val="7D200E1A"/>
    <w:rsid w:val="7D3C46D8"/>
    <w:rsid w:val="7D3E798A"/>
    <w:rsid w:val="7D511DEB"/>
    <w:rsid w:val="7D650D53"/>
    <w:rsid w:val="7D78377D"/>
    <w:rsid w:val="7D886AC7"/>
    <w:rsid w:val="7D8E6B9B"/>
    <w:rsid w:val="7D924ADA"/>
    <w:rsid w:val="7D9D225E"/>
    <w:rsid w:val="7D9D6DDE"/>
    <w:rsid w:val="7DA22646"/>
    <w:rsid w:val="7DBA7990"/>
    <w:rsid w:val="7DBB3133"/>
    <w:rsid w:val="7DBE58DA"/>
    <w:rsid w:val="7DC05655"/>
    <w:rsid w:val="7DC223A1"/>
    <w:rsid w:val="7DCE15DB"/>
    <w:rsid w:val="7DD003DC"/>
    <w:rsid w:val="7DD6416E"/>
    <w:rsid w:val="7DD86E6F"/>
    <w:rsid w:val="7DEB3629"/>
    <w:rsid w:val="7DEB76A3"/>
    <w:rsid w:val="7DFE68E5"/>
    <w:rsid w:val="7E004731"/>
    <w:rsid w:val="7E1A042F"/>
    <w:rsid w:val="7E1E7CCF"/>
    <w:rsid w:val="7E35461F"/>
    <w:rsid w:val="7E490A1D"/>
    <w:rsid w:val="7E4E4B6C"/>
    <w:rsid w:val="7E786C19"/>
    <w:rsid w:val="7E885398"/>
    <w:rsid w:val="7E8A5B6F"/>
    <w:rsid w:val="7E8F581A"/>
    <w:rsid w:val="7E9633BF"/>
    <w:rsid w:val="7E98078B"/>
    <w:rsid w:val="7E9B156F"/>
    <w:rsid w:val="7EA27A06"/>
    <w:rsid w:val="7EA54F54"/>
    <w:rsid w:val="7EB1694A"/>
    <w:rsid w:val="7EBE0DBA"/>
    <w:rsid w:val="7ED55D62"/>
    <w:rsid w:val="7EE11020"/>
    <w:rsid w:val="7EE50A3C"/>
    <w:rsid w:val="7EF85503"/>
    <w:rsid w:val="7EFF44D6"/>
    <w:rsid w:val="7F114794"/>
    <w:rsid w:val="7F141948"/>
    <w:rsid w:val="7F144E7E"/>
    <w:rsid w:val="7F1B341B"/>
    <w:rsid w:val="7F2A04BE"/>
    <w:rsid w:val="7F3E7050"/>
    <w:rsid w:val="7F552BE0"/>
    <w:rsid w:val="7F6546E1"/>
    <w:rsid w:val="7F831789"/>
    <w:rsid w:val="7F867A9C"/>
    <w:rsid w:val="7F923FF5"/>
    <w:rsid w:val="7F986BCA"/>
    <w:rsid w:val="7F9A4185"/>
    <w:rsid w:val="7F9B734D"/>
    <w:rsid w:val="7FA10FEC"/>
    <w:rsid w:val="7FB2700E"/>
    <w:rsid w:val="7FB876B3"/>
    <w:rsid w:val="7FC5261C"/>
    <w:rsid w:val="7FC65CAF"/>
    <w:rsid w:val="7FCB6574"/>
    <w:rsid w:val="7FD47A57"/>
    <w:rsid w:val="7FD96EBD"/>
    <w:rsid w:val="7FE64A6C"/>
    <w:rsid w:val="7FE949CD"/>
    <w:rsid w:val="7FE94F6A"/>
    <w:rsid w:val="7FF151BF"/>
    <w:rsid w:val="7FF865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8"/>
    <w:qFormat/>
    <w:uiPriority w:val="0"/>
    <w:pPr>
      <w:keepNext/>
      <w:keepLines/>
      <w:spacing w:before="340" w:beforeLines="0" w:after="330" w:afterLines="0" w:line="578" w:lineRule="auto"/>
      <w:outlineLvl w:val="0"/>
    </w:pPr>
    <w:rPr>
      <w:b/>
      <w:bCs/>
      <w:kern w:val="44"/>
      <w:sz w:val="44"/>
      <w:szCs w:val="44"/>
    </w:rPr>
  </w:style>
  <w:style w:type="paragraph" w:styleId="5">
    <w:name w:val="heading 2"/>
    <w:basedOn w:val="1"/>
    <w:next w:val="1"/>
    <w:link w:val="69"/>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6">
    <w:name w:val="heading 3"/>
    <w:basedOn w:val="1"/>
    <w:next w:val="1"/>
    <w:link w:val="70"/>
    <w:qFormat/>
    <w:uiPriority w:val="0"/>
    <w:pPr>
      <w:keepNext/>
      <w:keepLines/>
      <w:spacing w:before="260" w:beforeLines="0" w:after="260" w:afterLines="0" w:line="416" w:lineRule="auto"/>
      <w:outlineLvl w:val="2"/>
    </w:pPr>
    <w:rPr>
      <w:b/>
      <w:bCs/>
      <w:sz w:val="32"/>
      <w:szCs w:val="32"/>
    </w:rPr>
  </w:style>
  <w:style w:type="paragraph" w:styleId="7">
    <w:name w:val="heading 4"/>
    <w:basedOn w:val="1"/>
    <w:next w:val="1"/>
    <w:link w:val="71"/>
    <w:qFormat/>
    <w:uiPriority w:val="0"/>
    <w:pPr>
      <w:keepNext/>
      <w:keepLines/>
      <w:spacing w:line="360" w:lineRule="auto"/>
      <w:outlineLvl w:val="3"/>
    </w:pPr>
    <w:rPr>
      <w:rFonts w:ascii="Arial" w:hAnsi="Arial"/>
      <w:b/>
      <w:bCs/>
      <w:szCs w:val="28"/>
    </w:rPr>
  </w:style>
  <w:style w:type="paragraph" w:styleId="8">
    <w:name w:val="heading 5"/>
    <w:basedOn w:val="1"/>
    <w:next w:val="1"/>
    <w:link w:val="72"/>
    <w:qFormat/>
    <w:uiPriority w:val="0"/>
    <w:pPr>
      <w:keepNext/>
      <w:keepLines/>
      <w:adjustRightInd w:val="0"/>
      <w:spacing w:before="280" w:after="290" w:line="376" w:lineRule="atLeast"/>
      <w:textAlignment w:val="baseline"/>
      <w:outlineLvl w:val="4"/>
    </w:pPr>
    <w:rPr>
      <w:rFonts w:eastAsia="仿宋_GB2312"/>
      <w:b/>
      <w:kern w:val="0"/>
      <w:sz w:val="28"/>
      <w:szCs w:val="20"/>
    </w:rPr>
  </w:style>
  <w:style w:type="paragraph" w:styleId="9">
    <w:name w:val="heading 6"/>
    <w:basedOn w:val="1"/>
    <w:next w:val="1"/>
    <w:link w:val="73"/>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74"/>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1">
    <w:name w:val="heading 8"/>
    <w:basedOn w:val="1"/>
    <w:next w:val="1"/>
    <w:link w:val="75"/>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76"/>
    <w:qFormat/>
    <w:uiPriority w:val="0"/>
    <w:pPr>
      <w:keepNext/>
      <w:keepLines/>
      <w:spacing w:before="240" w:beforeLines="0" w:after="64" w:afterLines="0" w:line="320" w:lineRule="auto"/>
      <w:outlineLvl w:val="8"/>
    </w:pPr>
    <w:rPr>
      <w:rFonts w:ascii="Arial" w:hAnsi="Arial" w:eastAsia="黑体"/>
      <w:szCs w:val="21"/>
    </w:rPr>
  </w:style>
  <w:style w:type="character" w:default="1" w:styleId="51">
    <w:name w:val="Default Paragraph Font"/>
    <w:semiHidden/>
    <w:qFormat/>
    <w:uiPriority w:val="0"/>
  </w:style>
  <w:style w:type="table" w:default="1" w:styleId="49">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67"/>
    <w:qFormat/>
    <w:uiPriority w:val="0"/>
    <w:pPr>
      <w:tabs>
        <w:tab w:val="left" w:pos="1740"/>
      </w:tabs>
      <w:spacing w:line="520" w:lineRule="exact"/>
    </w:pPr>
    <w:rPr>
      <w:rFonts w:eastAsia="黑体"/>
      <w:sz w:val="30"/>
    </w:rPr>
  </w:style>
  <w:style w:type="paragraph" w:customStyle="1" w:styleId="3">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toc 7"/>
    <w:basedOn w:val="1"/>
    <w:next w:val="1"/>
    <w:unhideWhenUsed/>
    <w:qFormat/>
    <w:uiPriority w:val="0"/>
    <w:pPr>
      <w:ind w:left="2520" w:leftChars="1200"/>
    </w:pPr>
  </w:style>
  <w:style w:type="paragraph" w:styleId="14">
    <w:name w:val="Normal Indent"/>
    <w:basedOn w:val="1"/>
    <w:link w:val="77"/>
    <w:qFormat/>
    <w:uiPriority w:val="0"/>
    <w:pPr>
      <w:adjustRightInd w:val="0"/>
      <w:snapToGrid w:val="0"/>
      <w:spacing w:before="100" w:beforeLines="0" w:beforeAutospacing="1" w:after="100" w:afterLines="0" w:afterAutospacing="1" w:line="440" w:lineRule="atLeast"/>
      <w:ind w:firstLine="420" w:firstLineChars="200"/>
      <w:jc w:val="left"/>
    </w:pPr>
    <w:rPr>
      <w:rFonts w:ascii="宋体" w:hAnsi="宋体"/>
      <w:sz w:val="24"/>
      <w:szCs w:val="20"/>
    </w:rPr>
  </w:style>
  <w:style w:type="paragraph" w:styleId="15">
    <w:name w:val="Document Map"/>
    <w:basedOn w:val="1"/>
    <w:link w:val="78"/>
    <w:qFormat/>
    <w:uiPriority w:val="0"/>
    <w:pPr>
      <w:shd w:val="clear" w:color="auto" w:fill="000080"/>
    </w:pPr>
  </w:style>
  <w:style w:type="paragraph" w:styleId="16">
    <w:name w:val="annotation text"/>
    <w:basedOn w:val="1"/>
    <w:link w:val="79"/>
    <w:qFormat/>
    <w:uiPriority w:val="0"/>
    <w:pPr>
      <w:jc w:val="left"/>
    </w:pPr>
  </w:style>
  <w:style w:type="paragraph" w:styleId="17">
    <w:name w:val="Body Text 3"/>
    <w:basedOn w:val="1"/>
    <w:link w:val="80"/>
    <w:qFormat/>
    <w:uiPriority w:val="0"/>
    <w:pPr>
      <w:spacing w:after="120" w:afterLines="0"/>
    </w:pPr>
    <w:rPr>
      <w:sz w:val="16"/>
      <w:szCs w:val="16"/>
    </w:rPr>
  </w:style>
  <w:style w:type="paragraph" w:styleId="18">
    <w:name w:val="Body Text Indent"/>
    <w:basedOn w:val="1"/>
    <w:next w:val="19"/>
    <w:qFormat/>
    <w:uiPriority w:val="0"/>
    <w:pPr>
      <w:ind w:firstLine="470" w:firstLineChars="168"/>
    </w:pPr>
    <w:rPr>
      <w:sz w:val="28"/>
    </w:rPr>
  </w:style>
  <w:style w:type="paragraph" w:styleId="19">
    <w:name w:val="envelope return"/>
    <w:basedOn w:val="1"/>
    <w:qFormat/>
    <w:uiPriority w:val="0"/>
    <w:pPr>
      <w:snapToGrid w:val="0"/>
    </w:pPr>
    <w:rPr>
      <w:rFonts w:ascii="Arial" w:hAnsi="Arial"/>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tabs>
        <w:tab w:val="left" w:pos="9354"/>
      </w:tabs>
      <w:adjustRightInd w:val="0"/>
      <w:spacing w:line="440" w:lineRule="exact"/>
      <w:ind w:left="105" w:right="-2"/>
    </w:pPr>
    <w:rPr>
      <w:rFonts w:ascii="宋体" w:hAnsi="宋体"/>
      <w:color w:val="000000"/>
      <w:sz w:val="24"/>
    </w:rPr>
  </w:style>
  <w:style w:type="paragraph" w:styleId="22">
    <w:name w:val="toc 5"/>
    <w:basedOn w:val="1"/>
    <w:next w:val="1"/>
    <w:unhideWhenUsed/>
    <w:qFormat/>
    <w:uiPriority w:val="0"/>
    <w:pPr>
      <w:ind w:left="1680" w:leftChars="800"/>
    </w:pPr>
  </w:style>
  <w:style w:type="paragraph" w:styleId="23">
    <w:name w:val="toc 3"/>
    <w:basedOn w:val="1"/>
    <w:next w:val="1"/>
    <w:unhideWhenUsed/>
    <w:qFormat/>
    <w:uiPriority w:val="39"/>
    <w:pPr>
      <w:ind w:left="840" w:leftChars="400"/>
    </w:pPr>
  </w:style>
  <w:style w:type="paragraph" w:styleId="24">
    <w:name w:val="Plain Text"/>
    <w:basedOn w:val="1"/>
    <w:link w:val="81"/>
    <w:qFormat/>
    <w:uiPriority w:val="0"/>
    <w:pPr>
      <w:adjustRightInd w:val="0"/>
      <w:snapToGrid w:val="0"/>
      <w:spacing w:before="100" w:beforeLines="0" w:beforeAutospacing="1" w:after="100" w:afterLines="0" w:afterAutospacing="1" w:line="440" w:lineRule="atLeast"/>
      <w:ind w:firstLine="200" w:firstLineChars="200"/>
      <w:jc w:val="left"/>
    </w:pPr>
    <w:rPr>
      <w:rFonts w:ascii="宋体" w:hAnsi="Courier New"/>
      <w:sz w:val="24"/>
      <w:szCs w:val="20"/>
    </w:rPr>
  </w:style>
  <w:style w:type="paragraph" w:styleId="25">
    <w:name w:val="toc 8"/>
    <w:basedOn w:val="1"/>
    <w:next w:val="1"/>
    <w:unhideWhenUsed/>
    <w:qFormat/>
    <w:uiPriority w:val="0"/>
    <w:pPr>
      <w:ind w:left="2940" w:leftChars="1400"/>
    </w:pPr>
  </w:style>
  <w:style w:type="paragraph" w:styleId="26">
    <w:name w:val="Date"/>
    <w:basedOn w:val="1"/>
    <w:next w:val="1"/>
    <w:link w:val="82"/>
    <w:qFormat/>
    <w:uiPriority w:val="0"/>
    <w:pPr>
      <w:ind w:left="100" w:leftChars="2500"/>
    </w:pPr>
    <w:rPr>
      <w:color w:val="000000"/>
      <w:position w:val="-28"/>
      <w:sz w:val="24"/>
    </w:rPr>
  </w:style>
  <w:style w:type="paragraph" w:styleId="27">
    <w:name w:val="Body Text Indent 2"/>
    <w:basedOn w:val="1"/>
    <w:qFormat/>
    <w:uiPriority w:val="0"/>
    <w:pPr>
      <w:tabs>
        <w:tab w:val="left" w:pos="0"/>
        <w:tab w:val="left" w:pos="1740"/>
        <w:tab w:val="left" w:pos="5040"/>
      </w:tabs>
      <w:spacing w:line="400" w:lineRule="exact"/>
      <w:ind w:firstLine="538" w:firstLineChars="192"/>
    </w:pPr>
    <w:rPr>
      <w:rFonts w:eastAsia="黑体"/>
      <w:sz w:val="28"/>
    </w:rPr>
  </w:style>
  <w:style w:type="paragraph" w:styleId="28">
    <w:name w:val="Balloon Text"/>
    <w:basedOn w:val="1"/>
    <w:link w:val="83"/>
    <w:qFormat/>
    <w:uiPriority w:val="0"/>
    <w:rPr>
      <w:sz w:val="18"/>
      <w:szCs w:val="18"/>
    </w:rPr>
  </w:style>
  <w:style w:type="paragraph" w:styleId="29">
    <w:name w:val="footer"/>
    <w:basedOn w:val="1"/>
    <w:link w:val="84"/>
    <w:qFormat/>
    <w:uiPriority w:val="0"/>
    <w:pPr>
      <w:tabs>
        <w:tab w:val="center" w:pos="4153"/>
        <w:tab w:val="right" w:pos="8306"/>
      </w:tabs>
      <w:snapToGrid w:val="0"/>
      <w:jc w:val="left"/>
    </w:pPr>
    <w:rPr>
      <w:sz w:val="18"/>
      <w:szCs w:val="18"/>
    </w:rPr>
  </w:style>
  <w:style w:type="paragraph" w:styleId="30">
    <w:name w:val="header"/>
    <w:basedOn w:val="1"/>
    <w:link w:val="85"/>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style>
  <w:style w:type="paragraph" w:styleId="32">
    <w:name w:val="toc 4"/>
    <w:basedOn w:val="1"/>
    <w:next w:val="1"/>
    <w:unhideWhenUsed/>
    <w:qFormat/>
    <w:uiPriority w:val="0"/>
    <w:pPr>
      <w:ind w:left="1260" w:leftChars="600"/>
    </w:pPr>
  </w:style>
  <w:style w:type="paragraph" w:styleId="33">
    <w:name w:val="Subtitle"/>
    <w:basedOn w:val="1"/>
    <w:next w:val="1"/>
    <w:link w:val="86"/>
    <w:qFormat/>
    <w:uiPriority w:val="0"/>
    <w:pPr>
      <w:spacing w:before="240" w:beforeLines="0" w:after="60" w:afterLines="0" w:line="312" w:lineRule="auto"/>
      <w:jc w:val="center"/>
      <w:outlineLvl w:val="1"/>
    </w:pPr>
    <w:rPr>
      <w:rFonts w:ascii="Cambria" w:hAnsi="Cambria"/>
      <w:b/>
      <w:bCs/>
      <w:kern w:val="28"/>
      <w:sz w:val="32"/>
      <w:szCs w:val="32"/>
    </w:rPr>
  </w:style>
  <w:style w:type="paragraph" w:styleId="34">
    <w:name w:val="toc 6"/>
    <w:basedOn w:val="1"/>
    <w:next w:val="1"/>
    <w:unhideWhenUsed/>
    <w:qFormat/>
    <w:uiPriority w:val="0"/>
    <w:pPr>
      <w:ind w:left="2100" w:leftChars="1000"/>
    </w:pPr>
  </w:style>
  <w:style w:type="paragraph" w:styleId="35">
    <w:name w:val="List 5"/>
    <w:basedOn w:val="1"/>
    <w:qFormat/>
    <w:uiPriority w:val="0"/>
    <w:pPr>
      <w:widowControl w:val="0"/>
      <w:spacing w:line="240" w:lineRule="auto"/>
      <w:ind w:left="2100" w:hanging="420"/>
    </w:pPr>
    <w:rPr>
      <w:rFonts w:eastAsia="楷体_GB2312"/>
      <w:color w:val="auto"/>
      <w:kern w:val="2"/>
      <w:sz w:val="32"/>
    </w:rPr>
  </w:style>
  <w:style w:type="paragraph" w:styleId="36">
    <w:name w:val="Body Text Indent 3"/>
    <w:basedOn w:val="1"/>
    <w:qFormat/>
    <w:uiPriority w:val="0"/>
    <w:pPr>
      <w:tabs>
        <w:tab w:val="left" w:pos="0"/>
        <w:tab w:val="left" w:pos="1740"/>
        <w:tab w:val="left" w:pos="5040"/>
      </w:tabs>
      <w:spacing w:line="400" w:lineRule="exact"/>
      <w:ind w:firstLine="358" w:firstLineChars="128"/>
    </w:pPr>
    <w:rPr>
      <w:rFonts w:ascii="新宋体" w:hAnsi="新宋体" w:eastAsia="新宋体"/>
      <w:sz w:val="28"/>
    </w:rPr>
  </w:style>
  <w:style w:type="paragraph" w:styleId="37">
    <w:name w:val="table of figures"/>
    <w:basedOn w:val="1"/>
    <w:next w:val="1"/>
    <w:qFormat/>
    <w:uiPriority w:val="0"/>
    <w:pPr>
      <w:ind w:left="640" w:hanging="640"/>
      <w:jc w:val="left"/>
    </w:pPr>
    <w:rPr>
      <w:smallCaps/>
      <w:kern w:val="0"/>
      <w:sz w:val="20"/>
      <w:szCs w:val="20"/>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0"/>
    <w:pPr>
      <w:ind w:left="3360" w:leftChars="1600"/>
    </w:pPr>
  </w:style>
  <w:style w:type="paragraph" w:styleId="40">
    <w:name w:val="Body Text 2"/>
    <w:basedOn w:val="1"/>
    <w:next w:val="2"/>
    <w:qFormat/>
    <w:uiPriority w:val="0"/>
    <w:pPr>
      <w:tabs>
        <w:tab w:val="left" w:pos="1740"/>
      </w:tabs>
      <w:spacing w:line="620" w:lineRule="exact"/>
    </w:pPr>
    <w:rPr>
      <w:rFonts w:ascii="新宋体" w:hAnsi="新宋体" w:eastAsia="新宋体"/>
      <w:b/>
      <w:bCs/>
      <w:sz w:val="30"/>
    </w:rPr>
  </w:style>
  <w:style w:type="paragraph" w:styleId="41">
    <w:name w:val="Message Header"/>
    <w:basedOn w:val="1"/>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42">
    <w:name w:val="HTML Preformatted"/>
    <w:basedOn w:val="1"/>
    <w:link w:val="8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kern w:val="0"/>
      <w:sz w:val="11"/>
      <w:szCs w:val="11"/>
    </w:rPr>
  </w:style>
  <w:style w:type="paragraph" w:styleId="43">
    <w:name w:val="Normal (Web)"/>
    <w:basedOn w:val="1"/>
    <w:unhideWhenUsed/>
    <w:qFormat/>
    <w:uiPriority w:val="0"/>
    <w:pPr>
      <w:widowControl/>
      <w:spacing w:before="100" w:beforeLines="0" w:beforeAutospacing="1" w:after="100" w:afterLines="0" w:afterAutospacing="1"/>
      <w:jc w:val="left"/>
    </w:pPr>
    <w:rPr>
      <w:rFonts w:ascii="宋体" w:hAnsi="宋体" w:cs="宋体"/>
      <w:kern w:val="0"/>
      <w:sz w:val="24"/>
    </w:rPr>
  </w:style>
  <w:style w:type="paragraph" w:styleId="44">
    <w:name w:val="index 1"/>
    <w:basedOn w:val="1"/>
    <w:next w:val="1"/>
    <w:qFormat/>
    <w:uiPriority w:val="0"/>
    <w:rPr>
      <w:szCs w:val="22"/>
    </w:rPr>
  </w:style>
  <w:style w:type="paragraph" w:styleId="45">
    <w:name w:val="Title"/>
    <w:basedOn w:val="1"/>
    <w:next w:val="1"/>
    <w:link w:val="88"/>
    <w:qFormat/>
    <w:uiPriority w:val="0"/>
    <w:pPr>
      <w:spacing w:before="240" w:beforeLines="0" w:after="60" w:afterLines="0"/>
      <w:jc w:val="center"/>
      <w:outlineLvl w:val="0"/>
    </w:pPr>
    <w:rPr>
      <w:rFonts w:ascii="Cambria" w:hAnsi="Cambria"/>
      <w:b/>
      <w:bCs/>
      <w:sz w:val="32"/>
      <w:szCs w:val="32"/>
    </w:rPr>
  </w:style>
  <w:style w:type="paragraph" w:styleId="46">
    <w:name w:val="annotation subject"/>
    <w:basedOn w:val="16"/>
    <w:next w:val="16"/>
    <w:link w:val="89"/>
    <w:qFormat/>
    <w:uiPriority w:val="0"/>
    <w:rPr>
      <w:rFonts w:ascii="宋体" w:hAnsi="宋体"/>
      <w:b/>
      <w:bCs/>
      <w:sz w:val="32"/>
      <w:szCs w:val="32"/>
    </w:rPr>
  </w:style>
  <w:style w:type="paragraph" w:styleId="47">
    <w:name w:val="Body Text First Indent"/>
    <w:basedOn w:val="2"/>
    <w:next w:val="1"/>
    <w:link w:val="90"/>
    <w:qFormat/>
    <w:uiPriority w:val="0"/>
    <w:pPr>
      <w:spacing w:after="120" w:afterLines="0" w:line="240" w:lineRule="auto"/>
      <w:ind w:firstLine="420" w:firstLineChars="100"/>
    </w:pPr>
    <w:rPr>
      <w:rFonts w:eastAsia="宋体"/>
      <w:sz w:val="24"/>
    </w:rPr>
  </w:style>
  <w:style w:type="paragraph" w:styleId="48">
    <w:name w:val="Body Text First Indent 2"/>
    <w:basedOn w:val="18"/>
    <w:next w:val="1"/>
    <w:qFormat/>
    <w:uiPriority w:val="0"/>
    <w:pPr>
      <w:ind w:left="420" w:firstLine="420" w:firstLineChars="200"/>
    </w:p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qFormat/>
    <w:uiPriority w:val="0"/>
    <w:rPr>
      <w:rFonts w:ascii="Arial" w:hAnsi="Arial" w:eastAsia="黑体"/>
      <w:kern w:val="2"/>
      <w:sz w:val="21"/>
      <w:szCs w:val="21"/>
      <w:lang w:val="en-US" w:eastAsia="zh-CN" w:bidi="ar-SA"/>
    </w:rPr>
  </w:style>
  <w:style w:type="character" w:styleId="54">
    <w:name w:val="FollowedHyperlink"/>
    <w:qFormat/>
    <w:uiPriority w:val="0"/>
    <w:rPr>
      <w:color w:val="800080"/>
      <w:u w:val="none"/>
    </w:rPr>
  </w:style>
  <w:style w:type="character" w:styleId="55">
    <w:name w:val="Emphasis"/>
    <w:qFormat/>
    <w:uiPriority w:val="0"/>
  </w:style>
  <w:style w:type="character" w:styleId="56">
    <w:name w:val="HTML Definition"/>
    <w:qFormat/>
    <w:uiPriority w:val="0"/>
  </w:style>
  <w:style w:type="character" w:styleId="57">
    <w:name w:val="HTML Typewriter"/>
    <w:qFormat/>
    <w:uiPriority w:val="0"/>
    <w:rPr>
      <w:rFonts w:hint="default" w:ascii="monospace" w:hAnsi="monospace" w:eastAsia="monospace" w:cs="monospace"/>
      <w:sz w:val="20"/>
    </w:rPr>
  </w:style>
  <w:style w:type="character" w:styleId="58">
    <w:name w:val="HTML Acronym"/>
    <w:basedOn w:val="51"/>
    <w:qFormat/>
    <w:uiPriority w:val="0"/>
  </w:style>
  <w:style w:type="character" w:styleId="59">
    <w:name w:val="HTML Variable"/>
    <w:qFormat/>
    <w:uiPriority w:val="0"/>
  </w:style>
  <w:style w:type="character" w:styleId="60">
    <w:name w:val="Hyperlink"/>
    <w:qFormat/>
    <w:uiPriority w:val="99"/>
    <w:rPr>
      <w:color w:val="0000FF"/>
      <w:u w:val="none"/>
    </w:rPr>
  </w:style>
  <w:style w:type="character" w:styleId="61">
    <w:name w:val="HTML Code"/>
    <w:qFormat/>
    <w:uiPriority w:val="0"/>
    <w:rPr>
      <w:rFonts w:hint="default" w:ascii="monospace" w:hAnsi="monospace" w:eastAsia="monospace" w:cs="monospace"/>
      <w:sz w:val="20"/>
    </w:rPr>
  </w:style>
  <w:style w:type="character" w:styleId="62">
    <w:name w:val="annotation reference"/>
    <w:qFormat/>
    <w:uiPriority w:val="99"/>
    <w:rPr>
      <w:sz w:val="21"/>
      <w:szCs w:val="21"/>
    </w:rPr>
  </w:style>
  <w:style w:type="character" w:styleId="63">
    <w:name w:val="HTML Cite"/>
    <w:qFormat/>
    <w:uiPriority w:val="0"/>
  </w:style>
  <w:style w:type="character" w:styleId="64">
    <w:name w:val="HTML Keyboard"/>
    <w:qFormat/>
    <w:uiPriority w:val="0"/>
    <w:rPr>
      <w:rFonts w:hint="default" w:ascii="monospace" w:hAnsi="monospace" w:eastAsia="monospace" w:cs="monospace"/>
      <w:sz w:val="20"/>
    </w:rPr>
  </w:style>
  <w:style w:type="character" w:styleId="65">
    <w:name w:val="HTML Sample"/>
    <w:qFormat/>
    <w:uiPriority w:val="0"/>
    <w:rPr>
      <w:rFonts w:ascii="monospace" w:hAnsi="monospace" w:eastAsia="monospace" w:cs="monospace"/>
    </w:rPr>
  </w:style>
  <w:style w:type="paragraph" w:customStyle="1" w:styleId="66">
    <w:name w:val="Blockquote"/>
    <w:basedOn w:val="1"/>
    <w:next w:val="1"/>
    <w:qFormat/>
    <w:uiPriority w:val="0"/>
    <w:pPr>
      <w:autoSpaceDE w:val="0"/>
      <w:autoSpaceDN w:val="0"/>
      <w:spacing w:before="100" w:after="100"/>
      <w:ind w:left="360" w:right="360"/>
    </w:pPr>
    <w:rPr>
      <w:sz w:val="24"/>
    </w:rPr>
  </w:style>
  <w:style w:type="character" w:customStyle="1" w:styleId="67">
    <w:name w:val="正文文本 字符"/>
    <w:link w:val="2"/>
    <w:qFormat/>
    <w:uiPriority w:val="0"/>
    <w:rPr>
      <w:rFonts w:eastAsia="黑体"/>
      <w:kern w:val="2"/>
      <w:sz w:val="30"/>
      <w:szCs w:val="24"/>
    </w:rPr>
  </w:style>
  <w:style w:type="character" w:customStyle="1" w:styleId="68">
    <w:name w:val="标题 1 字符"/>
    <w:link w:val="4"/>
    <w:qFormat/>
    <w:uiPriority w:val="0"/>
    <w:rPr>
      <w:rFonts w:eastAsia="宋体"/>
      <w:b/>
      <w:bCs/>
      <w:kern w:val="44"/>
      <w:sz w:val="44"/>
      <w:szCs w:val="44"/>
      <w:lang w:val="en-US" w:eastAsia="zh-CN" w:bidi="ar-SA"/>
    </w:rPr>
  </w:style>
  <w:style w:type="character" w:customStyle="1" w:styleId="69">
    <w:name w:val="标题 2 字符"/>
    <w:link w:val="5"/>
    <w:qFormat/>
    <w:uiPriority w:val="0"/>
    <w:rPr>
      <w:rFonts w:ascii="Arial" w:hAnsi="Arial" w:eastAsia="黑体"/>
      <w:b/>
      <w:bCs/>
      <w:kern w:val="2"/>
      <w:sz w:val="32"/>
      <w:szCs w:val="32"/>
    </w:rPr>
  </w:style>
  <w:style w:type="character" w:customStyle="1" w:styleId="70">
    <w:name w:val="标题 3 字符"/>
    <w:link w:val="6"/>
    <w:qFormat/>
    <w:uiPriority w:val="0"/>
    <w:rPr>
      <w:rFonts w:eastAsia="宋体"/>
      <w:b/>
      <w:bCs/>
      <w:kern w:val="2"/>
      <w:sz w:val="32"/>
      <w:szCs w:val="32"/>
      <w:lang w:val="en-US" w:eastAsia="zh-CN" w:bidi="ar-SA"/>
    </w:rPr>
  </w:style>
  <w:style w:type="character" w:customStyle="1" w:styleId="71">
    <w:name w:val="标题 4 字符"/>
    <w:link w:val="7"/>
    <w:qFormat/>
    <w:uiPriority w:val="0"/>
    <w:rPr>
      <w:rFonts w:ascii="Arial" w:hAnsi="Arial"/>
      <w:b/>
      <w:bCs/>
      <w:kern w:val="2"/>
      <w:sz w:val="21"/>
      <w:szCs w:val="28"/>
    </w:rPr>
  </w:style>
  <w:style w:type="character" w:customStyle="1" w:styleId="72">
    <w:name w:val="标题 5 字符"/>
    <w:link w:val="8"/>
    <w:qFormat/>
    <w:uiPriority w:val="0"/>
    <w:rPr>
      <w:rFonts w:eastAsia="仿宋_GB2312"/>
      <w:b/>
      <w:sz w:val="28"/>
    </w:rPr>
  </w:style>
  <w:style w:type="character" w:customStyle="1" w:styleId="73">
    <w:name w:val="标题 6 字符"/>
    <w:link w:val="9"/>
    <w:qFormat/>
    <w:uiPriority w:val="0"/>
    <w:rPr>
      <w:rFonts w:ascii="Arial" w:hAnsi="Arial" w:eastAsia="黑体"/>
      <w:b/>
      <w:bCs/>
      <w:sz w:val="24"/>
      <w:szCs w:val="24"/>
    </w:rPr>
  </w:style>
  <w:style w:type="character" w:customStyle="1" w:styleId="74">
    <w:name w:val="标题 7 字符"/>
    <w:link w:val="10"/>
    <w:qFormat/>
    <w:uiPriority w:val="0"/>
    <w:rPr>
      <w:b/>
      <w:bCs/>
      <w:sz w:val="24"/>
      <w:szCs w:val="24"/>
    </w:rPr>
  </w:style>
  <w:style w:type="character" w:customStyle="1" w:styleId="75">
    <w:name w:val="标题 8 字符"/>
    <w:link w:val="11"/>
    <w:qFormat/>
    <w:uiPriority w:val="0"/>
    <w:rPr>
      <w:rFonts w:ascii="Arial" w:hAnsi="Arial" w:eastAsia="黑体"/>
      <w:sz w:val="24"/>
      <w:szCs w:val="24"/>
    </w:rPr>
  </w:style>
  <w:style w:type="character" w:customStyle="1" w:styleId="76">
    <w:name w:val="标题 9 字符"/>
    <w:link w:val="12"/>
    <w:qFormat/>
    <w:uiPriority w:val="0"/>
    <w:rPr>
      <w:rFonts w:ascii="Arial" w:hAnsi="Arial" w:eastAsia="黑体"/>
      <w:kern w:val="2"/>
      <w:sz w:val="21"/>
      <w:szCs w:val="21"/>
    </w:rPr>
  </w:style>
  <w:style w:type="character" w:customStyle="1" w:styleId="77">
    <w:name w:val="正文缩进 字符"/>
    <w:link w:val="14"/>
    <w:qFormat/>
    <w:uiPriority w:val="0"/>
    <w:rPr>
      <w:rFonts w:ascii="宋体" w:hAnsi="宋体"/>
      <w:kern w:val="2"/>
      <w:sz w:val="24"/>
    </w:rPr>
  </w:style>
  <w:style w:type="character" w:customStyle="1" w:styleId="78">
    <w:name w:val="文档结构图 字符"/>
    <w:link w:val="15"/>
    <w:qFormat/>
    <w:uiPriority w:val="0"/>
    <w:rPr>
      <w:kern w:val="2"/>
      <w:sz w:val="21"/>
      <w:szCs w:val="24"/>
      <w:shd w:val="clear" w:color="auto" w:fill="000080"/>
    </w:rPr>
  </w:style>
  <w:style w:type="character" w:customStyle="1" w:styleId="79">
    <w:name w:val="批注文字 字符"/>
    <w:link w:val="16"/>
    <w:qFormat/>
    <w:uiPriority w:val="0"/>
    <w:rPr>
      <w:kern w:val="2"/>
      <w:sz w:val="21"/>
      <w:szCs w:val="24"/>
    </w:rPr>
  </w:style>
  <w:style w:type="character" w:customStyle="1" w:styleId="80">
    <w:name w:val="正文文本 3 字符"/>
    <w:link w:val="17"/>
    <w:qFormat/>
    <w:uiPriority w:val="0"/>
    <w:rPr>
      <w:kern w:val="2"/>
      <w:sz w:val="16"/>
      <w:szCs w:val="16"/>
    </w:rPr>
  </w:style>
  <w:style w:type="character" w:customStyle="1" w:styleId="81">
    <w:name w:val="纯文本 字符"/>
    <w:link w:val="24"/>
    <w:qFormat/>
    <w:uiPriority w:val="0"/>
    <w:rPr>
      <w:rFonts w:ascii="宋体" w:hAnsi="Courier New" w:eastAsia="宋体"/>
      <w:kern w:val="2"/>
      <w:sz w:val="24"/>
      <w:lang w:val="en-US" w:eastAsia="zh-CN" w:bidi="ar-SA"/>
    </w:rPr>
  </w:style>
  <w:style w:type="character" w:customStyle="1" w:styleId="82">
    <w:name w:val="日期 字符"/>
    <w:link w:val="26"/>
    <w:qFormat/>
    <w:uiPriority w:val="0"/>
    <w:rPr>
      <w:color w:val="000000"/>
      <w:kern w:val="2"/>
      <w:position w:val="-28"/>
      <w:sz w:val="24"/>
      <w:szCs w:val="24"/>
    </w:rPr>
  </w:style>
  <w:style w:type="character" w:customStyle="1" w:styleId="83">
    <w:name w:val="批注框文本 字符"/>
    <w:link w:val="28"/>
    <w:qFormat/>
    <w:uiPriority w:val="0"/>
    <w:rPr>
      <w:rFonts w:eastAsia="宋体"/>
      <w:kern w:val="2"/>
      <w:sz w:val="18"/>
      <w:szCs w:val="18"/>
      <w:lang w:val="en-US" w:eastAsia="zh-CN" w:bidi="ar-SA"/>
    </w:rPr>
  </w:style>
  <w:style w:type="character" w:customStyle="1" w:styleId="84">
    <w:name w:val="页脚 字符"/>
    <w:link w:val="29"/>
    <w:qFormat/>
    <w:uiPriority w:val="0"/>
    <w:rPr>
      <w:rFonts w:eastAsia="宋体"/>
      <w:kern w:val="2"/>
      <w:sz w:val="18"/>
      <w:szCs w:val="18"/>
      <w:lang w:val="en-US" w:eastAsia="zh-CN" w:bidi="ar-SA"/>
    </w:rPr>
  </w:style>
  <w:style w:type="character" w:customStyle="1" w:styleId="85">
    <w:name w:val="页眉 字符"/>
    <w:link w:val="30"/>
    <w:qFormat/>
    <w:uiPriority w:val="0"/>
    <w:rPr>
      <w:rFonts w:eastAsia="宋体"/>
      <w:kern w:val="2"/>
      <w:sz w:val="18"/>
      <w:szCs w:val="18"/>
      <w:lang w:val="en-US" w:eastAsia="zh-CN" w:bidi="ar-SA"/>
    </w:rPr>
  </w:style>
  <w:style w:type="character" w:customStyle="1" w:styleId="86">
    <w:name w:val="副标题 字符"/>
    <w:link w:val="33"/>
    <w:qFormat/>
    <w:uiPriority w:val="0"/>
    <w:rPr>
      <w:rFonts w:ascii="Cambria" w:hAnsi="Cambria"/>
      <w:b/>
      <w:bCs/>
      <w:kern w:val="28"/>
      <w:sz w:val="32"/>
      <w:szCs w:val="32"/>
    </w:rPr>
  </w:style>
  <w:style w:type="character" w:customStyle="1" w:styleId="87">
    <w:name w:val="HTML 预设格式 字符"/>
    <w:link w:val="42"/>
    <w:qFormat/>
    <w:uiPriority w:val="0"/>
    <w:rPr>
      <w:rFonts w:ascii="Arial" w:hAnsi="Arial" w:cs="Arial"/>
      <w:sz w:val="11"/>
      <w:szCs w:val="11"/>
    </w:rPr>
  </w:style>
  <w:style w:type="character" w:customStyle="1" w:styleId="88">
    <w:name w:val="标题 字符"/>
    <w:link w:val="45"/>
    <w:qFormat/>
    <w:uiPriority w:val="0"/>
    <w:rPr>
      <w:rFonts w:ascii="Cambria" w:hAnsi="Cambria" w:eastAsia="宋体"/>
      <w:b/>
      <w:bCs/>
      <w:kern w:val="2"/>
      <w:sz w:val="32"/>
      <w:szCs w:val="32"/>
      <w:lang w:val="en-US" w:eastAsia="zh-CN" w:bidi="ar-SA"/>
    </w:rPr>
  </w:style>
  <w:style w:type="character" w:customStyle="1" w:styleId="89">
    <w:name w:val="批注主题 字符"/>
    <w:link w:val="46"/>
    <w:qFormat/>
    <w:uiPriority w:val="0"/>
    <w:rPr>
      <w:rFonts w:ascii="宋体" w:hAnsi="宋体"/>
      <w:b/>
      <w:bCs/>
      <w:kern w:val="2"/>
      <w:sz w:val="32"/>
      <w:szCs w:val="32"/>
    </w:rPr>
  </w:style>
  <w:style w:type="character" w:customStyle="1" w:styleId="90">
    <w:name w:val="正文文本首行缩进 字符"/>
    <w:link w:val="47"/>
    <w:qFormat/>
    <w:uiPriority w:val="0"/>
  </w:style>
  <w:style w:type="character" w:customStyle="1" w:styleId="91">
    <w:name w:val="datetime14"/>
    <w:qFormat/>
    <w:uiPriority w:val="0"/>
    <w:rPr>
      <w:rFonts w:ascii="Times New Roman" w:hAnsi="Times New Roman"/>
      <w:color w:val="545454"/>
      <w:szCs w:val="24"/>
    </w:rPr>
  </w:style>
  <w:style w:type="character" w:customStyle="1" w:styleId="92">
    <w:name w:val="正文文本 Char1"/>
    <w:semiHidden/>
    <w:qFormat/>
    <w:uiPriority w:val="99"/>
    <w:rPr>
      <w:kern w:val="2"/>
      <w:sz w:val="21"/>
      <w:szCs w:val="24"/>
    </w:rPr>
  </w:style>
  <w:style w:type="character" w:customStyle="1" w:styleId="93">
    <w:name w:val="font112"/>
    <w:qFormat/>
    <w:uiPriority w:val="0"/>
    <w:rPr>
      <w:rFonts w:hint="eastAsia" w:ascii="仿宋_GB2312" w:eastAsia="仿宋_GB2312" w:cs="仿宋_GB2312"/>
      <w:b/>
      <w:color w:val="000000"/>
      <w:sz w:val="24"/>
      <w:szCs w:val="24"/>
      <w:u w:val="none"/>
    </w:rPr>
  </w:style>
  <w:style w:type="character" w:customStyle="1" w:styleId="94">
    <w:name w:val="datetime19"/>
    <w:qFormat/>
    <w:uiPriority w:val="0"/>
    <w:rPr>
      <w:szCs w:val="24"/>
    </w:rPr>
  </w:style>
  <w:style w:type="character" w:customStyle="1" w:styleId="95">
    <w:name w:val="font161"/>
    <w:qFormat/>
    <w:uiPriority w:val="0"/>
    <w:rPr>
      <w:rFonts w:ascii="Arial" w:hAnsi="Arial" w:eastAsia="黑体"/>
      <w:b/>
      <w:bCs/>
      <w:kern w:val="2"/>
      <w:sz w:val="32"/>
      <w:szCs w:val="32"/>
      <w:lang w:val="en-US" w:eastAsia="zh-CN" w:bidi="ar-SA"/>
    </w:rPr>
  </w:style>
  <w:style w:type="character" w:customStyle="1" w:styleId="96">
    <w:name w:val="样式 标书正文 + 下划线 Char"/>
    <w:qFormat/>
    <w:uiPriority w:val="0"/>
    <w:rPr>
      <w:rFonts w:ascii="Times New Roman" w:hAnsi="Times New Roman" w:eastAsia="楷体_GB2312"/>
      <w:kern w:val="2"/>
      <w:sz w:val="28"/>
      <w:szCs w:val="28"/>
      <w:u w:val="single"/>
      <w:lang w:val="en-US" w:eastAsia="zh-CN" w:bidi="ar-SA"/>
    </w:rPr>
  </w:style>
  <w:style w:type="character" w:customStyle="1" w:styleId="97">
    <w:name w:val="datetime26"/>
    <w:qFormat/>
    <w:uiPriority w:val="0"/>
    <w:rPr>
      <w:rFonts w:ascii="Times New Roman" w:hAnsi="Times New Roman"/>
      <w:color w:val="545454"/>
      <w:szCs w:val="24"/>
    </w:rPr>
  </w:style>
  <w:style w:type="character" w:customStyle="1" w:styleId="98">
    <w:name w:val="file"/>
    <w:qFormat/>
    <w:uiPriority w:val="0"/>
    <w:rPr>
      <w:szCs w:val="24"/>
    </w:rPr>
  </w:style>
  <w:style w:type="character" w:customStyle="1" w:styleId="99">
    <w:name w:val="text"/>
    <w:qFormat/>
    <w:uiPriority w:val="0"/>
    <w:rPr>
      <w:rFonts w:ascii="Times New Roman" w:hAnsi="Times New Roman"/>
      <w:color w:val="888888"/>
      <w:sz w:val="18"/>
      <w:szCs w:val="18"/>
    </w:rPr>
  </w:style>
  <w:style w:type="character" w:customStyle="1" w:styleId="100">
    <w:name w:val="datetime24"/>
    <w:qFormat/>
    <w:uiPriority w:val="0"/>
    <w:rPr>
      <w:rFonts w:ascii="Times New Roman" w:hAnsi="Times New Roman"/>
      <w:sz w:val="21"/>
      <w:szCs w:val="21"/>
    </w:rPr>
  </w:style>
  <w:style w:type="character" w:customStyle="1" w:styleId="101">
    <w:name w:val="标题 2 Char1"/>
    <w:qFormat/>
    <w:uiPriority w:val="0"/>
    <w:rPr>
      <w:rFonts w:ascii="Arial" w:hAnsi="Arial"/>
      <w:b/>
      <w:sz w:val="32"/>
    </w:rPr>
  </w:style>
  <w:style w:type="character" w:customStyle="1" w:styleId="102">
    <w:name w:val="bds_nopic2"/>
    <w:qFormat/>
    <w:uiPriority w:val="0"/>
    <w:rPr>
      <w:szCs w:val="24"/>
    </w:rPr>
  </w:style>
  <w:style w:type="character" w:customStyle="1" w:styleId="103">
    <w:name w:val="bds_more2"/>
    <w:qFormat/>
    <w:uiPriority w:val="0"/>
    <w:rPr>
      <w:rFonts w:hint="eastAsia" w:ascii="宋体" w:hAnsi="宋体" w:eastAsia="宋体" w:cs="宋体"/>
      <w:szCs w:val="24"/>
    </w:rPr>
  </w:style>
  <w:style w:type="character" w:customStyle="1" w:styleId="104">
    <w:name w:val="datetime7"/>
    <w:qFormat/>
    <w:uiPriority w:val="0"/>
    <w:rPr>
      <w:rFonts w:ascii="Times New Roman" w:hAnsi="Times New Roman"/>
      <w:color w:val="545454"/>
      <w:szCs w:val="24"/>
    </w:rPr>
  </w:style>
  <w:style w:type="character" w:customStyle="1" w:styleId="105">
    <w:name w:val="datetime25"/>
    <w:qFormat/>
    <w:uiPriority w:val="0"/>
    <w:rPr>
      <w:rFonts w:ascii="Times New Roman" w:hAnsi="Times New Roman"/>
      <w:color w:val="333333"/>
      <w:sz w:val="18"/>
      <w:szCs w:val="18"/>
    </w:rPr>
  </w:style>
  <w:style w:type="character" w:customStyle="1" w:styleId="106">
    <w:name w:val="批注主题 Char1"/>
    <w:qFormat/>
    <w:uiPriority w:val="0"/>
    <w:rPr>
      <w:rFonts w:ascii="Times New Roman" w:hAnsi="Times New Roman"/>
      <w:b/>
      <w:bCs/>
      <w:kern w:val="2"/>
      <w:sz w:val="21"/>
      <w:szCs w:val="22"/>
    </w:rPr>
  </w:style>
  <w:style w:type="character" w:customStyle="1" w:styleId="107">
    <w:name w:val="datetime30"/>
    <w:qFormat/>
    <w:uiPriority w:val="0"/>
    <w:rPr>
      <w:rFonts w:ascii="Times New Roman" w:hAnsi="Times New Roman"/>
      <w:color w:val="545454"/>
      <w:szCs w:val="24"/>
    </w:rPr>
  </w:style>
  <w:style w:type="character" w:customStyle="1" w:styleId="108">
    <w:name w:val="datetime13"/>
    <w:qFormat/>
    <w:uiPriority w:val="0"/>
    <w:rPr>
      <w:rFonts w:ascii="Times New Roman" w:hAnsi="Times New Roman"/>
      <w:color w:val="545454"/>
      <w:szCs w:val="24"/>
    </w:rPr>
  </w:style>
  <w:style w:type="character" w:customStyle="1" w:styleId="109">
    <w:name w:val="标题 3 Char"/>
    <w:qFormat/>
    <w:uiPriority w:val="0"/>
    <w:rPr>
      <w:rFonts w:ascii="宋体" w:hAnsi="宋体" w:eastAsia="宋体"/>
      <w:b/>
      <w:snapToGrid w:val="0"/>
      <w:sz w:val="28"/>
      <w:szCs w:val="28"/>
      <w:lang w:val="en-US" w:eastAsia="zh-CN" w:bidi="ar-SA"/>
    </w:rPr>
  </w:style>
  <w:style w:type="character" w:customStyle="1" w:styleId="110">
    <w:name w:val="datetime8"/>
    <w:qFormat/>
    <w:uiPriority w:val="0"/>
    <w:rPr>
      <w:szCs w:val="24"/>
    </w:rPr>
  </w:style>
  <w:style w:type="character" w:customStyle="1" w:styleId="111">
    <w:name w:val="z-窗体顶端 字符"/>
    <w:link w:val="112"/>
    <w:qFormat/>
    <w:uiPriority w:val="0"/>
    <w:rPr>
      <w:rFonts w:ascii="Arial"/>
      <w:vanish/>
      <w:kern w:val="2"/>
      <w:sz w:val="16"/>
      <w:szCs w:val="22"/>
    </w:rPr>
  </w:style>
  <w:style w:type="paragraph" w:customStyle="1" w:styleId="112">
    <w:name w:val="_Style 110"/>
    <w:basedOn w:val="1"/>
    <w:next w:val="1"/>
    <w:link w:val="111"/>
    <w:qFormat/>
    <w:uiPriority w:val="0"/>
    <w:pPr>
      <w:pBdr>
        <w:bottom w:val="single" w:color="auto" w:sz="6" w:space="1"/>
      </w:pBdr>
      <w:jc w:val="center"/>
    </w:pPr>
    <w:rPr>
      <w:rFonts w:ascii="Arial"/>
      <w:vanish/>
      <w:sz w:val="16"/>
      <w:szCs w:val="22"/>
    </w:rPr>
  </w:style>
  <w:style w:type="character" w:customStyle="1" w:styleId="113">
    <w:name w:val=" Char Char5"/>
    <w:qFormat/>
    <w:uiPriority w:val="0"/>
    <w:rPr>
      <w:b/>
      <w:bCs/>
      <w:kern w:val="44"/>
      <w:sz w:val="44"/>
      <w:szCs w:val="44"/>
    </w:rPr>
  </w:style>
  <w:style w:type="character" w:customStyle="1" w:styleId="114">
    <w:name w:val="datetime"/>
    <w:qFormat/>
    <w:uiPriority w:val="0"/>
    <w:rPr>
      <w:rFonts w:ascii="Times New Roman" w:hAnsi="Times New Roman"/>
      <w:color w:val="545454"/>
      <w:szCs w:val="24"/>
    </w:rPr>
  </w:style>
  <w:style w:type="character" w:customStyle="1" w:styleId="115">
    <w:name w:val="datetime22"/>
    <w:qFormat/>
    <w:uiPriority w:val="0"/>
    <w:rPr>
      <w:rFonts w:ascii="Times New Roman" w:hAnsi="Times New Roman"/>
      <w:sz w:val="21"/>
      <w:szCs w:val="21"/>
    </w:rPr>
  </w:style>
  <w:style w:type="character" w:customStyle="1" w:styleId="116">
    <w:name w:val="font111"/>
    <w:qFormat/>
    <w:uiPriority w:val="0"/>
    <w:rPr>
      <w:rFonts w:hint="default" w:ascii="Times New Roman" w:hAnsi="Times New Roman" w:cs="Times New Roman"/>
      <w:color w:val="000000"/>
      <w:sz w:val="21"/>
      <w:szCs w:val="21"/>
      <w:u w:val="none"/>
    </w:rPr>
  </w:style>
  <w:style w:type="character" w:customStyle="1" w:styleId="117">
    <w:name w:val="font101"/>
    <w:qFormat/>
    <w:uiPriority w:val="0"/>
    <w:rPr>
      <w:rFonts w:hint="default" w:ascii="Times New Roman" w:hAnsi="Times New Roman" w:cs="Times New Roman"/>
      <w:color w:val="000000"/>
      <w:sz w:val="21"/>
      <w:szCs w:val="21"/>
      <w:u w:val="none"/>
    </w:rPr>
  </w:style>
  <w:style w:type="character" w:customStyle="1" w:styleId="118">
    <w:name w:val="font01"/>
    <w:basedOn w:val="51"/>
    <w:qFormat/>
    <w:uiPriority w:val="0"/>
    <w:rPr>
      <w:rFonts w:hint="eastAsia" w:ascii="仿宋_GB2312" w:eastAsia="仿宋_GB2312" w:cs="仿宋_GB2312"/>
      <w:color w:val="000000"/>
      <w:sz w:val="24"/>
      <w:szCs w:val="24"/>
      <w:u w:val="none"/>
    </w:rPr>
  </w:style>
  <w:style w:type="character" w:customStyle="1" w:styleId="119">
    <w:name w:val="font61"/>
    <w:basedOn w:val="51"/>
    <w:qFormat/>
    <w:uiPriority w:val="0"/>
    <w:rPr>
      <w:rFonts w:hint="default" w:ascii="Times New Roman" w:hAnsi="Times New Roman" w:cs="Times New Roman"/>
      <w:color w:val="000000"/>
      <w:sz w:val="22"/>
      <w:szCs w:val="22"/>
      <w:u w:val="none"/>
      <w:vertAlign w:val="superscript"/>
    </w:rPr>
  </w:style>
  <w:style w:type="character" w:customStyle="1" w:styleId="120">
    <w:name w:val="currentfile"/>
    <w:qFormat/>
    <w:uiPriority w:val="0"/>
    <w:rPr>
      <w:szCs w:val="24"/>
    </w:rPr>
  </w:style>
  <w:style w:type="character" w:customStyle="1" w:styleId="121">
    <w:name w:val="bds_more"/>
    <w:qFormat/>
    <w:uiPriority w:val="0"/>
    <w:rPr>
      <w:szCs w:val="24"/>
    </w:rPr>
  </w:style>
  <w:style w:type="character" w:customStyle="1" w:styleId="122">
    <w:name w:val="正文文字缩进 3 Char"/>
    <w:qFormat/>
    <w:uiPriority w:val="0"/>
    <w:rPr>
      <w:rFonts w:eastAsia="仿宋_GB2312"/>
      <w:kern w:val="2"/>
      <w:sz w:val="28"/>
      <w:szCs w:val="24"/>
      <w:lang w:val="en-US" w:eastAsia="zh-CN" w:bidi="ar-SA"/>
    </w:rPr>
  </w:style>
  <w:style w:type="character" w:customStyle="1" w:styleId="123">
    <w:name w:val="样式1 Char"/>
    <w:qFormat/>
    <w:uiPriority w:val="0"/>
    <w:rPr>
      <w:rFonts w:eastAsia="黑体"/>
      <w:kern w:val="2"/>
      <w:sz w:val="36"/>
      <w:szCs w:val="36"/>
      <w:lang w:val="en-US" w:eastAsia="zh-CN" w:bidi="ar-SA"/>
    </w:rPr>
  </w:style>
  <w:style w:type="character" w:customStyle="1" w:styleId="124">
    <w:name w:val="datetime27"/>
    <w:qFormat/>
    <w:uiPriority w:val="0"/>
    <w:rPr>
      <w:rFonts w:ascii="Times New Roman" w:hAnsi="Times New Roman"/>
      <w:color w:val="545454"/>
      <w:sz w:val="21"/>
      <w:szCs w:val="21"/>
    </w:rPr>
  </w:style>
  <w:style w:type="character" w:customStyle="1" w:styleId="125">
    <w:name w:val="datetime6"/>
    <w:qFormat/>
    <w:uiPriority w:val="0"/>
    <w:rPr>
      <w:rFonts w:ascii="Times New Roman" w:hAnsi="Times New Roman"/>
      <w:color w:val="545454"/>
      <w:szCs w:val="24"/>
    </w:rPr>
  </w:style>
  <w:style w:type="character" w:customStyle="1" w:styleId="126">
    <w:name w:val="datetime16"/>
    <w:qFormat/>
    <w:uiPriority w:val="0"/>
    <w:rPr>
      <w:rFonts w:ascii="Times New Roman" w:hAnsi="Times New Roman"/>
      <w:color w:val="545454"/>
      <w:szCs w:val="24"/>
    </w:rPr>
  </w:style>
  <w:style w:type="character" w:customStyle="1" w:styleId="127">
    <w:name w:val="datetime23"/>
    <w:qFormat/>
    <w:uiPriority w:val="0"/>
    <w:rPr>
      <w:szCs w:val="24"/>
    </w:rPr>
  </w:style>
  <w:style w:type="character" w:customStyle="1" w:styleId="128">
    <w:name w:val="标题 1 Char1"/>
    <w:qFormat/>
    <w:uiPriority w:val="0"/>
    <w:rPr>
      <w:rFonts w:ascii="宋体" w:hAnsi="宋体" w:eastAsia="宋体"/>
      <w:b/>
      <w:bCs/>
      <w:kern w:val="44"/>
      <w:sz w:val="44"/>
      <w:szCs w:val="44"/>
      <w:lang w:val="en-US" w:eastAsia="zh-CN" w:bidi="ar-SA"/>
    </w:rPr>
  </w:style>
  <w:style w:type="character" w:customStyle="1" w:styleId="129">
    <w:name w:val="font31"/>
    <w:basedOn w:val="51"/>
    <w:qFormat/>
    <w:uiPriority w:val="0"/>
    <w:rPr>
      <w:rFonts w:hint="default" w:ascii="Times New Roman" w:hAnsi="Times New Roman" w:cs="Times New Roman"/>
      <w:color w:val="000000"/>
      <w:sz w:val="22"/>
      <w:szCs w:val="22"/>
      <w:u w:val="none"/>
    </w:rPr>
  </w:style>
  <w:style w:type="character" w:customStyle="1" w:styleId="130">
    <w:name w:val="datetime5"/>
    <w:qFormat/>
    <w:uiPriority w:val="0"/>
    <w:rPr>
      <w:rFonts w:ascii="Times New Roman" w:hAnsi="Times New Roman"/>
      <w:color w:val="333333"/>
      <w:sz w:val="18"/>
      <w:szCs w:val="18"/>
    </w:rPr>
  </w:style>
  <w:style w:type="character" w:customStyle="1" w:styleId="131">
    <w:name w:val="font21"/>
    <w:basedOn w:val="51"/>
    <w:qFormat/>
    <w:uiPriority w:val="0"/>
    <w:rPr>
      <w:rFonts w:hint="eastAsia" w:ascii="宋体" w:hAnsi="宋体" w:eastAsia="宋体" w:cs="宋体"/>
      <w:b/>
      <w:color w:val="000000"/>
      <w:sz w:val="22"/>
      <w:szCs w:val="22"/>
      <w:u w:val="none"/>
    </w:rPr>
  </w:style>
  <w:style w:type="character" w:customStyle="1" w:styleId="132">
    <w:name w:val="标题 4 Char1"/>
    <w:qFormat/>
    <w:uiPriority w:val="0"/>
    <w:rPr>
      <w:rFonts w:ascii="Cambria" w:hAnsi="Cambria" w:eastAsia="宋体"/>
      <w:b/>
      <w:bCs/>
      <w:kern w:val="2"/>
      <w:sz w:val="28"/>
      <w:szCs w:val="28"/>
      <w:lang w:val="en-US" w:eastAsia="zh-CN" w:bidi="ar-SA"/>
    </w:rPr>
  </w:style>
  <w:style w:type="character" w:customStyle="1" w:styleId="133">
    <w:name w:val="datetime11"/>
    <w:qFormat/>
    <w:uiPriority w:val="0"/>
    <w:rPr>
      <w:szCs w:val="24"/>
    </w:rPr>
  </w:style>
  <w:style w:type="character" w:customStyle="1" w:styleId="134">
    <w:name w:val="datetime3"/>
    <w:qFormat/>
    <w:uiPriority w:val="0"/>
    <w:rPr>
      <w:szCs w:val="24"/>
    </w:rPr>
  </w:style>
  <w:style w:type="character" w:customStyle="1" w:styleId="135">
    <w:name w:val="datetime29"/>
    <w:qFormat/>
    <w:uiPriority w:val="0"/>
    <w:rPr>
      <w:rFonts w:ascii="Times New Roman" w:hAnsi="Times New Roman"/>
      <w:color w:val="545454"/>
      <w:szCs w:val="24"/>
    </w:rPr>
  </w:style>
  <w:style w:type="character" w:customStyle="1" w:styleId="136">
    <w:name w:val="bds_more1"/>
    <w:qFormat/>
    <w:uiPriority w:val="0"/>
    <w:rPr>
      <w:rFonts w:ascii="宋体 ! important" w:hAnsi="宋体 ! important" w:eastAsia="宋体 ! important" w:cs="宋体 ! important"/>
      <w:color w:val="454545"/>
      <w:sz w:val="18"/>
      <w:szCs w:val="18"/>
    </w:rPr>
  </w:style>
  <w:style w:type="character" w:customStyle="1" w:styleId="137">
    <w:name w:val="folder1"/>
    <w:qFormat/>
    <w:uiPriority w:val="0"/>
    <w:rPr>
      <w:szCs w:val="24"/>
    </w:rPr>
  </w:style>
  <w:style w:type="character" w:customStyle="1" w:styleId="138">
    <w:name w:val="datetime18"/>
    <w:qFormat/>
    <w:uiPriority w:val="0"/>
    <w:rPr>
      <w:szCs w:val="24"/>
    </w:rPr>
  </w:style>
  <w:style w:type="character" w:customStyle="1" w:styleId="139">
    <w:name w:val="font91"/>
    <w:qFormat/>
    <w:uiPriority w:val="0"/>
    <w:rPr>
      <w:rFonts w:hint="default" w:ascii="Times New Roman" w:hAnsi="Times New Roman" w:cs="Times New Roman"/>
      <w:b/>
      <w:color w:val="000000"/>
      <w:sz w:val="22"/>
      <w:szCs w:val="22"/>
      <w:u w:val="none"/>
    </w:rPr>
  </w:style>
  <w:style w:type="character" w:customStyle="1" w:styleId="140">
    <w:name w:val="font51"/>
    <w:qFormat/>
    <w:uiPriority w:val="0"/>
    <w:rPr>
      <w:rFonts w:hint="eastAsia" w:ascii="宋体" w:hAnsi="宋体" w:eastAsia="宋体" w:cs="宋体"/>
      <w:color w:val="000000"/>
      <w:sz w:val="21"/>
      <w:szCs w:val="21"/>
      <w:u w:val="none"/>
    </w:rPr>
  </w:style>
  <w:style w:type="character" w:customStyle="1" w:styleId="141">
    <w:name w:val="datetime1"/>
    <w:qFormat/>
    <w:uiPriority w:val="0"/>
    <w:rPr>
      <w:szCs w:val="24"/>
    </w:rPr>
  </w:style>
  <w:style w:type="character" w:customStyle="1" w:styleId="142">
    <w:name w:val="p21"/>
    <w:qFormat/>
    <w:uiPriority w:val="0"/>
    <w:rPr>
      <w:sz w:val="9"/>
      <w:szCs w:val="9"/>
    </w:rPr>
  </w:style>
  <w:style w:type="character" w:customStyle="1" w:styleId="143">
    <w:name w:val="sels"/>
    <w:qFormat/>
    <w:uiPriority w:val="0"/>
    <w:rPr>
      <w:rFonts w:ascii="Times New Roman" w:hAnsi="Times New Roman"/>
      <w:szCs w:val="24"/>
      <w:bdr w:val="single" w:color="DAB76A" w:sz="6" w:space="0"/>
      <w:shd w:val="clear" w:color="auto" w:fill="FFFFFF"/>
    </w:rPr>
  </w:style>
  <w:style w:type="character" w:customStyle="1" w:styleId="144">
    <w:name w:val="toumingceng"/>
    <w:qFormat/>
    <w:uiPriority w:val="0"/>
    <w:rPr>
      <w:rFonts w:ascii="Times New Roman" w:hAnsi="Times New Roman"/>
      <w:szCs w:val="24"/>
      <w:shd w:val="clear" w:color="auto" w:fill="000000"/>
    </w:rPr>
  </w:style>
  <w:style w:type="character" w:customStyle="1" w:styleId="145">
    <w:name w:val="副标题 Char1"/>
    <w:qFormat/>
    <w:uiPriority w:val="0"/>
    <w:rPr>
      <w:rFonts w:ascii="Cambria" w:hAnsi="Cambria" w:cs="Times New Roman"/>
      <w:b/>
      <w:bCs/>
      <w:kern w:val="28"/>
      <w:sz w:val="32"/>
      <w:szCs w:val="32"/>
    </w:rPr>
  </w:style>
  <w:style w:type="character" w:customStyle="1" w:styleId="146">
    <w:name w:val="datetime12"/>
    <w:qFormat/>
    <w:uiPriority w:val="0"/>
    <w:rPr>
      <w:rFonts w:ascii="Times New Roman" w:hAnsi="Times New Roman"/>
      <w:color w:val="545454"/>
      <w:szCs w:val="24"/>
    </w:rPr>
  </w:style>
  <w:style w:type="character" w:customStyle="1" w:styleId="147">
    <w:name w:val="datetime17"/>
    <w:qFormat/>
    <w:uiPriority w:val="0"/>
    <w:rPr>
      <w:szCs w:val="24"/>
    </w:rPr>
  </w:style>
  <w:style w:type="character" w:customStyle="1" w:styleId="148">
    <w:name w:val="font131"/>
    <w:qFormat/>
    <w:uiPriority w:val="0"/>
    <w:rPr>
      <w:rFonts w:hint="eastAsia" w:ascii="仿宋_GB2312" w:eastAsia="仿宋_GB2312" w:cs="仿宋_GB2312"/>
      <w:color w:val="000000"/>
      <w:sz w:val="24"/>
      <w:szCs w:val="24"/>
      <w:u w:val="none"/>
      <w:vertAlign w:val="superscript"/>
    </w:rPr>
  </w:style>
  <w:style w:type="character" w:customStyle="1" w:styleId="149">
    <w:name w:val="datetime28"/>
    <w:qFormat/>
    <w:uiPriority w:val="0"/>
    <w:rPr>
      <w:szCs w:val="24"/>
    </w:rPr>
  </w:style>
  <w:style w:type="character" w:customStyle="1" w:styleId="150">
    <w:name w:val="sel"/>
    <w:qFormat/>
    <w:uiPriority w:val="0"/>
    <w:rPr>
      <w:szCs w:val="24"/>
    </w:rPr>
  </w:style>
  <w:style w:type="character" w:customStyle="1" w:styleId="151">
    <w:name w:val="font5 Char"/>
    <w:link w:val="152"/>
    <w:qFormat/>
    <w:uiPriority w:val="0"/>
    <w:rPr>
      <w:rFonts w:ascii="宋体" w:hAnsi="宋体"/>
      <w:sz w:val="24"/>
      <w:szCs w:val="24"/>
    </w:rPr>
  </w:style>
  <w:style w:type="paragraph" w:customStyle="1" w:styleId="152">
    <w:name w:val="font5"/>
    <w:basedOn w:val="1"/>
    <w:link w:val="151"/>
    <w:qFormat/>
    <w:uiPriority w:val="0"/>
    <w:pPr>
      <w:widowControl/>
      <w:spacing w:before="100" w:beforeAutospacing="1" w:after="100" w:afterAutospacing="1"/>
      <w:jc w:val="left"/>
    </w:pPr>
    <w:rPr>
      <w:rFonts w:ascii="宋体" w:hAnsi="宋体"/>
      <w:kern w:val="0"/>
      <w:sz w:val="24"/>
    </w:rPr>
  </w:style>
  <w:style w:type="character" w:customStyle="1" w:styleId="153">
    <w:name w:val="样式4 Char"/>
    <w:qFormat/>
    <w:uiPriority w:val="0"/>
    <w:rPr>
      <w:rFonts w:ascii="仿宋_GB2312" w:hAnsi="Arial" w:eastAsia="黑体"/>
      <w:b/>
      <w:bCs/>
      <w:kern w:val="2"/>
      <w:sz w:val="28"/>
      <w:szCs w:val="28"/>
      <w:lang w:val="en-US" w:eastAsia="zh-CN" w:bidi="ar-SA"/>
    </w:rPr>
  </w:style>
  <w:style w:type="character" w:customStyle="1" w:styleId="154">
    <w:name w:val="bds_nopic"/>
    <w:qFormat/>
    <w:uiPriority w:val="0"/>
    <w:rPr>
      <w:szCs w:val="24"/>
    </w:rPr>
  </w:style>
  <w:style w:type="character" w:customStyle="1" w:styleId="155">
    <w:name w:val="bds_nopic1"/>
    <w:qFormat/>
    <w:uiPriority w:val="0"/>
    <w:rPr>
      <w:szCs w:val="24"/>
    </w:rPr>
  </w:style>
  <w:style w:type="character" w:customStyle="1" w:styleId="156">
    <w:name w:val="font151"/>
    <w:qFormat/>
    <w:uiPriority w:val="0"/>
    <w:rPr>
      <w:rFonts w:hint="eastAsia" w:ascii="仿宋_GB2312" w:eastAsia="仿宋_GB2312" w:cs="仿宋_GB2312"/>
      <w:b/>
      <w:color w:val="000000"/>
      <w:sz w:val="24"/>
      <w:szCs w:val="24"/>
      <w:u w:val="none"/>
    </w:rPr>
  </w:style>
  <w:style w:type="character" w:customStyle="1" w:styleId="157">
    <w:name w:val="font81"/>
    <w:qFormat/>
    <w:uiPriority w:val="0"/>
    <w:rPr>
      <w:rFonts w:hint="eastAsia" w:ascii="宋体" w:hAnsi="宋体" w:eastAsia="宋体" w:cs="宋体"/>
      <w:color w:val="000000"/>
      <w:sz w:val="22"/>
      <w:szCs w:val="22"/>
      <w:u w:val="none"/>
    </w:rPr>
  </w:style>
  <w:style w:type="character" w:customStyle="1" w:styleId="158">
    <w:name w:val="z-窗体底端 字符"/>
    <w:link w:val="159"/>
    <w:qFormat/>
    <w:uiPriority w:val="0"/>
    <w:rPr>
      <w:rFonts w:ascii="Arial"/>
      <w:vanish/>
      <w:kern w:val="2"/>
      <w:sz w:val="16"/>
      <w:szCs w:val="22"/>
    </w:rPr>
  </w:style>
  <w:style w:type="paragraph" w:customStyle="1" w:styleId="159">
    <w:name w:val="_Style 157"/>
    <w:basedOn w:val="1"/>
    <w:next w:val="1"/>
    <w:link w:val="158"/>
    <w:qFormat/>
    <w:uiPriority w:val="0"/>
    <w:pPr>
      <w:pBdr>
        <w:top w:val="single" w:color="auto" w:sz="6" w:space="1"/>
      </w:pBdr>
      <w:jc w:val="center"/>
    </w:pPr>
    <w:rPr>
      <w:rFonts w:ascii="Arial"/>
      <w:vanish/>
      <w:sz w:val="16"/>
      <w:szCs w:val="22"/>
    </w:rPr>
  </w:style>
  <w:style w:type="character" w:customStyle="1" w:styleId="160">
    <w:name w:val="datetime9"/>
    <w:qFormat/>
    <w:uiPriority w:val="0"/>
    <w:rPr>
      <w:szCs w:val="24"/>
    </w:rPr>
  </w:style>
  <w:style w:type="character" w:customStyle="1" w:styleId="161">
    <w:name w:val="样式 +中文正文"/>
    <w:qFormat/>
    <w:uiPriority w:val="0"/>
    <w:rPr>
      <w:rFonts w:ascii="宋体" w:hAnsi="宋体" w:eastAsia="宋体"/>
      <w:position w:val="-28"/>
    </w:rPr>
  </w:style>
  <w:style w:type="character" w:customStyle="1" w:styleId="162">
    <w:name w:val="font121"/>
    <w:qFormat/>
    <w:uiPriority w:val="0"/>
    <w:rPr>
      <w:rFonts w:hint="eastAsia" w:ascii="仿宋_GB2312" w:eastAsia="仿宋_GB2312" w:cs="仿宋_GB2312"/>
      <w:b/>
      <w:color w:val="000000"/>
      <w:sz w:val="24"/>
      <w:szCs w:val="24"/>
      <w:u w:val="none"/>
    </w:rPr>
  </w:style>
  <w:style w:type="character" w:customStyle="1" w:styleId="163">
    <w:name w:val="datetime20"/>
    <w:qFormat/>
    <w:uiPriority w:val="0"/>
    <w:rPr>
      <w:rFonts w:ascii="Times New Roman" w:hAnsi="Times New Roman"/>
      <w:sz w:val="21"/>
      <w:szCs w:val="21"/>
    </w:rPr>
  </w:style>
  <w:style w:type="character" w:customStyle="1" w:styleId="164">
    <w:name w:val="样式3 Char"/>
    <w:qFormat/>
    <w:uiPriority w:val="0"/>
    <w:rPr>
      <w:rFonts w:ascii="宋体" w:hAnsi="宋体" w:eastAsia="仿宋_GB2312"/>
      <w:b/>
      <w:bCs/>
      <w:kern w:val="2"/>
      <w:sz w:val="28"/>
      <w:szCs w:val="32"/>
      <w:lang w:val="en-US" w:eastAsia="zh-CN" w:bidi="ar-SA"/>
    </w:rPr>
  </w:style>
  <w:style w:type="character" w:customStyle="1" w:styleId="165">
    <w:name w:val="folder"/>
    <w:qFormat/>
    <w:uiPriority w:val="0"/>
    <w:rPr>
      <w:szCs w:val="24"/>
    </w:rPr>
  </w:style>
  <w:style w:type="character" w:customStyle="1" w:styleId="166">
    <w:name w:val="datetime4"/>
    <w:qFormat/>
    <w:uiPriority w:val="0"/>
    <w:rPr>
      <w:szCs w:val="24"/>
    </w:rPr>
  </w:style>
  <w:style w:type="character" w:customStyle="1" w:styleId="167">
    <w:name w:val="datetime10"/>
    <w:qFormat/>
    <w:uiPriority w:val="0"/>
    <w:rPr>
      <w:szCs w:val="24"/>
    </w:rPr>
  </w:style>
  <w:style w:type="character" w:customStyle="1" w:styleId="168">
    <w:name w:val="pic"/>
    <w:qFormat/>
    <w:uiPriority w:val="0"/>
    <w:rPr>
      <w:szCs w:val="24"/>
    </w:rPr>
  </w:style>
  <w:style w:type="character" w:customStyle="1" w:styleId="169">
    <w:name w:val="样式 正文文字缩进 3 + 紧缩量  0.5 磅 Char"/>
    <w:qFormat/>
    <w:uiPriority w:val="0"/>
    <w:rPr>
      <w:rFonts w:eastAsia="黑体"/>
      <w:spacing w:val="-10"/>
      <w:kern w:val="2"/>
      <w:sz w:val="32"/>
      <w:szCs w:val="24"/>
      <w:lang w:val="en-US" w:eastAsia="zh-CN" w:bidi="ar-SA"/>
    </w:rPr>
  </w:style>
  <w:style w:type="character" w:customStyle="1" w:styleId="170">
    <w:name w:val="font41"/>
    <w:qFormat/>
    <w:uiPriority w:val="0"/>
    <w:rPr>
      <w:rFonts w:hint="eastAsia" w:ascii="宋体" w:hAnsi="宋体" w:eastAsia="宋体" w:cs="宋体"/>
      <w:color w:val="000000"/>
      <w:sz w:val="21"/>
      <w:szCs w:val="21"/>
      <w:u w:val="none"/>
    </w:rPr>
  </w:style>
  <w:style w:type="character" w:customStyle="1" w:styleId="171">
    <w:name w:val="datetime21"/>
    <w:qFormat/>
    <w:uiPriority w:val="0"/>
    <w:rPr>
      <w:szCs w:val="24"/>
    </w:rPr>
  </w:style>
  <w:style w:type="character" w:customStyle="1" w:styleId="172">
    <w:name w:val="datetime15"/>
    <w:qFormat/>
    <w:uiPriority w:val="0"/>
    <w:rPr>
      <w:szCs w:val="24"/>
    </w:rPr>
  </w:style>
  <w:style w:type="character" w:customStyle="1" w:styleId="173">
    <w:name w:val="批注文字 Char1"/>
    <w:qFormat/>
    <w:uiPriority w:val="0"/>
    <w:rPr>
      <w:rFonts w:ascii="Times New Roman" w:hAnsi="Times New Roman"/>
      <w:kern w:val="2"/>
      <w:sz w:val="21"/>
      <w:szCs w:val="22"/>
    </w:rPr>
  </w:style>
  <w:style w:type="character" w:customStyle="1" w:styleId="174">
    <w:name w:val="font11"/>
    <w:qFormat/>
    <w:uiPriority w:val="0"/>
    <w:rPr>
      <w:rFonts w:hint="eastAsia" w:ascii="仿宋_GB2312" w:eastAsia="仿宋_GB2312" w:cs="仿宋_GB2312"/>
      <w:color w:val="000000"/>
      <w:sz w:val="24"/>
      <w:szCs w:val="24"/>
      <w:u w:val="none"/>
    </w:rPr>
  </w:style>
  <w:style w:type="character" w:customStyle="1" w:styleId="175">
    <w:name w:val="datetime2"/>
    <w:qFormat/>
    <w:uiPriority w:val="0"/>
    <w:rPr>
      <w:szCs w:val="24"/>
    </w:rPr>
  </w:style>
  <w:style w:type="character" w:customStyle="1" w:styleId="176">
    <w:name w:val="font141"/>
    <w:qFormat/>
    <w:uiPriority w:val="0"/>
    <w:rPr>
      <w:rFonts w:hint="eastAsia" w:ascii="仿宋_GB2312" w:eastAsia="仿宋_GB2312" w:cs="仿宋_GB2312"/>
      <w:color w:val="000000"/>
      <w:sz w:val="24"/>
      <w:szCs w:val="24"/>
      <w:u w:val="none"/>
      <w:vertAlign w:val="superscript"/>
    </w:rPr>
  </w:style>
  <w:style w:type="character" w:customStyle="1" w:styleId="177">
    <w:name w:val="font71"/>
    <w:qFormat/>
    <w:uiPriority w:val="0"/>
    <w:rPr>
      <w:rFonts w:hint="default" w:ascii="Times New Roman" w:hAnsi="Times New Roman" w:cs="Times New Roman"/>
      <w:color w:val="000000"/>
      <w:sz w:val="22"/>
      <w:szCs w:val="22"/>
      <w:u w:val="none"/>
      <w:vertAlign w:val="superscript"/>
    </w:rPr>
  </w:style>
  <w:style w:type="paragraph" w:customStyle="1" w:styleId="178">
    <w:name w:val="A0E349F008B644AAB6A282E0D042D17E"/>
    <w:qFormat/>
    <w:uiPriority w:val="0"/>
    <w:pPr>
      <w:spacing w:after="200" w:line="276" w:lineRule="auto"/>
    </w:pPr>
    <w:rPr>
      <w:rFonts w:ascii="Calibri" w:hAnsi="Calibri" w:eastAsia="宋体" w:cs="Times New Roman"/>
      <w:sz w:val="22"/>
      <w:szCs w:val="22"/>
      <w:lang w:val="en-US" w:eastAsia="zh-CN" w:bidi="ar-SA"/>
    </w:rPr>
  </w:style>
  <w:style w:type="paragraph" w:customStyle="1" w:styleId="179">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80">
    <w:name w:val="List Paragraph1"/>
    <w:basedOn w:val="1"/>
    <w:qFormat/>
    <w:uiPriority w:val="0"/>
    <w:pPr>
      <w:ind w:firstLine="420" w:firstLineChars="200"/>
    </w:pPr>
    <w:rPr>
      <w:rFonts w:ascii="Calibri" w:hAnsi="Calibri"/>
      <w:szCs w:val="21"/>
    </w:rPr>
  </w:style>
  <w:style w:type="paragraph" w:customStyle="1" w:styleId="181">
    <w:name w:val="xl72"/>
    <w:basedOn w:val="1"/>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Lines="0" w:beforeAutospacing="1" w:after="100" w:afterLines="0" w:afterAutospacing="1"/>
      <w:jc w:val="right"/>
      <w:textAlignment w:val="center"/>
    </w:pPr>
    <w:rPr>
      <w:rFonts w:ascii="宋体" w:hAnsi="宋体" w:cs="宋体"/>
      <w:color w:val="000000"/>
      <w:kern w:val="0"/>
      <w:sz w:val="24"/>
    </w:rPr>
  </w:style>
  <w:style w:type="paragraph" w:customStyle="1" w:styleId="182">
    <w:name w:val="xl29"/>
    <w:basedOn w:val="1"/>
    <w:qFormat/>
    <w:uiPriority w:val="0"/>
    <w:pPr>
      <w:widowControl/>
      <w:pBdr>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83">
    <w:name w:val=" Char"/>
    <w:basedOn w:val="1"/>
    <w:qFormat/>
    <w:uiPriority w:val="0"/>
    <w:pPr>
      <w:snapToGrid w:val="0"/>
      <w:spacing w:line="360" w:lineRule="auto"/>
      <w:ind w:firstLine="200" w:firstLineChars="200"/>
    </w:pPr>
    <w:rPr>
      <w:rFonts w:eastAsia="仿宋_GB2312"/>
      <w:sz w:val="24"/>
    </w:rPr>
  </w:style>
  <w:style w:type="paragraph" w:customStyle="1" w:styleId="184">
    <w:name w:val="样式 目录 1 + 左  1 字符"/>
    <w:basedOn w:val="31"/>
    <w:qFormat/>
    <w:uiPriority w:val="0"/>
    <w:pPr>
      <w:tabs>
        <w:tab w:val="right" w:leader="dot" w:pos="9060"/>
      </w:tabs>
      <w:spacing w:before="156" w:beforeLines="50" w:after="156" w:afterLines="50"/>
      <w:ind w:left="210" w:leftChars="100"/>
    </w:pPr>
    <w:rPr>
      <w:rFonts w:ascii="宋体" w:hAnsi="宋体" w:eastAsia="仿宋_GB2312" w:cs="宋体"/>
      <w:bCs/>
      <w:caps/>
      <w:kern w:val="0"/>
      <w:sz w:val="24"/>
      <w:szCs w:val="20"/>
    </w:rPr>
  </w:style>
  <w:style w:type="paragraph" w:customStyle="1" w:styleId="185">
    <w:name w:val="1"/>
    <w:basedOn w:val="1"/>
    <w:next w:val="1"/>
    <w:qFormat/>
    <w:uiPriority w:val="0"/>
  </w:style>
  <w:style w:type="paragraph" w:customStyle="1" w:styleId="186">
    <w:name w:val="xl76"/>
    <w:basedOn w:val="1"/>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187">
    <w:name w:val="样式4"/>
    <w:basedOn w:val="1"/>
    <w:qFormat/>
    <w:uiPriority w:val="0"/>
  </w:style>
  <w:style w:type="paragraph" w:customStyle="1" w:styleId="188">
    <w:name w:val="表格文字"/>
    <w:basedOn w:val="1"/>
    <w:qFormat/>
    <w:uiPriority w:val="0"/>
    <w:pPr>
      <w:adjustRightInd w:val="0"/>
      <w:spacing w:line="420" w:lineRule="atLeast"/>
      <w:jc w:val="left"/>
      <w:textAlignment w:val="baseline"/>
    </w:pPr>
    <w:rPr>
      <w:kern w:val="0"/>
      <w:szCs w:val="20"/>
    </w:rPr>
  </w:style>
  <w:style w:type="paragraph" w:customStyle="1" w:styleId="189">
    <w:name w:val="样式 样式1 + 首行缩进:  0 厘米"/>
    <w:basedOn w:val="190"/>
    <w:qFormat/>
    <w:uiPriority w:val="0"/>
    <w:pPr>
      <w:ind w:firstLine="0"/>
    </w:pPr>
  </w:style>
  <w:style w:type="paragraph" w:customStyle="1" w:styleId="190">
    <w:name w:val="样式1"/>
    <w:basedOn w:val="4"/>
    <w:qFormat/>
    <w:uiPriority w:val="0"/>
    <w:pPr>
      <w:keepLines w:val="0"/>
      <w:spacing w:before="0" w:after="0" w:line="480" w:lineRule="exact"/>
      <w:ind w:firstLine="570"/>
    </w:pPr>
    <w:rPr>
      <w:rFonts w:eastAsia="黑体"/>
      <w:b w:val="0"/>
      <w:bCs w:val="0"/>
      <w:kern w:val="2"/>
      <w:sz w:val="36"/>
      <w:szCs w:val="36"/>
    </w:rPr>
  </w:style>
  <w:style w:type="paragraph" w:customStyle="1" w:styleId="191">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Cs w:val="21"/>
    </w:rPr>
  </w:style>
  <w:style w:type="paragraph" w:customStyle="1" w:styleId="192">
    <w:name w:val="xl30"/>
    <w:basedOn w:val="1"/>
    <w:qFormat/>
    <w:uiPriority w:val="0"/>
    <w:pPr>
      <w:widowControl/>
      <w:pBdr>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93">
    <w:name w:val="样式 正文文本缩进 2 + 行距: 固定值 25 磅"/>
    <w:basedOn w:val="27"/>
    <w:qFormat/>
    <w:uiPriority w:val="0"/>
    <w:pPr>
      <w:tabs>
        <w:tab w:val="clear" w:pos="0"/>
        <w:tab w:val="clear" w:pos="1740"/>
        <w:tab w:val="clear" w:pos="5040"/>
      </w:tabs>
      <w:spacing w:line="500" w:lineRule="exact"/>
      <w:ind w:firstLine="560" w:firstLineChars="200"/>
    </w:pPr>
    <w:rPr>
      <w:rFonts w:eastAsia="宋体" w:cs="宋体"/>
      <w:szCs w:val="28"/>
    </w:rPr>
  </w:style>
  <w:style w:type="paragraph" w:customStyle="1" w:styleId="194">
    <w:name w:val=" Char Char Char Char Char Char Char"/>
    <w:basedOn w:val="1"/>
    <w:qFormat/>
    <w:uiPriority w:val="0"/>
    <w:pPr>
      <w:snapToGrid w:val="0"/>
      <w:spacing w:line="500" w:lineRule="exact"/>
      <w:ind w:firstLine="480" w:firstLineChars="200"/>
    </w:pPr>
    <w:rPr>
      <w:rFonts w:eastAsia="黑体"/>
      <w:snapToGrid w:val="0"/>
      <w:sz w:val="24"/>
    </w:rPr>
  </w:style>
  <w:style w:type="paragraph" w:customStyle="1" w:styleId="195">
    <w:name w:val="样式 标题 2 + Times New Roman 四号 非加粗 段前: 5 磅 段后: 0 磅 行距: 固定值 20..."/>
    <w:basedOn w:val="5"/>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96">
    <w:name w:val="xl33"/>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97">
    <w:name w:val="样式 标题 2 + (西文) Times New Roman (中文) 宋体 五号 非加粗 首行缩进:  0 厘米"/>
    <w:basedOn w:val="6"/>
    <w:next w:val="6"/>
    <w:qFormat/>
    <w:uiPriority w:val="0"/>
    <w:rPr>
      <w:rFonts w:cs="宋体"/>
      <w:b w:val="0"/>
      <w:bCs w:val="0"/>
      <w:sz w:val="21"/>
      <w:szCs w:val="20"/>
    </w:rPr>
  </w:style>
  <w:style w:type="paragraph" w:customStyle="1" w:styleId="198">
    <w:name w:val=" Char Char10 Char"/>
    <w:basedOn w:val="1"/>
    <w:qFormat/>
    <w:uiPriority w:val="0"/>
  </w:style>
  <w:style w:type="paragraph" w:customStyle="1" w:styleId="199">
    <w:name w:val="样式 (中文) 仿宋_GB2312 四号 行距: 固定值 25 磅"/>
    <w:basedOn w:val="1"/>
    <w:qFormat/>
    <w:uiPriority w:val="0"/>
    <w:pPr>
      <w:spacing w:line="500" w:lineRule="exact"/>
      <w:ind w:firstLine="560" w:firstLineChars="200"/>
    </w:pPr>
    <w:rPr>
      <w:sz w:val="28"/>
      <w:szCs w:val="28"/>
    </w:rPr>
  </w:style>
  <w:style w:type="paragraph" w:customStyle="1" w:styleId="200">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201">
    <w:name w:val=" Char Char Char Char"/>
    <w:basedOn w:val="1"/>
    <w:qFormat/>
    <w:uiPriority w:val="0"/>
    <w:rPr>
      <w:kern w:val="0"/>
      <w:sz w:val="20"/>
      <w:szCs w:val="20"/>
    </w:rPr>
  </w:style>
  <w:style w:type="paragraph" w:customStyle="1" w:styleId="202">
    <w:name w:val="首行缩进"/>
    <w:basedOn w:val="1"/>
    <w:qFormat/>
    <w:uiPriority w:val="99"/>
    <w:pPr>
      <w:ind w:firstLine="480" w:firstLineChars="200"/>
    </w:pPr>
    <w:rPr>
      <w:lang w:val="zh-CN"/>
    </w:rPr>
  </w:style>
  <w:style w:type="paragraph" w:customStyle="1" w:styleId="203">
    <w:name w:val="xl64"/>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Lines="0" w:beforeAutospacing="1" w:after="100" w:afterLines="0" w:afterAutospacing="1"/>
      <w:jc w:val="left"/>
      <w:textAlignment w:val="center"/>
    </w:pPr>
    <w:rPr>
      <w:rFonts w:ascii="宋体" w:hAnsi="宋体" w:cs="宋体"/>
      <w:color w:val="000000"/>
      <w:kern w:val="0"/>
      <w:sz w:val="24"/>
    </w:rPr>
  </w:style>
  <w:style w:type="paragraph" w:customStyle="1" w:styleId="204">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olor w:val="FF0000"/>
      <w:kern w:val="0"/>
      <w:szCs w:val="21"/>
    </w:rPr>
  </w:style>
  <w:style w:type="paragraph" w:customStyle="1" w:styleId="205">
    <w:name w:val="xl71"/>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Lines="0" w:beforeAutospacing="1" w:after="100" w:afterLines="0" w:afterAutospacing="1"/>
      <w:jc w:val="left"/>
      <w:textAlignment w:val="center"/>
    </w:pPr>
    <w:rPr>
      <w:rFonts w:ascii="宋体" w:hAnsi="宋体" w:cs="宋体"/>
      <w:color w:val="000000"/>
      <w:kern w:val="0"/>
      <w:sz w:val="24"/>
    </w:rPr>
  </w:style>
  <w:style w:type="paragraph" w:customStyle="1" w:styleId="206">
    <w:name w:val="xl74"/>
    <w:basedOn w:val="1"/>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07">
    <w:name w:val="font9"/>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208">
    <w:name w:val="_Style 206"/>
    <w:qFormat/>
    <w:uiPriority w:val="0"/>
    <w:rPr>
      <w:rFonts w:ascii="Times New Roman" w:hAnsi="Times New Roman" w:eastAsia="宋体" w:cs="Times New Roman"/>
      <w:kern w:val="2"/>
      <w:sz w:val="21"/>
      <w:szCs w:val="24"/>
      <w:lang w:val="en-US" w:eastAsia="zh-CN" w:bidi="ar-SA"/>
    </w:rPr>
  </w:style>
  <w:style w:type="paragraph" w:customStyle="1" w:styleId="209">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210">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Lines="0" w:beforeAutospacing="1" w:after="100" w:afterLines="0" w:afterAutospacing="1"/>
      <w:jc w:val="right"/>
      <w:textAlignment w:val="center"/>
    </w:pPr>
    <w:rPr>
      <w:rFonts w:ascii="宋体" w:hAnsi="宋体" w:cs="宋体"/>
      <w:color w:val="000000"/>
      <w:kern w:val="0"/>
      <w:sz w:val="24"/>
    </w:rPr>
  </w:style>
  <w:style w:type="paragraph" w:customStyle="1" w:styleId="211">
    <w:name w:val="默认段落字体 Para Char Char Char Char"/>
    <w:basedOn w:val="1"/>
    <w:qFormat/>
    <w:uiPriority w:val="0"/>
    <w:pPr>
      <w:snapToGrid w:val="0"/>
      <w:spacing w:line="360" w:lineRule="auto"/>
      <w:ind w:firstLine="200" w:firstLineChars="200"/>
    </w:pPr>
    <w:rPr>
      <w:rFonts w:eastAsia="仿宋_GB2312"/>
      <w:sz w:val="24"/>
    </w:rPr>
  </w:style>
  <w:style w:type="paragraph" w:customStyle="1" w:styleId="212">
    <w:name w:val="5"/>
    <w:basedOn w:val="1"/>
    <w:next w:val="24"/>
    <w:qFormat/>
    <w:uiPriority w:val="0"/>
    <w:pPr>
      <w:tabs>
        <w:tab w:val="left" w:pos="5890"/>
        <w:tab w:val="left" w:leader="middleDot" w:pos="8108"/>
      </w:tabs>
      <w:spacing w:line="223" w:lineRule="auto"/>
      <w:ind w:firstLine="380"/>
    </w:pPr>
    <w:rPr>
      <w:rFonts w:ascii="宋体" w:hAnsi="Courier New"/>
      <w:color w:val="000000"/>
      <w:kern w:val="0"/>
      <w:szCs w:val="20"/>
    </w:rPr>
  </w:style>
  <w:style w:type="paragraph" w:customStyle="1" w:styleId="213">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Cs w:val="21"/>
    </w:rPr>
  </w:style>
  <w:style w:type="paragraph" w:customStyle="1" w:styleId="215">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Cs w:val="21"/>
    </w:rPr>
  </w:style>
  <w:style w:type="paragraph" w:customStyle="1" w:styleId="216">
    <w:name w:val="Char Char1 Char Char Char Char Char Char"/>
    <w:basedOn w:val="1"/>
    <w:qFormat/>
    <w:uiPriority w:val="0"/>
    <w:pPr>
      <w:widowControl/>
      <w:adjustRightInd w:val="0"/>
      <w:snapToGrid w:val="0"/>
      <w:spacing w:line="360" w:lineRule="auto"/>
      <w:ind w:firstLine="601"/>
    </w:pPr>
    <w:rPr>
      <w:rFonts w:ascii="宋体" w:hAnsi="宋体"/>
      <w:color w:val="000000"/>
      <w:kern w:val="0"/>
      <w:sz w:val="24"/>
    </w:rPr>
  </w:style>
  <w:style w:type="paragraph" w:customStyle="1" w:styleId="217">
    <w:name w:val="样式 目录 2 + 左侧:  2 字符"/>
    <w:basedOn w:val="38"/>
    <w:qFormat/>
    <w:uiPriority w:val="0"/>
    <w:pPr>
      <w:tabs>
        <w:tab w:val="right" w:leader="dot" w:pos="9060"/>
      </w:tabs>
      <w:spacing w:before="50" w:beforeLines="50" w:after="50" w:afterLines="50" w:line="440" w:lineRule="exact"/>
      <w:ind w:left="200"/>
    </w:pPr>
    <w:rPr>
      <w:rFonts w:cs="宋体"/>
      <w:sz w:val="24"/>
      <w:szCs w:val="20"/>
    </w:rPr>
  </w:style>
  <w:style w:type="paragraph" w:customStyle="1" w:styleId="21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19">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宋体" w:hAnsi="宋体"/>
      <w:kern w:val="0"/>
      <w:szCs w:val="21"/>
    </w:rPr>
  </w:style>
  <w:style w:type="paragraph" w:customStyle="1" w:styleId="220">
    <w:name w:val="xl7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b/>
      <w:bCs/>
      <w:kern w:val="0"/>
      <w:sz w:val="32"/>
      <w:szCs w:val="32"/>
    </w:rPr>
  </w:style>
  <w:style w:type="paragraph" w:customStyle="1" w:styleId="221">
    <w:name w:val="xl81"/>
    <w:basedOn w:val="1"/>
    <w:qFormat/>
    <w:uiPriority w:val="0"/>
    <w:pPr>
      <w:widowControl/>
      <w:spacing w:before="100" w:beforeAutospacing="1" w:after="100" w:afterAutospacing="1"/>
      <w:jc w:val="center"/>
      <w:textAlignment w:val="center"/>
    </w:pPr>
    <w:rPr>
      <w:rFonts w:ascii="宋体" w:hAnsi="宋体" w:cs="宋体"/>
      <w:b/>
      <w:bCs/>
      <w:kern w:val="0"/>
      <w:sz w:val="32"/>
      <w:szCs w:val="32"/>
    </w:rPr>
  </w:style>
  <w:style w:type="paragraph" w:customStyle="1" w:styleId="222">
    <w:name w:val="xl47"/>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23">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 w:val="20"/>
      <w:szCs w:val="20"/>
    </w:rPr>
  </w:style>
  <w:style w:type="paragraph" w:customStyle="1" w:styleId="224">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olor w:val="FF0000"/>
      <w:kern w:val="0"/>
      <w:szCs w:val="21"/>
    </w:rPr>
  </w:style>
  <w:style w:type="paragraph" w:customStyle="1" w:styleId="225">
    <w:name w:val="xl79"/>
    <w:basedOn w:val="1"/>
    <w:qFormat/>
    <w:uiPriority w:val="0"/>
    <w:pPr>
      <w:widowControl/>
      <w:pBdr>
        <w:bottom w:val="single" w:color="auto" w:sz="4" w:space="0"/>
      </w:pBdr>
      <w:shd w:val="clear" w:color="000000" w:fill="FFFFFF"/>
      <w:spacing w:before="100" w:beforeAutospacing="1" w:after="100" w:afterAutospacing="1"/>
      <w:jc w:val="left"/>
      <w:textAlignment w:val="center"/>
    </w:pPr>
    <w:rPr>
      <w:rFonts w:ascii="仿宋_GB2312" w:hAnsi="宋体" w:eastAsia="仿宋_GB2312" w:cs="宋体"/>
      <w:kern w:val="0"/>
      <w:sz w:val="24"/>
    </w:rPr>
  </w:style>
  <w:style w:type="paragraph" w:customStyle="1" w:styleId="226">
    <w:name w:val="样式5"/>
    <w:basedOn w:val="14"/>
    <w:qFormat/>
    <w:uiPriority w:val="0"/>
    <w:pPr>
      <w:snapToGrid/>
      <w:spacing w:before="0" w:beforeLines="0" w:beforeAutospacing="0" w:after="0" w:afterLines="0" w:afterAutospacing="0" w:line="500" w:lineRule="exact"/>
      <w:ind w:firstLine="200"/>
      <w:jc w:val="both"/>
      <w:textAlignment w:val="baseline"/>
    </w:pPr>
    <w:rPr>
      <w:rFonts w:ascii="Times New Roman" w:hAnsi="Times New Roman" w:eastAsia="仿宋_GB2312"/>
      <w:snapToGrid w:val="0"/>
      <w:kern w:val="0"/>
      <w:sz w:val="28"/>
    </w:rPr>
  </w:style>
  <w:style w:type="paragraph" w:customStyle="1" w:styleId="227">
    <w:name w:val="_Style 225"/>
    <w:basedOn w:val="4"/>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customStyle="1" w:styleId="228">
    <w:name w:val="xl6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29">
    <w:name w:val="xl63"/>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30">
    <w:name w:val="Char"/>
    <w:basedOn w:val="1"/>
    <w:qFormat/>
    <w:uiPriority w:val="0"/>
  </w:style>
  <w:style w:type="paragraph" w:customStyle="1" w:styleId="231">
    <w:name w:val=" Char Char Char"/>
    <w:basedOn w:val="1"/>
    <w:qFormat/>
    <w:uiPriority w:val="0"/>
    <w:rPr>
      <w:rFonts w:ascii="Tahoma" w:hAnsi="Tahoma"/>
      <w:sz w:val="24"/>
      <w:szCs w:val="20"/>
    </w:rPr>
  </w:style>
  <w:style w:type="paragraph" w:customStyle="1" w:styleId="232">
    <w:name w:val="样式 正文文字缩进 3 + 紧缩量  0.5 磅"/>
    <w:basedOn w:val="36"/>
    <w:qFormat/>
    <w:uiPriority w:val="0"/>
    <w:pPr>
      <w:tabs>
        <w:tab w:val="clear" w:pos="0"/>
        <w:tab w:val="clear" w:pos="1740"/>
        <w:tab w:val="clear" w:pos="5040"/>
      </w:tabs>
      <w:spacing w:line="480" w:lineRule="exact"/>
      <w:ind w:firstLine="560" w:firstLineChars="200"/>
    </w:pPr>
    <w:rPr>
      <w:rFonts w:ascii="Times New Roman" w:hAnsi="Times New Roman" w:eastAsia="黑体"/>
      <w:spacing w:val="-10"/>
      <w:sz w:val="32"/>
    </w:rPr>
  </w:style>
  <w:style w:type="paragraph" w:customStyle="1" w:styleId="233">
    <w:name w:val="xl70"/>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Lines="0" w:beforeAutospacing="1" w:after="100" w:afterLines="0" w:afterAutospacing="1"/>
      <w:jc w:val="right"/>
      <w:textAlignment w:val="center"/>
    </w:pPr>
    <w:rPr>
      <w:rFonts w:ascii="宋体" w:hAnsi="宋体" w:cs="宋体"/>
      <w:color w:val="000000"/>
      <w:kern w:val="0"/>
      <w:sz w:val="24"/>
    </w:rPr>
  </w:style>
  <w:style w:type="paragraph" w:customStyle="1" w:styleId="2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35">
    <w:name w:val="contentarticle"/>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236">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Lines="0" w:beforeAutospacing="1" w:after="100" w:afterLines="0" w:afterAutospacing="1"/>
      <w:jc w:val="left"/>
      <w:textAlignment w:val="center"/>
    </w:pPr>
    <w:rPr>
      <w:rFonts w:ascii="宋体" w:hAnsi="宋体" w:cs="宋体"/>
      <w:color w:val="000000"/>
      <w:kern w:val="0"/>
      <w:sz w:val="24"/>
    </w:rPr>
  </w:style>
  <w:style w:type="paragraph" w:customStyle="1" w:styleId="23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238">
    <w:name w:val="表格2"/>
    <w:basedOn w:val="1"/>
    <w:qFormat/>
    <w:uiPriority w:val="0"/>
    <w:pPr>
      <w:adjustRightInd w:val="0"/>
      <w:spacing w:before="60" w:after="60"/>
      <w:jc w:val="center"/>
    </w:pPr>
    <w:rPr>
      <w:rFonts w:ascii="宋体"/>
      <w:color w:val="000000"/>
      <w:kern w:val="0"/>
      <w:sz w:val="24"/>
      <w:szCs w:val="20"/>
    </w:rPr>
  </w:style>
  <w:style w:type="paragraph" w:customStyle="1" w:styleId="239">
    <w:name w:val=" Char Char Char Char Char Char Char Char Char Char Char Char Char Char Char Char"/>
    <w:basedOn w:val="1"/>
    <w:qFormat/>
    <w:uiPriority w:val="0"/>
    <w:pPr>
      <w:snapToGrid w:val="0"/>
      <w:spacing w:line="360" w:lineRule="auto"/>
      <w:ind w:firstLine="200" w:firstLineChars="200"/>
    </w:pPr>
    <w:rPr>
      <w:szCs w:val="20"/>
    </w:rPr>
  </w:style>
  <w:style w:type="paragraph" w:customStyle="1" w:styleId="240">
    <w:name w:val="pa-19"/>
    <w:basedOn w:val="1"/>
    <w:qFormat/>
    <w:uiPriority w:val="0"/>
    <w:pPr>
      <w:widowControl/>
      <w:spacing w:before="150" w:beforeLines="0" w:after="150" w:afterLines="0"/>
      <w:jc w:val="left"/>
    </w:pPr>
    <w:rPr>
      <w:rFonts w:ascii="宋体" w:hAnsi="宋体" w:cs="宋体"/>
      <w:kern w:val="0"/>
      <w:sz w:val="24"/>
    </w:rPr>
  </w:style>
  <w:style w:type="paragraph" w:customStyle="1" w:styleId="2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42">
    <w:name w:val="xl6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43">
    <w:name w:val="xl40"/>
    <w:basedOn w:val="1"/>
    <w:qFormat/>
    <w:uiPriority w:val="0"/>
    <w:pPr>
      <w:widowControl/>
      <w:spacing w:before="100" w:beforeAutospacing="1" w:after="100" w:afterAutospacing="1"/>
      <w:jc w:val="center"/>
    </w:pPr>
    <w:rPr>
      <w:rFonts w:ascii="宋体" w:hAnsi="宋体"/>
      <w:kern w:val="0"/>
      <w:szCs w:val="21"/>
    </w:rPr>
  </w:style>
  <w:style w:type="paragraph" w:customStyle="1" w:styleId="244">
    <w:name w:val="样式 (中文) 黑体 小二 行距: 固定值 24 磅"/>
    <w:basedOn w:val="4"/>
    <w:qFormat/>
    <w:uiPriority w:val="0"/>
    <w:pPr>
      <w:keepLines w:val="0"/>
      <w:spacing w:before="0" w:after="0" w:line="480" w:lineRule="exact"/>
      <w:ind w:firstLine="570"/>
    </w:pPr>
    <w:rPr>
      <w:rFonts w:eastAsia="黑体"/>
      <w:b w:val="0"/>
      <w:bCs w:val="0"/>
      <w:kern w:val="2"/>
      <w:sz w:val="36"/>
      <w:szCs w:val="36"/>
    </w:rPr>
  </w:style>
  <w:style w:type="paragraph" w:customStyle="1" w:styleId="245">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46">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247">
    <w:name w:val="样式 标题 3 + (中文) 黑体 小四 非加粗 段前: 7.8 磅 段后: 0 磅 行距: 固定值 20 磅"/>
    <w:basedOn w:val="6"/>
    <w:next w:val="1"/>
    <w:qFormat/>
    <w:uiPriority w:val="0"/>
    <w:pPr>
      <w:spacing w:before="0" w:beforeLines="0" w:after="0" w:afterLines="0" w:line="400" w:lineRule="exact"/>
    </w:pPr>
    <w:rPr>
      <w:rFonts w:eastAsia="黑体" w:cs="宋体"/>
      <w:b w:val="0"/>
      <w:bCs w:val="0"/>
      <w:sz w:val="24"/>
      <w:szCs w:val="20"/>
    </w:rPr>
  </w:style>
  <w:style w:type="paragraph" w:customStyle="1" w:styleId="248">
    <w:name w:val="xl69"/>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49">
    <w:name w:val="样式 目录 1 + 仿宋_GB2312 小四 加粗"/>
    <w:basedOn w:val="31"/>
    <w:qFormat/>
    <w:uiPriority w:val="0"/>
    <w:pPr>
      <w:tabs>
        <w:tab w:val="right" w:leader="dot" w:pos="9060"/>
      </w:tabs>
      <w:spacing w:before="156" w:beforeLines="50" w:after="156" w:afterLines="50"/>
      <w:ind w:left="210" w:leftChars="100"/>
    </w:pPr>
    <w:rPr>
      <w:rFonts w:ascii="仿宋_GB2312" w:hAnsi="宋体" w:eastAsia="仿宋_GB2312" w:cs="宋体"/>
      <w:caps/>
      <w:kern w:val="0"/>
      <w:sz w:val="28"/>
      <w:szCs w:val="20"/>
    </w:rPr>
  </w:style>
  <w:style w:type="paragraph" w:customStyle="1" w:styleId="250">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51">
    <w:name w:val="xl32"/>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252">
    <w:name w:val="xl55"/>
    <w:basedOn w:val="1"/>
    <w:qFormat/>
    <w:uiPriority w:val="0"/>
    <w:pPr>
      <w:widowControl/>
      <w:shd w:val="clear" w:color="auto" w:fill="CCFFCC"/>
      <w:spacing w:before="100" w:beforeAutospacing="1" w:after="100" w:afterAutospacing="1"/>
      <w:jc w:val="left"/>
      <w:textAlignment w:val="center"/>
    </w:pPr>
    <w:rPr>
      <w:rFonts w:ascii="宋体" w:hAnsi="宋体"/>
      <w:kern w:val="0"/>
      <w:sz w:val="24"/>
    </w:rPr>
  </w:style>
  <w:style w:type="paragraph" w:customStyle="1" w:styleId="253">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254">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55">
    <w:name w:val="表格"/>
    <w:basedOn w:val="1"/>
    <w:qFormat/>
    <w:uiPriority w:val="0"/>
    <w:pPr>
      <w:jc w:val="center"/>
      <w:textAlignment w:val="center"/>
    </w:pPr>
    <w:rPr>
      <w:rFonts w:ascii="华文细黑" w:hAnsi="华文细黑"/>
      <w:kern w:val="0"/>
      <w:szCs w:val="20"/>
    </w:rPr>
  </w:style>
  <w:style w:type="paragraph" w:customStyle="1" w:styleId="256">
    <w:name w:val="正文1"/>
    <w:qFormat/>
    <w:uiPriority w:val="0"/>
    <w:pPr>
      <w:jc w:val="both"/>
    </w:pPr>
    <w:rPr>
      <w:rFonts w:ascii="Times New Roman" w:hAnsi="Times New Roman" w:eastAsia="宋体" w:cs="宋体"/>
      <w:kern w:val="2"/>
      <w:sz w:val="21"/>
      <w:szCs w:val="21"/>
      <w:lang w:val="en-US" w:eastAsia="zh-CN" w:bidi="ar-SA"/>
    </w:rPr>
  </w:style>
  <w:style w:type="paragraph" w:customStyle="1" w:styleId="257">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5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259">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260">
    <w:name w:val="xl31"/>
    <w:basedOn w:val="1"/>
    <w:qFormat/>
    <w:uiPriority w:val="0"/>
    <w:pPr>
      <w:widowControl/>
      <w:spacing w:before="100" w:beforeAutospacing="1" w:after="100" w:afterAutospacing="1"/>
      <w:jc w:val="center"/>
    </w:pPr>
    <w:rPr>
      <w:rFonts w:ascii="宋体" w:hAnsi="宋体"/>
      <w:kern w:val="0"/>
      <w:sz w:val="24"/>
    </w:rPr>
  </w:style>
  <w:style w:type="paragraph" w:customStyle="1" w:styleId="261">
    <w:name w:val="xl34"/>
    <w:basedOn w:val="1"/>
    <w:qFormat/>
    <w:uiPriority w:val="0"/>
    <w:pPr>
      <w:widowControl/>
      <w:pBdr>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262">
    <w:name w:val="t_black_12_b"/>
    <w:basedOn w:val="1"/>
    <w:qFormat/>
    <w:uiPriority w:val="0"/>
    <w:pPr>
      <w:widowControl/>
      <w:jc w:val="left"/>
    </w:pPr>
    <w:rPr>
      <w:rFonts w:ascii="宋体" w:hAnsi="宋体" w:cs="宋体"/>
      <w:b/>
      <w:bCs/>
      <w:color w:val="212121"/>
      <w:kern w:val="0"/>
      <w:sz w:val="9"/>
      <w:szCs w:val="9"/>
    </w:rPr>
  </w:style>
  <w:style w:type="paragraph" w:customStyle="1" w:styleId="26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64">
    <w:name w:val="font6"/>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265">
    <w:name w:val="样式 标题 1 + (中文) 黑体 三号 段前: 7.8 磅 段后: 7.8 磅 行距: 固定值 25 磅"/>
    <w:basedOn w:val="4"/>
    <w:qFormat/>
    <w:uiPriority w:val="0"/>
    <w:pPr>
      <w:spacing w:before="156" w:after="156" w:line="500" w:lineRule="exact"/>
    </w:pPr>
    <w:rPr>
      <w:rFonts w:eastAsia="黑体" w:cs="宋体"/>
      <w:bCs w:val="0"/>
      <w:sz w:val="32"/>
      <w:szCs w:val="20"/>
    </w:rPr>
  </w:style>
  <w:style w:type="paragraph" w:customStyle="1" w:styleId="266">
    <w:name w:val="xl49"/>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color w:val="FF0000"/>
      <w:kern w:val="0"/>
      <w:szCs w:val="21"/>
    </w:rPr>
  </w:style>
  <w:style w:type="paragraph" w:customStyle="1" w:styleId="267">
    <w:name w:val="xl2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olor w:val="FF0000"/>
      <w:kern w:val="0"/>
      <w:szCs w:val="21"/>
    </w:rPr>
  </w:style>
  <w:style w:type="paragraph" w:customStyle="1" w:styleId="268">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69">
    <w:name w:val="样式 样式 行距: 最小值 23 磅 首行缩进:  2 字符 + 首行缩进:  2 字符"/>
    <w:basedOn w:val="1"/>
    <w:qFormat/>
    <w:uiPriority w:val="0"/>
    <w:pPr>
      <w:tabs>
        <w:tab w:val="left" w:pos="0"/>
        <w:tab w:val="left" w:pos="2149"/>
      </w:tabs>
      <w:overflowPunct w:val="0"/>
      <w:adjustRightInd w:val="0"/>
      <w:ind w:left="210"/>
      <w:jc w:val="center"/>
    </w:pPr>
    <w:rPr>
      <w:rFonts w:eastAsia="仿宋_GB2312" w:cs="宋体"/>
      <w:color w:val="000000"/>
      <w:kern w:val="28"/>
      <w:sz w:val="28"/>
      <w:szCs w:val="28"/>
    </w:rPr>
  </w:style>
  <w:style w:type="paragraph" w:customStyle="1" w:styleId="270">
    <w:name w:val="xl68"/>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Lines="0" w:beforeAutospacing="1" w:after="100" w:afterLines="0" w:afterAutospacing="1"/>
      <w:jc w:val="right"/>
      <w:textAlignment w:val="center"/>
    </w:pPr>
    <w:rPr>
      <w:rFonts w:ascii="宋体" w:hAnsi="宋体" w:cs="宋体"/>
      <w:color w:val="000000"/>
      <w:kern w:val="0"/>
      <w:sz w:val="24"/>
    </w:rPr>
  </w:style>
  <w:style w:type="paragraph" w:customStyle="1" w:styleId="271">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Cs w:val="21"/>
    </w:rPr>
  </w:style>
  <w:style w:type="paragraph" w:customStyle="1" w:styleId="272">
    <w:name w:val="样式 目录 1 + 段前: 7.8 磅 段后: 7.8 磅"/>
    <w:basedOn w:val="31"/>
    <w:qFormat/>
    <w:uiPriority w:val="0"/>
    <w:pPr>
      <w:tabs>
        <w:tab w:val="right" w:leader="dot" w:pos="9060"/>
      </w:tabs>
      <w:spacing w:line="560" w:lineRule="exact"/>
    </w:pPr>
    <w:rPr>
      <w:rFonts w:ascii="宋体" w:hAnsi="宋体" w:cs="宋体"/>
      <w:bCs/>
      <w:caps/>
      <w:kern w:val="0"/>
      <w:sz w:val="28"/>
      <w:szCs w:val="20"/>
    </w:rPr>
  </w:style>
  <w:style w:type="paragraph" w:customStyle="1" w:styleId="273">
    <w:name w:val="样式2"/>
    <w:basedOn w:val="5"/>
    <w:next w:val="1"/>
    <w:qFormat/>
    <w:uiPriority w:val="0"/>
    <w:pPr>
      <w:keepLines w:val="0"/>
      <w:spacing w:before="240" w:after="240" w:line="480" w:lineRule="exact"/>
      <w:jc w:val="left"/>
    </w:pPr>
    <w:rPr>
      <w:rFonts w:ascii="黑体" w:hAnsi="Times New Roman"/>
      <w:b w:val="0"/>
      <w:bCs w:val="0"/>
      <w:sz w:val="30"/>
      <w:szCs w:val="24"/>
    </w:rPr>
  </w:style>
  <w:style w:type="paragraph" w:customStyle="1" w:styleId="274">
    <w:name w:val="xl82"/>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color w:val="000000"/>
      <w:kern w:val="0"/>
      <w:sz w:val="24"/>
    </w:rPr>
  </w:style>
  <w:style w:type="paragraph" w:customStyle="1" w:styleId="275">
    <w:name w:val="xl50"/>
    <w:basedOn w:val="1"/>
    <w:qFormat/>
    <w:uiPriority w:val="0"/>
    <w:pPr>
      <w:widowControl/>
      <w:shd w:val="clear" w:color="auto" w:fill="CCFFCC"/>
      <w:spacing w:before="100" w:beforeAutospacing="1" w:after="100" w:afterAutospacing="1"/>
      <w:jc w:val="center"/>
    </w:pPr>
    <w:rPr>
      <w:rFonts w:ascii="宋体" w:hAnsi="宋体"/>
      <w:kern w:val="0"/>
      <w:szCs w:val="21"/>
    </w:rPr>
  </w:style>
  <w:style w:type="paragraph" w:customStyle="1" w:styleId="276">
    <w:name w:val="样式3"/>
    <w:basedOn w:val="6"/>
    <w:next w:val="1"/>
    <w:qFormat/>
    <w:uiPriority w:val="0"/>
    <w:pPr>
      <w:spacing w:line="480" w:lineRule="exact"/>
    </w:pPr>
    <w:rPr>
      <w:rFonts w:eastAsia="仿宋_GB2312"/>
      <w:sz w:val="28"/>
    </w:rPr>
  </w:style>
  <w:style w:type="paragraph" w:customStyle="1" w:styleId="277">
    <w:name w:val="标题2"/>
    <w:basedOn w:val="5"/>
    <w:next w:val="1"/>
    <w:qFormat/>
    <w:uiPriority w:val="0"/>
    <w:pPr>
      <w:snapToGrid w:val="0"/>
      <w:spacing w:before="120" w:after="120" w:line="240" w:lineRule="auto"/>
      <w:jc w:val="left"/>
    </w:pPr>
    <w:rPr>
      <w:b w:val="0"/>
      <w:bCs w:val="0"/>
      <w:sz w:val="21"/>
      <w:szCs w:val="21"/>
    </w:rPr>
  </w:style>
  <w:style w:type="paragraph" w:customStyle="1" w:styleId="278">
    <w:name w:val="样式 正文文本缩进 3招标编号 + 首行缩进:  2 字符"/>
    <w:basedOn w:val="36"/>
    <w:qFormat/>
    <w:uiPriority w:val="0"/>
    <w:pPr>
      <w:tabs>
        <w:tab w:val="clear" w:pos="0"/>
        <w:tab w:val="clear" w:pos="1740"/>
        <w:tab w:val="clear" w:pos="5040"/>
      </w:tabs>
      <w:adjustRightInd w:val="0"/>
      <w:snapToGrid w:val="0"/>
      <w:spacing w:before="100" w:beforeLines="0" w:beforeAutospacing="1" w:after="100" w:afterLines="0" w:afterAutospacing="1" w:line="500" w:lineRule="exact"/>
      <w:ind w:firstLine="0" w:firstLineChars="0"/>
      <w:jc w:val="center"/>
    </w:pPr>
    <w:rPr>
      <w:rFonts w:ascii="宋体" w:hAnsi="宋体" w:eastAsia="宋体" w:cs="宋体"/>
      <w:b/>
      <w:sz w:val="30"/>
      <w:szCs w:val="30"/>
    </w:rPr>
  </w:style>
  <w:style w:type="paragraph" w:customStyle="1" w:styleId="279">
    <w:name w:val="xl24"/>
    <w:basedOn w:val="1"/>
    <w:qFormat/>
    <w:uiPriority w:val="0"/>
    <w:pPr>
      <w:widowControl/>
      <w:spacing w:before="100" w:beforeAutospacing="1" w:after="100" w:afterAutospacing="1"/>
      <w:jc w:val="left"/>
      <w:textAlignment w:val="center"/>
    </w:pPr>
    <w:rPr>
      <w:rFonts w:ascii="宋体" w:hAnsi="宋体"/>
      <w:kern w:val="0"/>
      <w:sz w:val="24"/>
    </w:rPr>
  </w:style>
  <w:style w:type="paragraph" w:customStyle="1" w:styleId="280">
    <w:name w:val=" Char Char Char Char Char Char Char Char Char Char Char Char Char Char Char Char Char Char Char Char Char Char"/>
    <w:basedOn w:val="1"/>
    <w:qFormat/>
    <w:uiPriority w:val="0"/>
    <w:pPr>
      <w:adjustRightInd w:val="0"/>
      <w:spacing w:line="360" w:lineRule="atLeast"/>
      <w:textAlignment w:val="baseline"/>
    </w:pPr>
    <w:rPr>
      <w:rFonts w:ascii="Tahoma" w:hAnsi="Tahoma"/>
      <w:sz w:val="24"/>
      <w:szCs w:val="20"/>
    </w:rPr>
  </w:style>
  <w:style w:type="paragraph" w:customStyle="1" w:styleId="281">
    <w:name w:val=" Char Char"/>
    <w:basedOn w:val="1"/>
    <w:qFormat/>
    <w:uiPriority w:val="0"/>
    <w:rPr>
      <w:sz w:val="32"/>
    </w:rPr>
  </w:style>
  <w:style w:type="paragraph" w:customStyle="1" w:styleId="28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83">
    <w:name w:val="xl73"/>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84">
    <w:name w:val="xl75"/>
    <w:basedOn w:val="1"/>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8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86">
    <w:name w:val="Char Char Char Char Char Char Char Char Char Char Char Char Char Char Char Char"/>
    <w:basedOn w:val="1"/>
    <w:qFormat/>
    <w:uiPriority w:val="0"/>
    <w:pPr>
      <w:snapToGrid w:val="0"/>
      <w:spacing w:line="360" w:lineRule="auto"/>
      <w:ind w:firstLine="200" w:firstLineChars="200"/>
    </w:pPr>
  </w:style>
  <w:style w:type="paragraph" w:customStyle="1" w:styleId="287">
    <w:name w:val="xl26"/>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8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kern w:val="0"/>
      <w:sz w:val="24"/>
    </w:rPr>
  </w:style>
  <w:style w:type="paragraph" w:customStyle="1" w:styleId="289">
    <w:name w:val="xl46"/>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Cs w:val="21"/>
    </w:rPr>
  </w:style>
  <w:style w:type="paragraph" w:customStyle="1" w:styleId="290">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Cs w:val="21"/>
    </w:rPr>
  </w:style>
  <w:style w:type="paragraph" w:customStyle="1" w:styleId="291">
    <w:name w:val="xl83"/>
    <w:basedOn w:val="1"/>
    <w:qFormat/>
    <w:uiPriority w:val="0"/>
    <w:pPr>
      <w:widowControl/>
      <w:shd w:val="clear" w:color="FFFFFF" w:fill="FFFFFF"/>
      <w:spacing w:before="100" w:beforeAutospacing="1" w:after="100" w:afterAutospacing="1"/>
      <w:jc w:val="left"/>
      <w:textAlignment w:val="center"/>
    </w:pPr>
    <w:rPr>
      <w:rFonts w:ascii="宋体" w:hAnsi="宋体" w:cs="宋体"/>
      <w:color w:val="000000"/>
      <w:kern w:val="0"/>
      <w:sz w:val="24"/>
    </w:rPr>
  </w:style>
  <w:style w:type="paragraph" w:customStyle="1" w:styleId="292">
    <w:name w:val="p0"/>
    <w:basedOn w:val="1"/>
    <w:qFormat/>
    <w:uiPriority w:val="0"/>
    <w:rPr>
      <w:kern w:val="0"/>
      <w:sz w:val="32"/>
      <w:szCs w:val="20"/>
    </w:rPr>
  </w:style>
  <w:style w:type="paragraph" w:customStyle="1" w:styleId="293">
    <w:name w:val="标书正文"/>
    <w:basedOn w:val="1"/>
    <w:qFormat/>
    <w:uiPriority w:val="0"/>
    <w:pPr>
      <w:keepNext/>
      <w:snapToGrid w:val="0"/>
      <w:spacing w:line="240" w:lineRule="exact"/>
    </w:pPr>
    <w:rPr>
      <w:b/>
      <w:sz w:val="28"/>
      <w:szCs w:val="20"/>
    </w:rPr>
  </w:style>
  <w:style w:type="paragraph" w:customStyle="1" w:styleId="294">
    <w:name w:val="xl77"/>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Lines="0" w:beforeAutospacing="1" w:after="100" w:afterLines="0" w:afterAutospacing="1"/>
      <w:jc w:val="center"/>
      <w:textAlignment w:val="center"/>
    </w:pPr>
    <w:rPr>
      <w:rFonts w:ascii="宋体" w:hAnsi="宋体" w:cs="宋体"/>
      <w:color w:val="000000"/>
      <w:kern w:val="0"/>
      <w:sz w:val="24"/>
    </w:rPr>
  </w:style>
  <w:style w:type="paragraph" w:customStyle="1" w:styleId="295">
    <w:name w:val="Char Char"/>
    <w:basedOn w:val="1"/>
    <w:qFormat/>
    <w:uiPriority w:val="0"/>
  </w:style>
  <w:style w:type="character" w:customStyle="1" w:styleId="296">
    <w:name w:val="正文文本 Char"/>
    <w:qFormat/>
    <w:uiPriority w:val="0"/>
    <w:rPr>
      <w:rFonts w:eastAsia="黑体"/>
      <w:kern w:val="2"/>
      <w:sz w:val="30"/>
      <w:szCs w:val="24"/>
    </w:rPr>
  </w:style>
  <w:style w:type="character" w:customStyle="1" w:styleId="297">
    <w:name w:val="index-headcontent-0ccba"/>
    <w:basedOn w:val="51"/>
    <w:qFormat/>
    <w:uiPriority w:val="0"/>
    <w:rPr>
      <w:vanish/>
    </w:rPr>
  </w:style>
  <w:style w:type="character" w:customStyle="1" w:styleId="298">
    <w:name w:val="first-child"/>
    <w:basedOn w:val="51"/>
    <w:qFormat/>
    <w:uiPriority w:val="0"/>
    <w:rPr>
      <w:color w:val="FFA800"/>
    </w:rPr>
  </w:style>
  <w:style w:type="character" w:customStyle="1" w:styleId="299">
    <w:name w:val="first-child1"/>
    <w:basedOn w:val="51"/>
    <w:qFormat/>
    <w:uiPriority w:val="0"/>
    <w:rPr>
      <w:color w:val="FFA800"/>
    </w:rPr>
  </w:style>
  <w:style w:type="character" w:customStyle="1" w:styleId="300">
    <w:name w:val="nth-child(5)"/>
    <w:basedOn w:val="51"/>
    <w:qFormat/>
    <w:uiPriority w:val="0"/>
    <w:rPr>
      <w:color w:val="666666"/>
    </w:rPr>
  </w:style>
  <w:style w:type="character" w:customStyle="1" w:styleId="301">
    <w:name w:val="back"/>
    <w:basedOn w:val="51"/>
    <w:qFormat/>
    <w:uiPriority w:val="0"/>
    <w:rPr>
      <w:shd w:val="clear" w:color="auto" w:fill="111111"/>
    </w:rPr>
  </w:style>
  <w:style w:type="character" w:customStyle="1" w:styleId="302">
    <w:name w:val="back1"/>
    <w:basedOn w:val="51"/>
    <w:qFormat/>
    <w:uiPriority w:val="0"/>
    <w:rPr>
      <w:shd w:val="clear" w:color="auto" w:fill="111111"/>
    </w:rPr>
  </w:style>
  <w:style w:type="character" w:customStyle="1" w:styleId="303">
    <w:name w:val="nth-child(4)"/>
    <w:basedOn w:val="51"/>
    <w:qFormat/>
    <w:uiPriority w:val="0"/>
    <w:rPr>
      <w:color w:val="222222"/>
    </w:rPr>
  </w:style>
  <w:style w:type="character" w:customStyle="1" w:styleId="304">
    <w:name w:val="index-select-0a605"/>
    <w:basedOn w:val="51"/>
    <w:qFormat/>
    <w:uiPriority w:val="0"/>
    <w:rPr>
      <w:color w:val="FFFFFF"/>
      <w:shd w:val="clear" w:color="auto" w:fill="3C88FF"/>
    </w:rPr>
  </w:style>
  <w:style w:type="character" w:customStyle="1" w:styleId="305">
    <w:name w:val="index-select-0a6051"/>
    <w:basedOn w:val="51"/>
    <w:qFormat/>
    <w:uiPriority w:val="0"/>
    <w:rPr>
      <w:color w:val="3088FF"/>
    </w:rPr>
  </w:style>
  <w:style w:type="character" w:customStyle="1" w:styleId="306">
    <w:name w:val="nth-child(2)"/>
    <w:basedOn w:val="51"/>
    <w:qFormat/>
    <w:uiPriority w:val="0"/>
  </w:style>
  <w:style w:type="character" w:customStyle="1" w:styleId="307">
    <w:name w:val="nth-child(2)1"/>
    <w:basedOn w:val="51"/>
    <w:qFormat/>
    <w:uiPriority w:val="0"/>
    <w:rPr>
      <w:color w:val="222222"/>
    </w:rPr>
  </w:style>
  <w:style w:type="character" w:customStyle="1" w:styleId="308">
    <w:name w:val="index-name-935ff1"/>
    <w:basedOn w:val="51"/>
    <w:qFormat/>
    <w:uiPriority w:val="0"/>
    <w:rPr>
      <w:sz w:val="24"/>
      <w:szCs w:val="24"/>
    </w:rPr>
  </w:style>
  <w:style w:type="character" w:customStyle="1" w:styleId="309">
    <w:name w:val="adalbumlist-album_ads_tip-3c9b7"/>
    <w:basedOn w:val="51"/>
    <w:qFormat/>
    <w:uiPriority w:val="0"/>
    <w:rPr>
      <w:color w:val="FFFFFF"/>
    </w:rPr>
  </w:style>
  <w:style w:type="character" w:customStyle="1" w:styleId="310">
    <w:name w:val="adalbumlist-btn-841bd"/>
    <w:basedOn w:val="51"/>
    <w:qFormat/>
    <w:uiPriority w:val="0"/>
    <w:rPr>
      <w:color w:val="FFFFFF"/>
      <w:shd w:val="clear" w:color="auto" w:fill="FF3F3F"/>
    </w:rPr>
  </w:style>
  <w:style w:type="character" w:customStyle="1" w:styleId="311">
    <w:name w:val="nth-of-type(1)"/>
    <w:basedOn w:val="51"/>
    <w:qFormat/>
    <w:uiPriority w:val="0"/>
  </w:style>
  <w:style w:type="character" w:customStyle="1" w:styleId="312">
    <w:name w:val="nth-of-type(1)1"/>
    <w:basedOn w:val="51"/>
    <w:qFormat/>
    <w:uiPriority w:val="0"/>
    <w:rPr>
      <w:color w:val="FFFFFF"/>
    </w:rPr>
  </w:style>
  <w:style w:type="character" w:customStyle="1" w:styleId="313">
    <w:name w:val="nth-of-type(1)2"/>
    <w:basedOn w:val="51"/>
    <w:qFormat/>
    <w:uiPriority w:val="0"/>
  </w:style>
  <w:style w:type="character" w:customStyle="1" w:styleId="314">
    <w:name w:val="nth-of-type(1)3"/>
    <w:basedOn w:val="51"/>
    <w:qFormat/>
    <w:uiPriority w:val="0"/>
    <w:rPr>
      <w:b/>
      <w:bCs/>
      <w:color w:val="2B74FB"/>
      <w:sz w:val="19"/>
      <w:szCs w:val="19"/>
    </w:rPr>
  </w:style>
  <w:style w:type="character" w:customStyle="1" w:styleId="315">
    <w:name w:val="nth-of-type(1)4"/>
    <w:basedOn w:val="51"/>
    <w:qFormat/>
    <w:uiPriority w:val="0"/>
  </w:style>
  <w:style w:type="character" w:customStyle="1" w:styleId="316">
    <w:name w:val="nth-of-type(1)5"/>
    <w:basedOn w:val="51"/>
    <w:qFormat/>
    <w:uiPriority w:val="0"/>
  </w:style>
  <w:style w:type="character" w:customStyle="1" w:styleId="317">
    <w:name w:val="nth-of-type(1)6"/>
    <w:basedOn w:val="51"/>
    <w:qFormat/>
    <w:uiPriority w:val="0"/>
    <w:rPr>
      <w:color w:val="0C0C0C"/>
      <w:sz w:val="21"/>
      <w:szCs w:val="21"/>
    </w:rPr>
  </w:style>
  <w:style w:type="character" w:customStyle="1" w:styleId="318">
    <w:name w:val="nth-of-type(1)7"/>
    <w:basedOn w:val="51"/>
    <w:qFormat/>
    <w:uiPriority w:val="0"/>
  </w:style>
  <w:style w:type="character" w:customStyle="1" w:styleId="319">
    <w:name w:val="nth-of-type(1)8"/>
    <w:basedOn w:val="51"/>
    <w:qFormat/>
    <w:uiPriority w:val="0"/>
  </w:style>
  <w:style w:type="character" w:customStyle="1" w:styleId="320">
    <w:name w:val="nth-of-type(1)9"/>
    <w:basedOn w:val="51"/>
    <w:qFormat/>
    <w:uiPriority w:val="0"/>
  </w:style>
  <w:style w:type="character" w:customStyle="1" w:styleId="321">
    <w:name w:val="nth-of-type(2)2"/>
    <w:basedOn w:val="51"/>
    <w:qFormat/>
    <w:uiPriority w:val="0"/>
  </w:style>
  <w:style w:type="character" w:customStyle="1" w:styleId="322">
    <w:name w:val="nth-of-type(2)3"/>
    <w:basedOn w:val="51"/>
    <w:qFormat/>
    <w:uiPriority w:val="0"/>
    <w:rPr>
      <w:shd w:val="clear" w:color="auto" w:fill="555555"/>
    </w:rPr>
  </w:style>
  <w:style w:type="character" w:customStyle="1" w:styleId="323">
    <w:name w:val="nth-of-type(2)4"/>
    <w:basedOn w:val="51"/>
    <w:qFormat/>
    <w:uiPriority w:val="0"/>
    <w:rPr>
      <w:b/>
      <w:bCs/>
      <w:color w:val="000000"/>
      <w:sz w:val="19"/>
      <w:szCs w:val="19"/>
    </w:rPr>
  </w:style>
  <w:style w:type="character" w:customStyle="1" w:styleId="324">
    <w:name w:val="nth-of-type(2)5"/>
    <w:basedOn w:val="51"/>
    <w:qFormat/>
    <w:uiPriority w:val="0"/>
  </w:style>
  <w:style w:type="character" w:customStyle="1" w:styleId="325">
    <w:name w:val="nth-of-type(2)6"/>
    <w:basedOn w:val="51"/>
    <w:qFormat/>
    <w:uiPriority w:val="0"/>
    <w:rPr>
      <w:shd w:val="clear" w:color="auto" w:fill="D5D9EB"/>
    </w:rPr>
  </w:style>
  <w:style w:type="character" w:customStyle="1" w:styleId="326">
    <w:name w:val="nth-of-type(2)7"/>
    <w:basedOn w:val="51"/>
    <w:qFormat/>
    <w:uiPriority w:val="0"/>
  </w:style>
  <w:style w:type="character" w:customStyle="1" w:styleId="327">
    <w:name w:val="nth-of-type(2)8"/>
    <w:basedOn w:val="51"/>
    <w:qFormat/>
    <w:uiPriority w:val="0"/>
  </w:style>
  <w:style w:type="character" w:customStyle="1" w:styleId="328">
    <w:name w:val="nth-of-type(2)9"/>
    <w:basedOn w:val="51"/>
    <w:qFormat/>
    <w:uiPriority w:val="0"/>
  </w:style>
  <w:style w:type="character" w:customStyle="1" w:styleId="329">
    <w:name w:val="nth-of-type(2)10"/>
    <w:basedOn w:val="51"/>
    <w:qFormat/>
    <w:uiPriority w:val="0"/>
    <w:rPr>
      <w:shd w:val="clear" w:color="auto" w:fill="F74A4E"/>
    </w:rPr>
  </w:style>
  <w:style w:type="character" w:customStyle="1" w:styleId="330">
    <w:name w:val="hover63"/>
    <w:basedOn w:val="51"/>
    <w:qFormat/>
    <w:uiPriority w:val="0"/>
  </w:style>
  <w:style w:type="character" w:customStyle="1" w:styleId="331">
    <w:name w:val="hover64"/>
    <w:basedOn w:val="51"/>
    <w:qFormat/>
    <w:uiPriority w:val="0"/>
    <w:rPr>
      <w:color w:val="3D91FF"/>
    </w:rPr>
  </w:style>
  <w:style w:type="character" w:customStyle="1" w:styleId="332">
    <w:name w:val="hover65"/>
    <w:basedOn w:val="51"/>
    <w:qFormat/>
    <w:uiPriority w:val="0"/>
    <w:rPr>
      <w:shd w:val="clear" w:color="auto" w:fill="F6F6F6"/>
    </w:rPr>
  </w:style>
  <w:style w:type="character" w:customStyle="1" w:styleId="333">
    <w:name w:val="hover66"/>
    <w:basedOn w:val="51"/>
    <w:qFormat/>
    <w:uiPriority w:val="0"/>
    <w:rPr>
      <w:u w:val="single"/>
    </w:rPr>
  </w:style>
  <w:style w:type="character" w:customStyle="1" w:styleId="334">
    <w:name w:val="hover67"/>
    <w:basedOn w:val="51"/>
    <w:qFormat/>
    <w:uiPriority w:val="0"/>
    <w:rPr>
      <w:color w:val="3C88FF"/>
    </w:rPr>
  </w:style>
  <w:style w:type="character" w:customStyle="1" w:styleId="335">
    <w:name w:val="hover68"/>
    <w:basedOn w:val="51"/>
    <w:qFormat/>
    <w:uiPriority w:val="0"/>
    <w:rPr>
      <w:color w:val="3C88FF"/>
    </w:rPr>
  </w:style>
  <w:style w:type="character" w:customStyle="1" w:styleId="336">
    <w:name w:val="hover69"/>
    <w:basedOn w:val="51"/>
    <w:qFormat/>
    <w:uiPriority w:val="0"/>
    <w:rPr>
      <w:u w:val="single"/>
    </w:rPr>
  </w:style>
  <w:style w:type="character" w:customStyle="1" w:styleId="337">
    <w:name w:val="hover70"/>
    <w:basedOn w:val="51"/>
    <w:qFormat/>
    <w:uiPriority w:val="0"/>
    <w:rPr>
      <w:u w:val="none"/>
    </w:rPr>
  </w:style>
  <w:style w:type="character" w:customStyle="1" w:styleId="338">
    <w:name w:val="hover71"/>
    <w:basedOn w:val="51"/>
    <w:qFormat/>
    <w:uiPriority w:val="0"/>
    <w:rPr>
      <w:color w:val="1632EF"/>
      <w:u w:val="single"/>
    </w:rPr>
  </w:style>
  <w:style w:type="character" w:customStyle="1" w:styleId="339">
    <w:name w:val="hover72"/>
    <w:basedOn w:val="51"/>
    <w:qFormat/>
    <w:uiPriority w:val="0"/>
    <w:rPr>
      <w:color w:val="1632EF"/>
      <w:u w:val="single"/>
    </w:rPr>
  </w:style>
  <w:style w:type="character" w:customStyle="1" w:styleId="340">
    <w:name w:val="hover73"/>
    <w:basedOn w:val="51"/>
    <w:qFormat/>
    <w:uiPriority w:val="0"/>
    <w:rPr>
      <w:u w:val="single"/>
    </w:rPr>
  </w:style>
  <w:style w:type="character" w:customStyle="1" w:styleId="341">
    <w:name w:val="hover74"/>
    <w:basedOn w:val="51"/>
    <w:qFormat/>
    <w:uiPriority w:val="0"/>
    <w:rPr>
      <w:u w:val="single"/>
    </w:rPr>
  </w:style>
  <w:style w:type="character" w:customStyle="1" w:styleId="342">
    <w:name w:val="hover75"/>
    <w:basedOn w:val="51"/>
    <w:qFormat/>
    <w:uiPriority w:val="0"/>
    <w:rPr>
      <w:color w:val="3C88FF"/>
    </w:rPr>
  </w:style>
  <w:style w:type="character" w:customStyle="1" w:styleId="343">
    <w:name w:val="hover76"/>
    <w:basedOn w:val="51"/>
    <w:qFormat/>
    <w:uiPriority w:val="0"/>
    <w:rPr>
      <w:color w:val="3C88FF"/>
    </w:rPr>
  </w:style>
  <w:style w:type="character" w:customStyle="1" w:styleId="344">
    <w:name w:val="hover77"/>
    <w:basedOn w:val="51"/>
    <w:qFormat/>
    <w:uiPriority w:val="0"/>
    <w:rPr>
      <w:u w:val="single"/>
    </w:rPr>
  </w:style>
  <w:style w:type="character" w:customStyle="1" w:styleId="345">
    <w:name w:val="hover78"/>
    <w:basedOn w:val="51"/>
    <w:qFormat/>
    <w:uiPriority w:val="0"/>
    <w:rPr>
      <w:color w:val="3D91FF"/>
    </w:rPr>
  </w:style>
  <w:style w:type="character" w:customStyle="1" w:styleId="346">
    <w:name w:val="hover79"/>
    <w:basedOn w:val="51"/>
    <w:qFormat/>
    <w:uiPriority w:val="0"/>
    <w:rPr>
      <w:u w:val="single"/>
    </w:rPr>
  </w:style>
  <w:style w:type="character" w:customStyle="1" w:styleId="347">
    <w:name w:val="hover80"/>
    <w:basedOn w:val="51"/>
    <w:qFormat/>
    <w:uiPriority w:val="0"/>
    <w:rPr>
      <w:u w:val="single"/>
    </w:rPr>
  </w:style>
  <w:style w:type="character" w:customStyle="1" w:styleId="348">
    <w:name w:val="hover81"/>
    <w:basedOn w:val="51"/>
    <w:qFormat/>
    <w:uiPriority w:val="0"/>
    <w:rPr>
      <w:u w:val="single"/>
    </w:rPr>
  </w:style>
  <w:style w:type="character" w:customStyle="1" w:styleId="349">
    <w:name w:val="hover82"/>
    <w:basedOn w:val="51"/>
    <w:qFormat/>
    <w:uiPriority w:val="0"/>
    <w:rPr>
      <w:u w:val="none"/>
    </w:rPr>
  </w:style>
  <w:style w:type="character" w:customStyle="1" w:styleId="350">
    <w:name w:val="hover83"/>
    <w:basedOn w:val="51"/>
    <w:qFormat/>
    <w:uiPriority w:val="0"/>
    <w:rPr>
      <w:u w:val="none"/>
    </w:rPr>
  </w:style>
  <w:style w:type="character" w:customStyle="1" w:styleId="351">
    <w:name w:val="hover84"/>
    <w:basedOn w:val="51"/>
    <w:qFormat/>
    <w:uiPriority w:val="0"/>
    <w:rPr>
      <w:u w:val="single"/>
    </w:rPr>
  </w:style>
  <w:style w:type="character" w:customStyle="1" w:styleId="352">
    <w:name w:val="hover85"/>
    <w:basedOn w:val="51"/>
    <w:qFormat/>
    <w:uiPriority w:val="0"/>
    <w:rPr>
      <w:color w:val="3C88FF"/>
    </w:rPr>
  </w:style>
  <w:style w:type="character" w:customStyle="1" w:styleId="353">
    <w:name w:val="nth-of-type(3)"/>
    <w:basedOn w:val="51"/>
    <w:qFormat/>
    <w:uiPriority w:val="0"/>
    <w:rPr>
      <w:color w:val="FFFFFF"/>
    </w:rPr>
  </w:style>
  <w:style w:type="character" w:customStyle="1" w:styleId="354">
    <w:name w:val="nth-of-type(3)1"/>
    <w:basedOn w:val="51"/>
    <w:qFormat/>
    <w:uiPriority w:val="0"/>
  </w:style>
  <w:style w:type="character" w:customStyle="1" w:styleId="355">
    <w:name w:val="nth-of-type(3)2"/>
    <w:basedOn w:val="51"/>
    <w:qFormat/>
    <w:uiPriority w:val="0"/>
  </w:style>
  <w:style w:type="character" w:customStyle="1" w:styleId="356">
    <w:name w:val="nth-of-type(3)3"/>
    <w:basedOn w:val="51"/>
    <w:qFormat/>
    <w:uiPriority w:val="0"/>
    <w:rPr>
      <w:color w:val="EE5959"/>
    </w:rPr>
  </w:style>
  <w:style w:type="character" w:customStyle="1" w:styleId="357">
    <w:name w:val="nth-last-of-type(1)1"/>
    <w:basedOn w:val="51"/>
    <w:qFormat/>
    <w:uiPriority w:val="0"/>
    <w:rPr>
      <w:bdr w:val="single" w:color="45CAA1" w:sz="6" w:space="0"/>
    </w:rPr>
  </w:style>
  <w:style w:type="character" w:customStyle="1" w:styleId="358">
    <w:name w:val="nth-last-of-type(1)2"/>
    <w:basedOn w:val="51"/>
    <w:qFormat/>
    <w:uiPriority w:val="0"/>
  </w:style>
  <w:style w:type="character" w:customStyle="1" w:styleId="359">
    <w:name w:val="before8"/>
    <w:basedOn w:val="51"/>
    <w:qFormat/>
    <w:uiPriority w:val="0"/>
    <w:rPr>
      <w:shd w:val="clear" w:color="auto" w:fill="EEEEEE"/>
    </w:rPr>
  </w:style>
  <w:style w:type="character" w:customStyle="1" w:styleId="360">
    <w:name w:val="before9"/>
    <w:basedOn w:val="51"/>
    <w:qFormat/>
    <w:uiPriority w:val="0"/>
  </w:style>
  <w:style w:type="character" w:customStyle="1" w:styleId="361">
    <w:name w:val="after4"/>
    <w:basedOn w:val="51"/>
    <w:qFormat/>
    <w:uiPriority w:val="0"/>
  </w:style>
  <w:style w:type="character" w:customStyle="1" w:styleId="362">
    <w:name w:val="nth-child(7)"/>
    <w:basedOn w:val="51"/>
    <w:qFormat/>
    <w:uiPriority w:val="0"/>
    <w:rPr>
      <w:color w:val="FFFFFF"/>
    </w:rPr>
  </w:style>
  <w:style w:type="character" w:customStyle="1" w:styleId="363">
    <w:name w:val="nth-child(1)1"/>
    <w:basedOn w:val="51"/>
    <w:qFormat/>
    <w:uiPriority w:val="0"/>
  </w:style>
  <w:style w:type="character" w:customStyle="1" w:styleId="364">
    <w:name w:val="nth-child(1)2"/>
    <w:basedOn w:val="51"/>
    <w:qFormat/>
    <w:uiPriority w:val="0"/>
    <w:rPr>
      <w:color w:val="999999"/>
    </w:rPr>
  </w:style>
  <w:style w:type="character" w:customStyle="1" w:styleId="365">
    <w:name w:val="nth-child(1)3"/>
    <w:basedOn w:val="51"/>
    <w:qFormat/>
    <w:uiPriority w:val="0"/>
    <w:rPr>
      <w:color w:val="999999"/>
    </w:rPr>
  </w:style>
  <w:style w:type="character" w:customStyle="1" w:styleId="366">
    <w:name w:val="nth-child(1)4"/>
    <w:basedOn w:val="51"/>
    <w:qFormat/>
    <w:uiPriority w:val="0"/>
  </w:style>
  <w:style w:type="character" w:customStyle="1" w:styleId="367">
    <w:name w:val="text1"/>
    <w:basedOn w:val="51"/>
    <w:qFormat/>
    <w:uiPriority w:val="0"/>
    <w:rPr>
      <w:color w:val="666666"/>
    </w:rPr>
  </w:style>
  <w:style w:type="character" w:customStyle="1" w:styleId="368">
    <w:name w:val="nth-child(6)"/>
    <w:basedOn w:val="51"/>
    <w:qFormat/>
    <w:uiPriority w:val="0"/>
    <w:rPr>
      <w:color w:val="A1A1A1"/>
      <w:sz w:val="19"/>
      <w:szCs w:val="19"/>
    </w:rPr>
  </w:style>
  <w:style w:type="character" w:customStyle="1" w:styleId="369">
    <w:name w:val="nth-child(3)"/>
    <w:basedOn w:val="51"/>
    <w:qFormat/>
    <w:uiPriority w:val="0"/>
    <w:rPr>
      <w:color w:val="222222"/>
    </w:rPr>
  </w:style>
  <w:style w:type="character" w:customStyle="1" w:styleId="370">
    <w:name w:val="nth-child(3)1"/>
    <w:basedOn w:val="51"/>
    <w:qFormat/>
    <w:uiPriority w:val="0"/>
    <w:rPr>
      <w:color w:val="000000"/>
    </w:rPr>
  </w:style>
  <w:style w:type="character" w:customStyle="1" w:styleId="371">
    <w:name w:val="nth-of-type(2)"/>
    <w:basedOn w:val="51"/>
    <w:qFormat/>
    <w:uiPriority w:val="0"/>
  </w:style>
  <w:style w:type="character" w:customStyle="1" w:styleId="372">
    <w:name w:val="nth-of-type(2)1"/>
    <w:basedOn w:val="51"/>
    <w:qFormat/>
    <w:uiPriority w:val="0"/>
  </w:style>
  <w:style w:type="character" w:customStyle="1" w:styleId="373">
    <w:name w:val="index-name-935ff"/>
    <w:basedOn w:val="51"/>
    <w:qFormat/>
    <w:uiPriority w:val="0"/>
    <w:rPr>
      <w:sz w:val="24"/>
      <w:szCs w:val="24"/>
    </w:rPr>
  </w:style>
  <w:style w:type="character" w:customStyle="1" w:styleId="374">
    <w:name w:val="before7"/>
    <w:basedOn w:val="51"/>
    <w:qFormat/>
    <w:uiPriority w:val="0"/>
    <w:rPr>
      <w:shd w:val="clear" w:color="auto" w:fill="EEEEEE"/>
    </w:rPr>
  </w:style>
  <w:style w:type="character" w:customStyle="1" w:styleId="375">
    <w:name w:val="nth-child(5)1"/>
    <w:basedOn w:val="51"/>
    <w:qFormat/>
    <w:uiPriority w:val="0"/>
    <w:rPr>
      <w:color w:val="666666"/>
    </w:rPr>
  </w:style>
  <w:style w:type="character" w:customStyle="1" w:styleId="376">
    <w:name w:val="hover59"/>
    <w:basedOn w:val="51"/>
    <w:qFormat/>
    <w:uiPriority w:val="0"/>
    <w:rPr>
      <w:u w:val="none"/>
    </w:rPr>
  </w:style>
  <w:style w:type="character" w:customStyle="1" w:styleId="377">
    <w:name w:val="hover60"/>
    <w:basedOn w:val="51"/>
    <w:qFormat/>
    <w:uiPriority w:val="0"/>
  </w:style>
  <w:style w:type="character" w:customStyle="1" w:styleId="378">
    <w:name w:val="hover61"/>
    <w:basedOn w:val="51"/>
    <w:qFormat/>
    <w:uiPriority w:val="0"/>
    <w:rPr>
      <w:u w:val="single"/>
    </w:rPr>
  </w:style>
  <w:style w:type="character" w:customStyle="1" w:styleId="379">
    <w:name w:val="hover62"/>
    <w:basedOn w:val="51"/>
    <w:qFormat/>
    <w:uiPriority w:val="0"/>
    <w:rPr>
      <w:color w:val="1632EF"/>
      <w:u w:val="single"/>
    </w:rPr>
  </w:style>
  <w:style w:type="character" w:customStyle="1" w:styleId="380">
    <w:name w:val="nth-child(1)"/>
    <w:basedOn w:val="51"/>
    <w:qFormat/>
    <w:uiPriority w:val="0"/>
    <w:rPr>
      <w:color w:val="999999"/>
    </w:rPr>
  </w:style>
  <w:style w:type="character" w:customStyle="1" w:styleId="381">
    <w:name w:val="nth-child(4)1"/>
    <w:basedOn w:val="51"/>
    <w:qFormat/>
    <w:uiPriority w:val="0"/>
    <w:rPr>
      <w:color w:val="222222"/>
    </w:rPr>
  </w:style>
  <w:style w:type="character" w:customStyle="1" w:styleId="382">
    <w:name w:val="nth-of-type(1)10"/>
    <w:basedOn w:val="51"/>
    <w:qFormat/>
    <w:uiPriority w:val="0"/>
  </w:style>
  <w:style w:type="character" w:customStyle="1" w:styleId="383">
    <w:name w:val="nth-of-type(1)11"/>
    <w:basedOn w:val="51"/>
    <w:qFormat/>
    <w:uiPriority w:val="0"/>
    <w:rPr>
      <w:color w:val="0C0C0C"/>
      <w:sz w:val="21"/>
      <w:szCs w:val="21"/>
    </w:rPr>
  </w:style>
  <w:style w:type="character" w:customStyle="1" w:styleId="384">
    <w:name w:val="nth-of-type(1)12"/>
    <w:basedOn w:val="51"/>
    <w:qFormat/>
    <w:uiPriority w:val="0"/>
  </w:style>
  <w:style w:type="character" w:customStyle="1" w:styleId="385">
    <w:name w:val="nth-of-type(1)13"/>
    <w:basedOn w:val="51"/>
    <w:qFormat/>
    <w:uiPriority w:val="0"/>
  </w:style>
  <w:style w:type="character" w:customStyle="1" w:styleId="386">
    <w:name w:val="nth-of-type(1)14"/>
    <w:basedOn w:val="51"/>
    <w:qFormat/>
    <w:uiPriority w:val="0"/>
  </w:style>
  <w:style w:type="character" w:customStyle="1" w:styleId="387">
    <w:name w:val="nth-of-type(1)15"/>
    <w:basedOn w:val="51"/>
    <w:qFormat/>
    <w:uiPriority w:val="0"/>
  </w:style>
  <w:style w:type="table" w:customStyle="1" w:styleId="388">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38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32899</Words>
  <Characters>35455</Characters>
  <Lines>295</Lines>
  <Paragraphs>83</Paragraphs>
  <TotalTime>26</TotalTime>
  <ScaleCrop>false</ScaleCrop>
  <LinksUpToDate>false</LinksUpToDate>
  <CharactersWithSpaces>38928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2018-05-25T02:48:00Z</dcterms:created>
  <dc:creator>微软用户</dc:creator>
  <cp:lastModifiedBy>吴禹</cp:lastModifiedBy>
  <cp:lastPrinted>2023-12-22T02:21:00Z</cp:lastPrinted>
  <dcterms:modified xsi:type="dcterms:W3CDTF">2024-07-01T09:30:57Z</dcterms:modified>
  <dc:title>南阳市卧龙区蒲山镇马营小学等11所学校建设项目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4FE844DE79D94802AE767693843EC092_13</vt:lpwstr>
  </property>
  <property fmtid="{D5CDD505-2E9C-101B-9397-08002B2CF9AE}" pid="4" name="commondata">
    <vt:lpwstr>eyJoZGlkIjoiYjE2MDJkODczNzBjOTFmNWZhN2I5ZDlkNmJkMjAwYmQifQ==</vt:lpwstr>
  </property>
</Properties>
</file>