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3"/>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b/>
          <w:bCs/>
          <w:sz w:val="52"/>
          <w:szCs w:val="52"/>
        </w:rPr>
      </w:pPr>
      <w:r>
        <w:rPr>
          <w:rFonts w:hint="eastAsia"/>
          <w:b/>
          <w:bCs/>
          <w:sz w:val="52"/>
          <w:szCs w:val="52"/>
          <w:lang w:val="en-US" w:eastAsia="zh-CN"/>
        </w:rPr>
        <w:t>唐河县老年体育公园暨智慧健身公园建设项目</w:t>
      </w:r>
    </w:p>
    <w:p>
      <w:pPr>
        <w:pStyle w:val="43"/>
      </w:pPr>
    </w:p>
    <w:p>
      <w:pPr>
        <w:pStyle w:val="43"/>
      </w:pPr>
    </w:p>
    <w:p>
      <w:pPr>
        <w:pStyle w:val="43"/>
      </w:pPr>
    </w:p>
    <w:p>
      <w:pPr>
        <w:pStyle w:val="10"/>
        <w:spacing w:before="9"/>
        <w:jc w:val="center"/>
        <w:rPr>
          <w:b/>
          <w:sz w:val="96"/>
          <w:szCs w:val="32"/>
        </w:rPr>
      </w:pPr>
      <w:r>
        <w:rPr>
          <w:rFonts w:hint="eastAsia"/>
          <w:b/>
          <w:sz w:val="96"/>
          <w:szCs w:val="32"/>
        </w:rPr>
        <w:t>招标文件</w:t>
      </w:r>
    </w:p>
    <w:p>
      <w:pPr>
        <w:pStyle w:val="10"/>
        <w:spacing w:before="9"/>
        <w:jc w:val="center"/>
        <w:rPr>
          <w:rFonts w:ascii="Arial" w:hAnsi="Arial" w:eastAsia="Arial" w:cs="Arial"/>
          <w:snapToGrid w:val="0"/>
          <w:color w:val="auto"/>
          <w:spacing w:val="-1"/>
          <w:sz w:val="32"/>
          <w:szCs w:val="21"/>
          <w:lang w:val="en-US" w:eastAsia="zh-CN" w:bidi="ar-SA"/>
        </w:rPr>
      </w:pPr>
    </w:p>
    <w:p>
      <w:pPr>
        <w:pStyle w:val="24"/>
        <w:rPr>
          <w:lang w:val="en-US" w:eastAsia="zh-CN"/>
        </w:rPr>
      </w:pPr>
    </w:p>
    <w:p>
      <w:pPr>
        <w:jc w:val="center"/>
        <w:rPr>
          <w:rFonts w:hint="default" w:ascii="Arial" w:hAnsi="Arial" w:eastAsia="Arial" w:cs="Arial"/>
          <w:snapToGrid w:val="0"/>
          <w:color w:val="auto"/>
          <w:spacing w:val="-1"/>
          <w:sz w:val="32"/>
          <w:szCs w:val="21"/>
          <w:lang w:val="en-US" w:eastAsia="zh-CN" w:bidi="ar-SA"/>
        </w:rPr>
      </w:pPr>
      <w:r>
        <w:rPr>
          <w:rFonts w:ascii="Arial" w:hAnsi="Arial" w:eastAsia="Arial" w:cs="Arial"/>
          <w:snapToGrid w:val="0"/>
          <w:color w:val="auto"/>
          <w:spacing w:val="-1"/>
          <w:sz w:val="32"/>
          <w:szCs w:val="21"/>
          <w:lang w:val="en-US" w:eastAsia="zh-CN" w:bidi="ar-SA"/>
        </w:rPr>
        <w:t>采购项目编号：唐财采购公开-2024-</w:t>
      </w:r>
      <w:r>
        <w:rPr>
          <w:rFonts w:hint="eastAsia" w:ascii="Arial" w:hAnsi="Arial" w:eastAsia="Arial" w:cs="Arial"/>
          <w:snapToGrid w:val="0"/>
          <w:color w:val="auto"/>
          <w:spacing w:val="-1"/>
          <w:sz w:val="32"/>
          <w:szCs w:val="21"/>
          <w:lang w:val="en-US" w:eastAsia="zh-CN" w:bidi="ar-SA"/>
        </w:rPr>
        <w:t>26</w:t>
      </w:r>
      <w:r>
        <w:rPr>
          <w:rFonts w:hint="eastAsia" w:cs="Arial"/>
          <w:snapToGrid w:val="0"/>
          <w:color w:val="auto"/>
          <w:spacing w:val="-1"/>
          <w:sz w:val="32"/>
          <w:szCs w:val="21"/>
          <w:lang w:val="en-US" w:eastAsia="zh-CN" w:bidi="ar-SA"/>
        </w:rPr>
        <w:t xml:space="preserve"> </w:t>
      </w:r>
    </w:p>
    <w:p>
      <w:pPr>
        <w:pStyle w:val="10"/>
        <w:rPr>
          <w:sz w:val="20"/>
        </w:rPr>
      </w:pPr>
    </w:p>
    <w:p>
      <w:pPr>
        <w:pStyle w:val="10"/>
        <w:rPr>
          <w:sz w:val="20"/>
        </w:rPr>
      </w:pPr>
    </w:p>
    <w:p>
      <w:pPr>
        <w:pStyle w:val="10"/>
        <w:rPr>
          <w:sz w:val="20"/>
        </w:rPr>
      </w:pPr>
    </w:p>
    <w:p>
      <w:pPr>
        <w:pStyle w:val="10"/>
        <w:rPr>
          <w:sz w:val="20"/>
        </w:rPr>
      </w:pPr>
    </w:p>
    <w:p>
      <w:pPr>
        <w:pStyle w:val="10"/>
        <w:spacing w:before="11"/>
      </w:pPr>
    </w:p>
    <w:p>
      <w:pPr>
        <w:pStyle w:val="10"/>
        <w:rPr>
          <w:sz w:val="32"/>
        </w:rPr>
      </w:pPr>
    </w:p>
    <w:p>
      <w:pPr>
        <w:pStyle w:val="10"/>
        <w:rPr>
          <w:sz w:val="32"/>
        </w:rPr>
      </w:pPr>
    </w:p>
    <w:p>
      <w:pPr>
        <w:pStyle w:val="10"/>
        <w:rPr>
          <w:sz w:val="32"/>
        </w:rPr>
      </w:pPr>
    </w:p>
    <w:p>
      <w:pPr>
        <w:pStyle w:val="10"/>
        <w:rPr>
          <w:sz w:val="32"/>
        </w:rPr>
      </w:pPr>
    </w:p>
    <w:p>
      <w:pPr>
        <w:pStyle w:val="10"/>
        <w:rPr>
          <w:sz w:val="32"/>
        </w:rPr>
      </w:pPr>
    </w:p>
    <w:p>
      <w:pPr>
        <w:pStyle w:val="10"/>
        <w:rPr>
          <w:sz w:val="32"/>
        </w:rPr>
      </w:pPr>
    </w:p>
    <w:p>
      <w:pPr>
        <w:pStyle w:val="10"/>
        <w:rPr>
          <w:sz w:val="32"/>
        </w:rPr>
      </w:pPr>
    </w:p>
    <w:p>
      <w:pPr>
        <w:tabs>
          <w:tab w:val="left" w:pos="3655"/>
          <w:tab w:val="left" w:pos="5462"/>
          <w:tab w:val="left" w:pos="9881"/>
        </w:tabs>
        <w:spacing w:before="207" w:line="235" w:lineRule="auto"/>
        <w:ind w:right="322"/>
        <w:jc w:val="center"/>
        <w:rPr>
          <w:rFonts w:eastAsiaTheme="minorEastAsia"/>
          <w:b/>
          <w:spacing w:val="-2"/>
          <w:sz w:val="32"/>
          <w:szCs w:val="32"/>
          <w:u w:val="single"/>
        </w:rPr>
      </w:pPr>
      <w:r>
        <w:rPr>
          <w:b/>
          <w:sz w:val="32"/>
          <w:szCs w:val="32"/>
        </w:rPr>
        <w:t>采</w:t>
      </w:r>
      <w:r>
        <w:rPr>
          <w:rFonts w:hint="eastAsia" w:eastAsiaTheme="minorEastAsia"/>
          <w:b/>
          <w:sz w:val="32"/>
          <w:szCs w:val="32"/>
        </w:rPr>
        <w:t xml:space="preserve">      </w:t>
      </w:r>
      <w:r>
        <w:rPr>
          <w:b/>
          <w:sz w:val="32"/>
          <w:szCs w:val="32"/>
        </w:rPr>
        <w:t>购</w:t>
      </w:r>
      <w:r>
        <w:rPr>
          <w:rFonts w:hint="eastAsia" w:eastAsiaTheme="minorEastAsia"/>
          <w:b/>
          <w:sz w:val="32"/>
          <w:szCs w:val="32"/>
        </w:rPr>
        <w:t xml:space="preserve">     </w:t>
      </w:r>
      <w:r>
        <w:rPr>
          <w:b/>
          <w:sz w:val="32"/>
          <w:szCs w:val="32"/>
        </w:rPr>
        <w:t>人：</w:t>
      </w:r>
      <w:r>
        <w:rPr>
          <w:rFonts w:hint="eastAsia"/>
          <w:b/>
          <w:sz w:val="32"/>
          <w:szCs w:val="32"/>
          <w:u w:val="single"/>
          <w:lang w:val="en-US" w:eastAsia="zh-CN"/>
        </w:rPr>
        <w:t>唐河县体育事业发展中心</w:t>
      </w:r>
    </w:p>
    <w:p>
      <w:pPr>
        <w:tabs>
          <w:tab w:val="left" w:pos="3655"/>
          <w:tab w:val="left" w:pos="5462"/>
          <w:tab w:val="left" w:pos="9881"/>
        </w:tabs>
        <w:spacing w:before="207" w:line="235" w:lineRule="auto"/>
        <w:ind w:right="322"/>
        <w:jc w:val="center"/>
        <w:rPr>
          <w:b/>
          <w:spacing w:val="-2"/>
          <w:sz w:val="32"/>
          <w:szCs w:val="32"/>
          <w:u w:val="single"/>
        </w:rPr>
      </w:pPr>
      <w:r>
        <w:rPr>
          <w:b/>
          <w:sz w:val="32"/>
          <w:szCs w:val="32"/>
        </w:rPr>
        <w:t>采购代理机构：</w:t>
      </w:r>
      <w:r>
        <w:rPr>
          <w:rFonts w:hint="eastAsia"/>
          <w:b/>
          <w:sz w:val="32"/>
          <w:szCs w:val="32"/>
          <w:u w:val="single"/>
          <w:lang w:val="en-US" w:eastAsia="zh-CN"/>
        </w:rPr>
        <w:t>唐河县唐兴工程造价咨询有限公司</w:t>
      </w:r>
    </w:p>
    <w:p>
      <w:pPr>
        <w:spacing w:before="227" w:line="220" w:lineRule="auto"/>
        <w:jc w:val="center"/>
        <w:rPr>
          <w:rFonts w:hint="default" w:ascii="宋体" w:hAnsi="宋体" w:eastAsia="宋体" w:cs="宋体"/>
          <w:sz w:val="32"/>
          <w:szCs w:val="32"/>
          <w:lang w:val="en-US"/>
        </w:rPr>
      </w:pPr>
      <w:r>
        <w:rPr>
          <w:b/>
          <w:sz w:val="32"/>
          <w:szCs w:val="32"/>
        </w:rPr>
        <w:t>日</w:t>
      </w:r>
      <w:r>
        <w:rPr>
          <w:rFonts w:hint="eastAsia" w:eastAsiaTheme="minorEastAsia"/>
          <w:b/>
          <w:sz w:val="32"/>
          <w:szCs w:val="32"/>
        </w:rPr>
        <w:t xml:space="preserve">             </w:t>
      </w:r>
      <w:r>
        <w:rPr>
          <w:b/>
          <w:sz w:val="32"/>
          <w:szCs w:val="32"/>
        </w:rPr>
        <w:t>期：</w:t>
      </w:r>
      <w:r>
        <w:rPr>
          <w:b/>
          <w:w w:val="95"/>
          <w:sz w:val="32"/>
          <w:szCs w:val="32"/>
          <w:u w:val="single"/>
        </w:rPr>
        <w:t>二零二</w:t>
      </w:r>
      <w:r>
        <w:rPr>
          <w:rFonts w:hint="eastAsia" w:eastAsia="宋体"/>
          <w:b/>
          <w:w w:val="95"/>
          <w:sz w:val="32"/>
          <w:szCs w:val="32"/>
          <w:u w:val="single"/>
          <w:lang w:val="en-US" w:eastAsia="zh-CN"/>
        </w:rPr>
        <w:t>四</w:t>
      </w:r>
      <w:r>
        <w:rPr>
          <w:b/>
          <w:w w:val="95"/>
          <w:sz w:val="32"/>
          <w:szCs w:val="32"/>
          <w:u w:val="single"/>
        </w:rPr>
        <w:t>年</w:t>
      </w:r>
      <w:r>
        <w:rPr>
          <w:rFonts w:hint="eastAsia" w:eastAsia="宋体"/>
          <w:b/>
          <w:w w:val="95"/>
          <w:sz w:val="32"/>
          <w:szCs w:val="32"/>
          <w:u w:val="single"/>
          <w:lang w:val="en-US" w:eastAsia="zh-CN"/>
        </w:rPr>
        <w:t>七月</w:t>
      </w:r>
    </w:p>
    <w:p>
      <w:pPr>
        <w:sectPr>
          <w:footerReference r:id="rId3" w:type="default"/>
          <w:pgSz w:w="11907" w:h="16839"/>
          <w:pgMar w:top="1431" w:right="1323" w:bottom="1175" w:left="1334" w:header="0" w:footer="1015" w:gutter="0"/>
          <w:cols w:space="720" w:num="1"/>
        </w:sectPr>
      </w:pPr>
    </w:p>
    <w:p>
      <w:pPr>
        <w:jc w:val="center"/>
        <w:rPr>
          <w:rFonts w:eastAsia="宋体"/>
          <w:b/>
          <w:bCs/>
          <w:sz w:val="32"/>
          <w:szCs w:val="32"/>
        </w:rPr>
      </w:pPr>
      <w:r>
        <w:rPr>
          <w:rFonts w:hint="eastAsia" w:eastAsia="宋体"/>
          <w:b/>
          <w:bCs/>
          <w:sz w:val="32"/>
          <w:szCs w:val="32"/>
        </w:rPr>
        <w:t>目  录</w:t>
      </w:r>
    </w:p>
    <w:p>
      <w:pPr>
        <w:pStyle w:val="20"/>
        <w:keepNext w:val="0"/>
        <w:keepLines w:val="0"/>
        <w:pageBreakBefore w:val="0"/>
        <w:widowControl/>
        <w:tabs>
          <w:tab w:val="right" w:leader="dot" w:pos="9807"/>
        </w:tabs>
        <w:kinsoku w:val="0"/>
        <w:wordWrap/>
        <w:overflowPunct/>
        <w:topLinePunct w:val="0"/>
        <w:autoSpaceDE w:val="0"/>
        <w:autoSpaceDN w:val="0"/>
        <w:bidi w:val="0"/>
        <w:adjustRightInd w:val="0"/>
        <w:snapToGrid w:val="0"/>
        <w:spacing w:line="360" w:lineRule="auto"/>
        <w:textAlignment w:val="baseline"/>
        <w:rPr>
          <w:rFonts w:eastAsia="宋体"/>
          <w:sz w:val="28"/>
        </w:rPr>
      </w:pPr>
      <w:r>
        <w:rPr>
          <w:rFonts w:hint="eastAsia" w:ascii="华文宋体" w:hAnsi="华文宋体" w:eastAsia="宋体" w:cs="华文宋体"/>
          <w:sz w:val="28"/>
          <w:szCs w:val="28"/>
        </w:rPr>
        <w:fldChar w:fldCharType="begin"/>
      </w:r>
      <w:r>
        <w:rPr>
          <w:rFonts w:hint="eastAsia" w:ascii="华文宋体" w:hAnsi="华文宋体" w:eastAsia="宋体" w:cs="华文宋体"/>
          <w:sz w:val="28"/>
          <w:szCs w:val="28"/>
        </w:rPr>
        <w:instrText xml:space="preserve">TOC \o "1-3" \h \u </w:instrText>
      </w:r>
      <w:r>
        <w:rPr>
          <w:rFonts w:hint="eastAsia" w:ascii="华文宋体" w:hAnsi="华文宋体" w:eastAsia="宋体" w:cs="华文宋体"/>
          <w:sz w:val="28"/>
          <w:szCs w:val="28"/>
        </w:rPr>
        <w:fldChar w:fldCharType="separate"/>
      </w:r>
      <w:r>
        <w:rPr>
          <w:rFonts w:hint="eastAsia" w:ascii="华文宋体" w:hAnsi="华文宋体" w:eastAsia="宋体" w:cs="华文宋体"/>
          <w:sz w:val="28"/>
          <w:szCs w:val="28"/>
        </w:rPr>
        <w:fldChar w:fldCharType="begin"/>
      </w:r>
      <w:r>
        <w:rPr>
          <w:rFonts w:hint="eastAsia" w:ascii="华文宋体" w:hAnsi="华文宋体" w:eastAsia="宋体" w:cs="华文宋体"/>
          <w:sz w:val="28"/>
          <w:szCs w:val="28"/>
        </w:rPr>
        <w:instrText xml:space="preserve"> HYPERLINK \l _Toc10667 </w:instrText>
      </w:r>
      <w:r>
        <w:rPr>
          <w:rFonts w:hint="eastAsia" w:ascii="华文宋体" w:hAnsi="华文宋体" w:eastAsia="宋体" w:cs="华文宋体"/>
          <w:sz w:val="28"/>
          <w:szCs w:val="28"/>
        </w:rPr>
        <w:fldChar w:fldCharType="separate"/>
      </w:r>
      <w:r>
        <w:rPr>
          <w:rFonts w:ascii="宋体" w:hAnsi="宋体" w:eastAsia="宋体" w:cs="宋体"/>
          <w:bCs/>
          <w:spacing w:val="9"/>
          <w:sz w:val="28"/>
          <w:szCs w:val="31"/>
        </w:rPr>
        <w:t>第一部分 招标公告</w:t>
      </w:r>
      <w:r>
        <w:rPr>
          <w:rFonts w:eastAsia="宋体"/>
          <w:sz w:val="28"/>
        </w:rPr>
        <w:tab/>
      </w:r>
      <w:r>
        <w:rPr>
          <w:rFonts w:eastAsia="宋体"/>
          <w:sz w:val="28"/>
        </w:rPr>
        <w:fldChar w:fldCharType="begin"/>
      </w:r>
      <w:r>
        <w:rPr>
          <w:rFonts w:eastAsia="宋体"/>
          <w:sz w:val="28"/>
        </w:rPr>
        <w:instrText xml:space="preserve"> PAGEREF _Toc10667 \h </w:instrText>
      </w:r>
      <w:r>
        <w:rPr>
          <w:rFonts w:eastAsia="宋体"/>
          <w:sz w:val="28"/>
        </w:rPr>
        <w:fldChar w:fldCharType="separate"/>
      </w:r>
      <w:r>
        <w:rPr>
          <w:rFonts w:eastAsia="宋体"/>
          <w:sz w:val="28"/>
        </w:rPr>
        <w:t>1</w:t>
      </w:r>
      <w:r>
        <w:rPr>
          <w:rFonts w:eastAsia="宋体"/>
          <w:sz w:val="28"/>
        </w:rPr>
        <w:fldChar w:fldCharType="end"/>
      </w:r>
      <w:r>
        <w:rPr>
          <w:rFonts w:hint="eastAsia" w:ascii="华文宋体" w:hAnsi="华文宋体" w:eastAsia="宋体" w:cs="华文宋体"/>
          <w:sz w:val="28"/>
          <w:szCs w:val="28"/>
        </w:rPr>
        <w:fldChar w:fldCharType="end"/>
      </w:r>
    </w:p>
    <w:p>
      <w:pPr>
        <w:pStyle w:val="20"/>
        <w:keepNext w:val="0"/>
        <w:keepLines w:val="0"/>
        <w:pageBreakBefore w:val="0"/>
        <w:widowControl/>
        <w:tabs>
          <w:tab w:val="right" w:leader="dot" w:pos="9807"/>
        </w:tabs>
        <w:kinsoku w:val="0"/>
        <w:wordWrap/>
        <w:overflowPunct/>
        <w:topLinePunct w:val="0"/>
        <w:autoSpaceDE w:val="0"/>
        <w:autoSpaceDN w:val="0"/>
        <w:bidi w:val="0"/>
        <w:adjustRightInd w:val="0"/>
        <w:snapToGrid w:val="0"/>
        <w:spacing w:line="360" w:lineRule="auto"/>
        <w:textAlignment w:val="baseline"/>
        <w:rPr>
          <w:rFonts w:eastAsia="宋体"/>
          <w:sz w:val="28"/>
        </w:rPr>
      </w:pPr>
      <w:r>
        <w:rPr>
          <w:rFonts w:hint="eastAsia" w:ascii="华文宋体" w:hAnsi="华文宋体" w:eastAsia="宋体" w:cs="华文宋体"/>
          <w:sz w:val="28"/>
          <w:szCs w:val="28"/>
        </w:rPr>
        <w:fldChar w:fldCharType="begin"/>
      </w:r>
      <w:r>
        <w:rPr>
          <w:rFonts w:hint="eastAsia" w:ascii="华文宋体" w:hAnsi="华文宋体" w:eastAsia="宋体" w:cs="华文宋体"/>
          <w:sz w:val="28"/>
          <w:szCs w:val="28"/>
        </w:rPr>
        <w:instrText xml:space="preserve"> HYPERLINK \l _Toc5634 </w:instrText>
      </w:r>
      <w:r>
        <w:rPr>
          <w:rFonts w:hint="eastAsia" w:ascii="华文宋体" w:hAnsi="华文宋体" w:eastAsia="宋体" w:cs="华文宋体"/>
          <w:sz w:val="28"/>
          <w:szCs w:val="28"/>
        </w:rPr>
        <w:fldChar w:fldCharType="separate"/>
      </w:r>
      <w:r>
        <w:rPr>
          <w:rFonts w:ascii="宋体" w:hAnsi="宋体" w:eastAsia="宋体" w:cs="宋体"/>
          <w:bCs/>
          <w:spacing w:val="9"/>
          <w:sz w:val="28"/>
          <w:szCs w:val="31"/>
        </w:rPr>
        <w:t>第二部分</w:t>
      </w:r>
      <w:r>
        <w:rPr>
          <w:rFonts w:hint="eastAsia" w:ascii="宋体" w:hAnsi="宋体" w:eastAsia="宋体" w:cs="宋体"/>
          <w:bCs/>
          <w:spacing w:val="9"/>
          <w:sz w:val="28"/>
          <w:szCs w:val="31"/>
          <w:lang w:val="en-US" w:eastAsia="zh-CN"/>
        </w:rPr>
        <w:t xml:space="preserve"> </w:t>
      </w:r>
      <w:r>
        <w:rPr>
          <w:rFonts w:ascii="宋体" w:hAnsi="宋体" w:eastAsia="宋体" w:cs="宋体"/>
          <w:bCs/>
          <w:spacing w:val="9"/>
          <w:sz w:val="28"/>
          <w:szCs w:val="31"/>
        </w:rPr>
        <w:t>投标人须</w:t>
      </w:r>
      <w:r>
        <w:rPr>
          <w:rFonts w:ascii="宋体" w:hAnsi="宋体" w:eastAsia="宋体" w:cs="宋体"/>
          <w:bCs/>
          <w:spacing w:val="8"/>
          <w:sz w:val="28"/>
          <w:szCs w:val="31"/>
        </w:rPr>
        <w:t>知</w:t>
      </w:r>
      <w:r>
        <w:rPr>
          <w:rFonts w:eastAsia="宋体"/>
          <w:sz w:val="28"/>
        </w:rPr>
        <w:tab/>
      </w:r>
      <w:r>
        <w:rPr>
          <w:rFonts w:eastAsia="宋体"/>
          <w:sz w:val="28"/>
        </w:rPr>
        <w:fldChar w:fldCharType="begin"/>
      </w:r>
      <w:r>
        <w:rPr>
          <w:rFonts w:eastAsia="宋体"/>
          <w:sz w:val="28"/>
        </w:rPr>
        <w:instrText xml:space="preserve"> PAGEREF _Toc5634 \h </w:instrText>
      </w:r>
      <w:r>
        <w:rPr>
          <w:rFonts w:eastAsia="宋体"/>
          <w:sz w:val="28"/>
        </w:rPr>
        <w:fldChar w:fldCharType="separate"/>
      </w:r>
      <w:r>
        <w:rPr>
          <w:rFonts w:eastAsia="宋体"/>
          <w:sz w:val="28"/>
        </w:rPr>
        <w:t>5</w:t>
      </w:r>
      <w:r>
        <w:rPr>
          <w:rFonts w:eastAsia="宋体"/>
          <w:sz w:val="28"/>
        </w:rPr>
        <w:fldChar w:fldCharType="end"/>
      </w:r>
      <w:r>
        <w:rPr>
          <w:rFonts w:hint="eastAsia" w:ascii="华文宋体" w:hAnsi="华文宋体" w:eastAsia="宋体" w:cs="华文宋体"/>
          <w:sz w:val="28"/>
          <w:szCs w:val="28"/>
        </w:rPr>
        <w:fldChar w:fldCharType="end"/>
      </w:r>
    </w:p>
    <w:p>
      <w:pPr>
        <w:pStyle w:val="20"/>
        <w:keepNext w:val="0"/>
        <w:keepLines w:val="0"/>
        <w:pageBreakBefore w:val="0"/>
        <w:widowControl/>
        <w:tabs>
          <w:tab w:val="right" w:leader="dot" w:pos="9807"/>
        </w:tabs>
        <w:kinsoku w:val="0"/>
        <w:wordWrap/>
        <w:overflowPunct/>
        <w:topLinePunct w:val="0"/>
        <w:autoSpaceDE w:val="0"/>
        <w:autoSpaceDN w:val="0"/>
        <w:bidi w:val="0"/>
        <w:adjustRightInd w:val="0"/>
        <w:snapToGrid w:val="0"/>
        <w:spacing w:line="360" w:lineRule="auto"/>
        <w:textAlignment w:val="baseline"/>
        <w:rPr>
          <w:rFonts w:eastAsia="宋体"/>
          <w:sz w:val="28"/>
        </w:rPr>
      </w:pPr>
      <w:r>
        <w:rPr>
          <w:rFonts w:hint="eastAsia" w:ascii="华文宋体" w:hAnsi="华文宋体" w:eastAsia="宋体" w:cs="华文宋体"/>
          <w:sz w:val="28"/>
          <w:szCs w:val="28"/>
        </w:rPr>
        <w:fldChar w:fldCharType="begin"/>
      </w:r>
      <w:r>
        <w:rPr>
          <w:rFonts w:hint="eastAsia" w:ascii="华文宋体" w:hAnsi="华文宋体" w:eastAsia="宋体" w:cs="华文宋体"/>
          <w:sz w:val="28"/>
          <w:szCs w:val="28"/>
        </w:rPr>
        <w:instrText xml:space="preserve"> HYPERLINK \l _Toc3831 </w:instrText>
      </w:r>
      <w:r>
        <w:rPr>
          <w:rFonts w:hint="eastAsia" w:ascii="华文宋体" w:hAnsi="华文宋体" w:eastAsia="宋体" w:cs="华文宋体"/>
          <w:sz w:val="28"/>
          <w:szCs w:val="28"/>
        </w:rPr>
        <w:fldChar w:fldCharType="separate"/>
      </w:r>
      <w:r>
        <w:rPr>
          <w:rFonts w:hint="eastAsia" w:eastAsia="宋体" w:asciiTheme="minorEastAsia" w:hAnsiTheme="minorEastAsia" w:cstheme="minorEastAsia"/>
          <w:bCs/>
          <w:spacing w:val="18"/>
          <w:sz w:val="28"/>
          <w:szCs w:val="31"/>
          <w:highlight w:val="none"/>
          <w:lang w:val="en-US" w:eastAsia="zh-CN"/>
        </w:rPr>
        <w:t xml:space="preserve">第三部分 </w:t>
      </w:r>
      <w:r>
        <w:rPr>
          <w:rFonts w:hint="eastAsia" w:eastAsia="宋体" w:asciiTheme="minorEastAsia" w:hAnsiTheme="minorEastAsia" w:cstheme="minorEastAsia"/>
          <w:bCs/>
          <w:spacing w:val="18"/>
          <w:sz w:val="28"/>
          <w:szCs w:val="31"/>
          <w:highlight w:val="none"/>
        </w:rPr>
        <w:t>项目采购内容</w:t>
      </w:r>
      <w:r>
        <w:rPr>
          <w:rFonts w:eastAsia="宋体"/>
          <w:sz w:val="28"/>
        </w:rPr>
        <w:tab/>
      </w:r>
      <w:r>
        <w:rPr>
          <w:rFonts w:hint="eastAsia" w:eastAsia="宋体"/>
          <w:sz w:val="28"/>
          <w:lang w:val="en-US" w:eastAsia="zh-CN"/>
        </w:rPr>
        <w:t>8</w:t>
      </w:r>
      <w:r>
        <w:rPr>
          <w:rFonts w:hint="eastAsia" w:ascii="华文宋体" w:hAnsi="华文宋体" w:eastAsia="宋体" w:cs="华文宋体"/>
          <w:sz w:val="28"/>
          <w:szCs w:val="28"/>
        </w:rPr>
        <w:fldChar w:fldCharType="end"/>
      </w:r>
    </w:p>
    <w:p>
      <w:pPr>
        <w:pStyle w:val="20"/>
        <w:keepNext w:val="0"/>
        <w:keepLines w:val="0"/>
        <w:pageBreakBefore w:val="0"/>
        <w:widowControl/>
        <w:tabs>
          <w:tab w:val="right" w:leader="dot" w:pos="9807"/>
        </w:tabs>
        <w:kinsoku w:val="0"/>
        <w:wordWrap/>
        <w:overflowPunct/>
        <w:topLinePunct w:val="0"/>
        <w:autoSpaceDE w:val="0"/>
        <w:autoSpaceDN w:val="0"/>
        <w:bidi w:val="0"/>
        <w:adjustRightInd w:val="0"/>
        <w:snapToGrid w:val="0"/>
        <w:spacing w:line="360" w:lineRule="auto"/>
        <w:textAlignment w:val="baseline"/>
        <w:rPr>
          <w:rFonts w:eastAsia="宋体"/>
          <w:sz w:val="28"/>
        </w:rPr>
      </w:pPr>
      <w:r>
        <w:rPr>
          <w:rFonts w:hint="eastAsia" w:ascii="华文宋体" w:hAnsi="华文宋体" w:eastAsia="宋体" w:cs="华文宋体"/>
          <w:sz w:val="28"/>
          <w:szCs w:val="28"/>
        </w:rPr>
        <w:fldChar w:fldCharType="begin"/>
      </w:r>
      <w:r>
        <w:rPr>
          <w:rFonts w:hint="eastAsia" w:ascii="华文宋体" w:hAnsi="华文宋体" w:eastAsia="宋体" w:cs="华文宋体"/>
          <w:sz w:val="28"/>
          <w:szCs w:val="28"/>
        </w:rPr>
        <w:instrText xml:space="preserve"> HYPERLINK \l _Toc10329 </w:instrText>
      </w:r>
      <w:r>
        <w:rPr>
          <w:rFonts w:hint="eastAsia" w:ascii="华文宋体" w:hAnsi="华文宋体" w:eastAsia="宋体" w:cs="华文宋体"/>
          <w:sz w:val="28"/>
          <w:szCs w:val="28"/>
        </w:rPr>
        <w:fldChar w:fldCharType="separate"/>
      </w:r>
      <w:r>
        <w:rPr>
          <w:rFonts w:hint="eastAsia" w:eastAsia="宋体" w:asciiTheme="minorEastAsia" w:hAnsiTheme="minorEastAsia" w:cstheme="minorEastAsia"/>
          <w:bCs/>
          <w:spacing w:val="18"/>
          <w:sz w:val="28"/>
          <w:szCs w:val="31"/>
        </w:rPr>
        <w:t>第</w:t>
      </w:r>
      <w:r>
        <w:rPr>
          <w:rFonts w:hint="eastAsia" w:eastAsia="宋体" w:asciiTheme="minorEastAsia" w:hAnsiTheme="minorEastAsia" w:cstheme="minorEastAsia"/>
          <w:bCs/>
          <w:spacing w:val="9"/>
          <w:sz w:val="28"/>
          <w:szCs w:val="31"/>
          <w:lang w:val="en-US" w:eastAsia="zh-CN"/>
        </w:rPr>
        <w:t>四</w:t>
      </w:r>
      <w:r>
        <w:rPr>
          <w:rFonts w:hint="eastAsia" w:eastAsia="宋体" w:asciiTheme="minorEastAsia" w:hAnsiTheme="minorEastAsia" w:cstheme="minorEastAsia"/>
          <w:bCs/>
          <w:spacing w:val="9"/>
          <w:sz w:val="28"/>
          <w:szCs w:val="31"/>
        </w:rPr>
        <w:t>部分</w:t>
      </w:r>
      <w:r>
        <w:rPr>
          <w:rFonts w:hint="eastAsia" w:eastAsia="宋体" w:asciiTheme="minorEastAsia" w:hAnsiTheme="minorEastAsia" w:cstheme="minorEastAsia"/>
          <w:bCs/>
          <w:spacing w:val="9"/>
          <w:sz w:val="28"/>
          <w:szCs w:val="31"/>
          <w:lang w:val="en-US" w:eastAsia="zh-CN"/>
        </w:rPr>
        <w:t xml:space="preserve"> </w:t>
      </w:r>
      <w:r>
        <w:rPr>
          <w:rFonts w:hint="eastAsia" w:eastAsia="宋体" w:asciiTheme="minorEastAsia" w:hAnsiTheme="minorEastAsia" w:cstheme="minorEastAsia"/>
          <w:bCs/>
          <w:spacing w:val="9"/>
          <w:sz w:val="28"/>
          <w:szCs w:val="31"/>
        </w:rPr>
        <w:t>投标人须知正文部分</w:t>
      </w:r>
      <w:r>
        <w:rPr>
          <w:rFonts w:eastAsia="宋体"/>
          <w:sz w:val="28"/>
        </w:rPr>
        <w:tab/>
      </w:r>
      <w:r>
        <w:rPr>
          <w:rFonts w:eastAsia="宋体"/>
          <w:sz w:val="28"/>
        </w:rPr>
        <w:fldChar w:fldCharType="begin"/>
      </w:r>
      <w:r>
        <w:rPr>
          <w:rFonts w:eastAsia="宋体"/>
          <w:sz w:val="28"/>
        </w:rPr>
        <w:instrText xml:space="preserve"> PAGEREF _Toc10329 \h </w:instrText>
      </w:r>
      <w:r>
        <w:rPr>
          <w:rFonts w:eastAsia="宋体"/>
          <w:sz w:val="28"/>
        </w:rPr>
        <w:fldChar w:fldCharType="separate"/>
      </w:r>
      <w:r>
        <w:rPr>
          <w:rFonts w:eastAsia="宋体"/>
          <w:sz w:val="28"/>
        </w:rPr>
        <w:t>29</w:t>
      </w:r>
      <w:r>
        <w:rPr>
          <w:rFonts w:eastAsia="宋体"/>
          <w:sz w:val="28"/>
        </w:rPr>
        <w:fldChar w:fldCharType="end"/>
      </w:r>
      <w:r>
        <w:rPr>
          <w:rFonts w:hint="eastAsia" w:ascii="华文宋体" w:hAnsi="华文宋体" w:eastAsia="宋体" w:cs="华文宋体"/>
          <w:sz w:val="28"/>
          <w:szCs w:val="28"/>
        </w:rPr>
        <w:fldChar w:fldCharType="end"/>
      </w:r>
    </w:p>
    <w:p>
      <w:pPr>
        <w:pStyle w:val="20"/>
        <w:keepNext w:val="0"/>
        <w:keepLines w:val="0"/>
        <w:pageBreakBefore w:val="0"/>
        <w:widowControl/>
        <w:tabs>
          <w:tab w:val="right" w:leader="dot" w:pos="9807"/>
        </w:tabs>
        <w:kinsoku w:val="0"/>
        <w:wordWrap/>
        <w:overflowPunct/>
        <w:topLinePunct w:val="0"/>
        <w:autoSpaceDE w:val="0"/>
        <w:autoSpaceDN w:val="0"/>
        <w:bidi w:val="0"/>
        <w:adjustRightInd w:val="0"/>
        <w:snapToGrid w:val="0"/>
        <w:spacing w:line="360" w:lineRule="auto"/>
        <w:textAlignment w:val="baseline"/>
        <w:rPr>
          <w:rFonts w:eastAsia="宋体"/>
          <w:sz w:val="28"/>
        </w:rPr>
      </w:pPr>
      <w:r>
        <w:rPr>
          <w:rFonts w:hint="eastAsia" w:ascii="华文宋体" w:hAnsi="华文宋体" w:eastAsia="宋体" w:cs="华文宋体"/>
          <w:sz w:val="28"/>
          <w:szCs w:val="28"/>
        </w:rPr>
        <w:fldChar w:fldCharType="begin"/>
      </w:r>
      <w:r>
        <w:rPr>
          <w:rFonts w:hint="eastAsia" w:ascii="华文宋体" w:hAnsi="华文宋体" w:eastAsia="宋体" w:cs="华文宋体"/>
          <w:sz w:val="28"/>
          <w:szCs w:val="28"/>
        </w:rPr>
        <w:instrText xml:space="preserve"> HYPERLINK \l _Toc21724 </w:instrText>
      </w:r>
      <w:r>
        <w:rPr>
          <w:rFonts w:hint="eastAsia" w:ascii="华文宋体" w:hAnsi="华文宋体" w:eastAsia="宋体" w:cs="华文宋体"/>
          <w:sz w:val="28"/>
          <w:szCs w:val="28"/>
        </w:rPr>
        <w:fldChar w:fldCharType="separate"/>
      </w:r>
      <w:r>
        <w:rPr>
          <w:rFonts w:ascii="宋体" w:hAnsi="宋体" w:eastAsia="宋体" w:cs="宋体"/>
          <w:bCs/>
          <w:spacing w:val="15"/>
          <w:sz w:val="28"/>
          <w:szCs w:val="31"/>
        </w:rPr>
        <w:t>第</w:t>
      </w:r>
      <w:r>
        <w:rPr>
          <w:rFonts w:hint="eastAsia" w:ascii="宋体" w:hAnsi="宋体" w:eastAsia="宋体" w:cs="宋体"/>
          <w:bCs/>
          <w:spacing w:val="8"/>
          <w:sz w:val="28"/>
          <w:szCs w:val="31"/>
        </w:rPr>
        <w:t>五</w:t>
      </w:r>
      <w:r>
        <w:rPr>
          <w:rFonts w:ascii="宋体" w:hAnsi="宋体" w:eastAsia="宋体" w:cs="宋体"/>
          <w:bCs/>
          <w:spacing w:val="8"/>
          <w:sz w:val="28"/>
          <w:szCs w:val="31"/>
        </w:rPr>
        <w:t>部分</w:t>
      </w:r>
      <w:r>
        <w:rPr>
          <w:rFonts w:hint="eastAsia" w:ascii="宋体" w:hAnsi="宋体" w:eastAsia="宋体" w:cs="宋体"/>
          <w:bCs/>
          <w:spacing w:val="8"/>
          <w:sz w:val="28"/>
          <w:szCs w:val="31"/>
          <w:lang w:val="en-US" w:eastAsia="zh-CN"/>
        </w:rPr>
        <w:t xml:space="preserve"> </w:t>
      </w:r>
      <w:r>
        <w:rPr>
          <w:rFonts w:ascii="宋体" w:hAnsi="宋体" w:eastAsia="宋体" w:cs="宋体"/>
          <w:bCs/>
          <w:spacing w:val="8"/>
          <w:sz w:val="28"/>
          <w:szCs w:val="31"/>
        </w:rPr>
        <w:t>合同格式</w:t>
      </w:r>
      <w:r>
        <w:rPr>
          <w:rFonts w:eastAsia="宋体"/>
          <w:sz w:val="28"/>
        </w:rPr>
        <w:tab/>
      </w:r>
      <w:r>
        <w:rPr>
          <w:rFonts w:eastAsia="宋体"/>
          <w:sz w:val="28"/>
        </w:rPr>
        <w:fldChar w:fldCharType="begin"/>
      </w:r>
      <w:r>
        <w:rPr>
          <w:rFonts w:eastAsia="宋体"/>
          <w:sz w:val="28"/>
        </w:rPr>
        <w:instrText xml:space="preserve"> PAGEREF _Toc21724 \h </w:instrText>
      </w:r>
      <w:r>
        <w:rPr>
          <w:rFonts w:eastAsia="宋体"/>
          <w:sz w:val="28"/>
        </w:rPr>
        <w:fldChar w:fldCharType="separate"/>
      </w:r>
      <w:r>
        <w:rPr>
          <w:rFonts w:eastAsia="宋体"/>
          <w:sz w:val="28"/>
        </w:rPr>
        <w:t>46</w:t>
      </w:r>
      <w:r>
        <w:rPr>
          <w:rFonts w:eastAsia="宋体"/>
          <w:sz w:val="28"/>
        </w:rPr>
        <w:fldChar w:fldCharType="end"/>
      </w:r>
      <w:r>
        <w:rPr>
          <w:rFonts w:hint="eastAsia" w:ascii="华文宋体" w:hAnsi="华文宋体" w:eastAsia="宋体" w:cs="华文宋体"/>
          <w:sz w:val="28"/>
          <w:szCs w:val="28"/>
        </w:rPr>
        <w:fldChar w:fldCharType="end"/>
      </w:r>
    </w:p>
    <w:p>
      <w:pPr>
        <w:pStyle w:val="20"/>
        <w:keepNext w:val="0"/>
        <w:keepLines w:val="0"/>
        <w:pageBreakBefore w:val="0"/>
        <w:widowControl/>
        <w:tabs>
          <w:tab w:val="right" w:leader="dot" w:pos="9807"/>
        </w:tabs>
        <w:kinsoku w:val="0"/>
        <w:wordWrap/>
        <w:overflowPunct/>
        <w:topLinePunct w:val="0"/>
        <w:autoSpaceDE w:val="0"/>
        <w:autoSpaceDN w:val="0"/>
        <w:bidi w:val="0"/>
        <w:adjustRightInd w:val="0"/>
        <w:snapToGrid w:val="0"/>
        <w:spacing w:line="360" w:lineRule="auto"/>
        <w:textAlignment w:val="baseline"/>
        <w:rPr>
          <w:rFonts w:eastAsia="宋体"/>
          <w:sz w:val="28"/>
        </w:rPr>
      </w:pPr>
      <w:r>
        <w:rPr>
          <w:rFonts w:hint="eastAsia" w:ascii="华文宋体" w:hAnsi="华文宋体" w:eastAsia="宋体" w:cs="华文宋体"/>
          <w:sz w:val="28"/>
          <w:szCs w:val="28"/>
        </w:rPr>
        <w:fldChar w:fldCharType="begin"/>
      </w:r>
      <w:r>
        <w:rPr>
          <w:rFonts w:hint="eastAsia" w:ascii="华文宋体" w:hAnsi="华文宋体" w:eastAsia="宋体" w:cs="华文宋体"/>
          <w:sz w:val="28"/>
          <w:szCs w:val="28"/>
        </w:rPr>
        <w:instrText xml:space="preserve"> HYPERLINK \l _Toc5387 </w:instrText>
      </w:r>
      <w:r>
        <w:rPr>
          <w:rFonts w:hint="eastAsia" w:ascii="华文宋体" w:hAnsi="华文宋体" w:eastAsia="宋体" w:cs="华文宋体"/>
          <w:sz w:val="28"/>
          <w:szCs w:val="28"/>
        </w:rPr>
        <w:fldChar w:fldCharType="separate"/>
      </w:r>
      <w:r>
        <w:rPr>
          <w:rFonts w:ascii="宋体" w:hAnsi="宋体" w:eastAsia="宋体" w:cs="宋体"/>
          <w:bCs/>
          <w:spacing w:val="10"/>
          <w:sz w:val="28"/>
          <w:szCs w:val="31"/>
        </w:rPr>
        <w:t>第</w:t>
      </w:r>
      <w:r>
        <w:rPr>
          <w:rFonts w:hint="eastAsia" w:ascii="宋体" w:hAnsi="宋体" w:eastAsia="宋体" w:cs="宋体"/>
          <w:bCs/>
          <w:spacing w:val="9"/>
          <w:sz w:val="28"/>
          <w:szCs w:val="31"/>
        </w:rPr>
        <w:t>六</w:t>
      </w:r>
      <w:r>
        <w:rPr>
          <w:rFonts w:ascii="宋体" w:hAnsi="宋体" w:eastAsia="宋体" w:cs="宋体"/>
          <w:bCs/>
          <w:spacing w:val="9"/>
          <w:sz w:val="28"/>
          <w:szCs w:val="31"/>
        </w:rPr>
        <w:t>部分</w:t>
      </w:r>
      <w:r>
        <w:rPr>
          <w:rFonts w:hint="eastAsia" w:ascii="宋体" w:hAnsi="宋体" w:eastAsia="宋体" w:cs="宋体"/>
          <w:bCs/>
          <w:spacing w:val="9"/>
          <w:sz w:val="28"/>
          <w:szCs w:val="31"/>
          <w:lang w:val="en-US" w:eastAsia="zh-CN"/>
        </w:rPr>
        <w:t xml:space="preserve"> </w:t>
      </w:r>
      <w:r>
        <w:rPr>
          <w:rFonts w:ascii="宋体" w:hAnsi="宋体" w:eastAsia="宋体" w:cs="宋体"/>
          <w:bCs/>
          <w:spacing w:val="9"/>
          <w:sz w:val="28"/>
          <w:szCs w:val="31"/>
        </w:rPr>
        <w:t>投标文件格式</w:t>
      </w:r>
      <w:r>
        <w:rPr>
          <w:rFonts w:eastAsia="宋体"/>
          <w:sz w:val="28"/>
        </w:rPr>
        <w:tab/>
      </w:r>
      <w:r>
        <w:rPr>
          <w:rFonts w:eastAsia="宋体"/>
          <w:sz w:val="28"/>
        </w:rPr>
        <w:fldChar w:fldCharType="begin"/>
      </w:r>
      <w:r>
        <w:rPr>
          <w:rFonts w:eastAsia="宋体"/>
          <w:sz w:val="28"/>
        </w:rPr>
        <w:instrText xml:space="preserve"> PAGEREF _Toc5387 \h </w:instrText>
      </w:r>
      <w:r>
        <w:rPr>
          <w:rFonts w:eastAsia="宋体"/>
          <w:sz w:val="28"/>
        </w:rPr>
        <w:fldChar w:fldCharType="separate"/>
      </w:r>
      <w:r>
        <w:rPr>
          <w:rFonts w:eastAsia="宋体"/>
          <w:sz w:val="28"/>
        </w:rPr>
        <w:t>48</w:t>
      </w:r>
      <w:r>
        <w:rPr>
          <w:rFonts w:eastAsia="宋体"/>
          <w:sz w:val="28"/>
        </w:rPr>
        <w:fldChar w:fldCharType="end"/>
      </w:r>
      <w:r>
        <w:rPr>
          <w:rFonts w:hint="eastAsia" w:ascii="华文宋体" w:hAnsi="华文宋体" w:eastAsia="宋体" w:cs="华文宋体"/>
          <w:sz w:val="28"/>
          <w:szCs w:val="28"/>
        </w:rPr>
        <w:fldChar w:fldCharType="end"/>
      </w:r>
    </w:p>
    <w:p>
      <w:pPr>
        <w:pStyle w:val="43"/>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eastAsia="宋体"/>
          <w:b/>
          <w:bCs/>
          <w:sz w:val="32"/>
          <w:szCs w:val="32"/>
        </w:rPr>
        <w:sectPr>
          <w:headerReference r:id="rId4" w:type="default"/>
          <w:footerReference r:id="rId5" w:type="default"/>
          <w:pgSz w:w="11907" w:h="16839"/>
          <w:pgMar w:top="1476" w:right="1049" w:bottom="1226" w:left="1051" w:header="1155" w:footer="958" w:gutter="0"/>
          <w:cols w:space="720" w:num="1"/>
        </w:sectPr>
      </w:pPr>
      <w:r>
        <w:rPr>
          <w:rFonts w:hint="eastAsia" w:ascii="华文宋体" w:hAnsi="华文宋体" w:eastAsia="宋体" w:cs="华文宋体"/>
          <w:sz w:val="28"/>
          <w:szCs w:val="28"/>
        </w:rPr>
        <w:fldChar w:fldCharType="end"/>
      </w:r>
      <w:bookmarkStart w:id="0" w:name="_Toc10667"/>
      <w:bookmarkStart w:id="118" w:name="_GoBack"/>
      <w:bookmarkEnd w:id="118"/>
    </w:p>
    <w:p>
      <w:pPr>
        <w:pStyle w:val="43"/>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outlineLvl w:val="0"/>
        <w:rPr>
          <w:rFonts w:ascii="宋体" w:hAnsi="宋体" w:eastAsia="宋体" w:cs="宋体"/>
          <w:b/>
          <w:bCs/>
          <w:spacing w:val="9"/>
          <w:sz w:val="31"/>
          <w:szCs w:val="31"/>
        </w:rPr>
      </w:pPr>
      <w:r>
        <w:rPr>
          <w:rFonts w:ascii="宋体" w:hAnsi="宋体" w:eastAsia="宋体" w:cs="宋体"/>
          <w:b/>
          <w:bCs/>
          <w:spacing w:val="9"/>
          <w:sz w:val="31"/>
          <w:szCs w:val="31"/>
        </w:rPr>
        <w:t>第一部分 招标公告</w:t>
      </w:r>
      <w:bookmarkEnd w:id="0"/>
    </w:p>
    <w:p>
      <w:pPr>
        <w:keepNext w:val="0"/>
        <w:keepLines w:val="0"/>
        <w:pageBreakBefore w:val="0"/>
        <w:widowControl/>
        <w:suppressLineNumbers w:val="0"/>
        <w:pBdr>
          <w:top w:val="none" w:color="auto" w:sz="0" w:space="0"/>
          <w:left w:val="none" w:color="auto" w:sz="0" w:space="0"/>
          <w:bottom w:val="dotted" w:color="DDDDDD" w:sz="6" w:space="7"/>
          <w:right w:val="none" w:color="auto" w:sz="0" w:space="0"/>
        </w:pBdr>
        <w:shd w:val="clear" w:fill="FFFFFF"/>
        <w:kinsoku w:val="0"/>
        <w:wordWrap/>
        <w:overflowPunct/>
        <w:topLinePunct w:val="0"/>
        <w:autoSpaceDE w:val="0"/>
        <w:autoSpaceDN w:val="0"/>
        <w:bidi w:val="0"/>
        <w:adjustRightInd w:val="0"/>
        <w:snapToGrid w:val="0"/>
        <w:spacing w:beforeAutospacing="0" w:line="360" w:lineRule="auto"/>
        <w:ind w:left="0" w:firstLine="0"/>
        <w:jc w:val="center"/>
        <w:textAlignment w:val="baseline"/>
        <w:rPr>
          <w:rFonts w:ascii="微软雅黑" w:hAnsi="微软雅黑" w:eastAsia="微软雅黑" w:cs="微软雅黑"/>
          <w:b/>
          <w:bCs/>
          <w:i w:val="0"/>
          <w:iCs w:val="0"/>
          <w:caps w:val="0"/>
          <w:color w:val="000000"/>
          <w:spacing w:val="0"/>
          <w:sz w:val="28"/>
          <w:szCs w:val="28"/>
        </w:rPr>
      </w:pPr>
      <w:r>
        <w:rPr>
          <w:rFonts w:hint="eastAsia" w:ascii="微软雅黑" w:hAnsi="微软雅黑" w:eastAsia="微软雅黑" w:cs="微软雅黑"/>
          <w:b/>
          <w:bCs/>
          <w:i w:val="0"/>
          <w:iCs w:val="0"/>
          <w:caps w:val="0"/>
          <w:snapToGrid w:val="0"/>
          <w:color w:val="000000"/>
          <w:spacing w:val="0"/>
          <w:kern w:val="0"/>
          <w:sz w:val="28"/>
          <w:szCs w:val="28"/>
          <w:shd w:val="clear" w:fill="FFFFFF"/>
          <w:lang w:val="en-US" w:eastAsia="zh-CN" w:bidi="ar"/>
        </w:rPr>
        <w:t>唐河县老年体育公园暨智慧健身公园建设项目-公开招标公告</w:t>
      </w:r>
    </w:p>
    <w:tbl>
      <w:tblPr>
        <w:tblW w:w="10545" w:type="dxa"/>
        <w:tblCellSpacing w:w="15" w:type="dxa"/>
        <w:tblInd w:w="-15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10444"/>
        <w:gridCol w:w="43"/>
        <w:gridCol w:w="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90" w:type="dxa"/>
          <w:tblCellSpacing w:w="15" w:type="dxa"/>
        </w:trPr>
        <w:tc>
          <w:tcPr>
            <w:tcW w:w="10350" w:type="dxa"/>
            <w:gridSpan w:val="2"/>
            <w:shd w:val="clear"/>
            <w:tcMar>
              <w:top w:w="120" w:type="dxa"/>
            </w:tcMar>
            <w:vAlign w:val="center"/>
          </w:tcPr>
          <w:p>
            <w:pPr>
              <w:pStyle w:val="2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ascii="微软雅黑" w:hAnsi="微软雅黑" w:eastAsia="微软雅黑" w:cs="微软雅黑"/>
                <w:color w:val="000000"/>
                <w:sz w:val="21"/>
                <w:szCs w:val="21"/>
              </w:rPr>
            </w:pPr>
            <w:r>
              <w:rPr>
                <w:rFonts w:hint="eastAsia" w:ascii="微软雅黑" w:hAnsi="微软雅黑" w:eastAsia="微软雅黑" w:cs="微软雅黑"/>
                <w:b w:val="0"/>
                <w:bCs w:val="0"/>
                <w:i w:val="0"/>
                <w:iCs w:val="0"/>
                <w:color w:val="FFFFFF"/>
                <w:sz w:val="30"/>
                <w:szCs w:val="30"/>
                <w:u w:val="none"/>
                <w:bdr w:val="single" w:color="1890FF" w:sz="6" w:space="0"/>
                <w:shd w:val="clear" w:fill="007BFF"/>
              </w:rPr>
              <w:fldChar w:fldCharType="begin"/>
            </w:r>
            <w:r>
              <w:rPr>
                <w:rFonts w:hint="eastAsia" w:ascii="微软雅黑" w:hAnsi="微软雅黑" w:eastAsia="微软雅黑" w:cs="微软雅黑"/>
                <w:b w:val="0"/>
                <w:bCs w:val="0"/>
                <w:i w:val="0"/>
                <w:iCs w:val="0"/>
                <w:color w:val="FFFFFF"/>
                <w:sz w:val="30"/>
                <w:szCs w:val="30"/>
                <w:u w:val="none"/>
                <w:bdr w:val="single" w:color="1890FF" w:sz="6" w:space="0"/>
                <w:shd w:val="clear" w:fill="007BFF"/>
              </w:rPr>
              <w:instrText xml:space="preserve"> HYPERLINK "https://zfcg.henan.gov.cn/xygh/egp/jd/rzjg/rzjgxx/ShowPicListNew.html" \t "https://ruyang.zfcg.henan.gov.cn/cgpt/egp/cz/gggl/ggfb/_blank" </w:instrText>
            </w:r>
            <w:r>
              <w:rPr>
                <w:rFonts w:hint="eastAsia" w:ascii="微软雅黑" w:hAnsi="微软雅黑" w:eastAsia="微软雅黑" w:cs="微软雅黑"/>
                <w:b w:val="0"/>
                <w:bCs w:val="0"/>
                <w:i w:val="0"/>
                <w:iCs w:val="0"/>
                <w:color w:val="FFFFFF"/>
                <w:sz w:val="30"/>
                <w:szCs w:val="30"/>
                <w:u w:val="none"/>
                <w:bdr w:val="single" w:color="1890FF" w:sz="6" w:space="0"/>
                <w:shd w:val="clear" w:fill="007BFF"/>
              </w:rPr>
              <w:fldChar w:fldCharType="separate"/>
            </w:r>
            <w:r>
              <w:rPr>
                <w:rStyle w:val="38"/>
                <w:rFonts w:hint="eastAsia" w:ascii="微软雅黑" w:hAnsi="微软雅黑" w:eastAsia="微软雅黑" w:cs="微软雅黑"/>
                <w:b w:val="0"/>
                <w:bCs w:val="0"/>
                <w:i w:val="0"/>
                <w:iCs w:val="0"/>
                <w:color w:val="FFFFFF"/>
                <w:sz w:val="30"/>
                <w:szCs w:val="30"/>
                <w:u w:val="none"/>
                <w:bdr w:val="single" w:color="1890FF" w:sz="6" w:space="0"/>
                <w:shd w:val="clear" w:fill="007BFF"/>
              </w:rPr>
              <w:t>中小微企业融资申请</w:t>
            </w:r>
            <w:r>
              <w:rPr>
                <w:rFonts w:hint="eastAsia" w:ascii="微软雅黑" w:hAnsi="微软雅黑" w:eastAsia="微软雅黑" w:cs="微软雅黑"/>
                <w:b w:val="0"/>
                <w:bCs w:val="0"/>
                <w:i w:val="0"/>
                <w:iCs w:val="0"/>
                <w:color w:val="FFFFFF"/>
                <w:sz w:val="30"/>
                <w:szCs w:val="30"/>
                <w:u w:val="none"/>
                <w:bdr w:val="single" w:color="1890FF" w:sz="6" w:space="0"/>
                <w:shd w:val="clear" w:fill="007BFF"/>
              </w:rPr>
              <w:fldChar w:fldCharType="end"/>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gridAfter w:val="1"/>
          <w:wAfter w:w="90" w:type="dxa"/>
          <w:tblCellSpacing w:w="15" w:type="dxa"/>
        </w:trPr>
        <w:tc>
          <w:tcPr>
            <w:tcW w:w="10350" w:type="dxa"/>
            <w:gridSpan w:val="2"/>
            <w:shd w:val="clear"/>
            <w:tcMar>
              <w:top w:w="120" w:type="dxa"/>
            </w:tcMar>
            <w:vAlign w:val="center"/>
          </w:tcPr>
          <w:p>
            <w:pPr>
              <w:pStyle w:val="2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420"/>
              <w:rPr>
                <w:rFonts w:hint="eastAsia" w:ascii="微软雅黑" w:hAnsi="微软雅黑" w:eastAsia="微软雅黑" w:cs="微软雅黑"/>
                <w:b/>
                <w:bCs/>
                <w:color w:val="000000"/>
                <w:sz w:val="21"/>
                <w:szCs w:val="21"/>
              </w:rPr>
            </w:pPr>
            <w:r>
              <w:rPr>
                <w:rFonts w:hint="eastAsia" w:ascii="微软雅黑" w:hAnsi="微软雅黑" w:eastAsia="微软雅黑" w:cs="微软雅黑"/>
                <w:b/>
                <w:bCs/>
                <w:i w:val="0"/>
                <w:iCs w:val="0"/>
                <w:color w:val="000000"/>
                <w:sz w:val="21"/>
                <w:szCs w:val="21"/>
                <w:bdr w:val="none" w:color="auto" w:sz="0" w:space="0"/>
              </w:rPr>
              <w:t>项目概况</w:t>
            </w:r>
          </w:p>
          <w:p>
            <w:pPr>
              <w:pStyle w:val="2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420"/>
              <w:rPr>
                <w:rFonts w:hint="eastAsia" w:ascii="微软雅黑" w:hAnsi="微软雅黑" w:eastAsia="微软雅黑" w:cs="微软雅黑"/>
                <w:color w:val="000000"/>
                <w:sz w:val="21"/>
                <w:szCs w:val="21"/>
              </w:rPr>
            </w:pPr>
            <w:r>
              <w:rPr>
                <w:rFonts w:hint="eastAsia" w:ascii="微软雅黑" w:hAnsi="微软雅黑" w:eastAsia="微软雅黑" w:cs="微软雅黑"/>
                <w:b/>
                <w:bCs/>
                <w:i w:val="0"/>
                <w:iCs w:val="0"/>
                <w:color w:val="000000"/>
                <w:sz w:val="21"/>
                <w:szCs w:val="21"/>
                <w:u w:val="single"/>
                <w:bdr w:val="none" w:color="auto" w:sz="0" w:space="0"/>
              </w:rPr>
              <w:t>唐河县老年体育公园暨智慧健身公园建设项目</w:t>
            </w:r>
            <w:r>
              <w:rPr>
                <w:rFonts w:hint="eastAsia" w:ascii="微软雅黑" w:hAnsi="微软雅黑" w:eastAsia="微软雅黑" w:cs="微软雅黑"/>
                <w:b w:val="0"/>
                <w:bCs w:val="0"/>
                <w:i w:val="0"/>
                <w:iCs w:val="0"/>
                <w:color w:val="000000"/>
                <w:sz w:val="21"/>
                <w:szCs w:val="21"/>
                <w:bdr w:val="none" w:color="auto" w:sz="0" w:space="0"/>
              </w:rPr>
              <w:t>招标项目的潜在投标人应在</w:t>
            </w:r>
            <w:r>
              <w:rPr>
                <w:rFonts w:hint="eastAsia" w:ascii="微软雅黑" w:hAnsi="微软雅黑" w:eastAsia="微软雅黑" w:cs="微软雅黑"/>
                <w:b/>
                <w:bCs/>
                <w:i w:val="0"/>
                <w:iCs w:val="0"/>
                <w:color w:val="000000"/>
                <w:sz w:val="21"/>
                <w:szCs w:val="21"/>
                <w:u w:val="single"/>
                <w:bdr w:val="none" w:color="auto" w:sz="0" w:space="0"/>
              </w:rPr>
              <w:t>唐河县公共资源交易中心网站（http://www.thggzy.cn）</w:t>
            </w:r>
            <w:r>
              <w:rPr>
                <w:rFonts w:hint="eastAsia" w:ascii="微软雅黑" w:hAnsi="微软雅黑" w:eastAsia="微软雅黑" w:cs="微软雅黑"/>
                <w:b w:val="0"/>
                <w:bCs w:val="0"/>
                <w:i w:val="0"/>
                <w:iCs w:val="0"/>
                <w:color w:val="000000"/>
                <w:sz w:val="21"/>
                <w:szCs w:val="21"/>
                <w:bdr w:val="none" w:color="auto" w:sz="0" w:space="0"/>
              </w:rPr>
              <w:t>获取招标文件，并于</w:t>
            </w:r>
            <w:r>
              <w:rPr>
                <w:rFonts w:hint="eastAsia" w:ascii="微软雅黑" w:hAnsi="微软雅黑" w:eastAsia="微软雅黑" w:cs="微软雅黑"/>
                <w:b/>
                <w:bCs/>
                <w:i w:val="0"/>
                <w:iCs w:val="0"/>
                <w:color w:val="000000"/>
                <w:sz w:val="21"/>
                <w:szCs w:val="21"/>
                <w:u w:val="single"/>
                <w:bdr w:val="none" w:color="auto" w:sz="0" w:space="0"/>
              </w:rPr>
              <w:t>2024年07月31日09时30分</w:t>
            </w:r>
            <w:r>
              <w:rPr>
                <w:rFonts w:hint="eastAsia" w:ascii="微软雅黑" w:hAnsi="微软雅黑" w:eastAsia="微软雅黑" w:cs="微软雅黑"/>
                <w:b w:val="0"/>
                <w:bCs w:val="0"/>
                <w:i w:val="0"/>
                <w:iCs w:val="0"/>
                <w:color w:val="000000"/>
                <w:sz w:val="21"/>
                <w:szCs w:val="21"/>
                <w:bdr w:val="none" w:color="auto" w:sz="0" w:space="0"/>
              </w:rPr>
              <w:t>（北京时间）前递交投标文件。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gridAfter w:val="1"/>
          <w:wAfter w:w="90" w:type="dxa"/>
          <w:tblCellSpacing w:w="15" w:type="dxa"/>
        </w:trPr>
        <w:tc>
          <w:tcPr>
            <w:tcW w:w="10350" w:type="dxa"/>
            <w:gridSpan w:val="2"/>
            <w:shd w:val="clear"/>
            <w:tcMar>
              <w:top w:w="12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一、项目基本情况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gridAfter w:val="1"/>
          <w:wAfter w:w="90" w:type="dxa"/>
          <w:tblCellSpacing w:w="15" w:type="dxa"/>
        </w:trPr>
        <w:tc>
          <w:tcPr>
            <w:tcW w:w="10350" w:type="dxa"/>
            <w:gridSpan w:val="2"/>
            <w:shd w:val="clear"/>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1、项目编号：唐财采购公开-2024-26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gridAfter w:val="1"/>
          <w:wAfter w:w="90" w:type="dxa"/>
          <w:tblCellSpacing w:w="15" w:type="dxa"/>
        </w:trPr>
        <w:tc>
          <w:tcPr>
            <w:tcW w:w="10350" w:type="dxa"/>
            <w:gridSpan w:val="2"/>
            <w:shd w:val="clear"/>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2、项目名称：唐河县老年体育公园暨智慧健身公园建设项目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gridAfter w:val="1"/>
          <w:wAfter w:w="90" w:type="dxa"/>
          <w:tblCellSpacing w:w="15" w:type="dxa"/>
        </w:trPr>
        <w:tc>
          <w:tcPr>
            <w:tcW w:w="10350" w:type="dxa"/>
            <w:gridSpan w:val="2"/>
            <w:shd w:val="clear"/>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3、采购方式：公开招标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gridAfter w:val="1"/>
          <w:wAfter w:w="90" w:type="dxa"/>
          <w:tblCellSpacing w:w="15" w:type="dxa"/>
        </w:trPr>
        <w:tc>
          <w:tcPr>
            <w:tcW w:w="10350" w:type="dxa"/>
            <w:gridSpan w:val="2"/>
            <w:shd w:val="clear"/>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4、预算金额：2,521,551.00元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gridAfter w:val="1"/>
          <w:wAfter w:w="90" w:type="dxa"/>
          <w:tblCellSpacing w:w="15" w:type="dxa"/>
        </w:trPr>
        <w:tc>
          <w:tcPr>
            <w:tcW w:w="10350" w:type="dxa"/>
            <w:gridSpan w:val="2"/>
            <w:shd w:val="clear"/>
            <w:tcMar>
              <w:top w:w="120" w:type="dxa"/>
            </w:tcMar>
            <w:vAlign w:val="center"/>
          </w:tcPr>
          <w:p>
            <w:pPr>
              <w:keepNext w:val="0"/>
              <w:keepLines w:val="0"/>
              <w:widowControl/>
              <w:suppressLineNumbers w:val="0"/>
              <w:spacing w:before="0" w:beforeAutospacing="0" w:after="0" w:afterAutospacing="0" w:line="420" w:lineRule="atLeast"/>
              <w:ind w:left="0" w:right="0" w:firstLine="84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最高限价：2521551元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gridAfter w:val="2"/>
          <w:wAfter w:w="251" w:type="dxa"/>
          <w:tblCellSpacing w:w="15" w:type="dxa"/>
        </w:trPr>
        <w:tc>
          <w:tcPr>
            <w:tcW w:w="10189" w:type="dxa"/>
            <w:shd w:val="clear"/>
            <w:tcMar>
              <w:top w:w="120" w:type="dxa"/>
              <w:left w:w="420" w:type="dxa"/>
            </w:tcMar>
            <w:vAlign w:val="center"/>
          </w:tcPr>
          <w:tbl>
            <w:tblPr>
              <w:tblW w:w="9964" w:type="dxa"/>
              <w:tblCellSpacing w:w="0" w:type="dxa"/>
              <w:tblInd w:w="-18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519"/>
              <w:gridCol w:w="1258"/>
              <w:gridCol w:w="2388"/>
              <w:gridCol w:w="953"/>
              <w:gridCol w:w="1148"/>
              <w:gridCol w:w="1119"/>
              <w:gridCol w:w="2579"/>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blCellSpacing w:w="0" w:type="dxa"/>
              </w:trPr>
              <w:tc>
                <w:tcPr>
                  <w:tcW w:w="519" w:type="dxa"/>
                  <w:shd w:val="clear"/>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序号</w:t>
                  </w:r>
                </w:p>
              </w:tc>
              <w:tc>
                <w:tcPr>
                  <w:tcW w:w="0" w:type="auto"/>
                  <w:shd w:val="clear"/>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包号</w:t>
                  </w:r>
                </w:p>
              </w:tc>
              <w:tc>
                <w:tcPr>
                  <w:tcW w:w="0" w:type="auto"/>
                  <w:shd w:val="clear"/>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包名称</w:t>
                  </w:r>
                </w:p>
              </w:tc>
              <w:tc>
                <w:tcPr>
                  <w:tcW w:w="0" w:type="auto"/>
                  <w:shd w:val="clear"/>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包预算（元）</w:t>
                  </w:r>
                </w:p>
              </w:tc>
              <w:tc>
                <w:tcPr>
                  <w:tcW w:w="0" w:type="auto"/>
                  <w:shd w:val="clear"/>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包最高限价（元）</w:t>
                  </w:r>
                </w:p>
              </w:tc>
              <w:tc>
                <w:tcPr>
                  <w:tcW w:w="0" w:type="auto"/>
                  <w:shd w:val="clear"/>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是否专门面向中小企业</w:t>
                  </w:r>
                </w:p>
              </w:tc>
              <w:tc>
                <w:tcPr>
                  <w:tcW w:w="2579" w:type="dxa"/>
                  <w:shd w:val="clear"/>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采购预留金额（元）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519" w:type="dxa"/>
                  <w:shd w:val="clear"/>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1</w:t>
                  </w:r>
                </w:p>
              </w:tc>
              <w:tc>
                <w:tcPr>
                  <w:tcW w:w="0" w:type="auto"/>
                  <w:shd w:val="clear"/>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唐财采购公开-2024-26-1</w:t>
                  </w:r>
                </w:p>
              </w:tc>
              <w:tc>
                <w:tcPr>
                  <w:tcW w:w="0" w:type="auto"/>
                  <w:shd w:val="clear"/>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唐河县老年体育公园暨智慧健身公园建设项目一标段</w:t>
                  </w:r>
                </w:p>
              </w:tc>
              <w:tc>
                <w:tcPr>
                  <w:tcW w:w="0" w:type="auto"/>
                  <w:shd w:val="clear"/>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1445497</w:t>
                  </w:r>
                </w:p>
              </w:tc>
              <w:tc>
                <w:tcPr>
                  <w:tcW w:w="0" w:type="auto"/>
                  <w:shd w:val="clear"/>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1445497</w:t>
                  </w:r>
                </w:p>
              </w:tc>
              <w:tc>
                <w:tcPr>
                  <w:tcW w:w="0" w:type="auto"/>
                  <w:shd w:val="clear"/>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是</w:t>
                  </w:r>
                </w:p>
              </w:tc>
              <w:tc>
                <w:tcPr>
                  <w:tcW w:w="2579" w:type="dxa"/>
                  <w:shd w:val="clear"/>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1445497 ，其中小微企业采购金额：1445497</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519" w:type="dxa"/>
                  <w:shd w:val="clear"/>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2</w:t>
                  </w:r>
                </w:p>
              </w:tc>
              <w:tc>
                <w:tcPr>
                  <w:tcW w:w="0" w:type="auto"/>
                  <w:shd w:val="clear"/>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唐财采购公开-2024-26-2</w:t>
                  </w:r>
                </w:p>
              </w:tc>
              <w:tc>
                <w:tcPr>
                  <w:tcW w:w="0" w:type="auto"/>
                  <w:shd w:val="clear"/>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唐河县老年体育公园暨智慧健身公园建设项目二标段</w:t>
                  </w:r>
                </w:p>
              </w:tc>
              <w:tc>
                <w:tcPr>
                  <w:tcW w:w="0" w:type="auto"/>
                  <w:shd w:val="clear"/>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1076054</w:t>
                  </w:r>
                </w:p>
              </w:tc>
              <w:tc>
                <w:tcPr>
                  <w:tcW w:w="0" w:type="auto"/>
                  <w:shd w:val="clear"/>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1076054</w:t>
                  </w:r>
                </w:p>
              </w:tc>
              <w:tc>
                <w:tcPr>
                  <w:tcW w:w="0" w:type="auto"/>
                  <w:shd w:val="clear"/>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是</w:t>
                  </w:r>
                </w:p>
              </w:tc>
              <w:tc>
                <w:tcPr>
                  <w:tcW w:w="2579" w:type="dxa"/>
                  <w:shd w:val="clear"/>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1076054 ，其中小微企业采购金额：1076054</w:t>
                  </w:r>
                </w:p>
              </w:tc>
            </w:tr>
          </w:tbl>
          <w:p>
            <w:pPr>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10365" w:type="dxa"/>
            <w:gridSpan w:val="2"/>
            <w:shd w:val="clear"/>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5、采购需求（包括但不限于标的的名称、数量、简要技术需求或服务要求等）</w:t>
            </w:r>
          </w:p>
        </w:tc>
        <w:tc>
          <w:tcPr>
            <w:tcW w:w="90" w:type="dxa"/>
            <w:shd w:val="clear"/>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10365" w:type="dxa"/>
            <w:gridSpan w:val="2"/>
            <w:shd w:val="clear"/>
            <w:tcMar>
              <w:top w:w="120" w:type="dxa"/>
              <w:left w:w="84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（1）项目实施地点：唐河县境内；</w:t>
            </w: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br w:type="textWrapping"/>
            </w: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（2）资金来源：财政资金，已落实；</w:t>
            </w: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br w:type="textWrapping"/>
            </w: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（3）采购内容：一标段：老年体育公园器材采购，二标段：智慧健身公园器材采购</w:t>
            </w: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br w:type="textWrapping"/>
            </w: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（4）标段划分：本项目划分2个标段，一标段：老年体育公园器材采购，二标段：智慧健身公园器材采购</w:t>
            </w: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br w:type="textWrapping"/>
            </w: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（5）供货期：合同签订后 60 日内交货完毕</w:t>
            </w: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br w:type="textWrapping"/>
            </w: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（6）质保期：二十四个月；</w:t>
            </w: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br w:type="textWrapping"/>
            </w: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（7）质量要求：合格，符合国家相关质量标准</w:t>
            </w:r>
          </w:p>
        </w:tc>
        <w:tc>
          <w:tcPr>
            <w:tcW w:w="90" w:type="dxa"/>
            <w:shd w:val="clear"/>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10365" w:type="dxa"/>
            <w:gridSpan w:val="2"/>
            <w:shd w:val="clear"/>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6、合同履行期限：合同签订后60日内交货完毕</w:t>
            </w:r>
          </w:p>
        </w:tc>
        <w:tc>
          <w:tcPr>
            <w:tcW w:w="90" w:type="dxa"/>
            <w:shd w:val="clear"/>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10365" w:type="dxa"/>
            <w:gridSpan w:val="2"/>
            <w:shd w:val="clear"/>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7、本项目是否接受联合体投标：否</w:t>
            </w:r>
          </w:p>
        </w:tc>
        <w:tc>
          <w:tcPr>
            <w:tcW w:w="90" w:type="dxa"/>
            <w:shd w:val="clear"/>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10365" w:type="dxa"/>
            <w:gridSpan w:val="2"/>
            <w:shd w:val="clear"/>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8、是否接受进口产品：否</w:t>
            </w:r>
          </w:p>
        </w:tc>
        <w:tc>
          <w:tcPr>
            <w:tcW w:w="90" w:type="dxa"/>
            <w:shd w:val="clear"/>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10365" w:type="dxa"/>
            <w:gridSpan w:val="2"/>
            <w:shd w:val="clear"/>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9、是否专门面向中小企业：是</w:t>
            </w:r>
          </w:p>
        </w:tc>
        <w:tc>
          <w:tcPr>
            <w:tcW w:w="90" w:type="dxa"/>
            <w:shd w:val="clear"/>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10365" w:type="dxa"/>
            <w:gridSpan w:val="2"/>
            <w:shd w:val="clear"/>
            <w:tcMar>
              <w:top w:w="12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二、申请人资格要求：</w:t>
            </w:r>
          </w:p>
        </w:tc>
        <w:tc>
          <w:tcPr>
            <w:tcW w:w="90" w:type="dxa"/>
            <w:shd w:val="clear"/>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10365" w:type="dxa"/>
            <w:gridSpan w:val="2"/>
            <w:shd w:val="clear"/>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1、满足《中华人民共和国政府采购法》第二十二条规定；</w:t>
            </w:r>
          </w:p>
        </w:tc>
        <w:tc>
          <w:tcPr>
            <w:tcW w:w="90" w:type="dxa"/>
            <w:shd w:val="clear"/>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10365" w:type="dxa"/>
            <w:gridSpan w:val="2"/>
            <w:shd w:val="clear"/>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2、落实政府采购政策满足的资格要求：</w:t>
            </w:r>
          </w:p>
        </w:tc>
        <w:tc>
          <w:tcPr>
            <w:tcW w:w="90" w:type="dxa"/>
            <w:shd w:val="clear"/>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10365" w:type="dxa"/>
            <w:gridSpan w:val="2"/>
            <w:shd w:val="clear"/>
            <w:tcMar>
              <w:top w:w="120" w:type="dxa"/>
              <w:left w:w="84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本项目执行扶持中小企业、监狱企业和残疾人福利性单位发展的政策</w:t>
            </w:r>
          </w:p>
        </w:tc>
        <w:tc>
          <w:tcPr>
            <w:tcW w:w="90" w:type="dxa"/>
            <w:shd w:val="clear"/>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10365" w:type="dxa"/>
            <w:gridSpan w:val="2"/>
            <w:shd w:val="clear"/>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3、本项目的特定资格要求</w:t>
            </w:r>
          </w:p>
        </w:tc>
        <w:tc>
          <w:tcPr>
            <w:tcW w:w="90" w:type="dxa"/>
            <w:shd w:val="clear"/>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10365" w:type="dxa"/>
            <w:gridSpan w:val="2"/>
            <w:shd w:val="clear"/>
            <w:tcMar>
              <w:top w:w="120" w:type="dxa"/>
              <w:left w:w="84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1、满足《中华人民共和国政府采购法》第二十二条规定；</w:t>
            </w: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br w:type="textWrapping"/>
            </w: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2、落实政府采购政策满足的资格要求：</w:t>
            </w: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br w:type="textWrapping"/>
            </w: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本项目执行扶持中小企业、监狱企业和残疾人福利性单位发展等相关政府采购政策。</w:t>
            </w: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br w:type="textWrapping"/>
            </w: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3、本项目的特定资格要求</w:t>
            </w: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br w:type="textWrapping"/>
            </w: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（1）供应商具有独立法人资格且持有有效的营业执照(或统一社会信用代码营业执照）；</w:t>
            </w: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br w:type="textWrapping"/>
            </w: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2）供应商依法缴纳税收（提供2023年1月1日以来任意三个月完税证明或缴税凭证）和社会保障资金（提供2023年1月1日以来任意三个月的社保缴纳凭证或社保缴费记录)。依法免税或不需要缴纳社会保障资金的供应商，应提供相应证明文件；</w:t>
            </w: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br w:type="textWrapping"/>
            </w: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（3）供应商须具有良好的商业信誉和健全的财务会计制度：供应商需提供近一年的财务审计报告（若成立不足一年的公司，则提供成立月份以来的企业财务报表）；</w:t>
            </w: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br w:type="textWrapping"/>
            </w: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（4）具有履行合同所必需的设备和专业技术能力，提供供应商书面声明；</w:t>
            </w: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br w:type="textWrapping"/>
            </w: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（5）参加本次政府采购活动前三年内，在经营活动中没有重大违法犯罪记录；</w:t>
            </w: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br w:type="textWrapping"/>
            </w: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6）根据《关于在政府采购活动中查询和使用信用记录有关问题的通知》（财库【2016】125号）、豫财购（2016）15号的规定，对列入失信被执行人、重大税收违法案件当事人名单、政府采购严重违法失信行为记录名单的供应商，拒绝参与本项目政府采购活动（查询渠道：“信用中国”网站、中国政府采购网，开标时提供相关网站查询截图）；</w:t>
            </w: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br w:type="textWrapping"/>
            </w: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（7）本项目不接受联合体投标，不允许转包和分包；</w:t>
            </w: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br w:type="textWrapping"/>
            </w: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注：本项目实行资格后审，审查内容以投标截止时间前上传企业诚信库信息（南阳市诚信库网站https://ggzyjy.nanyang.gov.cn）为准。开标现场不接受诚信库（南阳市）信息原件。诚信库（南阳市）上传信息必须内容齐全，真实有效，原件扫描清晰可辨。否则，由此造成应得分而未得分或审查不合格情况的，由投标企业承担责任。</w:t>
            </w:r>
          </w:p>
        </w:tc>
        <w:tc>
          <w:tcPr>
            <w:tcW w:w="90" w:type="dxa"/>
            <w:shd w:val="clear"/>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10365" w:type="dxa"/>
            <w:gridSpan w:val="2"/>
            <w:shd w:val="clear"/>
            <w:tcMar>
              <w:top w:w="12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三、获取招标文件</w:t>
            </w:r>
          </w:p>
        </w:tc>
        <w:tc>
          <w:tcPr>
            <w:tcW w:w="90" w:type="dxa"/>
            <w:shd w:val="clear"/>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10365" w:type="dxa"/>
            <w:gridSpan w:val="2"/>
            <w:shd w:val="clear"/>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1.时间：2024年07月10日 至 2024年07月17日，每天上午00:00至12:00，下午12:00至23:59（北京时间，法定节假日除外。）</w:t>
            </w:r>
          </w:p>
        </w:tc>
        <w:tc>
          <w:tcPr>
            <w:tcW w:w="90" w:type="dxa"/>
            <w:shd w:val="clear"/>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10365" w:type="dxa"/>
            <w:gridSpan w:val="2"/>
            <w:shd w:val="clear"/>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2.地点：唐河县公共资源交易中心网站（http://www.thggzy.cn）</w:t>
            </w:r>
          </w:p>
        </w:tc>
        <w:tc>
          <w:tcPr>
            <w:tcW w:w="90" w:type="dxa"/>
            <w:shd w:val="clear"/>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10365" w:type="dxa"/>
            <w:gridSpan w:val="2"/>
            <w:shd w:val="clear"/>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3.方式：网上下载。潜在供应商在南阳市公共资源交易中心办理CA数字证书，在南阳市交易平台诚信库进行登记注册，验证通过后可直接运用CA证书登录唐河县公共资源交易中心网站（www.thggzy.cn）诚信库会员系统进行网上下载采购文件。唐河县公共资源交易平台与南阳市公共资源交易平台诚信库系统互认共享、CA数字证书互认共享。</w:t>
            </w:r>
          </w:p>
        </w:tc>
        <w:tc>
          <w:tcPr>
            <w:tcW w:w="90" w:type="dxa"/>
            <w:shd w:val="clear"/>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10365" w:type="dxa"/>
            <w:gridSpan w:val="2"/>
            <w:shd w:val="clear"/>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4.售价：0元</w:t>
            </w:r>
          </w:p>
        </w:tc>
        <w:tc>
          <w:tcPr>
            <w:tcW w:w="90" w:type="dxa"/>
            <w:shd w:val="clear"/>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10365" w:type="dxa"/>
            <w:gridSpan w:val="2"/>
            <w:shd w:val="clear"/>
            <w:tcMar>
              <w:top w:w="12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四、投标截止时间及地点</w:t>
            </w:r>
          </w:p>
        </w:tc>
        <w:tc>
          <w:tcPr>
            <w:tcW w:w="90" w:type="dxa"/>
            <w:shd w:val="clear"/>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10365" w:type="dxa"/>
            <w:gridSpan w:val="2"/>
            <w:shd w:val="clear"/>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1.时间：2024年07月31日09时30分（北京时间）</w:t>
            </w:r>
          </w:p>
        </w:tc>
        <w:tc>
          <w:tcPr>
            <w:tcW w:w="90" w:type="dxa"/>
            <w:shd w:val="clear"/>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10365" w:type="dxa"/>
            <w:gridSpan w:val="2"/>
            <w:shd w:val="clear"/>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2.地点：唐河县公共资源交易中心网站（http://www.thggzy.cn）</w:t>
            </w:r>
          </w:p>
        </w:tc>
        <w:tc>
          <w:tcPr>
            <w:tcW w:w="90" w:type="dxa"/>
            <w:shd w:val="clear"/>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10365" w:type="dxa"/>
            <w:gridSpan w:val="2"/>
            <w:shd w:val="clear"/>
            <w:tcMar>
              <w:top w:w="12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五、开标时间及地点</w:t>
            </w:r>
          </w:p>
        </w:tc>
        <w:tc>
          <w:tcPr>
            <w:tcW w:w="90" w:type="dxa"/>
            <w:shd w:val="clear"/>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10365" w:type="dxa"/>
            <w:gridSpan w:val="2"/>
            <w:shd w:val="clear"/>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1.时间：2024年07月31日09时30分（北京时间）</w:t>
            </w:r>
          </w:p>
        </w:tc>
        <w:tc>
          <w:tcPr>
            <w:tcW w:w="90" w:type="dxa"/>
            <w:shd w:val="clear"/>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10365" w:type="dxa"/>
            <w:gridSpan w:val="2"/>
            <w:shd w:val="clear"/>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2.地点：唐河县公共资源交易中心第一开标室（本项目采用网上不见面方式开标，投标企业无需到达开标现场）</w:t>
            </w:r>
          </w:p>
        </w:tc>
        <w:tc>
          <w:tcPr>
            <w:tcW w:w="90" w:type="dxa"/>
            <w:shd w:val="clear"/>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10365" w:type="dxa"/>
            <w:gridSpan w:val="2"/>
            <w:shd w:val="clear"/>
            <w:tcMar>
              <w:top w:w="12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六、发布公告的媒介及招标公告期限</w:t>
            </w:r>
          </w:p>
        </w:tc>
        <w:tc>
          <w:tcPr>
            <w:tcW w:w="90" w:type="dxa"/>
            <w:shd w:val="clear"/>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10365" w:type="dxa"/>
            <w:gridSpan w:val="2"/>
            <w:shd w:val="clear"/>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本次招标公告在《河南省政府采购网》、《中国招标投标公共服务平台》、《中国政府采购网》和《唐河县公共资源交易中心》上发布， 招标公告期限为五个工作日 。</w:t>
            </w:r>
          </w:p>
        </w:tc>
        <w:tc>
          <w:tcPr>
            <w:tcW w:w="90" w:type="dxa"/>
            <w:shd w:val="clear"/>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10365" w:type="dxa"/>
            <w:gridSpan w:val="2"/>
            <w:shd w:val="clear"/>
            <w:tcMar>
              <w:top w:w="12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七、其他补充事宜</w:t>
            </w:r>
          </w:p>
        </w:tc>
        <w:tc>
          <w:tcPr>
            <w:tcW w:w="90" w:type="dxa"/>
            <w:shd w:val="clear"/>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10365" w:type="dxa"/>
            <w:gridSpan w:val="2"/>
            <w:shd w:val="clear"/>
            <w:tcMar>
              <w:top w:w="120" w:type="dxa"/>
              <w:left w:w="840" w:type="dxa"/>
            </w:tcMar>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20" w:lineRule="atLeast"/>
              <w:ind w:left="0" w:right="0"/>
              <w:jc w:val="left"/>
              <w:textAlignment w:val="baseline"/>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（1）该项目自行上传投标文件，无需寄送和递交非加密投标文件光盘等。</w:t>
            </w: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br w:type="textWrapping"/>
            </w: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（2）因投标人无需现场参与开标，所有准备工作需自行准备到位。开标过程中如遇到紧急事项，可在不见面开标大厅中进行提出异议或文字交流。</w:t>
            </w: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br w:type="textWrapping"/>
            </w: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（3）不见面开标过程中，如投标人准备不到位，造成无法及时解密、网络问题等情况造成开标无法继续的，视为该投标人自动放弃投标（30分钟内），将被退回投标文件。</w:t>
            </w: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br w:type="textWrapping"/>
            </w: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（4）电子投标文件应在招标文件规定的投标截止时间前到达交易系统。逾期到达交易系统的电子投标文件视为放弃本次投标。</w:t>
            </w:r>
          </w:p>
        </w:tc>
        <w:tc>
          <w:tcPr>
            <w:tcW w:w="90" w:type="dxa"/>
            <w:shd w:val="clear"/>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10365" w:type="dxa"/>
            <w:gridSpan w:val="2"/>
            <w:shd w:val="clear"/>
            <w:tcMar>
              <w:top w:w="12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八、凡对本次招标提出询问，请按照以下方式联系</w:t>
            </w:r>
          </w:p>
        </w:tc>
        <w:tc>
          <w:tcPr>
            <w:tcW w:w="90" w:type="dxa"/>
            <w:shd w:val="clear"/>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10365" w:type="dxa"/>
            <w:gridSpan w:val="2"/>
            <w:shd w:val="clear"/>
            <w:tcMar>
              <w:top w:w="120" w:type="dxa"/>
              <w:left w:w="21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1. 采购人信息</w:t>
            </w:r>
          </w:p>
        </w:tc>
        <w:tc>
          <w:tcPr>
            <w:tcW w:w="90" w:type="dxa"/>
            <w:shd w:val="clear"/>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10365" w:type="dxa"/>
            <w:gridSpan w:val="2"/>
            <w:shd w:val="clear"/>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名称：唐河县体育事业发展中心</w:t>
            </w:r>
          </w:p>
        </w:tc>
        <w:tc>
          <w:tcPr>
            <w:tcW w:w="90" w:type="dxa"/>
            <w:shd w:val="clear"/>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10365" w:type="dxa"/>
            <w:gridSpan w:val="2"/>
            <w:shd w:val="clear"/>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地址：唐河县体育广场内</w:t>
            </w:r>
          </w:p>
        </w:tc>
        <w:tc>
          <w:tcPr>
            <w:tcW w:w="90" w:type="dxa"/>
            <w:shd w:val="clear"/>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10365" w:type="dxa"/>
            <w:gridSpan w:val="2"/>
            <w:shd w:val="clear"/>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联系人：许先生</w:t>
            </w:r>
          </w:p>
        </w:tc>
        <w:tc>
          <w:tcPr>
            <w:tcW w:w="90" w:type="dxa"/>
            <w:shd w:val="clear"/>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10365" w:type="dxa"/>
            <w:gridSpan w:val="2"/>
            <w:shd w:val="clear"/>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联系方式：13569286222</w:t>
            </w:r>
          </w:p>
        </w:tc>
        <w:tc>
          <w:tcPr>
            <w:tcW w:w="90" w:type="dxa"/>
            <w:shd w:val="clear"/>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10365" w:type="dxa"/>
            <w:gridSpan w:val="2"/>
            <w:shd w:val="clear"/>
            <w:tcMar>
              <w:top w:w="120" w:type="dxa"/>
              <w:left w:w="21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2.采购代理机构信息（如有）</w:t>
            </w:r>
          </w:p>
        </w:tc>
        <w:tc>
          <w:tcPr>
            <w:tcW w:w="90" w:type="dxa"/>
            <w:shd w:val="clear"/>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10365" w:type="dxa"/>
            <w:gridSpan w:val="2"/>
            <w:shd w:val="clear"/>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名称：唐河县唐兴工程造价咨询有限公司</w:t>
            </w:r>
          </w:p>
        </w:tc>
        <w:tc>
          <w:tcPr>
            <w:tcW w:w="90" w:type="dxa"/>
            <w:shd w:val="clear"/>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10365" w:type="dxa"/>
            <w:gridSpan w:val="2"/>
            <w:shd w:val="clear"/>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地址：河南省南阳市唐河县滨河街道凤山路财政局院内</w:t>
            </w:r>
          </w:p>
        </w:tc>
        <w:tc>
          <w:tcPr>
            <w:tcW w:w="90" w:type="dxa"/>
            <w:shd w:val="clear"/>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10365" w:type="dxa"/>
            <w:gridSpan w:val="2"/>
            <w:shd w:val="clear"/>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联系人：周先生</w:t>
            </w:r>
          </w:p>
        </w:tc>
        <w:tc>
          <w:tcPr>
            <w:tcW w:w="90" w:type="dxa"/>
            <w:shd w:val="clear"/>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10365" w:type="dxa"/>
            <w:gridSpan w:val="2"/>
            <w:shd w:val="clear"/>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联系方式：15083317577</w:t>
            </w:r>
          </w:p>
        </w:tc>
        <w:tc>
          <w:tcPr>
            <w:tcW w:w="90" w:type="dxa"/>
            <w:shd w:val="clear"/>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10365" w:type="dxa"/>
            <w:gridSpan w:val="2"/>
            <w:shd w:val="clear"/>
            <w:tcMar>
              <w:top w:w="120" w:type="dxa"/>
              <w:left w:w="21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3.项目联系方式</w:t>
            </w:r>
          </w:p>
        </w:tc>
        <w:tc>
          <w:tcPr>
            <w:tcW w:w="90" w:type="dxa"/>
            <w:shd w:val="clear"/>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10365" w:type="dxa"/>
            <w:gridSpan w:val="2"/>
            <w:shd w:val="clear"/>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项目联系人：周先生</w:t>
            </w:r>
          </w:p>
        </w:tc>
        <w:tc>
          <w:tcPr>
            <w:tcW w:w="90" w:type="dxa"/>
            <w:shd w:val="clear"/>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10365" w:type="dxa"/>
            <w:gridSpan w:val="2"/>
            <w:shd w:val="clear"/>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bdr w:val="none" w:color="auto" w:sz="0" w:space="0"/>
                <w:lang w:val="en-US" w:eastAsia="zh-CN" w:bidi="ar"/>
              </w:rPr>
              <w:t>联系方式：15083317577</w:t>
            </w:r>
          </w:p>
        </w:tc>
        <w:tc>
          <w:tcPr>
            <w:tcW w:w="90" w:type="dxa"/>
            <w:shd w:val="clear"/>
            <w:vAlign w:val="center"/>
          </w:tcPr>
          <w:p>
            <w:pPr>
              <w:rPr>
                <w:rFonts w:hint="eastAsia" w:ascii="宋体"/>
                <w:b w:val="0"/>
                <w:bCs w:val="0"/>
                <w:i w:val="0"/>
                <w:iCs w:val="0"/>
                <w:sz w:val="24"/>
                <w:szCs w:val="24"/>
              </w:rPr>
            </w:pPr>
          </w:p>
        </w:tc>
      </w:tr>
    </w:tbl>
    <w:p>
      <w:pPr>
        <w:rPr>
          <w:rFonts w:hint="eastAsia" w:ascii="微软雅黑" w:hAnsi="微软雅黑" w:eastAsia="宋体" w:cs="微软雅黑"/>
          <w:snapToGrid w:val="0"/>
          <w:color w:val="000000"/>
          <w:kern w:val="0"/>
          <w:sz w:val="24"/>
          <w:szCs w:val="21"/>
          <w:lang w:val="en-US" w:eastAsia="zh-CN" w:bidi="ar"/>
        </w:rPr>
      </w:pPr>
      <w:r>
        <w:rPr>
          <w:rFonts w:hint="eastAsia" w:ascii="微软雅黑" w:hAnsi="微软雅黑" w:eastAsia="宋体" w:cs="微软雅黑"/>
          <w:snapToGrid w:val="0"/>
          <w:color w:val="000000"/>
          <w:kern w:val="0"/>
          <w:sz w:val="24"/>
          <w:szCs w:val="21"/>
          <w:lang w:val="en-US" w:eastAsia="zh-CN" w:bidi="ar"/>
        </w:rPr>
        <w:br w:type="page"/>
      </w:r>
    </w:p>
    <w:p>
      <w:pPr>
        <w:spacing w:before="218" w:line="225" w:lineRule="auto"/>
        <w:jc w:val="center"/>
        <w:outlineLvl w:val="0"/>
        <w:rPr>
          <w:rFonts w:ascii="宋体" w:hAnsi="宋体" w:eastAsia="宋体" w:cs="宋体"/>
          <w:b/>
          <w:bCs/>
          <w:sz w:val="31"/>
          <w:szCs w:val="31"/>
        </w:rPr>
      </w:pPr>
      <w:bookmarkStart w:id="1" w:name="_Toc5634"/>
      <w:r>
        <w:rPr>
          <w:rFonts w:ascii="宋体" w:hAnsi="宋体" w:eastAsia="宋体" w:cs="宋体"/>
          <w:b/>
          <w:bCs/>
          <w:spacing w:val="9"/>
          <w:sz w:val="31"/>
          <w:szCs w:val="31"/>
        </w:rPr>
        <w:t>第二部分</w:t>
      </w:r>
      <w:r>
        <w:rPr>
          <w:rFonts w:hint="eastAsia" w:ascii="宋体" w:hAnsi="宋体" w:eastAsia="宋体" w:cs="宋体"/>
          <w:b/>
          <w:bCs/>
          <w:spacing w:val="9"/>
          <w:sz w:val="31"/>
          <w:szCs w:val="31"/>
          <w:lang w:val="en-US" w:eastAsia="zh-CN"/>
        </w:rPr>
        <w:t xml:space="preserve"> </w:t>
      </w:r>
      <w:r>
        <w:rPr>
          <w:rFonts w:ascii="宋体" w:hAnsi="宋体" w:eastAsia="宋体" w:cs="宋体"/>
          <w:b/>
          <w:bCs/>
          <w:spacing w:val="9"/>
          <w:sz w:val="31"/>
          <w:szCs w:val="31"/>
        </w:rPr>
        <w:t>投标人须</w:t>
      </w:r>
      <w:r>
        <w:rPr>
          <w:rFonts w:ascii="宋体" w:hAnsi="宋体" w:eastAsia="宋体" w:cs="宋体"/>
          <w:b/>
          <w:bCs/>
          <w:spacing w:val="8"/>
          <w:sz w:val="31"/>
          <w:szCs w:val="31"/>
        </w:rPr>
        <w:t>知</w:t>
      </w:r>
      <w:bookmarkEnd w:id="1"/>
    </w:p>
    <w:p>
      <w:pPr>
        <w:spacing w:line="256" w:lineRule="auto"/>
      </w:pPr>
    </w:p>
    <w:p>
      <w:pPr>
        <w:spacing w:before="69" w:line="220" w:lineRule="auto"/>
        <w:ind w:left="157"/>
        <w:jc w:val="center"/>
        <w:outlineLvl w:val="9"/>
        <w:rPr>
          <w:rFonts w:ascii="宋体" w:hAnsi="宋体" w:eastAsia="宋体" w:cs="宋体"/>
          <w:b/>
          <w:bCs/>
        </w:rPr>
      </w:pPr>
      <w:r>
        <w:rPr>
          <w:rFonts w:ascii="宋体" w:hAnsi="宋体" w:eastAsia="宋体" w:cs="宋体"/>
          <w:b/>
          <w:bCs/>
          <w:spacing w:val="-1"/>
        </w:rPr>
        <w:t>投标</w:t>
      </w:r>
      <w:r>
        <w:rPr>
          <w:rFonts w:ascii="宋体" w:hAnsi="宋体" w:eastAsia="宋体" w:cs="宋体"/>
          <w:b/>
          <w:bCs/>
        </w:rPr>
        <w:t>人须知前附表</w:t>
      </w:r>
    </w:p>
    <w:p>
      <w:pPr>
        <w:spacing w:line="128" w:lineRule="exact"/>
      </w:pPr>
    </w:p>
    <w:tbl>
      <w:tblPr>
        <w:tblStyle w:val="45"/>
        <w:tblW w:w="1003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3"/>
        <w:gridCol w:w="2270"/>
        <w:gridCol w:w="694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823" w:type="dxa"/>
            <w:vAlign w:val="center"/>
          </w:tcPr>
          <w:p>
            <w:pPr>
              <w:keepNext w:val="0"/>
              <w:keepLines w:val="0"/>
              <w:pageBreakBefore w:val="0"/>
              <w:overflowPunct/>
              <w:topLinePunct w:val="0"/>
              <w:autoSpaceDE w:val="0"/>
              <w:autoSpaceDN w:val="0"/>
              <w:bidi w:val="0"/>
              <w:spacing w:line="360" w:lineRule="exact"/>
              <w:ind w:right="0" w:rightChars="0"/>
              <w:jc w:val="center"/>
              <w:rPr>
                <w:rFonts w:ascii="宋体" w:hAnsi="宋体" w:eastAsia="宋体" w:cs="宋体"/>
                <w:b/>
                <w:bCs/>
                <w:i w:val="0"/>
                <w:iCs w:val="0"/>
                <w:sz w:val="21"/>
                <w:szCs w:val="21"/>
              </w:rPr>
            </w:pPr>
            <w:r>
              <w:rPr>
                <w:rFonts w:ascii="宋体" w:hAnsi="宋体" w:eastAsia="宋体" w:cs="宋体"/>
                <w:b/>
                <w:bCs/>
                <w:i w:val="0"/>
                <w:iCs w:val="0"/>
                <w:spacing w:val="-2"/>
                <w:sz w:val="21"/>
                <w:szCs w:val="21"/>
              </w:rPr>
              <w:t>序</w:t>
            </w:r>
            <w:r>
              <w:rPr>
                <w:rFonts w:ascii="宋体" w:hAnsi="宋体" w:eastAsia="宋体" w:cs="宋体"/>
                <w:b/>
                <w:bCs/>
                <w:i w:val="0"/>
                <w:iCs w:val="0"/>
                <w:spacing w:val="-1"/>
                <w:sz w:val="21"/>
                <w:szCs w:val="21"/>
              </w:rPr>
              <w:t>号</w:t>
            </w:r>
          </w:p>
        </w:tc>
        <w:tc>
          <w:tcPr>
            <w:tcW w:w="2270" w:type="dxa"/>
            <w:vAlign w:val="center"/>
          </w:tcPr>
          <w:p>
            <w:pPr>
              <w:keepNext w:val="0"/>
              <w:keepLines w:val="0"/>
              <w:pageBreakBefore w:val="0"/>
              <w:overflowPunct/>
              <w:topLinePunct w:val="0"/>
              <w:autoSpaceDE w:val="0"/>
              <w:autoSpaceDN w:val="0"/>
              <w:bidi w:val="0"/>
              <w:spacing w:line="360" w:lineRule="exact"/>
              <w:ind w:right="0" w:rightChars="0"/>
              <w:jc w:val="center"/>
              <w:rPr>
                <w:rFonts w:ascii="宋体" w:hAnsi="宋体" w:eastAsia="宋体" w:cs="宋体"/>
                <w:b/>
                <w:bCs/>
                <w:i w:val="0"/>
                <w:iCs w:val="0"/>
                <w:sz w:val="21"/>
                <w:szCs w:val="21"/>
              </w:rPr>
            </w:pPr>
            <w:r>
              <w:rPr>
                <w:rFonts w:ascii="宋体" w:hAnsi="宋体" w:eastAsia="宋体" w:cs="宋体"/>
                <w:b/>
                <w:bCs/>
                <w:i w:val="0"/>
                <w:iCs w:val="0"/>
                <w:spacing w:val="-2"/>
                <w:sz w:val="21"/>
                <w:szCs w:val="21"/>
              </w:rPr>
              <w:t>条款名</w:t>
            </w:r>
            <w:r>
              <w:rPr>
                <w:rFonts w:ascii="宋体" w:hAnsi="宋体" w:eastAsia="宋体" w:cs="宋体"/>
                <w:b/>
                <w:bCs/>
                <w:i w:val="0"/>
                <w:iCs w:val="0"/>
                <w:spacing w:val="-1"/>
                <w:sz w:val="21"/>
                <w:szCs w:val="21"/>
              </w:rPr>
              <w:t>称</w:t>
            </w:r>
          </w:p>
        </w:tc>
        <w:tc>
          <w:tcPr>
            <w:tcW w:w="6943" w:type="dxa"/>
            <w:vAlign w:val="center"/>
          </w:tcPr>
          <w:p>
            <w:pPr>
              <w:keepNext w:val="0"/>
              <w:keepLines w:val="0"/>
              <w:pageBreakBefore w:val="0"/>
              <w:overflowPunct/>
              <w:topLinePunct w:val="0"/>
              <w:autoSpaceDE w:val="0"/>
              <w:autoSpaceDN w:val="0"/>
              <w:bidi w:val="0"/>
              <w:spacing w:line="360" w:lineRule="exact"/>
              <w:ind w:right="0" w:rightChars="0"/>
              <w:jc w:val="center"/>
              <w:rPr>
                <w:rFonts w:ascii="宋体" w:hAnsi="宋体" w:eastAsia="宋体" w:cs="宋体"/>
                <w:b/>
                <w:bCs/>
                <w:i w:val="0"/>
                <w:iCs w:val="0"/>
                <w:sz w:val="21"/>
                <w:szCs w:val="21"/>
              </w:rPr>
            </w:pPr>
            <w:r>
              <w:rPr>
                <w:rFonts w:ascii="宋体" w:hAnsi="宋体" w:eastAsia="宋体" w:cs="宋体"/>
                <w:b/>
                <w:bCs/>
                <w:i w:val="0"/>
                <w:iCs w:val="0"/>
                <w:spacing w:val="-2"/>
                <w:sz w:val="21"/>
                <w:szCs w:val="21"/>
              </w:rPr>
              <w:t>编列内</w:t>
            </w:r>
            <w:r>
              <w:rPr>
                <w:rFonts w:ascii="宋体" w:hAnsi="宋体" w:eastAsia="宋体" w:cs="宋体"/>
                <w:b/>
                <w:bCs/>
                <w:i w:val="0"/>
                <w:iCs w:val="0"/>
                <w:spacing w:val="-1"/>
                <w:sz w:val="21"/>
                <w:szCs w:val="21"/>
              </w:rPr>
              <w:t>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823" w:type="dxa"/>
            <w:vAlign w:val="center"/>
          </w:tcPr>
          <w:p>
            <w:pPr>
              <w:keepNext w:val="0"/>
              <w:keepLines w:val="0"/>
              <w:pageBreakBefore w:val="0"/>
              <w:overflowPunct/>
              <w:topLinePunct w:val="0"/>
              <w:autoSpaceDE w:val="0"/>
              <w:autoSpaceDN w:val="0"/>
              <w:bidi w:val="0"/>
              <w:spacing w:line="360" w:lineRule="exact"/>
              <w:ind w:right="0" w:rightChars="0"/>
              <w:jc w:val="center"/>
              <w:rPr>
                <w:rFonts w:ascii="宋体" w:hAnsi="宋体" w:eastAsia="宋体" w:cs="宋体"/>
                <w:sz w:val="21"/>
                <w:szCs w:val="21"/>
              </w:rPr>
            </w:pPr>
            <w:r>
              <w:rPr>
                <w:rFonts w:ascii="宋体" w:hAnsi="宋体" w:eastAsia="宋体" w:cs="宋体"/>
                <w:sz w:val="21"/>
                <w:szCs w:val="21"/>
              </w:rPr>
              <w:t>1</w:t>
            </w:r>
          </w:p>
        </w:tc>
        <w:tc>
          <w:tcPr>
            <w:tcW w:w="2270" w:type="dxa"/>
            <w:vAlign w:val="center"/>
          </w:tcPr>
          <w:p>
            <w:pPr>
              <w:pStyle w:val="46"/>
              <w:keepNext w:val="0"/>
              <w:keepLines w:val="0"/>
              <w:pageBreakBefore w:val="0"/>
              <w:widowControl w:val="0"/>
              <w:kinsoku/>
              <w:overflowPunct/>
              <w:topLinePunct w:val="0"/>
              <w:autoSpaceDE w:val="0"/>
              <w:autoSpaceDN w:val="0"/>
              <w:bidi w:val="0"/>
              <w:adjustRightInd/>
              <w:snapToGrid/>
              <w:spacing w:line="360" w:lineRule="exact"/>
              <w:ind w:right="0" w:rightChars="0"/>
              <w:jc w:val="center"/>
              <w:textAlignment w:val="auto"/>
              <w:rPr>
                <w:rFonts w:hint="eastAsia" w:ascii="宋体" w:hAnsi="宋体" w:eastAsia="宋体" w:cs="宋体"/>
                <w:sz w:val="21"/>
                <w:szCs w:val="21"/>
              </w:rPr>
            </w:pPr>
            <w:r>
              <w:rPr>
                <w:rFonts w:hint="eastAsia" w:ascii="宋体" w:hAnsi="宋体" w:eastAsia="宋体" w:cs="宋体"/>
                <w:sz w:val="21"/>
                <w:szCs w:val="21"/>
              </w:rPr>
              <w:t>项目名称</w:t>
            </w:r>
          </w:p>
        </w:tc>
        <w:tc>
          <w:tcPr>
            <w:tcW w:w="6943" w:type="dxa"/>
          </w:tcPr>
          <w:p>
            <w:pPr>
              <w:pStyle w:val="46"/>
              <w:keepNext w:val="0"/>
              <w:keepLines w:val="0"/>
              <w:pageBreakBefore w:val="0"/>
              <w:widowControl w:val="0"/>
              <w:kinsoku/>
              <w:overflowPunct/>
              <w:topLinePunct w:val="0"/>
              <w:autoSpaceDE w:val="0"/>
              <w:autoSpaceDN w:val="0"/>
              <w:bidi w:val="0"/>
              <w:adjustRightInd/>
              <w:snapToGrid/>
              <w:spacing w:line="360" w:lineRule="exact"/>
              <w:ind w:right="0" w:rightChars="0"/>
              <w:jc w:val="left"/>
              <w:textAlignment w:val="auto"/>
              <w:rPr>
                <w:rFonts w:hint="eastAsia" w:ascii="宋体" w:hAnsi="宋体" w:eastAsia="宋体" w:cs="宋体"/>
                <w:sz w:val="21"/>
                <w:szCs w:val="21"/>
                <w:lang w:eastAsia="zh-CN"/>
              </w:rPr>
            </w:pPr>
            <w:r>
              <w:rPr>
                <w:rFonts w:hint="eastAsia" w:cs="宋体"/>
                <w:sz w:val="21"/>
                <w:szCs w:val="21"/>
                <w:lang w:val="en-US" w:eastAsia="zh-CN"/>
              </w:rPr>
              <w:t xml:space="preserve">唐河县老年体育公园暨智慧健身公园建设项目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23" w:type="dxa"/>
            <w:vAlign w:val="center"/>
          </w:tcPr>
          <w:p>
            <w:pPr>
              <w:keepNext w:val="0"/>
              <w:keepLines w:val="0"/>
              <w:pageBreakBefore w:val="0"/>
              <w:overflowPunct/>
              <w:topLinePunct w:val="0"/>
              <w:autoSpaceDE w:val="0"/>
              <w:autoSpaceDN w:val="0"/>
              <w:bidi w:val="0"/>
              <w:spacing w:line="360" w:lineRule="exact"/>
              <w:ind w:right="0" w:rightChars="0"/>
              <w:jc w:val="center"/>
              <w:rPr>
                <w:rFonts w:ascii="宋体" w:hAnsi="宋体" w:eastAsia="宋体" w:cs="宋体"/>
                <w:sz w:val="21"/>
                <w:szCs w:val="21"/>
              </w:rPr>
            </w:pPr>
            <w:r>
              <w:rPr>
                <w:rFonts w:ascii="宋体" w:hAnsi="宋体" w:eastAsia="宋体" w:cs="宋体"/>
                <w:sz w:val="21"/>
                <w:szCs w:val="21"/>
              </w:rPr>
              <w:t>2</w:t>
            </w:r>
          </w:p>
        </w:tc>
        <w:tc>
          <w:tcPr>
            <w:tcW w:w="2270" w:type="dxa"/>
            <w:vAlign w:val="center"/>
          </w:tcPr>
          <w:p>
            <w:pPr>
              <w:pStyle w:val="46"/>
              <w:keepNext w:val="0"/>
              <w:keepLines w:val="0"/>
              <w:pageBreakBefore w:val="0"/>
              <w:widowControl w:val="0"/>
              <w:kinsoku/>
              <w:overflowPunct/>
              <w:topLinePunct w:val="0"/>
              <w:autoSpaceDE w:val="0"/>
              <w:autoSpaceDN w:val="0"/>
              <w:bidi w:val="0"/>
              <w:adjustRightInd/>
              <w:snapToGrid/>
              <w:spacing w:line="360" w:lineRule="exact"/>
              <w:ind w:right="0" w:rightChars="0"/>
              <w:jc w:val="center"/>
              <w:textAlignment w:val="auto"/>
              <w:rPr>
                <w:rFonts w:hint="eastAsia" w:ascii="宋体" w:hAnsi="宋体" w:eastAsia="宋体" w:cs="宋体"/>
                <w:sz w:val="21"/>
                <w:szCs w:val="21"/>
              </w:rPr>
            </w:pPr>
            <w:r>
              <w:rPr>
                <w:rFonts w:hint="eastAsia" w:ascii="宋体" w:hAnsi="宋体" w:eastAsia="宋体" w:cs="宋体"/>
                <w:sz w:val="21"/>
                <w:szCs w:val="21"/>
              </w:rPr>
              <w:t>采购人(招标人)</w:t>
            </w:r>
          </w:p>
        </w:tc>
        <w:tc>
          <w:tcPr>
            <w:tcW w:w="6943" w:type="dxa"/>
            <w:vAlign w:val="top"/>
          </w:tcPr>
          <w:p>
            <w:pPr>
              <w:pStyle w:val="46"/>
              <w:keepNext w:val="0"/>
              <w:keepLines w:val="0"/>
              <w:pageBreakBefore w:val="0"/>
              <w:widowControl w:val="0"/>
              <w:kinsoku/>
              <w:overflowPunct/>
              <w:topLinePunct w:val="0"/>
              <w:autoSpaceDE w:val="0"/>
              <w:autoSpaceDN w:val="0"/>
              <w:bidi w:val="0"/>
              <w:adjustRightInd/>
              <w:snapToGrid/>
              <w:spacing w:line="360" w:lineRule="exact"/>
              <w:ind w:right="0" w:right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名称：唐河县体育事业发展中心</w:t>
            </w:r>
          </w:p>
          <w:p>
            <w:pPr>
              <w:pStyle w:val="46"/>
              <w:keepNext w:val="0"/>
              <w:keepLines w:val="0"/>
              <w:pageBreakBefore w:val="0"/>
              <w:widowControl w:val="0"/>
              <w:kinsoku/>
              <w:overflowPunct/>
              <w:topLinePunct w:val="0"/>
              <w:autoSpaceDE w:val="0"/>
              <w:autoSpaceDN w:val="0"/>
              <w:bidi w:val="0"/>
              <w:adjustRightInd/>
              <w:snapToGrid/>
              <w:spacing w:line="360" w:lineRule="exact"/>
              <w:ind w:right="0" w:right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地址：唐河县体育广场内</w:t>
            </w:r>
          </w:p>
          <w:p>
            <w:pPr>
              <w:pStyle w:val="46"/>
              <w:keepNext w:val="0"/>
              <w:keepLines w:val="0"/>
              <w:pageBreakBefore w:val="0"/>
              <w:widowControl w:val="0"/>
              <w:kinsoku/>
              <w:overflowPunct/>
              <w:topLinePunct w:val="0"/>
              <w:autoSpaceDE w:val="0"/>
              <w:autoSpaceDN w:val="0"/>
              <w:bidi w:val="0"/>
              <w:adjustRightInd/>
              <w:snapToGrid/>
              <w:spacing w:line="360" w:lineRule="exact"/>
              <w:ind w:right="0" w:right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联系人：许先生</w:t>
            </w:r>
          </w:p>
          <w:p>
            <w:pPr>
              <w:pStyle w:val="46"/>
              <w:keepNext w:val="0"/>
              <w:keepLines w:val="0"/>
              <w:pageBreakBefore w:val="0"/>
              <w:widowControl w:val="0"/>
              <w:kinsoku/>
              <w:overflowPunct/>
              <w:topLinePunct w:val="0"/>
              <w:autoSpaceDE w:val="0"/>
              <w:autoSpaceDN w:val="0"/>
              <w:bidi w:val="0"/>
              <w:adjustRightInd/>
              <w:snapToGrid/>
              <w:spacing w:line="360" w:lineRule="exact"/>
              <w:ind w:right="0" w:right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联系方式：13569286222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0" w:hRule="atLeast"/>
        </w:trPr>
        <w:tc>
          <w:tcPr>
            <w:tcW w:w="823" w:type="dxa"/>
            <w:vAlign w:val="center"/>
          </w:tcPr>
          <w:p>
            <w:pPr>
              <w:keepNext w:val="0"/>
              <w:keepLines w:val="0"/>
              <w:pageBreakBefore w:val="0"/>
              <w:overflowPunct/>
              <w:topLinePunct w:val="0"/>
              <w:autoSpaceDE w:val="0"/>
              <w:autoSpaceDN w:val="0"/>
              <w:bidi w:val="0"/>
              <w:spacing w:line="360" w:lineRule="exact"/>
              <w:ind w:right="0" w:rightChars="0"/>
              <w:jc w:val="center"/>
              <w:rPr>
                <w:rFonts w:ascii="宋体" w:hAnsi="宋体" w:eastAsia="宋体" w:cs="宋体"/>
                <w:sz w:val="21"/>
                <w:szCs w:val="21"/>
              </w:rPr>
            </w:pPr>
            <w:r>
              <w:rPr>
                <w:rFonts w:ascii="宋体" w:hAnsi="宋体" w:eastAsia="宋体" w:cs="宋体"/>
                <w:sz w:val="21"/>
                <w:szCs w:val="21"/>
              </w:rPr>
              <w:t>3</w:t>
            </w:r>
          </w:p>
        </w:tc>
        <w:tc>
          <w:tcPr>
            <w:tcW w:w="2270" w:type="dxa"/>
            <w:vAlign w:val="center"/>
          </w:tcPr>
          <w:p>
            <w:pPr>
              <w:keepNext w:val="0"/>
              <w:keepLines w:val="0"/>
              <w:pageBreakBefore w:val="0"/>
              <w:overflowPunct/>
              <w:topLinePunct w:val="0"/>
              <w:autoSpaceDE w:val="0"/>
              <w:autoSpaceDN w:val="0"/>
              <w:bidi w:val="0"/>
              <w:spacing w:line="360" w:lineRule="exact"/>
              <w:ind w:right="0" w:rightChars="0"/>
              <w:jc w:val="center"/>
              <w:rPr>
                <w:rFonts w:hint="eastAsia" w:ascii="宋体" w:hAnsi="宋体" w:eastAsia="宋体" w:cs="宋体"/>
                <w:spacing w:val="-1"/>
                <w:sz w:val="21"/>
                <w:szCs w:val="21"/>
              </w:rPr>
            </w:pPr>
            <w:r>
              <w:rPr>
                <w:rFonts w:hint="eastAsia" w:ascii="宋体" w:hAnsi="宋体" w:eastAsia="宋体" w:cs="宋体"/>
                <w:spacing w:val="-1"/>
                <w:sz w:val="21"/>
                <w:szCs w:val="21"/>
              </w:rPr>
              <w:t>采购代理机构</w:t>
            </w:r>
          </w:p>
        </w:tc>
        <w:tc>
          <w:tcPr>
            <w:tcW w:w="6943" w:type="dxa"/>
            <w:vAlign w:val="top"/>
          </w:tcPr>
          <w:p>
            <w:pPr>
              <w:pStyle w:val="46"/>
              <w:keepNext w:val="0"/>
              <w:keepLines w:val="0"/>
              <w:pageBreakBefore w:val="0"/>
              <w:widowControl w:val="0"/>
              <w:kinsoku/>
              <w:overflowPunct/>
              <w:topLinePunct w:val="0"/>
              <w:autoSpaceDE w:val="0"/>
              <w:autoSpaceDN w:val="0"/>
              <w:bidi w:val="0"/>
              <w:adjustRightInd/>
              <w:snapToGrid/>
              <w:spacing w:line="360" w:lineRule="exact"/>
              <w:ind w:right="0" w:right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名称：唐河县唐兴工程造价咨询有限公司</w:t>
            </w:r>
          </w:p>
          <w:p>
            <w:pPr>
              <w:pStyle w:val="46"/>
              <w:keepNext w:val="0"/>
              <w:keepLines w:val="0"/>
              <w:pageBreakBefore w:val="0"/>
              <w:widowControl w:val="0"/>
              <w:kinsoku/>
              <w:overflowPunct/>
              <w:topLinePunct w:val="0"/>
              <w:autoSpaceDE w:val="0"/>
              <w:autoSpaceDN w:val="0"/>
              <w:bidi w:val="0"/>
              <w:adjustRightInd/>
              <w:snapToGrid/>
              <w:spacing w:line="360" w:lineRule="exact"/>
              <w:ind w:right="0" w:right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地址：河南省南阳市唐河县滨河街道凤山路财政局院内</w:t>
            </w:r>
          </w:p>
          <w:p>
            <w:pPr>
              <w:pStyle w:val="46"/>
              <w:keepNext w:val="0"/>
              <w:keepLines w:val="0"/>
              <w:pageBreakBefore w:val="0"/>
              <w:widowControl w:val="0"/>
              <w:kinsoku/>
              <w:overflowPunct/>
              <w:topLinePunct w:val="0"/>
              <w:autoSpaceDE w:val="0"/>
              <w:autoSpaceDN w:val="0"/>
              <w:bidi w:val="0"/>
              <w:adjustRightInd/>
              <w:snapToGrid/>
              <w:spacing w:line="360" w:lineRule="exact"/>
              <w:ind w:right="0" w:right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联系人：周先生</w:t>
            </w:r>
          </w:p>
          <w:p>
            <w:pPr>
              <w:pStyle w:val="46"/>
              <w:keepNext w:val="0"/>
              <w:keepLines w:val="0"/>
              <w:pageBreakBefore w:val="0"/>
              <w:widowControl w:val="0"/>
              <w:kinsoku/>
              <w:overflowPunct/>
              <w:topLinePunct w:val="0"/>
              <w:autoSpaceDE w:val="0"/>
              <w:autoSpaceDN w:val="0"/>
              <w:bidi w:val="0"/>
              <w:adjustRightInd/>
              <w:snapToGrid/>
              <w:spacing w:line="360" w:lineRule="exact"/>
              <w:ind w:right="0" w:rightChars="0"/>
              <w:jc w:val="lef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联系方式：15083317577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 w:hRule="atLeast"/>
        </w:trPr>
        <w:tc>
          <w:tcPr>
            <w:tcW w:w="823" w:type="dxa"/>
            <w:vAlign w:val="center"/>
          </w:tcPr>
          <w:p>
            <w:pPr>
              <w:keepNext w:val="0"/>
              <w:keepLines w:val="0"/>
              <w:pageBreakBefore w:val="0"/>
              <w:overflowPunct/>
              <w:topLinePunct w:val="0"/>
              <w:autoSpaceDE w:val="0"/>
              <w:autoSpaceDN w:val="0"/>
              <w:bidi w:val="0"/>
              <w:spacing w:line="360" w:lineRule="exact"/>
              <w:ind w:right="0" w:rightChars="0"/>
              <w:jc w:val="center"/>
              <w:rPr>
                <w:rFonts w:ascii="宋体" w:hAnsi="宋体" w:eastAsia="宋体" w:cs="宋体"/>
                <w:sz w:val="21"/>
                <w:szCs w:val="21"/>
              </w:rPr>
            </w:pPr>
            <w:r>
              <w:rPr>
                <w:rFonts w:hint="eastAsia" w:ascii="宋体" w:hAnsi="宋体" w:eastAsia="宋体" w:cs="宋体"/>
                <w:sz w:val="21"/>
                <w:szCs w:val="21"/>
              </w:rPr>
              <w:t>4</w:t>
            </w:r>
          </w:p>
        </w:tc>
        <w:tc>
          <w:tcPr>
            <w:tcW w:w="2270" w:type="dxa"/>
            <w:vAlign w:val="center"/>
          </w:tcPr>
          <w:p>
            <w:pPr>
              <w:keepNext w:val="0"/>
              <w:keepLines w:val="0"/>
              <w:pageBreakBefore w:val="0"/>
              <w:overflowPunct/>
              <w:topLinePunct w:val="0"/>
              <w:autoSpaceDE w:val="0"/>
              <w:autoSpaceDN w:val="0"/>
              <w:bidi w:val="0"/>
              <w:spacing w:line="360" w:lineRule="exact"/>
              <w:ind w:right="0" w:rightChars="0"/>
              <w:jc w:val="center"/>
              <w:rPr>
                <w:rFonts w:hint="eastAsia" w:ascii="宋体" w:hAnsi="宋体" w:eastAsia="宋体" w:cs="宋体"/>
                <w:spacing w:val="-1"/>
                <w:sz w:val="21"/>
                <w:szCs w:val="21"/>
              </w:rPr>
            </w:pPr>
            <w:r>
              <w:rPr>
                <w:rFonts w:hint="eastAsia" w:ascii="宋体" w:hAnsi="宋体" w:eastAsia="宋体" w:cs="宋体"/>
                <w:spacing w:val="-1"/>
                <w:sz w:val="21"/>
                <w:szCs w:val="21"/>
              </w:rPr>
              <w:t>供货地点</w:t>
            </w:r>
          </w:p>
        </w:tc>
        <w:tc>
          <w:tcPr>
            <w:tcW w:w="6943" w:type="dxa"/>
            <w:vAlign w:val="center"/>
          </w:tcPr>
          <w:p>
            <w:pPr>
              <w:pStyle w:val="46"/>
              <w:keepNext w:val="0"/>
              <w:keepLines w:val="0"/>
              <w:pageBreakBefore w:val="0"/>
              <w:widowControl w:val="0"/>
              <w:kinsoku/>
              <w:overflowPunct/>
              <w:topLinePunct w:val="0"/>
              <w:autoSpaceDE w:val="0"/>
              <w:autoSpaceDN w:val="0"/>
              <w:bidi w:val="0"/>
              <w:adjustRightInd/>
              <w:snapToGrid/>
              <w:spacing w:line="360" w:lineRule="exact"/>
              <w:ind w:right="0" w:rightChars="0"/>
              <w:jc w:val="left"/>
              <w:textAlignment w:val="auto"/>
              <w:rPr>
                <w:rFonts w:hint="eastAsia"/>
                <w:sz w:val="21"/>
                <w:szCs w:val="21"/>
              </w:rPr>
            </w:pPr>
            <w:r>
              <w:rPr>
                <w:rFonts w:hint="eastAsia"/>
                <w:sz w:val="21"/>
                <w:szCs w:val="21"/>
              </w:rPr>
              <w:t>采购人指定地点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823" w:type="dxa"/>
            <w:vAlign w:val="center"/>
          </w:tcPr>
          <w:p>
            <w:pPr>
              <w:keepNext w:val="0"/>
              <w:keepLines w:val="0"/>
              <w:pageBreakBefore w:val="0"/>
              <w:overflowPunct/>
              <w:topLinePunct w:val="0"/>
              <w:autoSpaceDE w:val="0"/>
              <w:autoSpaceDN w:val="0"/>
              <w:bidi w:val="0"/>
              <w:spacing w:line="360" w:lineRule="exact"/>
              <w:ind w:right="0" w:rightChars="0"/>
              <w:jc w:val="center"/>
              <w:rPr>
                <w:rFonts w:ascii="宋体" w:hAnsi="宋体" w:eastAsia="宋体" w:cs="宋体"/>
                <w:sz w:val="21"/>
                <w:szCs w:val="21"/>
              </w:rPr>
            </w:pPr>
            <w:r>
              <w:rPr>
                <w:rFonts w:hint="eastAsia" w:ascii="宋体" w:hAnsi="宋体" w:eastAsia="宋体" w:cs="宋体"/>
                <w:sz w:val="21"/>
                <w:szCs w:val="21"/>
              </w:rPr>
              <w:t>5</w:t>
            </w:r>
          </w:p>
        </w:tc>
        <w:tc>
          <w:tcPr>
            <w:tcW w:w="2270" w:type="dxa"/>
            <w:vAlign w:val="center"/>
          </w:tcPr>
          <w:p>
            <w:pPr>
              <w:keepNext w:val="0"/>
              <w:keepLines w:val="0"/>
              <w:pageBreakBefore w:val="0"/>
              <w:overflowPunct/>
              <w:topLinePunct w:val="0"/>
              <w:autoSpaceDE w:val="0"/>
              <w:autoSpaceDN w:val="0"/>
              <w:bidi w:val="0"/>
              <w:spacing w:line="360" w:lineRule="exact"/>
              <w:ind w:right="0" w:rightChars="0"/>
              <w:jc w:val="center"/>
              <w:rPr>
                <w:rFonts w:hint="eastAsia" w:ascii="宋体" w:hAnsi="宋体" w:eastAsia="宋体" w:cs="宋体"/>
                <w:spacing w:val="-1"/>
                <w:sz w:val="21"/>
                <w:szCs w:val="21"/>
              </w:rPr>
            </w:pPr>
            <w:r>
              <w:rPr>
                <w:rFonts w:hint="eastAsia" w:ascii="宋体" w:hAnsi="宋体" w:eastAsia="宋体" w:cs="宋体"/>
                <w:spacing w:val="-1"/>
                <w:sz w:val="21"/>
                <w:szCs w:val="21"/>
              </w:rPr>
              <w:t>投标人的资格条件</w:t>
            </w:r>
          </w:p>
        </w:tc>
        <w:tc>
          <w:tcPr>
            <w:tcW w:w="6943" w:type="dxa"/>
          </w:tcPr>
          <w:p>
            <w:pPr>
              <w:pStyle w:val="46"/>
              <w:keepNext w:val="0"/>
              <w:keepLines w:val="0"/>
              <w:pageBreakBefore w:val="0"/>
              <w:widowControl w:val="0"/>
              <w:kinsoku/>
              <w:overflowPunct/>
              <w:topLinePunct w:val="0"/>
              <w:autoSpaceDE w:val="0"/>
              <w:autoSpaceDN w:val="0"/>
              <w:bidi w:val="0"/>
              <w:adjustRightInd/>
              <w:snapToGrid/>
              <w:spacing w:line="360" w:lineRule="exact"/>
              <w:ind w:right="0" w:rightChars="0"/>
              <w:jc w:val="left"/>
              <w:textAlignment w:val="auto"/>
              <w:rPr>
                <w:rFonts w:hint="eastAsia"/>
                <w:sz w:val="21"/>
                <w:szCs w:val="21"/>
              </w:rPr>
            </w:pPr>
            <w:r>
              <w:rPr>
                <w:rFonts w:hint="eastAsia"/>
                <w:sz w:val="21"/>
                <w:szCs w:val="21"/>
              </w:rPr>
              <w:t>详见招标公告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23" w:type="dxa"/>
            <w:vAlign w:val="center"/>
          </w:tcPr>
          <w:p>
            <w:pPr>
              <w:keepNext w:val="0"/>
              <w:keepLines w:val="0"/>
              <w:pageBreakBefore w:val="0"/>
              <w:overflowPunct/>
              <w:topLinePunct w:val="0"/>
              <w:autoSpaceDE w:val="0"/>
              <w:autoSpaceDN w:val="0"/>
              <w:bidi w:val="0"/>
              <w:spacing w:line="360" w:lineRule="exact"/>
              <w:ind w:right="0" w:rightChars="0"/>
              <w:jc w:val="center"/>
              <w:rPr>
                <w:rFonts w:ascii="宋体" w:hAnsi="宋体" w:eastAsia="宋体" w:cs="宋体"/>
                <w:sz w:val="21"/>
                <w:szCs w:val="21"/>
              </w:rPr>
            </w:pPr>
            <w:r>
              <w:rPr>
                <w:rFonts w:hint="eastAsia" w:ascii="宋体" w:hAnsi="宋体" w:eastAsia="宋体" w:cs="宋体"/>
                <w:sz w:val="21"/>
                <w:szCs w:val="21"/>
              </w:rPr>
              <w:t>6</w:t>
            </w:r>
          </w:p>
        </w:tc>
        <w:tc>
          <w:tcPr>
            <w:tcW w:w="2270" w:type="dxa"/>
            <w:vAlign w:val="center"/>
          </w:tcPr>
          <w:p>
            <w:pPr>
              <w:keepNext w:val="0"/>
              <w:keepLines w:val="0"/>
              <w:pageBreakBefore w:val="0"/>
              <w:overflowPunct/>
              <w:topLinePunct w:val="0"/>
              <w:autoSpaceDE w:val="0"/>
              <w:autoSpaceDN w:val="0"/>
              <w:bidi w:val="0"/>
              <w:spacing w:line="360" w:lineRule="exact"/>
              <w:ind w:right="0" w:rightChars="0"/>
              <w:jc w:val="center"/>
              <w:rPr>
                <w:rFonts w:hint="eastAsia" w:ascii="宋体" w:hAnsi="宋体" w:eastAsia="宋体" w:cs="宋体"/>
                <w:snapToGrid w:val="0"/>
                <w:color w:val="000000"/>
                <w:sz w:val="21"/>
                <w:szCs w:val="21"/>
                <w:lang w:val="en-US" w:eastAsia="zh-CN" w:bidi="ar-SA"/>
              </w:rPr>
            </w:pPr>
            <w:r>
              <w:rPr>
                <w:rFonts w:hint="eastAsia" w:ascii="宋体" w:hAnsi="宋体" w:eastAsia="宋体" w:cs="宋体"/>
                <w:snapToGrid w:val="0"/>
                <w:color w:val="000000"/>
                <w:sz w:val="21"/>
                <w:szCs w:val="21"/>
                <w:lang w:val="en-US" w:eastAsia="zh-CN" w:bidi="ar-SA"/>
              </w:rPr>
              <w:t>采购内容</w:t>
            </w:r>
          </w:p>
        </w:tc>
        <w:tc>
          <w:tcPr>
            <w:tcW w:w="6943" w:type="dxa"/>
          </w:tcPr>
          <w:p>
            <w:pPr>
              <w:pStyle w:val="46"/>
              <w:keepNext w:val="0"/>
              <w:keepLines w:val="0"/>
              <w:pageBreakBefore w:val="0"/>
              <w:widowControl w:val="0"/>
              <w:kinsoku/>
              <w:overflowPunct/>
              <w:topLinePunct w:val="0"/>
              <w:autoSpaceDE w:val="0"/>
              <w:autoSpaceDN w:val="0"/>
              <w:bidi w:val="0"/>
              <w:adjustRightInd/>
              <w:snapToGrid/>
              <w:spacing w:line="360" w:lineRule="exact"/>
              <w:ind w:right="0" w:rightChars="0"/>
              <w:jc w:val="left"/>
              <w:textAlignment w:val="auto"/>
              <w:rPr>
                <w:rFonts w:hint="eastAsia" w:ascii="宋体" w:hAnsi="宋体" w:eastAsia="宋体" w:cs="宋体"/>
                <w:snapToGrid w:val="0"/>
                <w:color w:val="000000"/>
                <w:sz w:val="21"/>
                <w:szCs w:val="21"/>
                <w:lang w:val="en-US" w:eastAsia="zh-CN" w:bidi="ar-SA"/>
              </w:rPr>
            </w:pPr>
            <w:r>
              <w:rPr>
                <w:rFonts w:hint="eastAsia" w:ascii="宋体" w:hAnsi="宋体" w:eastAsia="宋体" w:cs="宋体"/>
                <w:snapToGrid w:val="0"/>
                <w:color w:val="000000"/>
                <w:sz w:val="21"/>
                <w:szCs w:val="21"/>
                <w:lang w:val="en-US" w:eastAsia="zh-CN" w:bidi="ar-SA"/>
              </w:rPr>
              <w:t>详见招标公告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0" w:hRule="atLeast"/>
        </w:trPr>
        <w:tc>
          <w:tcPr>
            <w:tcW w:w="823" w:type="dxa"/>
            <w:vAlign w:val="center"/>
          </w:tcPr>
          <w:p>
            <w:pPr>
              <w:keepNext w:val="0"/>
              <w:keepLines w:val="0"/>
              <w:pageBreakBefore w:val="0"/>
              <w:overflowPunct/>
              <w:topLinePunct w:val="0"/>
              <w:autoSpaceDE w:val="0"/>
              <w:autoSpaceDN w:val="0"/>
              <w:bidi w:val="0"/>
              <w:spacing w:line="360" w:lineRule="exact"/>
              <w:ind w:right="0" w:rightChars="0"/>
              <w:jc w:val="center"/>
              <w:rPr>
                <w:rFonts w:ascii="宋体" w:hAnsi="宋体" w:eastAsia="宋体" w:cs="宋体"/>
                <w:sz w:val="21"/>
                <w:szCs w:val="21"/>
              </w:rPr>
            </w:pPr>
            <w:r>
              <w:rPr>
                <w:rFonts w:hint="eastAsia" w:ascii="宋体" w:hAnsi="宋体" w:eastAsia="宋体" w:cs="宋体"/>
                <w:sz w:val="21"/>
                <w:szCs w:val="21"/>
              </w:rPr>
              <w:t>7</w:t>
            </w:r>
          </w:p>
        </w:tc>
        <w:tc>
          <w:tcPr>
            <w:tcW w:w="2270" w:type="dxa"/>
            <w:vAlign w:val="center"/>
          </w:tcPr>
          <w:p>
            <w:pPr>
              <w:keepNext w:val="0"/>
              <w:keepLines w:val="0"/>
              <w:pageBreakBefore w:val="0"/>
              <w:overflowPunct/>
              <w:topLinePunct w:val="0"/>
              <w:autoSpaceDE w:val="0"/>
              <w:autoSpaceDN w:val="0"/>
              <w:bidi w:val="0"/>
              <w:spacing w:line="360" w:lineRule="exact"/>
              <w:ind w:right="0" w:rightChars="0"/>
              <w:jc w:val="center"/>
              <w:rPr>
                <w:rFonts w:hint="default" w:ascii="宋体" w:hAnsi="宋体" w:eastAsia="宋体" w:cs="宋体"/>
                <w:snapToGrid w:val="0"/>
                <w:color w:val="000000"/>
                <w:sz w:val="21"/>
                <w:szCs w:val="21"/>
                <w:lang w:val="en-US" w:eastAsia="zh-CN" w:bidi="ar-SA"/>
              </w:rPr>
            </w:pPr>
            <w:r>
              <w:rPr>
                <w:rFonts w:hint="eastAsia" w:ascii="宋体" w:hAnsi="宋体" w:eastAsia="宋体" w:cs="宋体"/>
                <w:snapToGrid w:val="0"/>
                <w:color w:val="000000"/>
                <w:sz w:val="21"/>
                <w:szCs w:val="21"/>
                <w:lang w:val="en-US" w:eastAsia="zh-CN" w:bidi="ar-SA"/>
              </w:rPr>
              <w:t>供货期</w:t>
            </w:r>
          </w:p>
        </w:tc>
        <w:tc>
          <w:tcPr>
            <w:tcW w:w="6943" w:type="dxa"/>
          </w:tcPr>
          <w:p>
            <w:pPr>
              <w:keepNext w:val="0"/>
              <w:keepLines w:val="0"/>
              <w:pageBreakBefore w:val="0"/>
              <w:wordWrap w:val="0"/>
              <w:overflowPunct/>
              <w:topLinePunct w:val="0"/>
              <w:autoSpaceDE w:val="0"/>
              <w:autoSpaceDN w:val="0"/>
              <w:bidi w:val="0"/>
              <w:snapToGrid/>
              <w:spacing w:line="360" w:lineRule="exact"/>
              <w:ind w:right="0" w:rightChars="0"/>
              <w:jc w:val="left"/>
              <w:rPr>
                <w:rFonts w:hint="default" w:ascii="宋体" w:hAnsi="宋体" w:eastAsia="宋体" w:cs="宋体"/>
                <w:snapToGrid w:val="0"/>
                <w:color w:val="000000"/>
                <w:sz w:val="21"/>
                <w:szCs w:val="21"/>
                <w:lang w:val="en-US" w:eastAsia="zh-CN" w:bidi="ar-SA"/>
              </w:rPr>
            </w:pPr>
            <w:r>
              <w:rPr>
                <w:rFonts w:hint="default" w:ascii="宋体" w:hAnsi="宋体" w:eastAsia="宋体" w:cs="宋体"/>
                <w:snapToGrid w:val="0"/>
                <w:color w:val="000000"/>
                <w:sz w:val="21"/>
                <w:szCs w:val="21"/>
                <w:lang w:val="en-US" w:eastAsia="zh-CN" w:bidi="ar-SA"/>
              </w:rPr>
              <w:t xml:space="preserve">合同签订后 </w:t>
            </w:r>
            <w:r>
              <w:rPr>
                <w:rFonts w:hint="eastAsia" w:ascii="宋体" w:hAnsi="宋体" w:eastAsia="宋体" w:cs="宋体"/>
                <w:snapToGrid w:val="0"/>
                <w:color w:val="000000"/>
                <w:sz w:val="21"/>
                <w:szCs w:val="21"/>
                <w:lang w:val="en-US" w:eastAsia="zh-CN" w:bidi="ar-SA"/>
              </w:rPr>
              <w:t>60</w:t>
            </w:r>
            <w:r>
              <w:rPr>
                <w:rFonts w:hint="default" w:ascii="宋体" w:hAnsi="宋体" w:eastAsia="宋体" w:cs="宋体"/>
                <w:snapToGrid w:val="0"/>
                <w:color w:val="000000"/>
                <w:sz w:val="21"/>
                <w:szCs w:val="21"/>
                <w:lang w:val="en-US" w:eastAsia="zh-CN" w:bidi="ar-SA"/>
              </w:rPr>
              <w:t xml:space="preserve"> 日内交货完毕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23" w:type="dxa"/>
            <w:vAlign w:val="center"/>
          </w:tcPr>
          <w:p>
            <w:pPr>
              <w:keepNext w:val="0"/>
              <w:keepLines w:val="0"/>
              <w:pageBreakBefore w:val="0"/>
              <w:overflowPunct/>
              <w:topLinePunct w:val="0"/>
              <w:autoSpaceDE w:val="0"/>
              <w:autoSpaceDN w:val="0"/>
              <w:bidi w:val="0"/>
              <w:spacing w:line="360" w:lineRule="exact"/>
              <w:ind w:right="0" w:rightChars="0"/>
              <w:jc w:val="center"/>
              <w:rPr>
                <w:rFonts w:ascii="宋体" w:hAnsi="宋体" w:eastAsia="宋体" w:cs="宋体"/>
                <w:sz w:val="21"/>
                <w:szCs w:val="21"/>
              </w:rPr>
            </w:pPr>
            <w:r>
              <w:rPr>
                <w:rFonts w:hint="eastAsia" w:ascii="宋体" w:hAnsi="宋体" w:eastAsia="宋体" w:cs="宋体"/>
                <w:sz w:val="21"/>
                <w:szCs w:val="21"/>
              </w:rPr>
              <w:t>8</w:t>
            </w:r>
          </w:p>
        </w:tc>
        <w:tc>
          <w:tcPr>
            <w:tcW w:w="2270" w:type="dxa"/>
            <w:vAlign w:val="center"/>
          </w:tcPr>
          <w:p>
            <w:pPr>
              <w:keepNext w:val="0"/>
              <w:keepLines w:val="0"/>
              <w:pageBreakBefore w:val="0"/>
              <w:overflowPunct/>
              <w:topLinePunct w:val="0"/>
              <w:autoSpaceDE w:val="0"/>
              <w:autoSpaceDN w:val="0"/>
              <w:bidi w:val="0"/>
              <w:spacing w:line="360" w:lineRule="exact"/>
              <w:ind w:right="0" w:rightChars="0"/>
              <w:jc w:val="center"/>
              <w:rPr>
                <w:rFonts w:ascii="宋体" w:hAnsi="宋体" w:eastAsia="宋体" w:cs="宋体"/>
                <w:spacing w:val="-2"/>
                <w:sz w:val="21"/>
                <w:szCs w:val="21"/>
              </w:rPr>
            </w:pPr>
            <w:r>
              <w:rPr>
                <w:rFonts w:hint="eastAsia" w:ascii="宋体" w:hAnsi="宋体" w:eastAsia="宋体" w:cs="宋体"/>
                <w:spacing w:val="-2"/>
                <w:sz w:val="21"/>
                <w:szCs w:val="21"/>
              </w:rPr>
              <w:t>质量要求</w:t>
            </w:r>
          </w:p>
        </w:tc>
        <w:tc>
          <w:tcPr>
            <w:tcW w:w="6943" w:type="dxa"/>
          </w:tcPr>
          <w:p>
            <w:pPr>
              <w:keepNext w:val="0"/>
              <w:keepLines w:val="0"/>
              <w:pageBreakBefore w:val="0"/>
              <w:wordWrap w:val="0"/>
              <w:overflowPunct/>
              <w:topLinePunct w:val="0"/>
              <w:autoSpaceDE w:val="0"/>
              <w:autoSpaceDN w:val="0"/>
              <w:bidi w:val="0"/>
              <w:snapToGrid/>
              <w:spacing w:line="360" w:lineRule="exact"/>
              <w:ind w:right="0" w:rightChars="0"/>
              <w:jc w:val="left"/>
              <w:rPr>
                <w:rFonts w:hint="eastAsia" w:ascii="宋体" w:hAnsi="宋体" w:eastAsia="宋体" w:cs="宋体"/>
                <w:snapToGrid w:val="0"/>
                <w:color w:val="000000"/>
                <w:sz w:val="21"/>
                <w:szCs w:val="21"/>
                <w:lang w:val="en-US" w:eastAsia="zh-CN" w:bidi="ar-SA"/>
              </w:rPr>
            </w:pPr>
            <w:r>
              <w:rPr>
                <w:rFonts w:hint="eastAsia" w:ascii="宋体" w:hAnsi="宋体" w:cs="宋体"/>
                <w:color w:val="auto"/>
                <w:szCs w:val="21"/>
              </w:rPr>
              <w:t>合格，符合国家相关质量标准</w:t>
            </w:r>
            <w:r>
              <w:rPr>
                <w:rFonts w:hint="eastAsia" w:ascii="宋体" w:hAnsi="宋体" w:cs="宋体"/>
                <w:color w:val="auto"/>
                <w:szCs w:val="21"/>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 w:hRule="atLeast"/>
        </w:trPr>
        <w:tc>
          <w:tcPr>
            <w:tcW w:w="823" w:type="dxa"/>
            <w:vAlign w:val="center"/>
          </w:tcPr>
          <w:p>
            <w:pPr>
              <w:keepNext w:val="0"/>
              <w:keepLines w:val="0"/>
              <w:pageBreakBefore w:val="0"/>
              <w:overflowPunct/>
              <w:topLinePunct w:val="0"/>
              <w:autoSpaceDE w:val="0"/>
              <w:autoSpaceDN w:val="0"/>
              <w:bidi w:val="0"/>
              <w:spacing w:line="360" w:lineRule="exact"/>
              <w:ind w:right="0" w:rightChars="0"/>
              <w:jc w:val="center"/>
              <w:rPr>
                <w:rFonts w:ascii="宋体" w:hAnsi="宋体" w:eastAsia="宋体" w:cs="宋体"/>
                <w:sz w:val="21"/>
                <w:szCs w:val="21"/>
              </w:rPr>
            </w:pPr>
            <w:r>
              <w:rPr>
                <w:rFonts w:hint="eastAsia" w:ascii="宋体" w:hAnsi="宋体" w:eastAsia="宋体" w:cs="宋体"/>
                <w:sz w:val="21"/>
                <w:szCs w:val="21"/>
              </w:rPr>
              <w:t>9</w:t>
            </w:r>
          </w:p>
        </w:tc>
        <w:tc>
          <w:tcPr>
            <w:tcW w:w="2270" w:type="dxa"/>
            <w:vAlign w:val="center"/>
          </w:tcPr>
          <w:p>
            <w:pPr>
              <w:keepNext w:val="0"/>
              <w:keepLines w:val="0"/>
              <w:pageBreakBefore w:val="0"/>
              <w:overflowPunct/>
              <w:topLinePunct w:val="0"/>
              <w:autoSpaceDE w:val="0"/>
              <w:autoSpaceDN w:val="0"/>
              <w:bidi w:val="0"/>
              <w:spacing w:line="360" w:lineRule="exact"/>
              <w:ind w:right="0" w:rightChars="0"/>
              <w:jc w:val="center"/>
              <w:rPr>
                <w:rFonts w:ascii="宋体" w:hAnsi="宋体" w:eastAsia="宋体" w:cs="宋体"/>
                <w:spacing w:val="-2"/>
                <w:sz w:val="21"/>
                <w:szCs w:val="21"/>
              </w:rPr>
            </w:pPr>
            <w:r>
              <w:rPr>
                <w:rFonts w:hint="eastAsia" w:ascii="宋体" w:hAnsi="宋体" w:eastAsia="宋体" w:cs="宋体"/>
                <w:snapToGrid w:val="0"/>
                <w:color w:val="000000"/>
                <w:sz w:val="21"/>
                <w:szCs w:val="21"/>
                <w:lang w:val="en-US" w:eastAsia="zh-CN" w:bidi="ar-SA"/>
              </w:rPr>
              <w:t>资金来源</w:t>
            </w:r>
          </w:p>
        </w:tc>
        <w:tc>
          <w:tcPr>
            <w:tcW w:w="6943" w:type="dxa"/>
          </w:tcPr>
          <w:p>
            <w:pPr>
              <w:keepNext w:val="0"/>
              <w:keepLines w:val="0"/>
              <w:pageBreakBefore w:val="0"/>
              <w:wordWrap w:val="0"/>
              <w:overflowPunct/>
              <w:topLinePunct w:val="0"/>
              <w:autoSpaceDE w:val="0"/>
              <w:autoSpaceDN w:val="0"/>
              <w:bidi w:val="0"/>
              <w:snapToGrid/>
              <w:spacing w:line="360" w:lineRule="exact"/>
              <w:ind w:right="0" w:rightChars="0"/>
              <w:jc w:val="left"/>
              <w:rPr>
                <w:rFonts w:hint="eastAsia" w:ascii="宋体" w:hAnsi="宋体" w:eastAsia="宋体" w:cs="宋体"/>
                <w:snapToGrid w:val="0"/>
                <w:color w:val="000000"/>
                <w:sz w:val="21"/>
                <w:szCs w:val="21"/>
                <w:lang w:val="en-US" w:eastAsia="zh-CN" w:bidi="ar-SA"/>
              </w:rPr>
            </w:pPr>
            <w:r>
              <w:rPr>
                <w:rFonts w:hint="eastAsia" w:ascii="宋体" w:hAnsi="宋体" w:eastAsia="宋体" w:cs="宋体"/>
                <w:snapToGrid w:val="0"/>
                <w:color w:val="000000"/>
                <w:sz w:val="21"/>
                <w:szCs w:val="21"/>
                <w:lang w:val="en-US" w:eastAsia="zh-CN" w:bidi="ar-SA"/>
              </w:rPr>
              <w:t>财政资金，已落实</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 w:hRule="atLeast"/>
        </w:trPr>
        <w:tc>
          <w:tcPr>
            <w:tcW w:w="823" w:type="dxa"/>
            <w:vAlign w:val="center"/>
          </w:tcPr>
          <w:p>
            <w:pPr>
              <w:keepNext w:val="0"/>
              <w:keepLines w:val="0"/>
              <w:pageBreakBefore w:val="0"/>
              <w:overflowPunct/>
              <w:topLinePunct w:val="0"/>
              <w:autoSpaceDE w:val="0"/>
              <w:autoSpaceDN w:val="0"/>
              <w:bidi w:val="0"/>
              <w:spacing w:line="360" w:lineRule="exact"/>
              <w:ind w:right="0" w:rightChars="0"/>
              <w:jc w:val="center"/>
              <w:rPr>
                <w:rFonts w:ascii="宋体" w:hAnsi="宋体" w:eastAsia="宋体" w:cs="宋体"/>
                <w:sz w:val="21"/>
                <w:szCs w:val="21"/>
              </w:rPr>
            </w:pPr>
            <w:r>
              <w:rPr>
                <w:rFonts w:hint="eastAsia" w:ascii="宋体" w:hAnsi="宋体" w:eastAsia="宋体" w:cs="宋体"/>
                <w:sz w:val="21"/>
                <w:szCs w:val="21"/>
              </w:rPr>
              <w:t>10</w:t>
            </w:r>
          </w:p>
        </w:tc>
        <w:tc>
          <w:tcPr>
            <w:tcW w:w="2270" w:type="dxa"/>
            <w:vAlign w:val="center"/>
          </w:tcPr>
          <w:p>
            <w:pPr>
              <w:keepNext w:val="0"/>
              <w:keepLines w:val="0"/>
              <w:pageBreakBefore w:val="0"/>
              <w:overflowPunct/>
              <w:topLinePunct w:val="0"/>
              <w:autoSpaceDE w:val="0"/>
              <w:autoSpaceDN w:val="0"/>
              <w:bidi w:val="0"/>
              <w:spacing w:line="360" w:lineRule="exact"/>
              <w:ind w:right="0" w:rightChars="0"/>
              <w:jc w:val="center"/>
              <w:rPr>
                <w:rFonts w:ascii="宋体" w:hAnsi="宋体" w:eastAsia="宋体" w:cs="宋体"/>
                <w:spacing w:val="-2"/>
                <w:sz w:val="21"/>
                <w:szCs w:val="21"/>
              </w:rPr>
            </w:pPr>
            <w:r>
              <w:rPr>
                <w:rFonts w:hint="eastAsia" w:ascii="宋体" w:hAnsi="宋体" w:eastAsia="宋体" w:cs="宋体"/>
                <w:spacing w:val="-2"/>
                <w:sz w:val="21"/>
                <w:szCs w:val="21"/>
              </w:rPr>
              <w:t>是否接受联合体标</w:t>
            </w:r>
          </w:p>
        </w:tc>
        <w:tc>
          <w:tcPr>
            <w:tcW w:w="6943" w:type="dxa"/>
            <w:vAlign w:val="center"/>
          </w:tcPr>
          <w:p>
            <w:pPr>
              <w:keepNext w:val="0"/>
              <w:keepLines w:val="0"/>
              <w:pageBreakBefore w:val="0"/>
              <w:wordWrap w:val="0"/>
              <w:overflowPunct/>
              <w:topLinePunct w:val="0"/>
              <w:autoSpaceDE w:val="0"/>
              <w:autoSpaceDN w:val="0"/>
              <w:bidi w:val="0"/>
              <w:snapToGrid/>
              <w:spacing w:line="360" w:lineRule="exact"/>
              <w:ind w:right="0" w:rightChars="0"/>
              <w:jc w:val="left"/>
              <w:rPr>
                <w:rFonts w:hint="eastAsia" w:ascii="宋体" w:hAnsi="宋体" w:eastAsia="宋体" w:cs="宋体"/>
                <w:snapToGrid w:val="0"/>
                <w:color w:val="000000"/>
                <w:sz w:val="21"/>
                <w:szCs w:val="21"/>
                <w:lang w:val="en-US" w:eastAsia="zh-CN" w:bidi="ar-SA"/>
              </w:rPr>
            </w:pPr>
            <w:r>
              <w:rPr>
                <w:rFonts w:hint="eastAsia" w:ascii="宋体" w:hAnsi="宋体" w:eastAsia="宋体" w:cs="宋体"/>
                <w:snapToGrid w:val="0"/>
                <w:color w:val="000000"/>
                <w:sz w:val="21"/>
                <w:szCs w:val="21"/>
                <w:lang w:val="en-US" w:eastAsia="zh-CN" w:bidi="ar-SA"/>
              </w:rPr>
              <w:t>不接受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23" w:type="dxa"/>
            <w:vAlign w:val="center"/>
          </w:tcPr>
          <w:p>
            <w:pPr>
              <w:keepNext w:val="0"/>
              <w:keepLines w:val="0"/>
              <w:pageBreakBefore w:val="0"/>
              <w:overflowPunct/>
              <w:topLinePunct w:val="0"/>
              <w:autoSpaceDE w:val="0"/>
              <w:autoSpaceDN w:val="0"/>
              <w:bidi w:val="0"/>
              <w:spacing w:line="360" w:lineRule="exact"/>
              <w:ind w:right="0" w:rightChars="0"/>
              <w:jc w:val="center"/>
              <w:rPr>
                <w:rFonts w:ascii="宋体" w:hAnsi="宋体" w:eastAsia="宋体" w:cs="宋体"/>
                <w:sz w:val="21"/>
                <w:szCs w:val="21"/>
              </w:rPr>
            </w:pPr>
            <w:r>
              <w:rPr>
                <w:rFonts w:hint="eastAsia" w:ascii="宋体" w:hAnsi="宋体" w:eastAsia="宋体" w:cs="宋体"/>
                <w:sz w:val="21"/>
                <w:szCs w:val="21"/>
              </w:rPr>
              <w:t>11</w:t>
            </w:r>
          </w:p>
        </w:tc>
        <w:tc>
          <w:tcPr>
            <w:tcW w:w="2270" w:type="dxa"/>
            <w:vAlign w:val="center"/>
          </w:tcPr>
          <w:p>
            <w:pPr>
              <w:keepNext w:val="0"/>
              <w:keepLines w:val="0"/>
              <w:pageBreakBefore w:val="0"/>
              <w:overflowPunct/>
              <w:topLinePunct w:val="0"/>
              <w:autoSpaceDE w:val="0"/>
              <w:autoSpaceDN w:val="0"/>
              <w:bidi w:val="0"/>
              <w:spacing w:line="360" w:lineRule="exact"/>
              <w:ind w:right="0" w:rightChars="0"/>
              <w:jc w:val="center"/>
              <w:rPr>
                <w:rFonts w:ascii="宋体" w:hAnsi="宋体" w:eastAsia="宋体" w:cs="宋体"/>
                <w:spacing w:val="-2"/>
                <w:sz w:val="21"/>
                <w:szCs w:val="21"/>
              </w:rPr>
            </w:pPr>
            <w:r>
              <w:rPr>
                <w:rFonts w:ascii="宋体" w:hAnsi="宋体" w:eastAsia="宋体" w:cs="宋体"/>
                <w:spacing w:val="-2"/>
                <w:sz w:val="21"/>
                <w:szCs w:val="21"/>
              </w:rPr>
              <w:t>踏勘现场</w:t>
            </w:r>
          </w:p>
        </w:tc>
        <w:tc>
          <w:tcPr>
            <w:tcW w:w="6943" w:type="dxa"/>
          </w:tcPr>
          <w:p>
            <w:pPr>
              <w:keepNext w:val="0"/>
              <w:keepLines w:val="0"/>
              <w:pageBreakBefore w:val="0"/>
              <w:wordWrap w:val="0"/>
              <w:overflowPunct/>
              <w:topLinePunct w:val="0"/>
              <w:autoSpaceDE w:val="0"/>
              <w:autoSpaceDN w:val="0"/>
              <w:bidi w:val="0"/>
              <w:snapToGrid/>
              <w:spacing w:line="360" w:lineRule="exact"/>
              <w:ind w:right="0" w:rightChars="0"/>
              <w:jc w:val="left"/>
              <w:rPr>
                <w:rFonts w:hint="eastAsia" w:ascii="宋体" w:hAnsi="宋体" w:eastAsia="宋体" w:cs="宋体"/>
                <w:snapToGrid w:val="0"/>
                <w:color w:val="000000"/>
                <w:sz w:val="21"/>
                <w:szCs w:val="21"/>
                <w:lang w:val="en-US" w:eastAsia="zh-CN" w:bidi="ar-SA"/>
              </w:rPr>
            </w:pPr>
            <w:r>
              <w:rPr>
                <w:rFonts w:hint="eastAsia" w:ascii="宋体" w:hAnsi="宋体" w:eastAsia="宋体" w:cs="宋体"/>
                <w:snapToGrid w:val="0"/>
                <w:color w:val="000000"/>
                <w:sz w:val="21"/>
                <w:szCs w:val="21"/>
                <w:lang w:val="en-US" w:eastAsia="zh-CN" w:bidi="ar-SA"/>
              </w:rPr>
              <w:t>不组织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823" w:type="dxa"/>
            <w:vAlign w:val="center"/>
          </w:tcPr>
          <w:p>
            <w:pPr>
              <w:keepNext w:val="0"/>
              <w:keepLines w:val="0"/>
              <w:pageBreakBefore w:val="0"/>
              <w:overflowPunct/>
              <w:topLinePunct w:val="0"/>
              <w:autoSpaceDE w:val="0"/>
              <w:autoSpaceDN w:val="0"/>
              <w:bidi w:val="0"/>
              <w:spacing w:line="360" w:lineRule="exact"/>
              <w:ind w:right="0" w:rightChars="0"/>
              <w:jc w:val="center"/>
              <w:rPr>
                <w:rFonts w:ascii="宋体" w:hAnsi="宋体" w:eastAsia="宋体" w:cs="宋体"/>
                <w:sz w:val="21"/>
                <w:szCs w:val="21"/>
              </w:rPr>
            </w:pPr>
            <w:r>
              <w:rPr>
                <w:rFonts w:hint="eastAsia" w:ascii="宋体" w:hAnsi="宋体" w:eastAsia="宋体" w:cs="宋体"/>
                <w:spacing w:val="-7"/>
                <w:sz w:val="21"/>
                <w:szCs w:val="21"/>
              </w:rPr>
              <w:t>12</w:t>
            </w:r>
          </w:p>
        </w:tc>
        <w:tc>
          <w:tcPr>
            <w:tcW w:w="2270" w:type="dxa"/>
            <w:vAlign w:val="center"/>
          </w:tcPr>
          <w:p>
            <w:pPr>
              <w:keepNext w:val="0"/>
              <w:keepLines w:val="0"/>
              <w:pageBreakBefore w:val="0"/>
              <w:overflowPunct/>
              <w:topLinePunct w:val="0"/>
              <w:autoSpaceDE w:val="0"/>
              <w:autoSpaceDN w:val="0"/>
              <w:bidi w:val="0"/>
              <w:spacing w:line="360" w:lineRule="exact"/>
              <w:ind w:right="0" w:rightChars="0"/>
              <w:jc w:val="center"/>
              <w:rPr>
                <w:rFonts w:ascii="宋体" w:hAnsi="宋体" w:eastAsia="宋体" w:cs="宋体"/>
                <w:spacing w:val="-2"/>
                <w:sz w:val="21"/>
                <w:szCs w:val="21"/>
              </w:rPr>
            </w:pPr>
            <w:r>
              <w:rPr>
                <w:rFonts w:ascii="宋体" w:hAnsi="宋体" w:eastAsia="宋体" w:cs="宋体"/>
                <w:spacing w:val="-2"/>
                <w:sz w:val="21"/>
                <w:szCs w:val="21"/>
              </w:rPr>
              <w:t>投标预备会</w:t>
            </w:r>
          </w:p>
        </w:tc>
        <w:tc>
          <w:tcPr>
            <w:tcW w:w="6943" w:type="dxa"/>
          </w:tcPr>
          <w:p>
            <w:pPr>
              <w:pStyle w:val="46"/>
              <w:keepNext w:val="0"/>
              <w:keepLines w:val="0"/>
              <w:pageBreakBefore w:val="0"/>
              <w:widowControl w:val="0"/>
              <w:kinsoku/>
              <w:overflowPunct/>
              <w:topLinePunct w:val="0"/>
              <w:autoSpaceDE w:val="0"/>
              <w:autoSpaceDN w:val="0"/>
              <w:bidi w:val="0"/>
              <w:adjustRightInd/>
              <w:snapToGrid/>
              <w:spacing w:line="360" w:lineRule="exact"/>
              <w:ind w:right="0" w:rightChars="0"/>
              <w:jc w:val="left"/>
              <w:textAlignment w:val="auto"/>
              <w:rPr>
                <w:rFonts w:ascii="宋体" w:hAnsi="宋体" w:eastAsia="宋体" w:cs="宋体"/>
                <w:snapToGrid w:val="0"/>
                <w:color w:val="000000"/>
                <w:sz w:val="21"/>
                <w:szCs w:val="21"/>
                <w:lang w:val="en-US" w:eastAsia="zh-CN" w:bidi="ar-SA"/>
              </w:rPr>
            </w:pPr>
            <w:r>
              <w:rPr>
                <w:rFonts w:ascii="宋体" w:hAnsi="宋体" w:eastAsia="宋体" w:cs="宋体"/>
                <w:snapToGrid w:val="0"/>
                <w:color w:val="000000"/>
                <w:sz w:val="21"/>
                <w:szCs w:val="21"/>
                <w:lang w:val="en-US" w:eastAsia="zh-CN" w:bidi="ar-SA"/>
              </w:rPr>
              <w:t>不召开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823" w:type="dxa"/>
            <w:vAlign w:val="center"/>
          </w:tcPr>
          <w:p>
            <w:pPr>
              <w:keepNext w:val="0"/>
              <w:keepLines w:val="0"/>
              <w:pageBreakBefore w:val="0"/>
              <w:overflowPunct/>
              <w:topLinePunct w:val="0"/>
              <w:autoSpaceDE w:val="0"/>
              <w:autoSpaceDN w:val="0"/>
              <w:bidi w:val="0"/>
              <w:spacing w:line="360" w:lineRule="exact"/>
              <w:ind w:right="0" w:rightChars="0"/>
              <w:jc w:val="center"/>
              <w:rPr>
                <w:rFonts w:ascii="宋体" w:hAnsi="宋体" w:eastAsia="宋体" w:cs="宋体"/>
                <w:spacing w:val="-7"/>
                <w:sz w:val="21"/>
                <w:szCs w:val="21"/>
              </w:rPr>
            </w:pPr>
            <w:r>
              <w:rPr>
                <w:rFonts w:hint="eastAsia" w:ascii="宋体" w:hAnsi="宋体" w:eastAsia="宋体" w:cs="宋体"/>
                <w:spacing w:val="-7"/>
                <w:sz w:val="21"/>
                <w:szCs w:val="21"/>
              </w:rPr>
              <w:t>13</w:t>
            </w:r>
          </w:p>
        </w:tc>
        <w:tc>
          <w:tcPr>
            <w:tcW w:w="2270" w:type="dxa"/>
            <w:vAlign w:val="center"/>
          </w:tcPr>
          <w:p>
            <w:pPr>
              <w:keepNext w:val="0"/>
              <w:keepLines w:val="0"/>
              <w:pageBreakBefore w:val="0"/>
              <w:overflowPunct/>
              <w:topLinePunct w:val="0"/>
              <w:autoSpaceDE w:val="0"/>
              <w:autoSpaceDN w:val="0"/>
              <w:bidi w:val="0"/>
              <w:spacing w:line="360" w:lineRule="exact"/>
              <w:ind w:right="0" w:rightChars="0"/>
              <w:jc w:val="center"/>
              <w:rPr>
                <w:rFonts w:ascii="宋体" w:hAnsi="宋体" w:eastAsia="宋体" w:cs="宋体"/>
                <w:spacing w:val="-2"/>
                <w:sz w:val="21"/>
                <w:szCs w:val="21"/>
              </w:rPr>
            </w:pPr>
            <w:r>
              <w:rPr>
                <w:rFonts w:hint="eastAsia" w:ascii="宋体" w:hAnsi="宋体" w:eastAsia="宋体" w:cs="宋体"/>
                <w:spacing w:val="-2"/>
                <w:sz w:val="21"/>
                <w:szCs w:val="21"/>
              </w:rPr>
              <w:t>分包</w:t>
            </w:r>
          </w:p>
        </w:tc>
        <w:tc>
          <w:tcPr>
            <w:tcW w:w="6943" w:type="dxa"/>
            <w:vAlign w:val="center"/>
          </w:tcPr>
          <w:p>
            <w:pPr>
              <w:keepNext w:val="0"/>
              <w:keepLines w:val="0"/>
              <w:pageBreakBefore w:val="0"/>
              <w:overflowPunct/>
              <w:topLinePunct w:val="0"/>
              <w:autoSpaceDE w:val="0"/>
              <w:autoSpaceDN w:val="0"/>
              <w:bidi w:val="0"/>
              <w:snapToGrid/>
              <w:spacing w:line="360" w:lineRule="exact"/>
              <w:ind w:right="0" w:rightChars="0"/>
              <w:jc w:val="left"/>
              <w:rPr>
                <w:rFonts w:ascii="宋体" w:hAnsi="宋体" w:eastAsia="宋体" w:cs="宋体"/>
                <w:snapToGrid w:val="0"/>
                <w:color w:val="000000"/>
                <w:sz w:val="21"/>
                <w:szCs w:val="21"/>
                <w:lang w:val="en-US" w:eastAsia="zh-CN" w:bidi="ar-SA"/>
              </w:rPr>
            </w:pPr>
            <w:r>
              <w:rPr>
                <w:rFonts w:hint="eastAsia" w:ascii="宋体" w:hAnsi="宋体" w:eastAsia="宋体" w:cs="宋体"/>
                <w:snapToGrid w:val="0"/>
                <w:color w:val="000000"/>
                <w:sz w:val="21"/>
                <w:szCs w:val="21"/>
                <w:lang w:val="en-US" w:eastAsia="zh-CN" w:bidi="ar-SA"/>
              </w:rPr>
              <w:t>中标人必须承担总包责任，必须独立完成项目，不得以任何形式转包，否则采购人有权终止合同并追究中标人的责任。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2" w:hRule="atLeast"/>
        </w:trPr>
        <w:tc>
          <w:tcPr>
            <w:tcW w:w="823" w:type="dxa"/>
            <w:vAlign w:val="center"/>
          </w:tcPr>
          <w:p>
            <w:pPr>
              <w:keepNext w:val="0"/>
              <w:keepLines w:val="0"/>
              <w:pageBreakBefore w:val="0"/>
              <w:overflowPunct/>
              <w:topLinePunct w:val="0"/>
              <w:autoSpaceDE w:val="0"/>
              <w:autoSpaceDN w:val="0"/>
              <w:bidi w:val="0"/>
              <w:spacing w:line="360" w:lineRule="exact"/>
              <w:ind w:right="0" w:rightChars="0"/>
              <w:jc w:val="center"/>
              <w:rPr>
                <w:rFonts w:ascii="宋体" w:hAnsi="宋体" w:eastAsia="宋体" w:cs="宋体"/>
                <w:spacing w:val="-7"/>
                <w:sz w:val="21"/>
                <w:szCs w:val="21"/>
              </w:rPr>
            </w:pPr>
            <w:r>
              <w:rPr>
                <w:rFonts w:hint="eastAsia" w:ascii="宋体" w:hAnsi="宋体" w:eastAsia="宋体" w:cs="宋体"/>
                <w:spacing w:val="-7"/>
                <w:sz w:val="21"/>
                <w:szCs w:val="21"/>
              </w:rPr>
              <w:t>14</w:t>
            </w:r>
          </w:p>
        </w:tc>
        <w:tc>
          <w:tcPr>
            <w:tcW w:w="2270" w:type="dxa"/>
            <w:vAlign w:val="center"/>
          </w:tcPr>
          <w:p>
            <w:pPr>
              <w:keepNext w:val="0"/>
              <w:keepLines w:val="0"/>
              <w:pageBreakBefore w:val="0"/>
              <w:overflowPunct/>
              <w:topLinePunct w:val="0"/>
              <w:autoSpaceDE w:val="0"/>
              <w:autoSpaceDN w:val="0"/>
              <w:bidi w:val="0"/>
              <w:spacing w:line="360" w:lineRule="exact"/>
              <w:ind w:right="0" w:rightChars="0"/>
              <w:jc w:val="center"/>
              <w:rPr>
                <w:rFonts w:ascii="宋体" w:hAnsi="宋体" w:eastAsia="宋体" w:cs="宋体"/>
                <w:spacing w:val="-2"/>
                <w:sz w:val="21"/>
                <w:szCs w:val="21"/>
              </w:rPr>
            </w:pPr>
            <w:r>
              <w:rPr>
                <w:rFonts w:hint="eastAsia" w:ascii="宋体" w:hAnsi="宋体" w:eastAsia="宋体" w:cs="宋体"/>
                <w:spacing w:val="-2"/>
                <w:sz w:val="21"/>
                <w:szCs w:val="21"/>
              </w:rPr>
              <w:t>投标承诺函</w:t>
            </w:r>
          </w:p>
        </w:tc>
        <w:tc>
          <w:tcPr>
            <w:tcW w:w="6943" w:type="dxa"/>
            <w:vAlign w:val="center"/>
          </w:tcPr>
          <w:p>
            <w:pPr>
              <w:keepNext w:val="0"/>
              <w:keepLines w:val="0"/>
              <w:pageBreakBefore w:val="0"/>
              <w:wordWrap w:val="0"/>
              <w:overflowPunct/>
              <w:topLinePunct w:val="0"/>
              <w:autoSpaceDE w:val="0"/>
              <w:autoSpaceDN w:val="0"/>
              <w:bidi w:val="0"/>
              <w:snapToGrid/>
              <w:spacing w:line="360" w:lineRule="exact"/>
              <w:ind w:right="0" w:rightChars="0"/>
              <w:jc w:val="left"/>
              <w:rPr>
                <w:rFonts w:ascii="宋体" w:hAnsi="宋体" w:eastAsia="宋体" w:cs="宋体"/>
                <w:snapToGrid w:val="0"/>
                <w:color w:val="000000"/>
                <w:sz w:val="21"/>
                <w:szCs w:val="21"/>
                <w:lang w:val="en-US" w:eastAsia="zh-CN" w:bidi="ar-SA"/>
              </w:rPr>
            </w:pPr>
            <w:r>
              <w:rPr>
                <w:rFonts w:hint="eastAsia" w:ascii="宋体" w:hAnsi="宋体" w:eastAsia="宋体" w:cs="宋体"/>
                <w:snapToGrid w:val="0"/>
                <w:color w:val="000000"/>
                <w:sz w:val="21"/>
                <w:szCs w:val="21"/>
                <w:lang w:val="en-US" w:eastAsia="zh-CN" w:bidi="ar-SA"/>
              </w:rPr>
              <w:t>本项目不收取投标保证金，供应商自行提供投标承诺函，供应商应对本次项目进行承诺，主要内容包括投标时不会提供虚假材料、中标后应及时与采购人签订合同、在投标有效期内不会随意撤回、撤销投标，中标通知书发出后在规定时间内与采购人签订政府采购合同等，以及如果违背此承诺，应由供应商自行承担相关后果，给采购人造成损失的，由供应商赔偿采购人相关的损失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2" w:hRule="atLeast"/>
        </w:trPr>
        <w:tc>
          <w:tcPr>
            <w:tcW w:w="823" w:type="dxa"/>
            <w:vAlign w:val="center"/>
          </w:tcPr>
          <w:p>
            <w:pPr>
              <w:keepNext w:val="0"/>
              <w:keepLines w:val="0"/>
              <w:pageBreakBefore w:val="0"/>
              <w:overflowPunct/>
              <w:topLinePunct w:val="0"/>
              <w:autoSpaceDE w:val="0"/>
              <w:autoSpaceDN w:val="0"/>
              <w:bidi w:val="0"/>
              <w:spacing w:line="360" w:lineRule="exact"/>
              <w:ind w:right="0" w:rightChars="0"/>
              <w:jc w:val="center"/>
              <w:rPr>
                <w:rFonts w:ascii="宋体" w:hAnsi="宋体" w:eastAsia="宋体" w:cs="宋体"/>
                <w:sz w:val="21"/>
                <w:szCs w:val="21"/>
              </w:rPr>
            </w:pPr>
            <w:r>
              <w:rPr>
                <w:rFonts w:hint="eastAsia" w:ascii="宋体" w:hAnsi="宋体" w:eastAsia="宋体" w:cs="宋体"/>
                <w:spacing w:val="-7"/>
                <w:sz w:val="21"/>
                <w:szCs w:val="21"/>
              </w:rPr>
              <w:t>15</w:t>
            </w:r>
          </w:p>
        </w:tc>
        <w:tc>
          <w:tcPr>
            <w:tcW w:w="2270" w:type="dxa"/>
            <w:vAlign w:val="center"/>
          </w:tcPr>
          <w:p>
            <w:pPr>
              <w:keepNext w:val="0"/>
              <w:keepLines w:val="0"/>
              <w:pageBreakBefore w:val="0"/>
              <w:overflowPunct/>
              <w:topLinePunct w:val="0"/>
              <w:autoSpaceDE w:val="0"/>
              <w:autoSpaceDN w:val="0"/>
              <w:bidi w:val="0"/>
              <w:spacing w:line="360" w:lineRule="exact"/>
              <w:ind w:right="0" w:rightChars="0"/>
              <w:jc w:val="center"/>
              <w:rPr>
                <w:rFonts w:ascii="宋体" w:hAnsi="宋体" w:eastAsia="宋体" w:cs="宋体"/>
                <w:spacing w:val="-2"/>
                <w:sz w:val="21"/>
                <w:szCs w:val="21"/>
              </w:rPr>
            </w:pPr>
            <w:r>
              <w:rPr>
                <w:rFonts w:hint="eastAsia" w:ascii="宋体" w:hAnsi="宋体" w:eastAsia="宋体" w:cs="宋体"/>
                <w:spacing w:val="-2"/>
                <w:sz w:val="21"/>
                <w:szCs w:val="21"/>
              </w:rPr>
              <w:t>是否允许递交备选投标方案</w:t>
            </w:r>
          </w:p>
        </w:tc>
        <w:tc>
          <w:tcPr>
            <w:tcW w:w="6943" w:type="dxa"/>
            <w:vAlign w:val="center"/>
          </w:tcPr>
          <w:p>
            <w:pPr>
              <w:keepNext w:val="0"/>
              <w:keepLines w:val="0"/>
              <w:pageBreakBefore w:val="0"/>
              <w:wordWrap w:val="0"/>
              <w:overflowPunct/>
              <w:topLinePunct w:val="0"/>
              <w:autoSpaceDE w:val="0"/>
              <w:autoSpaceDN w:val="0"/>
              <w:bidi w:val="0"/>
              <w:snapToGrid/>
              <w:spacing w:line="360" w:lineRule="exact"/>
              <w:ind w:right="0" w:rightChars="0"/>
              <w:jc w:val="left"/>
              <w:rPr>
                <w:rFonts w:ascii="宋体" w:hAnsi="宋体" w:eastAsia="宋体" w:cs="宋体"/>
                <w:snapToGrid w:val="0"/>
                <w:color w:val="000000"/>
                <w:sz w:val="21"/>
                <w:szCs w:val="21"/>
                <w:lang w:val="en-US" w:eastAsia="zh-CN" w:bidi="ar-SA"/>
              </w:rPr>
            </w:pPr>
            <w:r>
              <w:rPr>
                <w:rFonts w:hint="eastAsia" w:ascii="宋体" w:hAnsi="宋体" w:eastAsia="宋体" w:cs="宋体"/>
                <w:snapToGrid w:val="0"/>
                <w:color w:val="000000"/>
                <w:sz w:val="21"/>
                <w:szCs w:val="21"/>
                <w:lang w:val="en-US" w:eastAsia="zh-CN" w:bidi="ar-SA"/>
              </w:rPr>
              <w:t>不允许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3" w:hRule="atLeast"/>
        </w:trPr>
        <w:tc>
          <w:tcPr>
            <w:tcW w:w="823" w:type="dxa"/>
            <w:vAlign w:val="center"/>
          </w:tcPr>
          <w:p>
            <w:pPr>
              <w:keepNext w:val="0"/>
              <w:keepLines w:val="0"/>
              <w:pageBreakBefore w:val="0"/>
              <w:overflowPunct/>
              <w:topLinePunct w:val="0"/>
              <w:autoSpaceDE w:val="0"/>
              <w:autoSpaceDN w:val="0"/>
              <w:bidi w:val="0"/>
              <w:spacing w:line="360" w:lineRule="exact"/>
              <w:ind w:right="0" w:rightChars="0"/>
              <w:jc w:val="center"/>
              <w:rPr>
                <w:rFonts w:ascii="宋体" w:hAnsi="宋体" w:eastAsia="宋体" w:cs="宋体"/>
                <w:sz w:val="21"/>
                <w:szCs w:val="21"/>
              </w:rPr>
            </w:pPr>
            <w:r>
              <w:rPr>
                <w:rFonts w:hint="eastAsia" w:ascii="宋体" w:hAnsi="宋体" w:eastAsia="宋体" w:cs="宋体"/>
                <w:spacing w:val="-7"/>
                <w:sz w:val="21"/>
                <w:szCs w:val="21"/>
              </w:rPr>
              <w:t>16</w:t>
            </w:r>
          </w:p>
        </w:tc>
        <w:tc>
          <w:tcPr>
            <w:tcW w:w="2270" w:type="dxa"/>
            <w:vAlign w:val="center"/>
          </w:tcPr>
          <w:p>
            <w:pPr>
              <w:keepNext w:val="0"/>
              <w:keepLines w:val="0"/>
              <w:pageBreakBefore w:val="0"/>
              <w:overflowPunct/>
              <w:topLinePunct w:val="0"/>
              <w:autoSpaceDE w:val="0"/>
              <w:autoSpaceDN w:val="0"/>
              <w:bidi w:val="0"/>
              <w:spacing w:line="360" w:lineRule="exact"/>
              <w:ind w:right="0" w:rightChars="0"/>
              <w:jc w:val="center"/>
              <w:rPr>
                <w:rFonts w:ascii="宋体" w:hAnsi="宋体" w:eastAsia="宋体" w:cs="宋体"/>
                <w:spacing w:val="-2"/>
                <w:sz w:val="21"/>
                <w:szCs w:val="21"/>
              </w:rPr>
            </w:pPr>
            <w:r>
              <w:rPr>
                <w:rFonts w:ascii="宋体" w:hAnsi="宋体" w:eastAsia="宋体" w:cs="宋体"/>
                <w:spacing w:val="-2"/>
                <w:sz w:val="21"/>
                <w:szCs w:val="21"/>
              </w:rPr>
              <w:t>构成招标文件的其他材料</w:t>
            </w:r>
          </w:p>
        </w:tc>
        <w:tc>
          <w:tcPr>
            <w:tcW w:w="6943" w:type="dxa"/>
          </w:tcPr>
          <w:p>
            <w:pPr>
              <w:pStyle w:val="46"/>
              <w:keepNext w:val="0"/>
              <w:keepLines w:val="0"/>
              <w:pageBreakBefore w:val="0"/>
              <w:widowControl w:val="0"/>
              <w:kinsoku/>
              <w:overflowPunct/>
              <w:topLinePunct w:val="0"/>
              <w:autoSpaceDE w:val="0"/>
              <w:autoSpaceDN w:val="0"/>
              <w:bidi w:val="0"/>
              <w:adjustRightInd/>
              <w:snapToGrid/>
              <w:spacing w:line="360" w:lineRule="exact"/>
              <w:ind w:right="0" w:rightChars="0"/>
              <w:jc w:val="left"/>
              <w:textAlignment w:val="auto"/>
              <w:rPr>
                <w:sz w:val="21"/>
                <w:szCs w:val="21"/>
              </w:rPr>
            </w:pPr>
            <w:r>
              <w:rPr>
                <w:sz w:val="21"/>
                <w:szCs w:val="21"/>
              </w:rPr>
              <w:t>除招标文件内容外，招标人在招标期间发出的有编号的补遗书和其它有效正式函件，均是招标文件的组成部分，请各投标单位及时关注以下网站《河南省政府采购网》、《中国政府采购网》、《中国招标投标公共服务平台》和《唐河县公共资源交易中心》上发布的有关本项目的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4" w:hRule="atLeast"/>
        </w:trPr>
        <w:tc>
          <w:tcPr>
            <w:tcW w:w="823" w:type="dxa"/>
            <w:vAlign w:val="center"/>
          </w:tcPr>
          <w:p>
            <w:pPr>
              <w:keepNext w:val="0"/>
              <w:keepLines w:val="0"/>
              <w:pageBreakBefore w:val="0"/>
              <w:overflowPunct/>
              <w:topLinePunct w:val="0"/>
              <w:autoSpaceDE w:val="0"/>
              <w:autoSpaceDN w:val="0"/>
              <w:bidi w:val="0"/>
              <w:spacing w:line="360" w:lineRule="exact"/>
              <w:ind w:right="0" w:rightChars="0"/>
              <w:jc w:val="center"/>
              <w:rPr>
                <w:rFonts w:ascii="宋体" w:hAnsi="宋体" w:eastAsia="宋体" w:cs="宋体"/>
                <w:sz w:val="21"/>
                <w:szCs w:val="21"/>
              </w:rPr>
            </w:pPr>
            <w:r>
              <w:rPr>
                <w:rFonts w:hint="eastAsia" w:ascii="宋体" w:hAnsi="宋体" w:eastAsia="宋体" w:cs="宋体"/>
                <w:spacing w:val="-7"/>
                <w:sz w:val="21"/>
                <w:szCs w:val="21"/>
              </w:rPr>
              <w:t>17</w:t>
            </w:r>
          </w:p>
        </w:tc>
        <w:tc>
          <w:tcPr>
            <w:tcW w:w="2270" w:type="dxa"/>
            <w:vAlign w:val="center"/>
          </w:tcPr>
          <w:p>
            <w:pPr>
              <w:keepNext w:val="0"/>
              <w:keepLines w:val="0"/>
              <w:pageBreakBefore w:val="0"/>
              <w:overflowPunct/>
              <w:topLinePunct w:val="0"/>
              <w:autoSpaceDE w:val="0"/>
              <w:autoSpaceDN w:val="0"/>
              <w:bidi w:val="0"/>
              <w:spacing w:line="360" w:lineRule="exact"/>
              <w:ind w:right="0" w:rightChars="0"/>
              <w:jc w:val="center"/>
              <w:rPr>
                <w:rFonts w:ascii="宋体" w:hAnsi="宋体" w:eastAsia="宋体" w:cs="宋体"/>
                <w:spacing w:val="-2"/>
                <w:sz w:val="21"/>
                <w:szCs w:val="21"/>
              </w:rPr>
            </w:pPr>
            <w:r>
              <w:rPr>
                <w:rFonts w:ascii="宋体" w:hAnsi="宋体" w:eastAsia="宋体" w:cs="宋体"/>
                <w:spacing w:val="-2"/>
                <w:sz w:val="21"/>
                <w:szCs w:val="21"/>
              </w:rPr>
              <w:t>招标控制价</w:t>
            </w:r>
          </w:p>
        </w:tc>
        <w:tc>
          <w:tcPr>
            <w:tcW w:w="6943" w:type="dxa"/>
          </w:tcPr>
          <w:p>
            <w:pPr>
              <w:pStyle w:val="46"/>
              <w:keepNext w:val="0"/>
              <w:keepLines w:val="0"/>
              <w:pageBreakBefore w:val="0"/>
              <w:widowControl w:val="0"/>
              <w:kinsoku/>
              <w:overflowPunct/>
              <w:topLinePunct w:val="0"/>
              <w:autoSpaceDE w:val="0"/>
              <w:autoSpaceDN w:val="0"/>
              <w:bidi w:val="0"/>
              <w:adjustRightInd/>
              <w:snapToGrid/>
              <w:spacing w:line="360" w:lineRule="exact"/>
              <w:ind w:right="0" w:rightChars="0"/>
              <w:jc w:val="left"/>
              <w:textAlignment w:val="auto"/>
              <w:rPr>
                <w:rFonts w:hint="eastAsia" w:ascii="宋体" w:hAnsi="宋体" w:eastAsia="宋体" w:cs="宋体"/>
                <w:b/>
                <w:bCs/>
                <w:lang w:val="en-US" w:eastAsia="zh-CN"/>
              </w:rPr>
            </w:pPr>
            <w:r>
              <w:rPr>
                <w:rFonts w:hint="eastAsia" w:cs="宋体"/>
                <w:b/>
                <w:bCs/>
                <w:lang w:val="en-US" w:eastAsia="zh-CN"/>
              </w:rPr>
              <w:t>一标段：</w:t>
            </w:r>
            <w:r>
              <w:rPr>
                <w:rFonts w:hint="eastAsia" w:ascii="宋体" w:hAnsi="宋体" w:eastAsia="宋体" w:cs="宋体"/>
                <w:b/>
                <w:bCs/>
                <w:lang w:val="en-US" w:eastAsia="zh-CN"/>
              </w:rPr>
              <w:t>小写：1445497元</w:t>
            </w:r>
          </w:p>
          <w:p>
            <w:pPr>
              <w:pStyle w:val="46"/>
              <w:keepNext w:val="0"/>
              <w:keepLines w:val="0"/>
              <w:pageBreakBefore w:val="0"/>
              <w:widowControl w:val="0"/>
              <w:kinsoku/>
              <w:overflowPunct/>
              <w:topLinePunct w:val="0"/>
              <w:autoSpaceDE w:val="0"/>
              <w:autoSpaceDN w:val="0"/>
              <w:bidi w:val="0"/>
              <w:adjustRightInd/>
              <w:snapToGrid/>
              <w:spacing w:line="360" w:lineRule="exact"/>
              <w:ind w:right="0" w:rightChars="0"/>
              <w:jc w:val="left"/>
              <w:textAlignment w:val="auto"/>
              <w:rPr>
                <w:rFonts w:hint="eastAsia" w:ascii="宋体" w:hAnsi="宋体" w:eastAsia="宋体" w:cs="宋体"/>
                <w:b/>
                <w:bCs/>
                <w:lang w:val="en-US" w:eastAsia="zh-CN"/>
              </w:rPr>
            </w:pPr>
            <w:r>
              <w:rPr>
                <w:rFonts w:hint="eastAsia" w:ascii="宋体" w:hAnsi="宋体" w:eastAsia="宋体" w:cs="宋体"/>
                <w:b/>
                <w:bCs/>
                <w:lang w:val="en-US" w:eastAsia="zh-CN"/>
              </w:rPr>
              <w:t>大写：壹佰肆拾肆万伍仟肆佰玖拾柒元整</w:t>
            </w:r>
          </w:p>
          <w:p>
            <w:pPr>
              <w:pStyle w:val="46"/>
              <w:keepNext w:val="0"/>
              <w:keepLines w:val="0"/>
              <w:pageBreakBefore w:val="0"/>
              <w:widowControl w:val="0"/>
              <w:kinsoku/>
              <w:overflowPunct/>
              <w:topLinePunct w:val="0"/>
              <w:autoSpaceDE w:val="0"/>
              <w:autoSpaceDN w:val="0"/>
              <w:bidi w:val="0"/>
              <w:adjustRightInd/>
              <w:snapToGrid/>
              <w:spacing w:line="360" w:lineRule="exact"/>
              <w:ind w:right="0" w:rightChars="0"/>
              <w:jc w:val="left"/>
              <w:textAlignment w:val="auto"/>
              <w:rPr>
                <w:rFonts w:hint="eastAsia" w:ascii="宋体" w:hAnsi="宋体" w:eastAsia="宋体" w:cs="宋体"/>
                <w:b/>
                <w:bCs/>
                <w:lang w:val="en-US" w:eastAsia="zh-CN"/>
              </w:rPr>
            </w:pPr>
            <w:r>
              <w:rPr>
                <w:rFonts w:hint="eastAsia" w:ascii="宋体" w:hAnsi="宋体" w:eastAsia="宋体" w:cs="宋体"/>
                <w:b/>
                <w:bCs/>
                <w:lang w:val="en-US" w:eastAsia="zh-CN"/>
              </w:rPr>
              <w:t>二标段：小写：1076054元</w:t>
            </w:r>
          </w:p>
          <w:p>
            <w:pPr>
              <w:pStyle w:val="46"/>
              <w:keepNext w:val="0"/>
              <w:keepLines w:val="0"/>
              <w:pageBreakBefore w:val="0"/>
              <w:widowControl w:val="0"/>
              <w:kinsoku/>
              <w:overflowPunct/>
              <w:topLinePunct w:val="0"/>
              <w:autoSpaceDE w:val="0"/>
              <w:autoSpaceDN w:val="0"/>
              <w:bidi w:val="0"/>
              <w:adjustRightInd/>
              <w:snapToGrid/>
              <w:spacing w:line="360" w:lineRule="exact"/>
              <w:ind w:right="0" w:rightChars="0"/>
              <w:jc w:val="left"/>
              <w:textAlignment w:val="auto"/>
              <w:rPr>
                <w:rFonts w:hint="default" w:ascii="宋体" w:hAnsi="宋体" w:eastAsia="宋体" w:cs="宋体"/>
                <w:b/>
                <w:bCs/>
                <w:lang w:val="en-US" w:eastAsia="zh-CN"/>
              </w:rPr>
            </w:pPr>
            <w:r>
              <w:rPr>
                <w:rFonts w:hint="eastAsia" w:ascii="宋体" w:hAnsi="宋体" w:eastAsia="宋体" w:cs="宋体"/>
                <w:b/>
                <w:bCs/>
                <w:lang w:val="en-US" w:eastAsia="zh-CN"/>
              </w:rPr>
              <w:t>大写：壹佰零柒万陆仟零伍拾肆元整</w:t>
            </w:r>
          </w:p>
          <w:p>
            <w:pPr>
              <w:pStyle w:val="46"/>
              <w:keepNext w:val="0"/>
              <w:keepLines w:val="0"/>
              <w:pageBreakBefore w:val="0"/>
              <w:widowControl w:val="0"/>
              <w:kinsoku/>
              <w:overflowPunct/>
              <w:topLinePunct w:val="0"/>
              <w:autoSpaceDE w:val="0"/>
              <w:autoSpaceDN w:val="0"/>
              <w:bidi w:val="0"/>
              <w:adjustRightInd/>
              <w:snapToGrid/>
              <w:spacing w:line="360" w:lineRule="exact"/>
              <w:ind w:right="0" w:rightChars="0"/>
              <w:jc w:val="left"/>
              <w:textAlignment w:val="auto"/>
              <w:rPr>
                <w:rFonts w:hint="eastAsia" w:ascii="宋体" w:hAnsi="宋体" w:eastAsia="宋体" w:cs="宋体"/>
                <w:b/>
                <w:bCs/>
                <w:lang w:val="en-US" w:eastAsia="zh-CN"/>
              </w:rPr>
            </w:pPr>
            <w:r>
              <w:rPr>
                <w:rFonts w:hint="eastAsia" w:ascii="宋体" w:hAnsi="宋体" w:eastAsia="宋体" w:cs="宋体"/>
                <w:b/>
                <w:bCs/>
                <w:lang w:val="en-US" w:eastAsia="zh-CN"/>
              </w:rPr>
              <w:t>注：投标报价不得超过招标控制价，否则按废标处理。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trPr>
        <w:tc>
          <w:tcPr>
            <w:tcW w:w="823" w:type="dxa"/>
            <w:vAlign w:val="center"/>
          </w:tcPr>
          <w:p>
            <w:pPr>
              <w:keepNext w:val="0"/>
              <w:keepLines w:val="0"/>
              <w:pageBreakBefore w:val="0"/>
              <w:overflowPunct/>
              <w:topLinePunct w:val="0"/>
              <w:autoSpaceDE w:val="0"/>
              <w:autoSpaceDN w:val="0"/>
              <w:bidi w:val="0"/>
              <w:spacing w:line="360" w:lineRule="exact"/>
              <w:ind w:right="0" w:rightChars="0"/>
              <w:jc w:val="center"/>
              <w:rPr>
                <w:rFonts w:ascii="宋体" w:hAnsi="宋体" w:eastAsia="宋体" w:cs="宋体"/>
                <w:sz w:val="21"/>
                <w:szCs w:val="21"/>
              </w:rPr>
            </w:pPr>
            <w:r>
              <w:rPr>
                <w:rFonts w:hint="eastAsia" w:ascii="宋体" w:hAnsi="宋体" w:eastAsia="宋体" w:cs="宋体"/>
                <w:spacing w:val="-7"/>
                <w:sz w:val="21"/>
                <w:szCs w:val="21"/>
              </w:rPr>
              <w:t>18</w:t>
            </w:r>
          </w:p>
        </w:tc>
        <w:tc>
          <w:tcPr>
            <w:tcW w:w="2270" w:type="dxa"/>
            <w:vAlign w:val="center"/>
          </w:tcPr>
          <w:p>
            <w:pPr>
              <w:keepNext w:val="0"/>
              <w:keepLines w:val="0"/>
              <w:pageBreakBefore w:val="0"/>
              <w:overflowPunct/>
              <w:topLinePunct w:val="0"/>
              <w:autoSpaceDE w:val="0"/>
              <w:autoSpaceDN w:val="0"/>
              <w:bidi w:val="0"/>
              <w:spacing w:line="360" w:lineRule="exact"/>
              <w:ind w:right="0" w:rightChars="0"/>
              <w:jc w:val="center"/>
              <w:rPr>
                <w:rFonts w:ascii="宋体" w:hAnsi="宋体" w:eastAsia="宋体" w:cs="宋体"/>
                <w:spacing w:val="-2"/>
                <w:sz w:val="21"/>
                <w:szCs w:val="21"/>
              </w:rPr>
            </w:pPr>
            <w:r>
              <w:rPr>
                <w:rFonts w:ascii="宋体" w:hAnsi="宋体" w:eastAsia="宋体" w:cs="宋体"/>
                <w:spacing w:val="-2"/>
                <w:sz w:val="21"/>
                <w:szCs w:val="21"/>
              </w:rPr>
              <w:t>招标文件的发售方式及领取时间、地点</w:t>
            </w:r>
          </w:p>
        </w:tc>
        <w:tc>
          <w:tcPr>
            <w:tcW w:w="6943" w:type="dxa"/>
          </w:tcPr>
          <w:p>
            <w:pPr>
              <w:pStyle w:val="46"/>
              <w:keepNext w:val="0"/>
              <w:keepLines w:val="0"/>
              <w:pageBreakBefore w:val="0"/>
              <w:widowControl w:val="0"/>
              <w:kinsoku/>
              <w:overflowPunct/>
              <w:topLinePunct w:val="0"/>
              <w:autoSpaceDE w:val="0"/>
              <w:autoSpaceDN w:val="0"/>
              <w:bidi w:val="0"/>
              <w:adjustRightInd/>
              <w:snapToGrid/>
              <w:spacing w:line="360" w:lineRule="exact"/>
              <w:ind w:right="0" w:rightChars="0"/>
              <w:jc w:val="left"/>
              <w:textAlignment w:val="auto"/>
              <w:rPr>
                <w:sz w:val="21"/>
                <w:szCs w:val="21"/>
              </w:rPr>
            </w:pPr>
            <w:r>
              <w:rPr>
                <w:sz w:val="21"/>
                <w:szCs w:val="21"/>
              </w:rPr>
              <w:t>详见招标公告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823" w:type="dxa"/>
            <w:vAlign w:val="center"/>
          </w:tcPr>
          <w:p>
            <w:pPr>
              <w:keepNext w:val="0"/>
              <w:keepLines w:val="0"/>
              <w:pageBreakBefore w:val="0"/>
              <w:overflowPunct/>
              <w:topLinePunct w:val="0"/>
              <w:autoSpaceDE w:val="0"/>
              <w:autoSpaceDN w:val="0"/>
              <w:bidi w:val="0"/>
              <w:spacing w:line="360" w:lineRule="exact"/>
              <w:ind w:right="0" w:rightChars="0"/>
              <w:jc w:val="center"/>
              <w:rPr>
                <w:rFonts w:ascii="宋体" w:hAnsi="宋体" w:eastAsia="宋体" w:cs="宋体"/>
                <w:spacing w:val="-7"/>
                <w:sz w:val="21"/>
                <w:szCs w:val="21"/>
              </w:rPr>
            </w:pPr>
            <w:r>
              <w:rPr>
                <w:rFonts w:hint="eastAsia" w:ascii="宋体" w:hAnsi="宋体" w:eastAsia="宋体" w:cs="宋体"/>
                <w:spacing w:val="-7"/>
                <w:sz w:val="21"/>
                <w:szCs w:val="21"/>
              </w:rPr>
              <w:t>19</w:t>
            </w:r>
          </w:p>
        </w:tc>
        <w:tc>
          <w:tcPr>
            <w:tcW w:w="2270" w:type="dxa"/>
            <w:vAlign w:val="center"/>
          </w:tcPr>
          <w:p>
            <w:pPr>
              <w:keepNext w:val="0"/>
              <w:keepLines w:val="0"/>
              <w:pageBreakBefore w:val="0"/>
              <w:overflowPunct/>
              <w:topLinePunct w:val="0"/>
              <w:autoSpaceDE w:val="0"/>
              <w:autoSpaceDN w:val="0"/>
              <w:bidi w:val="0"/>
              <w:spacing w:line="360" w:lineRule="exact"/>
              <w:ind w:right="0" w:rightChars="0"/>
              <w:jc w:val="center"/>
              <w:rPr>
                <w:rFonts w:ascii="宋体" w:hAnsi="宋体" w:eastAsia="宋体" w:cs="宋体"/>
                <w:spacing w:val="-7"/>
                <w:sz w:val="21"/>
                <w:szCs w:val="21"/>
              </w:rPr>
            </w:pPr>
            <w:r>
              <w:rPr>
                <w:rFonts w:ascii="宋体" w:hAnsi="宋体" w:eastAsia="宋体" w:cs="宋体"/>
                <w:spacing w:val="-7"/>
                <w:sz w:val="21"/>
                <w:szCs w:val="21"/>
              </w:rPr>
              <w:t>电子标投标文件递交</w:t>
            </w:r>
          </w:p>
          <w:p>
            <w:pPr>
              <w:keepNext w:val="0"/>
              <w:keepLines w:val="0"/>
              <w:pageBreakBefore w:val="0"/>
              <w:overflowPunct/>
              <w:topLinePunct w:val="0"/>
              <w:autoSpaceDE w:val="0"/>
              <w:autoSpaceDN w:val="0"/>
              <w:bidi w:val="0"/>
              <w:spacing w:line="360" w:lineRule="exact"/>
              <w:ind w:right="0" w:rightChars="0"/>
              <w:jc w:val="center"/>
              <w:rPr>
                <w:rFonts w:ascii="宋体" w:hAnsi="宋体" w:eastAsia="宋体" w:cs="宋体"/>
                <w:spacing w:val="-7"/>
                <w:sz w:val="21"/>
                <w:szCs w:val="21"/>
              </w:rPr>
            </w:pPr>
            <w:r>
              <w:rPr>
                <w:rFonts w:ascii="宋体" w:hAnsi="宋体" w:eastAsia="宋体" w:cs="宋体"/>
                <w:spacing w:val="-7"/>
                <w:sz w:val="21"/>
                <w:szCs w:val="21"/>
              </w:rPr>
              <w:t>截止时间(同开标时间)</w:t>
            </w:r>
          </w:p>
        </w:tc>
        <w:tc>
          <w:tcPr>
            <w:tcW w:w="6943" w:type="dxa"/>
          </w:tcPr>
          <w:p>
            <w:pPr>
              <w:pStyle w:val="46"/>
              <w:keepNext w:val="0"/>
              <w:keepLines w:val="0"/>
              <w:pageBreakBefore w:val="0"/>
              <w:widowControl w:val="0"/>
              <w:kinsoku/>
              <w:overflowPunct/>
              <w:topLinePunct w:val="0"/>
              <w:autoSpaceDE w:val="0"/>
              <w:autoSpaceDN w:val="0"/>
              <w:bidi w:val="0"/>
              <w:adjustRightInd/>
              <w:snapToGrid/>
              <w:spacing w:line="360" w:lineRule="exact"/>
              <w:ind w:right="0" w:rightChars="0"/>
              <w:jc w:val="left"/>
              <w:textAlignment w:val="auto"/>
              <w:rPr>
                <w:sz w:val="21"/>
                <w:szCs w:val="21"/>
              </w:rPr>
            </w:pPr>
            <w:r>
              <w:rPr>
                <w:sz w:val="21"/>
                <w:szCs w:val="21"/>
              </w:rPr>
              <w:t>详见招标公告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823" w:type="dxa"/>
            <w:vAlign w:val="center"/>
          </w:tcPr>
          <w:p>
            <w:pPr>
              <w:keepNext w:val="0"/>
              <w:keepLines w:val="0"/>
              <w:pageBreakBefore w:val="0"/>
              <w:overflowPunct/>
              <w:topLinePunct w:val="0"/>
              <w:autoSpaceDE w:val="0"/>
              <w:autoSpaceDN w:val="0"/>
              <w:bidi w:val="0"/>
              <w:spacing w:line="360" w:lineRule="exact"/>
              <w:ind w:right="0" w:rightChars="0"/>
              <w:jc w:val="center"/>
              <w:rPr>
                <w:rFonts w:ascii="宋体" w:hAnsi="宋体" w:eastAsia="宋体" w:cs="宋体"/>
                <w:spacing w:val="-7"/>
                <w:sz w:val="21"/>
                <w:szCs w:val="21"/>
              </w:rPr>
            </w:pPr>
            <w:r>
              <w:rPr>
                <w:rFonts w:hint="eastAsia" w:ascii="宋体" w:hAnsi="宋体" w:eastAsia="宋体" w:cs="宋体"/>
                <w:spacing w:val="-7"/>
                <w:sz w:val="21"/>
                <w:szCs w:val="21"/>
              </w:rPr>
              <w:t>20</w:t>
            </w:r>
          </w:p>
        </w:tc>
        <w:tc>
          <w:tcPr>
            <w:tcW w:w="2270" w:type="dxa"/>
            <w:vAlign w:val="center"/>
          </w:tcPr>
          <w:p>
            <w:pPr>
              <w:keepNext w:val="0"/>
              <w:keepLines w:val="0"/>
              <w:pageBreakBefore w:val="0"/>
              <w:overflowPunct/>
              <w:topLinePunct w:val="0"/>
              <w:autoSpaceDE w:val="0"/>
              <w:autoSpaceDN w:val="0"/>
              <w:bidi w:val="0"/>
              <w:spacing w:line="360" w:lineRule="exact"/>
              <w:ind w:right="0" w:rightChars="0"/>
              <w:jc w:val="center"/>
              <w:rPr>
                <w:rFonts w:ascii="宋体" w:hAnsi="宋体" w:eastAsia="宋体" w:cs="宋体"/>
                <w:spacing w:val="-7"/>
                <w:sz w:val="21"/>
                <w:szCs w:val="21"/>
              </w:rPr>
            </w:pPr>
            <w:r>
              <w:rPr>
                <w:rFonts w:ascii="宋体" w:hAnsi="宋体" w:eastAsia="宋体" w:cs="宋体"/>
                <w:spacing w:val="-7"/>
                <w:sz w:val="21"/>
                <w:szCs w:val="21"/>
              </w:rPr>
              <w:t>开标时间和地点</w:t>
            </w:r>
          </w:p>
        </w:tc>
        <w:tc>
          <w:tcPr>
            <w:tcW w:w="6943" w:type="dxa"/>
          </w:tcPr>
          <w:p>
            <w:pPr>
              <w:pStyle w:val="46"/>
              <w:keepNext w:val="0"/>
              <w:keepLines w:val="0"/>
              <w:pageBreakBefore w:val="0"/>
              <w:widowControl w:val="0"/>
              <w:kinsoku/>
              <w:overflowPunct/>
              <w:topLinePunct w:val="0"/>
              <w:autoSpaceDE w:val="0"/>
              <w:autoSpaceDN w:val="0"/>
              <w:bidi w:val="0"/>
              <w:adjustRightInd/>
              <w:snapToGrid/>
              <w:spacing w:line="360" w:lineRule="exact"/>
              <w:ind w:right="0" w:rightChars="0"/>
              <w:jc w:val="left"/>
              <w:textAlignment w:val="auto"/>
              <w:rPr>
                <w:sz w:val="21"/>
                <w:szCs w:val="21"/>
              </w:rPr>
            </w:pPr>
            <w:r>
              <w:rPr>
                <w:sz w:val="21"/>
                <w:szCs w:val="21"/>
              </w:rPr>
              <w:t>详见招标公告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823" w:type="dxa"/>
            <w:vAlign w:val="center"/>
          </w:tcPr>
          <w:p>
            <w:pPr>
              <w:keepNext w:val="0"/>
              <w:keepLines w:val="0"/>
              <w:pageBreakBefore w:val="0"/>
              <w:overflowPunct/>
              <w:topLinePunct w:val="0"/>
              <w:autoSpaceDE w:val="0"/>
              <w:autoSpaceDN w:val="0"/>
              <w:bidi w:val="0"/>
              <w:spacing w:line="360" w:lineRule="exact"/>
              <w:ind w:right="0" w:rightChars="0"/>
              <w:jc w:val="center"/>
              <w:rPr>
                <w:rFonts w:ascii="宋体" w:hAnsi="宋体" w:eastAsia="宋体" w:cs="宋体"/>
                <w:spacing w:val="-7"/>
                <w:sz w:val="21"/>
                <w:szCs w:val="21"/>
              </w:rPr>
            </w:pPr>
            <w:r>
              <w:rPr>
                <w:rFonts w:hint="eastAsia" w:ascii="宋体" w:hAnsi="宋体" w:eastAsia="宋体" w:cs="宋体"/>
                <w:spacing w:val="-7"/>
                <w:sz w:val="21"/>
                <w:szCs w:val="21"/>
              </w:rPr>
              <w:t>21</w:t>
            </w:r>
          </w:p>
        </w:tc>
        <w:tc>
          <w:tcPr>
            <w:tcW w:w="2270" w:type="dxa"/>
            <w:vAlign w:val="center"/>
          </w:tcPr>
          <w:p>
            <w:pPr>
              <w:keepNext w:val="0"/>
              <w:keepLines w:val="0"/>
              <w:pageBreakBefore w:val="0"/>
              <w:overflowPunct/>
              <w:topLinePunct w:val="0"/>
              <w:autoSpaceDE w:val="0"/>
              <w:autoSpaceDN w:val="0"/>
              <w:bidi w:val="0"/>
              <w:spacing w:line="360" w:lineRule="exact"/>
              <w:ind w:right="0" w:rightChars="0"/>
              <w:jc w:val="center"/>
              <w:rPr>
                <w:rFonts w:ascii="宋体" w:hAnsi="宋体" w:eastAsia="宋体" w:cs="宋体"/>
                <w:spacing w:val="-7"/>
                <w:sz w:val="21"/>
                <w:szCs w:val="21"/>
              </w:rPr>
            </w:pPr>
            <w:r>
              <w:rPr>
                <w:rFonts w:ascii="宋体" w:hAnsi="宋体" w:eastAsia="宋体" w:cs="宋体"/>
                <w:spacing w:val="-7"/>
                <w:sz w:val="21"/>
                <w:szCs w:val="21"/>
              </w:rPr>
              <w:t>投标保证金</w:t>
            </w:r>
          </w:p>
        </w:tc>
        <w:tc>
          <w:tcPr>
            <w:tcW w:w="6943" w:type="dxa"/>
          </w:tcPr>
          <w:p>
            <w:pPr>
              <w:pStyle w:val="46"/>
              <w:keepNext w:val="0"/>
              <w:keepLines w:val="0"/>
              <w:pageBreakBefore w:val="0"/>
              <w:widowControl w:val="0"/>
              <w:kinsoku/>
              <w:overflowPunct/>
              <w:topLinePunct w:val="0"/>
              <w:autoSpaceDE w:val="0"/>
              <w:autoSpaceDN w:val="0"/>
              <w:bidi w:val="0"/>
              <w:adjustRightInd/>
              <w:snapToGrid/>
              <w:spacing w:line="360" w:lineRule="exact"/>
              <w:ind w:right="0" w:rightChars="0"/>
              <w:jc w:val="left"/>
              <w:textAlignment w:val="auto"/>
              <w:rPr>
                <w:spacing w:val="-7"/>
                <w:sz w:val="21"/>
                <w:szCs w:val="21"/>
              </w:rPr>
            </w:pPr>
            <w:r>
              <w:rPr>
                <w:spacing w:val="-7"/>
                <w:sz w:val="21"/>
                <w:szCs w:val="21"/>
              </w:rPr>
              <w:t>本项目不收取投标保证金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823" w:type="dxa"/>
            <w:vAlign w:val="center"/>
          </w:tcPr>
          <w:p>
            <w:pPr>
              <w:keepNext w:val="0"/>
              <w:keepLines w:val="0"/>
              <w:pageBreakBefore w:val="0"/>
              <w:overflowPunct/>
              <w:topLinePunct w:val="0"/>
              <w:autoSpaceDE w:val="0"/>
              <w:autoSpaceDN w:val="0"/>
              <w:bidi w:val="0"/>
              <w:spacing w:line="360" w:lineRule="exact"/>
              <w:ind w:right="0" w:rightChars="0"/>
              <w:jc w:val="center"/>
              <w:rPr>
                <w:rFonts w:hint="default"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22</w:t>
            </w:r>
          </w:p>
        </w:tc>
        <w:tc>
          <w:tcPr>
            <w:tcW w:w="2270" w:type="dxa"/>
            <w:vAlign w:val="center"/>
          </w:tcPr>
          <w:p>
            <w:pPr>
              <w:keepNext w:val="0"/>
              <w:keepLines w:val="0"/>
              <w:pageBreakBefore w:val="0"/>
              <w:overflowPunct/>
              <w:topLinePunct w:val="0"/>
              <w:autoSpaceDE w:val="0"/>
              <w:autoSpaceDN w:val="0"/>
              <w:bidi w:val="0"/>
              <w:spacing w:line="360" w:lineRule="exact"/>
              <w:ind w:right="0" w:rightChars="0"/>
              <w:jc w:val="center"/>
              <w:rPr>
                <w:rFonts w:ascii="宋体" w:hAnsi="宋体" w:eastAsia="宋体" w:cs="宋体"/>
                <w:spacing w:val="-7"/>
                <w:sz w:val="21"/>
                <w:szCs w:val="21"/>
              </w:rPr>
            </w:pPr>
            <w:r>
              <w:rPr>
                <w:rFonts w:ascii="宋体" w:hAnsi="宋体" w:eastAsia="宋体" w:cs="宋体"/>
                <w:spacing w:val="-7"/>
                <w:sz w:val="21"/>
                <w:szCs w:val="21"/>
              </w:rPr>
              <w:t>投标有效期</w:t>
            </w:r>
          </w:p>
        </w:tc>
        <w:tc>
          <w:tcPr>
            <w:tcW w:w="6943" w:type="dxa"/>
          </w:tcPr>
          <w:p>
            <w:pPr>
              <w:pStyle w:val="46"/>
              <w:keepNext w:val="0"/>
              <w:keepLines w:val="0"/>
              <w:pageBreakBefore w:val="0"/>
              <w:widowControl w:val="0"/>
              <w:kinsoku/>
              <w:overflowPunct/>
              <w:topLinePunct w:val="0"/>
              <w:autoSpaceDE w:val="0"/>
              <w:autoSpaceDN w:val="0"/>
              <w:bidi w:val="0"/>
              <w:adjustRightInd/>
              <w:snapToGrid/>
              <w:spacing w:line="360" w:lineRule="exact"/>
              <w:ind w:right="0" w:rightChars="0"/>
              <w:jc w:val="left"/>
              <w:textAlignment w:val="auto"/>
              <w:rPr>
                <w:sz w:val="21"/>
                <w:szCs w:val="21"/>
              </w:rPr>
            </w:pPr>
            <w:r>
              <w:rPr>
                <w:sz w:val="21"/>
                <w:szCs w:val="21"/>
              </w:rPr>
              <w:t>自投标截止之日起 60 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23" w:type="dxa"/>
            <w:vAlign w:val="center"/>
          </w:tcPr>
          <w:p>
            <w:pPr>
              <w:keepNext w:val="0"/>
              <w:keepLines w:val="0"/>
              <w:pageBreakBefore w:val="0"/>
              <w:overflowPunct/>
              <w:topLinePunct w:val="0"/>
              <w:autoSpaceDE w:val="0"/>
              <w:autoSpaceDN w:val="0"/>
              <w:bidi w:val="0"/>
              <w:spacing w:line="360" w:lineRule="exact"/>
              <w:ind w:right="0" w:rightChars="0"/>
              <w:jc w:val="center"/>
              <w:rPr>
                <w:rFonts w:hint="default"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23</w:t>
            </w:r>
          </w:p>
        </w:tc>
        <w:tc>
          <w:tcPr>
            <w:tcW w:w="2270" w:type="dxa"/>
            <w:vAlign w:val="center"/>
          </w:tcPr>
          <w:p>
            <w:pPr>
              <w:keepNext w:val="0"/>
              <w:keepLines w:val="0"/>
              <w:pageBreakBefore w:val="0"/>
              <w:overflowPunct/>
              <w:topLinePunct w:val="0"/>
              <w:autoSpaceDE w:val="0"/>
              <w:autoSpaceDN w:val="0"/>
              <w:bidi w:val="0"/>
              <w:spacing w:line="360" w:lineRule="exact"/>
              <w:ind w:right="0" w:rightChars="0"/>
              <w:jc w:val="center"/>
              <w:rPr>
                <w:rFonts w:ascii="宋体" w:hAnsi="宋体" w:eastAsia="宋体" w:cs="宋体"/>
                <w:spacing w:val="-7"/>
                <w:sz w:val="21"/>
                <w:szCs w:val="21"/>
              </w:rPr>
            </w:pPr>
            <w:r>
              <w:rPr>
                <w:rFonts w:ascii="宋体" w:hAnsi="宋体" w:eastAsia="宋体" w:cs="宋体"/>
                <w:spacing w:val="-7"/>
                <w:sz w:val="21"/>
                <w:szCs w:val="21"/>
              </w:rPr>
              <w:t>是否允许递交备选投标文件</w:t>
            </w:r>
          </w:p>
        </w:tc>
        <w:tc>
          <w:tcPr>
            <w:tcW w:w="6943" w:type="dxa"/>
          </w:tcPr>
          <w:p>
            <w:pPr>
              <w:pStyle w:val="46"/>
              <w:keepNext w:val="0"/>
              <w:keepLines w:val="0"/>
              <w:pageBreakBefore w:val="0"/>
              <w:widowControl w:val="0"/>
              <w:kinsoku/>
              <w:overflowPunct/>
              <w:topLinePunct w:val="0"/>
              <w:autoSpaceDE w:val="0"/>
              <w:autoSpaceDN w:val="0"/>
              <w:bidi w:val="0"/>
              <w:adjustRightInd/>
              <w:snapToGrid/>
              <w:spacing w:line="360" w:lineRule="exact"/>
              <w:ind w:right="0" w:rightChars="0"/>
              <w:jc w:val="left"/>
              <w:textAlignment w:val="auto"/>
              <w:rPr>
                <w:sz w:val="21"/>
                <w:szCs w:val="21"/>
              </w:rPr>
            </w:pPr>
            <w:r>
              <w:rPr>
                <w:sz w:val="21"/>
                <w:szCs w:val="21"/>
              </w:rPr>
              <w:t>不允许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823" w:type="dxa"/>
            <w:vAlign w:val="center"/>
          </w:tcPr>
          <w:p>
            <w:pPr>
              <w:keepNext w:val="0"/>
              <w:keepLines w:val="0"/>
              <w:pageBreakBefore w:val="0"/>
              <w:overflowPunct/>
              <w:topLinePunct w:val="0"/>
              <w:autoSpaceDE w:val="0"/>
              <w:autoSpaceDN w:val="0"/>
              <w:bidi w:val="0"/>
              <w:spacing w:line="360" w:lineRule="exact"/>
              <w:ind w:right="0" w:rightChars="0"/>
              <w:jc w:val="center"/>
              <w:rPr>
                <w:rFonts w:hint="default"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24</w:t>
            </w:r>
          </w:p>
        </w:tc>
        <w:tc>
          <w:tcPr>
            <w:tcW w:w="2270" w:type="dxa"/>
            <w:vAlign w:val="center"/>
          </w:tcPr>
          <w:p>
            <w:pPr>
              <w:keepNext w:val="0"/>
              <w:keepLines w:val="0"/>
              <w:pageBreakBefore w:val="0"/>
              <w:overflowPunct/>
              <w:topLinePunct w:val="0"/>
              <w:autoSpaceDE w:val="0"/>
              <w:autoSpaceDN w:val="0"/>
              <w:bidi w:val="0"/>
              <w:spacing w:line="360" w:lineRule="exact"/>
              <w:ind w:right="0" w:rightChars="0"/>
              <w:jc w:val="center"/>
              <w:rPr>
                <w:rFonts w:ascii="宋体" w:hAnsi="宋体" w:eastAsia="宋体" w:cs="宋体"/>
                <w:spacing w:val="-7"/>
                <w:sz w:val="21"/>
                <w:szCs w:val="21"/>
              </w:rPr>
            </w:pPr>
            <w:r>
              <w:rPr>
                <w:rFonts w:ascii="宋体" w:hAnsi="宋体" w:eastAsia="宋体" w:cs="宋体"/>
                <w:spacing w:val="-7"/>
                <w:sz w:val="21"/>
                <w:szCs w:val="21"/>
              </w:rPr>
              <w:t>签字和盖章要求</w:t>
            </w:r>
          </w:p>
        </w:tc>
        <w:tc>
          <w:tcPr>
            <w:tcW w:w="6943" w:type="dxa"/>
          </w:tcPr>
          <w:p>
            <w:pPr>
              <w:pStyle w:val="46"/>
              <w:keepNext w:val="0"/>
              <w:keepLines w:val="0"/>
              <w:pageBreakBefore w:val="0"/>
              <w:widowControl w:val="0"/>
              <w:kinsoku/>
              <w:overflowPunct/>
              <w:topLinePunct w:val="0"/>
              <w:autoSpaceDE w:val="0"/>
              <w:autoSpaceDN w:val="0"/>
              <w:bidi w:val="0"/>
              <w:adjustRightInd/>
              <w:snapToGrid/>
              <w:spacing w:line="360" w:lineRule="exact"/>
              <w:ind w:right="0" w:rightChars="0"/>
              <w:jc w:val="left"/>
              <w:textAlignment w:val="auto"/>
              <w:rPr>
                <w:sz w:val="21"/>
                <w:szCs w:val="21"/>
              </w:rPr>
            </w:pPr>
            <w:r>
              <w:rPr>
                <w:sz w:val="21"/>
                <w:szCs w:val="21"/>
              </w:rPr>
              <w:t>投标人需按招标文件的格式，在规定的地方进行法定代表人电子签名、加盖投标人电子公章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8" w:hRule="atLeast"/>
        </w:trPr>
        <w:tc>
          <w:tcPr>
            <w:tcW w:w="823" w:type="dxa"/>
            <w:vAlign w:val="center"/>
          </w:tcPr>
          <w:p>
            <w:pPr>
              <w:keepNext w:val="0"/>
              <w:keepLines w:val="0"/>
              <w:pageBreakBefore w:val="0"/>
              <w:overflowPunct/>
              <w:topLinePunct w:val="0"/>
              <w:autoSpaceDE w:val="0"/>
              <w:autoSpaceDN w:val="0"/>
              <w:bidi w:val="0"/>
              <w:spacing w:line="360" w:lineRule="exact"/>
              <w:ind w:right="0" w:rightChars="0"/>
              <w:jc w:val="center"/>
              <w:rPr>
                <w:rFonts w:hint="default" w:ascii="宋体" w:hAnsi="宋体" w:eastAsia="宋体" w:cs="宋体"/>
                <w:sz w:val="21"/>
                <w:szCs w:val="21"/>
                <w:lang w:val="en-US" w:eastAsia="zh-CN"/>
              </w:rPr>
            </w:pPr>
            <w:r>
              <w:rPr>
                <w:rFonts w:hint="eastAsia" w:ascii="宋体" w:hAnsi="宋体" w:eastAsia="宋体" w:cs="宋体"/>
                <w:spacing w:val="-3"/>
                <w:sz w:val="21"/>
                <w:szCs w:val="21"/>
                <w:lang w:val="en-US" w:eastAsia="zh-CN"/>
              </w:rPr>
              <w:t>25</w:t>
            </w:r>
          </w:p>
        </w:tc>
        <w:tc>
          <w:tcPr>
            <w:tcW w:w="2270" w:type="dxa"/>
            <w:vAlign w:val="center"/>
          </w:tcPr>
          <w:p>
            <w:pPr>
              <w:keepNext w:val="0"/>
              <w:keepLines w:val="0"/>
              <w:pageBreakBefore w:val="0"/>
              <w:overflowPunct/>
              <w:topLinePunct w:val="0"/>
              <w:autoSpaceDE w:val="0"/>
              <w:autoSpaceDN w:val="0"/>
              <w:bidi w:val="0"/>
              <w:spacing w:line="360" w:lineRule="exact"/>
              <w:ind w:right="0" w:rightChars="0"/>
              <w:jc w:val="center"/>
              <w:rPr>
                <w:rFonts w:ascii="宋体" w:hAnsi="宋体" w:eastAsia="宋体" w:cs="宋体"/>
                <w:sz w:val="21"/>
                <w:szCs w:val="21"/>
              </w:rPr>
            </w:pPr>
            <w:r>
              <w:rPr>
                <w:rFonts w:ascii="宋体" w:hAnsi="宋体" w:eastAsia="宋体" w:cs="宋体"/>
                <w:color w:val="0C0C0C"/>
                <w:spacing w:val="-4"/>
                <w:sz w:val="21"/>
                <w:szCs w:val="21"/>
              </w:rPr>
              <w:t>电子投标文件递</w:t>
            </w:r>
            <w:r>
              <w:rPr>
                <w:rFonts w:ascii="宋体" w:hAnsi="宋体" w:eastAsia="宋体" w:cs="宋体"/>
                <w:color w:val="0C0C0C"/>
                <w:spacing w:val="-3"/>
                <w:sz w:val="21"/>
                <w:szCs w:val="21"/>
              </w:rPr>
              <w:t>交</w:t>
            </w:r>
          </w:p>
        </w:tc>
        <w:tc>
          <w:tcPr>
            <w:tcW w:w="6943" w:type="dxa"/>
          </w:tcPr>
          <w:p>
            <w:pPr>
              <w:pStyle w:val="46"/>
              <w:keepNext w:val="0"/>
              <w:keepLines w:val="0"/>
              <w:pageBreakBefore w:val="0"/>
              <w:widowControl w:val="0"/>
              <w:kinsoku/>
              <w:overflowPunct/>
              <w:topLinePunct w:val="0"/>
              <w:autoSpaceDE w:val="0"/>
              <w:autoSpaceDN w:val="0"/>
              <w:bidi w:val="0"/>
              <w:adjustRightInd/>
              <w:snapToGrid/>
              <w:spacing w:line="360" w:lineRule="exact"/>
              <w:ind w:right="0" w:rightChars="0"/>
              <w:jc w:val="left"/>
              <w:textAlignment w:val="auto"/>
              <w:rPr>
                <w:sz w:val="21"/>
                <w:szCs w:val="21"/>
              </w:rPr>
            </w:pPr>
            <w:r>
              <w:rPr>
                <w:sz w:val="21"/>
                <w:szCs w:val="21"/>
              </w:rPr>
              <w:t>1、投标人应在唐河县公共资源交易系统下载“电子投标文件制作工具”，并按照招标文件要求编制和上传递交加密的电子投标文件</w:t>
            </w:r>
            <w:r>
              <w:rPr>
                <w:rFonts w:hint="eastAsia"/>
                <w:sz w:val="21"/>
                <w:szCs w:val="21"/>
              </w:rPr>
              <w:t>(.nytf格式)</w:t>
            </w:r>
            <w:r>
              <w:rPr>
                <w:sz w:val="21"/>
                <w:szCs w:val="21"/>
              </w:rPr>
              <w:t>。投标人上传时必须得到系统“上传成功”的确认回复，并认真检查电子投标文件是否完整、正确。递交网址：http://www.thggzy.cn/</w:t>
            </w:r>
          </w:p>
          <w:p>
            <w:pPr>
              <w:pStyle w:val="46"/>
              <w:keepNext w:val="0"/>
              <w:keepLines w:val="0"/>
              <w:pageBreakBefore w:val="0"/>
              <w:widowControl w:val="0"/>
              <w:kinsoku/>
              <w:overflowPunct/>
              <w:topLinePunct w:val="0"/>
              <w:autoSpaceDE w:val="0"/>
              <w:autoSpaceDN w:val="0"/>
              <w:bidi w:val="0"/>
              <w:adjustRightInd/>
              <w:snapToGrid/>
              <w:spacing w:line="360" w:lineRule="exact"/>
              <w:ind w:right="0" w:rightChars="0"/>
              <w:jc w:val="left"/>
              <w:textAlignment w:val="auto"/>
              <w:rPr>
                <w:sz w:val="21"/>
                <w:szCs w:val="21"/>
              </w:rPr>
            </w:pPr>
            <w:r>
              <w:rPr>
                <w:sz w:val="21"/>
                <w:szCs w:val="21"/>
              </w:rPr>
              <w:t>2、投标人的电子投标文件应在招标文件规定的投标截止时间前到达交易系统。逾期到达交易系统的电子投标文件视为放弃本次投标。</w:t>
            </w:r>
          </w:p>
          <w:p>
            <w:pPr>
              <w:pStyle w:val="46"/>
              <w:keepNext w:val="0"/>
              <w:keepLines w:val="0"/>
              <w:pageBreakBefore w:val="0"/>
              <w:widowControl w:val="0"/>
              <w:kinsoku/>
              <w:overflowPunct/>
              <w:topLinePunct w:val="0"/>
              <w:autoSpaceDE w:val="0"/>
              <w:autoSpaceDN w:val="0"/>
              <w:bidi w:val="0"/>
              <w:adjustRightInd/>
              <w:snapToGrid/>
              <w:spacing w:line="360" w:lineRule="exact"/>
              <w:ind w:right="0" w:rightChars="0"/>
              <w:jc w:val="left"/>
              <w:textAlignment w:val="auto"/>
              <w:rPr>
                <w:sz w:val="21"/>
                <w:szCs w:val="21"/>
              </w:rPr>
            </w:pPr>
            <w:r>
              <w:rPr>
                <w:sz w:val="21"/>
                <w:szCs w:val="21"/>
              </w:rPr>
              <w:t>3、投标人所递交的电子投标文件在投标截止时间之后不予退回。</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2" w:hRule="atLeast"/>
        </w:trPr>
        <w:tc>
          <w:tcPr>
            <w:tcW w:w="823" w:type="dxa"/>
            <w:vAlign w:val="center"/>
          </w:tcPr>
          <w:p>
            <w:pPr>
              <w:keepNext w:val="0"/>
              <w:keepLines w:val="0"/>
              <w:pageBreakBefore w:val="0"/>
              <w:overflowPunct/>
              <w:topLinePunct w:val="0"/>
              <w:autoSpaceDE w:val="0"/>
              <w:autoSpaceDN w:val="0"/>
              <w:bidi w:val="0"/>
              <w:spacing w:line="360" w:lineRule="exact"/>
              <w:ind w:right="0" w:rightChars="0"/>
              <w:jc w:val="center"/>
              <w:rPr>
                <w:rFonts w:hint="default" w:ascii="宋体" w:hAnsi="宋体" w:eastAsia="宋体" w:cs="宋体"/>
                <w:sz w:val="21"/>
                <w:szCs w:val="21"/>
                <w:lang w:val="en-US" w:eastAsia="zh-CN"/>
              </w:rPr>
            </w:pPr>
            <w:r>
              <w:rPr>
                <w:rFonts w:hint="eastAsia" w:ascii="宋体" w:hAnsi="宋体" w:eastAsia="宋体" w:cs="宋体"/>
                <w:spacing w:val="-3"/>
                <w:sz w:val="21"/>
                <w:szCs w:val="21"/>
                <w:lang w:val="en-US" w:eastAsia="zh-CN"/>
              </w:rPr>
              <w:t>26</w:t>
            </w:r>
          </w:p>
        </w:tc>
        <w:tc>
          <w:tcPr>
            <w:tcW w:w="2270" w:type="dxa"/>
            <w:vAlign w:val="center"/>
          </w:tcPr>
          <w:p>
            <w:pPr>
              <w:pStyle w:val="46"/>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center"/>
              <w:textAlignment w:val="auto"/>
              <w:rPr>
                <w:rFonts w:ascii="宋体" w:hAnsi="宋体" w:eastAsia="宋体" w:cs="宋体"/>
                <w:sz w:val="21"/>
                <w:szCs w:val="21"/>
              </w:rPr>
            </w:pPr>
            <w:r>
              <w:rPr>
                <w:rFonts w:hint="eastAsia"/>
                <w:spacing w:val="0"/>
                <w:sz w:val="21"/>
                <w:lang w:val="en-US" w:eastAsia="zh-CN"/>
              </w:rPr>
              <w:t>响应文件的份数和签署</w:t>
            </w:r>
          </w:p>
        </w:tc>
        <w:tc>
          <w:tcPr>
            <w:tcW w:w="6943" w:type="dxa"/>
            <w:vAlign w:val="top"/>
          </w:tcPr>
          <w:p>
            <w:pPr>
              <w:pStyle w:val="46"/>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rFonts w:hint="eastAsia"/>
                <w:b w:val="0"/>
                <w:bCs w:val="0"/>
                <w:spacing w:val="0"/>
                <w:sz w:val="21"/>
                <w:lang w:val="en-US" w:eastAsia="zh-CN"/>
              </w:rPr>
            </w:pPr>
            <w:r>
              <w:rPr>
                <w:rFonts w:hint="eastAsia"/>
                <w:b w:val="0"/>
                <w:bCs w:val="0"/>
                <w:spacing w:val="0"/>
                <w:sz w:val="21"/>
                <w:lang w:val="en-US" w:eastAsia="zh-CN"/>
              </w:rPr>
              <w:t>1、本项目实行电子招投标，供应商需编制电子响应文件，并按电子响应文件递交要求上传电子响应文件；</w:t>
            </w:r>
          </w:p>
          <w:p>
            <w:pPr>
              <w:pStyle w:val="46"/>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left"/>
              <w:textAlignment w:val="auto"/>
              <w:rPr>
                <w:sz w:val="21"/>
                <w:szCs w:val="21"/>
              </w:rPr>
            </w:pPr>
            <w:r>
              <w:rPr>
                <w:rFonts w:hint="eastAsia"/>
                <w:b w:val="0"/>
                <w:bCs w:val="0"/>
                <w:spacing w:val="0"/>
                <w:sz w:val="21"/>
                <w:lang w:val="en-US" w:eastAsia="zh-CN"/>
              </w:rPr>
              <w:t>2、本项目采用网上不见面方式开标，投标供应商无需到达开标现场参与投标。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23" w:type="dxa"/>
            <w:vAlign w:val="center"/>
          </w:tcPr>
          <w:p>
            <w:pPr>
              <w:keepNext w:val="0"/>
              <w:keepLines w:val="0"/>
              <w:pageBreakBefore w:val="0"/>
              <w:overflowPunct/>
              <w:topLinePunct w:val="0"/>
              <w:autoSpaceDE w:val="0"/>
              <w:autoSpaceDN w:val="0"/>
              <w:bidi w:val="0"/>
              <w:spacing w:line="360" w:lineRule="exact"/>
              <w:ind w:right="0" w:rightChars="0"/>
              <w:jc w:val="center"/>
              <w:rPr>
                <w:rFonts w:hint="default" w:ascii="宋体" w:hAnsi="宋体" w:eastAsia="宋体" w:cs="宋体"/>
                <w:spacing w:val="-3"/>
                <w:sz w:val="21"/>
                <w:szCs w:val="21"/>
                <w:lang w:val="en-US" w:eastAsia="zh-CN"/>
              </w:rPr>
            </w:pPr>
            <w:r>
              <w:rPr>
                <w:rFonts w:hint="eastAsia" w:ascii="宋体" w:hAnsi="宋体" w:eastAsia="宋体" w:cs="宋体"/>
                <w:spacing w:val="-3"/>
                <w:sz w:val="21"/>
                <w:szCs w:val="21"/>
                <w:lang w:val="en-US" w:eastAsia="zh-CN"/>
              </w:rPr>
              <w:t>27</w:t>
            </w:r>
          </w:p>
        </w:tc>
        <w:tc>
          <w:tcPr>
            <w:tcW w:w="2270" w:type="dxa"/>
            <w:vAlign w:val="center"/>
          </w:tcPr>
          <w:p>
            <w:pPr>
              <w:keepNext w:val="0"/>
              <w:keepLines w:val="0"/>
              <w:pageBreakBefore w:val="0"/>
              <w:tabs>
                <w:tab w:val="left" w:pos="744"/>
              </w:tabs>
              <w:overflowPunct/>
              <w:topLinePunct w:val="0"/>
              <w:autoSpaceDE w:val="0"/>
              <w:autoSpaceDN w:val="0"/>
              <w:bidi w:val="0"/>
              <w:spacing w:line="360" w:lineRule="exact"/>
              <w:ind w:right="0" w:rightChars="0"/>
              <w:jc w:val="center"/>
              <w:rPr>
                <w:rFonts w:ascii="宋体" w:hAnsi="宋体" w:cs="宋体"/>
                <w:sz w:val="21"/>
                <w:szCs w:val="21"/>
              </w:rPr>
            </w:pPr>
            <w:r>
              <w:rPr>
                <w:rFonts w:ascii="宋体" w:hAnsi="宋体"/>
                <w:color w:val="0C0C0C"/>
                <w:sz w:val="21"/>
                <w:szCs w:val="21"/>
              </w:rPr>
              <w:t>备份</w:t>
            </w:r>
            <w:r>
              <w:rPr>
                <w:rFonts w:hint="eastAsia" w:ascii="宋体" w:hAnsi="宋体"/>
                <w:color w:val="0C0C0C"/>
                <w:sz w:val="21"/>
                <w:szCs w:val="21"/>
              </w:rPr>
              <w:t>电子光盘（U盘）要求及</w:t>
            </w:r>
            <w:r>
              <w:rPr>
                <w:rFonts w:hint="eastAsia" w:ascii="宋体" w:hAnsi="宋体" w:cs="宋体"/>
                <w:sz w:val="21"/>
                <w:szCs w:val="21"/>
              </w:rPr>
              <w:t>封套上写明</w:t>
            </w:r>
          </w:p>
        </w:tc>
        <w:tc>
          <w:tcPr>
            <w:tcW w:w="6943" w:type="dxa"/>
            <w:vAlign w:val="center"/>
          </w:tcPr>
          <w:p>
            <w:pPr>
              <w:pStyle w:val="46"/>
              <w:keepNext w:val="0"/>
              <w:keepLines w:val="0"/>
              <w:pageBreakBefore w:val="0"/>
              <w:widowControl w:val="0"/>
              <w:kinsoku/>
              <w:overflowPunct/>
              <w:topLinePunct w:val="0"/>
              <w:autoSpaceDE w:val="0"/>
              <w:autoSpaceDN w:val="0"/>
              <w:bidi w:val="0"/>
              <w:adjustRightInd/>
              <w:snapToGrid/>
              <w:spacing w:line="360" w:lineRule="exact"/>
              <w:ind w:right="0" w:rightChars="0"/>
              <w:jc w:val="left"/>
              <w:textAlignment w:val="auto"/>
              <w:rPr>
                <w:sz w:val="21"/>
                <w:szCs w:val="21"/>
              </w:rPr>
            </w:pPr>
            <w:r>
              <w:rPr>
                <w:rFonts w:hint="eastAsia"/>
                <w:sz w:val="21"/>
                <w:szCs w:val="21"/>
              </w:rP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8" w:hRule="atLeast"/>
        </w:trPr>
        <w:tc>
          <w:tcPr>
            <w:tcW w:w="823" w:type="dxa"/>
            <w:vAlign w:val="center"/>
          </w:tcPr>
          <w:p>
            <w:pPr>
              <w:keepNext w:val="0"/>
              <w:keepLines w:val="0"/>
              <w:pageBreakBefore w:val="0"/>
              <w:overflowPunct/>
              <w:topLinePunct w:val="0"/>
              <w:autoSpaceDE w:val="0"/>
              <w:autoSpaceDN w:val="0"/>
              <w:bidi w:val="0"/>
              <w:spacing w:line="360" w:lineRule="exact"/>
              <w:ind w:right="0" w:rightChars="0"/>
              <w:jc w:val="center"/>
              <w:rPr>
                <w:rFonts w:hint="default" w:ascii="宋体" w:hAnsi="宋体" w:eastAsia="宋体" w:cs="宋体"/>
                <w:spacing w:val="-3"/>
                <w:sz w:val="21"/>
                <w:szCs w:val="21"/>
                <w:lang w:val="en-US" w:eastAsia="zh-CN"/>
              </w:rPr>
            </w:pPr>
            <w:r>
              <w:rPr>
                <w:rFonts w:hint="eastAsia" w:ascii="宋体" w:hAnsi="宋体" w:eastAsia="宋体" w:cs="宋体"/>
                <w:spacing w:val="-3"/>
                <w:sz w:val="21"/>
                <w:szCs w:val="21"/>
                <w:lang w:val="en-US" w:eastAsia="zh-CN"/>
              </w:rPr>
              <w:t>28</w:t>
            </w:r>
          </w:p>
        </w:tc>
        <w:tc>
          <w:tcPr>
            <w:tcW w:w="2270" w:type="dxa"/>
            <w:vAlign w:val="center"/>
          </w:tcPr>
          <w:p>
            <w:pPr>
              <w:keepNext w:val="0"/>
              <w:keepLines w:val="0"/>
              <w:pageBreakBefore w:val="0"/>
              <w:overflowPunct/>
              <w:topLinePunct w:val="0"/>
              <w:autoSpaceDE w:val="0"/>
              <w:autoSpaceDN w:val="0"/>
              <w:bidi w:val="0"/>
              <w:spacing w:line="360" w:lineRule="exact"/>
              <w:ind w:right="0" w:rightChars="0"/>
              <w:jc w:val="center"/>
              <w:rPr>
                <w:rFonts w:ascii="宋体" w:hAnsi="宋体" w:eastAsia="宋体" w:cs="宋体"/>
                <w:sz w:val="21"/>
                <w:szCs w:val="21"/>
              </w:rPr>
            </w:pPr>
            <w:r>
              <w:rPr>
                <w:rFonts w:ascii="宋体" w:hAnsi="宋体" w:eastAsia="宋体" w:cs="宋体"/>
                <w:sz w:val="21"/>
                <w:szCs w:val="21"/>
              </w:rPr>
              <w:t>评标委员会的组建</w:t>
            </w:r>
          </w:p>
        </w:tc>
        <w:tc>
          <w:tcPr>
            <w:tcW w:w="6943" w:type="dxa"/>
          </w:tcPr>
          <w:p>
            <w:pPr>
              <w:pStyle w:val="46"/>
              <w:keepNext w:val="0"/>
              <w:keepLines w:val="0"/>
              <w:pageBreakBefore w:val="0"/>
              <w:widowControl w:val="0"/>
              <w:kinsoku/>
              <w:overflowPunct/>
              <w:topLinePunct w:val="0"/>
              <w:autoSpaceDE w:val="0"/>
              <w:autoSpaceDN w:val="0"/>
              <w:bidi w:val="0"/>
              <w:adjustRightInd/>
              <w:snapToGrid/>
              <w:spacing w:line="360" w:lineRule="exact"/>
              <w:ind w:right="0" w:rightChars="0"/>
              <w:jc w:val="left"/>
              <w:textAlignment w:val="auto"/>
              <w:rPr>
                <w:rFonts w:ascii="宋体" w:hAnsi="宋体" w:eastAsia="宋体" w:cs="宋体"/>
                <w:sz w:val="21"/>
                <w:szCs w:val="21"/>
              </w:rPr>
            </w:pPr>
            <w:r>
              <w:rPr>
                <w:rFonts w:hint="eastAsia" w:ascii="宋体" w:hAnsi="宋体" w:eastAsia="宋体" w:cs="宋体"/>
                <w:sz w:val="21"/>
                <w:szCs w:val="21"/>
              </w:rPr>
              <w:t>评标委员会人数构成：</w:t>
            </w:r>
            <w:r>
              <w:rPr>
                <w:rFonts w:hint="eastAsia" w:cs="宋体"/>
                <w:sz w:val="21"/>
                <w:szCs w:val="21"/>
                <w:lang w:val="en-US" w:eastAsia="zh-CN"/>
              </w:rPr>
              <w:t>5</w:t>
            </w:r>
            <w:r>
              <w:rPr>
                <w:rFonts w:hint="eastAsia" w:ascii="宋体" w:hAnsi="宋体" w:eastAsia="宋体" w:cs="宋体"/>
                <w:sz w:val="21"/>
                <w:szCs w:val="21"/>
              </w:rPr>
              <w:t>人；其中采购人代表</w:t>
            </w:r>
            <w:r>
              <w:rPr>
                <w:rFonts w:hint="eastAsia" w:cs="宋体"/>
                <w:sz w:val="21"/>
                <w:szCs w:val="21"/>
                <w:lang w:val="en-US" w:eastAsia="zh-CN"/>
              </w:rPr>
              <w:t>1</w:t>
            </w:r>
            <w:r>
              <w:rPr>
                <w:rFonts w:hint="eastAsia" w:ascii="宋体" w:hAnsi="宋体" w:eastAsia="宋体" w:cs="宋体"/>
                <w:sz w:val="21"/>
                <w:szCs w:val="21"/>
              </w:rPr>
              <w:t>人、评审专家</w:t>
            </w:r>
            <w:r>
              <w:rPr>
                <w:rFonts w:hint="eastAsia" w:cs="宋体"/>
                <w:sz w:val="21"/>
                <w:szCs w:val="21"/>
                <w:lang w:val="en-US" w:eastAsia="zh-CN"/>
              </w:rPr>
              <w:t>4</w:t>
            </w:r>
            <w:r>
              <w:rPr>
                <w:rFonts w:hint="eastAsia" w:ascii="宋体" w:hAnsi="宋体" w:eastAsia="宋体" w:cs="宋体"/>
                <w:sz w:val="21"/>
                <w:szCs w:val="21"/>
              </w:rPr>
              <w:t>人；</w:t>
            </w:r>
          </w:p>
          <w:p>
            <w:pPr>
              <w:pStyle w:val="46"/>
              <w:keepNext w:val="0"/>
              <w:keepLines w:val="0"/>
              <w:pageBreakBefore w:val="0"/>
              <w:widowControl w:val="0"/>
              <w:kinsoku/>
              <w:overflowPunct/>
              <w:topLinePunct w:val="0"/>
              <w:autoSpaceDE w:val="0"/>
              <w:autoSpaceDN w:val="0"/>
              <w:bidi w:val="0"/>
              <w:adjustRightInd/>
              <w:snapToGrid/>
              <w:spacing w:line="360" w:lineRule="exact"/>
              <w:ind w:right="0" w:rightChars="0"/>
              <w:jc w:val="left"/>
              <w:textAlignment w:val="auto"/>
              <w:rPr>
                <w:rFonts w:ascii="宋体" w:hAnsi="宋体" w:eastAsia="宋体" w:cs="宋体"/>
                <w:sz w:val="21"/>
                <w:szCs w:val="21"/>
              </w:rPr>
            </w:pPr>
            <w:r>
              <w:rPr>
                <w:rFonts w:ascii="宋体" w:hAnsi="宋体" w:eastAsia="宋体" w:cs="宋体"/>
                <w:sz w:val="21"/>
                <w:szCs w:val="21"/>
              </w:rPr>
              <w:t>评标专家确定方式：开标前由招标人在监督单位监督下，按相关规定从政府采购专家库中随机抽取。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823" w:type="dxa"/>
            <w:vAlign w:val="center"/>
          </w:tcPr>
          <w:p>
            <w:pPr>
              <w:keepNext w:val="0"/>
              <w:keepLines w:val="0"/>
              <w:pageBreakBefore w:val="0"/>
              <w:overflowPunct/>
              <w:topLinePunct w:val="0"/>
              <w:autoSpaceDE w:val="0"/>
              <w:autoSpaceDN w:val="0"/>
              <w:bidi w:val="0"/>
              <w:spacing w:line="360" w:lineRule="exact"/>
              <w:ind w:right="0" w:rightChars="0"/>
              <w:jc w:val="center"/>
              <w:rPr>
                <w:rFonts w:hint="default" w:ascii="宋体" w:hAnsi="宋体" w:eastAsia="宋体" w:cs="Arial"/>
                <w:sz w:val="21"/>
                <w:szCs w:val="21"/>
                <w:lang w:val="en-US" w:eastAsia="zh-CN"/>
              </w:rPr>
            </w:pPr>
            <w:r>
              <w:rPr>
                <w:rFonts w:hint="eastAsia" w:ascii="宋体" w:hAnsi="宋体" w:eastAsia="宋体" w:cs="Arial"/>
                <w:sz w:val="21"/>
                <w:szCs w:val="21"/>
                <w:lang w:val="en-US" w:eastAsia="zh-CN"/>
              </w:rPr>
              <w:t>29</w:t>
            </w:r>
          </w:p>
        </w:tc>
        <w:tc>
          <w:tcPr>
            <w:tcW w:w="2270" w:type="dxa"/>
            <w:vAlign w:val="center"/>
          </w:tcPr>
          <w:p>
            <w:pPr>
              <w:keepNext w:val="0"/>
              <w:keepLines w:val="0"/>
              <w:pageBreakBefore w:val="0"/>
              <w:overflowPunct/>
              <w:topLinePunct w:val="0"/>
              <w:autoSpaceDE w:val="0"/>
              <w:autoSpaceDN w:val="0"/>
              <w:bidi w:val="0"/>
              <w:spacing w:line="360" w:lineRule="exact"/>
              <w:ind w:right="0" w:rightChars="0"/>
              <w:jc w:val="center"/>
              <w:rPr>
                <w:rFonts w:hint="eastAsia" w:ascii="宋体" w:hAnsi="宋体" w:eastAsia="宋体" w:cs="Arial"/>
                <w:sz w:val="21"/>
                <w:szCs w:val="21"/>
                <w:highlight w:val="none"/>
              </w:rPr>
            </w:pPr>
            <w:r>
              <w:rPr>
                <w:rFonts w:hint="eastAsia" w:ascii="宋体" w:hAnsi="宋体" w:eastAsia="宋体" w:cs="Arial"/>
                <w:sz w:val="21"/>
                <w:szCs w:val="21"/>
                <w:highlight w:val="none"/>
              </w:rPr>
              <w:t>中标候选人评定</w:t>
            </w:r>
          </w:p>
        </w:tc>
        <w:tc>
          <w:tcPr>
            <w:tcW w:w="6943" w:type="dxa"/>
            <w:vAlign w:val="center"/>
          </w:tcPr>
          <w:p>
            <w:pPr>
              <w:pStyle w:val="46"/>
              <w:keepNext w:val="0"/>
              <w:keepLines w:val="0"/>
              <w:pageBreakBefore w:val="0"/>
              <w:widowControl w:val="0"/>
              <w:kinsoku/>
              <w:overflowPunct/>
              <w:topLinePunct w:val="0"/>
              <w:autoSpaceDE w:val="0"/>
              <w:autoSpaceDN w:val="0"/>
              <w:bidi w:val="0"/>
              <w:adjustRightInd/>
              <w:snapToGrid/>
              <w:spacing w:line="360" w:lineRule="exact"/>
              <w:ind w:right="0" w:right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若投标人提供相同品牌产品且通过资格审查、符合性审查的不同投标人参加本项目，按一家投标人计算。评审后得分最高的同品牌投标人获得中标人推荐资格；评审得分相同的，按投标报价最低者获得中标人推荐资格；投标报价也相等的，按技术得分高者获得中标人推荐资格；技术得分也相等的，按技术指标优者获得中标人推荐资格；其他同品牌投标人不作为中标候选人。若不同品牌的投标人得分相同的，按投标报价由低到高顺序排列；投标报价也相等的，按技术得分高者优先，技术得分也相等的，按技术指标优劣顺序排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8" w:hRule="atLeast"/>
        </w:trPr>
        <w:tc>
          <w:tcPr>
            <w:tcW w:w="823" w:type="dxa"/>
            <w:vAlign w:val="center"/>
          </w:tcPr>
          <w:p>
            <w:pPr>
              <w:keepNext w:val="0"/>
              <w:keepLines w:val="0"/>
              <w:pageBreakBefore w:val="0"/>
              <w:overflowPunct/>
              <w:topLinePunct w:val="0"/>
              <w:autoSpaceDE w:val="0"/>
              <w:autoSpaceDN w:val="0"/>
              <w:bidi w:val="0"/>
              <w:spacing w:line="360" w:lineRule="exact"/>
              <w:ind w:right="0" w:rightChars="0"/>
              <w:jc w:val="center"/>
              <w:rPr>
                <w:rFonts w:hint="default" w:ascii="宋体" w:hAnsi="宋体" w:eastAsia="宋体" w:cs="Arial"/>
                <w:sz w:val="21"/>
                <w:szCs w:val="21"/>
                <w:lang w:val="en-US" w:eastAsia="zh-CN"/>
              </w:rPr>
            </w:pPr>
            <w:r>
              <w:rPr>
                <w:rFonts w:hint="eastAsia" w:ascii="宋体" w:hAnsi="宋体" w:eastAsia="宋体" w:cs="Arial"/>
                <w:sz w:val="21"/>
                <w:szCs w:val="21"/>
                <w:lang w:val="en-US" w:eastAsia="zh-CN"/>
              </w:rPr>
              <w:t>30</w:t>
            </w:r>
          </w:p>
        </w:tc>
        <w:tc>
          <w:tcPr>
            <w:tcW w:w="2270" w:type="dxa"/>
            <w:vAlign w:val="center"/>
          </w:tcPr>
          <w:p>
            <w:pPr>
              <w:keepNext w:val="0"/>
              <w:keepLines w:val="0"/>
              <w:pageBreakBefore w:val="0"/>
              <w:overflowPunct/>
              <w:topLinePunct w:val="0"/>
              <w:autoSpaceDE w:val="0"/>
              <w:autoSpaceDN w:val="0"/>
              <w:bidi w:val="0"/>
              <w:spacing w:line="360" w:lineRule="exact"/>
              <w:ind w:right="0" w:rightChars="0"/>
              <w:jc w:val="center"/>
              <w:rPr>
                <w:rFonts w:hint="eastAsia" w:ascii="宋体" w:hAnsi="宋体" w:eastAsia="宋体" w:cs="宋体"/>
                <w:sz w:val="21"/>
                <w:szCs w:val="21"/>
              </w:rPr>
            </w:pPr>
            <w:r>
              <w:rPr>
                <w:rFonts w:hint="eastAsia" w:ascii="宋体" w:hAnsi="宋体" w:eastAsia="宋体" w:cs="宋体"/>
                <w:sz w:val="21"/>
                <w:szCs w:val="21"/>
              </w:rPr>
              <w:t>是否授权评标委员会确定中标人</w:t>
            </w:r>
          </w:p>
        </w:tc>
        <w:tc>
          <w:tcPr>
            <w:tcW w:w="6943" w:type="dxa"/>
            <w:vAlign w:val="center"/>
          </w:tcPr>
          <w:p>
            <w:pPr>
              <w:pStyle w:val="46"/>
              <w:keepNext w:val="0"/>
              <w:keepLines w:val="0"/>
              <w:pageBreakBefore w:val="0"/>
              <w:widowControl w:val="0"/>
              <w:kinsoku/>
              <w:overflowPunct/>
              <w:topLinePunct w:val="0"/>
              <w:autoSpaceDE w:val="0"/>
              <w:autoSpaceDN w:val="0"/>
              <w:bidi w:val="0"/>
              <w:adjustRightInd/>
              <w:snapToGrid/>
              <w:spacing w:line="360" w:lineRule="exact"/>
              <w:ind w:right="0" w:rightChars="0"/>
              <w:jc w:val="left"/>
              <w:textAlignment w:val="auto"/>
              <w:rPr>
                <w:rFonts w:hint="eastAsia"/>
                <w:sz w:val="21"/>
                <w:szCs w:val="21"/>
              </w:rPr>
            </w:pPr>
            <w:r>
              <w:rPr>
                <w:rFonts w:hint="eastAsia"/>
                <w:sz w:val="21"/>
                <w:szCs w:val="21"/>
              </w:rPr>
              <w:t>否；评标委员会推荐的中标候选人数：3人；</w:t>
            </w:r>
          </w:p>
          <w:p>
            <w:pPr>
              <w:pStyle w:val="46"/>
              <w:keepNext w:val="0"/>
              <w:keepLines w:val="0"/>
              <w:pageBreakBefore w:val="0"/>
              <w:widowControl w:val="0"/>
              <w:kinsoku/>
              <w:overflowPunct/>
              <w:topLinePunct w:val="0"/>
              <w:autoSpaceDE w:val="0"/>
              <w:autoSpaceDN w:val="0"/>
              <w:bidi w:val="0"/>
              <w:adjustRightInd/>
              <w:snapToGrid/>
              <w:spacing w:line="360" w:lineRule="exact"/>
              <w:ind w:right="0" w:rightChars="0"/>
              <w:jc w:val="left"/>
              <w:textAlignment w:val="auto"/>
              <w:rPr>
                <w:rFonts w:hint="eastAsia"/>
                <w:sz w:val="21"/>
                <w:szCs w:val="21"/>
              </w:rPr>
            </w:pPr>
            <w:r>
              <w:rPr>
                <w:rFonts w:hint="eastAsia"/>
                <w:sz w:val="21"/>
                <w:szCs w:val="21"/>
              </w:rPr>
              <w:t>采购人应当确定排名第一的中标候选人为中标人。排名第一的中标候选人放弃中标、因不可抗力提出不能履行合同等，有如上情况之一的，采购人可以依次确定排名第二、第三的中标候选人为中标人。若排名第三的中标候选人出现上述情况之一的，则该标段按废标处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823" w:type="dxa"/>
            <w:vAlign w:val="center"/>
          </w:tcPr>
          <w:p>
            <w:pPr>
              <w:keepNext w:val="0"/>
              <w:keepLines w:val="0"/>
              <w:pageBreakBefore w:val="0"/>
              <w:overflowPunct/>
              <w:topLinePunct w:val="0"/>
              <w:autoSpaceDE w:val="0"/>
              <w:autoSpaceDN w:val="0"/>
              <w:bidi w:val="0"/>
              <w:spacing w:line="360" w:lineRule="exact"/>
              <w:ind w:right="0" w:rightChars="0"/>
              <w:jc w:val="center"/>
              <w:rPr>
                <w:rFonts w:hint="default" w:ascii="宋体" w:hAnsi="宋体" w:eastAsia="宋体" w:cs="Arial"/>
                <w:sz w:val="21"/>
                <w:szCs w:val="21"/>
                <w:lang w:val="en-US" w:eastAsia="zh-CN"/>
              </w:rPr>
            </w:pPr>
            <w:r>
              <w:rPr>
                <w:rFonts w:hint="eastAsia" w:ascii="宋体" w:hAnsi="宋体" w:eastAsia="宋体" w:cs="Arial"/>
                <w:sz w:val="21"/>
                <w:szCs w:val="21"/>
                <w:lang w:val="en-US" w:eastAsia="zh-CN"/>
              </w:rPr>
              <w:t>31</w:t>
            </w:r>
          </w:p>
        </w:tc>
        <w:tc>
          <w:tcPr>
            <w:tcW w:w="2270" w:type="dxa"/>
            <w:vAlign w:val="center"/>
          </w:tcPr>
          <w:p>
            <w:pPr>
              <w:keepNext w:val="0"/>
              <w:keepLines w:val="0"/>
              <w:pageBreakBefore w:val="0"/>
              <w:overflowPunct/>
              <w:topLinePunct w:val="0"/>
              <w:autoSpaceDE w:val="0"/>
              <w:autoSpaceDN w:val="0"/>
              <w:bidi w:val="0"/>
              <w:spacing w:line="360" w:lineRule="exact"/>
              <w:ind w:right="0" w:rightChars="0"/>
              <w:jc w:val="center"/>
              <w:rPr>
                <w:rFonts w:hint="eastAsia" w:ascii="宋体" w:hAnsi="宋体" w:eastAsia="宋体" w:cs="宋体"/>
                <w:color w:val="0C0C0C"/>
                <w:spacing w:val="-1"/>
                <w:sz w:val="21"/>
                <w:szCs w:val="21"/>
              </w:rPr>
            </w:pPr>
            <w:r>
              <w:rPr>
                <w:rFonts w:hint="eastAsia" w:ascii="宋体" w:hAnsi="宋体" w:eastAsia="宋体" w:cs="宋体"/>
                <w:color w:val="0C0C0C"/>
                <w:spacing w:val="-1"/>
                <w:sz w:val="21"/>
                <w:szCs w:val="21"/>
              </w:rPr>
              <w:t>评标方法</w:t>
            </w:r>
          </w:p>
        </w:tc>
        <w:tc>
          <w:tcPr>
            <w:tcW w:w="6943" w:type="dxa"/>
          </w:tcPr>
          <w:p>
            <w:pPr>
              <w:pStyle w:val="46"/>
              <w:keepNext w:val="0"/>
              <w:keepLines w:val="0"/>
              <w:pageBreakBefore w:val="0"/>
              <w:widowControl w:val="0"/>
              <w:kinsoku/>
              <w:overflowPunct/>
              <w:topLinePunct w:val="0"/>
              <w:autoSpaceDE w:val="0"/>
              <w:autoSpaceDN w:val="0"/>
              <w:bidi w:val="0"/>
              <w:adjustRightInd/>
              <w:snapToGrid/>
              <w:spacing w:line="360" w:lineRule="exact"/>
              <w:ind w:right="0" w:rightChars="0"/>
              <w:jc w:val="left"/>
              <w:textAlignment w:val="auto"/>
              <w:rPr>
                <w:rFonts w:hint="eastAsia"/>
                <w:sz w:val="21"/>
                <w:szCs w:val="21"/>
              </w:rPr>
            </w:pPr>
            <w:r>
              <w:rPr>
                <w:rFonts w:hint="eastAsia"/>
                <w:sz w:val="21"/>
                <w:szCs w:val="21"/>
              </w:rPr>
              <w:t>详见招标文件的评标办法。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3" w:hRule="atLeast"/>
        </w:trPr>
        <w:tc>
          <w:tcPr>
            <w:tcW w:w="823" w:type="dxa"/>
            <w:vAlign w:val="center"/>
          </w:tcPr>
          <w:p>
            <w:pPr>
              <w:keepNext w:val="0"/>
              <w:keepLines w:val="0"/>
              <w:pageBreakBefore w:val="0"/>
              <w:overflowPunct/>
              <w:topLinePunct w:val="0"/>
              <w:autoSpaceDE w:val="0"/>
              <w:autoSpaceDN w:val="0"/>
              <w:bidi w:val="0"/>
              <w:spacing w:line="360" w:lineRule="exact"/>
              <w:ind w:right="0" w:rightChars="0"/>
              <w:jc w:val="center"/>
              <w:rPr>
                <w:rFonts w:hint="default" w:ascii="宋体" w:hAnsi="宋体" w:eastAsia="宋体" w:cs="Arial"/>
                <w:sz w:val="21"/>
                <w:szCs w:val="21"/>
                <w:lang w:val="en-US" w:eastAsia="zh-CN"/>
              </w:rPr>
            </w:pPr>
            <w:r>
              <w:rPr>
                <w:rFonts w:hint="eastAsia" w:ascii="宋体" w:hAnsi="宋体" w:eastAsia="宋体" w:cs="Arial"/>
                <w:sz w:val="21"/>
                <w:szCs w:val="21"/>
                <w:lang w:val="en-US" w:eastAsia="zh-CN"/>
              </w:rPr>
              <w:t>32</w:t>
            </w:r>
          </w:p>
        </w:tc>
        <w:tc>
          <w:tcPr>
            <w:tcW w:w="2270" w:type="dxa"/>
            <w:vAlign w:val="center"/>
          </w:tcPr>
          <w:p>
            <w:pPr>
              <w:keepNext w:val="0"/>
              <w:keepLines w:val="0"/>
              <w:pageBreakBefore w:val="0"/>
              <w:overflowPunct/>
              <w:topLinePunct w:val="0"/>
              <w:autoSpaceDE w:val="0"/>
              <w:autoSpaceDN w:val="0"/>
              <w:bidi w:val="0"/>
              <w:spacing w:line="360" w:lineRule="exact"/>
              <w:ind w:right="0" w:rightChars="0"/>
              <w:jc w:val="center"/>
              <w:rPr>
                <w:rFonts w:hint="eastAsia" w:ascii="宋体" w:hAnsi="宋体" w:eastAsia="宋体" w:cs="宋体"/>
                <w:snapToGrid w:val="0"/>
                <w:color w:val="000000"/>
                <w:sz w:val="21"/>
                <w:szCs w:val="21"/>
                <w:lang w:val="en-US" w:eastAsia="zh-CN" w:bidi="ar-SA"/>
              </w:rPr>
            </w:pPr>
            <w:r>
              <w:rPr>
                <w:rFonts w:hint="eastAsia" w:ascii="宋体" w:hAnsi="宋体" w:eastAsia="宋体" w:cs="宋体"/>
                <w:snapToGrid w:val="0"/>
                <w:color w:val="000000"/>
                <w:sz w:val="21"/>
                <w:szCs w:val="21"/>
                <w:lang w:val="en-US" w:eastAsia="zh-CN" w:bidi="ar-SA"/>
              </w:rPr>
              <w:t>中标公示</w:t>
            </w:r>
          </w:p>
        </w:tc>
        <w:tc>
          <w:tcPr>
            <w:tcW w:w="6943" w:type="dxa"/>
          </w:tcPr>
          <w:p>
            <w:pPr>
              <w:pStyle w:val="46"/>
              <w:keepNext w:val="0"/>
              <w:keepLines w:val="0"/>
              <w:pageBreakBefore w:val="0"/>
              <w:widowControl w:val="0"/>
              <w:kinsoku/>
              <w:overflowPunct/>
              <w:topLinePunct w:val="0"/>
              <w:autoSpaceDE w:val="0"/>
              <w:autoSpaceDN w:val="0"/>
              <w:bidi w:val="0"/>
              <w:adjustRightInd/>
              <w:snapToGrid/>
              <w:spacing w:line="360" w:lineRule="exact"/>
              <w:ind w:right="0" w:rightChars="0"/>
              <w:jc w:val="left"/>
              <w:textAlignment w:val="auto"/>
              <w:rPr>
                <w:rFonts w:hint="eastAsia"/>
                <w:sz w:val="21"/>
                <w:szCs w:val="21"/>
              </w:rPr>
            </w:pPr>
            <w:r>
              <w:rPr>
                <w:rFonts w:hint="eastAsia"/>
                <w:sz w:val="21"/>
                <w:szCs w:val="21"/>
              </w:rPr>
              <w:t>代理机构接到采购人通知后，将在公告信息发布同一媒体上发布中标结果公告。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823" w:type="dxa"/>
            <w:vAlign w:val="center"/>
          </w:tcPr>
          <w:p>
            <w:pPr>
              <w:keepNext w:val="0"/>
              <w:keepLines w:val="0"/>
              <w:pageBreakBefore w:val="0"/>
              <w:overflowPunct/>
              <w:topLinePunct w:val="0"/>
              <w:autoSpaceDE w:val="0"/>
              <w:autoSpaceDN w:val="0"/>
              <w:bidi w:val="0"/>
              <w:spacing w:line="360" w:lineRule="exact"/>
              <w:ind w:right="0" w:rightChars="0"/>
              <w:jc w:val="center"/>
              <w:rPr>
                <w:rFonts w:hint="default" w:ascii="宋体" w:hAnsi="宋体" w:eastAsia="宋体" w:cs="Arial"/>
                <w:sz w:val="21"/>
                <w:szCs w:val="21"/>
                <w:lang w:val="en-US" w:eastAsia="zh-CN"/>
              </w:rPr>
            </w:pPr>
            <w:r>
              <w:rPr>
                <w:rFonts w:hint="eastAsia" w:ascii="宋体" w:hAnsi="宋体" w:eastAsia="宋体" w:cs="Arial"/>
                <w:sz w:val="21"/>
                <w:szCs w:val="21"/>
                <w:lang w:val="en-US" w:eastAsia="zh-CN"/>
              </w:rPr>
              <w:t>33</w:t>
            </w:r>
          </w:p>
        </w:tc>
        <w:tc>
          <w:tcPr>
            <w:tcW w:w="2270" w:type="dxa"/>
            <w:vAlign w:val="center"/>
          </w:tcPr>
          <w:p>
            <w:pPr>
              <w:keepNext w:val="0"/>
              <w:keepLines w:val="0"/>
              <w:pageBreakBefore w:val="0"/>
              <w:overflowPunct/>
              <w:topLinePunct w:val="0"/>
              <w:autoSpaceDE w:val="0"/>
              <w:autoSpaceDN w:val="0"/>
              <w:bidi w:val="0"/>
              <w:spacing w:line="360" w:lineRule="exact"/>
              <w:ind w:right="0" w:rightChars="0"/>
              <w:jc w:val="center"/>
              <w:rPr>
                <w:rFonts w:hint="eastAsia" w:ascii="宋体" w:hAnsi="宋体" w:eastAsia="宋体" w:cs="宋体"/>
                <w:snapToGrid w:val="0"/>
                <w:color w:val="000000"/>
                <w:sz w:val="21"/>
                <w:szCs w:val="21"/>
                <w:lang w:val="en-US" w:eastAsia="zh-CN" w:bidi="ar-SA"/>
              </w:rPr>
            </w:pPr>
            <w:r>
              <w:rPr>
                <w:rFonts w:hint="eastAsia" w:ascii="宋体" w:hAnsi="宋体" w:eastAsia="宋体" w:cs="宋体"/>
                <w:snapToGrid w:val="0"/>
                <w:color w:val="000000"/>
                <w:sz w:val="21"/>
                <w:szCs w:val="21"/>
                <w:lang w:val="en-US" w:eastAsia="zh-CN" w:bidi="ar-SA"/>
              </w:rPr>
              <w:t>履约保证金</w:t>
            </w:r>
          </w:p>
        </w:tc>
        <w:tc>
          <w:tcPr>
            <w:tcW w:w="6943" w:type="dxa"/>
          </w:tcPr>
          <w:p>
            <w:pPr>
              <w:pStyle w:val="46"/>
              <w:keepNext w:val="0"/>
              <w:keepLines w:val="0"/>
              <w:pageBreakBefore w:val="0"/>
              <w:widowControl w:val="0"/>
              <w:kinsoku/>
              <w:overflowPunct/>
              <w:topLinePunct w:val="0"/>
              <w:autoSpaceDE w:val="0"/>
              <w:autoSpaceDN w:val="0"/>
              <w:bidi w:val="0"/>
              <w:adjustRightInd/>
              <w:snapToGrid/>
              <w:spacing w:line="360" w:lineRule="exact"/>
              <w:ind w:right="0" w:rightChars="0"/>
              <w:jc w:val="left"/>
              <w:textAlignment w:val="auto"/>
              <w:rPr>
                <w:rFonts w:hint="eastAsia" w:eastAsia="宋体"/>
                <w:sz w:val="21"/>
                <w:szCs w:val="21"/>
                <w:lang w:eastAsia="zh-CN"/>
              </w:rPr>
            </w:pPr>
            <w:r>
              <w:rPr>
                <w:rFonts w:hint="eastAsia" w:cs="宋体"/>
                <w:spacing w:val="0"/>
                <w:sz w:val="21"/>
                <w:szCs w:val="21"/>
                <w:lang w:val="en-US" w:eastAsia="zh-CN"/>
              </w:rP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823" w:type="dxa"/>
            <w:vAlign w:val="center"/>
          </w:tcPr>
          <w:p>
            <w:pPr>
              <w:keepNext w:val="0"/>
              <w:keepLines w:val="0"/>
              <w:pageBreakBefore w:val="0"/>
              <w:overflowPunct/>
              <w:topLinePunct w:val="0"/>
              <w:autoSpaceDE w:val="0"/>
              <w:autoSpaceDN w:val="0"/>
              <w:bidi w:val="0"/>
              <w:spacing w:line="360" w:lineRule="exact"/>
              <w:ind w:right="0" w:rightChars="0"/>
              <w:jc w:val="center"/>
              <w:rPr>
                <w:rFonts w:hint="default" w:ascii="宋体" w:hAnsi="宋体" w:eastAsia="宋体" w:cs="宋体"/>
                <w:spacing w:val="-3"/>
                <w:sz w:val="21"/>
                <w:szCs w:val="21"/>
                <w:lang w:val="en-US" w:eastAsia="zh-CN"/>
              </w:rPr>
            </w:pPr>
            <w:r>
              <w:rPr>
                <w:rFonts w:hint="eastAsia" w:ascii="宋体" w:hAnsi="宋体" w:eastAsia="宋体" w:cs="宋体"/>
                <w:spacing w:val="-3"/>
                <w:sz w:val="21"/>
                <w:szCs w:val="21"/>
                <w:lang w:val="en-US" w:eastAsia="zh-CN"/>
              </w:rPr>
              <w:t>34</w:t>
            </w:r>
          </w:p>
        </w:tc>
        <w:tc>
          <w:tcPr>
            <w:tcW w:w="2270" w:type="dxa"/>
            <w:vAlign w:val="center"/>
          </w:tcPr>
          <w:p>
            <w:pPr>
              <w:keepNext w:val="0"/>
              <w:keepLines w:val="0"/>
              <w:pageBreakBefore w:val="0"/>
              <w:overflowPunct/>
              <w:topLinePunct w:val="0"/>
              <w:autoSpaceDE w:val="0"/>
              <w:autoSpaceDN w:val="0"/>
              <w:bidi w:val="0"/>
              <w:spacing w:line="360" w:lineRule="exact"/>
              <w:ind w:right="0" w:rightChars="0"/>
              <w:jc w:val="center"/>
              <w:rPr>
                <w:rFonts w:hint="eastAsia" w:ascii="宋体" w:hAnsi="宋体" w:eastAsia="宋体" w:cs="宋体"/>
                <w:snapToGrid w:val="0"/>
                <w:color w:val="000000"/>
                <w:sz w:val="21"/>
                <w:szCs w:val="21"/>
                <w:lang w:val="en-US" w:eastAsia="zh-CN" w:bidi="ar-SA"/>
              </w:rPr>
            </w:pPr>
            <w:r>
              <w:rPr>
                <w:rFonts w:hint="eastAsia" w:ascii="宋体" w:hAnsi="宋体" w:eastAsia="宋体" w:cs="宋体"/>
                <w:snapToGrid w:val="0"/>
                <w:color w:val="000000"/>
                <w:sz w:val="21"/>
                <w:szCs w:val="21"/>
                <w:lang w:val="en-US" w:eastAsia="zh-CN" w:bidi="ar-SA"/>
              </w:rPr>
              <w:t>验收方式</w:t>
            </w:r>
          </w:p>
        </w:tc>
        <w:tc>
          <w:tcPr>
            <w:tcW w:w="6943" w:type="dxa"/>
            <w:vAlign w:val="center"/>
          </w:tcPr>
          <w:p>
            <w:pPr>
              <w:pStyle w:val="46"/>
              <w:widowControl w:val="0"/>
              <w:kinsoku/>
              <w:adjustRightInd/>
              <w:snapToGrid/>
              <w:spacing w:line="360" w:lineRule="exact"/>
              <w:textAlignment w:val="auto"/>
              <w:rPr>
                <w:color w:val="auto"/>
              </w:rPr>
            </w:pPr>
            <w:r>
              <w:rPr>
                <w:rFonts w:hint="eastAsia"/>
                <w:color w:val="auto"/>
              </w:rPr>
              <w:t>1.所供货物送至指定地点并安装调试完成后，由中标供应商邀请业主对所供货物进行验收；</w:t>
            </w:r>
          </w:p>
          <w:p>
            <w:pPr>
              <w:pStyle w:val="46"/>
              <w:widowControl w:val="0"/>
              <w:kinsoku/>
              <w:adjustRightInd/>
              <w:snapToGrid/>
              <w:spacing w:line="360" w:lineRule="exact"/>
              <w:textAlignment w:val="auto"/>
              <w:rPr>
                <w:color w:val="auto"/>
              </w:rPr>
            </w:pPr>
            <w:r>
              <w:rPr>
                <w:rFonts w:hint="eastAsia"/>
                <w:color w:val="auto"/>
              </w:rPr>
              <w:t>2.验收不合格，由中标供应商进行整改，由此所产生的费用及损失由中标供货商自行承担。</w:t>
            </w:r>
          </w:p>
          <w:p>
            <w:pPr>
              <w:pStyle w:val="46"/>
              <w:keepNext w:val="0"/>
              <w:keepLines w:val="0"/>
              <w:pageBreakBefore w:val="0"/>
              <w:widowControl w:val="0"/>
              <w:kinsoku/>
              <w:overflowPunct/>
              <w:topLinePunct w:val="0"/>
              <w:autoSpaceDE w:val="0"/>
              <w:autoSpaceDN w:val="0"/>
              <w:bidi w:val="0"/>
              <w:adjustRightInd/>
              <w:snapToGrid/>
              <w:spacing w:line="360" w:lineRule="exact"/>
              <w:ind w:right="0" w:rightChars="0"/>
              <w:jc w:val="left"/>
              <w:textAlignment w:val="auto"/>
              <w:rPr>
                <w:rFonts w:hint="eastAsia" w:eastAsia="宋体"/>
                <w:sz w:val="21"/>
                <w:szCs w:val="21"/>
                <w:highlight w:val="none"/>
                <w:lang w:eastAsia="zh-CN"/>
              </w:rPr>
            </w:pPr>
            <w:r>
              <w:rPr>
                <w:rFonts w:hint="eastAsia"/>
                <w:color w:val="auto"/>
              </w:rPr>
              <w:t>3.验收费用，由中标供应商承担。</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 w:hRule="atLeast"/>
        </w:trPr>
        <w:tc>
          <w:tcPr>
            <w:tcW w:w="823" w:type="dxa"/>
            <w:vAlign w:val="center"/>
          </w:tcPr>
          <w:p>
            <w:pPr>
              <w:keepNext w:val="0"/>
              <w:keepLines w:val="0"/>
              <w:pageBreakBefore w:val="0"/>
              <w:overflowPunct/>
              <w:topLinePunct w:val="0"/>
              <w:autoSpaceDE w:val="0"/>
              <w:autoSpaceDN w:val="0"/>
              <w:bidi w:val="0"/>
              <w:spacing w:line="360" w:lineRule="exact"/>
              <w:ind w:right="0" w:rightChars="0"/>
              <w:jc w:val="center"/>
              <w:rPr>
                <w:rFonts w:hint="default" w:ascii="宋体" w:hAnsi="宋体" w:eastAsia="宋体" w:cs="宋体"/>
                <w:spacing w:val="-3"/>
                <w:sz w:val="21"/>
                <w:szCs w:val="21"/>
                <w:lang w:val="en-US" w:eastAsia="zh-CN"/>
              </w:rPr>
            </w:pPr>
            <w:r>
              <w:rPr>
                <w:rFonts w:hint="eastAsia" w:ascii="宋体" w:hAnsi="宋体" w:eastAsia="宋体" w:cs="宋体"/>
                <w:spacing w:val="-3"/>
                <w:sz w:val="21"/>
                <w:szCs w:val="21"/>
                <w:lang w:val="en-US" w:eastAsia="zh-CN"/>
              </w:rPr>
              <w:t>35</w:t>
            </w:r>
          </w:p>
        </w:tc>
        <w:tc>
          <w:tcPr>
            <w:tcW w:w="2270" w:type="dxa"/>
            <w:vAlign w:val="center"/>
          </w:tcPr>
          <w:p>
            <w:pPr>
              <w:keepNext w:val="0"/>
              <w:keepLines w:val="0"/>
              <w:pageBreakBefore w:val="0"/>
              <w:overflowPunct/>
              <w:topLinePunct w:val="0"/>
              <w:autoSpaceDE w:val="0"/>
              <w:autoSpaceDN w:val="0"/>
              <w:bidi w:val="0"/>
              <w:spacing w:line="360" w:lineRule="exact"/>
              <w:ind w:right="0" w:rightChars="0"/>
              <w:jc w:val="center"/>
              <w:rPr>
                <w:rFonts w:hint="eastAsia" w:ascii="宋体" w:hAnsi="宋体" w:eastAsia="宋体" w:cs="宋体"/>
                <w:snapToGrid w:val="0"/>
                <w:color w:val="000000"/>
                <w:sz w:val="21"/>
                <w:szCs w:val="21"/>
                <w:highlight w:val="none"/>
                <w:lang w:val="en-US" w:eastAsia="zh-CN" w:bidi="ar-SA"/>
              </w:rPr>
            </w:pPr>
            <w:r>
              <w:rPr>
                <w:rFonts w:hint="eastAsia" w:ascii="宋体" w:hAnsi="宋体" w:eastAsia="宋体" w:cs="宋体"/>
                <w:snapToGrid w:val="0"/>
                <w:color w:val="000000"/>
                <w:sz w:val="21"/>
                <w:szCs w:val="21"/>
                <w:highlight w:val="none"/>
                <w:lang w:val="en-US" w:eastAsia="zh-CN" w:bidi="ar-SA"/>
              </w:rPr>
              <w:t>付款方式及要求</w:t>
            </w:r>
          </w:p>
        </w:tc>
        <w:tc>
          <w:tcPr>
            <w:tcW w:w="6943" w:type="dxa"/>
            <w:vAlign w:val="center"/>
          </w:tcPr>
          <w:p>
            <w:pPr>
              <w:pStyle w:val="46"/>
              <w:keepNext w:val="0"/>
              <w:keepLines w:val="0"/>
              <w:pageBreakBefore w:val="0"/>
              <w:widowControl w:val="0"/>
              <w:kinsoku/>
              <w:overflowPunct/>
              <w:topLinePunct w:val="0"/>
              <w:autoSpaceDE w:val="0"/>
              <w:autoSpaceDN w:val="0"/>
              <w:bidi w:val="0"/>
              <w:adjustRightInd/>
              <w:snapToGrid/>
              <w:spacing w:line="360" w:lineRule="exact"/>
              <w:ind w:right="0" w:rightChars="0"/>
              <w:jc w:val="left"/>
              <w:textAlignment w:val="auto"/>
              <w:rPr>
                <w:rFonts w:hint="default" w:ascii="宋体" w:hAnsi="宋体" w:eastAsia="宋体" w:cs="宋体"/>
                <w:snapToGrid w:val="0"/>
                <w:color w:val="000000"/>
                <w:sz w:val="21"/>
                <w:szCs w:val="21"/>
                <w:highlight w:val="none"/>
                <w:lang w:val="en-US" w:eastAsia="zh-CN" w:bidi="ar-SA"/>
              </w:rPr>
            </w:pPr>
            <w:r>
              <w:rPr>
                <w:rFonts w:hint="default" w:ascii="宋体" w:hAnsi="宋体" w:eastAsia="宋体" w:cs="宋体"/>
                <w:snapToGrid w:val="0"/>
                <w:color w:val="000000"/>
                <w:sz w:val="21"/>
                <w:szCs w:val="21"/>
                <w:highlight w:val="none"/>
                <w:lang w:val="en-US" w:eastAsia="zh-CN" w:bidi="ar-SA"/>
              </w:rPr>
              <w:t>设备安装完成后支付80%，验收合格后支付剩余资金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4" w:hRule="atLeast"/>
        </w:trPr>
        <w:tc>
          <w:tcPr>
            <w:tcW w:w="823" w:type="dxa"/>
            <w:vAlign w:val="center"/>
          </w:tcPr>
          <w:p>
            <w:pPr>
              <w:keepNext w:val="0"/>
              <w:keepLines w:val="0"/>
              <w:pageBreakBefore w:val="0"/>
              <w:overflowPunct/>
              <w:topLinePunct w:val="0"/>
              <w:autoSpaceDE w:val="0"/>
              <w:autoSpaceDN w:val="0"/>
              <w:bidi w:val="0"/>
              <w:spacing w:line="360" w:lineRule="exact"/>
              <w:ind w:right="0" w:rightChars="0"/>
              <w:jc w:val="center"/>
              <w:rPr>
                <w:rFonts w:hint="default" w:ascii="宋体" w:hAnsi="宋体" w:eastAsia="宋体" w:cs="宋体"/>
                <w:spacing w:val="-3"/>
                <w:sz w:val="21"/>
                <w:szCs w:val="21"/>
                <w:lang w:val="en-US" w:eastAsia="zh-CN"/>
              </w:rPr>
            </w:pPr>
            <w:r>
              <w:rPr>
                <w:rFonts w:hint="eastAsia" w:ascii="宋体" w:hAnsi="宋体" w:eastAsia="宋体" w:cs="宋体"/>
                <w:spacing w:val="-3"/>
                <w:sz w:val="21"/>
                <w:szCs w:val="21"/>
                <w:lang w:val="en-US" w:eastAsia="zh-CN"/>
              </w:rPr>
              <w:t>36</w:t>
            </w:r>
          </w:p>
        </w:tc>
        <w:tc>
          <w:tcPr>
            <w:tcW w:w="2270" w:type="dxa"/>
            <w:vAlign w:val="center"/>
          </w:tcPr>
          <w:p>
            <w:pPr>
              <w:keepNext w:val="0"/>
              <w:keepLines w:val="0"/>
              <w:pageBreakBefore w:val="0"/>
              <w:overflowPunct/>
              <w:topLinePunct w:val="0"/>
              <w:autoSpaceDE w:val="0"/>
              <w:autoSpaceDN w:val="0"/>
              <w:bidi w:val="0"/>
              <w:spacing w:line="360" w:lineRule="exact"/>
              <w:ind w:right="0" w:rightChars="0"/>
              <w:jc w:val="center"/>
              <w:rPr>
                <w:rFonts w:hint="eastAsia" w:ascii="宋体" w:hAnsi="宋体" w:eastAsia="宋体" w:cs="宋体"/>
                <w:color w:val="0C0C0C"/>
                <w:spacing w:val="-1"/>
                <w:sz w:val="21"/>
                <w:szCs w:val="21"/>
              </w:rPr>
            </w:pPr>
            <w:r>
              <w:rPr>
                <w:rFonts w:hint="eastAsia" w:ascii="宋体" w:hAnsi="宋体" w:eastAsia="宋体" w:cs="宋体"/>
                <w:color w:val="0C0C0C"/>
                <w:spacing w:val="-1"/>
                <w:sz w:val="21"/>
                <w:szCs w:val="21"/>
              </w:rPr>
              <w:t>开标程序</w:t>
            </w:r>
          </w:p>
        </w:tc>
        <w:tc>
          <w:tcPr>
            <w:tcW w:w="6943" w:type="dxa"/>
          </w:tcPr>
          <w:p>
            <w:pPr>
              <w:pStyle w:val="46"/>
              <w:keepNext w:val="0"/>
              <w:keepLines w:val="0"/>
              <w:pageBreakBefore w:val="0"/>
              <w:widowControl w:val="0"/>
              <w:kinsoku/>
              <w:overflowPunct/>
              <w:topLinePunct w:val="0"/>
              <w:autoSpaceDE w:val="0"/>
              <w:autoSpaceDN w:val="0"/>
              <w:bidi w:val="0"/>
              <w:adjustRightInd/>
              <w:snapToGrid/>
              <w:spacing w:line="360" w:lineRule="exact"/>
              <w:ind w:right="0" w:rightChars="0"/>
              <w:jc w:val="left"/>
              <w:textAlignment w:val="auto"/>
              <w:rPr>
                <w:sz w:val="21"/>
                <w:szCs w:val="21"/>
              </w:rPr>
            </w:pPr>
            <w:r>
              <w:rPr>
                <w:sz w:val="21"/>
                <w:szCs w:val="21"/>
              </w:rPr>
              <w:t>本项目采用“远程不见面”开标方式，不见面开标大厅地址</w:t>
            </w:r>
            <w:r>
              <w:rPr>
                <w:sz w:val="21"/>
                <w:szCs w:val="21"/>
              </w:rPr>
              <w:fldChar w:fldCharType="begin"/>
            </w:r>
            <w:r>
              <w:rPr>
                <w:sz w:val="21"/>
                <w:szCs w:val="21"/>
              </w:rPr>
              <w:instrText xml:space="preserve"> HYPERLINK "http://www.thggzy.cn/" </w:instrText>
            </w:r>
            <w:r>
              <w:rPr>
                <w:sz w:val="21"/>
                <w:szCs w:val="21"/>
              </w:rPr>
              <w:fldChar w:fldCharType="separate"/>
            </w:r>
            <w:r>
              <w:rPr>
                <w:sz w:val="21"/>
                <w:szCs w:val="21"/>
              </w:rPr>
              <w:t>http://www.thggzy.cn/</w:t>
            </w:r>
            <w:r>
              <w:rPr>
                <w:sz w:val="21"/>
                <w:szCs w:val="21"/>
              </w:rPr>
              <w:fldChar w:fldCharType="end"/>
            </w:r>
            <w:r>
              <w:rPr>
                <w:sz w:val="21"/>
                <w:szCs w:val="21"/>
              </w:rPr>
              <w:t>唐河县公共资源交易中心网站首页“不见面开标大厅”模块，供应商无需到唐河县公共资源交易中心现场参加开标会议，无需到达现场提交原件资料。供应商应当在投标截止时间前，登录远程开标大厅，在线准时参加开标活动并进行文件解密、答疑澄清等。各供应商应在规定时间内对本单位的投标文件现场解密，因加密电子投标文件未能成功上传或误传而导致的解密失败，投标将被拒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 w:hRule="atLeast"/>
        </w:trPr>
        <w:tc>
          <w:tcPr>
            <w:tcW w:w="823" w:type="dxa"/>
            <w:vAlign w:val="center"/>
          </w:tcPr>
          <w:p>
            <w:pPr>
              <w:keepNext w:val="0"/>
              <w:keepLines w:val="0"/>
              <w:pageBreakBefore w:val="0"/>
              <w:overflowPunct/>
              <w:topLinePunct w:val="0"/>
              <w:autoSpaceDE w:val="0"/>
              <w:autoSpaceDN w:val="0"/>
              <w:bidi w:val="0"/>
              <w:spacing w:line="360" w:lineRule="exact"/>
              <w:ind w:right="0" w:rightChars="0"/>
              <w:jc w:val="center"/>
              <w:rPr>
                <w:rFonts w:hint="default" w:ascii="宋体" w:hAnsi="宋体" w:eastAsia="宋体" w:cs="宋体"/>
                <w:spacing w:val="-3"/>
                <w:sz w:val="21"/>
                <w:szCs w:val="21"/>
                <w:lang w:val="en-US" w:eastAsia="zh-CN"/>
              </w:rPr>
            </w:pPr>
            <w:r>
              <w:rPr>
                <w:rFonts w:hint="eastAsia" w:ascii="宋体" w:hAnsi="宋体" w:eastAsia="宋体" w:cs="宋体"/>
                <w:spacing w:val="-3"/>
                <w:sz w:val="21"/>
                <w:szCs w:val="21"/>
                <w:lang w:val="en-US" w:eastAsia="zh-CN"/>
              </w:rPr>
              <w:t>37</w:t>
            </w:r>
          </w:p>
        </w:tc>
        <w:tc>
          <w:tcPr>
            <w:tcW w:w="2270" w:type="dxa"/>
            <w:vAlign w:val="center"/>
          </w:tcPr>
          <w:p>
            <w:pPr>
              <w:keepNext w:val="0"/>
              <w:keepLines w:val="0"/>
              <w:pageBreakBefore w:val="0"/>
              <w:overflowPunct/>
              <w:topLinePunct w:val="0"/>
              <w:autoSpaceDE w:val="0"/>
              <w:autoSpaceDN w:val="0"/>
              <w:bidi w:val="0"/>
              <w:spacing w:line="360" w:lineRule="exact"/>
              <w:ind w:right="0" w:rightChars="0"/>
              <w:jc w:val="center"/>
              <w:rPr>
                <w:rFonts w:ascii="宋体" w:hAnsi="宋体" w:eastAsia="宋体" w:cs="宋体"/>
                <w:color w:val="0C0C0C"/>
                <w:spacing w:val="-1"/>
                <w:sz w:val="21"/>
                <w:szCs w:val="21"/>
              </w:rPr>
            </w:pPr>
            <w:r>
              <w:rPr>
                <w:rFonts w:ascii="宋体" w:hAnsi="宋体" w:eastAsia="宋体" w:cs="宋体"/>
                <w:color w:val="0C0C0C"/>
                <w:spacing w:val="-1"/>
                <w:sz w:val="21"/>
                <w:szCs w:val="21"/>
              </w:rPr>
              <w:t>投标人代表出席开标会要求</w:t>
            </w:r>
          </w:p>
        </w:tc>
        <w:tc>
          <w:tcPr>
            <w:tcW w:w="6943" w:type="dxa"/>
          </w:tcPr>
          <w:p>
            <w:pPr>
              <w:pStyle w:val="46"/>
              <w:keepNext w:val="0"/>
              <w:keepLines w:val="0"/>
              <w:pageBreakBefore w:val="0"/>
              <w:widowControl w:val="0"/>
              <w:kinsoku/>
              <w:overflowPunct/>
              <w:topLinePunct w:val="0"/>
              <w:autoSpaceDE w:val="0"/>
              <w:autoSpaceDN w:val="0"/>
              <w:bidi w:val="0"/>
              <w:adjustRightInd/>
              <w:snapToGrid/>
              <w:spacing w:line="360" w:lineRule="exact"/>
              <w:ind w:right="0" w:rightChars="0"/>
              <w:jc w:val="left"/>
              <w:textAlignment w:val="auto"/>
              <w:rPr>
                <w:sz w:val="21"/>
                <w:szCs w:val="21"/>
              </w:rPr>
            </w:pPr>
            <w:r>
              <w:rPr>
                <w:sz w:val="21"/>
                <w:szCs w:val="21"/>
              </w:rPr>
              <w:t>该项目需要使用不见面开标，告知投标人无需前往现场来参与投标。而是各投标人根据手册要求，提前做好相关准备工作。</w:t>
            </w:r>
          </w:p>
          <w:p>
            <w:pPr>
              <w:pStyle w:val="46"/>
              <w:keepNext w:val="0"/>
              <w:keepLines w:val="0"/>
              <w:pageBreakBefore w:val="0"/>
              <w:widowControl w:val="0"/>
              <w:kinsoku/>
              <w:overflowPunct/>
              <w:topLinePunct w:val="0"/>
              <w:autoSpaceDE w:val="0"/>
              <w:autoSpaceDN w:val="0"/>
              <w:bidi w:val="0"/>
              <w:adjustRightInd/>
              <w:snapToGrid/>
              <w:spacing w:line="360" w:lineRule="exact"/>
              <w:ind w:right="0" w:rightChars="0"/>
              <w:jc w:val="left"/>
              <w:textAlignment w:val="auto"/>
              <w:rPr>
                <w:sz w:val="21"/>
                <w:szCs w:val="21"/>
              </w:rPr>
            </w:pPr>
            <w:r>
              <w:rPr>
                <w:sz w:val="21"/>
                <w:szCs w:val="21"/>
              </w:rPr>
              <w:t>附件：操作手册地址(下载专区中自行下载)、不见面开标大厅地址唐河县公共资源交易中心网站首页“不见面开标大厅”模块</w:t>
            </w:r>
          </w:p>
          <w:p>
            <w:pPr>
              <w:pStyle w:val="46"/>
              <w:keepNext w:val="0"/>
              <w:keepLines w:val="0"/>
              <w:pageBreakBefore w:val="0"/>
              <w:widowControl w:val="0"/>
              <w:kinsoku/>
              <w:overflowPunct/>
              <w:topLinePunct w:val="0"/>
              <w:autoSpaceDE w:val="0"/>
              <w:autoSpaceDN w:val="0"/>
              <w:bidi w:val="0"/>
              <w:adjustRightInd/>
              <w:snapToGrid/>
              <w:spacing w:line="360" w:lineRule="exact"/>
              <w:ind w:right="0" w:rightChars="0"/>
              <w:jc w:val="left"/>
              <w:textAlignment w:val="auto"/>
              <w:rPr>
                <w:sz w:val="21"/>
                <w:szCs w:val="21"/>
              </w:rPr>
            </w:pPr>
            <w:r>
              <w:rPr>
                <w:sz w:val="21"/>
                <w:szCs w:val="21"/>
              </w:rPr>
              <w:t>因投标人无需现场参与开标，所有准备工作需要自行到位。开标过程中如遇到紧急事项，可在不见面开标大厅中进行提出异议或文字交流，严重问题可拨打技术支持电话</w:t>
            </w:r>
          </w:p>
          <w:p>
            <w:pPr>
              <w:pStyle w:val="46"/>
              <w:keepNext w:val="0"/>
              <w:keepLines w:val="0"/>
              <w:pageBreakBefore w:val="0"/>
              <w:widowControl w:val="0"/>
              <w:kinsoku/>
              <w:overflowPunct/>
              <w:topLinePunct w:val="0"/>
              <w:autoSpaceDE w:val="0"/>
              <w:autoSpaceDN w:val="0"/>
              <w:bidi w:val="0"/>
              <w:adjustRightInd/>
              <w:snapToGrid/>
              <w:spacing w:line="360" w:lineRule="exact"/>
              <w:ind w:right="0" w:rightChars="0"/>
              <w:jc w:val="left"/>
              <w:textAlignment w:val="auto"/>
              <w:rPr>
                <w:sz w:val="21"/>
                <w:szCs w:val="21"/>
              </w:rPr>
            </w:pPr>
            <w:r>
              <w:rPr>
                <w:sz w:val="21"/>
                <w:szCs w:val="21"/>
              </w:rPr>
              <w:t>不见面开标过程中，如投标人准备不到位，造成无法及时解密、网络问题等情况造成开标无法继续的，视为该投标人自动放弃投标(</w:t>
            </w:r>
            <w:r>
              <w:rPr>
                <w:rFonts w:hint="eastAsia"/>
                <w:sz w:val="21"/>
                <w:szCs w:val="21"/>
              </w:rPr>
              <w:t>3</w:t>
            </w:r>
            <w:r>
              <w:rPr>
                <w:sz w:val="21"/>
                <w:szCs w:val="21"/>
              </w:rPr>
              <w:t>0分钟内)，将被退回投标文件。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atLeast"/>
        </w:trPr>
        <w:tc>
          <w:tcPr>
            <w:tcW w:w="823" w:type="dxa"/>
            <w:vAlign w:val="center"/>
          </w:tcPr>
          <w:p>
            <w:pPr>
              <w:keepNext w:val="0"/>
              <w:keepLines w:val="0"/>
              <w:pageBreakBefore w:val="0"/>
              <w:overflowPunct/>
              <w:topLinePunct w:val="0"/>
              <w:autoSpaceDE w:val="0"/>
              <w:autoSpaceDN w:val="0"/>
              <w:bidi w:val="0"/>
              <w:spacing w:line="360" w:lineRule="exact"/>
              <w:ind w:right="0" w:rightChars="0"/>
              <w:jc w:val="center"/>
              <w:rPr>
                <w:rFonts w:hint="default" w:ascii="宋体" w:hAnsi="宋体" w:eastAsia="宋体" w:cs="宋体"/>
                <w:spacing w:val="-3"/>
                <w:sz w:val="21"/>
                <w:szCs w:val="21"/>
                <w:lang w:val="en-US" w:eastAsia="zh-CN"/>
              </w:rPr>
            </w:pPr>
            <w:r>
              <w:rPr>
                <w:rFonts w:hint="eastAsia" w:ascii="宋体" w:hAnsi="宋体" w:eastAsia="宋体" w:cs="宋体"/>
                <w:spacing w:val="-3"/>
                <w:sz w:val="21"/>
                <w:szCs w:val="21"/>
                <w:lang w:val="en-US" w:eastAsia="zh-CN"/>
              </w:rPr>
              <w:t>38</w:t>
            </w:r>
          </w:p>
        </w:tc>
        <w:tc>
          <w:tcPr>
            <w:tcW w:w="2270" w:type="dxa"/>
            <w:vAlign w:val="center"/>
          </w:tcPr>
          <w:p>
            <w:pPr>
              <w:keepNext w:val="0"/>
              <w:keepLines w:val="0"/>
              <w:pageBreakBefore w:val="0"/>
              <w:overflowPunct/>
              <w:topLinePunct w:val="0"/>
              <w:autoSpaceDE w:val="0"/>
              <w:autoSpaceDN w:val="0"/>
              <w:bidi w:val="0"/>
              <w:spacing w:line="360" w:lineRule="exact"/>
              <w:ind w:right="0" w:rightChars="0"/>
              <w:jc w:val="center"/>
              <w:rPr>
                <w:rFonts w:ascii="宋体" w:hAnsi="宋体" w:eastAsia="宋体" w:cs="宋体"/>
                <w:color w:val="0C0C0C"/>
                <w:spacing w:val="-1"/>
                <w:sz w:val="21"/>
                <w:szCs w:val="21"/>
              </w:rPr>
            </w:pPr>
            <w:r>
              <w:rPr>
                <w:rFonts w:ascii="宋体" w:hAnsi="宋体" w:eastAsia="宋体" w:cs="宋体"/>
                <w:color w:val="0C0C0C"/>
                <w:spacing w:val="-1"/>
                <w:sz w:val="21"/>
                <w:szCs w:val="21"/>
              </w:rPr>
              <w:t>监督</w:t>
            </w:r>
          </w:p>
        </w:tc>
        <w:tc>
          <w:tcPr>
            <w:tcW w:w="6943" w:type="dxa"/>
          </w:tcPr>
          <w:p>
            <w:pPr>
              <w:pStyle w:val="46"/>
              <w:keepNext w:val="0"/>
              <w:keepLines w:val="0"/>
              <w:pageBreakBefore w:val="0"/>
              <w:widowControl w:val="0"/>
              <w:kinsoku/>
              <w:overflowPunct/>
              <w:topLinePunct w:val="0"/>
              <w:autoSpaceDE w:val="0"/>
              <w:autoSpaceDN w:val="0"/>
              <w:bidi w:val="0"/>
              <w:adjustRightInd/>
              <w:snapToGrid/>
              <w:spacing w:line="360" w:lineRule="exact"/>
              <w:ind w:right="0" w:rightChars="0"/>
              <w:jc w:val="left"/>
              <w:textAlignment w:val="auto"/>
              <w:rPr>
                <w:sz w:val="21"/>
                <w:szCs w:val="21"/>
              </w:rPr>
            </w:pPr>
            <w:r>
              <w:rPr>
                <w:sz w:val="21"/>
                <w:szCs w:val="21"/>
              </w:rPr>
              <w:t>本项目的招标投标活动及其相关当事人应当接受有管辖权的招标投标行政监督部门依法实施的监督。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84" w:hRule="atLeast"/>
        </w:trPr>
        <w:tc>
          <w:tcPr>
            <w:tcW w:w="823" w:type="dxa"/>
            <w:vAlign w:val="center"/>
          </w:tcPr>
          <w:p>
            <w:pPr>
              <w:keepNext w:val="0"/>
              <w:keepLines w:val="0"/>
              <w:pageBreakBefore w:val="0"/>
              <w:overflowPunct/>
              <w:topLinePunct w:val="0"/>
              <w:autoSpaceDE w:val="0"/>
              <w:autoSpaceDN w:val="0"/>
              <w:bidi w:val="0"/>
              <w:spacing w:line="360" w:lineRule="exact"/>
              <w:ind w:right="0" w:rightChars="0"/>
              <w:jc w:val="center"/>
              <w:rPr>
                <w:rFonts w:hint="default" w:ascii="宋体" w:hAnsi="宋体" w:eastAsia="宋体" w:cs="宋体"/>
                <w:spacing w:val="-3"/>
                <w:sz w:val="21"/>
                <w:szCs w:val="21"/>
                <w:lang w:val="en-US" w:eastAsia="zh-CN"/>
              </w:rPr>
            </w:pPr>
            <w:r>
              <w:rPr>
                <w:rFonts w:hint="eastAsia" w:ascii="宋体" w:hAnsi="宋体" w:eastAsia="宋体" w:cs="宋体"/>
                <w:spacing w:val="-3"/>
                <w:sz w:val="21"/>
                <w:szCs w:val="21"/>
                <w:lang w:val="en-US" w:eastAsia="zh-CN"/>
              </w:rPr>
              <w:t>39</w:t>
            </w:r>
          </w:p>
        </w:tc>
        <w:tc>
          <w:tcPr>
            <w:tcW w:w="2270" w:type="dxa"/>
            <w:vAlign w:val="center"/>
          </w:tcPr>
          <w:p>
            <w:pPr>
              <w:keepNext w:val="0"/>
              <w:keepLines w:val="0"/>
              <w:pageBreakBefore w:val="0"/>
              <w:overflowPunct/>
              <w:topLinePunct w:val="0"/>
              <w:autoSpaceDE w:val="0"/>
              <w:autoSpaceDN w:val="0"/>
              <w:bidi w:val="0"/>
              <w:spacing w:line="360" w:lineRule="exact"/>
              <w:ind w:right="0" w:rightChars="0"/>
              <w:jc w:val="center"/>
              <w:rPr>
                <w:rFonts w:ascii="宋体" w:hAnsi="宋体" w:eastAsia="宋体" w:cs="宋体"/>
                <w:color w:val="0C0C0C"/>
                <w:spacing w:val="-1"/>
                <w:sz w:val="21"/>
                <w:szCs w:val="21"/>
              </w:rPr>
            </w:pPr>
            <w:r>
              <w:rPr>
                <w:rFonts w:ascii="宋体" w:hAnsi="宋体" w:eastAsia="宋体" w:cs="宋体"/>
                <w:color w:val="0C0C0C"/>
                <w:spacing w:val="-1"/>
                <w:sz w:val="21"/>
                <w:szCs w:val="21"/>
              </w:rPr>
              <w:t>解释权</w:t>
            </w:r>
          </w:p>
        </w:tc>
        <w:tc>
          <w:tcPr>
            <w:tcW w:w="6943" w:type="dxa"/>
          </w:tcPr>
          <w:p>
            <w:pPr>
              <w:pStyle w:val="46"/>
              <w:keepNext w:val="0"/>
              <w:keepLines w:val="0"/>
              <w:pageBreakBefore w:val="0"/>
              <w:widowControl w:val="0"/>
              <w:kinsoku/>
              <w:overflowPunct/>
              <w:topLinePunct w:val="0"/>
              <w:autoSpaceDE w:val="0"/>
              <w:autoSpaceDN w:val="0"/>
              <w:bidi w:val="0"/>
              <w:adjustRightInd/>
              <w:snapToGrid/>
              <w:spacing w:line="360" w:lineRule="exact"/>
              <w:ind w:right="0" w:rightChars="0"/>
              <w:jc w:val="left"/>
              <w:textAlignment w:val="auto"/>
              <w:rPr>
                <w:sz w:val="21"/>
                <w:szCs w:val="21"/>
              </w:rPr>
            </w:pPr>
            <w:r>
              <w:rPr>
                <w:sz w:val="21"/>
                <w:szCs w:val="21"/>
              </w:rP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人须知、评标办法、投标文件格式的先后顺序解释；同组成文件中就同一事项的规定或约定不一致的，以编排顺序在后者为准；同一组成文件不同版本之间有不一致的，以形成时间在后者为准。按本款前述规定仍不能形成结论的，由招标人负责解释。</w:t>
            </w:r>
            <w:r>
              <w:rPr>
                <w:rFonts w:hint="eastAsia"/>
                <w:sz w:val="21"/>
                <w:szCs w:val="21"/>
              </w:rPr>
              <w:t>在评标过程中，若招标文件中就同一内容，有表达不一致的情形，且潜在投标人在招标文件规定的提出异议和澄清的时间内未提出异议或其他澄清要求的，则由评标委员会按照有利于招标人的方向理解。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23" w:type="dxa"/>
            <w:vAlign w:val="center"/>
          </w:tcPr>
          <w:p>
            <w:pPr>
              <w:keepNext w:val="0"/>
              <w:keepLines w:val="0"/>
              <w:pageBreakBefore w:val="0"/>
              <w:overflowPunct/>
              <w:topLinePunct w:val="0"/>
              <w:autoSpaceDE w:val="0"/>
              <w:autoSpaceDN w:val="0"/>
              <w:bidi w:val="0"/>
              <w:spacing w:line="360" w:lineRule="exact"/>
              <w:ind w:right="0" w:rightChars="0"/>
              <w:jc w:val="center"/>
              <w:rPr>
                <w:rFonts w:hint="default" w:ascii="宋体" w:hAnsi="宋体" w:eastAsia="宋体" w:cs="宋体"/>
                <w:spacing w:val="-3"/>
                <w:sz w:val="21"/>
                <w:szCs w:val="21"/>
                <w:lang w:val="en-US" w:eastAsia="zh-CN"/>
              </w:rPr>
            </w:pPr>
            <w:r>
              <w:rPr>
                <w:rFonts w:hint="eastAsia" w:ascii="宋体" w:hAnsi="宋体" w:eastAsia="宋体" w:cs="宋体"/>
                <w:spacing w:val="-3"/>
                <w:sz w:val="21"/>
                <w:szCs w:val="21"/>
                <w:lang w:val="en-US" w:eastAsia="zh-CN"/>
              </w:rPr>
              <w:t>40</w:t>
            </w:r>
          </w:p>
        </w:tc>
        <w:tc>
          <w:tcPr>
            <w:tcW w:w="2270" w:type="dxa"/>
            <w:vAlign w:val="center"/>
          </w:tcPr>
          <w:p>
            <w:pPr>
              <w:keepNext w:val="0"/>
              <w:keepLines w:val="0"/>
              <w:pageBreakBefore w:val="0"/>
              <w:overflowPunct/>
              <w:topLinePunct w:val="0"/>
              <w:autoSpaceDE w:val="0"/>
              <w:autoSpaceDN w:val="0"/>
              <w:bidi w:val="0"/>
              <w:spacing w:line="360" w:lineRule="exact"/>
              <w:ind w:right="0" w:rightChars="0"/>
              <w:jc w:val="center"/>
              <w:rPr>
                <w:rFonts w:ascii="宋体" w:hAnsi="宋体" w:eastAsia="宋体" w:cs="宋体"/>
                <w:color w:val="0C0C0C"/>
                <w:spacing w:val="-1"/>
                <w:sz w:val="21"/>
                <w:szCs w:val="21"/>
              </w:rPr>
            </w:pPr>
            <w:r>
              <w:rPr>
                <w:rFonts w:ascii="宋体" w:hAnsi="宋体" w:eastAsia="宋体" w:cs="宋体"/>
                <w:color w:val="0C0C0C"/>
                <w:spacing w:val="-1"/>
                <w:sz w:val="21"/>
                <w:szCs w:val="21"/>
              </w:rPr>
              <w:t>投标人提出问题的截止时间</w:t>
            </w:r>
          </w:p>
        </w:tc>
        <w:tc>
          <w:tcPr>
            <w:tcW w:w="6943" w:type="dxa"/>
          </w:tcPr>
          <w:p>
            <w:pPr>
              <w:pStyle w:val="46"/>
              <w:keepNext w:val="0"/>
              <w:keepLines w:val="0"/>
              <w:pageBreakBefore w:val="0"/>
              <w:widowControl w:val="0"/>
              <w:kinsoku/>
              <w:overflowPunct/>
              <w:topLinePunct w:val="0"/>
              <w:autoSpaceDE w:val="0"/>
              <w:autoSpaceDN w:val="0"/>
              <w:bidi w:val="0"/>
              <w:adjustRightInd/>
              <w:snapToGrid/>
              <w:spacing w:line="360" w:lineRule="exact"/>
              <w:ind w:right="0" w:rightChars="0"/>
              <w:jc w:val="left"/>
              <w:textAlignment w:val="auto"/>
              <w:rPr>
                <w:sz w:val="21"/>
                <w:szCs w:val="21"/>
              </w:rPr>
            </w:pPr>
            <w:r>
              <w:rPr>
                <w:sz w:val="21"/>
                <w:szCs w:val="21"/>
              </w:rPr>
              <w:t>递交投标文件的截止之日15日前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823" w:type="dxa"/>
            <w:vAlign w:val="center"/>
          </w:tcPr>
          <w:p>
            <w:pPr>
              <w:keepNext w:val="0"/>
              <w:keepLines w:val="0"/>
              <w:pageBreakBefore w:val="0"/>
              <w:overflowPunct/>
              <w:topLinePunct w:val="0"/>
              <w:autoSpaceDE w:val="0"/>
              <w:autoSpaceDN w:val="0"/>
              <w:bidi w:val="0"/>
              <w:spacing w:line="360" w:lineRule="exact"/>
              <w:ind w:right="0" w:rightChars="0"/>
              <w:jc w:val="center"/>
              <w:rPr>
                <w:rFonts w:hint="default" w:ascii="宋体" w:hAnsi="宋体" w:eastAsia="宋体" w:cs="宋体"/>
                <w:spacing w:val="-3"/>
                <w:sz w:val="21"/>
                <w:szCs w:val="21"/>
                <w:lang w:val="en-US" w:eastAsia="zh-CN"/>
              </w:rPr>
            </w:pPr>
            <w:r>
              <w:rPr>
                <w:rFonts w:hint="eastAsia" w:ascii="宋体" w:hAnsi="宋体" w:eastAsia="宋体" w:cs="宋体"/>
                <w:spacing w:val="-3"/>
                <w:sz w:val="21"/>
                <w:szCs w:val="21"/>
                <w:lang w:val="en-US" w:eastAsia="zh-CN"/>
              </w:rPr>
              <w:t>41</w:t>
            </w:r>
          </w:p>
        </w:tc>
        <w:tc>
          <w:tcPr>
            <w:tcW w:w="2270" w:type="dxa"/>
            <w:vAlign w:val="center"/>
          </w:tcPr>
          <w:p>
            <w:pPr>
              <w:keepNext w:val="0"/>
              <w:keepLines w:val="0"/>
              <w:pageBreakBefore w:val="0"/>
              <w:overflowPunct/>
              <w:topLinePunct w:val="0"/>
              <w:autoSpaceDE w:val="0"/>
              <w:autoSpaceDN w:val="0"/>
              <w:bidi w:val="0"/>
              <w:spacing w:line="360" w:lineRule="exact"/>
              <w:ind w:right="0" w:rightChars="0"/>
              <w:jc w:val="center"/>
              <w:rPr>
                <w:rFonts w:ascii="宋体" w:hAnsi="宋体" w:eastAsia="宋体" w:cs="宋体"/>
                <w:color w:val="0C0C0C"/>
                <w:spacing w:val="-1"/>
                <w:sz w:val="21"/>
                <w:szCs w:val="21"/>
              </w:rPr>
            </w:pPr>
            <w:r>
              <w:rPr>
                <w:rFonts w:ascii="宋体" w:hAnsi="宋体" w:eastAsia="宋体" w:cs="宋体"/>
                <w:color w:val="0C0C0C"/>
                <w:spacing w:val="-1"/>
                <w:sz w:val="21"/>
                <w:szCs w:val="21"/>
              </w:rPr>
              <w:t>其他说明</w:t>
            </w:r>
          </w:p>
        </w:tc>
        <w:tc>
          <w:tcPr>
            <w:tcW w:w="6943" w:type="dxa"/>
          </w:tcPr>
          <w:p>
            <w:pPr>
              <w:pStyle w:val="46"/>
              <w:keepNext w:val="0"/>
              <w:keepLines w:val="0"/>
              <w:pageBreakBefore w:val="0"/>
              <w:widowControl w:val="0"/>
              <w:kinsoku/>
              <w:overflowPunct/>
              <w:topLinePunct w:val="0"/>
              <w:autoSpaceDE w:val="0"/>
              <w:autoSpaceDN w:val="0"/>
              <w:bidi w:val="0"/>
              <w:adjustRightInd/>
              <w:snapToGrid/>
              <w:spacing w:line="360" w:lineRule="exact"/>
              <w:ind w:right="0" w:rightChars="0"/>
              <w:jc w:val="left"/>
              <w:textAlignment w:val="auto"/>
              <w:rPr>
                <w:sz w:val="21"/>
                <w:szCs w:val="21"/>
              </w:rPr>
            </w:pPr>
            <w:r>
              <w:rPr>
                <w:sz w:val="21"/>
                <w:szCs w:val="21"/>
              </w:rPr>
              <w:t>“招标人”与“采购人”，“投标人”与“供应商”按照同一意思理解。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823" w:type="dxa"/>
            <w:vAlign w:val="center"/>
          </w:tcPr>
          <w:p>
            <w:pPr>
              <w:keepNext w:val="0"/>
              <w:keepLines w:val="0"/>
              <w:pageBreakBefore w:val="0"/>
              <w:overflowPunct/>
              <w:topLinePunct w:val="0"/>
              <w:autoSpaceDE w:val="0"/>
              <w:autoSpaceDN w:val="0"/>
              <w:bidi w:val="0"/>
              <w:spacing w:line="360" w:lineRule="exact"/>
              <w:ind w:right="0" w:rightChars="0"/>
              <w:jc w:val="center"/>
              <w:rPr>
                <w:rFonts w:hint="default" w:ascii="宋体" w:hAnsi="宋体" w:eastAsia="宋体" w:cs="宋体"/>
                <w:spacing w:val="-3"/>
                <w:sz w:val="21"/>
                <w:szCs w:val="21"/>
                <w:lang w:val="en-US" w:eastAsia="zh-CN"/>
              </w:rPr>
            </w:pPr>
            <w:r>
              <w:rPr>
                <w:rFonts w:hint="eastAsia" w:ascii="宋体" w:hAnsi="宋体" w:eastAsia="宋体" w:cs="宋体"/>
                <w:spacing w:val="-3"/>
                <w:sz w:val="21"/>
                <w:szCs w:val="21"/>
                <w:lang w:val="en-US" w:eastAsia="zh-CN"/>
              </w:rPr>
              <w:t>42</w:t>
            </w:r>
          </w:p>
        </w:tc>
        <w:tc>
          <w:tcPr>
            <w:tcW w:w="2270" w:type="dxa"/>
            <w:vAlign w:val="center"/>
          </w:tcPr>
          <w:p>
            <w:pPr>
              <w:spacing w:line="360" w:lineRule="exact"/>
              <w:ind w:left="0" w:leftChars="0" w:right="0" w:rightChars="0"/>
              <w:jc w:val="center"/>
              <w:rPr>
                <w:rFonts w:ascii="宋体" w:hAnsi="宋体" w:eastAsia="宋体" w:cs="宋体"/>
                <w:color w:val="0C0C0C"/>
                <w:spacing w:val="-1"/>
                <w:sz w:val="21"/>
                <w:szCs w:val="21"/>
              </w:rPr>
            </w:pPr>
            <w:r>
              <w:rPr>
                <w:rFonts w:hint="eastAsia" w:cs="宋体"/>
                <w:szCs w:val="21"/>
                <w:lang w:val="en-US" w:eastAsia="zh-CN"/>
              </w:rPr>
              <w:t>代理</w:t>
            </w:r>
            <w:r>
              <w:rPr>
                <w:rFonts w:hint="eastAsia" w:ascii="宋体" w:hAnsi="宋体" w:cs="宋体"/>
                <w:szCs w:val="21"/>
                <w:lang w:val="zh-CN"/>
              </w:rPr>
              <w:t>服务费</w:t>
            </w:r>
          </w:p>
        </w:tc>
        <w:tc>
          <w:tcPr>
            <w:tcW w:w="6943" w:type="dxa"/>
            <w:vAlign w:val="center"/>
          </w:tcPr>
          <w:p>
            <w:pPr>
              <w:spacing w:line="360" w:lineRule="exact"/>
              <w:ind w:left="0" w:leftChars="0" w:right="0" w:rightChars="0"/>
              <w:jc w:val="left"/>
              <w:rPr>
                <w:rFonts w:ascii="宋体" w:hAnsi="宋体" w:eastAsia="宋体" w:cs="Times New Roman"/>
                <w:snapToGrid w:val="0"/>
                <w:color w:val="000000"/>
                <w:sz w:val="21"/>
                <w:szCs w:val="21"/>
                <w:lang w:val="en-US" w:eastAsia="zh-CN" w:bidi="ar-SA"/>
              </w:rPr>
            </w:pPr>
            <w:r>
              <w:rPr>
                <w:rFonts w:hint="eastAsia" w:ascii="宋体" w:hAnsi="宋体" w:eastAsia="宋体" w:cs="Times New Roman"/>
                <w:snapToGrid w:val="0"/>
                <w:color w:val="000000"/>
                <w:sz w:val="21"/>
                <w:szCs w:val="21"/>
                <w:lang w:val="en-US" w:eastAsia="zh-CN" w:bidi="ar-SA"/>
              </w:rPr>
              <w:t>代理机构与采购人商定,参照豫招协【2023】002号文规定的招标代理服务收费计算标准，中标、成交供应商在领取中标通知书时一次性向代理机构缴纳。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8" w:hRule="atLeast"/>
        </w:trPr>
        <w:tc>
          <w:tcPr>
            <w:tcW w:w="823" w:type="dxa"/>
            <w:vAlign w:val="center"/>
          </w:tcPr>
          <w:p>
            <w:pPr>
              <w:keepNext w:val="0"/>
              <w:keepLines w:val="0"/>
              <w:pageBreakBefore w:val="0"/>
              <w:overflowPunct/>
              <w:topLinePunct w:val="0"/>
              <w:autoSpaceDE w:val="0"/>
              <w:autoSpaceDN w:val="0"/>
              <w:bidi w:val="0"/>
              <w:spacing w:line="360" w:lineRule="exact"/>
              <w:ind w:right="0" w:rightChars="0"/>
              <w:jc w:val="center"/>
              <w:rPr>
                <w:rFonts w:hint="default" w:ascii="宋体" w:hAnsi="宋体" w:eastAsia="宋体" w:cs="宋体"/>
                <w:spacing w:val="-3"/>
                <w:sz w:val="21"/>
                <w:szCs w:val="21"/>
                <w:lang w:val="en-US" w:eastAsia="zh-CN"/>
              </w:rPr>
            </w:pPr>
            <w:r>
              <w:rPr>
                <w:rFonts w:hint="eastAsia" w:ascii="宋体" w:hAnsi="宋体" w:eastAsia="宋体" w:cs="宋体"/>
                <w:spacing w:val="-3"/>
                <w:sz w:val="21"/>
                <w:szCs w:val="21"/>
                <w:lang w:val="en-US" w:eastAsia="zh-CN"/>
              </w:rPr>
              <w:t>43</w:t>
            </w:r>
          </w:p>
        </w:tc>
        <w:tc>
          <w:tcPr>
            <w:tcW w:w="2270" w:type="dxa"/>
            <w:vAlign w:val="center"/>
          </w:tcPr>
          <w:p>
            <w:pPr>
              <w:keepNext w:val="0"/>
              <w:keepLines w:val="0"/>
              <w:pageBreakBefore w:val="0"/>
              <w:overflowPunct/>
              <w:topLinePunct w:val="0"/>
              <w:autoSpaceDE w:val="0"/>
              <w:autoSpaceDN w:val="0"/>
              <w:bidi w:val="0"/>
              <w:spacing w:line="360" w:lineRule="exact"/>
              <w:ind w:right="0" w:rightChars="0"/>
              <w:jc w:val="center"/>
              <w:rPr>
                <w:rFonts w:ascii="宋体" w:hAnsi="宋体" w:eastAsia="宋体" w:cs="宋体"/>
                <w:color w:val="0C0C0C"/>
                <w:spacing w:val="-1"/>
                <w:sz w:val="21"/>
                <w:szCs w:val="21"/>
              </w:rPr>
            </w:pPr>
            <w:r>
              <w:rPr>
                <w:rFonts w:hint="eastAsia" w:ascii="宋体" w:hAnsi="宋体" w:eastAsia="宋体" w:cs="宋体"/>
                <w:color w:val="0C0C0C"/>
                <w:spacing w:val="-1"/>
                <w:sz w:val="21"/>
                <w:szCs w:val="21"/>
              </w:rPr>
              <w:t>小微企业政策</w:t>
            </w:r>
          </w:p>
        </w:tc>
        <w:tc>
          <w:tcPr>
            <w:tcW w:w="6943" w:type="dxa"/>
            <w:vAlign w:val="center"/>
          </w:tcPr>
          <w:p>
            <w:pPr>
              <w:pStyle w:val="46"/>
              <w:keepNext w:val="0"/>
              <w:keepLines w:val="0"/>
              <w:pageBreakBefore w:val="0"/>
              <w:widowControl w:val="0"/>
              <w:kinsoku/>
              <w:wordWrap/>
              <w:overflowPunct/>
              <w:topLinePunct w:val="0"/>
              <w:autoSpaceDE w:val="0"/>
              <w:autoSpaceDN w:val="0"/>
              <w:bidi w:val="0"/>
              <w:adjustRightInd/>
              <w:snapToGrid/>
              <w:spacing w:line="360" w:lineRule="exact"/>
              <w:ind w:right="0" w:rightChars="0"/>
              <w:jc w:val="left"/>
              <w:textAlignment w:val="auto"/>
              <w:rPr>
                <w:sz w:val="21"/>
                <w:szCs w:val="21"/>
              </w:rPr>
            </w:pPr>
            <w:r>
              <w:rPr>
                <w:rFonts w:hint="eastAsia"/>
                <w:sz w:val="21"/>
                <w:szCs w:val="21"/>
              </w:rPr>
              <w:t>鼓励各地区、各部门在采购活动中允许中小企业引入信用担保手段，为中小企业在投标(响应)保证、履约保证等方面提供专业化服务。鼓励中小企业依法合规通过政府采购合同融资。</w:t>
            </w:r>
          </w:p>
        </w:tc>
      </w:tr>
    </w:tbl>
    <w:p>
      <w:pPr>
        <w:sectPr>
          <w:headerReference r:id="rId6" w:type="default"/>
          <w:footerReference r:id="rId7" w:type="default"/>
          <w:pgSz w:w="11907" w:h="16839"/>
          <w:pgMar w:top="1476" w:right="931" w:bottom="1226" w:left="933" w:header="1020" w:footer="1077" w:gutter="0"/>
          <w:pgNumType w:fmt="decimal" w:start="1"/>
          <w:cols w:space="720" w:num="1"/>
        </w:sectPr>
      </w:pPr>
    </w:p>
    <w:p>
      <w:pPr>
        <w:keepNext w:val="0"/>
        <w:keepLines w:val="0"/>
        <w:pageBreakBefore w:val="0"/>
        <w:widowControl/>
        <w:numPr>
          <w:ilvl w:val="0"/>
          <w:numId w:val="1"/>
        </w:numPr>
        <w:kinsoku w:val="0"/>
        <w:wordWrap/>
        <w:overflowPunct/>
        <w:topLinePunct w:val="0"/>
        <w:autoSpaceDE w:val="0"/>
        <w:autoSpaceDN w:val="0"/>
        <w:bidi w:val="0"/>
        <w:adjustRightInd w:val="0"/>
        <w:snapToGrid w:val="0"/>
        <w:spacing w:line="360" w:lineRule="auto"/>
        <w:jc w:val="center"/>
        <w:textAlignment w:val="baseline"/>
        <w:outlineLvl w:val="0"/>
        <w:rPr>
          <w:rFonts w:hint="eastAsia" w:asciiTheme="minorEastAsia" w:hAnsiTheme="minorEastAsia" w:eastAsiaTheme="minorEastAsia" w:cstheme="minorEastAsia"/>
          <w:b/>
          <w:bCs/>
          <w:spacing w:val="18"/>
          <w:sz w:val="31"/>
          <w:szCs w:val="31"/>
          <w:highlight w:val="none"/>
        </w:rPr>
      </w:pPr>
      <w:r>
        <w:rPr>
          <w:rFonts w:hint="eastAsia" w:asciiTheme="minorEastAsia" w:hAnsiTheme="minorEastAsia" w:eastAsiaTheme="minorEastAsia" w:cstheme="minorEastAsia"/>
          <w:b/>
          <w:bCs/>
          <w:spacing w:val="18"/>
          <w:sz w:val="31"/>
          <w:szCs w:val="31"/>
          <w:highlight w:val="none"/>
        </w:rPr>
        <w:t>项目采购内容及要求</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44"/>
        <w:gridCol w:w="1154"/>
        <w:gridCol w:w="6566"/>
        <w:gridCol w:w="846"/>
        <w:gridCol w:w="4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序号</w:t>
            </w:r>
          </w:p>
        </w:tc>
        <w:tc>
          <w:tcPr>
            <w:tcW w:w="1155"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器材名称</w:t>
            </w:r>
          </w:p>
        </w:tc>
        <w:tc>
          <w:tcPr>
            <w:tcW w:w="6566" w:type="dxa"/>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技术参数</w:t>
            </w:r>
          </w:p>
        </w:tc>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数量</w:t>
            </w:r>
          </w:p>
        </w:tc>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53" w:hRule="atLeast"/>
        </w:trPr>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1155"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移动网球柱</w:t>
            </w:r>
          </w:p>
        </w:tc>
        <w:tc>
          <w:tcPr>
            <w:tcW w:w="6566"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eastAsia="宋体" w:cs="宋体"/>
                <w:i w:val="0"/>
                <w:iCs w:val="0"/>
                <w:snapToGrid w:val="0"/>
                <w:color w:val="000000"/>
                <w:kern w:val="0"/>
                <w:sz w:val="21"/>
                <w:szCs w:val="21"/>
                <w:highlight w:val="none"/>
                <w:u w:val="none"/>
                <w:lang w:val="en-US" w:eastAsia="zh-CN" w:bidi="ar"/>
              </w:rPr>
              <w:t>1)立柱采用直径不小于Φ60mm，壁厚不小于3.0mm 钢管；</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eastAsia="宋体" w:cs="宋体"/>
                <w:i w:val="0"/>
                <w:iCs w:val="0"/>
                <w:snapToGrid w:val="0"/>
                <w:color w:val="000000"/>
                <w:kern w:val="0"/>
                <w:sz w:val="21"/>
                <w:szCs w:val="21"/>
                <w:highlight w:val="none"/>
                <w:u w:val="none"/>
                <w:lang w:val="en-US" w:eastAsia="zh-CN" w:bidi="ar"/>
              </w:rPr>
              <w:t>2)高度可调节，适用于成人及中小学生使用；</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eastAsia="宋体" w:cs="宋体"/>
                <w:i w:val="0"/>
                <w:iCs w:val="0"/>
                <w:snapToGrid w:val="0"/>
                <w:color w:val="000000"/>
                <w:kern w:val="0"/>
                <w:sz w:val="21"/>
                <w:szCs w:val="21"/>
                <w:highlight w:val="none"/>
                <w:u w:val="none"/>
                <w:lang w:val="en-US" w:eastAsia="zh-CN" w:bidi="ar"/>
              </w:rPr>
              <w:t>3)采用配重箱体式结构，内置移动轮，可随时移动搬运；</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eastAsia="宋体" w:cs="宋体"/>
                <w:i w:val="0"/>
                <w:iCs w:val="0"/>
                <w:snapToGrid w:val="0"/>
                <w:color w:val="000000"/>
                <w:kern w:val="0"/>
                <w:sz w:val="21"/>
                <w:szCs w:val="21"/>
                <w:highlight w:val="none"/>
                <w:u w:val="none"/>
                <w:lang w:val="en-US" w:eastAsia="zh-CN" w:bidi="ar"/>
              </w:rPr>
              <w:t>4)球网采用天然纤维材料，符合GB/T 19851.13标准要求；</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eastAsia="宋体" w:cs="宋体"/>
                <w:i w:val="0"/>
                <w:iCs w:val="0"/>
                <w:snapToGrid w:val="0"/>
                <w:color w:val="000000"/>
                <w:kern w:val="0"/>
                <w:sz w:val="21"/>
                <w:szCs w:val="21"/>
                <w:highlight w:val="none"/>
                <w:u w:val="none"/>
                <w:lang w:val="en-US" w:eastAsia="zh-CN" w:bidi="ar"/>
              </w:rPr>
              <w:t>5)外表采用静电喷塑工艺；可有效防晒、雨水、风沙、等自然因素造成的侵蚀。色泽均匀亮丽持久，器材配有不锈钢标识牌，提示相关注意事项和出厂日期。</w:t>
            </w:r>
          </w:p>
        </w:tc>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20" w:hRule="atLeast"/>
        </w:trPr>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w:t>
            </w:r>
          </w:p>
        </w:tc>
        <w:tc>
          <w:tcPr>
            <w:tcW w:w="1155"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网球场围网系统</w:t>
            </w:r>
          </w:p>
        </w:tc>
        <w:tc>
          <w:tcPr>
            <w:tcW w:w="6566"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eastAsia="宋体" w:cs="宋体"/>
                <w:i w:val="0"/>
                <w:iCs w:val="0"/>
                <w:snapToGrid w:val="0"/>
                <w:color w:val="000000"/>
                <w:kern w:val="0"/>
                <w:sz w:val="21"/>
                <w:szCs w:val="21"/>
                <w:highlight w:val="none"/>
                <w:u w:val="none"/>
                <w:lang w:val="en-US" w:eastAsia="zh-CN" w:bidi="ar"/>
              </w:rPr>
              <w:t>1)场地尺寸：不小于长36.6米、宽18.3米。合理配置2个出入门。</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eastAsia="宋体" w:cs="宋体"/>
                <w:i w:val="0"/>
                <w:iCs w:val="0"/>
                <w:snapToGrid w:val="0"/>
                <w:color w:val="000000"/>
                <w:kern w:val="0"/>
                <w:sz w:val="21"/>
                <w:szCs w:val="21"/>
                <w:highlight w:val="none"/>
                <w:u w:val="none"/>
                <w:lang w:val="en-US" w:eastAsia="zh-CN" w:bidi="ar"/>
              </w:rPr>
              <w:t>2)框架：围网立柱采用不小于φ76mm，管壁厚度为不小于3mm的优质钢管，围网采用模块拼接式，单个网片规格不大于3000(长)mm×2000（高）mm，围网总高度不小于4000mm，立柱采用独立地埋固定方式，立柱间隔不大于3ｍ，所有管材表面须经过静电粉末喷塑,颜色为墨绿色．立柱埋入地下深度应不小于400mm，地基尺寸应不小于400mmｘ400mmｘ400mm（深）。围网带有两个1.4米宽、2米高的双开式框架进出口，与围网模块结构一致。围网全部采用防盗镀锌或不锈钢螺栓，并采用防松螺母防松方式，保证连接长期可靠。立柱与连接横管采用固态粉静电喷涂工艺，颜色为墨绿色，色泽保持八年不变，围网风载荷标准值应不小于0.35kn/㎡。</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eastAsia="宋体" w:cs="宋体"/>
                <w:i w:val="0"/>
                <w:iCs w:val="0"/>
                <w:snapToGrid w:val="0"/>
                <w:color w:val="000000"/>
                <w:kern w:val="0"/>
                <w:sz w:val="21"/>
                <w:szCs w:val="21"/>
                <w:highlight w:val="none"/>
                <w:u w:val="none"/>
                <w:lang w:val="en-US" w:eastAsia="zh-CN" w:bidi="ar"/>
              </w:rPr>
              <w:t>3)网丝:包塑网片丝浸塑处理后网片径不小于Ф4mm,采用优质低碳镀锌钢丝，处理前丝径不小于Ф3mm，网孔50x50mm，勾花网，颜色为墨绿色，表面光滑细腻，各项性能指标达到 GB15065-94和IE60502标准，吸水率为0%。围网孔径应与运动功能相适应，具有防止球脱出的功能。</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highlight w:val="none"/>
                <w:u w:val="none"/>
                <w:lang w:val="en-US" w:eastAsia="zh-CN" w:bidi="ar"/>
              </w:rPr>
            </w:pPr>
            <w:r>
              <w:rPr>
                <w:rFonts w:hint="eastAsia" w:ascii="宋体" w:hAnsi="宋体" w:eastAsia="宋体" w:cs="宋体"/>
                <w:i w:val="0"/>
                <w:iCs w:val="0"/>
                <w:snapToGrid w:val="0"/>
                <w:color w:val="000000"/>
                <w:kern w:val="0"/>
                <w:sz w:val="21"/>
                <w:szCs w:val="21"/>
                <w:highlight w:val="none"/>
                <w:u w:val="none"/>
                <w:lang w:val="en-US" w:eastAsia="zh-CN" w:bidi="ar"/>
              </w:rPr>
              <w:t>4）产品说明：产品完全符合GB19272-2011《室外健身器材的安全通用要求》执行标准，且取得国家认可的第三方器材质量认证机构出具的有效期内NSCC或CGCC等认证证书及确认函。</w:t>
            </w:r>
          </w:p>
        </w:tc>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439.2</w:t>
            </w:r>
          </w:p>
        </w:tc>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w:t>
            </w:r>
          </w:p>
        </w:tc>
        <w:tc>
          <w:tcPr>
            <w:tcW w:w="1155"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网球场灯光系统</w:t>
            </w:r>
          </w:p>
        </w:tc>
        <w:tc>
          <w:tcPr>
            <w:tcW w:w="6566"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灯柱为围网的一部分，在整场围网中亦为围网的主立柱，增强围网的稳定性，灯柱采用直径不小于Ф114*3.0mm的钢管，6米高杆照明灯柱共8根（与篮球场共用4根），每根灯柱配备150W球场专用灯具一个（与其他场地共用灯杆配备150W球场专用灯具2个（双向））。</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2）灯具：选用球场专用灯具，亮度符合国际标准，光照度均匀，灯光柔和不刺眼。</w:t>
            </w:r>
          </w:p>
        </w:tc>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lang w:val="en-US" w:eastAsia="zh-CN"/>
              </w:rPr>
            </w:pPr>
            <w:r>
              <w:rPr>
                <w:rFonts w:hint="eastAsia" w:ascii="宋体" w:hAnsi="宋体" w:eastAsia="宋体" w:cs="宋体"/>
                <w:i w:val="0"/>
                <w:iCs w:val="0"/>
                <w:snapToGrid w:val="0"/>
                <w:color w:val="000000"/>
                <w:kern w:val="0"/>
                <w:sz w:val="21"/>
                <w:szCs w:val="21"/>
                <w:u w:val="none"/>
                <w:lang w:val="en-US" w:eastAsia="zh-CN" w:bidi="ar"/>
              </w:rPr>
              <w:t>1</w:t>
            </w:r>
          </w:p>
        </w:tc>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540" w:hRule="atLeast"/>
        </w:trPr>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w:t>
            </w:r>
          </w:p>
        </w:tc>
        <w:tc>
          <w:tcPr>
            <w:tcW w:w="1155"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网球场丙烯酸运动面层</w:t>
            </w:r>
          </w:p>
        </w:tc>
        <w:tc>
          <w:tcPr>
            <w:tcW w:w="6566"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丙烯酸厚度：4±1mm。</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（1）网球场原材料符合GB 36246-2018有害物质限量要求，并提供具有CMA资质检测机构出具的测试合格报告。</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（2）网球场成品符合GB 36246-2018物理性能、耐老化性能、无机填料、有害物质限量及气味要求，并提供具有CMA资质检测机构出具的测试合格报告。</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（3）网球场面层冲击吸收达到20-35%、反（回）弹值≥80%、滑动阻力在60-100BPN之间、地面速率在30-40之间，提供符合GB/T 20033.2-2005标准并具有CMA资质检测机构出具的测试合格检验报告；</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（4）球场面层成品经过60℃热空气老化≥800h后，拉断伸长率＞200%。热空气老化前后，冲击吸收、垂直变形、拉伸强度、拉断伸长率均符合GB/T22517.4-2017、GB/T 14833-2020、GB 36246-2018的相关要求，并提供具有“CMA”资质的检测机构出具的测试报告。</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（5）球场面漆经过6000次的耐洗刷测试，外观均能保持底材不暴露状态，提供依据GB/T9266-2009标准测试的具有“CMA”资质的检测机构出具的测试合格报告。</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（6）球场面漆材料进行不低于800小时的人工气候老化测试后，材料无起泡、无剥落、无裂纹、粉化＜1级，提供具有“CMA”资质检测机构出具的GB/T22374-2018测试合格报告。</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7）球场弹性层缓冲反弹结构材料拉伸强度≧0.5MPa，拉断伸长率≧80%，且经过500h氙灯加速老化后，拉伸强度能≧0.5MPa，拉断伸长率能达到90%以上，提供依据GB36246-2018标准检测的具有“CMA”与“CNAS”资质的检测机构出具的测试报告；</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8）网球场面漆材料耐污性能强，接触95#汽油、咖啡、尿液、绿茶、石灰浆、可乐、黑色墨水、建筑涂料用灰水（与水配比1：1）、蜡笔、液体鞋油24h，浸入水中或酒精中用毛刷刷洗，清洗后，面漆表层轻微影响（污渍很容易通过温和的</w:t>
            </w:r>
            <w:r>
              <w:rPr>
                <w:rFonts w:hint="eastAsia" w:ascii="宋体" w:hAnsi="宋体" w:eastAsia="宋体" w:cs="宋体"/>
                <w:i w:val="0"/>
                <w:iCs w:val="0"/>
                <w:snapToGrid w:val="0"/>
                <w:color w:val="000000"/>
                <w:kern w:val="0"/>
                <w:sz w:val="21"/>
                <w:szCs w:val="21"/>
                <w:u w:val="none"/>
                <w:lang w:val="en-US" w:eastAsia="zh-CN" w:bidi="ar"/>
              </w:rPr>
              <w:t>洗涤剂</w:t>
            </w:r>
            <w:r>
              <w:rPr>
                <w:rFonts w:hint="eastAsia" w:ascii="宋体" w:hAnsi="宋体" w:eastAsia="宋体" w:cs="宋体"/>
                <w:i w:val="0"/>
                <w:iCs w:val="0"/>
                <w:snapToGrid w:val="0"/>
                <w:color w:val="000000"/>
                <w:kern w:val="0"/>
                <w:sz w:val="21"/>
                <w:szCs w:val="21"/>
                <w:u w:val="none"/>
                <w:lang w:val="en-US" w:eastAsia="zh-CN" w:bidi="ar"/>
              </w:rPr>
              <w:t>去除）或无影响，提供满足标准要求的测试报告；</w:t>
            </w:r>
          </w:p>
        </w:tc>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669.78</w:t>
            </w:r>
          </w:p>
        </w:tc>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40" w:hRule="atLeast"/>
        </w:trPr>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5</w:t>
            </w:r>
          </w:p>
        </w:tc>
        <w:tc>
          <w:tcPr>
            <w:tcW w:w="1155"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网球场告示牌</w:t>
            </w:r>
          </w:p>
        </w:tc>
        <w:tc>
          <w:tcPr>
            <w:tcW w:w="6566"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应牢固固定于进出口区域，面板采用不锈钢材质，耐蚀性能相当于0Cr18Ni9（SUS304），尺寸不小于800×500mm，厚度不小于1mm，面板边缘及尖角不得翘起，图样及字样蚀刻处理；内容至少包含以下内容：须有中国体育彩票标示；产品名称；简明的科学健身提示，产品使用安全注意事项；产品供应商的全称，售后服务电话及督查电话；管理维护单位及联系电话。</w:t>
            </w:r>
          </w:p>
        </w:tc>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w:t>
            </w:r>
          </w:p>
        </w:tc>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5" w:hRule="atLeast"/>
        </w:trPr>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6</w:t>
            </w:r>
          </w:p>
        </w:tc>
        <w:tc>
          <w:tcPr>
            <w:tcW w:w="1155"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移动篮球架</w:t>
            </w:r>
          </w:p>
        </w:tc>
        <w:tc>
          <w:tcPr>
            <w:tcW w:w="6566"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1）产品规格：篮球架伸臂长不小于1.85m，篮圈上沿离地面3.05m，篮架底座长*宽不小2m*1m。</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球架立柱采用不小于口150*150*3优质大圆角方管制作，圆角R30mm；篮架伸臂采用δ3进口优质铁板一次冲压成型后在专用折边机上折边，保持产品的美观性和统配性，伸臂上拉杆固定孔均采用冲压成型后焊接内置焊接螺母，篮架立柱底板采用优质精密铸钢件制作，造型美观大方，性能安全可靠，篮架上拉杆在弯管机上一次成型，通过调节上拉杆，可调节篮板的平面度和垂直度，通过调节下拉杆，可调节篮圈与地面的平行度。球架底座轮廓采用优质钢板冲压成型一次拼焊成型。</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3）篮板规格：1800*1050（mm），篮板配用国际通用的高强度安全玻璃篮板，并在篮板下沿及侧面覆盖有保护条，能保护运动员运动时不受伤害。</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4）篮圈采用不小于φ19实心圆钢制作，圈下须焊有冲压成型的圆弧形网钩，十二段均匀分布留适当间隙，配篮网。</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5）篮架所有紧固件均须采用热镀锌处理，保证长年不生锈。</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default"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6）产品说明：产品完全符合GB19272-2011《室外健身器材的安全通用要求》执行标准，且取得国家认可的第三方器材质量认证机构出具的有效期内NSCC或CGCC等认证证书及确认函。</w:t>
            </w:r>
          </w:p>
        </w:tc>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w:t>
            </w:r>
          </w:p>
        </w:tc>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85" w:hRule="atLeast"/>
        </w:trPr>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7</w:t>
            </w:r>
          </w:p>
        </w:tc>
        <w:tc>
          <w:tcPr>
            <w:tcW w:w="1155"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篮球场围网系统</w:t>
            </w:r>
          </w:p>
        </w:tc>
        <w:tc>
          <w:tcPr>
            <w:tcW w:w="6566"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1)场地尺寸：2套围网相互连接并分隔成2个篮球场地，总尺寸不小于长36.6米、宽38米。每个场地合理配置2个出入门。</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2）其余技术参数参照“网球场围网系统”技术参数。</w:t>
            </w:r>
          </w:p>
        </w:tc>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450.4</w:t>
            </w:r>
          </w:p>
        </w:tc>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40" w:hRule="atLeast"/>
        </w:trPr>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8</w:t>
            </w:r>
          </w:p>
        </w:tc>
        <w:tc>
          <w:tcPr>
            <w:tcW w:w="1155"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篮球场灯光系统</w:t>
            </w:r>
          </w:p>
        </w:tc>
        <w:tc>
          <w:tcPr>
            <w:tcW w:w="6566"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1）灯柱为围网的一部分，在整场围网中亦为围网的主立柱，增强围网的稳定性，灯柱采用直径不小于Ф114*3.0mm的钢管，6米高杆照明灯柱共8根（与羽毛球场共用4根），每根灯柱配备150W球场专用灯具2个（双向）。</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2）灯具：选用球场专用灯具，亮度符合国际标准，光照度均匀，灯光柔和不刺眼。</w:t>
            </w:r>
          </w:p>
        </w:tc>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w:t>
            </w:r>
          </w:p>
        </w:tc>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9</w:t>
            </w:r>
          </w:p>
        </w:tc>
        <w:tc>
          <w:tcPr>
            <w:tcW w:w="1155"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篮球场硅PU运动面层</w:t>
            </w:r>
          </w:p>
        </w:tc>
        <w:tc>
          <w:tcPr>
            <w:tcW w:w="6566"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硅PU厚度：8±1mm。</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1）硅PU球场原材料、成品物理性能、成品有害物质限量及气味等均须符合GB36246-2018有害物质限量要求，并提供具有“CMA”资质检测机构出具的测试合格报告；</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球场面层符合GB36246-2018有害物质限量以及气味等级、物理性能、老化性能、无机填料全项检测要求，且3种邻苯二甲酸酯类（DBP、BBP、DEHP）总和、3种邻苯二甲酸酯类（DNOP、DINP、DIDP）总和、18种多环芳烃总和、苯并[a]芘、短链氯化石蜡（C10-C13）、游离甲苯二异氰酸酯（TDI）和游离六亚甲基二异氰酸酯（HDI）总和、游离二苯基甲烷二异氰酸酯（MDI）、可溶性重金属（铅、镉、铬、汞）、苯、苯类总和、二硫化碳未检出、TVOC＜4mg/（㎡.h）、气味等级＜3级，冲击吸收20-50%、垂直变形0.6-2.0mm、拉伸强度＞1MPa、拉断伸长率＞100%，提供具有“CMA”或“CNAS”资质的检测机构出具的符合要求报告</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球场面层具有多功能运动性能，冲击吸收、垂直变形、抗滑值（干测、湿测）、拉伸强度、拉断伸长率、耐磨性、阻燃性能符合GB/T14833-2020多功能运动场地面层性能要求，并提供具有“CMA”资质检测机构出具的测试合格报告。</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为了能有更好的运动打球体验，保证球场材料具有专业运动性能，球场面层能符合国际篮联（FIBA）对永久合成塑胶类地板的要求，冲击吸收依据EN14808标准≧25%，垂直变形依据EN14809标准＜3.5mm，垂直球反弹依据EN12235标准≧90%，滑动性能（干态）依据EN13036-4标准80-110，并提供国际篮联授权实验室出具的测试报告；</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球场面漆材料经过不低于2000小时的紫外线照射后，要求耐黄变性能≦3级，且涂膜外观不起泡、不剥落、无裂纹、无粉化现象，符合GB/T39294-2020、GB/T22374-2018标准要求，并提供具有“CMA”资质检测机构出具的测试合格报告。</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6）球场面漆材料抗划伤性、抗热胎压痕性具有“CMA”资质的测试合格报告。依据GB/T 22374-2018标准测试球场面漆材料抗划伤性≦0.5、抗热胎压痕性△E≦0.5，提供具有“CMA”资质的检测机构出具的测试合格报告。</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7）球场面漆具有耐温变性，球场面层的冲击吸收、垂直变形、球反弹率、抗滑值、摩擦系数、拉伸强度、拉断伸长率、阻燃性、耐磨性、撕裂强度、邵A硬度物理性能在未老化及湿热（≧500h，70℃）、老化后的测试数据符合GB36246-2018、GB/T14833-2020、GB/T22517.4-2017标准相关要求，且色牢度＞3级，外观无起泡、开裂等影响使用和明显外观缺陷，提供具有“CNAS”资质FIBA国际篮联授权实验室出具的测试合格报告。</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8）标志线（白色）：标志线应清晰、不反光，无明显虚边，与面层粘合牢固。坡度：满足排水要求。实际产品外观要求：无裂纹、分层、龟裂、鳄鱼皮裂和玻璃裂纹等现象，无明显凹凸现象，表面色泽均匀、耐久。平整度合格率：平整度合格率不小于 85%。</w:t>
            </w:r>
          </w:p>
        </w:tc>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1390.8</w:t>
            </w:r>
          </w:p>
        </w:tc>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5" w:hRule="atLeast"/>
        </w:trPr>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10</w:t>
            </w:r>
          </w:p>
        </w:tc>
        <w:tc>
          <w:tcPr>
            <w:tcW w:w="1155"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篮球场告示牌</w:t>
            </w:r>
          </w:p>
        </w:tc>
        <w:tc>
          <w:tcPr>
            <w:tcW w:w="6566"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应牢固固定于进出口区域，面板采用不锈钢材质，耐蚀性能相当于0Cr18Ni9（SUS304），尺寸不小于800×500mm，厚度不小于1mm，面板边缘及尖角不得翘起，图样及字样蚀刻处理；内容至少包含以下内容：须有中国体育彩票标示；产品名称；简明的科学健身提示，产品使用安全注意事项；产品供应商的全称，售后服务电话及督查电话；管理维护单位及联系电话。</w:t>
            </w:r>
          </w:p>
        </w:tc>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w:t>
            </w:r>
          </w:p>
        </w:tc>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11</w:t>
            </w:r>
          </w:p>
        </w:tc>
        <w:tc>
          <w:tcPr>
            <w:tcW w:w="1155"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移动羽毛球网柱</w:t>
            </w:r>
          </w:p>
        </w:tc>
        <w:tc>
          <w:tcPr>
            <w:tcW w:w="6566"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1)立柱采用直径不小于Φ40mm，壁厚不小于3.0mm钢管；</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2)高度可调节，适用于成人及中小学生使用；</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3)采用配重箱体式结构，内置移动轮，可随时移动搬运；</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4)球网采用天然纤维材料，符合GB/T 19851.13标准要求；</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5)外表采用静电喷塑工艺；可有效防晒、雨水、风沙、等自然因素造成的侵蚀。色泽均匀亮丽持久，器材配有不锈钢标识牌，提示相关注意事项和出厂日期。</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default"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6）产品说明：产品完全符合GB19272-2011《室外健身器材的安全通用要求》执行标准，且取得国家认可的第三方器材质量认证机构出具的有效期内NSCC或CGCC等认证证书及确认函。</w:t>
            </w:r>
          </w:p>
        </w:tc>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w:t>
            </w:r>
          </w:p>
        </w:tc>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5" w:hRule="atLeast"/>
        </w:trPr>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12</w:t>
            </w:r>
          </w:p>
        </w:tc>
        <w:tc>
          <w:tcPr>
            <w:tcW w:w="1155"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羽毛球、毽球场围网系统</w:t>
            </w:r>
          </w:p>
        </w:tc>
        <w:tc>
          <w:tcPr>
            <w:tcW w:w="6566"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1)场地尺寸：不小于长36.6米、宽20米。合理配置2个出入门。</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2）其余技术参数参照“网球场围网系统”技术参数。</w:t>
            </w:r>
          </w:p>
        </w:tc>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452.8</w:t>
            </w:r>
          </w:p>
        </w:tc>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00" w:hRule="atLeast"/>
        </w:trPr>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13</w:t>
            </w:r>
          </w:p>
        </w:tc>
        <w:tc>
          <w:tcPr>
            <w:tcW w:w="1155"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羽毛球、毽球场灯光系统</w:t>
            </w:r>
          </w:p>
        </w:tc>
        <w:tc>
          <w:tcPr>
            <w:tcW w:w="6566"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1）灯柱为围网的一部分，在整场围网中亦为围网的主立柱，增强围网的稳定性，灯柱采用直径不小于Ф114*3.0mm的钢管，6米高杆照明灯柱共4根（与气排球场共用），每根灯柱配备150W球场专用灯具2个（双向）。</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2）灯具：选用球场专用灯具，亮度符合国际标准，光照度均匀，灯光柔和不刺眼。</w:t>
            </w:r>
          </w:p>
        </w:tc>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14</w:t>
            </w:r>
          </w:p>
        </w:tc>
        <w:tc>
          <w:tcPr>
            <w:tcW w:w="1155"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羽毛球、毽球场硅PU运动面层</w:t>
            </w:r>
          </w:p>
        </w:tc>
        <w:tc>
          <w:tcPr>
            <w:tcW w:w="6566" w:type="dxa"/>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技术参数参照“篮球场硅PU运动面层”技术参数。</w:t>
            </w:r>
          </w:p>
        </w:tc>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732</w:t>
            </w:r>
          </w:p>
        </w:tc>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00" w:hRule="atLeast"/>
        </w:trPr>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15</w:t>
            </w:r>
          </w:p>
        </w:tc>
        <w:tc>
          <w:tcPr>
            <w:tcW w:w="1155"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羽毛球、毽球场告示牌</w:t>
            </w:r>
          </w:p>
        </w:tc>
        <w:tc>
          <w:tcPr>
            <w:tcW w:w="6566"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应牢固固定于进出口区域，面板采用不锈钢材质，耐蚀性能相当于0Cr18Ni9（SUS304），尺寸不小于800×500mm，厚度不小于1mm，面板边缘及尖角不得翘起，图样及字样蚀刻处理；内容至少包含以下内容：须有中国体育彩票标示；产品名称；简明的科学健身提示，产品使用安全注意事项；产品供应商的全称，售后服务电话及督查电话；管理维护单位及联系电话。</w:t>
            </w:r>
          </w:p>
        </w:tc>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w:t>
            </w:r>
          </w:p>
        </w:tc>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00" w:hRule="atLeast"/>
        </w:trPr>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16</w:t>
            </w:r>
          </w:p>
        </w:tc>
        <w:tc>
          <w:tcPr>
            <w:tcW w:w="1155"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移动排球网柱</w:t>
            </w:r>
          </w:p>
        </w:tc>
        <w:tc>
          <w:tcPr>
            <w:tcW w:w="6566"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1)立柱采用直径不小于Φ60mm，壁厚不小于3.0mm 钢管；</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2)高度可调节，适用于成人及中小学生使用；</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3)采用配重箱体式结构，内置移动轮，可随时移动搬运；</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4)球网采用天然纤维材料，符合GB/T 19851.13标准要求；</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5)外表采用静电喷塑工艺；可有效防晒、雨水、风沙、等自然因素造成的侵蚀。色泽均匀亮丽持久，器材配有不锈钢标识牌，提示相关注意事项和出厂日期。</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default"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6）产品说明：产品完全符合GB19272-2011《室外健身器材的安全通用要求》执行标准，且取得国家认可的第三方器材质量认证机构出具的有效期内NSCC或CGCC等认证证书及确认函。</w:t>
            </w:r>
          </w:p>
        </w:tc>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w:t>
            </w:r>
          </w:p>
        </w:tc>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0" w:hRule="atLeast"/>
        </w:trPr>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17</w:t>
            </w:r>
          </w:p>
        </w:tc>
        <w:tc>
          <w:tcPr>
            <w:tcW w:w="1155"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气排球场围网系统</w:t>
            </w:r>
          </w:p>
        </w:tc>
        <w:tc>
          <w:tcPr>
            <w:tcW w:w="6566"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1)场地尺寸：不小于长36.6米、宽10米。合理配置2个出入门。</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2）其余技术参数参照“网球场围网系统”技术参数。</w:t>
            </w:r>
          </w:p>
        </w:tc>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226.4</w:t>
            </w:r>
          </w:p>
        </w:tc>
        <w:tc>
          <w:tcPr>
            <w:tcW w:w="0" w:type="auto"/>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rPr>
                <w:rFonts w:hint="eastAsia" w:ascii="宋体" w:hAnsi="宋体" w:eastAsia="宋体" w:cs="宋体"/>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60" w:hRule="atLeast"/>
        </w:trPr>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18</w:t>
            </w:r>
          </w:p>
        </w:tc>
        <w:tc>
          <w:tcPr>
            <w:tcW w:w="1155"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气排球场灯光系统</w:t>
            </w:r>
          </w:p>
        </w:tc>
        <w:tc>
          <w:tcPr>
            <w:tcW w:w="6566"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1）灯柱为围网的一部分，在整场围网中亦为围网的主立柱，增强围网的稳定性，灯柱采用直径不小于Ф114*3.0mm的钢管，6米高杆照明灯柱共4根，每根灯柱配备150W球场专用灯具1个。</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2）灯具：选用球场专用灯具，亮度符合国际标准，光照度均匀，灯光柔和不刺眼。</w:t>
            </w:r>
          </w:p>
        </w:tc>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0" w:type="auto"/>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rPr>
                <w:rFonts w:hint="eastAsia" w:ascii="宋体" w:hAnsi="宋体" w:eastAsia="宋体" w:cs="宋体"/>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5" w:hRule="atLeast"/>
        </w:trPr>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19</w:t>
            </w:r>
          </w:p>
        </w:tc>
        <w:tc>
          <w:tcPr>
            <w:tcW w:w="1155"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气排球场硅PU运动面层</w:t>
            </w:r>
          </w:p>
        </w:tc>
        <w:tc>
          <w:tcPr>
            <w:tcW w:w="6566" w:type="dxa"/>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技术参数参照“篮球场硅PU运动面层”技术参数。</w:t>
            </w:r>
          </w:p>
        </w:tc>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366</w:t>
            </w:r>
          </w:p>
        </w:tc>
        <w:tc>
          <w:tcPr>
            <w:tcW w:w="0" w:type="auto"/>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rPr>
                <w:rFonts w:hint="eastAsia" w:ascii="宋体" w:hAnsi="宋体" w:eastAsia="宋体" w:cs="宋体"/>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20" w:hRule="atLeast"/>
        </w:trPr>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w:t>
            </w:r>
          </w:p>
        </w:tc>
        <w:tc>
          <w:tcPr>
            <w:tcW w:w="1155"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气排球场告示牌</w:t>
            </w:r>
          </w:p>
        </w:tc>
        <w:tc>
          <w:tcPr>
            <w:tcW w:w="6566"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应牢固固定于进出口区域，面板采用不锈钢材质，耐蚀性能相当于0Cr18Ni9（SUS304），尺寸不小于800×500mm，厚度不小于1mm，面板边缘及尖角不得翘起，图样及字样蚀刻处理；内容至少包含以下内容：须有中国体育彩票标示；产品名称；简明的科学健身提示，产品使用安全注意事项；产品供应商的全称，售后服务电话及督查电话；管理维护单位及联系电话。</w:t>
            </w:r>
          </w:p>
        </w:tc>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w:t>
            </w:r>
          </w:p>
        </w:tc>
        <w:tc>
          <w:tcPr>
            <w:tcW w:w="0" w:type="auto"/>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rPr>
                <w:rFonts w:hint="eastAsia" w:ascii="宋体" w:hAnsi="宋体" w:eastAsia="宋体" w:cs="宋体"/>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0" w:hRule="atLeast"/>
        </w:trPr>
        <w:tc>
          <w:tcPr>
            <w:tcW w:w="0" w:type="auto"/>
            <w:gridSpan w:val="5"/>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智慧健身公园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序号</w:t>
            </w:r>
          </w:p>
        </w:tc>
        <w:tc>
          <w:tcPr>
            <w:tcW w:w="1155"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器材名称</w:t>
            </w:r>
          </w:p>
        </w:tc>
        <w:tc>
          <w:tcPr>
            <w:tcW w:w="6566" w:type="dxa"/>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技术参数</w:t>
            </w:r>
          </w:p>
        </w:tc>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数量</w:t>
            </w:r>
          </w:p>
        </w:tc>
        <w:tc>
          <w:tcPr>
            <w:tcW w:w="0" w:type="auto"/>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115" w:hRule="atLeast"/>
        </w:trPr>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1155"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双位智能太空漫步机</w:t>
            </w:r>
          </w:p>
        </w:tc>
        <w:tc>
          <w:tcPr>
            <w:tcW w:w="6566"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1、主要承载立柱尺寸不小于130×130×3.0mm或其它同等质量规格管材，两侧修饰塑木边条，塑木边条上镶嵌铝条，具有美观、耐冲击和抗老化的作用；立柱上配置有挂衣钩及手机支架。</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2、器材带有遮阳顶蓬装置和太阳能供电，顶蓬采用PC耐力板，规格不小于2200mm×1100mm；</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3、主要承载横梁尺寸不小于80×40×3.0mm或其它同等质量规格管材；</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4、摆杆与主立柱内侧的最小距离处不小于67mm，单侧摆幅不大于60°，摆杆尺寸不小于φ60×t3.0mm，扶手把尺寸不小于Φ32×t3.0mm；</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5、踏板的主运动方向和易滑脱方向设置高度30mm、长度大于踏板周长；不小于2/3的防滑脱的凸台或护板；凸台顶部棱边R不小于2mm；</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6、踏板前后采取防止碰撞第三者的缓冲措施；</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7、不允许存在衣服、头发钩挂或缠绕危险。</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智能配置：</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1、器材装置有智能显示屏，可显示运动时间、消耗卡路里量、运动次数等运动数据，显示屏采用优质户外工程塑料外壳保护，显示屏面板采用钢化玻璃面板防护，显示屏组件防水防尘等级不小于IP65。</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2、器材设置有语音播报装置，使用时会自动播报锻炼功能、锻炼方法及锻炼注意事项。且可实时播报运动数据。另配置有语音播报开关，用户可自主选择是否进行播报。</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3、器材上方左右各装置一个太阳能照明灯，光线不足时可会自动开启，无人时自动关闭。</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4、器材上配置有USB充电口，可边运动边充电。</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5、所有用电均采用太阳能供电，节能环保。</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6、可通过手机扫描二维码实现一键报修，查看运动指导视频。</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7、用户通过微信扫码进入小程序可获取存储运动数据、查看运动指导视频、历史运动数据、运动排名、设置运动计划、锻炼提醒及进行一键报修。</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8、系统后端可收集器材的使用频率、时长、卡路里、区域、人次、时间段等用户运动数据，并生成各种维度的统计分析。可为政府提供户外场地设施利用率监测、全民健身情况及科学决策分析等大数据服务。</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9、产品说明：产品完全符合GB19272-2011《室外健身器材的安全通用要求》执行标准，且通过NSCC国体认证。</w:t>
            </w:r>
          </w:p>
        </w:tc>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w:t>
            </w:r>
          </w:p>
        </w:tc>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30" w:hRule="atLeast"/>
        </w:trPr>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w:t>
            </w:r>
          </w:p>
        </w:tc>
        <w:tc>
          <w:tcPr>
            <w:tcW w:w="1155"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双位智能扭腰器</w:t>
            </w:r>
          </w:p>
        </w:tc>
        <w:tc>
          <w:tcPr>
            <w:tcW w:w="6566"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1、主要承载立柱尺寸不小于130×130×3.0mm或其它同等质量规格管材，两侧修饰塑木边条，塑木边条上镶嵌铝条，具有美观、耐冲击和抗老化的作用；立柱上配置有挂衣钩及手机支架。</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2、器材带有遮阳顶蓬装置和太阳能供电，顶蓬采用PC耐力板，规格为不小于2200mm×1100mm；</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3、主要承载横梁尺寸不小于Φ60×3.0mm；</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4、扶手尺寸规格不小于Φ32×t2.0mm；</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5、转盘采用钢板冲压而成，直径不小于300mm，表面采用防滑措施，棱边和尖角采用不小于3mm的圆角过渡；</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6、转动部位采用不小于6206深沟球轴承+30206圆锥滚子轴承；</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7、设有符合人体生物学规律的阻尼结构，防止转盘高速转动。</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智能配置：</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1、器材装置有智能显示屏，可显示运动时间、消耗卡路里量、运动次数等运动数据，显示屏采用优质户外工程塑料外壳保护，显示屏面板采用钢化玻璃面板防护，显示屏组件防水防尘等级不小于IP65。</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2、器材设置有语音播报装置，使用时会自动播报锻炼功能、锻炼方法及锻炼注意事项。且可实时播报运动数据。另配置有语音播报开关，用户可自主选择是否进行播报。</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3、器材上方左右各装置一个太阳能照明灯，光线不足时可会自动开启，无人时自动关闭。</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4、器材上配置有USB充电口，可边运动边充电。</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5、所有用电均采用太阳能供电，节能环保。</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6、可通过手机扫描二维码实现一键报修，查看运动指导视频。</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7、用户通过微信扫码进入小程序可获取存储运动数据、查看运动指导视频、历史运动数据、运动排名、设置运动计划、锻炼提醒及进行一键报修。</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8、系统后端可收集器材的使用频率、时长、卡路里、区域、人次、时间段等用户运动数据，并生成各种维度的统计分析。可为政府提供户外场地设施利用率监测、全民健身情况及科学决策分析等大数据服务。</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9、产品说明：产品完全符合GB19272-2011《室外健身器材的安全通用要求》执行标准，通过NSCC国体认证。</w:t>
            </w:r>
          </w:p>
        </w:tc>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w:t>
            </w:r>
          </w:p>
        </w:tc>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5" w:hRule="atLeast"/>
        </w:trPr>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w:t>
            </w:r>
          </w:p>
        </w:tc>
        <w:tc>
          <w:tcPr>
            <w:tcW w:w="1155"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双位智能背部按摩器</w:t>
            </w:r>
          </w:p>
        </w:tc>
        <w:tc>
          <w:tcPr>
            <w:tcW w:w="6566"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1、主要承载立柱尺寸不小于130×130×3.0mm或其它同等质量规格管材，两侧修饰塑木边条，塑木边条上镶嵌铝条，具有美观、耐冲击和抗老化的作用；立柱上配置有挂衣钩及手机支架。</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2、器材带有遮阳顶蓬装置和太阳能供电，顶蓬采用PC耐力板，规格不小于2200mm×1100mm；</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3、主要承载横梁尺寸不小于100×50×3.0mm；</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4、主转轴直径不小于30mm；</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5、手把采用不小于φ32×t3.0优质花纹管，手柄端部直径不小于φ50mm；</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6、加强板厚为不小于5.0mm，U形件壁厚为不小于8.0mm；</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7、采用内限位结构；</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智能配置：</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1、器材装置有智能显示屏，可显示运动时间、消耗卡路里量、运动次数等运动数据，显示屏采用优质户外工程塑料外壳保护，显示屏面板采用钢化玻璃面板防护，显示屏组件防水防尘等级不小于IP65。</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2、器材设置有语音播报装置，使用时会自动播报锻炼功能、锻炼方法及锻炼注意事项。且可实时播报运动数据。另配置有语音播报开关，用户可自主选择是否进行播报。</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3、器材上方左右各装置一个太阳能照明灯，光线不足时可会自动开启，无人时自动关闭。</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4、器材上配置有USB充电口，可边运动边充电。</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5、所有用电均采用太阳能供电，节能环保。</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6、可通过手机扫描二维码实现一键报修，查看运动指导视频。</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7、用户通过微信扫码进入小程序可获取存储运动数据、查看运动指导视频、历史运动数据、运动排名、设置运动计划、锻炼提醒及进行一键报修。</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8、系统后端可收集器材的使用频率、时长、卡路里、区域、人次、时间段等用户运动数据，并生成各种维度的统计分析。可为政府提供户外场地设施利用率监测、全民健身情况及科学决策分析等大数据服务。</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9、产品说明：产品完全符合GB19272-2011《室外健身器材的安全通用要求》执行标准，且通过NSCC国体认证。</w:t>
            </w:r>
          </w:p>
        </w:tc>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w:t>
            </w:r>
          </w:p>
        </w:tc>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80" w:hRule="atLeast"/>
        </w:trPr>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w:t>
            </w:r>
          </w:p>
        </w:tc>
        <w:tc>
          <w:tcPr>
            <w:tcW w:w="1155"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双位智能太极揉推轮</w:t>
            </w:r>
          </w:p>
        </w:tc>
        <w:tc>
          <w:tcPr>
            <w:tcW w:w="6566"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1、主要承载立柱尺寸不小于130×130×3.0mm或其它同等质量规格管材，两侧修饰塑木边条，塑木边条上镶嵌铝条，具有美观、耐冲击和抗老化的作用；立柱上配置有挂衣钩及手机支架。</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2、器材带有遮阳顶蓬装置和太阳能供电，顶蓬采用PC耐力板，规格不小于2200mm×1100mm；</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3、主要承载横梁尺寸不小于φ50×3.0mm；</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4、两转盘间的开口距离不小于330mm；</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5、设有符合人体生物学规律的阻尼结构，防止转盘高速转动；</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6、转盘采用Q235A优质钢材。</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智能配置：</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1、器材装置有智能显示屏，可显示运动时间、消耗卡路里量、运动次数等运动数据，显示屏采用优质户外工程塑料外壳保护，显示屏面板采用钢化玻璃面板防护，显示屏组件防水防尘等级不小于IP65。</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2、器材设置有语音播报装置，使用时会自动播报锻炼功能、锻炼方法及锻炼注意事项。且可实时播报运动数据。另配置有语音播报开关，用户可自主选择是否进行播报。</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3、器材上方左右各装置一个太阳能照明灯，光线不足时可会自动开启，无人时自动关闭。</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4、器材上配置有USB充电口，可边运动边充电。</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5、所有用电均采用太阳能供电，节能环保。</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6、可通过手机扫描二维码实现一键报修，查看运动指导视频。</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7、用户通过微信扫码进入小程序可获取存储运动数据、查看运动指导视频、历史运动数据、运动排名、设置运动计划、锻炼提醒及进行一键报修。</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8、系统后端可收集器材的使用频率、时长、卡路里、区域、人次、时间段等用户运动数据，并生成各种维度的统计分析。可为政府提供户外场地设施利用率监测、全民健身情况及科学决策分析等大数据服务。9、产品说明：产品完全符合GB19272-2011《室外健身器材的安全通用要求》执行标准，通过NSCC国体认证。</w:t>
            </w:r>
          </w:p>
        </w:tc>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w:t>
            </w:r>
          </w:p>
        </w:tc>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0" w:hRule="atLeast"/>
        </w:trPr>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5</w:t>
            </w:r>
          </w:p>
        </w:tc>
        <w:tc>
          <w:tcPr>
            <w:tcW w:w="1155"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双位智能健身车</w:t>
            </w:r>
          </w:p>
        </w:tc>
        <w:tc>
          <w:tcPr>
            <w:tcW w:w="6566"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1、主要承载立柱尺寸不小于φ114×3.0mm或其它同等质量规格管材。</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2、器材带有遮阳顶蓬装置和太阳能供电，顶蓬采用PC耐力板，规格不小于2200mm×1100mm；</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3、主要承载横梁尺寸不小于φ48×3.0mm或其它同等质量规格管材；</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4、有防止高速旋转的阻尼装置,活动部件底面与地面间距：不小于94mm；</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5、主转动部位采用不小于6205承载能力好的深沟球轴承；</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智能配置：</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1、器材装置有智能显示屏，可显示运动时间、消耗卡路里量、运动次数等运动数据，显示屏采用优质户外工程塑料外壳保护，显示屏面板采用钢化玻璃面板防护，显示屏组件防水防尘等级不小于IP65。</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2、器材设置有语音播报装置，使用时会自动播报锻炼功能、锻炼方法及锻炼注意事项。且可实时播报运动数据。另配置有语音播报开关，用户可自主选择是否进行播报。</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3、器材上方左右各装置一个太阳能照明灯，光线不足时可会自动开启，无人时自动关闭。</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4、器材上配置有USB充电口，可边运动边充电。</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5、所有用电均采用太阳能供电，节能环保。</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6、可通过手机扫描二维码实现一键报修，查看运动指导视频。</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7、用户通过微信扫码进入小程序可获取存储运动数据、查看运动指导视频、历史运动数据、运动排名、设置运动计划、锻炼提醒及进行一键报修。</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8、系统后端可收集器材的使用频率、时长、卡路里、区域、人次、时间段等用户运动数据，并生成各种维度的统计分析。可为政府提供户外场地设施利用率监测、全民健身情况及科学决策分析等大数据服务。</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9、产品说明：产品完全符合GB19272-2011《室外健身器材的安全通用要求》执行标准，通过NSCC国体认证。</w:t>
            </w:r>
          </w:p>
        </w:tc>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5</w:t>
            </w:r>
          </w:p>
        </w:tc>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380" w:hRule="atLeast"/>
        </w:trPr>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6</w:t>
            </w:r>
          </w:p>
        </w:tc>
        <w:tc>
          <w:tcPr>
            <w:tcW w:w="1155"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双位智能两位坐蹬器</w:t>
            </w:r>
          </w:p>
        </w:tc>
        <w:tc>
          <w:tcPr>
            <w:tcW w:w="6566"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1、主要承载立柱尺寸不小于130×130×3.0mm或其它同等质量规格管材，两侧修饰塑木边条，塑木边条上镶嵌铝条，具有美观、耐冲击和抗老化的作用；立柱上配置有挂衣钩及手机支架。</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2、器材带有遮阳顶蓬装置和太阳能供电，顶蓬采用PC耐力板，规格为不小于2200mm×1100mm；</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3、主要承载横梁尺寸不小于φ76×3.0mm；</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4、摆杆采用内限位结构；摆杆尺寸不小于Φ60×t3.0mm；</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5、蹬力器摆杆与立柱之间的距离不小于260mm；</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6、脚踏部位有防滑措施；摩擦系数为不小于0.53；</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7、采用内限位结构；</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8、座椅靠背面板采用铁板焊接而成，厚度不小于4MM或等强度规格材料。</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智能配置：</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1、器材装置有智能显示屏，可显示运动时间、消耗卡路里量、运动次数等运动数据，显示屏采用优质户外工程塑料外壳保护，显示屏面板采用钢化玻璃面板防护，显示屏组件防水防尘等级不小于IP65。</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2、器材设置有语音播报装置，使用时会自动播报锻炼功能、锻炼方法及锻炼注意事项。且可实时播报运动数据。另配置有语音播报开关，用户可自主选择是否进行播报。</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3、器材上方左右各装置一个太阳能照明灯，光线不足时可会自动开启，无人时自动关闭。</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4、器材上配置有USB充电口，可边运动边充电。</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5、所有用电均采用太阳能供电，节能环保。</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6、可通过手机扫描二维码实现一键报修，查看运动指导视频。</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7、用户通过微信扫码进入小程序可获取存储运动数据、查看运动指导视频、历史运动数据、运动排名、设置运动计划、锻炼提醒及进行一键报修。</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8、系统后端可收集器材的使用频率、时长、卡路里、区域、人次、时间段等用户运动数据，并生成各种维度的统计分析。可为政府提供户外场地设施利用率监测、全民健身情况及科学决策分析等大数据服务。</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9、产品说明：产品完全符合GB19272-2011《室外健身器材的安全通用要求》执行标准，通过NSCC国体认证。</w:t>
            </w:r>
          </w:p>
        </w:tc>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w:t>
            </w:r>
          </w:p>
        </w:tc>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60" w:hRule="atLeast"/>
        </w:trPr>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7</w:t>
            </w:r>
          </w:p>
        </w:tc>
        <w:tc>
          <w:tcPr>
            <w:tcW w:w="1155"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双位智能推举训练器</w:t>
            </w:r>
          </w:p>
        </w:tc>
        <w:tc>
          <w:tcPr>
            <w:tcW w:w="6566"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1、主要承载立柱尺寸不小于130×130×3.0mm或其它同等质量规格管材，两侧修饰塑木边条，塑木边条上镶嵌铝条，具有美观、耐冲击和抗老化的作用；立柱上配置有挂衣钩及手机支架。</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2、器材带有遮阳顶蓬装置和太阳能供电，顶蓬采用PC耐力板，规格不小于2200mm×1100mm；</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3、主要承载横梁尺寸不小于φ76×3.0mm；</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4、采用内限位结构；</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5、坐板及靠背板材料不小于4mm厚铁板冲压成型或等强度规格材料。</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智能配置：</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1、器材装置有智能显示屏，可显示运动时间、消耗卡路里量、运动次数等运动数据，显示屏采用优质户外工程塑料外壳保护，显示屏面板采用钢化玻璃面板防护，显示屏组件防水防尘等级不小于IP65。</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2、器材设置有语音播报装置，使用时会自动播报锻炼功能、锻炼方法及锻炼注意事项。且可实时播报运动数据。另配置有语音播报开关，用户可自主选择是否进行播报。</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3、器材上方左右各装置一个太阳能照明灯，光线不足时可会自动开启，无人时自动关闭。</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4、器材上配置有USB充电口，可边运动边充电。</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5、所有用电均采用太阳能供电，节能环保。</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6、可通过手机扫描二维码实现一键报修，查看运动指导视频。</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7、用户通过微信扫码进入小程序可获取存储运动数据、查看运动指导视频、历史运动数据、运动排名、设置运动计划、锻炼提醒及进行一键报修。</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8、系统后端可收集器材的使用频率、时长、卡路里、区域、人次、时间段等用户运动数据，并生成各种维度的统计分析。可为政府提供户外场地设施利用率监测、全民健身情况及科学决策分析等大数据服务。</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9、产品说明：产品完全符合GB19272-2011《室外健身器材的安全通用要求》执行标准，通过NSCC国体认证。</w:t>
            </w:r>
          </w:p>
        </w:tc>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w:t>
            </w:r>
          </w:p>
        </w:tc>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0" w:hRule="atLeast"/>
        </w:trPr>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8</w:t>
            </w:r>
          </w:p>
        </w:tc>
        <w:tc>
          <w:tcPr>
            <w:tcW w:w="1155"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双位智能椭圆漫步机</w:t>
            </w:r>
          </w:p>
        </w:tc>
        <w:tc>
          <w:tcPr>
            <w:tcW w:w="6566"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1、主要承载立柱尺寸不小于130×130×3.0mm或其它同等质量规格管材，两侧修饰塑木边条，塑木边条上镶嵌铝条，具有美观、耐冲击和抗老化的作用；立柱上配置有挂衣钩及手机支架。</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2、器材带有遮阳顶蓬装置和太阳能供电，顶蓬采用PC耐力板，规格不小于2200mm×1100mm；</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3、主要承载横梁尺寸不小于50×50×2.0mm；</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4、摆杆规格不小于Φ42×t3.0mm；</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5、脚踏部位有防滑措施；摩擦系数不小于0.5。</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智能配置：</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1、器材装置有智能显示屏，可显示运动时间、消耗卡路里量、运动次数等运动数据，显示屏采用优质户外工程塑料外壳保护，显示屏面板采用钢化玻璃面板防护，显示屏组件防水防尘等级不小于IP65。</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2、器材设置有语音播报装置，使用时会自动播报锻炼功能、锻炼方法及锻炼注意事项。且可实时播报运动数据。另配置有语音播报开关，用户可自主选择是否进行播报。</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3、器材上方左右各装置一个太阳能照明灯，光线不足时可会自动开启，无人时自动关闭。</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4、器材上配置有USB充电口，可边运动边充电。</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5、所有用电均采用太阳能供电，节能环保。</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6、可通过手机扫描二维码实现一键报修，查看运动指导视频。</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7、用户通过微信扫码进入小程序可获取存储运动数据、查看运动指导视频、历史运动数据、运动排名、设置运动计划、锻炼提醒及进行一键报修。</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8、系统后端可收集器材的使用频率、时长、卡路里、区域、人次、时间段等用户运动数据，并生成各种维度的统计分析。可为政府提供户外场地设施利用率监测、全民健身情况及科学决策分析等大数据服务。</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9、产品说明：产品完全符合GB19272-2011《室外健身器材的安全通用要求》执行标准，通过NSCC国体认证。</w:t>
            </w:r>
          </w:p>
        </w:tc>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w:t>
            </w:r>
          </w:p>
        </w:tc>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0" w:hRule="atLeast"/>
        </w:trPr>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9</w:t>
            </w:r>
          </w:p>
        </w:tc>
        <w:tc>
          <w:tcPr>
            <w:tcW w:w="1155"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双位智能划船器</w:t>
            </w:r>
          </w:p>
        </w:tc>
        <w:tc>
          <w:tcPr>
            <w:tcW w:w="6566"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1、主要承载立柱尺寸不小于130×130×3.0mm或其它同等质量规格管材，两侧修饰塑木边条，塑木边条上镶嵌铝条，具有美观、耐冲击和抗老化的作用；立柱上配置有挂衣钩及手机支架。</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2、器材带有遮阳顶蓬装置和太阳能供电，顶蓬采用PC耐力板，规格不小于2200mm×1100mm；</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3、主要承载横梁尺寸不小于100×50×3.0mm；</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4、活动部件的下底面距地面的最小高度为260mm；</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5、座椅靠背面板采用铁板焊接而成，厚度不小于4MM或等强度规格材料。。</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智能配置：</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1、器材装置有智能显示屏，可显示运动时间、消耗卡路里量、运动次数等运动数据，显示屏采用优质户外工程塑料外壳保护，显示屏面板采用钢化玻璃面板防护，显示屏组件防水防尘等级不小于IP65。</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2、器材设置有语音播报装置，使用时会自动播报锻炼功能、锻炼方法及锻炼注意事项。且可实时播报运动数据。另配置有语音播报开关，用户可自主选择是否进行播报。</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3、器材上方左右各装置一个太阳能照明灯，光线不足时可会自动开启，无人时自动关闭。</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4、器材上配置有USB充电口，可边运动边充电。</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5、所有用电均采用太阳能供电，节能环保。</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6、可通过手机扫描二维码实现一键报修，查看运动指导视频。</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7、用户通过微信扫码进入小程序可获取存储运动数据、查看运动指导视频、历史运动数据、运动排名、设置运动计划、锻炼提醒及进行一键报修。</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8、系统后端可收集器材的使用频率、时长、卡路里、区域、人次、时间段等用户运动数据，并生成各种维度的统计分析。可为政府提供户外场地设施利用率监测、全民健身情况及科学决策分析等大数据服务。</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9、产品说明：产品完全符合GB19272-2011《室外健身器材的安全通用要求》执行标准，通过NSCC国体认证。</w:t>
            </w:r>
          </w:p>
        </w:tc>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w:t>
            </w:r>
          </w:p>
        </w:tc>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15" w:hRule="atLeast"/>
        </w:trPr>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10</w:t>
            </w:r>
          </w:p>
        </w:tc>
        <w:tc>
          <w:tcPr>
            <w:tcW w:w="1155"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sym w:font="Wingdings 2" w:char="F0EA"/>
            </w:r>
            <w:r>
              <w:rPr>
                <w:rFonts w:hint="eastAsia" w:ascii="宋体" w:hAnsi="宋体" w:eastAsia="宋体" w:cs="宋体"/>
                <w:i w:val="0"/>
                <w:iCs w:val="0"/>
                <w:color w:val="000000"/>
                <w:sz w:val="21"/>
                <w:szCs w:val="21"/>
                <w:u w:val="none"/>
              </w:rPr>
              <w:t>智能健身驿站</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（核心产品）</w:t>
            </w:r>
          </w:p>
        </w:tc>
        <w:tc>
          <w:tcPr>
            <w:tcW w:w="6566"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lang w:bidi="ar"/>
              </w:rPr>
              <w:t>1</w:t>
            </w:r>
            <w:r>
              <w:rPr>
                <w:rFonts w:hint="eastAsia" w:ascii="宋体" w:hAnsi="宋体" w:eastAsia="宋体" w:cs="宋体"/>
                <w:i w:val="0"/>
                <w:iCs w:val="0"/>
                <w:snapToGrid w:val="0"/>
                <w:color w:val="000000"/>
                <w:kern w:val="0"/>
                <w:sz w:val="21"/>
                <w:szCs w:val="21"/>
                <w:u w:val="none"/>
                <w:lang w:val="en-US" w:eastAsia="zh-CN" w:bidi="ar"/>
              </w:rPr>
              <w:t>、外观规格：覆盖面积不小于35平方米； 主要承载立柱尺寸不小于130×130×3.0mm或其它同等质量规格管材，两侧修饰塑木边条，塑木边条上镶嵌铝条，具有美观、耐冲击和抗老化的作用；主要承载横梁尺寸不小于φ76×3.0mm；</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2、主架结构：主架由六根立柱组成，单个立柱高度不小于 2.5m。</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伞中心柱结构：伞中心柱上方采用拉膜技术，由聚酯纤维覆聚氯乙烯（PVC）及加强构件形成伞状，经过防风雪压设计；伞中心柱采用悬空结构，利用支架及拉杆使其固定在主架上方正中悬空固定支撑伞膜。支撑伞膜部分为活动结构，可调节伞膜高度。中心柱采用φ＞140mm、壁厚＞3mm 优质钢管。调节活动杆采用φ＞100mm、壁厚＞3mm优质钢管或同等强度材料.</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4、支架结构：支架由八件组成，与主架立柱连接。支架全部采用φ＞60mm、壁厚≦3 mm优质钢管，通过耳片分别与中心柱及立柱、拉杆连接，成六角形状，以中心柱为中心，四周平均分布,伞膜最大外径不低于6m。</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5、功能配置：配置不低于12件健身器材，应包含无氧、有氧、舒缓按摩拉伸等功能，可满足全身锻炼；中间配有一张棋盘桌及不少于6张凳子； 不少于智能划船、智能推举、智能健身车、智能椭圆机、智能太极揉推器、智能扭腰器6类锻炼器材配置有智能化运动数据显示；另有上肢牵引器、立式背部按摩器、腿部按摩器、拉伸架、膝关节训练器、压腿架6类器材功能；</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6、配有太阳能供电，太阳能板采用单晶光伏板，通过控制器给蓄电池充电，蓄电池电压为12～24伏安全电压。一次性充满可使用48小时以上。</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7、智能运动数据采集：智能运动数据可通过扫描运动二维码上传至手机APP客户端进行存储，APP客户端可统计存储日、周、月、年等运动数据， APP系统后端可收集器材的使用频率、时长、卡路里、区域、人次、时间段等用户运动数据，并生成统计分析。用户可通过APP客户端实现语音播报、查看视频、报修等功能。</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8、其他智能配置：立柱配备多个USB接口，可以利用太阳能给手机充电。每根立柱上分别配置有手机架和挂衣钩。照明灯设置人体智能感应装置， 光线不足时，有人靠近灯光自动亮起，无人时自动关闭。驿站配置有音响系统，可通过蓝牙连接，控制播放音频内容。智能显示屏采用优质耐冲ASA外壳保护，显示屏玻璃面板采用优质高透钢化玻璃防护；智能显示屏组件设有防尘防水装置，防水防尘等级为IP68。顶端装置有 “健身驿站”标识牌匾。</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9、产品说明：产品完全符合GB19272-2011《室外健身器材的安全 通用要求》执行标准，通过NSCC国体认证。</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sym w:font="Wingdings 2" w:char="F0EA"/>
            </w:r>
            <w:r>
              <w:rPr>
                <w:rFonts w:hint="eastAsia" w:ascii="宋体" w:hAnsi="宋体" w:eastAsia="宋体" w:cs="宋体"/>
                <w:i w:val="0"/>
                <w:iCs w:val="0"/>
                <w:snapToGrid w:val="0"/>
                <w:color w:val="000000"/>
                <w:kern w:val="0"/>
                <w:sz w:val="21"/>
                <w:szCs w:val="21"/>
                <w:u w:val="none"/>
                <w:lang w:val="en-US" w:eastAsia="zh-CN" w:bidi="ar"/>
              </w:rPr>
              <w:t>10、所投产品厂家所用原材料管材通过冲击强度、弯曲强度、耐划痕、热变形温度、低温脆性测试，提供第三方检测机构出具的检测报告。</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sym w:font="Wingdings 2" w:char="F0EA"/>
            </w:r>
            <w:r>
              <w:rPr>
                <w:rFonts w:hint="eastAsia" w:ascii="宋体" w:hAnsi="宋体" w:eastAsia="宋体" w:cs="宋体"/>
                <w:i w:val="0"/>
                <w:iCs w:val="0"/>
                <w:snapToGrid w:val="0"/>
                <w:color w:val="000000"/>
                <w:kern w:val="0"/>
                <w:sz w:val="21"/>
                <w:szCs w:val="21"/>
                <w:u w:val="none"/>
                <w:lang w:val="en-US" w:eastAsia="zh-CN" w:bidi="ar"/>
              </w:rPr>
              <w:t>11、所投产品厂家所用原材料涂层需提供第三方检测机构出具的符合国家标准GB/T23987-2009《色漆和清漆涂层的人工气候老化暴露.曝露于荧光紫外线和水》检测标准的评定报告。</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sym w:font="Wingdings 2" w:char="F0EA"/>
            </w:r>
            <w:r>
              <w:rPr>
                <w:rFonts w:hint="eastAsia" w:ascii="宋体" w:hAnsi="宋体" w:eastAsia="宋体" w:cs="宋体"/>
                <w:i w:val="0"/>
                <w:iCs w:val="0"/>
                <w:snapToGrid w:val="0"/>
                <w:color w:val="000000"/>
                <w:kern w:val="0"/>
                <w:sz w:val="21"/>
                <w:szCs w:val="21"/>
                <w:u w:val="none"/>
                <w:lang w:val="en-US" w:eastAsia="zh-CN" w:bidi="ar"/>
              </w:rPr>
              <w:t>12、为保证老人与儿童使用安全，所投产品厂家所用表面涂层经过抗菌抑菌处理，且抗菌率达到99.98%以上，提供第三方检验机构出具的检验报告。</w:t>
            </w:r>
          </w:p>
        </w:tc>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w:t>
            </w:r>
          </w:p>
        </w:tc>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40" w:hRule="atLeast"/>
        </w:trPr>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11</w:t>
            </w:r>
          </w:p>
        </w:tc>
        <w:tc>
          <w:tcPr>
            <w:tcW w:w="1155"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骑马机</w:t>
            </w:r>
          </w:p>
        </w:tc>
        <w:tc>
          <w:tcPr>
            <w:tcW w:w="6566"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1、主要材料采用塑木+铝合金+钢管结构，主要承载立柱尺寸不小于120×70×3.0mm或等强度规格管材；</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2、主要承载横梁尺寸不小于φ60×3.0mm或等强度规格钢管；</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3、采用一体冲压拉伸成形座板，板材壁厚不小于3mm；</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4、所有管材壁厚不小于2mm，耳片、连接片壁厚不小于5mm；</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5、有内置限位装置，摆动件与立柱内侧距离及在使用中各结构件的内侧距离大于230mm防止产生挤压、卡夹、碰撞的伤害可能；</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6、脚踏位有防滑措施，摩擦系数应不小于0.5；</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7、不存在卡夹，衣服、头发钩挂或缠绕结构；</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8、立柱采用外扣式铸铝封头，可防止雨水流入。</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9、产品说明：产品完全符合GB19272-2011《室外健身器材的安全通用要求》执行标准，且通过NSCC国体认证。</w:t>
            </w:r>
          </w:p>
        </w:tc>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w:t>
            </w:r>
          </w:p>
        </w:tc>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20" w:hRule="atLeast"/>
        </w:trPr>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12</w:t>
            </w:r>
          </w:p>
        </w:tc>
        <w:tc>
          <w:tcPr>
            <w:tcW w:w="1155"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二位太空漫步机</w:t>
            </w:r>
          </w:p>
        </w:tc>
        <w:tc>
          <w:tcPr>
            <w:tcW w:w="6566"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1、主要材料采用塑木+铝合金+钢管结构，主要承载立柱尺寸不小于120×70×3.0mm或等强度规格管材；</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2、主要承载横梁尺寸不小于70×40×3.0mm或等强度规格钢管；</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3、摆腿管尺寸采用不小于φ60×3.0mm或等强度钢管；摆杆应有可靠内限位装置，且单侧摆动幅度不大于65°；</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4、踏板的主运动方向和易滑脱方向应设置高度不小于30mm，长度大于踏板周长2/3的防滑脱的凸台或护板；踏板前后两端设置防撞缓冲垫；</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5、摆动部件下缘距地面或底面最小高度应不小于80mm；相邻运动的两踏板的间距应不小于100mm；</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6、人体易接触区域无剪切点、卡夹、钩挂、缠绕结构；</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7、立柱采用外扣式铸铝封头，可防止雨水流入。</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8)产品说明：产品完全符合GB19272-2011《室外健身器材的安全通用要求》执行标准，且通过NSCC国体认证。</w:t>
            </w:r>
          </w:p>
        </w:tc>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w:t>
            </w:r>
          </w:p>
        </w:tc>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40" w:hRule="atLeast"/>
        </w:trPr>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13</w:t>
            </w:r>
          </w:p>
        </w:tc>
        <w:tc>
          <w:tcPr>
            <w:tcW w:w="1155"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上肢牵引器</w:t>
            </w:r>
          </w:p>
        </w:tc>
        <w:tc>
          <w:tcPr>
            <w:tcW w:w="6566"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1、主要材料采用塑木+铝合金+钢管结构，主要承载立柱尺寸不小于120×70×3.0mm或等强度规格管材；</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2、主要承载横梁尺寸不小于φ60×3.0mm；</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3、活动把手（不含柔性部件）质量不大于600g，柔性部件质量不大于600g；</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4、若使用链环结构时，链扣之间最大间隙小于8mm；</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5、轴承有防尘、防水结构；</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6、把手直径不小于16mm且不大于45mm，把手端部直径不小于50mm；</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7、不允许存在衣服、头发钩挂或缠绕危险；</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8、不允许存在剪切点、挤压点、引入点，不允许存在刚性碰撞；</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9、摆杆应有限位结构，摆杆运动至极限位置时，摆杆最低点与地面的距离应不小于1850mm。</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10、产品说明：产品完全符合GB19272-2011《室外健身器材的安全通用要求》执行标准，且通过NSCC国体认证。</w:t>
            </w:r>
          </w:p>
        </w:tc>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w:t>
            </w:r>
          </w:p>
        </w:tc>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50" w:hRule="atLeast"/>
        </w:trPr>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14</w:t>
            </w:r>
          </w:p>
        </w:tc>
        <w:tc>
          <w:tcPr>
            <w:tcW w:w="1155"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二位坐蹬训练器</w:t>
            </w:r>
          </w:p>
        </w:tc>
        <w:tc>
          <w:tcPr>
            <w:tcW w:w="6566"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1、主要材料采用塑木+铝合金+钢管结构，主要承载立柱尺寸不小于120×70×3.0mm或等强度规格管材；</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2、主要承载横梁尺寸不小于φ76×3.0mm；</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3、摆杆采用内限位结构；</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4、座椅、靠背上表面边缘应以R不小于3mm的圆弧过渡，座椅下部、靠背后侧棱边R不小于2mm；</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5、摆杆与立柱之间的距离不小于230mm；摆杆最下端与场地表面之间的最小距离应不小于400mm；</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6、不允许存在剪切点、挤压点、引入点，不允许存在刚性碰撞，脚踏部位有防滑措施，摩擦系数大于0.5；</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7、转轴直径不小于25mm，限位轴直径不小于20mm；</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8、轴承座最薄处壁厚不小于6mm，轴承选用不小于6205承载能力的深沟球轴；安装轴承处应采取有效防水、防尘措施；</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9、脚踏部位有防滑措施；摩擦系数大于0.5；</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10、产品说明：产品完全符合GB19272-2011《室外健身器材的安全通用要求》执行标准，且通过NSCC国体认证。</w:t>
            </w:r>
          </w:p>
        </w:tc>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w:t>
            </w:r>
          </w:p>
        </w:tc>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0" w:hRule="atLeast"/>
        </w:trPr>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15</w:t>
            </w:r>
          </w:p>
        </w:tc>
        <w:tc>
          <w:tcPr>
            <w:tcW w:w="1155"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坐立式腰背按摩器</w:t>
            </w:r>
          </w:p>
        </w:tc>
        <w:tc>
          <w:tcPr>
            <w:tcW w:w="6566"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1、主要材料采用塑木+铝合金+钢管结构，主要承载立柱尺寸不小于120×70×3.0mm或等强度规格管材；</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2、主要承载横梁尺寸不小于Φ32×2.5mm；</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3、按摩架采用内限位结构；</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4、腰部按摩器采用可动式上下滚动设计，更符人体工学。按摩轮采用PVC材质；</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5、产品管材末端均采用钢质冲压式外盖封头，并采用铆钉与管材进行固定。</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6、扶手直径应不小于16mm且不大于45mm；把手端部直径不小于50mm；</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7、立柱采用外扣式封头，可防止雨水流入。</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8、产品说明：产品完全符合GB19272-2011《室外健身器材的安全通用要求》执行标准，且通过NSCC国体认证。</w:t>
            </w:r>
          </w:p>
        </w:tc>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w:t>
            </w:r>
          </w:p>
        </w:tc>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5" w:hRule="atLeast"/>
        </w:trPr>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16</w:t>
            </w:r>
          </w:p>
        </w:tc>
        <w:tc>
          <w:tcPr>
            <w:tcW w:w="1155"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两位太极揉推轮</w:t>
            </w:r>
          </w:p>
        </w:tc>
        <w:tc>
          <w:tcPr>
            <w:tcW w:w="6566"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1、主要材料采用塑木+铝合金+钢管结构，主要承载立柱尺寸不小于120×70×3.0mm或等强度规格管材；</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2、主要承载横梁尺寸不小于Φ48×3mm；</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3、揉推盘应采用优质工程塑料圆盘或钢制盘，两圆盘间距不小于230mm；</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4、转轴部位应设置有防止超速转动的阻尼装置；</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5、立柱采用外扣式铸铝封头，可防止雨水流入。</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6、产品说明：产品完全符合GB19272-2011《室外健身器材的安全通用要求》执行标准，通过NSCC国体认证。</w:t>
            </w:r>
          </w:p>
        </w:tc>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w:t>
            </w:r>
          </w:p>
        </w:tc>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80" w:hRule="atLeast"/>
        </w:trPr>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17</w:t>
            </w:r>
          </w:p>
        </w:tc>
        <w:tc>
          <w:tcPr>
            <w:tcW w:w="1155"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三位扭腰器</w:t>
            </w:r>
          </w:p>
        </w:tc>
        <w:tc>
          <w:tcPr>
            <w:tcW w:w="6566"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1、主要材料采用塑木+铝合金+钢管结构，主要承载立柱尺寸不小于120×70×3.0mm或等强度规格管材；</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2、主要承载横梁尺寸不小于Φ32×3mm；</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3、扭腰盘不应采用塑料材质，转盘类应设置防止超速运转的阻尼装置；</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4、器材各支撑人体的表面所有棱边和尖角，应使其半径不小于3mm；使用者或第三者易接触的零部件的其他所有棱边应予以圆滑过渡或加以防护；</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5、不允许存在剪切点、挤压点、引入点，不允许存在刚性碰撞；</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6、产品说明：产品完全符合GB19272-2011《室外健身器材的安全通用要求》执行标准，且通过NSCC国体认证。</w:t>
            </w:r>
          </w:p>
        </w:tc>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w:t>
            </w:r>
          </w:p>
        </w:tc>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80" w:hRule="atLeast"/>
        </w:trPr>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18</w:t>
            </w:r>
          </w:p>
        </w:tc>
        <w:tc>
          <w:tcPr>
            <w:tcW w:w="1155"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四位压腿按摩器</w:t>
            </w:r>
          </w:p>
        </w:tc>
        <w:tc>
          <w:tcPr>
            <w:tcW w:w="6566"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1、主要材料采用塑木+铝合金+钢管结构，主要承载立柱尺寸不小于120×70×3.0mm或等强度规格管材；</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2、主要承载横梁不小于Φ48×3.0mm或等强度钢管；</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3、按摩轮与刚性固定部件间最小距离应小于2mm或大于30mm；</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4、立柱采用外扣式金属封头，可防止雨水流入。</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5、产品说明：产品完全符合GB19272-2011《室外健身器材的安全通用要求》执行标准，且通过NSCC国体认证。</w:t>
            </w:r>
          </w:p>
        </w:tc>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w:t>
            </w:r>
          </w:p>
        </w:tc>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19</w:t>
            </w:r>
          </w:p>
        </w:tc>
        <w:tc>
          <w:tcPr>
            <w:tcW w:w="1155"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左右侧摆器</w:t>
            </w:r>
          </w:p>
        </w:tc>
        <w:tc>
          <w:tcPr>
            <w:tcW w:w="6566"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1、主要材料采用塑木+铝合金+钢管结构，主要承载立柱尺寸不小于120×70×3.0mm或等强度规格管材；</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2、主要承载横梁尺寸不小于φ40×3.0mm或等强度钢管；</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3、采用内限位结构；</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4、脚踏板采用尼龙合金材质且壁厚不小于4mm，脚踏板左右两侧设有缓冲垫保护。</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5、脚踏部位有防滑措施，站立使用的防滑面摩擦系数不小于0.5；</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6、踏板的主运动方向和易滑脱方向防滑脱的凸台的高度不小于30mm，长度大于踏板周长的2/3的防滑脱的凸台或护板；</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7、摆动幅度不大于60゜，摆动部件下缘距地面或底面高度不小于96mm；</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8、产品说明：产品完全符合GB19272-2011《室外健身器材的安全通用要求》执行标准，且通过NSCC国体认证。</w:t>
            </w:r>
          </w:p>
        </w:tc>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w:t>
            </w:r>
          </w:p>
        </w:tc>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60" w:hRule="atLeast"/>
        </w:trPr>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w:t>
            </w:r>
          </w:p>
        </w:tc>
        <w:tc>
          <w:tcPr>
            <w:tcW w:w="1155"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跷跷板</w:t>
            </w:r>
          </w:p>
        </w:tc>
        <w:tc>
          <w:tcPr>
            <w:tcW w:w="6566"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1、主要材料采用塑木+铝合金+钢管结构，主要承载立柱尺寸不小于120×70×3.0mm或等强度规格管材；</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2）主要承载横梁尺寸：不小于φ89×5.0mm或等强度钢管；</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3）使用者在器材上面，运动至下极限位置时，后动杆件底部距地面的距离不小于326mm，有前扶手，最大跌落高度不大于781mm，倾斜角度不大于11°；</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4）座椅上表面边缘以R不小于3mm的圆弧过渡；其他易触及的棱边以圆滑过渡；</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5）在座位的中心侧向施加695N的力，单侧摆量不大于1%；</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6）产品说明：产品完全符合GB19272-2011《室外健身器材的安全通用要求》执行标准，且通过NSCC国体认证。</w:t>
            </w:r>
          </w:p>
        </w:tc>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w:t>
            </w:r>
          </w:p>
        </w:tc>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100" w:hRule="atLeast"/>
        </w:trPr>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21</w:t>
            </w:r>
          </w:p>
        </w:tc>
        <w:tc>
          <w:tcPr>
            <w:tcW w:w="1155"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伸腰</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展背架</w:t>
            </w:r>
          </w:p>
        </w:tc>
        <w:tc>
          <w:tcPr>
            <w:tcW w:w="6566"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1、主要材料采用塑木+铝合金+钢管结构，主要承载立柱尺寸不小于120×70×3.0mm或等强度规格管材；</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2、主要承载横梁尺寸不小于80×40×3.0mm或等强度规格钢管；</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3、使用表面采用不小于1.5mm的铁板冲压弯制成型；</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4、产品管材末端均采用钢质冲压式外盖封头，并采用铆钉与管材进行固定；</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5、产品说明：产品完全符合GB19272-2011《室外健身器材的安全通用要求》执行标准，且通过NSCC国体认证。</w:t>
            </w:r>
          </w:p>
        </w:tc>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w:t>
            </w:r>
          </w:p>
        </w:tc>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860" w:hRule="atLeast"/>
        </w:trPr>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22</w:t>
            </w:r>
          </w:p>
        </w:tc>
        <w:tc>
          <w:tcPr>
            <w:tcW w:w="1155"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二位</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单杠</w:t>
            </w:r>
          </w:p>
        </w:tc>
        <w:tc>
          <w:tcPr>
            <w:tcW w:w="6566"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1、主要材料采用塑木+铝合金+钢管结构，主要承载立柱尺寸不小于120×70×3.0mm或等强度规格管材；</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2、主要承载横梁尺寸不小于Φ28mm圆钢；</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3、横杠有防旋转措施，防止转动；立柱顶端不允许高出横管；</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4、产品管材末端均采用钢质冲压式外盖封头，并采用铆钉与管材进行固定；</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5、产品说明：产品完全符合GB19272-2011《室外健身器材的安全通用要求》执行标准，且通过NSCC国体认证。</w:t>
            </w:r>
          </w:p>
        </w:tc>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w:t>
            </w:r>
          </w:p>
        </w:tc>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860" w:hRule="atLeast"/>
        </w:trPr>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23</w:t>
            </w:r>
          </w:p>
        </w:tc>
        <w:tc>
          <w:tcPr>
            <w:tcW w:w="1155"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双杠</w:t>
            </w:r>
          </w:p>
        </w:tc>
        <w:tc>
          <w:tcPr>
            <w:tcW w:w="6566"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1、主要材料采用塑木+铝合金+钢管结构，主要承载立柱尺寸不小于120×70×3.0mm或等强度规格管材；</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2、主要承载横梁尺寸不小于φ42×3.0mm或等强度规格钢管；</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3、立柱顶部不允许高出横管；</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4、产品管材末端均采用钢质冲压式外盖封头，并采用铆钉与管材进行固定；</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5、产品说明：产品完全符合GB19272-2011《室外健身器材的安全通用要求》执行标准，且通过NSCC国体认证。</w:t>
            </w:r>
          </w:p>
        </w:tc>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w:t>
            </w:r>
          </w:p>
        </w:tc>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5" w:hRule="atLeast"/>
        </w:trPr>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24</w:t>
            </w:r>
          </w:p>
        </w:tc>
        <w:tc>
          <w:tcPr>
            <w:tcW w:w="1155"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天梯</w:t>
            </w:r>
          </w:p>
        </w:tc>
        <w:tc>
          <w:tcPr>
            <w:tcW w:w="6566" w:type="dxa"/>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1、主要材料采用塑木+铝合金+钢管结构，主要承载立柱尺寸不小于120×70×3.0mm或等强度规格管材；</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2、主要承载横梁不小于Φ60×3.0mm或等强度规格钢管；</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3、立柱顶部不高出横管；</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4、横杆距缓冲层上表面最大距离2168mm；</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5、产品管材末端均采用钢质冲压式外盖封头，并采用铆钉与管材进行固定；</w:t>
            </w:r>
          </w:p>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6、产品说明：产品完全符合GB19272-2011《室外健身器材的安全通用要求》执行标准，通过NSCC国体认证。</w:t>
            </w:r>
          </w:p>
        </w:tc>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w:t>
            </w:r>
          </w:p>
        </w:tc>
        <w:tc>
          <w:tcPr>
            <w:tcW w:w="0" w:type="auto"/>
            <w:shd w:val="clear" w:color="auto" w:fill="auto"/>
            <w:noWrap/>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站</w:t>
            </w:r>
          </w:p>
        </w:tc>
      </w:tr>
    </w:tbl>
    <w:p>
      <w:pPr>
        <w:pStyle w:val="43"/>
        <w:bidi w:val="0"/>
        <w:jc w:val="center"/>
        <w:outlineLvl w:val="9"/>
        <w:rPr>
          <w:rFonts w:hint="default"/>
          <w:b/>
          <w:bCs/>
          <w:sz w:val="28"/>
          <w:szCs w:val="28"/>
          <w:lang w:val="en-US" w:eastAsia="zh-CN"/>
        </w:rPr>
      </w:pPr>
    </w:p>
    <w:p>
      <w:pPr>
        <w:pStyle w:val="43"/>
        <w:rPr>
          <w:rFonts w:hint="default"/>
          <w:lang w:val="en-US" w:eastAsia="zh-CN"/>
        </w:rPr>
      </w:pPr>
      <w:bookmarkStart w:id="2" w:name="_Toc10329"/>
    </w:p>
    <w:p>
      <w:pPr>
        <w:rPr>
          <w:rFonts w:hint="eastAsia" w:asciiTheme="minorEastAsia" w:hAnsiTheme="minorEastAsia" w:eastAsiaTheme="minorEastAsia" w:cstheme="minorEastAsia"/>
          <w:b/>
          <w:bCs/>
          <w:spacing w:val="18"/>
          <w:sz w:val="31"/>
          <w:szCs w:val="31"/>
        </w:rPr>
      </w:pPr>
      <w:r>
        <w:rPr>
          <w:rFonts w:hint="eastAsia" w:asciiTheme="minorEastAsia" w:hAnsiTheme="minorEastAsia" w:eastAsiaTheme="minorEastAsia" w:cstheme="minorEastAsia"/>
          <w:b/>
          <w:bCs/>
          <w:spacing w:val="18"/>
          <w:sz w:val="31"/>
          <w:szCs w:val="31"/>
        </w:rPr>
        <w:br w:type="page"/>
      </w:r>
    </w:p>
    <w:p>
      <w:pPr>
        <w:spacing w:before="101" w:line="225" w:lineRule="auto"/>
        <w:jc w:val="center"/>
        <w:outlineLvl w:val="0"/>
        <w:rPr>
          <w:rFonts w:asciiTheme="minorEastAsia" w:hAnsiTheme="minorEastAsia" w:eastAsiaTheme="minorEastAsia" w:cstheme="minorEastAsia"/>
          <w:b/>
          <w:bCs/>
          <w:sz w:val="31"/>
          <w:szCs w:val="31"/>
        </w:rPr>
      </w:pPr>
      <w:r>
        <w:rPr>
          <w:rFonts w:hint="eastAsia" w:asciiTheme="minorEastAsia" w:hAnsiTheme="minorEastAsia" w:eastAsiaTheme="minorEastAsia" w:cstheme="minorEastAsia"/>
          <w:b/>
          <w:bCs/>
          <w:spacing w:val="18"/>
          <w:sz w:val="31"/>
          <w:szCs w:val="31"/>
        </w:rPr>
        <w:t>第</w:t>
      </w:r>
      <w:r>
        <w:rPr>
          <w:rFonts w:hint="eastAsia" w:asciiTheme="minorEastAsia" w:hAnsiTheme="minorEastAsia" w:eastAsiaTheme="minorEastAsia" w:cstheme="minorEastAsia"/>
          <w:b/>
          <w:bCs/>
          <w:spacing w:val="9"/>
          <w:sz w:val="31"/>
          <w:szCs w:val="31"/>
          <w:lang w:val="en-US" w:eastAsia="zh-CN"/>
        </w:rPr>
        <w:t>四</w:t>
      </w:r>
      <w:r>
        <w:rPr>
          <w:rFonts w:hint="eastAsia" w:asciiTheme="minorEastAsia" w:hAnsiTheme="minorEastAsia" w:eastAsiaTheme="minorEastAsia" w:cstheme="minorEastAsia"/>
          <w:b/>
          <w:bCs/>
          <w:spacing w:val="9"/>
          <w:sz w:val="31"/>
          <w:szCs w:val="31"/>
        </w:rPr>
        <w:t>部分</w:t>
      </w:r>
      <w:r>
        <w:rPr>
          <w:rFonts w:hint="eastAsia" w:asciiTheme="minorEastAsia" w:hAnsiTheme="minorEastAsia" w:eastAsiaTheme="minorEastAsia" w:cstheme="minorEastAsia"/>
          <w:b/>
          <w:bCs/>
          <w:spacing w:val="9"/>
          <w:sz w:val="31"/>
          <w:szCs w:val="31"/>
          <w:lang w:val="en-US" w:eastAsia="zh-CN"/>
        </w:rPr>
        <w:t xml:space="preserve"> </w:t>
      </w:r>
      <w:r>
        <w:rPr>
          <w:rFonts w:hint="eastAsia" w:asciiTheme="minorEastAsia" w:hAnsiTheme="minorEastAsia" w:eastAsiaTheme="minorEastAsia" w:cstheme="minorEastAsia"/>
          <w:b/>
          <w:bCs/>
          <w:spacing w:val="9"/>
          <w:sz w:val="31"/>
          <w:szCs w:val="31"/>
        </w:rPr>
        <w:t>投标人须知正文部分</w:t>
      </w:r>
      <w:bookmarkEnd w:id="2"/>
    </w:p>
    <w:p>
      <w:pPr>
        <w:spacing w:line="262" w:lineRule="auto"/>
        <w:rPr>
          <w:rFonts w:asciiTheme="minorEastAsia" w:hAnsiTheme="minorEastAsia" w:eastAsiaTheme="minorEastAsia" w:cstheme="minorEastAsia"/>
        </w:rPr>
      </w:pPr>
    </w:p>
    <w:p>
      <w:pPr>
        <w:spacing w:line="360" w:lineRule="auto"/>
        <w:ind w:firstLine="480" w:firstLineChars="200"/>
        <w:jc w:val="both"/>
        <w:outlineLvl w:val="9"/>
        <w:rPr>
          <w:rFonts w:ascii="宋体" w:hAnsi="宋体" w:eastAsia="宋体" w:cs="宋体"/>
          <w:sz w:val="24"/>
          <w:szCs w:val="24"/>
        </w:rPr>
      </w:pPr>
      <w:r>
        <w:rPr>
          <w:rFonts w:hint="eastAsia" w:ascii="宋体" w:hAnsi="宋体" w:eastAsia="宋体" w:cs="宋体"/>
          <w:sz w:val="24"/>
          <w:szCs w:val="24"/>
        </w:rPr>
        <w:t>一、总则</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1.1</w:t>
      </w:r>
      <w:r>
        <w:rPr>
          <w:rFonts w:hint="eastAsia" w:ascii="宋体" w:hAnsi="宋体" w:eastAsia="宋体" w:cs="宋体"/>
          <w:sz w:val="24"/>
          <w:szCs w:val="24"/>
          <w:lang w:eastAsia="zh-CN"/>
        </w:rPr>
        <w:t>、</w:t>
      </w:r>
      <w:r>
        <w:rPr>
          <w:rFonts w:hint="eastAsia" w:ascii="宋体" w:hAnsi="宋体" w:eastAsia="宋体" w:cs="宋体"/>
          <w:sz w:val="24"/>
          <w:szCs w:val="24"/>
        </w:rPr>
        <w:t>适用法律</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本次招标采购适用的主要法律法规为《中华人民共和国政府采购法》、《中华人民共和国</w:t>
      </w:r>
      <w:r>
        <w:rPr>
          <w:rFonts w:hint="eastAsia" w:ascii="宋体" w:hAnsi="宋体" w:eastAsia="宋体" w:cs="宋体"/>
          <w:sz w:val="24"/>
          <w:szCs w:val="24"/>
          <w:lang w:val="en-US" w:eastAsia="zh-CN"/>
        </w:rPr>
        <w:t>民法典</w:t>
      </w:r>
      <w:r>
        <w:rPr>
          <w:rFonts w:hint="eastAsia" w:ascii="宋体" w:hAnsi="宋体" w:eastAsia="宋体" w:cs="宋体"/>
          <w:sz w:val="24"/>
          <w:szCs w:val="24"/>
        </w:rPr>
        <w:t>》、《中华人民共和国政府采购法实施条例》等。</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1.2</w:t>
      </w:r>
      <w:r>
        <w:rPr>
          <w:rFonts w:hint="eastAsia" w:ascii="宋体" w:hAnsi="宋体" w:eastAsia="宋体" w:cs="宋体"/>
          <w:sz w:val="24"/>
          <w:szCs w:val="24"/>
          <w:lang w:eastAsia="zh-CN"/>
        </w:rPr>
        <w:t>、</w:t>
      </w:r>
      <w:r>
        <w:rPr>
          <w:rFonts w:hint="eastAsia" w:ascii="宋体" w:hAnsi="宋体" w:eastAsia="宋体" w:cs="宋体"/>
          <w:sz w:val="24"/>
          <w:szCs w:val="24"/>
        </w:rPr>
        <w:t>定义</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2</w:t>
      </w:r>
      <w:r>
        <w:rPr>
          <w:rFonts w:hint="eastAsia" w:ascii="宋体" w:hAnsi="宋体" w:eastAsia="宋体" w:cs="宋体"/>
          <w:sz w:val="24"/>
          <w:szCs w:val="24"/>
        </w:rPr>
        <w:t>.1“采购人(招标人)”：指本项目采购单位；</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2</w:t>
      </w:r>
      <w:r>
        <w:rPr>
          <w:rFonts w:hint="eastAsia" w:ascii="宋体" w:hAnsi="宋体" w:eastAsia="宋体" w:cs="宋体"/>
          <w:sz w:val="24"/>
          <w:szCs w:val="24"/>
        </w:rPr>
        <w:t>.2“代理机构”：指受采购人委托的有代理资质的第三方机构；</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2</w:t>
      </w:r>
      <w:r>
        <w:rPr>
          <w:rFonts w:hint="eastAsia" w:ascii="宋体" w:hAnsi="宋体" w:eastAsia="宋体" w:cs="宋体"/>
          <w:sz w:val="24"/>
          <w:szCs w:val="24"/>
        </w:rPr>
        <w:t>.3“供应商(投标人)”系指向招标采购单位提交投标文件的供应商；</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2</w:t>
      </w:r>
      <w:r>
        <w:rPr>
          <w:rFonts w:hint="eastAsia" w:ascii="宋体" w:hAnsi="宋体" w:eastAsia="宋体" w:cs="宋体"/>
          <w:sz w:val="24"/>
          <w:szCs w:val="24"/>
        </w:rPr>
        <w:t>.4“中标人(成交人)”系指被确定为承接本项目并负责其实施的投标人(供应商)；</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2</w:t>
      </w:r>
      <w:r>
        <w:rPr>
          <w:rFonts w:hint="eastAsia" w:ascii="宋体" w:hAnsi="宋体" w:eastAsia="宋体" w:cs="宋体"/>
          <w:sz w:val="24"/>
          <w:szCs w:val="24"/>
        </w:rPr>
        <w:t>.5“货物”系指供应商按招标文件要求，须向采购人提供的货物内容及相应资料；包括手册及其它有关技术资料；</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2</w:t>
      </w:r>
      <w:r>
        <w:rPr>
          <w:rFonts w:hint="eastAsia" w:ascii="宋体" w:hAnsi="宋体" w:eastAsia="宋体" w:cs="宋体"/>
          <w:sz w:val="24"/>
          <w:szCs w:val="24"/>
        </w:rPr>
        <w:t>.6“服务”指招标文件中规定的供应商须承担的服务内容。</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w:t>
      </w:r>
      <w:r>
        <w:rPr>
          <w:rFonts w:hint="eastAsia" w:ascii="宋体" w:hAnsi="宋体" w:eastAsia="宋体" w:cs="宋体"/>
          <w:sz w:val="24"/>
          <w:szCs w:val="24"/>
        </w:rPr>
        <w:t>合格的货物和服务：</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供应商须提供符合国家质量标准，相关行业强制执行标准的全新货物及采购人要求的与采购货物相配套的技术服务。</w:t>
      </w:r>
    </w:p>
    <w:p>
      <w:pPr>
        <w:spacing w:line="360" w:lineRule="auto"/>
        <w:ind w:firstLine="476" w:firstLineChars="200"/>
        <w:jc w:val="both"/>
        <w:rPr>
          <w:rFonts w:ascii="宋体" w:hAnsi="宋体" w:eastAsia="宋体" w:cs="宋体"/>
          <w:sz w:val="24"/>
          <w:szCs w:val="24"/>
        </w:rPr>
      </w:pPr>
      <w:r>
        <w:rPr>
          <w:rFonts w:hint="eastAsia" w:ascii="宋体" w:hAnsi="宋体" w:eastAsia="宋体" w:cs="宋体"/>
          <w:spacing w:val="-1"/>
          <w:sz w:val="24"/>
          <w:szCs w:val="24"/>
        </w:rPr>
        <w:t>1.</w:t>
      </w:r>
      <w:r>
        <w:rPr>
          <w:rFonts w:hint="eastAsia" w:ascii="宋体" w:hAnsi="宋体" w:eastAsia="宋体" w:cs="宋体"/>
          <w:spacing w:val="-1"/>
          <w:sz w:val="24"/>
          <w:szCs w:val="24"/>
          <w:lang w:val="en-US" w:eastAsia="zh-CN"/>
        </w:rPr>
        <w:t>4、</w:t>
      </w:r>
      <w:r>
        <w:rPr>
          <w:rFonts w:hint="eastAsia" w:ascii="宋体" w:hAnsi="宋体" w:eastAsia="宋体" w:cs="宋体"/>
          <w:spacing w:val="-1"/>
          <w:sz w:val="24"/>
          <w:szCs w:val="24"/>
        </w:rPr>
        <w:t>投标人应具</w:t>
      </w:r>
      <w:r>
        <w:rPr>
          <w:rFonts w:hint="eastAsia" w:ascii="宋体" w:hAnsi="宋体" w:eastAsia="宋体" w:cs="宋体"/>
          <w:sz w:val="24"/>
          <w:szCs w:val="24"/>
        </w:rPr>
        <w:t>备的条件：见投标人须知前附表</w:t>
      </w:r>
    </w:p>
    <w:p>
      <w:pPr>
        <w:spacing w:line="360" w:lineRule="auto"/>
        <w:ind w:firstLine="476" w:firstLineChars="200"/>
        <w:jc w:val="both"/>
        <w:rPr>
          <w:rFonts w:ascii="宋体" w:hAnsi="宋体" w:eastAsia="宋体" w:cs="宋体"/>
          <w:sz w:val="24"/>
          <w:szCs w:val="24"/>
        </w:rPr>
      </w:pPr>
      <w:r>
        <w:rPr>
          <w:rFonts w:hint="eastAsia" w:ascii="宋体" w:hAnsi="宋体" w:eastAsia="宋体" w:cs="宋体"/>
          <w:spacing w:val="-1"/>
          <w:sz w:val="24"/>
          <w:szCs w:val="24"/>
        </w:rPr>
        <w:t>1.</w:t>
      </w:r>
      <w:r>
        <w:rPr>
          <w:rFonts w:hint="eastAsia" w:ascii="宋体" w:hAnsi="宋体" w:eastAsia="宋体" w:cs="宋体"/>
          <w:spacing w:val="-1"/>
          <w:sz w:val="24"/>
          <w:szCs w:val="24"/>
          <w:lang w:val="en-US" w:eastAsia="zh-CN"/>
        </w:rPr>
        <w:t>5、</w:t>
      </w:r>
      <w:r>
        <w:rPr>
          <w:rFonts w:hint="eastAsia" w:ascii="宋体" w:hAnsi="宋体" w:eastAsia="宋体" w:cs="宋体"/>
          <w:spacing w:val="-1"/>
          <w:sz w:val="24"/>
          <w:szCs w:val="24"/>
        </w:rPr>
        <w:t>投标人不</w:t>
      </w:r>
      <w:r>
        <w:rPr>
          <w:rFonts w:hint="eastAsia" w:ascii="宋体" w:hAnsi="宋体" w:eastAsia="宋体" w:cs="宋体"/>
          <w:sz w:val="24"/>
          <w:szCs w:val="24"/>
        </w:rPr>
        <w:t>得存在下列情形之一</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5</w:t>
      </w:r>
      <w:r>
        <w:rPr>
          <w:rFonts w:hint="eastAsia" w:ascii="宋体" w:hAnsi="宋体" w:eastAsia="宋体" w:cs="宋体"/>
          <w:sz w:val="24"/>
          <w:szCs w:val="24"/>
        </w:rPr>
        <w:t>.1为招标人不具有独立法人资格的附属机构(单位) ；</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5</w:t>
      </w:r>
      <w:r>
        <w:rPr>
          <w:rFonts w:hint="eastAsia" w:ascii="宋体" w:hAnsi="宋体" w:eastAsia="宋体" w:cs="宋体"/>
          <w:sz w:val="24"/>
          <w:szCs w:val="24"/>
        </w:rPr>
        <w:t>.2为本项目前期准备提供咨询服务的；</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5</w:t>
      </w:r>
      <w:r>
        <w:rPr>
          <w:rFonts w:hint="eastAsia" w:ascii="宋体" w:hAnsi="宋体" w:eastAsia="宋体" w:cs="宋体"/>
          <w:sz w:val="24"/>
          <w:szCs w:val="24"/>
        </w:rPr>
        <w:t>.3为本项目提供招标代理服务的；</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5</w:t>
      </w:r>
      <w:r>
        <w:rPr>
          <w:rFonts w:hint="eastAsia" w:ascii="宋体" w:hAnsi="宋体" w:eastAsia="宋体" w:cs="宋体"/>
          <w:sz w:val="24"/>
          <w:szCs w:val="24"/>
        </w:rPr>
        <w:t>.4被责令停业的；</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5</w:t>
      </w:r>
      <w:r>
        <w:rPr>
          <w:rFonts w:hint="eastAsia" w:ascii="宋体" w:hAnsi="宋体" w:eastAsia="宋体" w:cs="宋体"/>
          <w:sz w:val="24"/>
          <w:szCs w:val="24"/>
        </w:rPr>
        <w:t>.5被暂停或取消投标资格的；</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5</w:t>
      </w:r>
      <w:r>
        <w:rPr>
          <w:rFonts w:hint="eastAsia" w:ascii="宋体" w:hAnsi="宋体" w:eastAsia="宋体" w:cs="宋体"/>
          <w:sz w:val="24"/>
          <w:szCs w:val="24"/>
        </w:rPr>
        <w:t>.6财产被接管或冻结的；</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5</w:t>
      </w:r>
      <w:r>
        <w:rPr>
          <w:rFonts w:hint="eastAsia" w:ascii="宋体" w:hAnsi="宋体" w:eastAsia="宋体" w:cs="宋体"/>
          <w:sz w:val="24"/>
          <w:szCs w:val="24"/>
        </w:rPr>
        <w:t>.7在最近三年内有骗取中标或严重违约或重大质量问题的。</w:t>
      </w:r>
    </w:p>
    <w:p>
      <w:pPr>
        <w:spacing w:line="360" w:lineRule="auto"/>
        <w:ind w:firstLine="472" w:firstLineChars="200"/>
        <w:jc w:val="both"/>
        <w:rPr>
          <w:rFonts w:ascii="宋体" w:hAnsi="宋体" w:eastAsia="宋体" w:cs="宋体"/>
          <w:sz w:val="24"/>
          <w:szCs w:val="24"/>
        </w:rPr>
      </w:pPr>
      <w:r>
        <w:rPr>
          <w:rFonts w:hint="eastAsia" w:ascii="宋体" w:hAnsi="宋体" w:eastAsia="宋体" w:cs="宋体"/>
          <w:spacing w:val="-2"/>
          <w:sz w:val="24"/>
          <w:szCs w:val="24"/>
        </w:rPr>
        <w:t>1.</w:t>
      </w:r>
      <w:r>
        <w:rPr>
          <w:rFonts w:hint="eastAsia" w:ascii="宋体" w:hAnsi="宋体" w:eastAsia="宋体" w:cs="宋体"/>
          <w:spacing w:val="-2"/>
          <w:sz w:val="24"/>
          <w:szCs w:val="24"/>
          <w:lang w:val="en-US" w:eastAsia="zh-CN"/>
        </w:rPr>
        <w:t>6、</w:t>
      </w:r>
      <w:r>
        <w:rPr>
          <w:rFonts w:hint="eastAsia" w:ascii="宋体" w:hAnsi="宋体" w:eastAsia="宋体" w:cs="宋体"/>
          <w:spacing w:val="-2"/>
          <w:sz w:val="24"/>
          <w:szCs w:val="24"/>
        </w:rPr>
        <w:t>费</w:t>
      </w:r>
      <w:r>
        <w:rPr>
          <w:rFonts w:hint="eastAsia" w:ascii="宋体" w:hAnsi="宋体" w:eastAsia="宋体" w:cs="宋体"/>
          <w:spacing w:val="-1"/>
          <w:sz w:val="24"/>
          <w:szCs w:val="24"/>
        </w:rPr>
        <w:t>用承担</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投标人准备和参加投标活动发生的一切费用自理，不论投标结果如何，招标人概不负责。</w:t>
      </w:r>
    </w:p>
    <w:p>
      <w:pPr>
        <w:spacing w:line="360" w:lineRule="auto"/>
        <w:ind w:firstLine="464" w:firstLineChars="200"/>
        <w:jc w:val="both"/>
        <w:rPr>
          <w:rFonts w:ascii="宋体" w:hAnsi="宋体" w:eastAsia="宋体" w:cs="宋体"/>
          <w:sz w:val="24"/>
          <w:szCs w:val="24"/>
        </w:rPr>
      </w:pPr>
      <w:r>
        <w:rPr>
          <w:rFonts w:hint="eastAsia" w:ascii="宋体" w:hAnsi="宋体" w:eastAsia="宋体" w:cs="宋体"/>
          <w:spacing w:val="-4"/>
          <w:sz w:val="24"/>
          <w:szCs w:val="24"/>
        </w:rPr>
        <w:t>1.</w:t>
      </w:r>
      <w:r>
        <w:rPr>
          <w:rFonts w:hint="eastAsia" w:ascii="宋体" w:hAnsi="宋体" w:eastAsia="宋体" w:cs="宋体"/>
          <w:spacing w:val="-2"/>
          <w:sz w:val="24"/>
          <w:szCs w:val="24"/>
          <w:lang w:val="en-US" w:eastAsia="zh-CN"/>
        </w:rPr>
        <w:t>7、</w:t>
      </w:r>
      <w:r>
        <w:rPr>
          <w:rFonts w:hint="eastAsia" w:ascii="宋体" w:hAnsi="宋体" w:eastAsia="宋体" w:cs="宋体"/>
          <w:spacing w:val="-2"/>
          <w:sz w:val="24"/>
          <w:szCs w:val="24"/>
        </w:rPr>
        <w:t>保密</w:t>
      </w:r>
    </w:p>
    <w:p>
      <w:pPr>
        <w:spacing w:line="360" w:lineRule="auto"/>
        <w:ind w:firstLine="476" w:firstLineChars="200"/>
        <w:jc w:val="both"/>
        <w:rPr>
          <w:rFonts w:ascii="宋体" w:hAnsi="宋体" w:eastAsia="宋体" w:cs="宋体"/>
          <w:sz w:val="24"/>
          <w:szCs w:val="24"/>
        </w:rPr>
      </w:pPr>
      <w:r>
        <w:rPr>
          <w:rFonts w:hint="eastAsia" w:ascii="宋体" w:hAnsi="宋体" w:eastAsia="宋体" w:cs="宋体"/>
          <w:spacing w:val="-1"/>
          <w:sz w:val="24"/>
          <w:szCs w:val="24"/>
        </w:rPr>
        <w:t>参与</w:t>
      </w:r>
      <w:r>
        <w:rPr>
          <w:rFonts w:hint="eastAsia" w:ascii="宋体" w:hAnsi="宋体" w:eastAsia="宋体" w:cs="宋体"/>
          <w:sz w:val="24"/>
          <w:szCs w:val="24"/>
        </w:rPr>
        <w:t>招标投标活动的各方应对招标文件和投标文件中的商业和技术等秘密保密，违者应对由此造成的</w:t>
      </w:r>
      <w:r>
        <w:rPr>
          <w:rFonts w:hint="eastAsia" w:ascii="宋体" w:hAnsi="宋体" w:eastAsia="宋体" w:cs="宋体"/>
          <w:spacing w:val="-4"/>
          <w:sz w:val="24"/>
          <w:szCs w:val="24"/>
        </w:rPr>
        <w:t>后果</w:t>
      </w:r>
      <w:r>
        <w:rPr>
          <w:rFonts w:hint="eastAsia" w:ascii="宋体" w:hAnsi="宋体" w:eastAsia="宋体" w:cs="宋体"/>
          <w:spacing w:val="-2"/>
          <w:sz w:val="24"/>
          <w:szCs w:val="24"/>
        </w:rPr>
        <w:t>承担法律责任。</w:t>
      </w:r>
    </w:p>
    <w:p>
      <w:pPr>
        <w:spacing w:line="360" w:lineRule="auto"/>
        <w:ind w:firstLine="472" w:firstLineChars="200"/>
        <w:jc w:val="both"/>
        <w:rPr>
          <w:rFonts w:ascii="宋体" w:hAnsi="宋体" w:eastAsia="宋体" w:cs="宋体"/>
          <w:sz w:val="24"/>
          <w:szCs w:val="24"/>
        </w:rPr>
      </w:pPr>
      <w:r>
        <w:rPr>
          <w:rFonts w:hint="eastAsia" w:ascii="宋体" w:hAnsi="宋体" w:eastAsia="宋体" w:cs="宋体"/>
          <w:spacing w:val="-2"/>
          <w:sz w:val="24"/>
          <w:szCs w:val="24"/>
        </w:rPr>
        <w:t>1.</w:t>
      </w:r>
      <w:r>
        <w:rPr>
          <w:rFonts w:hint="eastAsia" w:ascii="宋体" w:hAnsi="宋体" w:eastAsia="宋体" w:cs="宋体"/>
          <w:spacing w:val="-2"/>
          <w:sz w:val="24"/>
          <w:szCs w:val="24"/>
          <w:lang w:val="en-US" w:eastAsia="zh-CN"/>
        </w:rPr>
        <w:t>8、</w:t>
      </w:r>
      <w:r>
        <w:rPr>
          <w:rFonts w:hint="eastAsia" w:ascii="宋体" w:hAnsi="宋体" w:eastAsia="宋体" w:cs="宋体"/>
          <w:spacing w:val="-2"/>
          <w:sz w:val="24"/>
          <w:szCs w:val="24"/>
        </w:rPr>
        <w:t>语言文字</w:t>
      </w:r>
    </w:p>
    <w:p>
      <w:pPr>
        <w:spacing w:line="360" w:lineRule="auto"/>
        <w:ind w:firstLine="456" w:firstLineChars="200"/>
        <w:jc w:val="both"/>
        <w:rPr>
          <w:rFonts w:ascii="宋体" w:hAnsi="宋体" w:eastAsia="宋体" w:cs="宋体"/>
          <w:sz w:val="24"/>
          <w:szCs w:val="24"/>
        </w:rPr>
      </w:pPr>
      <w:r>
        <w:rPr>
          <w:rFonts w:hint="eastAsia" w:ascii="宋体" w:hAnsi="宋体" w:eastAsia="宋体" w:cs="宋体"/>
          <w:spacing w:val="-6"/>
          <w:sz w:val="24"/>
          <w:szCs w:val="24"/>
        </w:rPr>
        <w:t>除专用术语</w:t>
      </w:r>
      <w:r>
        <w:rPr>
          <w:rFonts w:hint="eastAsia" w:ascii="宋体" w:hAnsi="宋体" w:eastAsia="宋体" w:cs="宋体"/>
          <w:spacing w:val="-4"/>
          <w:sz w:val="24"/>
          <w:szCs w:val="24"/>
        </w:rPr>
        <w:t>外</w:t>
      </w:r>
      <w:r>
        <w:rPr>
          <w:rFonts w:hint="eastAsia" w:ascii="宋体" w:hAnsi="宋体" w:eastAsia="宋体" w:cs="宋体"/>
          <w:spacing w:val="-3"/>
          <w:sz w:val="24"/>
          <w:szCs w:val="24"/>
        </w:rPr>
        <w:t>，与招标投标有关的语言均使用中文。必要时专用术语应附有中文注释。</w:t>
      </w:r>
    </w:p>
    <w:p>
      <w:pPr>
        <w:spacing w:line="360" w:lineRule="auto"/>
        <w:ind w:firstLine="468" w:firstLineChars="200"/>
        <w:jc w:val="both"/>
        <w:rPr>
          <w:rFonts w:ascii="宋体" w:hAnsi="宋体" w:eastAsia="宋体" w:cs="宋体"/>
          <w:sz w:val="24"/>
          <w:szCs w:val="24"/>
        </w:rPr>
      </w:pPr>
      <w:r>
        <w:rPr>
          <w:rFonts w:hint="eastAsia" w:ascii="宋体" w:hAnsi="宋体" w:eastAsia="宋体" w:cs="宋体"/>
          <w:spacing w:val="-3"/>
          <w:sz w:val="24"/>
          <w:szCs w:val="24"/>
        </w:rPr>
        <w:t>1</w:t>
      </w:r>
      <w:r>
        <w:rPr>
          <w:rFonts w:hint="eastAsia" w:ascii="宋体" w:hAnsi="宋体" w:eastAsia="宋体" w:cs="宋体"/>
          <w:spacing w:val="-2"/>
          <w:sz w:val="24"/>
          <w:szCs w:val="24"/>
        </w:rPr>
        <w:t>.</w:t>
      </w:r>
      <w:r>
        <w:rPr>
          <w:rFonts w:hint="eastAsia" w:ascii="宋体" w:hAnsi="宋体" w:eastAsia="宋体" w:cs="宋体"/>
          <w:spacing w:val="-2"/>
          <w:sz w:val="24"/>
          <w:szCs w:val="24"/>
          <w:lang w:val="en-US" w:eastAsia="zh-CN"/>
        </w:rPr>
        <w:t>9、</w:t>
      </w:r>
      <w:r>
        <w:rPr>
          <w:rFonts w:hint="eastAsia" w:ascii="宋体" w:hAnsi="宋体" w:eastAsia="宋体" w:cs="宋体"/>
          <w:spacing w:val="-2"/>
          <w:sz w:val="24"/>
          <w:szCs w:val="24"/>
        </w:rPr>
        <w:t>计量单位</w:t>
      </w:r>
    </w:p>
    <w:p>
      <w:pPr>
        <w:spacing w:line="360" w:lineRule="auto"/>
        <w:ind w:firstLine="476" w:firstLineChars="200"/>
        <w:jc w:val="both"/>
        <w:rPr>
          <w:rFonts w:ascii="宋体" w:hAnsi="宋体" w:eastAsia="宋体" w:cs="宋体"/>
          <w:sz w:val="24"/>
          <w:szCs w:val="24"/>
        </w:rPr>
      </w:pPr>
      <w:r>
        <w:rPr>
          <w:rFonts w:hint="eastAsia" w:ascii="宋体" w:hAnsi="宋体" w:eastAsia="宋体" w:cs="宋体"/>
          <w:spacing w:val="-1"/>
          <w:sz w:val="24"/>
          <w:szCs w:val="24"/>
        </w:rPr>
        <w:t>所有计</w:t>
      </w:r>
      <w:r>
        <w:rPr>
          <w:rFonts w:hint="eastAsia" w:ascii="宋体" w:hAnsi="宋体" w:eastAsia="宋体" w:cs="宋体"/>
          <w:sz w:val="24"/>
          <w:szCs w:val="24"/>
        </w:rPr>
        <w:t>量均采用中华人民共和国法定计量单位。</w:t>
      </w:r>
    </w:p>
    <w:p>
      <w:pPr>
        <w:spacing w:line="360" w:lineRule="auto"/>
        <w:ind w:firstLine="472" w:firstLineChars="200"/>
        <w:jc w:val="both"/>
        <w:rPr>
          <w:rFonts w:ascii="宋体" w:hAnsi="宋体" w:eastAsia="宋体" w:cs="宋体"/>
          <w:sz w:val="24"/>
          <w:szCs w:val="24"/>
        </w:rPr>
      </w:pPr>
      <w:r>
        <w:rPr>
          <w:rFonts w:hint="eastAsia" w:ascii="宋体" w:hAnsi="宋体" w:eastAsia="宋体" w:cs="宋体"/>
          <w:spacing w:val="-2"/>
          <w:sz w:val="24"/>
          <w:szCs w:val="24"/>
        </w:rPr>
        <w:t>1.</w:t>
      </w:r>
      <w:r>
        <w:rPr>
          <w:rFonts w:hint="eastAsia" w:ascii="宋体" w:hAnsi="宋体" w:eastAsia="宋体" w:cs="宋体"/>
          <w:spacing w:val="-2"/>
          <w:sz w:val="24"/>
          <w:szCs w:val="24"/>
          <w:lang w:val="en-US" w:eastAsia="zh-CN"/>
        </w:rPr>
        <w:t>10、</w:t>
      </w:r>
      <w:r>
        <w:rPr>
          <w:rFonts w:hint="eastAsia" w:ascii="宋体" w:hAnsi="宋体" w:eastAsia="宋体" w:cs="宋体"/>
          <w:spacing w:val="-2"/>
          <w:sz w:val="24"/>
          <w:szCs w:val="24"/>
        </w:rPr>
        <w:t>踏勘现场</w:t>
      </w:r>
    </w:p>
    <w:p>
      <w:pPr>
        <w:spacing w:line="360" w:lineRule="auto"/>
        <w:ind w:firstLine="472" w:firstLineChars="200"/>
        <w:jc w:val="both"/>
        <w:rPr>
          <w:rFonts w:ascii="宋体" w:hAnsi="宋体" w:eastAsia="宋体" w:cs="宋体"/>
          <w:sz w:val="24"/>
          <w:szCs w:val="24"/>
        </w:rPr>
      </w:pPr>
      <w:r>
        <w:rPr>
          <w:rFonts w:hint="eastAsia" w:ascii="宋体" w:hAnsi="宋体" w:eastAsia="宋体" w:cs="宋体"/>
          <w:spacing w:val="-2"/>
          <w:sz w:val="24"/>
          <w:szCs w:val="24"/>
        </w:rPr>
        <w:t>本项目不组织现场踏勘</w:t>
      </w:r>
      <w:r>
        <w:rPr>
          <w:rFonts w:hint="eastAsia" w:ascii="宋体" w:hAnsi="宋体" w:eastAsia="宋体" w:cs="宋体"/>
          <w:spacing w:val="-1"/>
          <w:sz w:val="24"/>
          <w:szCs w:val="24"/>
        </w:rPr>
        <w:t>。</w:t>
      </w:r>
    </w:p>
    <w:p>
      <w:pPr>
        <w:spacing w:line="360" w:lineRule="auto"/>
        <w:ind w:firstLine="472" w:firstLineChars="200"/>
        <w:jc w:val="both"/>
        <w:rPr>
          <w:rFonts w:hint="eastAsia" w:ascii="宋体" w:hAnsi="宋体" w:eastAsia="宋体" w:cs="宋体"/>
          <w:sz w:val="24"/>
          <w:szCs w:val="24"/>
        </w:rPr>
      </w:pPr>
      <w:r>
        <w:rPr>
          <w:rFonts w:hint="eastAsia" w:ascii="宋体" w:hAnsi="宋体" w:eastAsia="宋体" w:cs="宋体"/>
          <w:spacing w:val="-2"/>
          <w:sz w:val="24"/>
          <w:szCs w:val="24"/>
        </w:rPr>
        <w:t>1.1</w:t>
      </w:r>
      <w:r>
        <w:rPr>
          <w:rFonts w:hint="eastAsia" w:ascii="宋体" w:hAnsi="宋体" w:eastAsia="宋体" w:cs="宋体"/>
          <w:spacing w:val="-2"/>
          <w:sz w:val="24"/>
          <w:szCs w:val="24"/>
          <w:lang w:val="en-US" w:eastAsia="zh-CN"/>
        </w:rPr>
        <w:t>1、</w:t>
      </w:r>
      <w:r>
        <w:rPr>
          <w:rFonts w:hint="eastAsia" w:ascii="宋体" w:hAnsi="宋体" w:eastAsia="宋体" w:cs="宋体"/>
          <w:sz w:val="24"/>
          <w:szCs w:val="24"/>
        </w:rPr>
        <w:t>投标预备会</w:t>
      </w:r>
    </w:p>
    <w:p>
      <w:pPr>
        <w:spacing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本项目不召开预备会。</w:t>
      </w:r>
    </w:p>
    <w:p>
      <w:pPr>
        <w:spacing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1.1</w:t>
      </w:r>
      <w:r>
        <w:rPr>
          <w:rFonts w:hint="eastAsia" w:ascii="宋体" w:hAnsi="宋体" w:eastAsia="宋体" w:cs="宋体"/>
          <w:sz w:val="24"/>
          <w:szCs w:val="24"/>
          <w:lang w:val="en-US" w:eastAsia="zh-CN"/>
        </w:rPr>
        <w:t>2、</w:t>
      </w:r>
      <w:r>
        <w:rPr>
          <w:rFonts w:hint="eastAsia" w:ascii="宋体" w:hAnsi="宋体" w:eastAsia="宋体" w:cs="宋体"/>
          <w:sz w:val="24"/>
          <w:szCs w:val="24"/>
        </w:rPr>
        <w:t>分包</w:t>
      </w:r>
    </w:p>
    <w:p>
      <w:pPr>
        <w:spacing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本项目不接受任何分包。</w:t>
      </w:r>
    </w:p>
    <w:p>
      <w:pPr>
        <w:spacing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1.1</w:t>
      </w:r>
      <w:r>
        <w:rPr>
          <w:rFonts w:hint="eastAsia" w:ascii="宋体" w:hAnsi="宋体" w:eastAsia="宋体" w:cs="宋体"/>
          <w:sz w:val="24"/>
          <w:szCs w:val="24"/>
          <w:lang w:val="en-US" w:eastAsia="zh-CN"/>
        </w:rPr>
        <w:t>3、</w:t>
      </w:r>
      <w:r>
        <w:rPr>
          <w:rFonts w:hint="eastAsia" w:ascii="宋体" w:hAnsi="宋体" w:eastAsia="宋体" w:cs="宋体"/>
          <w:sz w:val="24"/>
          <w:szCs w:val="24"/>
        </w:rPr>
        <w:t>偏离</w:t>
      </w:r>
    </w:p>
    <w:p>
      <w:pPr>
        <w:spacing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lang w:eastAsia="zh-CN"/>
        </w:rPr>
        <w:t>投标文件对招标文件的全部偏差，均应在投标文件的商务和技术偏差表中列明。</w:t>
      </w:r>
    </w:p>
    <w:p>
      <w:pPr>
        <w:spacing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二、招标文件</w:t>
      </w:r>
    </w:p>
    <w:p>
      <w:pPr>
        <w:spacing w:line="360" w:lineRule="auto"/>
        <w:ind w:firstLine="476" w:firstLineChars="200"/>
        <w:jc w:val="both"/>
        <w:rPr>
          <w:rFonts w:ascii="宋体" w:hAnsi="宋体" w:eastAsia="宋体" w:cs="宋体"/>
          <w:sz w:val="24"/>
          <w:szCs w:val="24"/>
        </w:rPr>
      </w:pPr>
      <w:r>
        <w:rPr>
          <w:rFonts w:hint="eastAsia" w:ascii="宋体" w:hAnsi="宋体" w:eastAsia="宋体" w:cs="宋体"/>
          <w:spacing w:val="-1"/>
          <w:sz w:val="24"/>
          <w:szCs w:val="24"/>
        </w:rPr>
        <w:t>2</w:t>
      </w: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招标文件构成</w:t>
      </w:r>
    </w:p>
    <w:p>
      <w:pPr>
        <w:spacing w:line="360" w:lineRule="auto"/>
        <w:ind w:firstLine="476" w:firstLineChars="200"/>
        <w:jc w:val="both"/>
        <w:rPr>
          <w:rFonts w:ascii="宋体" w:hAnsi="宋体" w:eastAsia="宋体" w:cs="宋体"/>
          <w:spacing w:val="-1"/>
          <w:sz w:val="24"/>
          <w:szCs w:val="24"/>
        </w:rPr>
      </w:pPr>
      <w:r>
        <w:rPr>
          <w:rFonts w:hint="eastAsia" w:ascii="宋体" w:hAnsi="宋体" w:eastAsia="宋体" w:cs="宋体"/>
          <w:spacing w:val="-1"/>
          <w:sz w:val="24"/>
          <w:szCs w:val="24"/>
        </w:rPr>
        <w:t>要求提供的货物和服务、招标过程、合同条件和技术要求在招标文件中均有说明。招标文件的内容如下：</w:t>
      </w:r>
    </w:p>
    <w:p>
      <w:pPr>
        <w:spacing w:line="360" w:lineRule="auto"/>
        <w:ind w:firstLine="476" w:firstLineChars="200"/>
        <w:jc w:val="both"/>
        <w:rPr>
          <w:rFonts w:ascii="宋体" w:hAnsi="宋体" w:eastAsia="宋体" w:cs="宋体"/>
          <w:spacing w:val="-1"/>
          <w:sz w:val="24"/>
          <w:szCs w:val="24"/>
        </w:rPr>
      </w:pPr>
      <w:r>
        <w:rPr>
          <w:rFonts w:hint="eastAsia" w:ascii="宋体" w:hAnsi="宋体" w:eastAsia="宋体" w:cs="宋体"/>
          <w:spacing w:val="-1"/>
          <w:sz w:val="24"/>
          <w:szCs w:val="24"/>
        </w:rPr>
        <w:t>第一部分</w:t>
      </w:r>
      <w:r>
        <w:rPr>
          <w:rFonts w:hint="eastAsia" w:ascii="宋体" w:hAnsi="宋体" w:eastAsia="宋体" w:cs="宋体"/>
          <w:spacing w:val="-1"/>
          <w:sz w:val="24"/>
          <w:szCs w:val="24"/>
          <w:lang w:val="en-US" w:eastAsia="zh-CN"/>
        </w:rPr>
        <w:t xml:space="preserve"> </w:t>
      </w:r>
      <w:r>
        <w:rPr>
          <w:rFonts w:hint="eastAsia" w:ascii="宋体" w:hAnsi="宋体" w:eastAsia="宋体" w:cs="宋体"/>
          <w:spacing w:val="-1"/>
          <w:sz w:val="24"/>
          <w:szCs w:val="24"/>
        </w:rPr>
        <w:t>招标公告</w:t>
      </w:r>
    </w:p>
    <w:p>
      <w:pPr>
        <w:spacing w:line="360" w:lineRule="auto"/>
        <w:ind w:firstLine="476" w:firstLineChars="200"/>
        <w:jc w:val="both"/>
        <w:rPr>
          <w:rFonts w:ascii="宋体" w:hAnsi="宋体" w:eastAsia="宋体" w:cs="宋体"/>
          <w:spacing w:val="-1"/>
          <w:sz w:val="24"/>
          <w:szCs w:val="24"/>
        </w:rPr>
      </w:pPr>
      <w:r>
        <w:rPr>
          <w:rFonts w:hint="eastAsia" w:ascii="宋体" w:hAnsi="宋体" w:eastAsia="宋体" w:cs="宋体"/>
          <w:spacing w:val="-1"/>
          <w:sz w:val="24"/>
          <w:szCs w:val="24"/>
        </w:rPr>
        <w:t>第二部分</w:t>
      </w:r>
      <w:r>
        <w:rPr>
          <w:rFonts w:hint="eastAsia" w:ascii="宋体" w:hAnsi="宋体" w:eastAsia="宋体" w:cs="宋体"/>
          <w:spacing w:val="-1"/>
          <w:sz w:val="24"/>
          <w:szCs w:val="24"/>
          <w:lang w:val="en-US" w:eastAsia="zh-CN"/>
        </w:rPr>
        <w:t xml:space="preserve"> </w:t>
      </w:r>
      <w:r>
        <w:rPr>
          <w:rFonts w:hint="eastAsia" w:ascii="宋体" w:hAnsi="宋体" w:eastAsia="宋体" w:cs="宋体"/>
          <w:spacing w:val="-1"/>
          <w:sz w:val="24"/>
          <w:szCs w:val="24"/>
        </w:rPr>
        <w:t>投标人须知</w:t>
      </w:r>
    </w:p>
    <w:p>
      <w:pPr>
        <w:spacing w:line="360" w:lineRule="auto"/>
        <w:ind w:firstLine="476" w:firstLineChars="200"/>
        <w:jc w:val="both"/>
        <w:rPr>
          <w:rFonts w:ascii="宋体" w:hAnsi="宋体" w:eastAsia="宋体" w:cs="宋体"/>
          <w:spacing w:val="-1"/>
          <w:sz w:val="24"/>
          <w:szCs w:val="24"/>
        </w:rPr>
      </w:pPr>
      <w:r>
        <w:rPr>
          <w:rFonts w:hint="eastAsia" w:ascii="宋体" w:hAnsi="宋体" w:eastAsia="宋体" w:cs="宋体"/>
          <w:spacing w:val="-1"/>
          <w:sz w:val="24"/>
          <w:szCs w:val="24"/>
        </w:rPr>
        <w:t>第三部分</w:t>
      </w:r>
      <w:r>
        <w:rPr>
          <w:rFonts w:hint="eastAsia" w:ascii="宋体" w:hAnsi="宋体" w:eastAsia="宋体" w:cs="宋体"/>
          <w:spacing w:val="-1"/>
          <w:sz w:val="24"/>
          <w:szCs w:val="24"/>
          <w:lang w:val="en-US" w:eastAsia="zh-CN"/>
        </w:rPr>
        <w:t xml:space="preserve"> </w:t>
      </w:r>
      <w:r>
        <w:rPr>
          <w:rFonts w:hint="eastAsia" w:ascii="宋体" w:hAnsi="宋体" w:eastAsia="宋体" w:cs="宋体"/>
          <w:spacing w:val="-1"/>
          <w:sz w:val="24"/>
          <w:szCs w:val="24"/>
        </w:rPr>
        <w:t>投标人须知正文部分</w:t>
      </w:r>
    </w:p>
    <w:p>
      <w:pPr>
        <w:spacing w:line="360" w:lineRule="auto"/>
        <w:ind w:firstLine="476" w:firstLineChars="200"/>
        <w:jc w:val="both"/>
        <w:rPr>
          <w:rFonts w:eastAsia="宋体"/>
        </w:rPr>
      </w:pPr>
      <w:r>
        <w:rPr>
          <w:rFonts w:hint="eastAsia" w:ascii="宋体" w:hAnsi="宋体" w:eastAsia="宋体" w:cs="宋体"/>
          <w:spacing w:val="-1"/>
          <w:sz w:val="24"/>
          <w:szCs w:val="24"/>
        </w:rPr>
        <w:t>第四部分 项目采购内容及技术要求</w:t>
      </w:r>
    </w:p>
    <w:p>
      <w:pPr>
        <w:spacing w:line="360" w:lineRule="auto"/>
        <w:ind w:firstLine="476"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rPr>
        <w:t>第五部分</w:t>
      </w:r>
      <w:r>
        <w:rPr>
          <w:rFonts w:hint="eastAsia" w:ascii="宋体" w:hAnsi="宋体" w:eastAsia="宋体" w:cs="宋体"/>
          <w:spacing w:val="-1"/>
          <w:sz w:val="24"/>
          <w:szCs w:val="24"/>
          <w:lang w:val="en-US" w:eastAsia="zh-CN"/>
        </w:rPr>
        <w:t xml:space="preserve"> </w:t>
      </w:r>
      <w:r>
        <w:rPr>
          <w:rFonts w:hint="eastAsia" w:ascii="宋体" w:hAnsi="宋体" w:eastAsia="宋体" w:cs="宋体"/>
          <w:spacing w:val="-1"/>
          <w:sz w:val="24"/>
          <w:szCs w:val="24"/>
        </w:rPr>
        <w:t>合同</w:t>
      </w:r>
      <w:r>
        <w:rPr>
          <w:rFonts w:hint="eastAsia" w:ascii="宋体" w:hAnsi="宋体" w:eastAsia="宋体" w:cs="宋体"/>
          <w:spacing w:val="-1"/>
          <w:sz w:val="24"/>
          <w:szCs w:val="24"/>
          <w:lang w:eastAsia="zh-CN"/>
        </w:rPr>
        <w:t>格式</w:t>
      </w:r>
    </w:p>
    <w:p>
      <w:pPr>
        <w:spacing w:line="360" w:lineRule="auto"/>
        <w:ind w:firstLine="476" w:firstLineChars="200"/>
        <w:jc w:val="both"/>
        <w:rPr>
          <w:rFonts w:ascii="宋体" w:hAnsi="宋体" w:eastAsia="宋体" w:cs="宋体"/>
          <w:spacing w:val="-1"/>
          <w:sz w:val="24"/>
          <w:szCs w:val="24"/>
        </w:rPr>
      </w:pPr>
      <w:r>
        <w:rPr>
          <w:rFonts w:hint="eastAsia" w:ascii="宋体" w:hAnsi="宋体" w:eastAsia="宋体" w:cs="宋体"/>
          <w:spacing w:val="-1"/>
          <w:sz w:val="24"/>
          <w:szCs w:val="24"/>
        </w:rPr>
        <w:t>第六部分</w:t>
      </w:r>
      <w:r>
        <w:rPr>
          <w:rFonts w:hint="eastAsia" w:ascii="宋体" w:hAnsi="宋体" w:eastAsia="宋体" w:cs="宋体"/>
          <w:spacing w:val="-1"/>
          <w:sz w:val="24"/>
          <w:szCs w:val="24"/>
          <w:lang w:val="en-US" w:eastAsia="zh-CN"/>
        </w:rPr>
        <w:t xml:space="preserve"> </w:t>
      </w:r>
      <w:r>
        <w:rPr>
          <w:rFonts w:hint="eastAsia" w:ascii="宋体" w:hAnsi="宋体" w:eastAsia="宋体" w:cs="宋体"/>
          <w:spacing w:val="-1"/>
          <w:sz w:val="24"/>
          <w:szCs w:val="24"/>
        </w:rPr>
        <w:t>标投标文件格式</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2.2</w:t>
      </w:r>
      <w:r>
        <w:rPr>
          <w:rFonts w:hint="eastAsia" w:ascii="宋体" w:hAnsi="宋体" w:eastAsia="宋体" w:cs="宋体"/>
          <w:sz w:val="24"/>
          <w:szCs w:val="24"/>
          <w:lang w:eastAsia="zh-CN"/>
        </w:rPr>
        <w:t>、</w:t>
      </w:r>
      <w:r>
        <w:rPr>
          <w:rFonts w:hint="eastAsia" w:ascii="宋体" w:hAnsi="宋体" w:eastAsia="宋体" w:cs="宋体"/>
          <w:sz w:val="24"/>
          <w:szCs w:val="24"/>
        </w:rPr>
        <w:t>招标文件的澄清</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2.2.1 投标人应仔细阅读和检查招标文件的全部内容。如发现缺页或附件不全或者有其他疑问，应及时向招标人(或代理机构)提出，以便补齐。如有疑问，</w:t>
      </w:r>
      <w:r>
        <w:rPr>
          <w:rFonts w:ascii="宋体" w:hAnsi="宋体" w:eastAsia="宋体" w:cs="宋体"/>
          <w:sz w:val="24"/>
          <w:szCs w:val="24"/>
        </w:rPr>
        <w:t>应按</w:t>
      </w:r>
      <w:r>
        <w:rPr>
          <w:rFonts w:hint="eastAsia" w:ascii="宋体" w:hAnsi="宋体" w:eastAsia="宋体" w:cs="宋体"/>
          <w:sz w:val="24"/>
          <w:szCs w:val="24"/>
          <w:lang w:eastAsia="zh-CN"/>
        </w:rPr>
        <w:t>投标人</w:t>
      </w:r>
      <w:r>
        <w:rPr>
          <w:rFonts w:ascii="宋体" w:hAnsi="宋体" w:eastAsia="宋体" w:cs="宋体"/>
          <w:sz w:val="24"/>
          <w:szCs w:val="24"/>
        </w:rPr>
        <w:t>须知前附表规定的时间</w:t>
      </w:r>
      <w:r>
        <w:rPr>
          <w:rFonts w:hint="eastAsia" w:ascii="宋体" w:hAnsi="宋体" w:eastAsia="宋体" w:cs="宋体"/>
          <w:sz w:val="24"/>
          <w:szCs w:val="24"/>
        </w:rPr>
        <w:t>以书面形式(加盖单位公章且法人签字)由法定代表人或其原授权代表携带企业营业执照副本(原件)及本人身份证件(原件)向招标人和招标代理机构提出(邮件、传真件不予受理)，要求招标人(或代理机构)对招标文件予以澄清。投标人在规定时间内未对招标文件提出澄清要求，视为投标人全部认同招标文件。</w:t>
      </w:r>
    </w:p>
    <w:p>
      <w:pPr>
        <w:spacing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2.2.2 招标文件的澄清将在投标人须知前附表规定的投标截止时间15天前以公告形式通知投标人，但不指明澄清问题的来源。澄清发出的时间距投标截止时间不足 15 日的，并且澄清内容可能影响投标文件编制的，将相应延长投标截止时间。</w:t>
      </w:r>
    </w:p>
    <w:p>
      <w:pPr>
        <w:spacing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2.3</w:t>
      </w:r>
      <w:r>
        <w:rPr>
          <w:rFonts w:hint="eastAsia" w:ascii="宋体" w:hAnsi="宋体" w:eastAsia="宋体" w:cs="宋体"/>
          <w:sz w:val="24"/>
          <w:szCs w:val="24"/>
          <w:lang w:eastAsia="zh-CN"/>
        </w:rPr>
        <w:t>、</w:t>
      </w:r>
      <w:r>
        <w:rPr>
          <w:rFonts w:hint="eastAsia" w:ascii="宋体" w:hAnsi="宋体" w:eastAsia="宋体" w:cs="宋体"/>
          <w:sz w:val="24"/>
          <w:szCs w:val="24"/>
        </w:rPr>
        <w:t>招标文件的修改</w:t>
      </w:r>
    </w:p>
    <w:p>
      <w:pPr>
        <w:spacing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在投标截止时间15天前，招标人可以书面形式修改招标文件，并以公告形式通知投标人。</w:t>
      </w:r>
    </w:p>
    <w:p>
      <w:pPr>
        <w:spacing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2.4</w:t>
      </w:r>
      <w:r>
        <w:rPr>
          <w:rFonts w:hint="eastAsia" w:ascii="宋体" w:hAnsi="宋体" w:eastAsia="宋体" w:cs="宋体"/>
          <w:sz w:val="24"/>
          <w:szCs w:val="24"/>
          <w:lang w:eastAsia="zh-CN"/>
        </w:rPr>
        <w:t>、</w:t>
      </w:r>
      <w:r>
        <w:rPr>
          <w:rFonts w:hint="eastAsia" w:ascii="宋体" w:hAnsi="宋体" w:eastAsia="宋体" w:cs="宋体"/>
          <w:sz w:val="24"/>
          <w:szCs w:val="24"/>
        </w:rPr>
        <w:t>质疑</w:t>
      </w:r>
    </w:p>
    <w:p>
      <w:pPr>
        <w:spacing w:line="360" w:lineRule="auto"/>
        <w:ind w:firstLine="480" w:firstLineChars="200"/>
        <w:jc w:val="both"/>
        <w:rPr>
          <w:rFonts w:hint="eastAsia" w:ascii="宋体" w:hAnsi="宋体" w:eastAsia="宋体" w:cs="宋体"/>
          <w:sz w:val="24"/>
          <w:szCs w:val="24"/>
          <w:lang w:eastAsia="zh-CN"/>
        </w:rPr>
      </w:pPr>
      <w:r>
        <w:rPr>
          <w:rFonts w:hint="eastAsia" w:ascii="宋体" w:hAnsi="宋体" w:eastAsia="宋体" w:cs="宋体"/>
          <w:sz w:val="24"/>
          <w:szCs w:val="24"/>
        </w:rPr>
        <w:t>潜在供应商已依法获取其可质疑的采购文件的，可以对该文件提出质疑。对采购文件提出质疑的，应当在获取采购文件或</w:t>
      </w:r>
      <w:r>
        <w:rPr>
          <w:rFonts w:hint="eastAsia" w:ascii="宋体" w:hAnsi="宋体" w:eastAsia="宋体" w:cs="宋体"/>
          <w:sz w:val="24"/>
          <w:szCs w:val="24"/>
          <w:lang w:eastAsia="zh-CN"/>
        </w:rPr>
        <w:t>者采购文件公告期限届满之日起7个工作日内提出，供应商在法定质疑期内一次性提出针对同一采购程序环节的质疑。质疑函须按照财政部发布的质疑函范本格式提交，不符合格式要求的将被拒绝接收。</w:t>
      </w:r>
    </w:p>
    <w:p>
      <w:pPr>
        <w:spacing w:line="360" w:lineRule="auto"/>
        <w:ind w:firstLine="480" w:firstLineChars="20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采购人、采购代理机构不得拒收质疑供应商在法定质疑期内发出的质疑函，应当在收到质疑函后7个工作日内作出答复，并以书面形式通知质疑供应商和其他有关供应商。具体参照中华人民共和国财政部令第94号--《政府采购质疑和投诉办法》。超出法定质疑期的、重复提出的、分次提出的或内容、形式不符合《政府采购质疑和投诉办法》的，质疑供应商将依法承担不利后果。</w:t>
      </w:r>
    </w:p>
    <w:p>
      <w:pPr>
        <w:spacing w:line="360" w:lineRule="auto"/>
        <w:ind w:firstLine="480" w:firstLineChars="20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2.5、政府采购项目实行网上受理，开标前所有信息保密。因此，发布的一切公告信息（包括采购公告、变更公告、澄清公告等）均在“河南省政府采购网”、“唐河县公共资源交易中心网”等媒体发布，请潜在投标供应商随时查询有关公告信息。若因潜在投标供应商没有及时查看到公告信息而造成的投标失误，责任自负。</w:t>
      </w:r>
    </w:p>
    <w:p>
      <w:pPr>
        <w:spacing w:line="360" w:lineRule="auto"/>
        <w:ind w:firstLine="476" w:firstLineChars="200"/>
        <w:jc w:val="both"/>
        <w:outlineLvl w:val="9"/>
        <w:rPr>
          <w:rFonts w:ascii="宋体" w:hAnsi="宋体" w:eastAsia="宋体" w:cs="宋体"/>
          <w:sz w:val="24"/>
          <w:szCs w:val="24"/>
        </w:rPr>
      </w:pPr>
      <w:r>
        <w:rPr>
          <w:rFonts w:hint="eastAsia" w:ascii="宋体" w:hAnsi="宋体" w:eastAsia="宋体" w:cs="宋体"/>
          <w:spacing w:val="-1"/>
          <w:sz w:val="24"/>
          <w:szCs w:val="24"/>
        </w:rPr>
        <w:t>三</w:t>
      </w:r>
      <w:r>
        <w:rPr>
          <w:rFonts w:hint="eastAsia" w:ascii="宋体" w:hAnsi="宋体" w:eastAsia="宋体" w:cs="宋体"/>
          <w:sz w:val="24"/>
          <w:szCs w:val="24"/>
        </w:rPr>
        <w:t>、投标文件</w:t>
      </w:r>
    </w:p>
    <w:p>
      <w:pPr>
        <w:spacing w:line="360" w:lineRule="auto"/>
        <w:ind w:firstLine="476" w:firstLineChars="200"/>
        <w:jc w:val="both"/>
        <w:rPr>
          <w:rFonts w:ascii="宋体" w:hAnsi="宋体" w:eastAsia="宋体" w:cs="宋体"/>
          <w:spacing w:val="-1"/>
          <w:sz w:val="24"/>
          <w:szCs w:val="24"/>
        </w:rPr>
      </w:pPr>
      <w:r>
        <w:rPr>
          <w:rFonts w:hint="eastAsia" w:ascii="宋体" w:hAnsi="宋体" w:eastAsia="宋体" w:cs="宋体"/>
          <w:spacing w:val="-1"/>
          <w:sz w:val="24"/>
          <w:szCs w:val="24"/>
        </w:rPr>
        <w:t>3.1</w:t>
      </w:r>
      <w:r>
        <w:rPr>
          <w:rFonts w:hint="eastAsia" w:ascii="宋体" w:hAnsi="宋体" w:eastAsia="宋体" w:cs="宋体"/>
          <w:spacing w:val="-1"/>
          <w:sz w:val="24"/>
          <w:szCs w:val="24"/>
          <w:lang w:eastAsia="zh-CN"/>
        </w:rPr>
        <w:t>、</w:t>
      </w:r>
      <w:r>
        <w:rPr>
          <w:rFonts w:hint="eastAsia" w:ascii="宋体" w:hAnsi="宋体" w:eastAsia="宋体" w:cs="宋体"/>
          <w:spacing w:val="-1"/>
          <w:sz w:val="24"/>
          <w:szCs w:val="24"/>
        </w:rPr>
        <w:t>投标的语言</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投标人提交的投标文件以及投标人与招标人就有关投标的所有来往函电均应使用中文书写。</w:t>
      </w:r>
    </w:p>
    <w:p>
      <w:pPr>
        <w:spacing w:line="360" w:lineRule="auto"/>
        <w:ind w:firstLine="476" w:firstLineChars="200"/>
        <w:jc w:val="both"/>
        <w:rPr>
          <w:rFonts w:ascii="宋体" w:hAnsi="宋体" w:eastAsia="宋体" w:cs="宋体"/>
          <w:spacing w:val="-1"/>
          <w:sz w:val="24"/>
          <w:szCs w:val="24"/>
        </w:rPr>
      </w:pPr>
      <w:r>
        <w:rPr>
          <w:rFonts w:hint="eastAsia" w:ascii="宋体" w:hAnsi="宋体" w:eastAsia="宋体" w:cs="宋体"/>
          <w:spacing w:val="-1"/>
          <w:sz w:val="24"/>
          <w:szCs w:val="24"/>
        </w:rPr>
        <w:t>3.2</w:t>
      </w:r>
      <w:r>
        <w:rPr>
          <w:rFonts w:hint="eastAsia" w:ascii="宋体" w:hAnsi="宋体" w:eastAsia="宋体" w:cs="宋体"/>
          <w:spacing w:val="-1"/>
          <w:sz w:val="24"/>
          <w:szCs w:val="24"/>
          <w:lang w:eastAsia="zh-CN"/>
        </w:rPr>
        <w:t>、</w:t>
      </w:r>
      <w:r>
        <w:rPr>
          <w:rFonts w:hint="eastAsia" w:ascii="宋体" w:hAnsi="宋体" w:eastAsia="宋体" w:cs="宋体"/>
          <w:spacing w:val="-1"/>
          <w:sz w:val="24"/>
          <w:szCs w:val="24"/>
        </w:rPr>
        <w:t>投标文件构成</w:t>
      </w:r>
    </w:p>
    <w:p>
      <w:pPr>
        <w:spacing w:line="360" w:lineRule="auto"/>
        <w:ind w:firstLine="476" w:firstLineChars="200"/>
        <w:jc w:val="both"/>
        <w:rPr>
          <w:rFonts w:ascii="宋体" w:hAnsi="宋体" w:eastAsia="宋体" w:cs="宋体"/>
          <w:spacing w:val="-1"/>
          <w:sz w:val="24"/>
          <w:szCs w:val="24"/>
        </w:rPr>
      </w:pPr>
      <w:r>
        <w:rPr>
          <w:rFonts w:hint="eastAsia" w:ascii="宋体" w:hAnsi="宋体" w:eastAsia="宋体" w:cs="宋体"/>
          <w:spacing w:val="-1"/>
          <w:sz w:val="24"/>
          <w:szCs w:val="24"/>
        </w:rPr>
        <w:t>投标人编写的投标文件应包括下列内容(不限于)：</w:t>
      </w:r>
    </w:p>
    <w:p>
      <w:pPr>
        <w:spacing w:line="360" w:lineRule="auto"/>
        <w:ind w:firstLine="476" w:firstLineChars="200"/>
        <w:jc w:val="both"/>
        <w:rPr>
          <w:rFonts w:ascii="宋体" w:hAnsi="宋体" w:eastAsia="宋体" w:cs="宋体"/>
          <w:spacing w:val="-1"/>
          <w:sz w:val="24"/>
          <w:szCs w:val="24"/>
        </w:rPr>
      </w:pPr>
      <w:r>
        <w:rPr>
          <w:rFonts w:hint="eastAsia" w:ascii="宋体" w:hAnsi="宋体" w:eastAsia="宋体" w:cs="宋体"/>
          <w:spacing w:val="-1"/>
          <w:sz w:val="24"/>
          <w:szCs w:val="24"/>
        </w:rPr>
        <w:t>1）投标函</w:t>
      </w:r>
    </w:p>
    <w:p>
      <w:pPr>
        <w:spacing w:line="360" w:lineRule="auto"/>
        <w:ind w:firstLine="476" w:firstLineChars="200"/>
        <w:jc w:val="both"/>
        <w:rPr>
          <w:rFonts w:ascii="宋体" w:hAnsi="宋体" w:eastAsia="宋体" w:cs="宋体"/>
          <w:spacing w:val="-1"/>
          <w:sz w:val="24"/>
          <w:szCs w:val="24"/>
        </w:rPr>
      </w:pPr>
      <w:r>
        <w:rPr>
          <w:rFonts w:hint="eastAsia" w:ascii="宋体" w:hAnsi="宋体" w:eastAsia="宋体" w:cs="宋体"/>
          <w:spacing w:val="-1"/>
          <w:sz w:val="24"/>
          <w:szCs w:val="24"/>
        </w:rPr>
        <w:t>2）法定代表人身份证明</w:t>
      </w:r>
    </w:p>
    <w:p>
      <w:pPr>
        <w:spacing w:line="360" w:lineRule="auto"/>
        <w:ind w:firstLine="476" w:firstLineChars="200"/>
        <w:jc w:val="both"/>
        <w:rPr>
          <w:rFonts w:ascii="宋体" w:hAnsi="宋体" w:eastAsia="宋体" w:cs="宋体"/>
          <w:spacing w:val="-1"/>
          <w:sz w:val="24"/>
          <w:szCs w:val="24"/>
        </w:rPr>
      </w:pPr>
      <w:r>
        <w:rPr>
          <w:rFonts w:hint="eastAsia" w:ascii="宋体" w:hAnsi="宋体" w:eastAsia="宋体" w:cs="宋体"/>
          <w:spacing w:val="-1"/>
          <w:sz w:val="24"/>
          <w:szCs w:val="24"/>
        </w:rPr>
        <w:t>3）授权委托书</w:t>
      </w:r>
    </w:p>
    <w:p>
      <w:pPr>
        <w:spacing w:line="360" w:lineRule="auto"/>
        <w:ind w:firstLine="476" w:firstLineChars="200"/>
        <w:jc w:val="both"/>
        <w:rPr>
          <w:rFonts w:ascii="宋体" w:hAnsi="宋体" w:eastAsia="宋体" w:cs="宋体"/>
          <w:spacing w:val="-1"/>
          <w:sz w:val="24"/>
          <w:szCs w:val="24"/>
        </w:rPr>
      </w:pPr>
      <w:r>
        <w:rPr>
          <w:rFonts w:hint="eastAsia" w:ascii="宋体" w:hAnsi="宋体" w:eastAsia="宋体" w:cs="宋体"/>
          <w:spacing w:val="-1"/>
          <w:sz w:val="24"/>
          <w:szCs w:val="24"/>
        </w:rPr>
        <w:t>4）项目清单报价表</w:t>
      </w:r>
    </w:p>
    <w:p>
      <w:pPr>
        <w:spacing w:line="360" w:lineRule="auto"/>
        <w:ind w:firstLine="476" w:firstLineChars="200"/>
        <w:jc w:val="both"/>
        <w:rPr>
          <w:rFonts w:ascii="宋体" w:hAnsi="宋体" w:eastAsia="宋体" w:cs="宋体"/>
          <w:spacing w:val="-1"/>
          <w:sz w:val="24"/>
          <w:szCs w:val="24"/>
        </w:rPr>
      </w:pPr>
      <w:r>
        <w:rPr>
          <w:rFonts w:hint="eastAsia" w:ascii="宋体" w:hAnsi="宋体" w:eastAsia="宋体" w:cs="宋体"/>
          <w:spacing w:val="-1"/>
          <w:sz w:val="24"/>
          <w:szCs w:val="24"/>
        </w:rPr>
        <w:t>5）售后服务计划</w:t>
      </w:r>
    </w:p>
    <w:p>
      <w:pPr>
        <w:spacing w:line="360" w:lineRule="auto"/>
        <w:ind w:firstLine="476" w:firstLineChars="200"/>
        <w:jc w:val="both"/>
        <w:rPr>
          <w:rFonts w:ascii="宋体" w:hAnsi="宋体" w:eastAsia="宋体" w:cs="宋体"/>
          <w:spacing w:val="-1"/>
          <w:sz w:val="24"/>
          <w:szCs w:val="24"/>
        </w:rPr>
      </w:pPr>
      <w:r>
        <w:rPr>
          <w:rFonts w:hint="eastAsia" w:ascii="宋体" w:hAnsi="宋体" w:eastAsia="宋体" w:cs="宋体"/>
          <w:spacing w:val="-1"/>
          <w:sz w:val="24"/>
          <w:szCs w:val="24"/>
        </w:rPr>
        <w:t>6）供货安装方案及培训方案</w:t>
      </w:r>
    </w:p>
    <w:p>
      <w:pPr>
        <w:spacing w:line="360" w:lineRule="auto"/>
        <w:ind w:firstLine="476" w:firstLineChars="200"/>
        <w:jc w:val="both"/>
        <w:rPr>
          <w:rFonts w:ascii="宋体" w:hAnsi="宋体" w:eastAsia="宋体" w:cs="宋体"/>
          <w:spacing w:val="-1"/>
          <w:sz w:val="24"/>
          <w:szCs w:val="24"/>
        </w:rPr>
      </w:pPr>
      <w:r>
        <w:rPr>
          <w:rFonts w:hint="eastAsia" w:ascii="宋体" w:hAnsi="宋体" w:eastAsia="宋体" w:cs="宋体"/>
          <w:spacing w:val="-1"/>
          <w:sz w:val="24"/>
          <w:szCs w:val="24"/>
        </w:rPr>
        <w:t>7）其他资料</w:t>
      </w:r>
    </w:p>
    <w:p>
      <w:pPr>
        <w:spacing w:line="360" w:lineRule="auto"/>
        <w:ind w:firstLine="476" w:firstLineChars="200"/>
        <w:jc w:val="both"/>
        <w:rPr>
          <w:rFonts w:ascii="宋体" w:hAnsi="宋体" w:eastAsia="宋体" w:cs="宋体"/>
          <w:spacing w:val="-1"/>
          <w:sz w:val="24"/>
          <w:szCs w:val="24"/>
        </w:rPr>
      </w:pPr>
      <w:r>
        <w:rPr>
          <w:rFonts w:hint="eastAsia" w:ascii="宋体" w:hAnsi="宋体" w:eastAsia="宋体" w:cs="宋体"/>
          <w:spacing w:val="-1"/>
          <w:sz w:val="24"/>
          <w:szCs w:val="24"/>
        </w:rPr>
        <w:t>3.3</w:t>
      </w:r>
      <w:r>
        <w:rPr>
          <w:rFonts w:hint="eastAsia" w:ascii="宋体" w:hAnsi="宋体" w:eastAsia="宋体" w:cs="宋体"/>
          <w:spacing w:val="-1"/>
          <w:sz w:val="24"/>
          <w:szCs w:val="24"/>
          <w:lang w:eastAsia="zh-CN"/>
        </w:rPr>
        <w:t>、</w:t>
      </w:r>
      <w:r>
        <w:rPr>
          <w:rFonts w:hint="eastAsia" w:ascii="宋体" w:hAnsi="宋体" w:eastAsia="宋体" w:cs="宋体"/>
          <w:spacing w:val="-1"/>
          <w:sz w:val="24"/>
          <w:szCs w:val="24"/>
        </w:rPr>
        <w:t>投标文件的编制</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3.3.1 投标文件应按招标文件提供的“投标文件格式”进行编写，如有必要，可以增加附页，作为投标文件的组成部分。其中，投标文件中的开标一览表在满足招标文件实质性要求的基础上，可以提出比招标文件要求更有利于招标人的承诺。</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3.3.2 投标文件应当对招标文件有关</w:t>
      </w:r>
      <w:r>
        <w:rPr>
          <w:rFonts w:hint="eastAsia" w:ascii="宋体" w:hAnsi="宋体" w:eastAsia="宋体" w:cs="宋体"/>
          <w:sz w:val="24"/>
          <w:szCs w:val="24"/>
          <w:lang w:val="en-US" w:eastAsia="zh-CN"/>
        </w:rPr>
        <w:t>供货期</w:t>
      </w:r>
      <w:r>
        <w:rPr>
          <w:rFonts w:hint="eastAsia" w:ascii="宋体" w:hAnsi="宋体" w:eastAsia="宋体" w:cs="宋体"/>
          <w:sz w:val="24"/>
          <w:szCs w:val="24"/>
        </w:rPr>
        <w:t>、投标有效期、质量要求、技术标准和要求、招标范围等实质性内容作出响应。</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3.3.3 投标文件电子签章的具体要求见投标人须知前附表。</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3.3.4 投标文件份数详见投标人须知前附表。</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3.3.5 不允许递交备选投标方案。</w:t>
      </w:r>
    </w:p>
    <w:p>
      <w:pPr>
        <w:spacing w:line="360" w:lineRule="auto"/>
        <w:ind w:firstLine="476" w:firstLineChars="200"/>
        <w:jc w:val="both"/>
        <w:rPr>
          <w:rFonts w:ascii="宋体" w:hAnsi="宋体" w:eastAsia="宋体" w:cs="宋体"/>
          <w:sz w:val="24"/>
          <w:szCs w:val="24"/>
        </w:rPr>
      </w:pPr>
      <w:r>
        <w:rPr>
          <w:rFonts w:hint="eastAsia" w:ascii="宋体" w:hAnsi="宋体" w:eastAsia="宋体" w:cs="宋体"/>
          <w:spacing w:val="-1"/>
          <w:sz w:val="24"/>
          <w:szCs w:val="24"/>
        </w:rPr>
        <w:t>3.4</w:t>
      </w:r>
      <w:r>
        <w:rPr>
          <w:rFonts w:hint="eastAsia" w:ascii="宋体" w:hAnsi="宋体" w:eastAsia="宋体" w:cs="宋体"/>
          <w:sz w:val="24"/>
          <w:szCs w:val="24"/>
          <w:lang w:eastAsia="zh-CN"/>
        </w:rPr>
        <w:t>、</w:t>
      </w:r>
      <w:r>
        <w:rPr>
          <w:rFonts w:hint="eastAsia" w:ascii="宋体" w:hAnsi="宋体" w:eastAsia="宋体" w:cs="宋体"/>
          <w:sz w:val="24"/>
          <w:szCs w:val="24"/>
        </w:rPr>
        <w:t>投标报价</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3.4.1 投标人根据招标人提供的有关资料、招标文件及招标文件补充答疑，结合本项目实际情况和市场行情自主合理报价,投标人在预算价的基础上确定投标报价，投标报价不得低于企业实际成本。</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3.4.2 本次投标报价为采购范围内固定总价方式。投标报价包括全部费用，应计算的项目若无计取，则视为包含在报价内。</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3.4.3 投标报价应包含全部货物及服务正式交付使用所发生的一切费用。</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3.4.4 如投标人报价表中的大写金额和小写金额不一致的，以大写金额为准；总金额与单价金额不一致的，以单价金额为准。全部报价均以人民币为计量币种，并以人民币进行结算。</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3.4.5 投标人应仔细审阅招标文件中的全部内容，如有不明确的，须在答疑时以书面形式提出，由招标人明确；否则视为投标人在投标报价中已完善计入。</w:t>
      </w:r>
    </w:p>
    <w:p>
      <w:pPr>
        <w:spacing w:line="360" w:lineRule="auto"/>
        <w:ind w:firstLine="476" w:firstLineChars="200"/>
        <w:jc w:val="both"/>
        <w:rPr>
          <w:rFonts w:ascii="宋体" w:hAnsi="宋体" w:eastAsia="宋体" w:cs="宋体"/>
          <w:sz w:val="24"/>
          <w:szCs w:val="24"/>
        </w:rPr>
      </w:pPr>
      <w:r>
        <w:rPr>
          <w:rFonts w:hint="eastAsia" w:ascii="宋体" w:hAnsi="宋体" w:eastAsia="宋体" w:cs="宋体"/>
          <w:spacing w:val="-1"/>
          <w:sz w:val="24"/>
          <w:szCs w:val="24"/>
        </w:rPr>
        <w:t>3.5</w:t>
      </w:r>
      <w:r>
        <w:rPr>
          <w:rFonts w:hint="eastAsia" w:ascii="宋体" w:hAnsi="宋体" w:eastAsia="宋体" w:cs="宋体"/>
          <w:spacing w:val="-1"/>
          <w:sz w:val="24"/>
          <w:szCs w:val="24"/>
          <w:lang w:eastAsia="zh-CN"/>
        </w:rPr>
        <w:t>、</w:t>
      </w:r>
      <w:r>
        <w:rPr>
          <w:rFonts w:hint="eastAsia" w:ascii="宋体" w:hAnsi="宋体" w:eastAsia="宋体" w:cs="宋体"/>
          <w:sz w:val="24"/>
          <w:szCs w:val="24"/>
        </w:rPr>
        <w:t>投标保证金</w:t>
      </w:r>
    </w:p>
    <w:p>
      <w:pPr>
        <w:spacing w:line="360" w:lineRule="auto"/>
        <w:ind w:firstLine="476" w:firstLineChars="200"/>
        <w:jc w:val="both"/>
        <w:rPr>
          <w:rFonts w:ascii="宋体" w:hAnsi="宋体" w:eastAsia="宋体" w:cs="宋体"/>
          <w:sz w:val="24"/>
          <w:szCs w:val="24"/>
        </w:rPr>
      </w:pPr>
      <w:r>
        <w:rPr>
          <w:rFonts w:hint="eastAsia" w:ascii="宋体" w:hAnsi="宋体" w:eastAsia="宋体" w:cs="宋体"/>
          <w:spacing w:val="-1"/>
          <w:sz w:val="24"/>
          <w:szCs w:val="24"/>
        </w:rPr>
        <w:t>本项</w:t>
      </w:r>
      <w:r>
        <w:rPr>
          <w:rFonts w:hint="eastAsia" w:ascii="宋体" w:hAnsi="宋体" w:eastAsia="宋体" w:cs="宋体"/>
          <w:sz w:val="24"/>
          <w:szCs w:val="24"/>
        </w:rPr>
        <w:t>目不收取投标保证金。</w:t>
      </w:r>
    </w:p>
    <w:p>
      <w:pPr>
        <w:spacing w:line="360" w:lineRule="auto"/>
        <w:ind w:firstLine="476" w:firstLineChars="200"/>
        <w:jc w:val="both"/>
        <w:rPr>
          <w:rFonts w:ascii="宋体" w:hAnsi="宋体" w:eastAsia="宋体" w:cs="宋体"/>
          <w:sz w:val="24"/>
          <w:szCs w:val="24"/>
        </w:rPr>
      </w:pPr>
      <w:r>
        <w:rPr>
          <w:rFonts w:hint="eastAsia" w:ascii="宋体" w:hAnsi="宋体" w:eastAsia="宋体" w:cs="宋体"/>
          <w:spacing w:val="-1"/>
          <w:sz w:val="24"/>
          <w:szCs w:val="24"/>
        </w:rPr>
        <w:t>3.6</w:t>
      </w:r>
      <w:r>
        <w:rPr>
          <w:rFonts w:hint="eastAsia" w:ascii="宋体" w:hAnsi="宋体" w:eastAsia="宋体" w:cs="宋体"/>
          <w:spacing w:val="-1"/>
          <w:sz w:val="24"/>
          <w:szCs w:val="24"/>
          <w:lang w:eastAsia="zh-CN"/>
        </w:rPr>
        <w:t>、</w:t>
      </w:r>
      <w:r>
        <w:rPr>
          <w:rFonts w:hint="eastAsia" w:ascii="宋体" w:hAnsi="宋体" w:eastAsia="宋体" w:cs="宋体"/>
          <w:spacing w:val="-1"/>
          <w:sz w:val="24"/>
          <w:szCs w:val="24"/>
        </w:rPr>
        <w:t>投标</w:t>
      </w:r>
      <w:r>
        <w:rPr>
          <w:rFonts w:hint="eastAsia" w:ascii="宋体" w:hAnsi="宋体" w:eastAsia="宋体" w:cs="宋体"/>
          <w:sz w:val="24"/>
          <w:szCs w:val="24"/>
        </w:rPr>
        <w:t>有效期</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3.6.1 投标有效期为投标截止之日起60天。</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3.6.2 如遇特殊情况，招标方可在投标有效期期满前，要求供应商延长其投标有效期。供应商可以拒绝或同意上述要求，延长有效期的要求与答复均为书面形式。不同意上述要求的供应商将视为自动放弃投标。</w:t>
      </w:r>
    </w:p>
    <w:p>
      <w:pPr>
        <w:spacing w:line="360" w:lineRule="auto"/>
        <w:ind w:firstLine="456" w:firstLineChars="200"/>
        <w:jc w:val="both"/>
        <w:outlineLvl w:val="9"/>
        <w:rPr>
          <w:rFonts w:ascii="宋体" w:hAnsi="宋体" w:eastAsia="宋体" w:cs="宋体"/>
          <w:sz w:val="24"/>
          <w:szCs w:val="24"/>
        </w:rPr>
      </w:pPr>
      <w:r>
        <w:rPr>
          <w:rFonts w:hint="eastAsia" w:ascii="宋体" w:hAnsi="宋体" w:eastAsia="宋体" w:cs="宋体"/>
          <w:spacing w:val="-6"/>
          <w:sz w:val="24"/>
          <w:szCs w:val="24"/>
        </w:rPr>
        <w:t>四</w:t>
      </w:r>
      <w:r>
        <w:rPr>
          <w:rFonts w:hint="eastAsia" w:ascii="宋体" w:hAnsi="宋体" w:eastAsia="宋体" w:cs="宋体"/>
          <w:spacing w:val="-4"/>
          <w:sz w:val="24"/>
          <w:szCs w:val="24"/>
        </w:rPr>
        <w:t>、投标</w:t>
      </w:r>
    </w:p>
    <w:p>
      <w:pPr>
        <w:spacing w:line="360" w:lineRule="auto"/>
        <w:ind w:firstLine="484" w:firstLineChars="200"/>
        <w:jc w:val="both"/>
        <w:rPr>
          <w:rFonts w:ascii="宋体" w:hAnsi="宋体" w:eastAsia="宋体" w:cs="宋体"/>
          <w:sz w:val="24"/>
          <w:szCs w:val="24"/>
        </w:rPr>
      </w:pPr>
      <w:r>
        <w:rPr>
          <w:rFonts w:hint="eastAsia" w:ascii="宋体" w:hAnsi="宋体" w:eastAsia="宋体" w:cs="宋体"/>
          <w:color w:val="0C0C0C"/>
          <w:spacing w:val="1"/>
          <w:sz w:val="24"/>
          <w:szCs w:val="24"/>
        </w:rPr>
        <w:t>4.1</w:t>
      </w:r>
      <w:r>
        <w:rPr>
          <w:rFonts w:hint="eastAsia" w:ascii="宋体" w:hAnsi="宋体" w:eastAsia="宋体" w:cs="宋体"/>
          <w:color w:val="0C0C0C"/>
          <w:spacing w:val="1"/>
          <w:sz w:val="24"/>
          <w:szCs w:val="24"/>
          <w:lang w:eastAsia="zh-CN"/>
        </w:rPr>
        <w:t>、</w:t>
      </w:r>
      <w:r>
        <w:rPr>
          <w:rFonts w:hint="eastAsia" w:ascii="宋体" w:hAnsi="宋体" w:eastAsia="宋体" w:cs="宋体"/>
          <w:color w:val="0C0C0C"/>
          <w:sz w:val="24"/>
          <w:szCs w:val="24"/>
        </w:rPr>
        <w:t>投标文件的递交</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4.1.1 电子投标文件备份 U 盘的要求:见投标人须知前附表。</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4.1.2 电子投标文件的递交：见投标人须知前附表。</w:t>
      </w:r>
    </w:p>
    <w:p>
      <w:pPr>
        <w:spacing w:line="360" w:lineRule="auto"/>
        <w:ind w:firstLine="484" w:firstLineChars="200"/>
        <w:jc w:val="both"/>
        <w:rPr>
          <w:rFonts w:ascii="宋体" w:hAnsi="宋体" w:eastAsia="宋体" w:cs="宋体"/>
          <w:sz w:val="24"/>
          <w:szCs w:val="24"/>
        </w:rPr>
      </w:pPr>
      <w:r>
        <w:rPr>
          <w:rFonts w:hint="eastAsia" w:ascii="宋体" w:hAnsi="宋体" w:eastAsia="宋体" w:cs="宋体"/>
          <w:color w:val="0C0C0C"/>
          <w:spacing w:val="1"/>
          <w:sz w:val="24"/>
          <w:szCs w:val="24"/>
        </w:rPr>
        <w:t>4.2</w:t>
      </w:r>
      <w:r>
        <w:rPr>
          <w:rFonts w:hint="eastAsia" w:ascii="宋体" w:hAnsi="宋体" w:eastAsia="宋体" w:cs="宋体"/>
          <w:color w:val="0C0C0C"/>
          <w:spacing w:val="1"/>
          <w:sz w:val="24"/>
          <w:szCs w:val="24"/>
          <w:lang w:eastAsia="zh-CN"/>
        </w:rPr>
        <w:t>、</w:t>
      </w:r>
      <w:r>
        <w:rPr>
          <w:rFonts w:hint="eastAsia" w:ascii="宋体" w:hAnsi="宋体" w:eastAsia="宋体" w:cs="宋体"/>
          <w:color w:val="0C0C0C"/>
          <w:spacing w:val="1"/>
          <w:sz w:val="24"/>
          <w:szCs w:val="24"/>
        </w:rPr>
        <w:t>电子投</w:t>
      </w:r>
      <w:r>
        <w:rPr>
          <w:rFonts w:hint="eastAsia" w:ascii="宋体" w:hAnsi="宋体" w:eastAsia="宋体" w:cs="宋体"/>
          <w:color w:val="0C0C0C"/>
          <w:sz w:val="24"/>
          <w:szCs w:val="24"/>
        </w:rPr>
        <w:t>标文件的修改与撤回</w:t>
      </w:r>
    </w:p>
    <w:p>
      <w:pPr>
        <w:spacing w:line="360" w:lineRule="auto"/>
        <w:ind w:firstLine="476" w:firstLineChars="200"/>
        <w:jc w:val="both"/>
        <w:rPr>
          <w:rFonts w:ascii="宋体" w:hAnsi="宋体" w:eastAsia="宋体" w:cs="宋体"/>
          <w:sz w:val="24"/>
          <w:szCs w:val="24"/>
        </w:rPr>
      </w:pPr>
      <w:r>
        <w:rPr>
          <w:rFonts w:hint="eastAsia" w:ascii="宋体" w:hAnsi="宋体" w:eastAsia="宋体" w:cs="宋体"/>
          <w:color w:val="0C0C0C"/>
          <w:spacing w:val="-1"/>
          <w:sz w:val="24"/>
          <w:szCs w:val="24"/>
        </w:rPr>
        <w:t>4.2.1 投标人可以在投标截止期之前修改电子</w:t>
      </w:r>
      <w:r>
        <w:rPr>
          <w:rFonts w:hint="eastAsia" w:ascii="宋体" w:hAnsi="宋体" w:eastAsia="宋体" w:cs="宋体"/>
          <w:color w:val="0C0C0C"/>
          <w:sz w:val="24"/>
          <w:szCs w:val="24"/>
        </w:rPr>
        <w:t>投标文件。</w:t>
      </w:r>
    </w:p>
    <w:p>
      <w:pPr>
        <w:spacing w:line="360" w:lineRule="auto"/>
        <w:ind w:firstLine="476" w:firstLineChars="200"/>
        <w:jc w:val="both"/>
        <w:rPr>
          <w:rFonts w:ascii="宋体" w:hAnsi="宋体" w:eastAsia="宋体" w:cs="宋体"/>
          <w:sz w:val="24"/>
          <w:szCs w:val="24"/>
        </w:rPr>
      </w:pPr>
      <w:r>
        <w:rPr>
          <w:rFonts w:hint="eastAsia" w:ascii="宋体" w:hAnsi="宋体" w:eastAsia="宋体" w:cs="宋体"/>
          <w:color w:val="0C0C0C"/>
          <w:spacing w:val="-1"/>
          <w:sz w:val="24"/>
          <w:szCs w:val="24"/>
        </w:rPr>
        <w:t>4.2.2 在投标截止期后不能修改及撤回其电子</w:t>
      </w:r>
      <w:r>
        <w:rPr>
          <w:rFonts w:hint="eastAsia" w:ascii="宋体" w:hAnsi="宋体" w:eastAsia="宋体" w:cs="宋体"/>
          <w:color w:val="0C0C0C"/>
          <w:sz w:val="24"/>
          <w:szCs w:val="24"/>
        </w:rPr>
        <w:t>投标文件。</w:t>
      </w:r>
    </w:p>
    <w:p>
      <w:pPr>
        <w:spacing w:line="360" w:lineRule="auto"/>
        <w:ind w:firstLine="476" w:firstLineChars="200"/>
        <w:jc w:val="both"/>
        <w:outlineLvl w:val="9"/>
        <w:rPr>
          <w:rFonts w:ascii="宋体" w:hAnsi="宋体" w:eastAsia="宋体" w:cs="宋体"/>
          <w:sz w:val="24"/>
          <w:szCs w:val="24"/>
        </w:rPr>
      </w:pPr>
      <w:r>
        <w:rPr>
          <w:rFonts w:hint="eastAsia" w:ascii="宋体" w:hAnsi="宋体" w:eastAsia="宋体" w:cs="宋体"/>
          <w:spacing w:val="-1"/>
          <w:sz w:val="24"/>
          <w:szCs w:val="24"/>
        </w:rPr>
        <w:t>五、开</w:t>
      </w:r>
      <w:r>
        <w:rPr>
          <w:rFonts w:hint="eastAsia" w:ascii="宋体" w:hAnsi="宋体" w:eastAsia="宋体" w:cs="宋体"/>
          <w:sz w:val="24"/>
          <w:szCs w:val="24"/>
        </w:rPr>
        <w:t>标与评标</w:t>
      </w:r>
    </w:p>
    <w:p>
      <w:pPr>
        <w:spacing w:line="360" w:lineRule="auto"/>
        <w:ind w:firstLine="476" w:firstLineChars="200"/>
        <w:jc w:val="both"/>
        <w:rPr>
          <w:rFonts w:ascii="宋体" w:hAnsi="宋体" w:eastAsia="宋体" w:cs="宋体"/>
          <w:sz w:val="24"/>
          <w:szCs w:val="24"/>
        </w:rPr>
      </w:pPr>
      <w:r>
        <w:rPr>
          <w:rFonts w:hint="eastAsia" w:ascii="宋体" w:hAnsi="宋体" w:eastAsia="宋体" w:cs="宋体"/>
          <w:spacing w:val="-1"/>
          <w:sz w:val="24"/>
          <w:szCs w:val="24"/>
        </w:rPr>
        <w:t>5.</w:t>
      </w: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开标时间及地点</w:t>
      </w:r>
    </w:p>
    <w:p>
      <w:pPr>
        <w:spacing w:line="360" w:lineRule="auto"/>
        <w:ind w:firstLine="476" w:firstLineChars="200"/>
        <w:jc w:val="both"/>
        <w:rPr>
          <w:rFonts w:ascii="宋体" w:hAnsi="宋体" w:eastAsia="宋体" w:cs="宋体"/>
          <w:color w:val="0C0C0C"/>
          <w:spacing w:val="-1"/>
          <w:sz w:val="24"/>
          <w:szCs w:val="24"/>
        </w:rPr>
      </w:pPr>
      <w:r>
        <w:rPr>
          <w:rFonts w:hint="eastAsia" w:ascii="宋体" w:hAnsi="宋体" w:eastAsia="宋体" w:cs="宋体"/>
          <w:color w:val="0C0C0C"/>
          <w:spacing w:val="-1"/>
          <w:sz w:val="24"/>
          <w:szCs w:val="24"/>
        </w:rPr>
        <w:t>5.1.1 开标时间：详见投标人须知前附表</w:t>
      </w:r>
    </w:p>
    <w:p>
      <w:pPr>
        <w:spacing w:line="360" w:lineRule="auto"/>
        <w:ind w:firstLine="476" w:firstLineChars="200"/>
        <w:jc w:val="both"/>
        <w:rPr>
          <w:rFonts w:ascii="宋体" w:hAnsi="宋体" w:eastAsia="宋体" w:cs="宋体"/>
          <w:color w:val="0C0C0C"/>
          <w:spacing w:val="-1"/>
          <w:sz w:val="24"/>
          <w:szCs w:val="24"/>
        </w:rPr>
      </w:pPr>
      <w:r>
        <w:rPr>
          <w:rFonts w:hint="eastAsia" w:ascii="宋体" w:hAnsi="宋体" w:eastAsia="宋体" w:cs="宋体"/>
          <w:color w:val="0C0C0C"/>
          <w:spacing w:val="-1"/>
          <w:sz w:val="24"/>
          <w:szCs w:val="24"/>
        </w:rPr>
        <w:t>5.1.2 开标地点：详见投标人须知前附表</w:t>
      </w:r>
    </w:p>
    <w:p>
      <w:pPr>
        <w:spacing w:line="360" w:lineRule="auto"/>
        <w:ind w:firstLine="476" w:firstLineChars="200"/>
        <w:jc w:val="both"/>
        <w:rPr>
          <w:rFonts w:ascii="宋体" w:hAnsi="宋体" w:eastAsia="宋体" w:cs="宋体"/>
          <w:color w:val="0C0C0C"/>
          <w:spacing w:val="-1"/>
          <w:sz w:val="24"/>
          <w:szCs w:val="24"/>
        </w:rPr>
      </w:pPr>
      <w:r>
        <w:rPr>
          <w:rFonts w:hint="eastAsia" w:ascii="宋体" w:hAnsi="宋体" w:eastAsia="宋体" w:cs="宋体"/>
          <w:color w:val="0C0C0C"/>
          <w:spacing w:val="-1"/>
          <w:sz w:val="24"/>
          <w:szCs w:val="24"/>
        </w:rPr>
        <w:t>5.1.3 供应商应派法定代表人或授权委托人持本公司 CA 数字证书可在不见面开标大厅中参加开标会议，与会的供应商法定代表人或授权委托人应在不见面开标大厅上签到证明出席。</w:t>
      </w:r>
    </w:p>
    <w:p>
      <w:pPr>
        <w:spacing w:line="360" w:lineRule="auto"/>
        <w:ind w:firstLine="476" w:firstLineChars="200"/>
        <w:jc w:val="both"/>
        <w:rPr>
          <w:rFonts w:hint="eastAsia" w:ascii="宋体" w:hAnsi="宋体" w:eastAsia="宋体" w:cs="宋体"/>
          <w:color w:val="0C0C0C"/>
          <w:sz w:val="24"/>
          <w:szCs w:val="24"/>
        </w:rPr>
      </w:pPr>
      <w:r>
        <w:rPr>
          <w:rFonts w:hint="eastAsia" w:ascii="宋体" w:hAnsi="宋体" w:eastAsia="宋体" w:cs="宋体"/>
          <w:color w:val="0C0C0C"/>
          <w:spacing w:val="-1"/>
          <w:sz w:val="24"/>
          <w:szCs w:val="24"/>
        </w:rPr>
        <w:t>5.2</w:t>
      </w:r>
      <w:r>
        <w:rPr>
          <w:rFonts w:hint="eastAsia" w:ascii="宋体" w:hAnsi="宋体" w:eastAsia="宋体" w:cs="宋体"/>
          <w:color w:val="0C0C0C"/>
          <w:spacing w:val="-1"/>
          <w:sz w:val="24"/>
          <w:szCs w:val="24"/>
          <w:lang w:eastAsia="zh-CN"/>
        </w:rPr>
        <w:t>、</w:t>
      </w:r>
      <w:r>
        <w:rPr>
          <w:rFonts w:hint="eastAsia" w:ascii="宋体" w:hAnsi="宋体" w:eastAsia="宋体" w:cs="宋体"/>
          <w:color w:val="0C0C0C"/>
          <w:sz w:val="24"/>
          <w:szCs w:val="24"/>
        </w:rPr>
        <w:t>开标程序</w:t>
      </w:r>
    </w:p>
    <w:p>
      <w:pPr>
        <w:spacing w:line="360" w:lineRule="auto"/>
        <w:ind w:firstLine="480" w:firstLineChars="200"/>
        <w:jc w:val="both"/>
        <w:rPr>
          <w:rFonts w:hint="eastAsia" w:ascii="宋体" w:hAnsi="宋体" w:eastAsia="宋体" w:cs="宋体"/>
          <w:color w:val="0C0C0C"/>
          <w:sz w:val="24"/>
          <w:szCs w:val="24"/>
        </w:rPr>
      </w:pPr>
      <w:r>
        <w:rPr>
          <w:rFonts w:hint="eastAsia" w:ascii="宋体" w:hAnsi="宋体" w:eastAsia="宋体" w:cs="宋体"/>
          <w:color w:val="0C0C0C"/>
          <w:sz w:val="24"/>
          <w:szCs w:val="24"/>
        </w:rPr>
        <w:t>5.2.1、投标人代表持本单位 CA 数字证书提前登录不见面开标系统并在线签到。</w:t>
      </w:r>
    </w:p>
    <w:p>
      <w:pPr>
        <w:spacing w:line="360" w:lineRule="auto"/>
        <w:ind w:firstLine="480" w:firstLineChars="200"/>
        <w:jc w:val="both"/>
        <w:rPr>
          <w:rFonts w:hint="eastAsia" w:ascii="宋体" w:hAnsi="宋体" w:eastAsia="宋体" w:cs="宋体"/>
          <w:color w:val="0C0C0C"/>
          <w:sz w:val="24"/>
          <w:szCs w:val="24"/>
        </w:rPr>
      </w:pPr>
      <w:r>
        <w:rPr>
          <w:rFonts w:hint="eastAsia" w:ascii="宋体" w:hAnsi="宋体" w:eastAsia="宋体" w:cs="宋体"/>
          <w:color w:val="0C0C0C"/>
          <w:sz w:val="24"/>
          <w:szCs w:val="24"/>
        </w:rPr>
        <w:t>5.2.2、开标时间到，在线公布投标人、招标人代表、监标人等有关名单。</w:t>
      </w:r>
    </w:p>
    <w:p>
      <w:pPr>
        <w:spacing w:line="360" w:lineRule="auto"/>
        <w:ind w:firstLine="480" w:firstLineChars="200"/>
        <w:jc w:val="both"/>
        <w:rPr>
          <w:rFonts w:hint="eastAsia" w:ascii="宋体" w:hAnsi="宋体" w:eastAsia="宋体" w:cs="宋体"/>
          <w:color w:val="0C0C0C"/>
          <w:sz w:val="24"/>
          <w:szCs w:val="24"/>
        </w:rPr>
      </w:pPr>
      <w:r>
        <w:rPr>
          <w:rFonts w:hint="eastAsia" w:ascii="宋体" w:hAnsi="宋体" w:eastAsia="宋体" w:cs="宋体"/>
          <w:color w:val="0C0C0C"/>
          <w:sz w:val="24"/>
          <w:szCs w:val="24"/>
        </w:rPr>
        <w:t>5.2.3、开标顺序：按电子投标文件到达交易系统的先后顺序，分标段进行开标。</w:t>
      </w:r>
    </w:p>
    <w:p>
      <w:pPr>
        <w:spacing w:line="360" w:lineRule="auto"/>
        <w:ind w:firstLine="480" w:firstLineChars="200"/>
        <w:jc w:val="both"/>
        <w:rPr>
          <w:rFonts w:hint="eastAsia" w:ascii="宋体" w:hAnsi="宋体" w:eastAsia="宋体" w:cs="宋体"/>
          <w:color w:val="0C0C0C"/>
          <w:sz w:val="24"/>
          <w:szCs w:val="24"/>
        </w:rPr>
      </w:pPr>
      <w:r>
        <w:rPr>
          <w:rFonts w:hint="eastAsia" w:ascii="宋体" w:hAnsi="宋体" w:eastAsia="宋体" w:cs="宋体"/>
          <w:color w:val="0C0C0C"/>
          <w:sz w:val="24"/>
          <w:szCs w:val="24"/>
        </w:rPr>
        <w:t>5.2.4、投标单位在线确认开标结果并提交电子签章，在规定时限内</w:t>
      </w:r>
      <w:r>
        <w:rPr>
          <w:rFonts w:hint="eastAsia" w:ascii="宋体" w:hAnsi="宋体" w:eastAsia="宋体" w:cs="宋体"/>
          <w:color w:val="0C0C0C"/>
          <w:sz w:val="24"/>
          <w:szCs w:val="24"/>
          <w:lang w:eastAsia="zh-CN"/>
        </w:rPr>
        <w:t>（</w:t>
      </w:r>
      <w:r>
        <w:rPr>
          <w:rFonts w:hint="eastAsia" w:ascii="宋体" w:hAnsi="宋体" w:eastAsia="宋体" w:cs="宋体"/>
          <w:color w:val="0C0C0C"/>
          <w:sz w:val="24"/>
          <w:szCs w:val="24"/>
          <w:lang w:val="en-US" w:eastAsia="zh-CN"/>
        </w:rPr>
        <w:t>30分钟内</w:t>
      </w:r>
      <w:r>
        <w:rPr>
          <w:rFonts w:hint="eastAsia" w:ascii="宋体" w:hAnsi="宋体" w:eastAsia="宋体" w:cs="宋体"/>
          <w:color w:val="0C0C0C"/>
          <w:sz w:val="24"/>
          <w:szCs w:val="24"/>
          <w:lang w:eastAsia="zh-CN"/>
        </w:rPr>
        <w:t>）</w:t>
      </w:r>
      <w:r>
        <w:rPr>
          <w:rFonts w:hint="eastAsia" w:ascii="宋体" w:hAnsi="宋体" w:eastAsia="宋体" w:cs="宋体"/>
          <w:color w:val="0C0C0C"/>
          <w:sz w:val="24"/>
          <w:szCs w:val="24"/>
        </w:rPr>
        <w:t>未作确认的视为默认开标结果。采购人代表、监督人、记录人等有关人员在开标记录上签字确认。</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5.2.</w:t>
      </w:r>
      <w:r>
        <w:rPr>
          <w:rFonts w:hint="eastAsia" w:ascii="宋体" w:hAnsi="宋体" w:eastAsia="宋体" w:cs="宋体"/>
          <w:color w:val="0C0C0C"/>
          <w:sz w:val="24"/>
          <w:szCs w:val="24"/>
          <w:lang w:val="en-US" w:eastAsia="zh-CN"/>
        </w:rPr>
        <w:t>5</w:t>
      </w:r>
      <w:r>
        <w:rPr>
          <w:rFonts w:hint="eastAsia" w:ascii="宋体" w:hAnsi="宋体" w:eastAsia="宋体" w:cs="宋体"/>
          <w:color w:val="0C0C0C"/>
          <w:sz w:val="24"/>
          <w:szCs w:val="24"/>
        </w:rPr>
        <w:t>、代理机构在开标结束后将招标文件和有效电子投标文件导入评标系统。</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5.2.</w:t>
      </w:r>
      <w:r>
        <w:rPr>
          <w:rFonts w:hint="eastAsia" w:ascii="宋体" w:hAnsi="宋体" w:eastAsia="宋体" w:cs="宋体"/>
          <w:color w:val="0C0C0C"/>
          <w:sz w:val="24"/>
          <w:szCs w:val="24"/>
          <w:lang w:val="en-US" w:eastAsia="zh-CN"/>
        </w:rPr>
        <w:t>6</w:t>
      </w:r>
      <w:r>
        <w:rPr>
          <w:rFonts w:hint="eastAsia" w:ascii="宋体" w:hAnsi="宋体" w:eastAsia="宋体" w:cs="宋体"/>
          <w:color w:val="0C0C0C"/>
          <w:sz w:val="24"/>
          <w:szCs w:val="24"/>
        </w:rPr>
        <w:t>、评标委员会将审查每一份投标文件是否对招标文件提出的所有实质性要求和条件作出响应。未能在实质上响应的投标，将作为无效标处理。实质上未响应是指：</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(1) 未按招标文件规定签章的；</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(2) 未按招标文件规定的格式填写，内容不完整或无法辨认的；</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(3) 投标人资格条件不符合国家规定和招标文件要求的；</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(4) 违反国家强制性标准的；</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(5) 投标文件附有招标人不能接受的条件的；</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(6) 对同一标段递交内容不同的投标文件(一标多投)，或在一份投标文件中对同一标段报有两个(含两个)以上报价的；</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(7) 以他人名义投标、串通投标、弄虚作假的；</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(8) 投标人名称、组织机构等重要人员与报名时不一致的；</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(9) 超出招标文件规定及违反国家有关规定的；</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(10) 投标报价高出本标段最高投标限价的；</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(11) 招标文件规定的其它情况。</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5.2.</w:t>
      </w:r>
      <w:r>
        <w:rPr>
          <w:rFonts w:hint="eastAsia" w:ascii="宋体" w:hAnsi="宋体" w:eastAsia="宋体" w:cs="宋体"/>
          <w:color w:val="0C0C0C"/>
          <w:sz w:val="24"/>
          <w:szCs w:val="24"/>
          <w:lang w:val="en-US" w:eastAsia="zh-CN"/>
        </w:rPr>
        <w:t>7</w:t>
      </w:r>
      <w:r>
        <w:rPr>
          <w:rFonts w:hint="eastAsia" w:ascii="宋体" w:hAnsi="宋体" w:eastAsia="宋体" w:cs="宋体"/>
          <w:color w:val="0C0C0C"/>
          <w:sz w:val="24"/>
          <w:szCs w:val="24"/>
        </w:rPr>
        <w:t>、评标和决标过程的保密</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开标后至招标人公布中标结果之前，有关投标文件的检查、澄清、评比和定标等信息对与本过程无关的投标人及其他人员保密。投标人不应对招标人或有关人员施加影响和试图获取评标信息，违者导致被取消中标资格。</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5.2.</w:t>
      </w:r>
      <w:r>
        <w:rPr>
          <w:rFonts w:hint="eastAsia" w:ascii="宋体" w:hAnsi="宋体" w:eastAsia="宋体" w:cs="宋体"/>
          <w:color w:val="0C0C0C"/>
          <w:sz w:val="24"/>
          <w:szCs w:val="24"/>
          <w:lang w:val="en-US" w:eastAsia="zh-CN"/>
        </w:rPr>
        <w:t>8</w:t>
      </w:r>
      <w:r>
        <w:rPr>
          <w:rFonts w:hint="eastAsia" w:ascii="宋体" w:hAnsi="宋体" w:eastAsia="宋体" w:cs="宋体"/>
          <w:color w:val="0C0C0C"/>
          <w:sz w:val="24"/>
          <w:szCs w:val="24"/>
        </w:rPr>
        <w:t>、投标文件的澄清</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(1) 为了有助于投标文件的检查和评审，招标人可以单独要求投标人澄清其投标文件。招标的澄清要求和投标人的答复均应采用书面形式。除了规定改正算术错误外，投标人不得修改投标报价和投标文件中的其它实质性内容。</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(2) 投标人以书面形式澄清的问题，需由投标人法定代表人或其委托代理人签字确认后作为投标文件的组成部分，提交一式两份。投标人未按评标委员会的澄清要求进行澄清的，评标委员会可以不对其投标文件继续评审。</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5.2.</w:t>
      </w:r>
      <w:r>
        <w:rPr>
          <w:rFonts w:hint="eastAsia" w:ascii="宋体" w:hAnsi="宋体" w:eastAsia="宋体" w:cs="宋体"/>
          <w:color w:val="0C0C0C"/>
          <w:sz w:val="24"/>
          <w:szCs w:val="24"/>
          <w:lang w:val="en-US" w:eastAsia="zh-CN"/>
        </w:rPr>
        <w:t>9</w:t>
      </w:r>
      <w:r>
        <w:rPr>
          <w:rFonts w:hint="eastAsia" w:ascii="宋体" w:hAnsi="宋体" w:eastAsia="宋体" w:cs="宋体"/>
          <w:color w:val="0C0C0C"/>
          <w:sz w:val="24"/>
          <w:szCs w:val="24"/>
        </w:rPr>
        <w:t>、投标文件的检查和响应性评定</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(1) 在评审时，招标人将首先审定投标文件是否在实质上影响了招标文件的要求。招标人对投标响应性的鉴定将基于投标文件的本身内容。</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(2) 实质上响应招标文件要求的投标文件应该与招标文件所有条款、条件和规范相符，无重大偏关或保留。所谓重大偏差和保留是指：</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①、对投标范围和内容有实质性的偏离；</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②、对设备质量或使用性能产生不利影响；</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③、对合同中规定的双方的权利和义务作实质性的修改；</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④、纠正这种偏差或保留，将会对其他响应要求的投标人竞争产生不公正的影响。</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5.2.</w:t>
      </w:r>
      <w:r>
        <w:rPr>
          <w:rFonts w:hint="eastAsia" w:ascii="宋体" w:hAnsi="宋体" w:eastAsia="宋体" w:cs="宋体"/>
          <w:color w:val="0C0C0C"/>
          <w:sz w:val="24"/>
          <w:szCs w:val="24"/>
          <w:lang w:val="en-US" w:eastAsia="zh-CN"/>
        </w:rPr>
        <w:t>10</w:t>
      </w:r>
      <w:r>
        <w:rPr>
          <w:rFonts w:hint="eastAsia" w:ascii="宋体" w:hAnsi="宋体" w:eastAsia="宋体" w:cs="宋体"/>
          <w:color w:val="0C0C0C"/>
          <w:sz w:val="24"/>
          <w:szCs w:val="24"/>
        </w:rPr>
        <w:t>、如果投标文件实质上没有响应招标文件的要求，招标人将予以拒绝。也不再允许投标人改正或撤回这些不符合要求的偏差与保留。</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5.2.1</w:t>
      </w:r>
      <w:r>
        <w:rPr>
          <w:rFonts w:hint="eastAsia" w:ascii="宋体" w:hAnsi="宋体" w:eastAsia="宋体" w:cs="宋体"/>
          <w:color w:val="0C0C0C"/>
          <w:sz w:val="24"/>
          <w:szCs w:val="24"/>
          <w:lang w:val="en-US" w:eastAsia="zh-CN"/>
        </w:rPr>
        <w:t>1</w:t>
      </w:r>
      <w:r>
        <w:rPr>
          <w:rFonts w:hint="eastAsia" w:ascii="宋体" w:hAnsi="宋体" w:eastAsia="宋体" w:cs="宋体"/>
          <w:color w:val="0C0C0C"/>
          <w:sz w:val="24"/>
          <w:szCs w:val="24"/>
        </w:rPr>
        <w:t>、在评标过程中评标委员会发现投标人以他人的名义投标、串通投标、以行贿手段谋取中标或者以其他弄虚作假方式投标的，该投标人的投标文件作无效标处理。</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5.2.1</w:t>
      </w:r>
      <w:r>
        <w:rPr>
          <w:rFonts w:hint="eastAsia" w:ascii="宋体" w:hAnsi="宋体" w:eastAsia="宋体" w:cs="宋体"/>
          <w:color w:val="0C0C0C"/>
          <w:sz w:val="24"/>
          <w:szCs w:val="24"/>
          <w:lang w:val="en-US" w:eastAsia="zh-CN"/>
        </w:rPr>
        <w:t>2</w:t>
      </w:r>
      <w:r>
        <w:rPr>
          <w:rFonts w:hint="eastAsia" w:ascii="宋体" w:hAnsi="宋体" w:eastAsia="宋体" w:cs="宋体"/>
          <w:color w:val="0C0C0C"/>
          <w:sz w:val="24"/>
          <w:szCs w:val="24"/>
        </w:rPr>
        <w:t>、在评标过程中，评标委员会发现投标人的报价明显低于其他投标报价或者明显高于最高限价，使得其投标报价可能低于其个别成本的，将要求该投标人作出书面说明并提供相关证明资料。投标人不能合理说明或者不能提供相关证明材料的，由评标委员会认定投标人以低于成本报价竞标，其投标文件按无效处理。</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5.2.1</w:t>
      </w:r>
      <w:r>
        <w:rPr>
          <w:rFonts w:hint="eastAsia" w:ascii="宋体" w:hAnsi="宋体" w:eastAsia="宋体" w:cs="宋体"/>
          <w:color w:val="0C0C0C"/>
          <w:sz w:val="24"/>
          <w:szCs w:val="24"/>
          <w:lang w:val="en-US" w:eastAsia="zh-CN"/>
        </w:rPr>
        <w:t>3</w:t>
      </w:r>
      <w:r>
        <w:rPr>
          <w:rFonts w:hint="eastAsia" w:ascii="宋体" w:hAnsi="宋体" w:eastAsia="宋体" w:cs="宋体"/>
          <w:color w:val="0C0C0C"/>
          <w:sz w:val="24"/>
          <w:szCs w:val="24"/>
        </w:rPr>
        <w:t xml:space="preserve"> 投标人资格条件不符合国家有关规定和招标文件要求的，或者拒不按照要求对投标文件进行澄清、说明或者补正的，评标委员会将否决其投标。</w:t>
      </w:r>
    </w:p>
    <w:p>
      <w:pPr>
        <w:spacing w:line="360" w:lineRule="auto"/>
        <w:ind w:firstLine="476" w:firstLineChars="200"/>
        <w:jc w:val="both"/>
        <w:rPr>
          <w:rFonts w:ascii="宋体" w:hAnsi="宋体" w:eastAsia="宋体" w:cs="宋体"/>
          <w:sz w:val="24"/>
          <w:szCs w:val="24"/>
        </w:rPr>
      </w:pPr>
      <w:r>
        <w:rPr>
          <w:rFonts w:hint="eastAsia" w:ascii="宋体" w:hAnsi="宋体" w:eastAsia="宋体" w:cs="宋体"/>
          <w:color w:val="0C0C0C"/>
          <w:spacing w:val="-1"/>
          <w:sz w:val="24"/>
          <w:szCs w:val="24"/>
        </w:rPr>
        <w:t>5.3</w:t>
      </w:r>
      <w:r>
        <w:rPr>
          <w:rFonts w:hint="eastAsia" w:ascii="宋体" w:hAnsi="宋体" w:eastAsia="宋体" w:cs="宋体"/>
          <w:color w:val="0C0C0C"/>
          <w:spacing w:val="-1"/>
          <w:sz w:val="24"/>
          <w:szCs w:val="24"/>
          <w:lang w:eastAsia="zh-CN"/>
        </w:rPr>
        <w:t>、</w:t>
      </w:r>
      <w:r>
        <w:rPr>
          <w:rFonts w:hint="eastAsia" w:ascii="宋体" w:hAnsi="宋体" w:eastAsia="宋体" w:cs="宋体"/>
          <w:color w:val="0C0C0C"/>
          <w:sz w:val="24"/>
          <w:szCs w:val="24"/>
        </w:rPr>
        <w:t>开标异议</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投标人对开标有异议的，应当在开标现场提出，招标人当场作出答复，并制作记录。</w:t>
      </w:r>
    </w:p>
    <w:p>
      <w:pPr>
        <w:spacing w:line="360" w:lineRule="auto"/>
        <w:ind w:firstLine="476" w:firstLineChars="200"/>
        <w:jc w:val="both"/>
        <w:rPr>
          <w:rFonts w:ascii="宋体" w:hAnsi="宋体" w:eastAsia="宋体" w:cs="宋体"/>
          <w:sz w:val="24"/>
          <w:szCs w:val="24"/>
        </w:rPr>
      </w:pPr>
      <w:r>
        <w:rPr>
          <w:rFonts w:hint="eastAsia" w:ascii="宋体" w:hAnsi="宋体" w:eastAsia="宋体" w:cs="宋体"/>
          <w:color w:val="0C0C0C"/>
          <w:spacing w:val="-1"/>
          <w:sz w:val="24"/>
          <w:szCs w:val="24"/>
        </w:rPr>
        <w:t>6.</w:t>
      </w:r>
      <w:r>
        <w:rPr>
          <w:rFonts w:hint="eastAsia" w:ascii="宋体" w:hAnsi="宋体" w:eastAsia="宋体" w:cs="宋体"/>
          <w:color w:val="0C0C0C"/>
          <w:sz w:val="24"/>
          <w:szCs w:val="24"/>
        </w:rPr>
        <w:t>评标</w:t>
      </w:r>
    </w:p>
    <w:p>
      <w:pPr>
        <w:spacing w:line="360" w:lineRule="auto"/>
        <w:ind w:firstLine="476" w:firstLineChars="200"/>
        <w:jc w:val="both"/>
        <w:rPr>
          <w:rFonts w:ascii="宋体" w:hAnsi="宋体" w:eastAsia="宋体" w:cs="宋体"/>
          <w:sz w:val="24"/>
          <w:szCs w:val="24"/>
        </w:rPr>
      </w:pPr>
      <w:r>
        <w:rPr>
          <w:rFonts w:hint="eastAsia" w:ascii="宋体" w:hAnsi="宋体" w:eastAsia="宋体" w:cs="宋体"/>
          <w:color w:val="0C0C0C"/>
          <w:spacing w:val="-1"/>
          <w:sz w:val="24"/>
          <w:szCs w:val="24"/>
        </w:rPr>
        <w:t>6</w:t>
      </w:r>
      <w:r>
        <w:rPr>
          <w:rFonts w:hint="eastAsia" w:ascii="宋体" w:hAnsi="宋体" w:eastAsia="宋体" w:cs="宋体"/>
          <w:color w:val="0C0C0C"/>
          <w:sz w:val="24"/>
          <w:szCs w:val="24"/>
        </w:rPr>
        <w:t>.1</w:t>
      </w:r>
      <w:r>
        <w:rPr>
          <w:rFonts w:hint="eastAsia" w:ascii="宋体" w:hAnsi="宋体" w:eastAsia="宋体" w:cs="宋体"/>
          <w:color w:val="0C0C0C"/>
          <w:sz w:val="24"/>
          <w:szCs w:val="24"/>
          <w:lang w:eastAsia="zh-CN"/>
        </w:rPr>
        <w:t>、</w:t>
      </w:r>
      <w:r>
        <w:rPr>
          <w:rFonts w:hint="eastAsia" w:ascii="宋体" w:hAnsi="宋体" w:eastAsia="宋体" w:cs="宋体"/>
          <w:color w:val="0C0C0C"/>
          <w:sz w:val="24"/>
          <w:szCs w:val="24"/>
        </w:rPr>
        <w:t>评标委员会</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6.1.1 评标由招标人依法组建的评标委员会负责。评标委员会由招标人代表，以及有关技术、经济等方面的专家组成。评标委员会成员人数以及技术、经济等方面专家的确定方式见投标人须知前附表。</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6.1.2 评标委员会成员有下列情形之一的，应当回避：</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(1) 投标人或投标人主要负责人的近亲属；</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(2) 项目主管部门或者行政监督部门的人员；</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(3) 与投标人有经济利益关系；</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(4)曾因在招标、评标以及其他与招标投标有关活动中从事违法行为而受过行政处罚或刑事处罚的；</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(5) 与投标人有其他利害关系。</w:t>
      </w:r>
    </w:p>
    <w:p>
      <w:pPr>
        <w:spacing w:line="360" w:lineRule="auto"/>
        <w:ind w:firstLine="476" w:firstLineChars="200"/>
        <w:jc w:val="both"/>
        <w:rPr>
          <w:rFonts w:ascii="宋体" w:hAnsi="宋体" w:eastAsia="宋体" w:cs="宋体"/>
          <w:sz w:val="24"/>
          <w:szCs w:val="24"/>
        </w:rPr>
      </w:pPr>
      <w:r>
        <w:rPr>
          <w:rFonts w:hint="eastAsia" w:ascii="宋体" w:hAnsi="宋体" w:eastAsia="宋体" w:cs="宋体"/>
          <w:color w:val="0C0C0C"/>
          <w:spacing w:val="-1"/>
          <w:sz w:val="24"/>
          <w:szCs w:val="24"/>
        </w:rPr>
        <w:t>6.</w:t>
      </w:r>
      <w:r>
        <w:rPr>
          <w:rFonts w:hint="eastAsia" w:ascii="宋体" w:hAnsi="宋体" w:eastAsia="宋体" w:cs="宋体"/>
          <w:color w:val="0C0C0C"/>
          <w:sz w:val="24"/>
          <w:szCs w:val="24"/>
        </w:rPr>
        <w:t>2评标原则</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评标活动遵循公平、公正、科学和择优的原则。</w:t>
      </w:r>
    </w:p>
    <w:p>
      <w:pPr>
        <w:spacing w:line="360" w:lineRule="auto"/>
        <w:ind w:firstLine="476" w:firstLineChars="200"/>
        <w:jc w:val="both"/>
        <w:rPr>
          <w:rFonts w:hint="eastAsia" w:ascii="宋体" w:hAnsi="宋体" w:eastAsia="宋体" w:cs="宋体"/>
          <w:color w:val="0C0C0C"/>
          <w:sz w:val="24"/>
          <w:szCs w:val="24"/>
        </w:rPr>
      </w:pPr>
      <w:r>
        <w:rPr>
          <w:rFonts w:hint="eastAsia" w:ascii="宋体" w:hAnsi="宋体" w:eastAsia="宋体" w:cs="宋体"/>
          <w:color w:val="0C0C0C"/>
          <w:spacing w:val="-1"/>
          <w:sz w:val="24"/>
          <w:szCs w:val="24"/>
        </w:rPr>
        <w:t>6.3</w:t>
      </w:r>
      <w:r>
        <w:rPr>
          <w:rFonts w:hint="eastAsia" w:ascii="宋体" w:hAnsi="宋体" w:eastAsia="宋体" w:cs="宋体"/>
          <w:color w:val="0C0C0C"/>
          <w:spacing w:val="-1"/>
          <w:sz w:val="24"/>
          <w:szCs w:val="24"/>
          <w:lang w:eastAsia="zh-CN"/>
        </w:rPr>
        <w:t>、</w:t>
      </w:r>
      <w:r>
        <w:rPr>
          <w:rFonts w:hint="eastAsia" w:ascii="宋体" w:hAnsi="宋体" w:eastAsia="宋体" w:cs="宋体"/>
          <w:color w:val="0C0C0C"/>
          <w:sz w:val="24"/>
          <w:szCs w:val="24"/>
        </w:rPr>
        <w:t>评标</w:t>
      </w:r>
    </w:p>
    <w:p>
      <w:pPr>
        <w:spacing w:line="360" w:lineRule="auto"/>
        <w:ind w:firstLine="480" w:firstLineChars="200"/>
        <w:jc w:val="both"/>
        <w:rPr>
          <w:rFonts w:hint="eastAsia" w:ascii="宋体" w:hAnsi="宋体" w:eastAsia="宋体" w:cs="宋体"/>
          <w:color w:val="0C0C0C"/>
          <w:sz w:val="24"/>
          <w:szCs w:val="24"/>
        </w:rPr>
      </w:pPr>
      <w:r>
        <w:rPr>
          <w:rFonts w:hint="eastAsia" w:ascii="宋体" w:hAnsi="宋体" w:eastAsia="宋体" w:cs="宋体"/>
          <w:color w:val="0C0C0C"/>
          <w:sz w:val="24"/>
          <w:szCs w:val="24"/>
        </w:rPr>
        <w:t>评标委员会按照“评标办法”规定的方法、评审因素、标准和程序对投标文件进行评审。“评标办法”没有规定的方法、评审因素和标准，不作为评标依据。</w:t>
      </w:r>
    </w:p>
    <w:p>
      <w:pPr>
        <w:spacing w:line="360" w:lineRule="auto"/>
        <w:ind w:firstLine="480" w:firstLineChars="200"/>
        <w:jc w:val="both"/>
        <w:rPr>
          <w:rFonts w:hint="eastAsia" w:ascii="宋体" w:hAnsi="宋体" w:eastAsia="宋体" w:cs="宋体"/>
          <w:color w:val="0C0C0C"/>
          <w:sz w:val="24"/>
          <w:szCs w:val="24"/>
        </w:rPr>
      </w:pPr>
      <w:r>
        <w:rPr>
          <w:rFonts w:hint="eastAsia" w:ascii="宋体" w:hAnsi="宋体" w:eastAsia="宋体" w:cs="宋体"/>
          <w:color w:val="0C0C0C"/>
          <w:sz w:val="24"/>
          <w:szCs w:val="24"/>
        </w:rPr>
        <w:t>7.合同授予</w:t>
      </w:r>
    </w:p>
    <w:p>
      <w:pPr>
        <w:spacing w:line="360" w:lineRule="auto"/>
        <w:ind w:firstLine="480" w:firstLineChars="200"/>
        <w:jc w:val="both"/>
        <w:rPr>
          <w:rFonts w:hint="eastAsia" w:ascii="宋体" w:hAnsi="宋体" w:eastAsia="宋体" w:cs="宋体"/>
          <w:color w:val="0C0C0C"/>
          <w:sz w:val="24"/>
          <w:szCs w:val="24"/>
        </w:rPr>
      </w:pPr>
      <w:r>
        <w:rPr>
          <w:rFonts w:hint="eastAsia" w:ascii="宋体" w:hAnsi="宋体" w:eastAsia="宋体" w:cs="宋体"/>
          <w:color w:val="0C0C0C"/>
          <w:sz w:val="24"/>
          <w:szCs w:val="24"/>
        </w:rPr>
        <w:t>7.1</w:t>
      </w:r>
      <w:r>
        <w:rPr>
          <w:rFonts w:hint="eastAsia" w:ascii="宋体" w:hAnsi="宋体" w:eastAsia="宋体" w:cs="宋体"/>
          <w:color w:val="0C0C0C"/>
          <w:sz w:val="24"/>
          <w:szCs w:val="24"/>
          <w:lang w:eastAsia="zh-CN"/>
        </w:rPr>
        <w:t>、</w:t>
      </w:r>
      <w:r>
        <w:rPr>
          <w:rFonts w:hint="eastAsia" w:ascii="宋体" w:hAnsi="宋体" w:eastAsia="宋体" w:cs="宋体"/>
          <w:color w:val="0C0C0C"/>
          <w:sz w:val="24"/>
          <w:szCs w:val="24"/>
        </w:rPr>
        <w:t xml:space="preserve">定标原则 </w:t>
      </w:r>
    </w:p>
    <w:p>
      <w:pPr>
        <w:spacing w:line="360" w:lineRule="auto"/>
        <w:ind w:firstLine="480" w:firstLineChars="200"/>
        <w:jc w:val="both"/>
        <w:rPr>
          <w:rFonts w:hint="eastAsia" w:ascii="宋体" w:hAnsi="宋体" w:eastAsia="宋体" w:cs="宋体"/>
          <w:color w:val="0C0C0C"/>
          <w:sz w:val="24"/>
          <w:szCs w:val="24"/>
        </w:rPr>
      </w:pPr>
      <w:r>
        <w:rPr>
          <w:rFonts w:hint="eastAsia" w:ascii="宋体" w:hAnsi="宋体" w:eastAsia="宋体" w:cs="宋体"/>
          <w:color w:val="0C0C0C"/>
          <w:sz w:val="24"/>
          <w:szCs w:val="24"/>
        </w:rPr>
        <w:t xml:space="preserve">根据《中华人民共和国政府采购法》的规定，评标委员会应推荐得分最高的为第一中标候选人。若供应商评审得分相同的，推荐报价较低的投标人为第一中标候选人。若投标报价也相等的，按技术得分高者为第一中标候选人。 </w:t>
      </w:r>
    </w:p>
    <w:p>
      <w:pPr>
        <w:spacing w:line="360" w:lineRule="auto"/>
        <w:ind w:firstLine="480" w:firstLineChars="200"/>
        <w:jc w:val="both"/>
        <w:rPr>
          <w:rFonts w:hint="eastAsia" w:ascii="宋体" w:hAnsi="宋体" w:eastAsia="宋体" w:cs="宋体"/>
          <w:color w:val="0C0C0C"/>
          <w:sz w:val="24"/>
          <w:szCs w:val="24"/>
        </w:rPr>
      </w:pPr>
      <w:r>
        <w:rPr>
          <w:rFonts w:hint="eastAsia" w:ascii="宋体" w:hAnsi="宋体" w:eastAsia="宋体" w:cs="宋体"/>
          <w:color w:val="0C0C0C"/>
          <w:sz w:val="24"/>
          <w:szCs w:val="24"/>
        </w:rPr>
        <w:t>7.2</w:t>
      </w:r>
      <w:r>
        <w:rPr>
          <w:rFonts w:hint="eastAsia" w:ascii="宋体" w:hAnsi="宋体" w:eastAsia="宋体" w:cs="宋体"/>
          <w:color w:val="0C0C0C"/>
          <w:sz w:val="24"/>
          <w:szCs w:val="24"/>
          <w:lang w:eastAsia="zh-CN"/>
        </w:rPr>
        <w:t>、</w:t>
      </w:r>
      <w:r>
        <w:rPr>
          <w:rFonts w:hint="eastAsia" w:ascii="宋体" w:hAnsi="宋体" w:eastAsia="宋体" w:cs="宋体"/>
          <w:color w:val="0C0C0C"/>
          <w:sz w:val="24"/>
          <w:szCs w:val="24"/>
        </w:rPr>
        <w:t xml:space="preserve">定标 </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 xml:space="preserve">7.2.1 通过对各投标文件进行详细评审并完成评分后，向采购人提交书面评标报告。评标报告中按照投标文件最终得分由高到低进行排序，并向采购人推荐3名作为中标候选人。 </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7.2.2 采购人对评标小组推荐的</w:t>
      </w:r>
      <w:r>
        <w:rPr>
          <w:rFonts w:hint="eastAsia" w:ascii="宋体" w:hAnsi="宋体" w:eastAsia="宋体" w:cs="宋体"/>
          <w:sz w:val="24"/>
          <w:szCs w:val="24"/>
        </w:rPr>
        <w:t>中标</w:t>
      </w:r>
      <w:r>
        <w:rPr>
          <w:rFonts w:hint="eastAsia" w:ascii="宋体" w:hAnsi="宋体" w:eastAsia="宋体" w:cs="宋体"/>
          <w:color w:val="0C0C0C"/>
          <w:sz w:val="24"/>
          <w:szCs w:val="24"/>
        </w:rPr>
        <w:t>候选人进行选择，原则上第一名</w:t>
      </w:r>
      <w:r>
        <w:rPr>
          <w:rFonts w:hint="eastAsia" w:ascii="宋体" w:hAnsi="宋体" w:eastAsia="宋体" w:cs="宋体"/>
          <w:sz w:val="24"/>
          <w:szCs w:val="24"/>
        </w:rPr>
        <w:t>中标</w:t>
      </w:r>
      <w:r>
        <w:rPr>
          <w:rFonts w:hint="eastAsia" w:ascii="宋体" w:hAnsi="宋体" w:eastAsia="宋体" w:cs="宋体"/>
          <w:color w:val="0C0C0C"/>
          <w:sz w:val="24"/>
          <w:szCs w:val="24"/>
        </w:rPr>
        <w:t xml:space="preserve">，如第一名提出不能履行合同或者放弃中标资格，向下顺延确定一名中标人。 </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 xml:space="preserve">7.2.3 当送达的投标文件不足3份或评标结果全为无效标时；及经过评审，若所有的供应商均未能通过符合性审查，招标方可在取得采购监督人同意后宣布本次招标失败，并通知各供应商。采购人根据相关规定重新组织招标。 </w:t>
      </w:r>
    </w:p>
    <w:p>
      <w:pPr>
        <w:spacing w:line="360" w:lineRule="auto"/>
        <w:ind w:firstLine="484" w:firstLineChars="200"/>
        <w:jc w:val="both"/>
        <w:rPr>
          <w:rFonts w:ascii="宋体" w:hAnsi="宋体" w:eastAsia="宋体" w:cs="宋体"/>
          <w:color w:val="0C0C0C"/>
          <w:spacing w:val="1"/>
          <w:sz w:val="24"/>
          <w:szCs w:val="24"/>
        </w:rPr>
      </w:pPr>
      <w:r>
        <w:rPr>
          <w:rFonts w:hint="eastAsia" w:ascii="宋体" w:hAnsi="宋体" w:eastAsia="宋体" w:cs="宋体"/>
          <w:color w:val="0C0C0C"/>
          <w:spacing w:val="1"/>
          <w:sz w:val="24"/>
          <w:szCs w:val="24"/>
        </w:rPr>
        <w:t>7.3</w:t>
      </w:r>
      <w:r>
        <w:rPr>
          <w:rFonts w:hint="eastAsia" w:ascii="宋体" w:hAnsi="宋体" w:eastAsia="宋体" w:cs="宋体"/>
          <w:color w:val="0C0C0C"/>
          <w:spacing w:val="1"/>
          <w:sz w:val="24"/>
          <w:szCs w:val="24"/>
          <w:lang w:eastAsia="zh-CN"/>
        </w:rPr>
        <w:t>、</w:t>
      </w:r>
      <w:r>
        <w:rPr>
          <w:rFonts w:hint="eastAsia" w:ascii="宋体" w:hAnsi="宋体" w:eastAsia="宋体" w:cs="宋体"/>
          <w:color w:val="0C0C0C"/>
          <w:spacing w:val="1"/>
          <w:sz w:val="24"/>
          <w:szCs w:val="24"/>
        </w:rPr>
        <w:t xml:space="preserve">其他 </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 xml:space="preserve">7.3.1 除投标报价外的其他项内容的评审首先由评标小组的各成员自主打分，汇总时在自主打分的记分结果中，进行算术平均，以算术平均值作为该项的最终加、减分值。 </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 xml:space="preserve">7.3.2 计分按四舍五入取至小数点后二位。 </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 xml:space="preserve">7.3.3 在评标过程中，如发现本办法中条款与供应商须知中相关条款不一致，以本办法中的相关条款为准。 </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7.3.4 供应商必须对所提供资料的真实性负责，被推荐为</w:t>
      </w:r>
      <w:r>
        <w:rPr>
          <w:rFonts w:hint="eastAsia" w:ascii="宋体" w:hAnsi="宋体" w:eastAsia="宋体" w:cs="宋体"/>
          <w:sz w:val="24"/>
          <w:szCs w:val="24"/>
        </w:rPr>
        <w:t>中标</w:t>
      </w:r>
      <w:r>
        <w:rPr>
          <w:rFonts w:hint="eastAsia" w:ascii="宋体" w:hAnsi="宋体" w:eastAsia="宋体" w:cs="宋体"/>
          <w:color w:val="0C0C0C"/>
          <w:sz w:val="24"/>
          <w:szCs w:val="24"/>
        </w:rPr>
        <w:t xml:space="preserve">候选人后，经采购人证实为提供虚假证明材料骗取中标的，除取消其中标资格外，还应赔偿采购人及代理机构的相关损失。 </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7.3.5 无论供应商</w:t>
      </w:r>
      <w:r>
        <w:rPr>
          <w:rFonts w:hint="eastAsia" w:ascii="宋体" w:hAnsi="宋体" w:eastAsia="宋体" w:cs="宋体"/>
          <w:sz w:val="24"/>
          <w:szCs w:val="24"/>
        </w:rPr>
        <w:t>中标</w:t>
      </w:r>
      <w:r>
        <w:rPr>
          <w:rFonts w:hint="eastAsia" w:ascii="宋体" w:hAnsi="宋体" w:eastAsia="宋体" w:cs="宋体"/>
          <w:color w:val="0C0C0C"/>
          <w:sz w:val="24"/>
          <w:szCs w:val="24"/>
        </w:rPr>
        <w:t xml:space="preserve">与否，评标委员会、采购人、采购代理机构和有关监督部门就评标过程中涉及的有关内容和细节均不予以解释、澄清和透露，否则当事人应承担相应的后果。 </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7.3.6 本办法仅适用于</w:t>
      </w:r>
      <w:r>
        <w:rPr>
          <w:rFonts w:hint="eastAsia" w:ascii="宋体" w:hAnsi="宋体" w:eastAsia="宋体" w:cs="宋体"/>
          <w:color w:val="0C0C0C"/>
          <w:sz w:val="24"/>
          <w:szCs w:val="24"/>
          <w:lang w:eastAsia="zh-CN"/>
        </w:rPr>
        <w:t>唐河县老年体育公园暨智慧健身公园建设项目</w:t>
      </w:r>
      <w:r>
        <w:rPr>
          <w:rFonts w:hint="eastAsia" w:ascii="宋体" w:hAnsi="宋体" w:eastAsia="宋体" w:cs="宋体"/>
          <w:color w:val="0C0C0C"/>
          <w:sz w:val="24"/>
          <w:szCs w:val="24"/>
        </w:rPr>
        <w:t xml:space="preserve">的招标工作。 </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 xml:space="preserve">7.3.7 本招标文件未尽事宜按现行招标投标的有关法律法规和规定执行。如投标单位在本次投标活动中有违反相关法律法规的将根据相关法律法规和规定对其进行处罚。 </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 xml:space="preserve">7.3.8 本招标文件时根据国家有关规定和参照国际惯例编制，解释权属采购人。 </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7.4</w:t>
      </w:r>
      <w:r>
        <w:rPr>
          <w:rFonts w:hint="eastAsia" w:ascii="宋体" w:hAnsi="宋体" w:eastAsia="宋体" w:cs="宋体"/>
          <w:color w:val="0C0C0C"/>
          <w:sz w:val="24"/>
          <w:szCs w:val="24"/>
          <w:lang w:eastAsia="zh-CN"/>
        </w:rPr>
        <w:t>、</w:t>
      </w:r>
      <w:r>
        <w:rPr>
          <w:rFonts w:hint="eastAsia" w:ascii="宋体" w:hAnsi="宋体" w:eastAsia="宋体" w:cs="宋体"/>
          <w:color w:val="0C0C0C"/>
          <w:sz w:val="24"/>
          <w:szCs w:val="24"/>
        </w:rPr>
        <w:t xml:space="preserve">中标通知 </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 xml:space="preserve">7.4.1 中标供应商确定后，由招标方向其签发《中标通知书》。 </w:t>
      </w:r>
    </w:p>
    <w:p>
      <w:pPr>
        <w:spacing w:line="360" w:lineRule="auto"/>
        <w:ind w:firstLine="480" w:firstLineChars="200"/>
        <w:jc w:val="both"/>
        <w:rPr>
          <w:rFonts w:hint="eastAsia" w:ascii="宋体" w:hAnsi="宋体" w:eastAsia="宋体" w:cs="宋体"/>
          <w:color w:val="0C0C0C"/>
          <w:sz w:val="24"/>
          <w:szCs w:val="24"/>
        </w:rPr>
      </w:pPr>
      <w:r>
        <w:rPr>
          <w:rFonts w:hint="eastAsia" w:ascii="宋体" w:hAnsi="宋体" w:eastAsia="宋体" w:cs="宋体"/>
          <w:color w:val="0C0C0C"/>
          <w:sz w:val="24"/>
          <w:szCs w:val="24"/>
        </w:rPr>
        <w:t xml:space="preserve">7.4.2 《中标通知书》将作为签订合同的重要依据，对采购人与中标供应商具有法律效力。 </w:t>
      </w:r>
    </w:p>
    <w:p>
      <w:pPr>
        <w:spacing w:line="360" w:lineRule="auto"/>
        <w:ind w:firstLine="480" w:firstLineChars="200"/>
        <w:jc w:val="both"/>
        <w:rPr>
          <w:rFonts w:hint="eastAsia" w:ascii="宋体" w:hAnsi="宋体" w:eastAsia="宋体" w:cs="宋体"/>
          <w:color w:val="0C0C0C"/>
          <w:sz w:val="24"/>
          <w:szCs w:val="24"/>
          <w:lang w:val="en-US" w:eastAsia="zh-CN"/>
        </w:rPr>
      </w:pPr>
      <w:r>
        <w:rPr>
          <w:rFonts w:hint="eastAsia" w:ascii="宋体" w:hAnsi="宋体" w:eastAsia="宋体" w:cs="宋体"/>
          <w:color w:val="0C0C0C"/>
          <w:sz w:val="24"/>
          <w:szCs w:val="24"/>
        </w:rPr>
        <w:t>7.5</w:t>
      </w:r>
      <w:r>
        <w:rPr>
          <w:rFonts w:hint="eastAsia" w:ascii="宋体" w:hAnsi="宋体" w:eastAsia="宋体" w:cs="宋体"/>
          <w:color w:val="0C0C0C"/>
          <w:sz w:val="24"/>
          <w:szCs w:val="24"/>
          <w:lang w:eastAsia="zh-CN"/>
        </w:rPr>
        <w:t>、</w:t>
      </w:r>
      <w:r>
        <w:rPr>
          <w:rFonts w:hint="eastAsia" w:ascii="宋体" w:hAnsi="宋体" w:eastAsia="宋体" w:cs="宋体"/>
          <w:color w:val="0C0C0C"/>
          <w:sz w:val="24"/>
          <w:szCs w:val="24"/>
          <w:lang w:val="en-US" w:eastAsia="zh-CN"/>
        </w:rPr>
        <w:t>合同签订</w:t>
      </w:r>
    </w:p>
    <w:p>
      <w:pPr>
        <w:spacing w:line="360" w:lineRule="auto"/>
        <w:ind w:firstLine="480" w:firstLineChars="200"/>
        <w:jc w:val="both"/>
        <w:rPr>
          <w:rFonts w:hint="eastAsia" w:ascii="宋体" w:hAnsi="宋体" w:eastAsia="宋体" w:cs="宋体"/>
          <w:color w:val="0C0C0C"/>
          <w:sz w:val="24"/>
          <w:szCs w:val="24"/>
          <w:lang w:val="en-US" w:eastAsia="zh-CN"/>
        </w:rPr>
      </w:pPr>
      <w:r>
        <w:rPr>
          <w:rFonts w:hint="eastAsia" w:ascii="宋体" w:hAnsi="宋体" w:eastAsia="宋体" w:cs="宋体"/>
          <w:color w:val="0C0C0C"/>
          <w:sz w:val="24"/>
          <w:szCs w:val="24"/>
          <w:lang w:val="en-US" w:eastAsia="zh-CN"/>
        </w:rPr>
        <w:t>7.5.1中标(成交)通知书发出之日起1个工作日内供应商应与采购人签订政府采购合同。</w:t>
      </w:r>
    </w:p>
    <w:p>
      <w:pPr>
        <w:spacing w:line="360" w:lineRule="auto"/>
        <w:ind w:firstLine="480" w:firstLineChars="200"/>
        <w:jc w:val="both"/>
        <w:rPr>
          <w:rFonts w:hint="eastAsia" w:ascii="宋体" w:hAnsi="宋体" w:eastAsia="宋体" w:cs="宋体"/>
          <w:color w:val="0C0C0C"/>
          <w:sz w:val="24"/>
          <w:szCs w:val="24"/>
          <w:lang w:val="en-US" w:eastAsia="zh-CN"/>
        </w:rPr>
      </w:pPr>
      <w:r>
        <w:rPr>
          <w:rFonts w:hint="eastAsia" w:ascii="宋体" w:hAnsi="宋体" w:eastAsia="宋体" w:cs="宋体"/>
          <w:color w:val="0C0C0C"/>
          <w:sz w:val="24"/>
          <w:szCs w:val="24"/>
          <w:lang w:val="en-US" w:eastAsia="zh-CN"/>
        </w:rPr>
        <w:t>7.5.2供应商与采购人签订的政府采购合同，应当符合采购项目特点的技术要求，包括采购人与供应商权利义务、验收程序和要求、合同内容、交付时间、付款程序和条件、签订日期、采购人、供应商账户信息、违约赔偿和处罚程序、争议处理等内容。</w:t>
      </w:r>
    </w:p>
    <w:p>
      <w:pPr>
        <w:spacing w:line="360" w:lineRule="auto"/>
        <w:ind w:firstLine="480" w:firstLineChars="200"/>
        <w:jc w:val="both"/>
        <w:rPr>
          <w:rFonts w:hint="eastAsia" w:ascii="宋体" w:hAnsi="宋体" w:eastAsia="宋体" w:cs="宋体"/>
          <w:color w:val="0C0C0C"/>
          <w:sz w:val="24"/>
          <w:szCs w:val="24"/>
          <w:lang w:val="en-US" w:eastAsia="zh-CN"/>
        </w:rPr>
      </w:pPr>
      <w:r>
        <w:rPr>
          <w:rFonts w:hint="eastAsia" w:ascii="宋体" w:hAnsi="宋体" w:eastAsia="宋体" w:cs="宋体"/>
          <w:color w:val="0C0C0C"/>
          <w:sz w:val="24"/>
          <w:szCs w:val="24"/>
          <w:lang w:val="en-US" w:eastAsia="zh-CN"/>
        </w:rPr>
        <w:t>7.6合同备案</w:t>
      </w:r>
    </w:p>
    <w:p>
      <w:pPr>
        <w:spacing w:line="360" w:lineRule="auto"/>
        <w:ind w:firstLine="480" w:firstLineChars="200"/>
        <w:jc w:val="both"/>
        <w:rPr>
          <w:rFonts w:hint="eastAsia" w:ascii="宋体" w:hAnsi="宋体" w:eastAsia="宋体" w:cs="宋体"/>
          <w:color w:val="0C0C0C"/>
          <w:sz w:val="24"/>
          <w:szCs w:val="24"/>
          <w:lang w:val="en-US" w:eastAsia="zh-CN"/>
        </w:rPr>
      </w:pPr>
      <w:r>
        <w:rPr>
          <w:rFonts w:hint="eastAsia" w:ascii="宋体" w:hAnsi="宋体" w:eastAsia="宋体" w:cs="宋体"/>
          <w:color w:val="0C0C0C"/>
          <w:sz w:val="24"/>
          <w:szCs w:val="24"/>
          <w:lang w:val="en-US" w:eastAsia="zh-CN"/>
        </w:rPr>
        <w:t>7.6.1政府采购合同签订之日起1个工作日内，供应商应当配合采购人办理合同备案并公示，登录河南省电子化政府采购系统“合同管理”模块，填写合同基本信息，并上传政府采购合同、中标(成交)通知书。</w:t>
      </w:r>
    </w:p>
    <w:p>
      <w:pPr>
        <w:spacing w:line="360" w:lineRule="auto"/>
        <w:ind w:firstLine="480" w:firstLineChars="200"/>
        <w:jc w:val="both"/>
        <w:rPr>
          <w:rFonts w:hint="eastAsia" w:ascii="宋体" w:hAnsi="宋体" w:eastAsia="宋体" w:cs="宋体"/>
          <w:color w:val="0C0C0C"/>
          <w:sz w:val="24"/>
          <w:szCs w:val="24"/>
        </w:rPr>
      </w:pPr>
      <w:r>
        <w:rPr>
          <w:rFonts w:hint="eastAsia" w:ascii="宋体" w:hAnsi="宋体" w:eastAsia="宋体" w:cs="宋体"/>
          <w:color w:val="0C0C0C"/>
          <w:sz w:val="24"/>
          <w:szCs w:val="24"/>
          <w:lang w:val="en-US" w:eastAsia="zh-CN"/>
        </w:rPr>
        <w:t>7.6.2政府采购合同公告备案是法定要求，供应商应当配合采购人及时履行备案手续。</w:t>
      </w:r>
    </w:p>
    <w:p>
      <w:pPr>
        <w:spacing w:line="360" w:lineRule="auto"/>
        <w:ind w:firstLine="480" w:firstLineChars="200"/>
        <w:jc w:val="both"/>
        <w:rPr>
          <w:rFonts w:hint="eastAsia" w:ascii="宋体" w:hAnsi="宋体" w:eastAsia="宋体" w:cs="宋体"/>
          <w:color w:val="0C0C0C"/>
          <w:sz w:val="24"/>
          <w:szCs w:val="24"/>
          <w:lang w:val="en-US" w:eastAsia="zh-CN"/>
        </w:rPr>
      </w:pPr>
      <w:r>
        <w:rPr>
          <w:rFonts w:hint="eastAsia" w:ascii="宋体" w:hAnsi="宋体" w:eastAsia="宋体" w:cs="宋体"/>
          <w:color w:val="0C0C0C"/>
          <w:sz w:val="24"/>
          <w:szCs w:val="24"/>
        </w:rPr>
        <w:t>7.</w:t>
      </w:r>
      <w:r>
        <w:rPr>
          <w:rFonts w:hint="eastAsia" w:ascii="宋体" w:hAnsi="宋体" w:eastAsia="宋体" w:cs="宋体"/>
          <w:color w:val="0C0C0C"/>
          <w:sz w:val="24"/>
          <w:szCs w:val="24"/>
          <w:lang w:val="en-US" w:eastAsia="zh-CN"/>
        </w:rPr>
        <w:t>7</w:t>
      </w:r>
      <w:r>
        <w:rPr>
          <w:rFonts w:hint="eastAsia" w:ascii="宋体" w:hAnsi="宋体" w:eastAsia="宋体" w:cs="宋体"/>
          <w:color w:val="0C0C0C"/>
          <w:sz w:val="24"/>
          <w:szCs w:val="24"/>
          <w:lang w:eastAsia="zh-CN"/>
        </w:rPr>
        <w:t>、</w:t>
      </w:r>
      <w:r>
        <w:rPr>
          <w:rFonts w:hint="eastAsia" w:ascii="宋体" w:hAnsi="宋体" w:eastAsia="宋体" w:cs="宋体"/>
          <w:color w:val="0C0C0C"/>
          <w:sz w:val="24"/>
          <w:szCs w:val="24"/>
        </w:rPr>
        <w:t>履约保证金：</w:t>
      </w:r>
      <w:r>
        <w:rPr>
          <w:rFonts w:hint="eastAsia" w:ascii="宋体" w:hAnsi="宋体" w:eastAsia="宋体" w:cs="宋体"/>
          <w:color w:val="0C0C0C"/>
          <w:sz w:val="24"/>
          <w:szCs w:val="24"/>
          <w:lang w:val="en-US" w:eastAsia="zh-CN"/>
        </w:rPr>
        <w:t>无</w:t>
      </w:r>
    </w:p>
    <w:p>
      <w:pPr>
        <w:spacing w:line="360" w:lineRule="auto"/>
        <w:ind w:firstLine="480" w:firstLineChars="200"/>
        <w:jc w:val="both"/>
        <w:rPr>
          <w:rFonts w:hint="eastAsia" w:ascii="宋体" w:hAnsi="宋体" w:eastAsia="宋体" w:cs="宋体"/>
          <w:color w:val="0C0C0C"/>
          <w:sz w:val="24"/>
          <w:szCs w:val="24"/>
        </w:rPr>
      </w:pPr>
      <w:r>
        <w:rPr>
          <w:rFonts w:hint="eastAsia" w:ascii="宋体" w:hAnsi="宋体" w:eastAsia="宋体" w:cs="宋体"/>
          <w:color w:val="0C0C0C"/>
          <w:sz w:val="24"/>
          <w:szCs w:val="24"/>
        </w:rPr>
        <w:t>8.纪律和监督</w:t>
      </w:r>
    </w:p>
    <w:p>
      <w:pPr>
        <w:spacing w:line="360" w:lineRule="auto"/>
        <w:ind w:firstLine="484" w:firstLineChars="200"/>
        <w:jc w:val="both"/>
        <w:rPr>
          <w:rFonts w:ascii="宋体" w:hAnsi="宋体" w:eastAsia="宋体" w:cs="宋体"/>
          <w:sz w:val="24"/>
          <w:szCs w:val="24"/>
        </w:rPr>
      </w:pPr>
      <w:r>
        <w:rPr>
          <w:rFonts w:hint="eastAsia" w:ascii="宋体" w:hAnsi="宋体" w:eastAsia="宋体" w:cs="宋体"/>
          <w:color w:val="0C0C0C"/>
          <w:spacing w:val="1"/>
          <w:sz w:val="24"/>
          <w:szCs w:val="24"/>
        </w:rPr>
        <w:t>8.1</w:t>
      </w:r>
      <w:r>
        <w:rPr>
          <w:rFonts w:hint="eastAsia" w:ascii="宋体" w:hAnsi="宋体" w:eastAsia="宋体" w:cs="宋体"/>
          <w:color w:val="0C0C0C"/>
          <w:spacing w:val="1"/>
          <w:sz w:val="24"/>
          <w:szCs w:val="24"/>
          <w:lang w:eastAsia="zh-CN"/>
        </w:rPr>
        <w:t>、</w:t>
      </w:r>
      <w:r>
        <w:rPr>
          <w:rFonts w:hint="eastAsia" w:ascii="宋体" w:hAnsi="宋体" w:eastAsia="宋体" w:cs="宋体"/>
          <w:color w:val="0C0C0C"/>
          <w:sz w:val="24"/>
          <w:szCs w:val="24"/>
        </w:rPr>
        <w:t>对招标人的纪律要求</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招标人不得泄漏招标投标活动中应当保密的情况和资料，不得与投标人串通损害国家利益、社会公共利益或者他人合法权益。</w:t>
      </w:r>
    </w:p>
    <w:p>
      <w:pPr>
        <w:spacing w:line="360" w:lineRule="auto"/>
        <w:ind w:firstLine="484" w:firstLineChars="200"/>
        <w:jc w:val="both"/>
        <w:rPr>
          <w:rFonts w:ascii="宋体" w:hAnsi="宋体" w:eastAsia="宋体" w:cs="宋体"/>
          <w:sz w:val="24"/>
          <w:szCs w:val="24"/>
        </w:rPr>
      </w:pPr>
      <w:r>
        <w:rPr>
          <w:rFonts w:hint="eastAsia" w:ascii="宋体" w:hAnsi="宋体" w:eastAsia="宋体" w:cs="宋体"/>
          <w:color w:val="0C0C0C"/>
          <w:spacing w:val="1"/>
          <w:sz w:val="24"/>
          <w:szCs w:val="24"/>
        </w:rPr>
        <w:t>8.2</w:t>
      </w:r>
      <w:r>
        <w:rPr>
          <w:rFonts w:hint="eastAsia" w:ascii="宋体" w:hAnsi="宋体" w:eastAsia="宋体" w:cs="宋体"/>
          <w:color w:val="0C0C0C"/>
          <w:spacing w:val="1"/>
          <w:sz w:val="24"/>
          <w:szCs w:val="24"/>
          <w:lang w:eastAsia="zh-CN"/>
        </w:rPr>
        <w:t>、</w:t>
      </w:r>
      <w:r>
        <w:rPr>
          <w:rFonts w:hint="eastAsia" w:ascii="宋体" w:hAnsi="宋体" w:eastAsia="宋体" w:cs="宋体"/>
          <w:color w:val="0C0C0C"/>
          <w:sz w:val="24"/>
          <w:szCs w:val="24"/>
        </w:rPr>
        <w:t>对投标人的纪律要求</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投标人不得相互串通投标或者与招标人串通投标，不得向招标人或者评标委员会成员行贿谋取中标，不得以他人名义投标或者以其他方式弄虚作假骗取中标；投标人不得以任何方式干扰、影响评标工作。</w:t>
      </w:r>
    </w:p>
    <w:p>
      <w:pPr>
        <w:spacing w:line="360" w:lineRule="auto"/>
        <w:ind w:firstLine="484" w:firstLineChars="200"/>
        <w:jc w:val="both"/>
        <w:rPr>
          <w:rFonts w:ascii="宋体" w:hAnsi="宋体" w:eastAsia="宋体" w:cs="宋体"/>
          <w:sz w:val="24"/>
          <w:szCs w:val="24"/>
        </w:rPr>
      </w:pPr>
      <w:r>
        <w:rPr>
          <w:rFonts w:hint="eastAsia" w:ascii="宋体" w:hAnsi="宋体" w:eastAsia="宋体" w:cs="宋体"/>
          <w:color w:val="0C0C0C"/>
          <w:spacing w:val="1"/>
          <w:sz w:val="24"/>
          <w:szCs w:val="24"/>
        </w:rPr>
        <w:t>8.3</w:t>
      </w:r>
      <w:r>
        <w:rPr>
          <w:rFonts w:hint="eastAsia" w:ascii="宋体" w:hAnsi="宋体" w:eastAsia="宋体" w:cs="宋体"/>
          <w:color w:val="0C0C0C"/>
          <w:spacing w:val="1"/>
          <w:sz w:val="24"/>
          <w:szCs w:val="24"/>
          <w:lang w:eastAsia="zh-CN"/>
        </w:rPr>
        <w:t>、</w:t>
      </w:r>
      <w:r>
        <w:rPr>
          <w:rFonts w:hint="eastAsia" w:ascii="宋体" w:hAnsi="宋体" w:eastAsia="宋体" w:cs="宋体"/>
          <w:color w:val="0C0C0C"/>
          <w:spacing w:val="1"/>
          <w:sz w:val="24"/>
          <w:szCs w:val="24"/>
        </w:rPr>
        <w:t>对评标</w:t>
      </w:r>
      <w:r>
        <w:rPr>
          <w:rFonts w:hint="eastAsia" w:ascii="宋体" w:hAnsi="宋体" w:eastAsia="宋体" w:cs="宋体"/>
          <w:color w:val="0C0C0C"/>
          <w:sz w:val="24"/>
          <w:szCs w:val="24"/>
        </w:rPr>
        <w:t>委员会成员的纪律要求</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评标办法”没有规定的评审因素和标准进行评标。</w:t>
      </w:r>
    </w:p>
    <w:p>
      <w:pPr>
        <w:spacing w:line="360" w:lineRule="auto"/>
        <w:ind w:firstLine="484" w:firstLineChars="200"/>
        <w:jc w:val="both"/>
        <w:rPr>
          <w:rFonts w:ascii="宋体" w:hAnsi="宋体" w:eastAsia="宋体" w:cs="宋体"/>
          <w:color w:val="0C0C0C"/>
          <w:sz w:val="24"/>
          <w:szCs w:val="24"/>
        </w:rPr>
      </w:pPr>
      <w:r>
        <w:rPr>
          <w:rFonts w:hint="eastAsia" w:ascii="宋体" w:hAnsi="宋体" w:eastAsia="宋体" w:cs="宋体"/>
          <w:color w:val="0C0C0C"/>
          <w:spacing w:val="1"/>
          <w:sz w:val="24"/>
          <w:szCs w:val="24"/>
        </w:rPr>
        <w:t>8.</w:t>
      </w:r>
      <w:r>
        <w:rPr>
          <w:rFonts w:hint="eastAsia" w:ascii="宋体" w:hAnsi="宋体" w:eastAsia="宋体" w:cs="宋体"/>
          <w:color w:val="0C0C0C"/>
          <w:sz w:val="24"/>
          <w:szCs w:val="24"/>
        </w:rPr>
        <w:t>4</w:t>
      </w:r>
      <w:r>
        <w:rPr>
          <w:rFonts w:hint="eastAsia" w:ascii="宋体" w:hAnsi="宋体" w:eastAsia="宋体" w:cs="宋体"/>
          <w:color w:val="0C0C0C"/>
          <w:sz w:val="24"/>
          <w:szCs w:val="24"/>
          <w:lang w:eastAsia="zh-CN"/>
        </w:rPr>
        <w:t>、</w:t>
      </w:r>
      <w:r>
        <w:rPr>
          <w:rFonts w:hint="eastAsia" w:ascii="宋体" w:hAnsi="宋体" w:eastAsia="宋体" w:cs="宋体"/>
          <w:color w:val="0C0C0C"/>
          <w:sz w:val="24"/>
          <w:szCs w:val="24"/>
        </w:rPr>
        <w:t>对与评标活动有关的工作人员的纪律要求</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8.5</w:t>
      </w:r>
      <w:r>
        <w:rPr>
          <w:rFonts w:hint="eastAsia" w:ascii="宋体" w:hAnsi="宋体" w:eastAsia="宋体" w:cs="宋体"/>
          <w:color w:val="0C0C0C"/>
          <w:sz w:val="24"/>
          <w:szCs w:val="24"/>
          <w:lang w:eastAsia="zh-CN"/>
        </w:rPr>
        <w:t>、</w:t>
      </w:r>
      <w:r>
        <w:rPr>
          <w:rFonts w:hint="eastAsia" w:ascii="宋体" w:hAnsi="宋体" w:eastAsia="宋体" w:cs="宋体"/>
          <w:color w:val="0C0C0C"/>
          <w:sz w:val="24"/>
          <w:szCs w:val="24"/>
        </w:rPr>
        <w:t>投诉</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投标人和其他利害关系人认为本次招标活动违反法律、法规和规章规定的，有权向有关行政监督部门投诉。</w:t>
      </w:r>
    </w:p>
    <w:p>
      <w:pPr>
        <w:spacing w:line="360" w:lineRule="auto"/>
        <w:ind w:firstLine="468" w:firstLineChars="200"/>
        <w:jc w:val="both"/>
        <w:rPr>
          <w:rFonts w:ascii="宋体" w:hAnsi="宋体" w:eastAsia="宋体" w:cs="宋体"/>
          <w:sz w:val="24"/>
          <w:szCs w:val="24"/>
        </w:rPr>
      </w:pPr>
      <w:r>
        <w:rPr>
          <w:rFonts w:hint="eastAsia" w:ascii="宋体" w:hAnsi="宋体" w:eastAsia="宋体" w:cs="宋体"/>
          <w:color w:val="0C0C0C"/>
          <w:spacing w:val="-3"/>
          <w:sz w:val="24"/>
          <w:szCs w:val="24"/>
        </w:rPr>
        <w:t>9.需要补充的其他内容：</w:t>
      </w:r>
    </w:p>
    <w:p>
      <w:pPr>
        <w:spacing w:line="360" w:lineRule="auto"/>
        <w:ind w:firstLine="476" w:firstLineChars="200"/>
        <w:jc w:val="both"/>
        <w:rPr>
          <w:rFonts w:ascii="宋体" w:hAnsi="宋体" w:eastAsia="宋体" w:cs="宋体"/>
          <w:sz w:val="24"/>
          <w:szCs w:val="24"/>
        </w:rPr>
      </w:pPr>
      <w:r>
        <w:rPr>
          <w:rFonts w:hint="eastAsia" w:ascii="宋体" w:hAnsi="宋体" w:eastAsia="宋体" w:cs="宋体"/>
          <w:color w:val="0C0C0C"/>
          <w:spacing w:val="-1"/>
          <w:sz w:val="24"/>
          <w:szCs w:val="24"/>
        </w:rPr>
        <w:t>见投标人须知前附</w:t>
      </w:r>
      <w:r>
        <w:rPr>
          <w:rFonts w:hint="eastAsia" w:ascii="宋体" w:hAnsi="宋体" w:eastAsia="宋体" w:cs="宋体"/>
          <w:color w:val="0C0C0C"/>
          <w:sz w:val="24"/>
          <w:szCs w:val="24"/>
        </w:rPr>
        <w:t>表。</w:t>
      </w:r>
    </w:p>
    <w:p>
      <w:pPr>
        <w:spacing w:line="360" w:lineRule="auto"/>
        <w:ind w:firstLine="464" w:firstLineChars="200"/>
        <w:jc w:val="both"/>
        <w:rPr>
          <w:rFonts w:ascii="宋体" w:hAnsi="宋体" w:eastAsia="宋体" w:cs="宋体"/>
          <w:sz w:val="24"/>
          <w:szCs w:val="24"/>
        </w:rPr>
      </w:pPr>
      <w:r>
        <w:rPr>
          <w:rFonts w:hint="eastAsia" w:ascii="宋体" w:hAnsi="宋体" w:eastAsia="宋体" w:cs="宋体"/>
          <w:color w:val="0C0C0C"/>
          <w:spacing w:val="-4"/>
          <w:sz w:val="24"/>
          <w:szCs w:val="24"/>
        </w:rPr>
        <w:t>10</w:t>
      </w:r>
      <w:r>
        <w:rPr>
          <w:rFonts w:hint="eastAsia" w:ascii="宋体" w:hAnsi="宋体" w:eastAsia="宋体" w:cs="宋体"/>
          <w:color w:val="0C0C0C"/>
          <w:spacing w:val="-3"/>
          <w:sz w:val="24"/>
          <w:szCs w:val="24"/>
        </w:rPr>
        <w:t>．</w:t>
      </w:r>
      <w:r>
        <w:rPr>
          <w:rFonts w:hint="eastAsia" w:ascii="宋体" w:hAnsi="宋体" w:eastAsia="宋体" w:cs="宋体"/>
          <w:color w:val="0C0C0C"/>
          <w:spacing w:val="-2"/>
          <w:sz w:val="24"/>
          <w:szCs w:val="24"/>
        </w:rPr>
        <w:t>电子招标投标</w:t>
      </w:r>
    </w:p>
    <w:p>
      <w:pPr>
        <w:spacing w:line="360" w:lineRule="auto"/>
        <w:ind w:firstLine="488" w:firstLineChars="200"/>
        <w:jc w:val="both"/>
        <w:rPr>
          <w:rFonts w:ascii="宋体" w:hAnsi="宋体" w:eastAsia="宋体" w:cs="宋体"/>
          <w:color w:val="0C0C0C"/>
          <w:spacing w:val="-9"/>
          <w:sz w:val="24"/>
          <w:szCs w:val="24"/>
        </w:rPr>
      </w:pPr>
      <w:r>
        <w:rPr>
          <w:rFonts w:hint="eastAsia" w:ascii="宋体" w:hAnsi="宋体" w:eastAsia="宋体" w:cs="宋体"/>
          <w:color w:val="0C0C0C"/>
          <w:spacing w:val="2"/>
          <w:sz w:val="24"/>
          <w:szCs w:val="24"/>
        </w:rPr>
        <w:t>采用电子招标投标，对投标文件的编制、密封和标记、递交、开标等的具体要求，见投标</w:t>
      </w:r>
      <w:r>
        <w:rPr>
          <w:rFonts w:hint="eastAsia" w:ascii="宋体" w:hAnsi="宋体" w:eastAsia="宋体" w:cs="宋体"/>
          <w:color w:val="0C0C0C"/>
          <w:spacing w:val="1"/>
          <w:sz w:val="24"/>
          <w:szCs w:val="24"/>
        </w:rPr>
        <w:t>人</w:t>
      </w:r>
      <w:r>
        <w:rPr>
          <w:rFonts w:hint="eastAsia" w:ascii="宋体" w:hAnsi="宋体" w:eastAsia="宋体" w:cs="宋体"/>
          <w:color w:val="0C0C0C"/>
          <w:sz w:val="24"/>
          <w:szCs w:val="24"/>
        </w:rPr>
        <w:t>须知前附</w:t>
      </w:r>
      <w:r>
        <w:rPr>
          <w:rFonts w:hint="eastAsia" w:ascii="宋体" w:hAnsi="宋体" w:eastAsia="宋体" w:cs="宋体"/>
          <w:color w:val="0C0C0C"/>
          <w:spacing w:val="-10"/>
          <w:sz w:val="24"/>
          <w:szCs w:val="24"/>
        </w:rPr>
        <w:t>表</w:t>
      </w:r>
      <w:r>
        <w:rPr>
          <w:rFonts w:hint="eastAsia" w:ascii="宋体" w:hAnsi="宋体" w:eastAsia="宋体" w:cs="宋体"/>
          <w:color w:val="0C0C0C"/>
          <w:spacing w:val="-9"/>
          <w:sz w:val="24"/>
          <w:szCs w:val="24"/>
        </w:rPr>
        <w:t>。</w:t>
      </w:r>
    </w:p>
    <w:p>
      <w:pPr>
        <w:spacing w:line="360" w:lineRule="auto"/>
        <w:ind w:firstLine="466" w:firstLineChars="200"/>
        <w:jc w:val="both"/>
        <w:outlineLvl w:val="9"/>
        <w:rPr>
          <w:rFonts w:ascii="宋体" w:hAnsi="宋体" w:eastAsia="宋体" w:cs="宋体"/>
          <w:b/>
          <w:bCs/>
          <w:color w:val="0C0C0C"/>
          <w:spacing w:val="-4"/>
          <w:sz w:val="24"/>
          <w:szCs w:val="24"/>
          <w:highlight w:val="none"/>
        </w:rPr>
      </w:pPr>
      <w:r>
        <w:rPr>
          <w:rFonts w:hint="eastAsia" w:ascii="宋体" w:hAnsi="宋体" w:eastAsia="宋体" w:cs="宋体"/>
          <w:b/>
          <w:bCs/>
          <w:color w:val="0C0C0C"/>
          <w:spacing w:val="-4"/>
          <w:sz w:val="24"/>
          <w:szCs w:val="24"/>
          <w:highlight w:val="none"/>
        </w:rPr>
        <w:t>六、评标办法(综合评分法)</w:t>
      </w:r>
    </w:p>
    <w:p>
      <w:pPr>
        <w:spacing w:line="360" w:lineRule="auto"/>
        <w:ind w:firstLine="466" w:firstLineChars="200"/>
        <w:jc w:val="both"/>
        <w:rPr>
          <w:rFonts w:hint="eastAsia" w:ascii="宋体" w:hAnsi="宋体" w:eastAsia="宋体" w:cs="宋体"/>
          <w:b/>
          <w:bCs/>
          <w:color w:val="0C0C0C"/>
          <w:spacing w:val="-4"/>
          <w:sz w:val="24"/>
          <w:szCs w:val="24"/>
        </w:rPr>
      </w:pPr>
      <w:r>
        <w:rPr>
          <w:rFonts w:hint="eastAsia" w:ascii="宋体" w:hAnsi="宋体" w:eastAsia="宋体" w:cs="宋体"/>
          <w:b/>
          <w:bCs/>
          <w:color w:val="0C0C0C"/>
          <w:spacing w:val="-4"/>
          <w:sz w:val="24"/>
          <w:szCs w:val="24"/>
        </w:rPr>
        <w:t>评标办法前附表</w:t>
      </w:r>
    </w:p>
    <w:tbl>
      <w:tblPr>
        <w:tblStyle w:val="29"/>
        <w:tblW w:w="94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426"/>
        <w:gridCol w:w="890"/>
        <w:gridCol w:w="888"/>
        <w:gridCol w:w="418"/>
        <w:gridCol w:w="60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7" w:type="dxa"/>
            <w:gridSpan w:val="2"/>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ascii="宋体" w:hAnsi="宋体" w:eastAsia="宋体" w:cs="宋体"/>
                <w:b/>
                <w:bCs/>
              </w:rPr>
            </w:pPr>
            <w:r>
              <w:rPr>
                <w:rFonts w:hint="eastAsia" w:ascii="宋体" w:hAnsi="宋体" w:eastAsia="宋体" w:cs="宋体"/>
                <w:b/>
                <w:bCs/>
              </w:rPr>
              <w:t>条款号</w:t>
            </w:r>
          </w:p>
        </w:tc>
        <w:tc>
          <w:tcPr>
            <w:tcW w:w="1778" w:type="dxa"/>
            <w:gridSpan w:val="2"/>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ascii="宋体" w:hAnsi="宋体" w:eastAsia="宋体" w:cs="宋体"/>
                <w:b/>
                <w:bCs/>
              </w:rPr>
            </w:pPr>
            <w:r>
              <w:rPr>
                <w:rFonts w:hint="eastAsia" w:ascii="宋体" w:hAnsi="宋体" w:eastAsia="宋体" w:cs="宋体"/>
                <w:b/>
                <w:bCs/>
              </w:rPr>
              <w:t>评审因素</w:t>
            </w:r>
          </w:p>
        </w:tc>
        <w:tc>
          <w:tcPr>
            <w:tcW w:w="6470" w:type="dxa"/>
            <w:gridSpan w:val="2"/>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ascii="宋体" w:hAnsi="宋体" w:eastAsia="宋体" w:cs="宋体"/>
                <w:b/>
                <w:bCs/>
              </w:rPr>
            </w:pPr>
            <w:r>
              <w:rPr>
                <w:rFonts w:hint="eastAsia" w:ascii="宋体" w:hAnsi="宋体" w:eastAsia="宋体" w:cs="宋体"/>
                <w:b/>
                <w:bCs/>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15" w:type="dxa"/>
            <w:gridSpan w:val="6"/>
          </w:tcPr>
          <w:p>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ascii="宋体" w:hAnsi="宋体" w:eastAsia="宋体" w:cs="宋体"/>
              </w:rPr>
            </w:pPr>
            <w:r>
              <w:rPr>
                <w:rFonts w:hint="eastAsia" w:ascii="宋体" w:hAnsi="宋体" w:eastAsia="宋体" w:cs="宋体"/>
                <w:b/>
                <w:bCs/>
              </w:rPr>
              <w:t>2.1 初步评审标准: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741" w:type="dxa"/>
            <w:vMerge w:val="restart"/>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ascii="宋体" w:hAnsi="宋体" w:eastAsia="宋体" w:cs="宋体"/>
              </w:rPr>
            </w:pPr>
            <w:r>
              <w:rPr>
                <w:rFonts w:hint="eastAsia" w:ascii="宋体" w:hAnsi="宋体" w:eastAsia="宋体" w:cs="宋体"/>
              </w:rPr>
              <w:t>2.1.1</w:t>
            </w:r>
          </w:p>
        </w:tc>
        <w:tc>
          <w:tcPr>
            <w:tcW w:w="426" w:type="dxa"/>
            <w:vMerge w:val="restart"/>
            <w:vAlign w:val="center"/>
          </w:tcPr>
          <w:p>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snapToGrid w:val="0"/>
                <w:color w:val="000000"/>
                <w:sz w:val="21"/>
                <w:szCs w:val="21"/>
                <w:lang w:val="en-US" w:eastAsia="zh-CN" w:bidi="ar-SA"/>
              </w:rPr>
            </w:pPr>
            <w:r>
              <w:rPr>
                <w:rFonts w:hint="eastAsia" w:ascii="宋体" w:hAnsi="宋体" w:eastAsia="宋体" w:cs="宋体"/>
                <w:snapToGrid w:val="0"/>
                <w:color w:val="000000"/>
                <w:sz w:val="21"/>
                <w:szCs w:val="21"/>
                <w:lang w:val="en-US" w:eastAsia="zh-CN" w:bidi="ar-SA"/>
              </w:rPr>
              <w:t>形式评审标准</w:t>
            </w:r>
          </w:p>
        </w:tc>
        <w:tc>
          <w:tcPr>
            <w:tcW w:w="1778" w:type="dxa"/>
            <w:gridSpan w:val="2"/>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snapToGrid w:val="0"/>
                <w:color w:val="000000"/>
                <w:sz w:val="21"/>
                <w:szCs w:val="21"/>
                <w:lang w:val="en-US" w:eastAsia="zh-CN" w:bidi="ar-SA"/>
              </w:rPr>
            </w:pPr>
            <w:r>
              <w:rPr>
                <w:rFonts w:hint="eastAsia" w:ascii="宋体" w:hAnsi="宋体" w:eastAsia="宋体" w:cs="宋体"/>
                <w:snapToGrid w:val="0"/>
                <w:color w:val="000000"/>
                <w:sz w:val="21"/>
                <w:szCs w:val="21"/>
                <w:lang w:val="en-US" w:eastAsia="zh-CN" w:bidi="ar-SA"/>
              </w:rPr>
              <w:t>供应商名称</w:t>
            </w:r>
          </w:p>
        </w:tc>
        <w:tc>
          <w:tcPr>
            <w:tcW w:w="6470" w:type="dxa"/>
            <w:gridSpan w:val="2"/>
          </w:tcPr>
          <w:p>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ascii="宋体" w:hAnsi="宋体" w:eastAsia="宋体" w:cs="宋体"/>
              </w:rPr>
            </w:pPr>
            <w:r>
              <w:rPr>
                <w:rFonts w:hint="eastAsia" w:ascii="宋体" w:hAnsi="宋体" w:eastAsia="宋体" w:cs="宋体"/>
              </w:rPr>
              <w:t>与企业法人营业执照一致</w:t>
            </w:r>
            <w:r>
              <w:rPr>
                <w:rFonts w:hint="eastAsia" w:ascii="宋体" w:hAnsi="宋体" w:eastAsia="宋体" w:cs="宋体"/>
                <w:b/>
                <w:bCs/>
              </w:rPr>
              <w:t>（以供应商</w:t>
            </w:r>
            <w:r>
              <w:rPr>
                <w:rFonts w:hint="eastAsia" w:cs="宋体"/>
                <w:b/>
                <w:bCs/>
              </w:rPr>
              <w:t>南阳市公共资源交易中心</w:t>
            </w:r>
            <w:r>
              <w:rPr>
                <w:rFonts w:hint="eastAsia" w:ascii="宋体" w:hAnsi="宋体" w:eastAsia="宋体" w:cs="宋体"/>
                <w:b/>
                <w:bCs/>
              </w:rPr>
              <w:t xml:space="preserve">企业诚信库“基本信息”中上传的原件扫描件为准）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741" w:type="dxa"/>
            <w:vMerge w:val="continue"/>
            <w:vAlign w:val="center"/>
          </w:tcPr>
          <w:p>
            <w:pPr>
              <w:pStyle w:val="10"/>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pPr>
          </w:p>
        </w:tc>
        <w:tc>
          <w:tcPr>
            <w:tcW w:w="426" w:type="dxa"/>
            <w:vMerge w:val="continue"/>
            <w:vAlign w:val="center"/>
          </w:tcPr>
          <w:p>
            <w:pPr>
              <w:pStyle w:val="10"/>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snapToGrid w:val="0"/>
                <w:color w:val="000000"/>
                <w:sz w:val="21"/>
                <w:szCs w:val="21"/>
                <w:lang w:val="en-US" w:eastAsia="zh-CN" w:bidi="ar-SA"/>
              </w:rPr>
            </w:pPr>
          </w:p>
        </w:tc>
        <w:tc>
          <w:tcPr>
            <w:tcW w:w="1778" w:type="dxa"/>
            <w:gridSpan w:val="2"/>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snapToGrid w:val="0"/>
                <w:color w:val="000000"/>
                <w:sz w:val="21"/>
                <w:szCs w:val="21"/>
                <w:lang w:val="en-US" w:eastAsia="zh-CN" w:bidi="ar-SA"/>
              </w:rPr>
            </w:pPr>
            <w:r>
              <w:rPr>
                <w:rFonts w:hint="eastAsia" w:ascii="宋体" w:hAnsi="宋体" w:eastAsia="宋体" w:cs="宋体"/>
                <w:snapToGrid w:val="0"/>
                <w:color w:val="000000"/>
                <w:sz w:val="21"/>
                <w:szCs w:val="21"/>
                <w:lang w:val="en-US" w:eastAsia="zh-CN" w:bidi="ar-SA"/>
              </w:rPr>
              <w:t>投标文件签字盖章</w:t>
            </w:r>
          </w:p>
        </w:tc>
        <w:tc>
          <w:tcPr>
            <w:tcW w:w="6470" w:type="dxa"/>
            <w:gridSpan w:val="2"/>
          </w:tcPr>
          <w:p>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ascii="宋体" w:hAnsi="宋体" w:eastAsia="宋体" w:cs="宋体"/>
              </w:rPr>
            </w:pPr>
            <w:r>
              <w:rPr>
                <w:rFonts w:hint="eastAsia" w:ascii="宋体" w:hAnsi="宋体" w:eastAsia="宋体" w:cs="宋体"/>
              </w:rPr>
              <w:t>按照</w:t>
            </w:r>
            <w:r>
              <w:rPr>
                <w:rFonts w:hint="eastAsia" w:cs="宋体"/>
              </w:rPr>
              <w:t>招标</w:t>
            </w:r>
            <w:r>
              <w:rPr>
                <w:rFonts w:hint="eastAsia" w:ascii="宋体" w:hAnsi="宋体" w:eastAsia="宋体" w:cs="宋体"/>
              </w:rPr>
              <w:t>文件要求签字盖章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741" w:type="dxa"/>
            <w:vMerge w:val="continue"/>
            <w:vAlign w:val="center"/>
          </w:tcPr>
          <w:p>
            <w:pPr>
              <w:pStyle w:val="10"/>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pPr>
          </w:p>
        </w:tc>
        <w:tc>
          <w:tcPr>
            <w:tcW w:w="426" w:type="dxa"/>
            <w:vMerge w:val="continue"/>
            <w:vAlign w:val="center"/>
          </w:tcPr>
          <w:p>
            <w:pPr>
              <w:pStyle w:val="10"/>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snapToGrid w:val="0"/>
                <w:color w:val="000000"/>
                <w:sz w:val="21"/>
                <w:szCs w:val="21"/>
                <w:lang w:val="en-US" w:eastAsia="zh-CN" w:bidi="ar-SA"/>
              </w:rPr>
            </w:pPr>
          </w:p>
        </w:tc>
        <w:tc>
          <w:tcPr>
            <w:tcW w:w="1778" w:type="dxa"/>
            <w:gridSpan w:val="2"/>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snapToGrid w:val="0"/>
                <w:color w:val="000000"/>
                <w:sz w:val="21"/>
                <w:szCs w:val="21"/>
                <w:lang w:val="en-US" w:eastAsia="zh-CN" w:bidi="ar-SA"/>
              </w:rPr>
            </w:pPr>
            <w:r>
              <w:rPr>
                <w:rFonts w:hint="eastAsia" w:ascii="宋体" w:hAnsi="宋体" w:eastAsia="宋体" w:cs="宋体"/>
                <w:snapToGrid w:val="0"/>
                <w:color w:val="000000"/>
                <w:sz w:val="21"/>
                <w:szCs w:val="21"/>
                <w:lang w:val="en-US" w:eastAsia="zh-CN" w:bidi="ar-SA"/>
              </w:rPr>
              <w:t>报价唯一</w:t>
            </w:r>
          </w:p>
        </w:tc>
        <w:tc>
          <w:tcPr>
            <w:tcW w:w="6470" w:type="dxa"/>
            <w:gridSpan w:val="2"/>
          </w:tcPr>
          <w:p>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ascii="宋体" w:hAnsi="宋体" w:eastAsia="宋体" w:cs="宋体"/>
              </w:rPr>
            </w:pPr>
            <w:r>
              <w:rPr>
                <w:rFonts w:hint="eastAsia" w:ascii="宋体" w:hAnsi="宋体" w:eastAsia="宋体" w:cs="宋体"/>
              </w:rPr>
              <w:t xml:space="preserve">只有一个有效报价且不超过最高限价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741" w:type="dxa"/>
            <w:vMerge w:val="continue"/>
            <w:vAlign w:val="center"/>
          </w:tcPr>
          <w:p>
            <w:pPr>
              <w:pStyle w:val="10"/>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pPr>
          </w:p>
        </w:tc>
        <w:tc>
          <w:tcPr>
            <w:tcW w:w="426" w:type="dxa"/>
            <w:vMerge w:val="continue"/>
            <w:vAlign w:val="center"/>
          </w:tcPr>
          <w:p>
            <w:pPr>
              <w:pStyle w:val="10"/>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snapToGrid w:val="0"/>
                <w:color w:val="000000"/>
                <w:sz w:val="21"/>
                <w:szCs w:val="21"/>
                <w:lang w:val="en-US" w:eastAsia="zh-CN" w:bidi="ar-SA"/>
              </w:rPr>
            </w:pPr>
          </w:p>
        </w:tc>
        <w:tc>
          <w:tcPr>
            <w:tcW w:w="1778" w:type="dxa"/>
            <w:gridSpan w:val="2"/>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snapToGrid w:val="0"/>
                <w:color w:val="000000"/>
                <w:sz w:val="21"/>
                <w:szCs w:val="21"/>
                <w:lang w:val="en-US" w:eastAsia="zh-CN" w:bidi="ar-SA"/>
              </w:rPr>
            </w:pPr>
            <w:r>
              <w:rPr>
                <w:rFonts w:hint="eastAsia" w:ascii="宋体" w:hAnsi="宋体" w:eastAsia="宋体" w:cs="宋体"/>
                <w:snapToGrid w:val="0"/>
                <w:color w:val="000000"/>
                <w:sz w:val="21"/>
                <w:szCs w:val="21"/>
                <w:lang w:val="en-US" w:eastAsia="zh-CN" w:bidi="ar-SA"/>
              </w:rPr>
              <w:t>投标文件格式</w:t>
            </w:r>
          </w:p>
        </w:tc>
        <w:tc>
          <w:tcPr>
            <w:tcW w:w="6470" w:type="dxa"/>
            <w:gridSpan w:val="2"/>
          </w:tcPr>
          <w:p>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ascii="宋体" w:hAnsi="宋体" w:eastAsia="宋体" w:cs="宋体"/>
              </w:rPr>
            </w:pPr>
            <w:r>
              <w:rPr>
                <w:rFonts w:hint="eastAsia" w:ascii="宋体" w:hAnsi="宋体" w:eastAsia="宋体" w:cs="宋体"/>
              </w:rPr>
              <w:t xml:space="preserve">符合第六部分“投标文件格式”的要求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jc w:val="center"/>
        </w:trPr>
        <w:tc>
          <w:tcPr>
            <w:tcW w:w="741" w:type="dxa"/>
            <w:vMerge w:val="restart"/>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ascii="宋体" w:hAnsi="宋体" w:eastAsia="宋体" w:cs="宋体"/>
              </w:rPr>
            </w:pPr>
            <w:r>
              <w:rPr>
                <w:rFonts w:hint="eastAsia" w:ascii="宋体" w:hAnsi="宋体" w:eastAsia="宋体" w:cs="宋体"/>
              </w:rPr>
              <w:t>2.1.2</w:t>
            </w:r>
          </w:p>
        </w:tc>
        <w:tc>
          <w:tcPr>
            <w:tcW w:w="426" w:type="dxa"/>
            <w:vMerge w:val="restart"/>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rPr>
            </w:pPr>
            <w:r>
              <w:rPr>
                <w:rFonts w:hint="eastAsia" w:ascii="宋体" w:hAnsi="宋体" w:eastAsia="宋体" w:cs="宋体"/>
              </w:rPr>
              <w:t>资格评审标准</w:t>
            </w:r>
          </w:p>
        </w:tc>
        <w:tc>
          <w:tcPr>
            <w:tcW w:w="1778" w:type="dxa"/>
            <w:gridSpan w:val="2"/>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ascii="宋体" w:hAnsi="宋体" w:eastAsia="宋体" w:cs="宋体"/>
              </w:rPr>
            </w:pPr>
            <w:r>
              <w:rPr>
                <w:rFonts w:hint="eastAsia" w:ascii="宋体" w:hAnsi="宋体" w:eastAsia="宋体" w:cs="宋体"/>
              </w:rPr>
              <w:t>营业执照</w:t>
            </w:r>
          </w:p>
        </w:tc>
        <w:tc>
          <w:tcPr>
            <w:tcW w:w="6470" w:type="dxa"/>
            <w:gridSpan w:val="2"/>
            <w:vAlign w:val="top"/>
          </w:tcPr>
          <w:p>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ascii="宋体" w:hAnsi="宋体" w:eastAsia="宋体" w:cs="宋体"/>
              </w:rPr>
            </w:pPr>
            <w:r>
              <w:rPr>
                <w:rFonts w:hint="eastAsia" w:ascii="宋体" w:hAnsi="宋体" w:eastAsia="宋体" w:cs="宋体"/>
              </w:rPr>
              <w:t>具备有效的营业执照</w:t>
            </w:r>
            <w:r>
              <w:rPr>
                <w:rFonts w:hint="eastAsia" w:ascii="宋体" w:hAnsi="宋体" w:eastAsia="宋体" w:cs="宋体"/>
                <w:b/>
                <w:bCs/>
              </w:rPr>
              <w:t>（以供应商</w:t>
            </w:r>
            <w:r>
              <w:rPr>
                <w:rFonts w:hint="eastAsia" w:cs="宋体"/>
                <w:b/>
                <w:bCs/>
              </w:rPr>
              <w:t>南阳市公共资源交易中心</w:t>
            </w:r>
            <w:r>
              <w:rPr>
                <w:rFonts w:hint="eastAsia" w:ascii="宋体" w:hAnsi="宋体" w:eastAsia="宋体" w:cs="宋体"/>
                <w:b/>
                <w:bCs/>
              </w:rPr>
              <w:t>企业企业诚信库“投标所需的其他材料”中上传的原件扫描件为准）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jc w:val="center"/>
        </w:trPr>
        <w:tc>
          <w:tcPr>
            <w:tcW w:w="741" w:type="dxa"/>
            <w:vMerge w:val="continue"/>
            <w:vAlign w:val="center"/>
          </w:tcPr>
          <w:p>
            <w:pPr>
              <w:pStyle w:val="10"/>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pPr>
          </w:p>
        </w:tc>
        <w:tc>
          <w:tcPr>
            <w:tcW w:w="426" w:type="dxa"/>
            <w:vMerge w:val="continue"/>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rPr>
            </w:pPr>
          </w:p>
        </w:tc>
        <w:tc>
          <w:tcPr>
            <w:tcW w:w="1778" w:type="dxa"/>
            <w:gridSpan w:val="2"/>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ascii="宋体" w:hAnsi="宋体" w:eastAsia="宋体" w:cs="宋体"/>
              </w:rPr>
            </w:pPr>
            <w:r>
              <w:rPr>
                <w:rFonts w:hint="eastAsia" w:ascii="宋体" w:hAnsi="宋体" w:eastAsia="宋体" w:cs="宋体"/>
              </w:rPr>
              <w:t>信用查询</w:t>
            </w:r>
          </w:p>
        </w:tc>
        <w:tc>
          <w:tcPr>
            <w:tcW w:w="6470" w:type="dxa"/>
            <w:gridSpan w:val="2"/>
            <w:vAlign w:val="top"/>
          </w:tcPr>
          <w:p>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ascii="宋体" w:hAnsi="宋体" w:eastAsia="宋体" w:cs="宋体"/>
              </w:rPr>
            </w:pPr>
            <w:r>
              <w:rPr>
                <w:rFonts w:hint="eastAsia" w:ascii="宋体" w:hAnsi="宋体" w:eastAsia="宋体" w:cs="宋体"/>
              </w:rPr>
              <w:t>未被列入失信被执行人、重大税收违法案件当事人名单、政府采购严重违法失信行为记录名单</w:t>
            </w:r>
            <w:r>
              <w:rPr>
                <w:rFonts w:hint="eastAsia" w:ascii="宋体" w:hAnsi="宋体" w:eastAsia="宋体" w:cs="宋体"/>
                <w:b/>
                <w:bCs/>
              </w:rPr>
              <w:t>（以供应商</w:t>
            </w:r>
            <w:r>
              <w:rPr>
                <w:rFonts w:hint="eastAsia" w:cs="宋体"/>
                <w:b/>
                <w:bCs/>
              </w:rPr>
              <w:t>南阳市公共资源交易中心</w:t>
            </w:r>
            <w:r>
              <w:rPr>
                <w:rFonts w:hint="eastAsia" w:ascii="宋体" w:hAnsi="宋体" w:eastAsia="宋体" w:cs="宋体"/>
                <w:b/>
                <w:bCs/>
              </w:rPr>
              <w:t>企业企业诚信库“投标所需的其他材料”中上传的原件扫描件为准）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jc w:val="center"/>
        </w:trPr>
        <w:tc>
          <w:tcPr>
            <w:tcW w:w="741" w:type="dxa"/>
            <w:vMerge w:val="continue"/>
            <w:vAlign w:val="center"/>
          </w:tcPr>
          <w:p>
            <w:pPr>
              <w:pStyle w:val="10"/>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pPr>
          </w:p>
        </w:tc>
        <w:tc>
          <w:tcPr>
            <w:tcW w:w="426" w:type="dxa"/>
            <w:vMerge w:val="continue"/>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rPr>
            </w:pPr>
          </w:p>
        </w:tc>
        <w:tc>
          <w:tcPr>
            <w:tcW w:w="1778" w:type="dxa"/>
            <w:gridSpan w:val="2"/>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rPr>
            </w:pPr>
            <w:r>
              <w:rPr>
                <w:rFonts w:hint="eastAsia" w:ascii="宋体" w:hAnsi="宋体" w:eastAsia="宋体" w:cs="宋体"/>
              </w:rPr>
              <w:t>其他要求</w:t>
            </w:r>
          </w:p>
        </w:tc>
        <w:tc>
          <w:tcPr>
            <w:tcW w:w="6470" w:type="dxa"/>
            <w:gridSpan w:val="2"/>
            <w:vAlign w:val="top"/>
          </w:tcPr>
          <w:p>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ascii="宋体" w:hAnsi="宋体" w:eastAsia="宋体" w:cs="宋体"/>
              </w:rPr>
            </w:pPr>
            <w:r>
              <w:rPr>
                <w:rFonts w:hint="eastAsia" w:ascii="宋体" w:hAnsi="宋体" w:eastAsia="宋体" w:cs="宋体"/>
              </w:rPr>
              <w:t>详见</w:t>
            </w:r>
            <w:r>
              <w:rPr>
                <w:rFonts w:hint="eastAsia" w:cs="宋体"/>
              </w:rPr>
              <w:t>招标</w:t>
            </w:r>
            <w:r>
              <w:rPr>
                <w:rFonts w:hint="eastAsia" w:ascii="宋体" w:hAnsi="宋体" w:eastAsia="宋体" w:cs="宋体"/>
              </w:rPr>
              <w:t>公告中“二、</w:t>
            </w:r>
            <w:r>
              <w:rPr>
                <w:rFonts w:hint="eastAsia" w:ascii="宋体" w:hAnsi="宋体" w:eastAsia="宋体" w:cs="宋体"/>
                <w:b/>
                <w:bCs/>
              </w:rPr>
              <w:t>申请人资格要求</w:t>
            </w:r>
            <w:r>
              <w:rPr>
                <w:rFonts w:hint="eastAsia" w:ascii="宋体" w:hAnsi="宋体" w:eastAsia="宋体" w:cs="宋体"/>
              </w:rPr>
              <w:t>”</w:t>
            </w:r>
            <w:r>
              <w:rPr>
                <w:rFonts w:hint="eastAsia" w:ascii="宋体" w:hAnsi="宋体" w:eastAsia="宋体" w:cs="宋体"/>
                <w:b/>
                <w:bCs/>
              </w:rPr>
              <w:t>（以供应商</w:t>
            </w:r>
            <w:r>
              <w:rPr>
                <w:rFonts w:hint="eastAsia" w:cs="宋体"/>
                <w:b/>
                <w:bCs/>
              </w:rPr>
              <w:t>南阳市公共资源交易中心</w:t>
            </w:r>
            <w:r>
              <w:rPr>
                <w:rFonts w:hint="eastAsia" w:ascii="宋体" w:hAnsi="宋体" w:eastAsia="宋体" w:cs="宋体"/>
                <w:b/>
                <w:bCs/>
              </w:rPr>
              <w:t>企业企业诚信库“投标所需的其他材料”中上传的原件扫描件为准）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jc w:val="center"/>
        </w:trPr>
        <w:tc>
          <w:tcPr>
            <w:tcW w:w="741" w:type="dxa"/>
            <w:vMerge w:val="restart"/>
            <w:vAlign w:val="center"/>
          </w:tcPr>
          <w:p>
            <w:pPr>
              <w:pStyle w:val="10"/>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pPr>
            <w:r>
              <w:rPr>
                <w:rFonts w:hint="eastAsia"/>
              </w:rPr>
              <w:t>2.1.3</w:t>
            </w:r>
          </w:p>
        </w:tc>
        <w:tc>
          <w:tcPr>
            <w:tcW w:w="426" w:type="dxa"/>
            <w:vMerge w:val="restart"/>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rPr>
            </w:pPr>
            <w:r>
              <w:rPr>
                <w:rFonts w:hint="eastAsia" w:ascii="宋体" w:hAnsi="宋体" w:eastAsia="宋体" w:cs="宋体"/>
              </w:rPr>
              <w:t>响应性评审标准</w:t>
            </w:r>
          </w:p>
        </w:tc>
        <w:tc>
          <w:tcPr>
            <w:tcW w:w="1778" w:type="dxa"/>
            <w:gridSpan w:val="2"/>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rPr>
            </w:pPr>
            <w:r>
              <w:rPr>
                <w:rFonts w:hint="eastAsia" w:ascii="宋体" w:hAnsi="宋体" w:eastAsia="宋体" w:cs="宋体"/>
              </w:rPr>
              <w:t>投标内容</w:t>
            </w:r>
          </w:p>
        </w:tc>
        <w:tc>
          <w:tcPr>
            <w:tcW w:w="6470" w:type="dxa"/>
            <w:gridSpan w:val="2"/>
            <w:vAlign w:val="top"/>
          </w:tcPr>
          <w:p>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rPr>
            </w:pPr>
            <w:r>
              <w:rPr>
                <w:rFonts w:hint="eastAsia" w:ascii="宋体" w:hAnsi="宋体" w:eastAsia="宋体" w:cs="宋体"/>
              </w:rPr>
              <w:t>符合第二部分“投标人须知前附表”</w:t>
            </w:r>
            <w:r>
              <w:rPr>
                <w:rFonts w:hint="eastAsia" w:ascii="宋体" w:hAnsi="宋体" w:eastAsia="宋体" w:cs="宋体"/>
                <w:lang w:eastAsia="zh-CN"/>
              </w:rPr>
              <w:t>的</w:t>
            </w:r>
            <w:r>
              <w:rPr>
                <w:rFonts w:hint="eastAsia" w:ascii="宋体" w:hAnsi="宋体" w:eastAsia="宋体" w:cs="宋体"/>
                <w:lang w:val="en-US" w:eastAsia="zh-CN"/>
              </w:rPr>
              <w:t>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jc w:val="center"/>
        </w:trPr>
        <w:tc>
          <w:tcPr>
            <w:tcW w:w="741" w:type="dxa"/>
            <w:vMerge w:val="continue"/>
            <w:vAlign w:val="center"/>
          </w:tcPr>
          <w:p>
            <w:pPr>
              <w:pStyle w:val="10"/>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pPr>
          </w:p>
        </w:tc>
        <w:tc>
          <w:tcPr>
            <w:tcW w:w="426" w:type="dxa"/>
            <w:vMerge w:val="continue"/>
            <w:vAlign w:val="center"/>
          </w:tcPr>
          <w:p>
            <w:pPr>
              <w:pStyle w:val="25"/>
              <w:keepNext w:val="0"/>
              <w:keepLines w:val="0"/>
              <w:pageBreakBefore w:val="0"/>
              <w:widowControl w:val="0"/>
              <w:wordWrap/>
              <w:overflowPunct/>
              <w:topLinePunct w:val="0"/>
              <w:autoSpaceDE w:val="0"/>
              <w:autoSpaceDN w:val="0"/>
              <w:bidi w:val="0"/>
              <w:spacing w:line="360" w:lineRule="exact"/>
              <w:jc w:val="center"/>
              <w:rPr>
                <w:rFonts w:ascii="宋体" w:hAnsi="宋体" w:cs="宋体"/>
                <w:color w:val="FF0000"/>
                <w:sz w:val="18"/>
                <w:szCs w:val="18"/>
              </w:rPr>
            </w:pPr>
          </w:p>
        </w:tc>
        <w:tc>
          <w:tcPr>
            <w:tcW w:w="1778" w:type="dxa"/>
            <w:gridSpan w:val="2"/>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rPr>
            </w:pPr>
            <w:r>
              <w:rPr>
                <w:rFonts w:hint="eastAsia" w:ascii="宋体" w:hAnsi="宋体" w:eastAsia="宋体" w:cs="宋体"/>
              </w:rPr>
              <w:t>供货期</w:t>
            </w:r>
          </w:p>
        </w:tc>
        <w:tc>
          <w:tcPr>
            <w:tcW w:w="6470" w:type="dxa"/>
            <w:gridSpan w:val="2"/>
            <w:vAlign w:val="top"/>
          </w:tcPr>
          <w:p>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rPr>
            </w:pPr>
            <w:r>
              <w:rPr>
                <w:rFonts w:hint="eastAsia" w:ascii="宋体" w:hAnsi="宋体" w:eastAsia="宋体" w:cs="宋体"/>
              </w:rPr>
              <w:t>符合第二部分“投标人须知前附表”</w:t>
            </w:r>
            <w:r>
              <w:rPr>
                <w:rFonts w:hint="eastAsia" w:ascii="宋体" w:hAnsi="宋体" w:eastAsia="宋体" w:cs="宋体"/>
                <w:lang w:eastAsia="zh-CN"/>
              </w:rPr>
              <w:t>的</w:t>
            </w:r>
            <w:r>
              <w:rPr>
                <w:rFonts w:hint="eastAsia" w:ascii="宋体" w:hAnsi="宋体" w:eastAsia="宋体" w:cs="宋体"/>
                <w:lang w:val="en-US" w:eastAsia="zh-CN"/>
              </w:rPr>
              <w:t>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jc w:val="center"/>
        </w:trPr>
        <w:tc>
          <w:tcPr>
            <w:tcW w:w="741" w:type="dxa"/>
            <w:vMerge w:val="continue"/>
            <w:vAlign w:val="center"/>
          </w:tcPr>
          <w:p>
            <w:pPr>
              <w:pStyle w:val="10"/>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pPr>
          </w:p>
        </w:tc>
        <w:tc>
          <w:tcPr>
            <w:tcW w:w="426" w:type="dxa"/>
            <w:vMerge w:val="continue"/>
            <w:vAlign w:val="center"/>
          </w:tcPr>
          <w:p>
            <w:pPr>
              <w:pStyle w:val="25"/>
              <w:keepNext w:val="0"/>
              <w:keepLines w:val="0"/>
              <w:pageBreakBefore w:val="0"/>
              <w:widowControl w:val="0"/>
              <w:wordWrap/>
              <w:overflowPunct/>
              <w:topLinePunct w:val="0"/>
              <w:autoSpaceDE w:val="0"/>
              <w:autoSpaceDN w:val="0"/>
              <w:bidi w:val="0"/>
              <w:spacing w:line="360" w:lineRule="exact"/>
              <w:jc w:val="center"/>
              <w:rPr>
                <w:rFonts w:ascii="宋体" w:hAnsi="宋体" w:cs="宋体"/>
                <w:color w:val="FF0000"/>
                <w:sz w:val="18"/>
                <w:szCs w:val="18"/>
              </w:rPr>
            </w:pPr>
          </w:p>
        </w:tc>
        <w:tc>
          <w:tcPr>
            <w:tcW w:w="1778" w:type="dxa"/>
            <w:gridSpan w:val="2"/>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rPr>
            </w:pPr>
            <w:r>
              <w:rPr>
                <w:rFonts w:hint="eastAsia" w:ascii="宋体" w:hAnsi="宋体" w:eastAsia="宋体" w:cs="宋体"/>
              </w:rPr>
              <w:t>质量要求</w:t>
            </w:r>
          </w:p>
        </w:tc>
        <w:tc>
          <w:tcPr>
            <w:tcW w:w="6470" w:type="dxa"/>
            <w:gridSpan w:val="2"/>
            <w:vAlign w:val="top"/>
          </w:tcPr>
          <w:p>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rPr>
            </w:pPr>
            <w:r>
              <w:rPr>
                <w:rFonts w:hint="eastAsia" w:ascii="宋体" w:hAnsi="宋体" w:eastAsia="宋体" w:cs="宋体"/>
              </w:rPr>
              <w:t>符合第二部分“投标人须知前附表”</w:t>
            </w:r>
            <w:r>
              <w:rPr>
                <w:rFonts w:hint="eastAsia" w:ascii="宋体" w:hAnsi="宋体" w:eastAsia="宋体" w:cs="宋体"/>
                <w:lang w:eastAsia="zh-CN"/>
              </w:rPr>
              <w:t>的</w:t>
            </w:r>
            <w:r>
              <w:rPr>
                <w:rFonts w:hint="eastAsia" w:ascii="宋体" w:hAnsi="宋体" w:eastAsia="宋体" w:cs="宋体"/>
                <w:lang w:val="en-US" w:eastAsia="zh-CN"/>
              </w:rPr>
              <w:t>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jc w:val="center"/>
        </w:trPr>
        <w:tc>
          <w:tcPr>
            <w:tcW w:w="741" w:type="dxa"/>
            <w:vMerge w:val="continue"/>
            <w:vAlign w:val="center"/>
          </w:tcPr>
          <w:p>
            <w:pPr>
              <w:pStyle w:val="10"/>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pPr>
          </w:p>
        </w:tc>
        <w:tc>
          <w:tcPr>
            <w:tcW w:w="426" w:type="dxa"/>
            <w:vMerge w:val="continue"/>
            <w:vAlign w:val="center"/>
          </w:tcPr>
          <w:p>
            <w:pPr>
              <w:pStyle w:val="25"/>
              <w:keepNext w:val="0"/>
              <w:keepLines w:val="0"/>
              <w:pageBreakBefore w:val="0"/>
              <w:widowControl w:val="0"/>
              <w:wordWrap/>
              <w:overflowPunct/>
              <w:topLinePunct w:val="0"/>
              <w:autoSpaceDE w:val="0"/>
              <w:autoSpaceDN w:val="0"/>
              <w:bidi w:val="0"/>
              <w:spacing w:line="360" w:lineRule="exact"/>
              <w:jc w:val="center"/>
              <w:rPr>
                <w:rFonts w:ascii="宋体" w:hAnsi="宋体" w:cs="宋体"/>
                <w:color w:val="FF0000"/>
                <w:sz w:val="18"/>
                <w:szCs w:val="18"/>
              </w:rPr>
            </w:pPr>
          </w:p>
        </w:tc>
        <w:tc>
          <w:tcPr>
            <w:tcW w:w="1778" w:type="dxa"/>
            <w:gridSpan w:val="2"/>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rPr>
            </w:pPr>
            <w:r>
              <w:rPr>
                <w:rFonts w:hint="eastAsia" w:ascii="宋体" w:hAnsi="宋体" w:eastAsia="宋体" w:cs="宋体"/>
              </w:rPr>
              <w:t>投标有效期</w:t>
            </w:r>
          </w:p>
        </w:tc>
        <w:tc>
          <w:tcPr>
            <w:tcW w:w="6470" w:type="dxa"/>
            <w:gridSpan w:val="2"/>
            <w:vAlign w:val="top"/>
          </w:tcPr>
          <w:p>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rPr>
            </w:pPr>
            <w:r>
              <w:rPr>
                <w:rFonts w:hint="eastAsia" w:ascii="宋体" w:hAnsi="宋体" w:eastAsia="宋体" w:cs="宋体"/>
              </w:rPr>
              <w:t>符合第二部分“投标人须知前附表”</w:t>
            </w:r>
            <w:r>
              <w:rPr>
                <w:rFonts w:hint="eastAsia" w:ascii="宋体" w:hAnsi="宋体" w:eastAsia="宋体" w:cs="宋体"/>
                <w:lang w:eastAsia="zh-CN"/>
              </w:rPr>
              <w:t>的</w:t>
            </w:r>
            <w:r>
              <w:rPr>
                <w:rFonts w:hint="eastAsia" w:ascii="宋体" w:hAnsi="宋体" w:eastAsia="宋体" w:cs="宋体"/>
                <w:lang w:val="en-US" w:eastAsia="zh-CN"/>
              </w:rPr>
              <w:t>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741" w:type="dxa"/>
            <w:vMerge w:val="continue"/>
            <w:vAlign w:val="center"/>
          </w:tcPr>
          <w:p>
            <w:pPr>
              <w:pStyle w:val="10"/>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pPr>
          </w:p>
        </w:tc>
        <w:tc>
          <w:tcPr>
            <w:tcW w:w="426" w:type="dxa"/>
            <w:vMerge w:val="continue"/>
            <w:vAlign w:val="center"/>
          </w:tcPr>
          <w:p>
            <w:pPr>
              <w:pStyle w:val="25"/>
              <w:keepNext w:val="0"/>
              <w:keepLines w:val="0"/>
              <w:pageBreakBefore w:val="0"/>
              <w:widowControl w:val="0"/>
              <w:wordWrap/>
              <w:overflowPunct/>
              <w:topLinePunct w:val="0"/>
              <w:autoSpaceDE w:val="0"/>
              <w:autoSpaceDN w:val="0"/>
              <w:bidi w:val="0"/>
              <w:spacing w:line="360" w:lineRule="exact"/>
              <w:jc w:val="center"/>
              <w:rPr>
                <w:rFonts w:ascii="宋体" w:hAnsi="宋体" w:cs="宋体"/>
                <w:color w:val="FF0000"/>
                <w:sz w:val="18"/>
                <w:szCs w:val="18"/>
              </w:rPr>
            </w:pPr>
          </w:p>
        </w:tc>
        <w:tc>
          <w:tcPr>
            <w:tcW w:w="1778" w:type="dxa"/>
            <w:gridSpan w:val="2"/>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rPr>
            </w:pPr>
            <w:r>
              <w:rPr>
                <w:rFonts w:hint="eastAsia" w:ascii="宋体" w:hAnsi="宋体" w:eastAsia="宋体" w:cs="宋体"/>
              </w:rPr>
              <w:t>投标报价</w:t>
            </w:r>
          </w:p>
        </w:tc>
        <w:tc>
          <w:tcPr>
            <w:tcW w:w="6470" w:type="dxa"/>
            <w:gridSpan w:val="2"/>
            <w:vAlign w:val="top"/>
          </w:tcPr>
          <w:p>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rPr>
            </w:pPr>
            <w:r>
              <w:rPr>
                <w:rFonts w:hint="eastAsia" w:ascii="宋体" w:hAnsi="宋体" w:eastAsia="宋体" w:cs="宋体"/>
                <w:lang w:eastAsia="zh-CN"/>
              </w:rPr>
              <w:t>不高于</w:t>
            </w:r>
            <w:r>
              <w:rPr>
                <w:rFonts w:hint="eastAsia" w:ascii="宋体" w:hAnsi="宋体" w:eastAsia="宋体" w:cs="宋体"/>
              </w:rPr>
              <w:t>第二部分“投标人须知前附表”</w:t>
            </w:r>
            <w:r>
              <w:rPr>
                <w:rFonts w:hint="eastAsia" w:ascii="宋体" w:hAnsi="宋体" w:eastAsia="宋体" w:cs="宋体"/>
                <w:lang w:val="en-US" w:eastAsia="zh-CN"/>
              </w:rPr>
              <w:t>载明的</w:t>
            </w:r>
            <w:r>
              <w:rPr>
                <w:rFonts w:hint="eastAsia" w:ascii="宋体" w:hAnsi="宋体" w:eastAsia="宋体" w:cs="宋体"/>
              </w:rPr>
              <w:t>招标控制价</w:t>
            </w:r>
            <w:r>
              <w:rPr>
                <w:rFonts w:hint="eastAsia" w:ascii="宋体" w:hAnsi="宋体" w:eastAsia="宋体" w:cs="宋体"/>
                <w:lang w:eastAsia="zh-CN"/>
              </w:rPr>
              <w:t>并满足招标文件的相关要求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15" w:type="dxa"/>
            <w:gridSpan w:val="6"/>
          </w:tcPr>
          <w:p>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ascii="宋体" w:hAnsi="宋体" w:eastAsia="宋体" w:cs="宋体"/>
              </w:rPr>
            </w:pPr>
            <w:r>
              <w:rPr>
                <w:rFonts w:hint="eastAsia" w:ascii="宋体" w:hAnsi="宋体" w:cs="黑体"/>
                <w:b/>
                <w:color w:val="auto"/>
                <w:sz w:val="21"/>
                <w:szCs w:val="21"/>
              </w:rPr>
              <w:t>以上所需证件审查由评标专家依据投标企业在南阳市公共资源交易中心网站诚信库填报的信息资料扫描件为准。所有资质、证书、业绩、荣誉等原件以投标截止时间前填报上传企业诚信库信息为准，过期更改的诚信库信息不作为本项目评审依据。开评标现场不接受诚信库信息原件。诚信库上传信息必须内容齐全，真实有效，原件扫描件清晰可辨。否则，由此造成应得分而未得分或资格审查不合格等情况的，由投标企业承担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ascii="宋体" w:hAnsi="宋体" w:eastAsia="宋体" w:cs="宋体"/>
              </w:rPr>
            </w:pPr>
            <w:r>
              <w:rPr>
                <w:rFonts w:hint="eastAsia" w:ascii="宋体" w:hAnsi="宋体" w:eastAsia="宋体" w:cs="宋体"/>
              </w:rPr>
              <w:t>条款号</w:t>
            </w:r>
          </w:p>
        </w:tc>
        <w:tc>
          <w:tcPr>
            <w:tcW w:w="2204" w:type="dxa"/>
            <w:gridSpan w:val="3"/>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ascii="宋体" w:hAnsi="宋体" w:eastAsia="宋体" w:cs="宋体"/>
              </w:rPr>
            </w:pPr>
            <w:r>
              <w:rPr>
                <w:rFonts w:hint="eastAsia" w:ascii="宋体" w:hAnsi="宋体" w:eastAsia="宋体" w:cs="宋体"/>
              </w:rPr>
              <w:t>综合因素</w:t>
            </w:r>
          </w:p>
          <w:p>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ascii="宋体" w:hAnsi="宋体" w:eastAsia="宋体" w:cs="宋体"/>
              </w:rPr>
            </w:pPr>
            <w:r>
              <w:rPr>
                <w:rFonts w:hint="eastAsia" w:ascii="宋体" w:hAnsi="宋体" w:eastAsia="宋体" w:cs="宋体"/>
              </w:rPr>
              <w:t>条款内容</w:t>
            </w:r>
          </w:p>
        </w:tc>
        <w:tc>
          <w:tcPr>
            <w:tcW w:w="6470" w:type="dxa"/>
            <w:gridSpan w:val="2"/>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ascii="宋体" w:hAnsi="宋体" w:eastAsia="宋体" w:cs="宋体"/>
              </w:rPr>
            </w:pPr>
            <w:r>
              <w:rPr>
                <w:rFonts w:hint="eastAsia" w:ascii="宋体" w:hAnsi="宋体" w:eastAsia="宋体" w:cs="宋体"/>
              </w:rPr>
              <w:t>综合因素编列内容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9415" w:type="dxa"/>
            <w:gridSpan w:val="6"/>
          </w:tcPr>
          <w:p>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default" w:ascii="宋体" w:hAnsi="宋体" w:eastAsia="宋体" w:cs="宋体"/>
                <w:lang w:val="en-US" w:eastAsia="zh-CN"/>
              </w:rPr>
            </w:pPr>
            <w:r>
              <w:rPr>
                <w:rFonts w:hint="eastAsia" w:ascii="宋体" w:hAnsi="宋体" w:eastAsia="宋体" w:cs="宋体"/>
                <w:b/>
                <w:bCs/>
              </w:rPr>
              <w:t>2.2 详细评审（综合计分法分值构成与评分标准）：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9415" w:type="dxa"/>
            <w:gridSpan w:val="6"/>
          </w:tcPr>
          <w:p>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b/>
                <w:bCs/>
                <w:lang w:val="en-US" w:eastAsia="zh-CN"/>
              </w:rPr>
            </w:pPr>
            <w:r>
              <w:rPr>
                <w:rFonts w:hint="eastAsia" w:ascii="宋体" w:hAnsi="宋体" w:eastAsia="宋体" w:cs="宋体"/>
                <w:b/>
                <w:bCs/>
                <w:lang w:val="en-US" w:eastAsia="zh-CN"/>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ascii="宋体" w:hAnsi="宋体" w:eastAsia="宋体" w:cs="宋体"/>
              </w:rPr>
            </w:pPr>
            <w:r>
              <w:rPr>
                <w:rFonts w:hint="eastAsia" w:ascii="宋体" w:hAnsi="宋体" w:eastAsia="宋体" w:cs="宋体"/>
              </w:rPr>
              <w:t>2.2.1</w:t>
            </w:r>
          </w:p>
        </w:tc>
        <w:tc>
          <w:tcPr>
            <w:tcW w:w="2204" w:type="dxa"/>
            <w:gridSpan w:val="3"/>
            <w:vAlign w:val="center"/>
          </w:tcPr>
          <w:p>
            <w:pPr>
              <w:pStyle w:val="46"/>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rPr>
            </w:pPr>
            <w:r>
              <w:rPr>
                <w:rFonts w:hint="eastAsia"/>
              </w:rPr>
              <w:t>分值构成</w:t>
            </w:r>
          </w:p>
          <w:p>
            <w:pPr>
              <w:pStyle w:val="46"/>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rPr>
            </w:pPr>
            <w:r>
              <w:rPr>
                <w:rFonts w:hint="eastAsia"/>
              </w:rPr>
              <w:t>(总分100分)</w:t>
            </w:r>
          </w:p>
        </w:tc>
        <w:tc>
          <w:tcPr>
            <w:tcW w:w="6470" w:type="dxa"/>
            <w:gridSpan w:val="2"/>
          </w:tcPr>
          <w:p>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lang w:val="en-US" w:eastAsia="zh-CN"/>
              </w:rPr>
            </w:pPr>
            <w:r>
              <w:rPr>
                <w:rFonts w:hint="eastAsia"/>
                <w:lang w:val="en-US" w:eastAsia="zh-CN"/>
              </w:rPr>
              <w:t xml:space="preserve">（1）投标报价：30 分 </w:t>
            </w:r>
          </w:p>
          <w:p>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lang w:val="en-US" w:eastAsia="zh-CN"/>
              </w:rPr>
            </w:pPr>
            <w:r>
              <w:rPr>
                <w:rFonts w:hint="eastAsia"/>
                <w:lang w:val="en-US" w:eastAsia="zh-CN"/>
              </w:rPr>
              <w:t xml:space="preserve">（2）技术标部分：15分 </w:t>
            </w:r>
          </w:p>
          <w:p>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snapToGrid w:val="0"/>
                <w:color w:val="000000"/>
                <w:sz w:val="21"/>
                <w:szCs w:val="21"/>
                <w:lang w:val="en-US" w:eastAsia="zh-CN" w:bidi="ar-SA"/>
              </w:rPr>
            </w:pPr>
            <w:r>
              <w:rPr>
                <w:rFonts w:hint="eastAsia"/>
                <w:lang w:val="en-US" w:eastAsia="zh-CN"/>
              </w:rPr>
              <w:t>（3）商务标部分：55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ascii="宋体" w:hAnsi="宋体" w:eastAsia="宋体" w:cs="宋体"/>
              </w:rPr>
            </w:pPr>
            <w:r>
              <w:rPr>
                <w:rFonts w:hint="eastAsia" w:ascii="宋体" w:hAnsi="宋体" w:eastAsia="宋体" w:cs="宋体"/>
              </w:rPr>
              <w:t>2.2.2</w:t>
            </w:r>
          </w:p>
        </w:tc>
        <w:tc>
          <w:tcPr>
            <w:tcW w:w="2204" w:type="dxa"/>
            <w:gridSpan w:val="3"/>
            <w:vAlign w:val="center"/>
          </w:tcPr>
          <w:p>
            <w:pPr>
              <w:pStyle w:val="46"/>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rPr>
            </w:pPr>
            <w:r>
              <w:rPr>
                <w:rFonts w:hint="eastAsia"/>
              </w:rPr>
              <w:t>评标基准价</w:t>
            </w:r>
          </w:p>
        </w:tc>
        <w:tc>
          <w:tcPr>
            <w:tcW w:w="6470" w:type="dxa"/>
            <w:gridSpan w:val="2"/>
            <w:vAlign w:val="top"/>
          </w:tcPr>
          <w:p>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snapToGrid w:val="0"/>
                <w:color w:val="000000"/>
                <w:sz w:val="21"/>
                <w:szCs w:val="21"/>
                <w:lang w:val="en-US" w:eastAsia="zh-CN" w:bidi="ar-SA"/>
              </w:rPr>
            </w:pPr>
            <w:r>
              <w:rPr>
                <w:rFonts w:hint="eastAsia" w:ascii="宋体" w:hAnsi="宋体" w:eastAsia="宋体" w:cs="宋体"/>
                <w:snapToGrid w:val="0"/>
                <w:color w:val="000000"/>
                <w:sz w:val="21"/>
                <w:szCs w:val="21"/>
                <w:lang w:val="en-US" w:eastAsia="zh-CN" w:bidi="ar-SA"/>
              </w:rPr>
              <w:t>满足招标文件要求且投标价格最低的投标报价为评标基准价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eastAsia="宋体"/>
                <w:lang w:val="en-US" w:eastAsia="zh-CN"/>
              </w:rPr>
            </w:pPr>
            <w:r>
              <w:rPr>
                <w:rFonts w:hint="eastAsia" w:ascii="宋体" w:hAnsi="宋体" w:eastAsia="宋体" w:cs="宋体"/>
              </w:rPr>
              <w:t>2.2.3</w:t>
            </w:r>
          </w:p>
        </w:tc>
        <w:tc>
          <w:tcPr>
            <w:tcW w:w="1316" w:type="dxa"/>
            <w:gridSpan w:val="2"/>
            <w:vAlign w:val="center"/>
          </w:tcPr>
          <w:p>
            <w:pPr>
              <w:pStyle w:val="46"/>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rPr>
            </w:pPr>
            <w:r>
              <w:rPr>
                <w:rFonts w:hint="eastAsia"/>
              </w:rPr>
              <w:t>投标报价</w:t>
            </w:r>
          </w:p>
          <w:p>
            <w:pPr>
              <w:pStyle w:val="46"/>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rPr>
            </w:pPr>
            <w:r>
              <w:rPr>
                <w:rFonts w:hint="eastAsia"/>
              </w:rPr>
              <w:t>（30分）</w:t>
            </w:r>
          </w:p>
        </w:tc>
        <w:tc>
          <w:tcPr>
            <w:tcW w:w="7358" w:type="dxa"/>
            <w:gridSpan w:val="3"/>
          </w:tcPr>
          <w:p>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snapToGrid w:val="0"/>
                <w:color w:val="000000"/>
                <w:sz w:val="21"/>
                <w:szCs w:val="21"/>
                <w:lang w:val="en-US" w:eastAsia="zh-CN" w:bidi="ar-SA"/>
              </w:rPr>
            </w:pPr>
            <w:r>
              <w:rPr>
                <w:rFonts w:hint="eastAsia" w:ascii="宋体" w:hAnsi="宋体" w:eastAsia="宋体" w:cs="宋体"/>
                <w:snapToGrid w:val="0"/>
                <w:color w:val="000000"/>
                <w:sz w:val="21"/>
                <w:szCs w:val="21"/>
                <w:lang w:val="en-US" w:eastAsia="zh-CN" w:bidi="ar-SA"/>
              </w:rPr>
              <w:t>采用低价优先法计算，即满足招标文件要求且投标价格最低的投标报价为评标基准价，其价格分为满分。其他供应商的价格分统一按照下列公式计算：</w:t>
            </w:r>
          </w:p>
          <w:p>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snapToGrid w:val="0"/>
                <w:color w:val="000000"/>
                <w:sz w:val="21"/>
                <w:szCs w:val="21"/>
                <w:lang w:val="en-US" w:eastAsia="zh-CN" w:bidi="ar-SA"/>
              </w:rPr>
            </w:pPr>
            <w:r>
              <w:rPr>
                <w:rFonts w:hint="eastAsia" w:ascii="宋体" w:hAnsi="宋体" w:eastAsia="宋体" w:cs="宋体"/>
                <w:snapToGrid w:val="0"/>
                <w:color w:val="000000"/>
                <w:sz w:val="21"/>
                <w:szCs w:val="21"/>
                <w:lang w:val="en-US" w:eastAsia="zh-CN" w:bidi="ar-SA"/>
              </w:rPr>
              <w:t>投标报价得分=（评标基准价/投标报价）×30</w:t>
            </w:r>
          </w:p>
          <w:p>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snapToGrid w:val="0"/>
                <w:color w:val="000000"/>
                <w:sz w:val="21"/>
                <w:szCs w:val="21"/>
                <w:lang w:val="en-US" w:eastAsia="zh-CN" w:bidi="ar-SA"/>
              </w:rPr>
            </w:pPr>
            <w:r>
              <w:rPr>
                <w:rFonts w:hint="eastAsia" w:ascii="宋体" w:hAnsi="宋体" w:eastAsia="宋体" w:cs="宋体"/>
                <w:snapToGrid w:val="0"/>
                <w:color w:val="000000"/>
                <w:sz w:val="21"/>
                <w:szCs w:val="21"/>
                <w:lang w:val="en-US" w:eastAsia="zh-CN" w:bidi="ar-SA"/>
              </w:rPr>
              <w:t>价格优惠说明：</w:t>
            </w:r>
          </w:p>
          <w:p>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snapToGrid w:val="0"/>
                <w:color w:val="000000"/>
                <w:sz w:val="21"/>
                <w:szCs w:val="21"/>
                <w:lang w:val="en-US" w:eastAsia="zh-CN" w:bidi="ar-SA"/>
              </w:rPr>
            </w:pPr>
            <w:r>
              <w:rPr>
                <w:rFonts w:hint="eastAsia" w:ascii="宋体" w:hAnsi="宋体" w:eastAsia="宋体" w:cs="宋体"/>
                <w:snapToGrid w:val="0"/>
                <w:color w:val="000000"/>
                <w:sz w:val="21"/>
                <w:szCs w:val="21"/>
                <w:lang w:val="en-US" w:eastAsia="zh-CN" w:bidi="ar-SA"/>
              </w:rPr>
              <w:t>1、为贯彻落实《政府采购促进中小企业发展管理办法》财库〔2020〕46号，本项目鼓励中小企业参与，中小型企业须提交《中小企业声明函》原件（声明函格式详见附件）。</w:t>
            </w:r>
          </w:p>
          <w:p>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snapToGrid w:val="0"/>
                <w:color w:val="000000"/>
                <w:sz w:val="21"/>
                <w:szCs w:val="21"/>
                <w:lang w:val="en-US" w:eastAsia="zh-CN" w:bidi="ar-SA"/>
              </w:rPr>
            </w:pPr>
            <w:r>
              <w:rPr>
                <w:rFonts w:hint="eastAsia" w:ascii="宋体" w:hAnsi="宋体" w:eastAsia="宋体" w:cs="宋体"/>
                <w:snapToGrid w:val="0"/>
                <w:color w:val="000000"/>
                <w:sz w:val="21"/>
                <w:szCs w:val="21"/>
                <w:lang w:val="en-US" w:eastAsia="zh-CN" w:bidi="ar-SA"/>
              </w:rPr>
              <w:t>2、中小企业划型标准以工信部联企业〔2011〕300 号《工业和信息化部国家统计局国家发展和改革委财政部关于印发中小企业划型标准规定的通知》及《政府采购促进中小企业发展管理办法》财库〔2020〕46号为依据。</w:t>
            </w:r>
          </w:p>
          <w:p>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snapToGrid w:val="0"/>
                <w:color w:val="000000"/>
                <w:sz w:val="21"/>
                <w:szCs w:val="21"/>
                <w:lang w:val="en-US" w:eastAsia="zh-CN" w:bidi="ar-SA"/>
              </w:rPr>
            </w:pPr>
            <w:r>
              <w:rPr>
                <w:rFonts w:hint="eastAsia" w:ascii="宋体" w:hAnsi="宋体" w:eastAsia="宋体" w:cs="宋体"/>
                <w:snapToGrid w:val="0"/>
                <w:color w:val="000000"/>
                <w:sz w:val="21"/>
                <w:szCs w:val="21"/>
                <w:lang w:val="en-US" w:eastAsia="zh-CN" w:bidi="ar-SA"/>
              </w:rPr>
              <w:t>3、评审时给予小型和微型企业20%的价格扣除，用扣除后的价格参与评审。即小微型企业优惠后报价=投标报价*（1-20%）。</w:t>
            </w:r>
          </w:p>
          <w:p>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snapToGrid w:val="0"/>
                <w:color w:val="000000"/>
                <w:sz w:val="21"/>
                <w:szCs w:val="21"/>
                <w:lang w:val="en-US" w:eastAsia="zh-CN" w:bidi="ar-SA"/>
              </w:rPr>
            </w:pPr>
            <w:r>
              <w:rPr>
                <w:rFonts w:hint="eastAsia" w:ascii="宋体" w:hAnsi="宋体" w:eastAsia="宋体" w:cs="宋体"/>
                <w:snapToGrid w:val="0"/>
                <w:color w:val="000000"/>
                <w:sz w:val="21"/>
                <w:szCs w:val="21"/>
                <w:lang w:val="en-US" w:eastAsia="zh-CN" w:bidi="ar-SA"/>
              </w:rPr>
              <w:t>4、监狱企业及残疾人福利性单位视同小微企业。</w:t>
            </w:r>
          </w:p>
          <w:p>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snapToGrid w:val="0"/>
                <w:color w:val="000000"/>
                <w:sz w:val="21"/>
                <w:szCs w:val="21"/>
                <w:lang w:val="en-US" w:eastAsia="zh-CN" w:bidi="ar-SA"/>
              </w:rPr>
            </w:pPr>
            <w:r>
              <w:rPr>
                <w:rFonts w:hint="eastAsia" w:ascii="宋体" w:hAnsi="宋体" w:eastAsia="宋体" w:cs="宋体"/>
                <w:snapToGrid w:val="0"/>
                <w:color w:val="000000"/>
                <w:sz w:val="21"/>
                <w:szCs w:val="21"/>
                <w:lang w:val="en-US" w:eastAsia="zh-CN" w:bidi="ar-SA"/>
              </w:rPr>
              <w:t>没有提供有效材料的投标人将被视为不接受投标总价的扣除，用原投标总价参与评审。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741" w:type="dxa"/>
            <w:vAlign w:val="center"/>
          </w:tcPr>
          <w:p>
            <w:pPr>
              <w:pStyle w:val="10"/>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spacing w:val="0"/>
                <w:w w:val="100"/>
                <w:sz w:val="21"/>
                <w:szCs w:val="21"/>
              </w:rPr>
            </w:pPr>
            <w:r>
              <w:rPr>
                <w:rFonts w:hint="eastAsia" w:ascii="宋体" w:hAnsi="宋体" w:eastAsia="宋体" w:cs="宋体"/>
                <w:spacing w:val="0"/>
                <w:w w:val="100"/>
                <w:sz w:val="21"/>
                <w:szCs w:val="21"/>
                <w:lang w:val="en-US" w:eastAsia="zh-CN"/>
              </w:rPr>
              <w:t>2.2.</w:t>
            </w:r>
            <w:r>
              <w:rPr>
                <w:rFonts w:hint="eastAsia" w:cs="宋体"/>
                <w:spacing w:val="0"/>
                <w:w w:val="100"/>
                <w:sz w:val="21"/>
                <w:szCs w:val="21"/>
                <w:lang w:val="en-US" w:eastAsia="zh-CN"/>
              </w:rPr>
              <w:t>4</w:t>
            </w:r>
          </w:p>
        </w:tc>
        <w:tc>
          <w:tcPr>
            <w:tcW w:w="1316" w:type="dxa"/>
            <w:gridSpan w:val="2"/>
            <w:vAlign w:val="center"/>
          </w:tcPr>
          <w:p>
            <w:pPr>
              <w:pStyle w:val="46"/>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技术标</w:t>
            </w:r>
          </w:p>
          <w:p>
            <w:pPr>
              <w:pStyle w:val="46"/>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w:t>
            </w:r>
            <w:r>
              <w:rPr>
                <w:rFonts w:hint="eastAsia" w:cs="宋体"/>
                <w:spacing w:val="0"/>
                <w:sz w:val="21"/>
                <w:szCs w:val="21"/>
                <w:lang w:val="en-US" w:eastAsia="zh-CN"/>
              </w:rPr>
              <w:t>15</w:t>
            </w:r>
            <w:r>
              <w:rPr>
                <w:rFonts w:hint="eastAsia" w:ascii="宋体" w:hAnsi="宋体" w:eastAsia="宋体" w:cs="宋体"/>
                <w:spacing w:val="0"/>
                <w:sz w:val="21"/>
                <w:szCs w:val="21"/>
              </w:rPr>
              <w:t>分）</w:t>
            </w:r>
          </w:p>
        </w:tc>
        <w:tc>
          <w:tcPr>
            <w:tcW w:w="1306" w:type="dxa"/>
            <w:gridSpan w:val="2"/>
            <w:vAlign w:val="center"/>
          </w:tcPr>
          <w:p>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产品性能及指标</w:t>
            </w:r>
          </w:p>
          <w:p>
            <w:pPr>
              <w:keepNext w:val="0"/>
              <w:keepLines w:val="0"/>
              <w:widowControl/>
              <w:suppressLineNumbers w:val="0"/>
              <w:jc w:val="center"/>
              <w:rPr>
                <w:rFonts w:hint="eastAsia" w:ascii="宋体" w:hAnsi="宋体" w:eastAsia="宋体" w:cs="宋体"/>
                <w:spacing w:val="0"/>
                <w:sz w:val="21"/>
                <w:szCs w:val="21"/>
                <w:lang w:eastAsia="zh-CN"/>
              </w:rPr>
            </w:pPr>
            <w:r>
              <w:rPr>
                <w:rFonts w:hint="eastAsia" w:ascii="宋体" w:hAnsi="宋体" w:eastAsia="宋体" w:cs="宋体"/>
                <w:color w:val="000000"/>
                <w:kern w:val="0"/>
                <w:sz w:val="21"/>
                <w:szCs w:val="21"/>
                <w:lang w:val="en-US" w:eastAsia="zh-CN" w:bidi="ar"/>
              </w:rPr>
              <w:t>（15分）</w:t>
            </w:r>
          </w:p>
        </w:tc>
        <w:tc>
          <w:tcPr>
            <w:tcW w:w="6052" w:type="dxa"/>
            <w:vAlign w:val="top"/>
          </w:tcPr>
          <w:p>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spacing w:val="0"/>
                <w:sz w:val="21"/>
                <w:szCs w:val="21"/>
                <w:lang w:val="en-US" w:eastAsia="zh-CN"/>
              </w:rPr>
            </w:pPr>
            <w:r>
              <w:rPr>
                <w:rFonts w:hint="eastAsia" w:ascii="宋体" w:hAnsi="宋体" w:eastAsia="宋体" w:cs="宋体"/>
                <w:snapToGrid w:val="0"/>
                <w:color w:val="000000"/>
                <w:sz w:val="21"/>
                <w:szCs w:val="21"/>
                <w:lang w:val="en-US" w:eastAsia="zh-CN" w:bidi="ar-SA"/>
              </w:rPr>
              <w:t>供应商提供的产品技术参数及要求符合招标文件技术参数要求，全部满足得基础分 15 分。</w:t>
            </w:r>
            <w:r>
              <w:rPr>
                <w:rFonts w:hint="eastAsia" w:ascii="宋体" w:hAnsi="宋体" w:eastAsia="宋体" w:cs="宋体"/>
                <w:snapToGrid w:val="0"/>
                <w:color w:val="000000"/>
                <w:sz w:val="21"/>
                <w:szCs w:val="21"/>
                <w:lang w:val="en-US" w:eastAsia="zh-CN" w:bidi="ar-SA"/>
              </w:rPr>
              <w:sym w:font="Wingdings 2" w:char="F0EA"/>
            </w:r>
            <w:r>
              <w:rPr>
                <w:rFonts w:hint="eastAsia" w:ascii="宋体" w:hAnsi="宋体" w:eastAsia="宋体" w:cs="宋体"/>
                <w:snapToGrid w:val="0"/>
                <w:color w:val="000000"/>
                <w:sz w:val="21"/>
                <w:szCs w:val="21"/>
                <w:lang w:val="en-US" w:eastAsia="zh-CN" w:bidi="ar-SA"/>
              </w:rPr>
              <w:t>项为重要技术指标，每有一项负偏离扣3分，其他技术参数每有一项负偏离扣 1 分，扣完为止。正偏离不加分。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1" w:type="dxa"/>
            <w:vMerge w:val="restart"/>
            <w:vAlign w:val="center"/>
          </w:tcPr>
          <w:p>
            <w:pPr>
              <w:pStyle w:val="10"/>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default" w:ascii="宋体" w:hAnsi="宋体" w:eastAsia="宋体" w:cs="宋体"/>
                <w:spacing w:val="0"/>
                <w:w w:val="100"/>
                <w:sz w:val="21"/>
                <w:szCs w:val="21"/>
                <w:lang w:val="en-US"/>
              </w:rPr>
            </w:pPr>
            <w:r>
              <w:rPr>
                <w:rFonts w:hint="eastAsia" w:ascii="宋体" w:hAnsi="宋体" w:eastAsia="宋体" w:cs="宋体"/>
                <w:spacing w:val="0"/>
                <w:w w:val="100"/>
                <w:sz w:val="21"/>
                <w:szCs w:val="21"/>
                <w:lang w:val="en-US" w:eastAsia="zh-CN"/>
              </w:rPr>
              <w:t>2.2.</w:t>
            </w:r>
            <w:r>
              <w:rPr>
                <w:rFonts w:hint="eastAsia" w:cs="宋体"/>
                <w:spacing w:val="0"/>
                <w:w w:val="100"/>
                <w:sz w:val="21"/>
                <w:szCs w:val="21"/>
                <w:lang w:val="en-US" w:eastAsia="zh-CN"/>
              </w:rPr>
              <w:t>5</w:t>
            </w:r>
          </w:p>
        </w:tc>
        <w:tc>
          <w:tcPr>
            <w:tcW w:w="1316" w:type="dxa"/>
            <w:gridSpan w:val="2"/>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0" w:firstLine="0" w:firstLineChars="0"/>
              <w:jc w:val="center"/>
              <w:textAlignment w:val="auto"/>
              <w:rPr>
                <w:rFonts w:hint="eastAsia" w:ascii="宋体" w:hAnsi="宋体" w:eastAsia="宋体" w:cs="宋体"/>
                <w:b w:val="0"/>
                <w:bCs/>
                <w:spacing w:val="0"/>
                <w:sz w:val="21"/>
                <w:szCs w:val="21"/>
              </w:rPr>
            </w:pPr>
            <w:r>
              <w:rPr>
                <w:rFonts w:hint="eastAsia" w:ascii="宋体" w:hAnsi="宋体" w:eastAsia="宋体" w:cs="宋体"/>
                <w:b w:val="0"/>
                <w:bCs/>
                <w:spacing w:val="0"/>
                <w:sz w:val="21"/>
                <w:szCs w:val="21"/>
                <w:lang w:val="en-US" w:eastAsia="zh-CN"/>
              </w:rPr>
              <w:t>商务标</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0" w:firstLine="0" w:firstLineChars="0"/>
              <w:jc w:val="center"/>
              <w:textAlignment w:val="auto"/>
              <w:rPr>
                <w:rFonts w:hint="eastAsia" w:ascii="宋体" w:hAnsi="宋体" w:eastAsia="宋体" w:cs="宋体"/>
                <w:spacing w:val="0"/>
                <w:sz w:val="21"/>
                <w:szCs w:val="21"/>
              </w:rPr>
            </w:pPr>
            <w:r>
              <w:rPr>
                <w:rFonts w:hint="eastAsia" w:ascii="宋体" w:hAnsi="宋体" w:eastAsia="宋体" w:cs="宋体"/>
                <w:b w:val="0"/>
                <w:bCs/>
                <w:spacing w:val="0"/>
                <w:sz w:val="21"/>
                <w:szCs w:val="21"/>
                <w:lang w:val="en-US" w:eastAsia="zh-CN"/>
              </w:rPr>
              <w:t>（55分）</w:t>
            </w:r>
          </w:p>
        </w:tc>
        <w:tc>
          <w:tcPr>
            <w:tcW w:w="1306"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0" w:firstLine="0" w:firstLineChars="0"/>
              <w:jc w:val="center"/>
              <w:textAlignment w:val="auto"/>
              <w:rPr>
                <w:rFonts w:hint="eastAsia" w:ascii="宋体" w:hAnsi="宋体" w:eastAsia="宋体" w:cs="宋体"/>
                <w:b w:val="0"/>
                <w:bCs/>
                <w:spacing w:val="0"/>
                <w:sz w:val="21"/>
                <w:szCs w:val="21"/>
              </w:rPr>
            </w:pPr>
            <w:r>
              <w:rPr>
                <w:rFonts w:hint="eastAsia" w:ascii="宋体" w:hAnsi="宋体" w:eastAsia="宋体" w:cs="宋体"/>
                <w:b w:val="0"/>
                <w:bCs/>
                <w:color w:val="000000"/>
                <w:spacing w:val="0"/>
                <w:kern w:val="0"/>
                <w:sz w:val="21"/>
                <w:szCs w:val="21"/>
                <w:lang w:val="en-US" w:eastAsia="zh-CN" w:bidi="ar"/>
              </w:rPr>
              <w:t>企业业绩</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0" w:leftChars="0" w:firstLine="0" w:firstLineChars="0"/>
              <w:jc w:val="center"/>
              <w:textAlignment w:val="auto"/>
              <w:rPr>
                <w:rFonts w:hint="default"/>
                <w:lang w:val="en-US" w:eastAsia="zh-CN"/>
              </w:rPr>
            </w:pPr>
            <w:r>
              <w:rPr>
                <w:rFonts w:hint="eastAsia" w:ascii="宋体" w:hAnsi="宋体" w:eastAsia="宋体" w:cs="宋体"/>
                <w:b w:val="0"/>
                <w:bCs/>
                <w:color w:val="000000"/>
                <w:spacing w:val="0"/>
                <w:kern w:val="0"/>
                <w:sz w:val="21"/>
                <w:szCs w:val="21"/>
                <w:lang w:val="en-US" w:eastAsia="zh-CN" w:bidi="ar"/>
              </w:rPr>
              <w:t>（</w:t>
            </w:r>
            <w:r>
              <w:rPr>
                <w:rFonts w:hint="eastAsia" w:ascii="宋体" w:hAnsi="宋体" w:cs="宋体"/>
                <w:b w:val="0"/>
                <w:bCs/>
                <w:color w:val="000000"/>
                <w:spacing w:val="0"/>
                <w:kern w:val="0"/>
                <w:sz w:val="21"/>
                <w:szCs w:val="21"/>
                <w:lang w:val="en-US" w:eastAsia="zh-CN" w:bidi="ar"/>
              </w:rPr>
              <w:t>4</w:t>
            </w:r>
            <w:r>
              <w:rPr>
                <w:rFonts w:hint="eastAsia" w:ascii="宋体" w:hAnsi="宋体" w:eastAsia="宋体" w:cs="宋体"/>
                <w:b w:val="0"/>
                <w:bCs/>
                <w:color w:val="000000"/>
                <w:spacing w:val="0"/>
                <w:kern w:val="0"/>
                <w:sz w:val="21"/>
                <w:szCs w:val="21"/>
                <w:lang w:val="en-US" w:eastAsia="zh-CN" w:bidi="ar"/>
              </w:rPr>
              <w:t>分）</w:t>
            </w:r>
          </w:p>
        </w:tc>
        <w:tc>
          <w:tcPr>
            <w:tcW w:w="6052" w:type="dxa"/>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0" w:leftChars="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napToGrid w:val="0"/>
                <w:color w:val="000000"/>
                <w:sz w:val="21"/>
                <w:szCs w:val="21"/>
                <w:lang w:val="en-US" w:eastAsia="zh-CN" w:bidi="ar-SA"/>
              </w:rPr>
              <w:t>提供企业（供应商或制造商）近三年（2021年1月1日至今，以签订合同日期为准）同类项目业绩，每提</w:t>
            </w:r>
            <w:r>
              <w:rPr>
                <w:rFonts w:hint="eastAsia" w:ascii="宋体" w:hAnsi="宋体" w:eastAsia="宋体" w:cs="宋体"/>
                <w:b w:val="0"/>
                <w:bCs/>
                <w:color w:val="000000"/>
                <w:spacing w:val="0"/>
                <w:kern w:val="0"/>
                <w:sz w:val="21"/>
                <w:szCs w:val="21"/>
                <w:lang w:val="en-US" w:eastAsia="zh-CN" w:bidi="ar"/>
              </w:rPr>
              <w:t>供一份加2分，最多加4分（提供合同和中标通知书）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Merge w:val="continue"/>
            <w:vAlign w:val="center"/>
          </w:tcPr>
          <w:p>
            <w:pPr>
              <w:pStyle w:val="10"/>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spacing w:val="0"/>
                <w:w w:val="100"/>
                <w:sz w:val="21"/>
                <w:szCs w:val="21"/>
              </w:rPr>
            </w:pPr>
          </w:p>
        </w:tc>
        <w:tc>
          <w:tcPr>
            <w:tcW w:w="1316" w:type="dxa"/>
            <w:gridSpan w:val="2"/>
            <w:vMerge w:val="continue"/>
            <w:vAlign w:val="center"/>
          </w:tcPr>
          <w:p>
            <w:pPr>
              <w:pStyle w:val="46"/>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spacing w:val="0"/>
                <w:sz w:val="21"/>
                <w:szCs w:val="21"/>
              </w:rPr>
            </w:pPr>
          </w:p>
        </w:tc>
        <w:tc>
          <w:tcPr>
            <w:tcW w:w="1306"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0" w:leftChars="0" w:firstLine="0" w:firstLineChars="0"/>
              <w:jc w:val="center"/>
              <w:textAlignment w:val="auto"/>
              <w:rPr>
                <w:rFonts w:hint="eastAsia" w:ascii="宋体" w:hAnsi="宋体" w:eastAsia="宋体" w:cs="宋体"/>
                <w:snapToGrid w:val="0"/>
                <w:color w:val="000000"/>
                <w:sz w:val="21"/>
                <w:szCs w:val="21"/>
                <w:lang w:val="en-US" w:eastAsia="zh-CN" w:bidi="ar-SA"/>
              </w:rPr>
            </w:pPr>
            <w:r>
              <w:rPr>
                <w:rFonts w:hint="eastAsia" w:ascii="宋体" w:hAnsi="宋体" w:eastAsia="宋体" w:cs="宋体"/>
                <w:b w:val="0"/>
                <w:bCs/>
                <w:color w:val="000000"/>
                <w:spacing w:val="0"/>
                <w:kern w:val="0"/>
                <w:sz w:val="21"/>
                <w:szCs w:val="21"/>
                <w:lang w:val="en-US" w:eastAsia="zh-CN" w:bidi="ar"/>
              </w:rPr>
              <w:t>售后服务及保证措施（16分）</w:t>
            </w:r>
          </w:p>
        </w:tc>
        <w:tc>
          <w:tcPr>
            <w:tcW w:w="6052" w:type="dxa"/>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0" w:leftChars="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评委根据供应商提供的售后服务方案打分：服务方案承诺完善、详细、与本项目的实际切合度高，可行性强的得16分；方案较科学合理、可行性较强、与项目的实际情况切合度较高的得8分；方案可行、满足项目基本实施要求的得5分；方案不合理或者缺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Merge w:val="continue"/>
            <w:vAlign w:val="center"/>
          </w:tcPr>
          <w:p>
            <w:pPr>
              <w:pStyle w:val="10"/>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spacing w:val="0"/>
                <w:w w:val="100"/>
                <w:sz w:val="21"/>
                <w:szCs w:val="21"/>
              </w:rPr>
            </w:pPr>
          </w:p>
        </w:tc>
        <w:tc>
          <w:tcPr>
            <w:tcW w:w="1316" w:type="dxa"/>
            <w:gridSpan w:val="2"/>
            <w:vMerge w:val="continue"/>
            <w:vAlign w:val="center"/>
          </w:tcPr>
          <w:p>
            <w:pPr>
              <w:pStyle w:val="46"/>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spacing w:val="0"/>
                <w:sz w:val="21"/>
                <w:szCs w:val="21"/>
              </w:rPr>
            </w:pPr>
          </w:p>
        </w:tc>
        <w:tc>
          <w:tcPr>
            <w:tcW w:w="1306"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0" w:leftChars="0" w:firstLine="0" w:firstLineChars="0"/>
              <w:jc w:val="center"/>
              <w:textAlignment w:val="auto"/>
              <w:rPr>
                <w:rFonts w:hint="eastAsia" w:ascii="宋体" w:hAnsi="宋体" w:eastAsia="宋体" w:cs="宋体"/>
                <w:b w:val="0"/>
                <w:bCs/>
                <w:color w:val="000000"/>
                <w:spacing w:val="0"/>
                <w:kern w:val="0"/>
                <w:sz w:val="21"/>
                <w:szCs w:val="21"/>
                <w:lang w:val="en-US" w:eastAsia="zh-CN" w:bidi="ar"/>
              </w:rPr>
            </w:pPr>
            <w:r>
              <w:rPr>
                <w:rFonts w:hint="eastAsia" w:ascii="宋体" w:hAnsi="宋体" w:eastAsia="宋体" w:cs="宋体"/>
                <w:b w:val="0"/>
                <w:bCs/>
                <w:color w:val="000000"/>
                <w:spacing w:val="0"/>
                <w:kern w:val="0"/>
                <w:sz w:val="21"/>
                <w:szCs w:val="21"/>
                <w:lang w:val="en-US" w:eastAsia="zh-CN" w:bidi="ar"/>
              </w:rPr>
              <w:t>进度控制及保证措施（20分）</w:t>
            </w:r>
          </w:p>
        </w:tc>
        <w:tc>
          <w:tcPr>
            <w:tcW w:w="6052" w:type="dxa"/>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0" w:leftChars="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应包含进度安排及货源组织、运输、运送人员安排及货物交货时间节点进行考核，提供供货实施方案及保障措施：内容详尽、完整、合理，充分考虑用户的实际情况，周到全面，保障措施科学合理、优于项目服务要求的得20分，内容完整，满足项目服务要求的得10分；内容不完整、缺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Merge w:val="continue"/>
            <w:vAlign w:val="center"/>
          </w:tcPr>
          <w:p>
            <w:pPr>
              <w:pStyle w:val="10"/>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spacing w:val="0"/>
                <w:w w:val="100"/>
                <w:sz w:val="21"/>
                <w:szCs w:val="21"/>
              </w:rPr>
            </w:pPr>
          </w:p>
        </w:tc>
        <w:tc>
          <w:tcPr>
            <w:tcW w:w="1316" w:type="dxa"/>
            <w:gridSpan w:val="2"/>
            <w:vMerge w:val="continue"/>
            <w:vAlign w:val="center"/>
          </w:tcPr>
          <w:p>
            <w:pPr>
              <w:pStyle w:val="46"/>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spacing w:val="0"/>
                <w:sz w:val="21"/>
                <w:szCs w:val="21"/>
              </w:rPr>
            </w:pPr>
          </w:p>
        </w:tc>
        <w:tc>
          <w:tcPr>
            <w:tcW w:w="1306"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0" w:leftChars="0" w:firstLine="0" w:firstLineChars="0"/>
              <w:jc w:val="center"/>
              <w:textAlignment w:val="auto"/>
              <w:rPr>
                <w:rFonts w:hint="eastAsia" w:ascii="宋体" w:hAnsi="宋体" w:eastAsia="宋体" w:cs="宋体"/>
                <w:b w:val="0"/>
                <w:bCs/>
                <w:color w:val="000000"/>
                <w:spacing w:val="0"/>
                <w:kern w:val="0"/>
                <w:sz w:val="21"/>
                <w:szCs w:val="21"/>
                <w:lang w:val="en-US" w:eastAsia="zh-CN" w:bidi="ar"/>
              </w:rPr>
            </w:pPr>
            <w:r>
              <w:rPr>
                <w:rFonts w:hint="eastAsia" w:ascii="宋体" w:hAnsi="宋体" w:eastAsia="宋体" w:cs="宋体"/>
                <w:b w:val="0"/>
                <w:bCs/>
                <w:color w:val="000000"/>
                <w:spacing w:val="0"/>
                <w:kern w:val="0"/>
                <w:sz w:val="21"/>
                <w:szCs w:val="21"/>
                <w:lang w:val="en-US" w:eastAsia="zh-CN" w:bidi="ar"/>
              </w:rPr>
              <w:t>产品质量保证措施（15分）</w:t>
            </w:r>
          </w:p>
        </w:tc>
        <w:tc>
          <w:tcPr>
            <w:tcW w:w="6052" w:type="dxa"/>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0" w:leftChars="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应包含质量控制的工作内容、重点和难点及相应的处理方法等；内容完整、详细、优于项目服务要求的得15分；内容完整，满足项目服务要求的得8分，内容不完整、缺项不得分。</w:t>
            </w:r>
          </w:p>
        </w:tc>
      </w:tr>
    </w:tbl>
    <w:p>
      <w:pPr>
        <w:spacing w:line="360" w:lineRule="auto"/>
        <w:jc w:val="both"/>
        <w:rPr>
          <w:rFonts w:hint="eastAsia" w:ascii="宋体" w:hAnsi="宋体" w:eastAsia="宋体" w:cs="宋体"/>
          <w:b/>
          <w:bCs/>
          <w:color w:val="0C0C0C"/>
          <w:spacing w:val="-4"/>
          <w:sz w:val="24"/>
          <w:szCs w:val="24"/>
        </w:rPr>
      </w:pPr>
    </w:p>
    <w:p>
      <w:pPr>
        <w:spacing w:line="25" w:lineRule="exact"/>
      </w:pPr>
    </w:p>
    <w:tbl>
      <w:tblPr>
        <w:tblStyle w:val="29"/>
        <w:tblpPr w:leftFromText="180" w:rightFromText="180" w:vertAnchor="text" w:tblpX="10964" w:tblpY="-1278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885" w:type="dxa"/>
          </w:tcPr>
          <w:p>
            <w:pPr>
              <w:widowControl w:val="0"/>
              <w:jc w:val="both"/>
              <w:rPr>
                <w:vertAlign w:val="baseline"/>
              </w:rPr>
            </w:pPr>
          </w:p>
        </w:tc>
      </w:tr>
    </w:tbl>
    <w:tbl>
      <w:tblPr>
        <w:tblStyle w:val="29"/>
        <w:tblpPr w:leftFromText="180" w:rightFromText="180" w:vertAnchor="text" w:tblpX="10964" w:tblpY="-1277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0"/>
        <w:gridCol w:w="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5" w:type="dxa"/>
          <w:trHeight w:val="30" w:hRule="atLeast"/>
        </w:trPr>
        <w:tc>
          <w:tcPr>
            <w:tcW w:w="1900" w:type="dxa"/>
          </w:tcPr>
          <w:p>
            <w:pPr>
              <w:widowControl w:val="0"/>
              <w:jc w:val="both"/>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 w:hRule="atLeast"/>
        </w:trPr>
        <w:tc>
          <w:tcPr>
            <w:tcW w:w="1945" w:type="dxa"/>
            <w:gridSpan w:val="2"/>
          </w:tcPr>
          <w:p>
            <w:pPr>
              <w:widowControl w:val="0"/>
              <w:jc w:val="both"/>
              <w:rPr>
                <w:vertAlign w:val="baseline"/>
              </w:rPr>
            </w:pPr>
          </w:p>
        </w:tc>
      </w:tr>
    </w:tbl>
    <w:tbl>
      <w:tblPr>
        <w:tblStyle w:val="29"/>
        <w:tblpPr w:leftFromText="180" w:rightFromText="180" w:vertAnchor="text" w:tblpX="10964" w:tblpY="-1046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3070" w:type="dxa"/>
          </w:tcPr>
          <w:p>
            <w:pPr>
              <w:widowControl w:val="0"/>
              <w:spacing w:line="25" w:lineRule="exact"/>
              <w:jc w:val="both"/>
              <w:rPr>
                <w:vertAlign w:val="baseline"/>
              </w:rPr>
            </w:pPr>
          </w:p>
        </w:tc>
      </w:tr>
    </w:tbl>
    <w:p>
      <w:pPr>
        <w:widowControl/>
        <w:spacing w:before="0" w:after="0" w:line="600" w:lineRule="exact"/>
        <w:outlineLvl w:val="9"/>
        <w:rPr>
          <w:rFonts w:hint="eastAsia" w:ascii="宋体" w:hAnsi="宋体" w:eastAsia="宋体" w:cs="宋体"/>
          <w:b/>
          <w:bCs/>
          <w:color w:val="auto"/>
          <w:sz w:val="24"/>
          <w:szCs w:val="24"/>
        </w:rPr>
      </w:pPr>
      <w:r>
        <w:rPr>
          <w:rFonts w:hint="eastAsia" w:ascii="宋体" w:hAnsi="宋体" w:eastAsia="宋体" w:cs="宋体"/>
          <w:b/>
          <w:bCs/>
          <w:color w:val="auto"/>
          <w:sz w:val="24"/>
          <w:szCs w:val="24"/>
        </w:rPr>
        <w:t>1.评标方法</w:t>
      </w:r>
    </w:p>
    <w:p>
      <w:pPr>
        <w:spacing w:line="600" w:lineRule="exact"/>
        <w:ind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lang w:bidi="ar"/>
        </w:rPr>
        <w:t>本次评标采用综合评分法。评标委员会对满足招标文件实质性要求的投标文件，按照本章规定的评分标准进行打分，并按得分由高到低顺序推荐中标候选人。综合评分相等时，以投标报价低的优先；投标报价也相等的，由招标人自行确定。</w:t>
      </w:r>
    </w:p>
    <w:p>
      <w:pPr>
        <w:widowControl/>
        <w:spacing w:before="0" w:after="0" w:line="600" w:lineRule="exact"/>
        <w:outlineLvl w:val="9"/>
        <w:rPr>
          <w:rFonts w:hint="eastAsia" w:ascii="宋体" w:hAnsi="宋体" w:eastAsia="宋体" w:cs="宋体"/>
          <w:b/>
          <w:bCs/>
          <w:color w:val="auto"/>
          <w:sz w:val="24"/>
          <w:szCs w:val="24"/>
        </w:rPr>
      </w:pPr>
      <w:bookmarkStart w:id="3" w:name="_Toc577"/>
      <w:bookmarkStart w:id="4" w:name="_Toc26936"/>
      <w:bookmarkStart w:id="5" w:name="_Toc4687_WPSOffice_Level2"/>
      <w:bookmarkStart w:id="6" w:name="_Toc32427_WPSOffice_Level2"/>
      <w:bookmarkStart w:id="7" w:name="_Toc18653_WPSOffice_Level2"/>
      <w:bookmarkStart w:id="8" w:name="_Toc22835_WPSOffice_Level2"/>
      <w:bookmarkStart w:id="9" w:name="_Toc477422629"/>
      <w:bookmarkStart w:id="10" w:name="_Toc12207_WPSOffice_Level2"/>
      <w:bookmarkStart w:id="11" w:name="_Toc12197_WPSOffice_Level2"/>
      <w:bookmarkStart w:id="12" w:name="_Toc30551"/>
      <w:bookmarkStart w:id="13" w:name="_Toc12563"/>
      <w:bookmarkStart w:id="14" w:name="_Toc477422816"/>
      <w:bookmarkStart w:id="15" w:name="_Toc6943"/>
      <w:r>
        <w:rPr>
          <w:rFonts w:hint="eastAsia" w:ascii="宋体" w:hAnsi="宋体" w:eastAsia="宋体" w:cs="宋体"/>
          <w:b/>
          <w:bCs/>
          <w:color w:val="auto"/>
          <w:sz w:val="24"/>
          <w:szCs w:val="24"/>
        </w:rPr>
        <w:t>2.评审标准</w:t>
      </w:r>
      <w:bookmarkEnd w:id="3"/>
      <w:bookmarkEnd w:id="4"/>
      <w:bookmarkEnd w:id="5"/>
      <w:bookmarkEnd w:id="6"/>
      <w:bookmarkEnd w:id="7"/>
      <w:bookmarkEnd w:id="8"/>
      <w:bookmarkEnd w:id="9"/>
      <w:bookmarkEnd w:id="10"/>
      <w:bookmarkEnd w:id="11"/>
      <w:bookmarkEnd w:id="12"/>
      <w:bookmarkEnd w:id="13"/>
      <w:bookmarkEnd w:id="14"/>
      <w:bookmarkEnd w:id="15"/>
    </w:p>
    <w:p>
      <w:pPr>
        <w:widowControl/>
        <w:spacing w:before="0" w:after="0" w:line="600" w:lineRule="exact"/>
        <w:outlineLvl w:val="9"/>
        <w:rPr>
          <w:rFonts w:hint="eastAsia" w:ascii="宋体" w:hAnsi="宋体" w:eastAsia="宋体" w:cs="宋体"/>
          <w:color w:val="auto"/>
          <w:sz w:val="24"/>
          <w:szCs w:val="24"/>
        </w:rPr>
      </w:pPr>
      <w:bookmarkStart w:id="16" w:name="_Toc3924"/>
      <w:bookmarkStart w:id="17" w:name="_Toc840"/>
      <w:r>
        <w:rPr>
          <w:rFonts w:hint="eastAsia" w:ascii="宋体" w:hAnsi="宋体" w:eastAsia="宋体" w:cs="宋体"/>
          <w:color w:val="auto"/>
          <w:sz w:val="24"/>
          <w:szCs w:val="24"/>
        </w:rPr>
        <w:t xml:space="preserve">    </w:t>
      </w:r>
      <w:bookmarkStart w:id="18" w:name="_Toc24404"/>
      <w:bookmarkStart w:id="19" w:name="_Toc477422630"/>
      <w:bookmarkStart w:id="20" w:name="_Toc25207"/>
      <w:bookmarkStart w:id="21" w:name="_Toc477422817"/>
      <w:bookmarkStart w:id="22" w:name="_Toc5146"/>
      <w:r>
        <w:rPr>
          <w:rFonts w:hint="eastAsia" w:ascii="宋体" w:hAnsi="宋体" w:eastAsia="宋体" w:cs="宋体"/>
          <w:color w:val="auto"/>
          <w:sz w:val="24"/>
          <w:szCs w:val="24"/>
        </w:rPr>
        <w:t>1）初步评审标准</w:t>
      </w:r>
      <w:bookmarkEnd w:id="16"/>
      <w:bookmarkEnd w:id="17"/>
      <w:bookmarkEnd w:id="18"/>
      <w:bookmarkEnd w:id="19"/>
      <w:bookmarkEnd w:id="20"/>
      <w:bookmarkEnd w:id="21"/>
      <w:bookmarkEnd w:id="22"/>
    </w:p>
    <w:p>
      <w:pPr>
        <w:spacing w:line="600" w:lineRule="exact"/>
        <w:ind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lang w:bidi="ar"/>
        </w:rPr>
        <w:t>（1)形式评审标准：见评标办法前附表；</w:t>
      </w:r>
    </w:p>
    <w:p>
      <w:pPr>
        <w:spacing w:line="600" w:lineRule="exact"/>
        <w:ind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lang w:bidi="ar"/>
        </w:rPr>
        <w:t>（2)资格评审标准：见评标办法前附表；</w:t>
      </w:r>
    </w:p>
    <w:p>
      <w:pPr>
        <w:spacing w:line="600" w:lineRule="exact"/>
        <w:ind w:firstLine="480" w:firstLineChars="200"/>
        <w:outlineLvl w:val="9"/>
        <w:rPr>
          <w:rFonts w:hint="eastAsia" w:ascii="宋体" w:hAnsi="宋体" w:eastAsia="宋体" w:cs="宋体"/>
          <w:color w:val="auto"/>
          <w:sz w:val="24"/>
          <w:szCs w:val="24"/>
          <w:lang w:bidi="ar"/>
        </w:rPr>
      </w:pPr>
      <w:r>
        <w:rPr>
          <w:rFonts w:hint="eastAsia" w:ascii="宋体" w:hAnsi="宋体" w:eastAsia="宋体" w:cs="宋体"/>
          <w:color w:val="auto"/>
          <w:sz w:val="24"/>
          <w:szCs w:val="24"/>
          <w:lang w:bidi="ar"/>
        </w:rPr>
        <w:t>（3)响应性评审标准：见评标办法前附表。</w:t>
      </w:r>
    </w:p>
    <w:p>
      <w:pPr>
        <w:spacing w:line="600" w:lineRule="exact"/>
        <w:ind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lang w:bidi="ar"/>
        </w:rPr>
        <w:t>（4）</w:t>
      </w:r>
      <w:r>
        <w:rPr>
          <w:rFonts w:hint="eastAsia" w:ascii="宋体" w:hAnsi="宋体" w:eastAsia="宋体" w:cs="宋体"/>
          <w:color w:val="auto"/>
          <w:sz w:val="24"/>
          <w:szCs w:val="24"/>
        </w:rPr>
        <w:t>符合下列条件的投标文件，其投标将被否决，不再进入详细的评审阶段；</w:t>
      </w:r>
    </w:p>
    <w:p>
      <w:pPr>
        <w:spacing w:line="600" w:lineRule="exact"/>
        <w:ind w:left="178" w:leftChars="85"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rPr>
        <w:t>●投标文件未按规定编写，未按要求加盖单位电子签章或法定代表人或被授权委托人签字或盖章的；</w:t>
      </w:r>
    </w:p>
    <w:p>
      <w:pPr>
        <w:spacing w:line="600" w:lineRule="exact"/>
        <w:ind w:left="178" w:leftChars="85"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rPr>
        <w:t>●投标文件无报价，报价出现负数或投标报价高于招标控制价的；</w:t>
      </w:r>
    </w:p>
    <w:p>
      <w:pPr>
        <w:spacing w:line="600" w:lineRule="exact"/>
        <w:ind w:left="178" w:leftChars="85"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rPr>
        <w:t>●投标文件无</w:t>
      </w:r>
      <w:r>
        <w:rPr>
          <w:rFonts w:hint="eastAsia" w:ascii="宋体" w:hAnsi="宋体" w:eastAsia="宋体" w:cs="宋体"/>
          <w:color w:val="auto"/>
          <w:sz w:val="24"/>
          <w:szCs w:val="24"/>
          <w:lang w:eastAsia="zh-CN"/>
        </w:rPr>
        <w:t>合同履约期限</w:t>
      </w:r>
      <w:r>
        <w:rPr>
          <w:rFonts w:hint="eastAsia" w:ascii="宋体" w:hAnsi="宋体" w:eastAsia="宋体" w:cs="宋体"/>
          <w:color w:val="auto"/>
          <w:sz w:val="24"/>
          <w:szCs w:val="24"/>
        </w:rPr>
        <w:t>或大于招标文件规定的</w:t>
      </w:r>
      <w:r>
        <w:rPr>
          <w:rFonts w:hint="eastAsia" w:ascii="宋体" w:hAnsi="宋体" w:eastAsia="宋体" w:cs="宋体"/>
          <w:color w:val="auto"/>
          <w:sz w:val="24"/>
          <w:szCs w:val="24"/>
          <w:lang w:eastAsia="zh-CN"/>
        </w:rPr>
        <w:t>合同履约期限</w:t>
      </w:r>
      <w:r>
        <w:rPr>
          <w:rFonts w:hint="eastAsia" w:ascii="宋体" w:hAnsi="宋体" w:eastAsia="宋体" w:cs="宋体"/>
          <w:color w:val="auto"/>
          <w:sz w:val="24"/>
          <w:szCs w:val="24"/>
        </w:rPr>
        <w:t>；</w:t>
      </w:r>
    </w:p>
    <w:p>
      <w:pPr>
        <w:spacing w:line="600" w:lineRule="exact"/>
        <w:ind w:left="178" w:leftChars="85"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rPr>
        <w:t>●投标文件附有采购人不能接受的条件的；</w:t>
      </w:r>
    </w:p>
    <w:p>
      <w:pPr>
        <w:spacing w:line="600" w:lineRule="exact"/>
        <w:ind w:left="178" w:leftChars="85"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rPr>
        <w:t>●有关法律、法规规章规定的其他情况。</w:t>
      </w:r>
    </w:p>
    <w:p>
      <w:pPr>
        <w:widowControl/>
        <w:spacing w:before="0" w:after="0" w:line="600" w:lineRule="exact"/>
        <w:outlineLvl w:val="9"/>
        <w:rPr>
          <w:rFonts w:hint="eastAsia" w:ascii="宋体" w:hAnsi="宋体" w:eastAsia="宋体" w:cs="宋体"/>
          <w:color w:val="auto"/>
          <w:sz w:val="24"/>
          <w:szCs w:val="24"/>
        </w:rPr>
      </w:pPr>
      <w:bookmarkStart w:id="23" w:name="_Toc27677"/>
      <w:bookmarkStart w:id="24" w:name="_Toc25490"/>
      <w:r>
        <w:rPr>
          <w:rFonts w:hint="eastAsia" w:ascii="宋体" w:hAnsi="宋体" w:eastAsia="宋体" w:cs="宋体"/>
          <w:color w:val="auto"/>
          <w:sz w:val="24"/>
          <w:szCs w:val="24"/>
        </w:rPr>
        <w:t xml:space="preserve">    </w:t>
      </w:r>
      <w:bookmarkStart w:id="25" w:name="_Toc11835"/>
      <w:bookmarkStart w:id="26" w:name="_Toc477422631"/>
      <w:bookmarkStart w:id="27" w:name="_Toc477422818"/>
      <w:bookmarkStart w:id="28" w:name="_Toc564"/>
      <w:bookmarkStart w:id="29" w:name="_Toc26256"/>
      <w:r>
        <w:rPr>
          <w:rFonts w:hint="eastAsia" w:ascii="宋体" w:hAnsi="宋体" w:eastAsia="宋体" w:cs="宋体"/>
          <w:color w:val="auto"/>
          <w:sz w:val="24"/>
          <w:szCs w:val="24"/>
        </w:rPr>
        <w:t>2）分值构成与评分标准</w:t>
      </w:r>
      <w:bookmarkEnd w:id="23"/>
      <w:bookmarkEnd w:id="24"/>
      <w:bookmarkEnd w:id="25"/>
      <w:bookmarkEnd w:id="26"/>
      <w:bookmarkEnd w:id="27"/>
      <w:bookmarkEnd w:id="28"/>
      <w:bookmarkEnd w:id="29"/>
    </w:p>
    <w:p>
      <w:pPr>
        <w:spacing w:line="600" w:lineRule="exact"/>
        <w:ind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lang w:bidi="ar"/>
        </w:rPr>
        <w:t>（1)分值构成</w:t>
      </w:r>
    </w:p>
    <w:p>
      <w:pPr>
        <w:spacing w:line="600" w:lineRule="exact"/>
        <w:ind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lang w:bidi="ar"/>
        </w:rPr>
        <w:t xml:space="preserve"> a投标报价：见评标办法前附表；</w:t>
      </w:r>
    </w:p>
    <w:p>
      <w:pPr>
        <w:spacing w:line="600" w:lineRule="exact"/>
        <w:ind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lang w:bidi="ar"/>
        </w:rPr>
        <w:t xml:space="preserve"> b商务标：见评标办法前附表；</w:t>
      </w:r>
    </w:p>
    <w:p>
      <w:pPr>
        <w:spacing w:line="600" w:lineRule="exact"/>
        <w:ind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lang w:bidi="ar"/>
        </w:rPr>
        <w:t xml:space="preserve"> c技术标：见评标办法前附表。</w:t>
      </w:r>
    </w:p>
    <w:p>
      <w:pPr>
        <w:spacing w:line="600" w:lineRule="exact"/>
        <w:ind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lang w:bidi="ar"/>
        </w:rPr>
        <w:t>（2)评标基准价计算</w:t>
      </w:r>
    </w:p>
    <w:p>
      <w:pPr>
        <w:spacing w:line="600" w:lineRule="exact"/>
        <w:ind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lang w:bidi="ar"/>
        </w:rPr>
        <w:t xml:space="preserve"> a评标基准价计算方法：见评标办法前附表；</w:t>
      </w:r>
    </w:p>
    <w:p>
      <w:pPr>
        <w:spacing w:line="600" w:lineRule="exact"/>
        <w:ind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lang w:bidi="ar"/>
        </w:rPr>
        <w:t xml:space="preserve"> b投标报价评审方法：见评标办法前附表。</w:t>
      </w:r>
    </w:p>
    <w:p>
      <w:pPr>
        <w:spacing w:line="600" w:lineRule="exact"/>
        <w:ind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lang w:bidi="ar"/>
        </w:rPr>
        <w:t>（3)评分标准</w:t>
      </w:r>
    </w:p>
    <w:p>
      <w:pPr>
        <w:spacing w:line="600" w:lineRule="exact"/>
        <w:ind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lang w:bidi="ar"/>
        </w:rPr>
        <w:t xml:space="preserve"> a投标报价评分标准：见评标办法前附表；</w:t>
      </w:r>
    </w:p>
    <w:p>
      <w:pPr>
        <w:spacing w:line="600" w:lineRule="exact"/>
        <w:ind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lang w:bidi="ar"/>
        </w:rPr>
        <w:t xml:space="preserve"> b商务标评分标准：见评标办法前附表；</w:t>
      </w:r>
    </w:p>
    <w:p>
      <w:pPr>
        <w:spacing w:line="600" w:lineRule="exact"/>
        <w:ind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lang w:bidi="ar"/>
        </w:rPr>
        <w:t xml:space="preserve"> c技术标评分标准：见评标办法前附表。</w:t>
      </w:r>
    </w:p>
    <w:p>
      <w:pPr>
        <w:spacing w:line="600" w:lineRule="exact"/>
        <w:ind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lang w:bidi="ar"/>
        </w:rPr>
        <w:t>（4）最终得分的确定</w:t>
      </w:r>
    </w:p>
    <w:p>
      <w:pPr>
        <w:spacing w:line="600" w:lineRule="exact"/>
        <w:ind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lang w:bidi="ar"/>
        </w:rPr>
        <w:t>a投标人最终得分=投标报价部分得分+商务标部分得分+技术标部分得分；</w:t>
      </w:r>
    </w:p>
    <w:p>
      <w:pPr>
        <w:spacing w:line="600" w:lineRule="exact"/>
        <w:ind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lang w:bidi="ar"/>
        </w:rPr>
        <w:t>b评标委员会完成对投标报价、商务标和技术标的汇总后，取平均值作为该投标人的最终得分；</w:t>
      </w:r>
    </w:p>
    <w:p>
      <w:pPr>
        <w:spacing w:line="600" w:lineRule="exact"/>
        <w:ind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lang w:bidi="ar"/>
        </w:rPr>
        <w:t>c最终得分计算分值保留两位小数。</w:t>
      </w:r>
    </w:p>
    <w:p>
      <w:pPr>
        <w:widowControl/>
        <w:spacing w:before="0" w:after="0" w:line="600" w:lineRule="exact"/>
        <w:outlineLvl w:val="9"/>
        <w:rPr>
          <w:rFonts w:hint="eastAsia" w:ascii="宋体" w:hAnsi="宋体" w:eastAsia="宋体" w:cs="宋体"/>
          <w:color w:val="auto"/>
          <w:sz w:val="24"/>
          <w:szCs w:val="24"/>
        </w:rPr>
      </w:pPr>
      <w:bookmarkStart w:id="30" w:name="_Toc29002"/>
      <w:bookmarkStart w:id="31" w:name="_Toc22390"/>
      <w:bookmarkStart w:id="32" w:name="_Toc7042_WPSOffice_Level2"/>
      <w:bookmarkStart w:id="33" w:name="_Toc30927_WPSOffice_Level2"/>
      <w:bookmarkStart w:id="34" w:name="_Toc477422632"/>
      <w:bookmarkStart w:id="35" w:name="_Toc21125"/>
      <w:bookmarkStart w:id="36" w:name="_Toc477422819"/>
      <w:bookmarkStart w:id="37" w:name="_Toc15252"/>
      <w:bookmarkStart w:id="38" w:name="_Toc20979_WPSOffice_Level2"/>
      <w:bookmarkStart w:id="39" w:name="_Toc13498_WPSOffice_Level2"/>
      <w:bookmarkStart w:id="40" w:name="_Toc24745"/>
      <w:bookmarkStart w:id="41" w:name="_Toc22286_WPSOffice_Level2"/>
      <w:bookmarkStart w:id="42" w:name="_Toc24226_WPSOffice_Level2"/>
      <w:r>
        <w:rPr>
          <w:rFonts w:hint="eastAsia" w:ascii="宋体" w:hAnsi="宋体" w:eastAsia="宋体" w:cs="宋体"/>
          <w:color w:val="auto"/>
          <w:sz w:val="24"/>
          <w:szCs w:val="24"/>
        </w:rPr>
        <w:t>3投标文件的澄清和补正</w:t>
      </w:r>
      <w:bookmarkEnd w:id="30"/>
      <w:bookmarkEnd w:id="31"/>
      <w:bookmarkEnd w:id="32"/>
      <w:bookmarkEnd w:id="33"/>
      <w:bookmarkEnd w:id="34"/>
      <w:bookmarkEnd w:id="35"/>
      <w:bookmarkEnd w:id="36"/>
      <w:bookmarkEnd w:id="37"/>
      <w:bookmarkEnd w:id="38"/>
      <w:bookmarkEnd w:id="39"/>
      <w:bookmarkEnd w:id="40"/>
      <w:bookmarkEnd w:id="41"/>
      <w:bookmarkEnd w:id="42"/>
    </w:p>
    <w:p>
      <w:pPr>
        <w:spacing w:line="600" w:lineRule="exact"/>
        <w:ind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lang w:bidi="ar"/>
        </w:rPr>
        <w:t>1) 在评标过程中，评标委员会可以书面形式要求投标人对所提交投标文件中不明确的内容进行书面澄清或说明，或者对细微偏差进行补正。评标委员会不接受投标人主动提出的澄清、说明或补正；</w:t>
      </w:r>
    </w:p>
    <w:p>
      <w:pPr>
        <w:spacing w:line="600" w:lineRule="exact"/>
        <w:ind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lang w:bidi="ar"/>
        </w:rPr>
        <w:t>2）澄清、说明和补正不得改变投标文件的实质性内容（算术性错误修正的除外）。投标人的书面澄清、说明和补正属于投标文件的组成部分；</w:t>
      </w:r>
    </w:p>
    <w:p>
      <w:pPr>
        <w:spacing w:line="600" w:lineRule="exact"/>
        <w:ind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lang w:bidi="ar"/>
        </w:rPr>
        <w:t xml:space="preserve">3）评标委员会对投标人提交的澄清、说明或补正有疑问的，可以要求投标人进一步澄清、说明或补正，直至满足评标委员会的要求。 </w:t>
      </w:r>
    </w:p>
    <w:p>
      <w:pPr>
        <w:spacing w:line="600" w:lineRule="exact"/>
        <w:outlineLvl w:val="9"/>
        <w:rPr>
          <w:rFonts w:hint="eastAsia" w:ascii="宋体" w:hAnsi="宋体" w:eastAsia="宋体" w:cs="宋体"/>
          <w:b/>
          <w:bCs/>
          <w:color w:val="auto"/>
          <w:sz w:val="24"/>
          <w:szCs w:val="24"/>
          <w:lang w:bidi="ar"/>
        </w:rPr>
      </w:pPr>
      <w:bookmarkStart w:id="43" w:name="_Toc24590"/>
      <w:r>
        <w:rPr>
          <w:rFonts w:hint="eastAsia" w:ascii="宋体" w:hAnsi="宋体" w:eastAsia="宋体" w:cs="宋体"/>
          <w:b/>
          <w:bCs/>
          <w:color w:val="auto"/>
          <w:sz w:val="24"/>
          <w:szCs w:val="24"/>
          <w:lang w:bidi="ar"/>
        </w:rPr>
        <w:t>七、授予合同</w:t>
      </w:r>
      <w:bookmarkEnd w:id="43"/>
    </w:p>
    <w:p>
      <w:pPr>
        <w:spacing w:line="600" w:lineRule="exact"/>
        <w:ind w:firstLine="567"/>
        <w:outlineLvl w:val="9"/>
        <w:rPr>
          <w:rFonts w:hint="eastAsia" w:ascii="宋体" w:hAnsi="宋体" w:eastAsia="宋体" w:cs="宋体"/>
          <w:b/>
          <w:color w:val="auto"/>
          <w:sz w:val="24"/>
          <w:szCs w:val="24"/>
        </w:rPr>
      </w:pPr>
      <w:bookmarkStart w:id="44" w:name="_Toc30490"/>
      <w:r>
        <w:rPr>
          <w:rFonts w:hint="eastAsia" w:ascii="宋体" w:hAnsi="宋体" w:eastAsia="宋体" w:cs="宋体"/>
          <w:b/>
          <w:color w:val="auto"/>
          <w:sz w:val="24"/>
          <w:szCs w:val="24"/>
        </w:rPr>
        <w:t>7.1 定标</w:t>
      </w:r>
      <w:bookmarkEnd w:id="44"/>
    </w:p>
    <w:p>
      <w:pPr>
        <w:spacing w:line="600" w:lineRule="exact"/>
        <w:ind w:firstLine="633" w:firstLineChars="264"/>
        <w:outlineLvl w:val="9"/>
        <w:rPr>
          <w:rFonts w:hint="eastAsia" w:ascii="宋体" w:hAnsi="宋体" w:eastAsia="宋体" w:cs="宋体"/>
          <w:color w:val="auto"/>
          <w:sz w:val="24"/>
          <w:szCs w:val="24"/>
        </w:rPr>
      </w:pPr>
      <w:bookmarkStart w:id="45" w:name="_Toc413069769"/>
      <w:r>
        <w:rPr>
          <w:rFonts w:hint="eastAsia" w:ascii="宋体" w:hAnsi="宋体" w:eastAsia="宋体" w:cs="宋体"/>
          <w:color w:val="auto"/>
          <w:sz w:val="24"/>
          <w:szCs w:val="24"/>
        </w:rPr>
        <w:t>7.1.1评委委员会通过对各投标文件进行详细评审并完成评标后，向采购人提交书面评标报告。评标报告中按照投标文件最终得分由高到低进行排序，并向采购人推荐1-</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名作为中标候选人。</w:t>
      </w:r>
    </w:p>
    <w:p>
      <w:pPr>
        <w:spacing w:line="600" w:lineRule="exact"/>
        <w:ind w:firstLine="633" w:firstLineChars="264"/>
        <w:outlineLvl w:val="9"/>
        <w:rPr>
          <w:rFonts w:hint="eastAsia" w:ascii="宋体" w:hAnsi="宋体" w:eastAsia="宋体" w:cs="宋体"/>
          <w:color w:val="auto"/>
          <w:sz w:val="24"/>
          <w:szCs w:val="24"/>
        </w:rPr>
      </w:pPr>
      <w:r>
        <w:rPr>
          <w:rFonts w:hint="eastAsia" w:ascii="宋体" w:hAnsi="宋体" w:eastAsia="宋体" w:cs="宋体"/>
          <w:color w:val="auto"/>
          <w:sz w:val="24"/>
          <w:szCs w:val="24"/>
        </w:rPr>
        <w:t>7.1.2、采购人对评标委员会推荐的中标候选人进行选择，原则上第一名中标，如第一名提出不能履行合同或者放弃中标资格，向下顺延确定一名中标人。</w:t>
      </w:r>
    </w:p>
    <w:p>
      <w:pPr>
        <w:spacing w:line="600" w:lineRule="exact"/>
        <w:ind w:firstLine="567"/>
        <w:outlineLvl w:val="9"/>
        <w:rPr>
          <w:rFonts w:hint="eastAsia" w:ascii="宋体" w:hAnsi="宋体" w:eastAsia="宋体" w:cs="宋体"/>
          <w:color w:val="auto"/>
          <w:sz w:val="24"/>
          <w:szCs w:val="24"/>
        </w:rPr>
      </w:pPr>
      <w:r>
        <w:rPr>
          <w:rFonts w:hint="eastAsia" w:ascii="宋体" w:hAnsi="宋体" w:eastAsia="宋体" w:cs="宋体"/>
          <w:color w:val="auto"/>
          <w:sz w:val="24"/>
          <w:szCs w:val="24"/>
        </w:rPr>
        <w:t>7.1.3、当送达的投标文件不足3份或评标结果全为无效标时；及经过评审，若所有的供应商均未能通过符合性审查，招标方可在取得评标监督人同意后宣布招标失败，并通知各供应商。采购人根据相关规定重新组织招标。</w:t>
      </w:r>
    </w:p>
    <w:p>
      <w:pPr>
        <w:spacing w:line="600" w:lineRule="exact"/>
        <w:outlineLvl w:val="9"/>
        <w:rPr>
          <w:rFonts w:hint="eastAsia" w:ascii="宋体" w:hAnsi="宋体" w:eastAsia="宋体" w:cs="宋体"/>
          <w:b/>
          <w:color w:val="auto"/>
          <w:sz w:val="24"/>
          <w:szCs w:val="24"/>
        </w:rPr>
      </w:pPr>
      <w:r>
        <w:rPr>
          <w:rFonts w:hint="eastAsia" w:ascii="宋体" w:hAnsi="宋体" w:eastAsia="宋体" w:cs="宋体"/>
          <w:b/>
          <w:color w:val="auto"/>
          <w:sz w:val="24"/>
          <w:szCs w:val="24"/>
          <w:lang w:bidi="ar"/>
        </w:rPr>
        <w:t>7.2其他</w:t>
      </w:r>
    </w:p>
    <w:p>
      <w:pPr>
        <w:spacing w:line="600" w:lineRule="exact"/>
        <w:ind w:firstLine="633" w:firstLineChars="264"/>
        <w:outlineLvl w:val="9"/>
        <w:rPr>
          <w:rFonts w:hint="eastAsia" w:ascii="宋体" w:hAnsi="宋体" w:eastAsia="宋体" w:cs="宋体"/>
          <w:color w:val="auto"/>
          <w:sz w:val="24"/>
          <w:szCs w:val="24"/>
        </w:rPr>
      </w:pPr>
      <w:r>
        <w:rPr>
          <w:rFonts w:hint="eastAsia" w:ascii="宋体" w:hAnsi="宋体" w:eastAsia="宋体" w:cs="宋体"/>
          <w:color w:val="auto"/>
          <w:sz w:val="24"/>
          <w:szCs w:val="24"/>
        </w:rPr>
        <w:t>7.2.1、除投标报价外的其他项内容的评审首先由评标委员会的各成员自主打分，汇总时在自主打分的记分结果中，进行算术平均，以算术平均值作为该项的最终加、减分值。</w:t>
      </w:r>
    </w:p>
    <w:p>
      <w:pPr>
        <w:spacing w:line="600" w:lineRule="exact"/>
        <w:ind w:firstLine="576" w:firstLineChars="240"/>
        <w:outlineLvl w:val="9"/>
        <w:rPr>
          <w:rFonts w:hint="eastAsia" w:ascii="宋体" w:hAnsi="宋体" w:eastAsia="宋体" w:cs="宋体"/>
          <w:color w:val="auto"/>
          <w:sz w:val="24"/>
          <w:szCs w:val="24"/>
        </w:rPr>
      </w:pPr>
      <w:r>
        <w:rPr>
          <w:rFonts w:hint="eastAsia" w:ascii="宋体" w:hAnsi="宋体" w:eastAsia="宋体" w:cs="宋体"/>
          <w:color w:val="auto"/>
          <w:sz w:val="24"/>
          <w:szCs w:val="24"/>
        </w:rPr>
        <w:t>7.2.2、计分按四舍五入取至小数点后二位。</w:t>
      </w:r>
    </w:p>
    <w:p>
      <w:pPr>
        <w:spacing w:line="600" w:lineRule="exact"/>
        <w:ind w:firstLine="576" w:firstLineChars="240"/>
        <w:outlineLvl w:val="9"/>
        <w:rPr>
          <w:rFonts w:hint="eastAsia" w:ascii="宋体" w:hAnsi="宋体" w:eastAsia="宋体" w:cs="宋体"/>
          <w:color w:val="auto"/>
          <w:sz w:val="24"/>
          <w:szCs w:val="24"/>
        </w:rPr>
      </w:pPr>
      <w:r>
        <w:rPr>
          <w:rFonts w:hint="eastAsia" w:ascii="宋体" w:hAnsi="宋体" w:eastAsia="宋体" w:cs="宋体"/>
          <w:color w:val="auto"/>
          <w:sz w:val="24"/>
          <w:szCs w:val="24"/>
        </w:rPr>
        <w:t>7.2.3、在评标过程中，如发现本办法中条款与投标须知中相关条款不一致，以本办法中的相关条款为准。</w:t>
      </w:r>
    </w:p>
    <w:p>
      <w:pPr>
        <w:spacing w:line="600" w:lineRule="exact"/>
        <w:ind w:firstLine="633" w:firstLineChars="264"/>
        <w:outlineLvl w:val="9"/>
        <w:rPr>
          <w:rFonts w:hint="eastAsia" w:ascii="宋体" w:hAnsi="宋体" w:eastAsia="宋体" w:cs="宋体"/>
          <w:color w:val="auto"/>
          <w:sz w:val="24"/>
          <w:szCs w:val="24"/>
        </w:rPr>
      </w:pPr>
      <w:r>
        <w:rPr>
          <w:rFonts w:hint="eastAsia" w:ascii="宋体" w:hAnsi="宋体" w:eastAsia="宋体" w:cs="宋体"/>
          <w:color w:val="auto"/>
          <w:sz w:val="24"/>
          <w:szCs w:val="24"/>
        </w:rPr>
        <w:t>7.2.4、供应商必须对所提供资料的真实性负责，被推荐为中标候选人后，经采购人证实为提供虚假证明材料骗取中标的，除取消其中标资格外，还应赔偿采购人及代理机构的相关损失。</w:t>
      </w:r>
    </w:p>
    <w:p>
      <w:pPr>
        <w:spacing w:line="600" w:lineRule="exact"/>
        <w:ind w:firstLine="600" w:firstLineChars="250"/>
        <w:outlineLvl w:val="9"/>
        <w:rPr>
          <w:rFonts w:hint="eastAsia" w:ascii="宋体" w:hAnsi="宋体" w:eastAsia="宋体" w:cs="宋体"/>
          <w:color w:val="auto"/>
          <w:sz w:val="24"/>
          <w:szCs w:val="24"/>
        </w:rPr>
      </w:pPr>
      <w:r>
        <w:rPr>
          <w:rFonts w:hint="eastAsia" w:ascii="宋体" w:hAnsi="宋体" w:eastAsia="宋体" w:cs="宋体"/>
          <w:color w:val="auto"/>
          <w:sz w:val="24"/>
          <w:szCs w:val="24"/>
        </w:rPr>
        <w:t>7.2.5、本办法仅适用于唐河县老年体育公园暨智慧健身公园建设项目招标的评标工作。</w:t>
      </w:r>
    </w:p>
    <w:p>
      <w:pPr>
        <w:spacing w:line="600" w:lineRule="exact"/>
        <w:ind w:firstLine="600" w:firstLineChars="250"/>
        <w:outlineLvl w:val="9"/>
        <w:rPr>
          <w:rFonts w:hint="eastAsia" w:ascii="宋体" w:hAnsi="宋体" w:eastAsia="宋体" w:cs="宋体"/>
          <w:color w:val="auto"/>
          <w:sz w:val="24"/>
          <w:szCs w:val="24"/>
        </w:rPr>
      </w:pPr>
      <w:r>
        <w:rPr>
          <w:rFonts w:hint="eastAsia" w:ascii="宋体" w:hAnsi="宋体" w:eastAsia="宋体" w:cs="宋体"/>
          <w:color w:val="auto"/>
          <w:sz w:val="24"/>
          <w:szCs w:val="24"/>
          <w:lang w:bidi="ar"/>
        </w:rPr>
        <w:t>7.2.6本招标文件未尽事宜按现行招标投标的有关法律法规和规定执行。如投标单位在本次投标活动中有违反相关法律法规的将根据相关法律法规和规定对其进行处罚。</w:t>
      </w:r>
    </w:p>
    <w:p>
      <w:pPr>
        <w:spacing w:line="600" w:lineRule="exact"/>
        <w:ind w:firstLine="567"/>
        <w:outlineLvl w:val="9"/>
        <w:rPr>
          <w:rFonts w:hint="eastAsia" w:ascii="宋体" w:hAnsi="宋体" w:eastAsia="宋体" w:cs="宋体"/>
          <w:b/>
          <w:color w:val="auto"/>
          <w:sz w:val="24"/>
          <w:szCs w:val="24"/>
        </w:rPr>
      </w:pPr>
      <w:bookmarkStart w:id="46" w:name="_Toc29503"/>
      <w:bookmarkStart w:id="47" w:name="_Toc17752"/>
      <w:r>
        <w:rPr>
          <w:rFonts w:hint="eastAsia" w:ascii="宋体" w:hAnsi="宋体" w:eastAsia="宋体" w:cs="宋体"/>
          <w:b/>
          <w:color w:val="auto"/>
          <w:sz w:val="24"/>
          <w:szCs w:val="24"/>
        </w:rPr>
        <w:t>7.3、中标通知</w:t>
      </w:r>
      <w:bookmarkEnd w:id="45"/>
      <w:bookmarkEnd w:id="46"/>
      <w:bookmarkEnd w:id="47"/>
    </w:p>
    <w:p>
      <w:pPr>
        <w:spacing w:line="600" w:lineRule="exact"/>
        <w:ind w:firstLine="567"/>
        <w:outlineLvl w:val="9"/>
        <w:rPr>
          <w:rFonts w:hint="eastAsia" w:ascii="宋体" w:hAnsi="宋体" w:eastAsia="宋体" w:cs="宋体"/>
          <w:color w:val="auto"/>
          <w:sz w:val="24"/>
          <w:szCs w:val="24"/>
        </w:rPr>
      </w:pPr>
      <w:r>
        <w:rPr>
          <w:rFonts w:hint="eastAsia" w:ascii="宋体" w:hAnsi="宋体" w:eastAsia="宋体" w:cs="宋体"/>
          <w:color w:val="auto"/>
          <w:sz w:val="24"/>
          <w:szCs w:val="24"/>
        </w:rPr>
        <w:t>7.3.1、中标供应商确定后，由招标方向其签发中标通知书。</w:t>
      </w:r>
    </w:p>
    <w:p>
      <w:pPr>
        <w:spacing w:line="600" w:lineRule="exact"/>
        <w:ind w:firstLine="567"/>
        <w:outlineLvl w:val="9"/>
        <w:rPr>
          <w:rFonts w:hint="eastAsia" w:ascii="宋体" w:hAnsi="宋体" w:eastAsia="宋体" w:cs="宋体"/>
          <w:color w:val="auto"/>
          <w:sz w:val="24"/>
          <w:szCs w:val="24"/>
        </w:rPr>
      </w:pPr>
      <w:r>
        <w:rPr>
          <w:rFonts w:hint="eastAsia" w:ascii="宋体" w:hAnsi="宋体" w:eastAsia="宋体" w:cs="宋体"/>
          <w:color w:val="auto"/>
          <w:sz w:val="24"/>
          <w:szCs w:val="24"/>
        </w:rPr>
        <w:t>7.3.2、中标通知书将作为签订合同的重要依据，对采购人与中标供应商具有法律效力。</w:t>
      </w:r>
    </w:p>
    <w:p>
      <w:pPr>
        <w:spacing w:line="600" w:lineRule="exact"/>
        <w:ind w:firstLine="567"/>
        <w:outlineLvl w:val="9"/>
        <w:rPr>
          <w:rFonts w:hint="eastAsia" w:ascii="宋体" w:hAnsi="宋体" w:eastAsia="宋体" w:cs="宋体"/>
          <w:b/>
          <w:color w:val="auto"/>
          <w:sz w:val="24"/>
          <w:szCs w:val="24"/>
        </w:rPr>
      </w:pPr>
      <w:bookmarkStart w:id="48" w:name="_Toc413069771"/>
      <w:bookmarkStart w:id="49" w:name="_Toc22244"/>
      <w:bookmarkStart w:id="50" w:name="_Toc11501"/>
      <w:r>
        <w:rPr>
          <w:rFonts w:hint="eastAsia" w:ascii="宋体" w:hAnsi="宋体" w:eastAsia="宋体" w:cs="宋体"/>
          <w:b/>
          <w:color w:val="auto"/>
          <w:sz w:val="24"/>
          <w:szCs w:val="24"/>
        </w:rPr>
        <w:t>7.4、签订合同</w:t>
      </w:r>
      <w:bookmarkEnd w:id="48"/>
      <w:bookmarkEnd w:id="49"/>
      <w:bookmarkEnd w:id="50"/>
    </w:p>
    <w:p>
      <w:pPr>
        <w:spacing w:line="600" w:lineRule="exact"/>
        <w:ind w:firstLine="567"/>
        <w:outlineLvl w:val="9"/>
        <w:rPr>
          <w:rFonts w:hint="eastAsia" w:ascii="宋体" w:hAnsi="宋体" w:eastAsia="宋体" w:cs="宋体"/>
          <w:color w:val="auto"/>
          <w:sz w:val="24"/>
          <w:szCs w:val="24"/>
        </w:rPr>
      </w:pPr>
      <w:r>
        <w:rPr>
          <w:rFonts w:hint="eastAsia" w:ascii="宋体" w:hAnsi="宋体" w:eastAsia="宋体" w:cs="宋体"/>
          <w:color w:val="auto"/>
          <w:sz w:val="24"/>
          <w:szCs w:val="24"/>
        </w:rPr>
        <w:t>7.4.1、中标人必须在接到中标通知书时向招标代理公司交纳招标代理服务费，接到中标通知书后应在</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日内与采购人签订合同。</w:t>
      </w:r>
    </w:p>
    <w:p>
      <w:pPr>
        <w:spacing w:line="600" w:lineRule="exact"/>
        <w:ind w:firstLine="567"/>
        <w:outlineLvl w:val="9"/>
        <w:rPr>
          <w:rFonts w:hint="eastAsia" w:ascii="宋体" w:hAnsi="宋体" w:eastAsia="宋体" w:cs="宋体"/>
          <w:color w:val="auto"/>
          <w:sz w:val="24"/>
          <w:szCs w:val="24"/>
        </w:rPr>
      </w:pPr>
      <w:r>
        <w:rPr>
          <w:rFonts w:hint="eastAsia" w:ascii="宋体" w:hAnsi="宋体" w:eastAsia="宋体" w:cs="宋体"/>
          <w:color w:val="auto"/>
          <w:sz w:val="24"/>
          <w:szCs w:val="24"/>
        </w:rPr>
        <w:t>7.4.2、招标文件、投标文件、供应商在开标过程中的补充确认材料以及中标通知书，均作为合同签订的依据。</w:t>
      </w:r>
    </w:p>
    <w:p>
      <w:pPr>
        <w:spacing w:line="600" w:lineRule="exact"/>
        <w:ind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rPr>
        <w:t>7.4.3、如果中标人不按其投标文件承诺和招标文件要求签订合同，招标方将取消其中标资格另定中标供应商。</w:t>
      </w:r>
    </w:p>
    <w:p>
      <w:pPr>
        <w:pStyle w:val="43"/>
        <w:spacing w:line="600" w:lineRule="exact"/>
        <w:ind w:firstLine="482" w:firstLineChars="200"/>
        <w:outlineLvl w:val="9"/>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rPr>
        <w:t>7.4.4、采购人应在中标通知书发出之日起</w:t>
      </w:r>
      <w:r>
        <w:rPr>
          <w:rFonts w:hint="eastAsia" w:ascii="宋体" w:hAnsi="宋体" w:eastAsia="宋体" w:cs="宋体"/>
          <w:b/>
          <w:bCs/>
          <w:color w:val="auto"/>
          <w:sz w:val="24"/>
          <w:szCs w:val="24"/>
          <w:lang w:val="en-US" w:eastAsia="zh-CN"/>
        </w:rPr>
        <w:t>1</w:t>
      </w:r>
      <w:r>
        <w:rPr>
          <w:rFonts w:hint="eastAsia" w:ascii="宋体" w:hAnsi="宋体" w:eastAsia="宋体" w:cs="宋体"/>
          <w:b/>
          <w:bCs/>
          <w:color w:val="auto"/>
          <w:sz w:val="24"/>
          <w:szCs w:val="24"/>
        </w:rPr>
        <w:t>个工作日内与中标供应商尽快签订合同，在合同签订</w:t>
      </w:r>
      <w:r>
        <w:rPr>
          <w:rFonts w:hint="eastAsia" w:ascii="宋体" w:hAnsi="宋体" w:eastAsia="宋体" w:cs="宋体"/>
          <w:b/>
          <w:bCs/>
          <w:color w:val="auto"/>
          <w:sz w:val="24"/>
          <w:szCs w:val="24"/>
          <w:lang w:val="en-US" w:eastAsia="zh-CN"/>
        </w:rPr>
        <w:t>1</w:t>
      </w:r>
      <w:r>
        <w:rPr>
          <w:rFonts w:hint="eastAsia" w:ascii="宋体" w:hAnsi="宋体" w:eastAsia="宋体" w:cs="宋体"/>
          <w:b/>
          <w:bCs/>
          <w:color w:val="auto"/>
          <w:sz w:val="24"/>
          <w:szCs w:val="24"/>
        </w:rPr>
        <w:t>个工作日内通过公共资源交易中心系统内合同备案进行上传后公告，在合同签订</w:t>
      </w:r>
      <w:r>
        <w:rPr>
          <w:rFonts w:hint="eastAsia" w:ascii="宋体" w:hAnsi="宋体" w:eastAsia="宋体" w:cs="宋体"/>
          <w:b/>
          <w:bCs/>
          <w:color w:val="auto"/>
          <w:sz w:val="24"/>
          <w:szCs w:val="24"/>
          <w:lang w:val="en-US" w:eastAsia="zh-CN"/>
        </w:rPr>
        <w:t>1</w:t>
      </w:r>
      <w:r>
        <w:rPr>
          <w:rFonts w:hint="eastAsia" w:ascii="宋体" w:hAnsi="宋体" w:eastAsia="宋体" w:cs="宋体"/>
          <w:b/>
          <w:bCs/>
          <w:color w:val="auto"/>
          <w:sz w:val="24"/>
          <w:szCs w:val="24"/>
        </w:rPr>
        <w:t>个工作日内报财政部门备案，同时采购人要按照合同约定及时向成交供应商支付合同资金，加快合同资金支付进度。对于无故未在规定时间内签订合同、未及时进行合同公告及备案的行为，要依法处理并进行通报</w:t>
      </w:r>
      <w:r>
        <w:rPr>
          <w:rFonts w:hint="eastAsia" w:ascii="宋体" w:hAnsi="宋体" w:eastAsia="宋体" w:cs="宋体"/>
          <w:b/>
          <w:bCs/>
          <w:color w:val="auto"/>
          <w:sz w:val="24"/>
          <w:szCs w:val="24"/>
          <w:lang w:eastAsia="zh-CN"/>
        </w:rPr>
        <w:t>。</w:t>
      </w:r>
    </w:p>
    <w:p>
      <w:pPr>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lang w:eastAsia="zh-CN"/>
        </w:rPr>
        <w:br w:type="page"/>
      </w:r>
    </w:p>
    <w:p>
      <w:pPr>
        <w:jc w:val="center"/>
        <w:outlineLvl w:val="9"/>
        <w:rPr>
          <w:color w:val="000000"/>
        </w:rPr>
      </w:pPr>
      <w:r>
        <w:rPr>
          <w:rFonts w:hint="eastAsia" w:eastAsia="宋体"/>
          <w:b/>
          <w:bCs/>
          <w:color w:val="000000"/>
          <w:sz w:val="28"/>
          <w:szCs w:val="28"/>
          <w:lang w:val="en-US" w:eastAsia="zh-CN"/>
        </w:rPr>
        <w:t>八、</w:t>
      </w:r>
      <w:r>
        <w:rPr>
          <w:rFonts w:hint="eastAsia"/>
          <w:b/>
          <w:bCs/>
          <w:color w:val="000000"/>
          <w:sz w:val="28"/>
          <w:szCs w:val="28"/>
        </w:rPr>
        <w:t>唐河县政府采购合同融资告知函</w:t>
      </w:r>
    </w:p>
    <w:p>
      <w:pPr>
        <w:ind w:firstLine="420" w:firstLineChars="200"/>
        <w:outlineLvl w:val="9"/>
        <w:rPr>
          <w:color w:val="000000"/>
          <w:sz w:val="21"/>
          <w:szCs w:val="21"/>
        </w:rPr>
      </w:pP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outlineLvl w:val="9"/>
        <w:rPr>
          <w:color w:val="000000"/>
          <w:sz w:val="24"/>
          <w:szCs w:val="24"/>
        </w:rPr>
      </w:pPr>
      <w:r>
        <w:rPr>
          <w:rFonts w:hint="eastAsia"/>
          <w:color w:val="000000"/>
          <w:sz w:val="24"/>
          <w:szCs w:val="24"/>
        </w:rPr>
        <w:t>各供应商：</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outlineLvl w:val="9"/>
        <w:rPr>
          <w:color w:val="000000"/>
          <w:sz w:val="24"/>
          <w:szCs w:val="24"/>
        </w:rPr>
      </w:pPr>
      <w:r>
        <w:rPr>
          <w:rFonts w:hint="eastAsia"/>
          <w:color w:val="000000"/>
          <w:sz w:val="24"/>
          <w:szCs w:val="24"/>
        </w:rPr>
        <w:t>欢迎贵公司参与河南省政府采购活动！</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outlineLvl w:val="9"/>
        <w:rPr>
          <w:color w:val="000000"/>
          <w:sz w:val="24"/>
          <w:szCs w:val="24"/>
        </w:rPr>
      </w:pPr>
      <w:r>
        <w:rPr>
          <w:rFonts w:hint="eastAsia"/>
          <w:color w:val="000000"/>
          <w:sz w:val="24"/>
          <w:szCs w:val="24"/>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outlineLvl w:val="9"/>
        <w:rPr>
          <w:color w:val="000000"/>
          <w:sz w:val="24"/>
          <w:szCs w:val="24"/>
        </w:rPr>
      </w:pPr>
      <w:r>
        <w:rPr>
          <w:rFonts w:hint="eastAsia"/>
          <w:color w:val="000000"/>
          <w:sz w:val="24"/>
          <w:szCs w:val="24"/>
        </w:rPr>
        <w:t>贷款渠道和提供贷款的金融机构，可在河南省政府采购网“河南省政府采购合同融资平台”查询联系。</w:t>
      </w:r>
    </w:p>
    <w:p>
      <w:pPr>
        <w:jc w:val="center"/>
        <w:rPr>
          <w:rFonts w:hint="default" w:ascii="宋体" w:hAnsi="宋体" w:eastAsia="宋体" w:cs="宋体"/>
          <w:sz w:val="28"/>
          <w:szCs w:val="28"/>
          <w:lang w:val="en-US" w:eastAsia="zh-CN"/>
        </w:rPr>
      </w:pPr>
      <w:r>
        <w:rPr>
          <w:rFonts w:ascii="宋体" w:hAnsi="宋体" w:eastAsia="宋体" w:cs="宋体"/>
          <w:sz w:val="28"/>
          <w:szCs w:val="28"/>
        </w:rPr>
        <w:br w:type="page"/>
      </w:r>
      <w:r>
        <w:rPr>
          <w:rFonts w:hint="eastAsia"/>
          <w:b/>
          <w:bCs/>
          <w:color w:val="000000"/>
          <w:sz w:val="28"/>
          <w:szCs w:val="28"/>
          <w:lang w:val="en-US" w:eastAsia="zh-CN"/>
        </w:rPr>
        <w:t>九、告知函</w:t>
      </w:r>
    </w:p>
    <w:p>
      <w:pPr>
        <w:pStyle w:val="24"/>
        <w:rPr>
          <w:rFonts w:hint="eastAsia" w:eastAsia="宋体"/>
          <w:lang w:eastAsia="zh-CN"/>
        </w:rPr>
      </w:pPr>
      <w:r>
        <w:rPr>
          <w:rFonts w:hint="eastAsia" w:eastAsia="宋体"/>
          <w:lang w:eastAsia="zh-CN"/>
        </w:rPr>
        <w:drawing>
          <wp:inline distT="0" distB="0" distL="114300" distR="114300">
            <wp:extent cx="5864225" cy="8407400"/>
            <wp:effectExtent l="0" t="0" r="3175" b="12700"/>
            <wp:docPr id="2" name="图片 2" descr="6623ff781411184434aaba0169a0e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623ff781411184434aaba0169a0eaa"/>
                    <pic:cNvPicPr>
                      <a:picLocks noChangeAspect="1"/>
                    </pic:cNvPicPr>
                  </pic:nvPicPr>
                  <pic:blipFill>
                    <a:blip r:embed="rId12"/>
                    <a:stretch>
                      <a:fillRect/>
                    </a:stretch>
                  </pic:blipFill>
                  <pic:spPr>
                    <a:xfrm>
                      <a:off x="0" y="0"/>
                      <a:ext cx="5864225" cy="8407400"/>
                    </a:xfrm>
                    <a:prstGeom prst="rect">
                      <a:avLst/>
                    </a:prstGeom>
                  </pic:spPr>
                </pic:pic>
              </a:graphicData>
            </a:graphic>
          </wp:inline>
        </w:drawing>
      </w:r>
    </w:p>
    <w:p>
      <w:r>
        <w:br w:type="page"/>
      </w:r>
    </w:p>
    <w:p>
      <w:pPr>
        <w:keepNext w:val="0"/>
        <w:keepLines w:val="0"/>
        <w:pageBreakBefore w:val="0"/>
        <w:wordWrap/>
        <w:overflowPunct/>
        <w:topLinePunct w:val="0"/>
        <w:autoSpaceDE w:val="0"/>
        <w:autoSpaceDN w:val="0"/>
        <w:bidi w:val="0"/>
        <w:spacing w:before="101" w:line="360" w:lineRule="auto"/>
        <w:ind w:left="3469"/>
        <w:outlineLvl w:val="0"/>
        <w:rPr>
          <w:rFonts w:ascii="宋体" w:hAnsi="宋体" w:eastAsia="宋体" w:cs="宋体"/>
          <w:b/>
          <w:bCs/>
          <w:sz w:val="31"/>
          <w:szCs w:val="31"/>
        </w:rPr>
      </w:pPr>
      <w:bookmarkStart w:id="51" w:name="_Toc21724"/>
      <w:r>
        <w:rPr>
          <w:rFonts w:ascii="宋体" w:hAnsi="宋体" w:eastAsia="宋体" w:cs="宋体"/>
          <w:b/>
          <w:bCs/>
          <w:spacing w:val="15"/>
          <w:sz w:val="31"/>
          <w:szCs w:val="31"/>
        </w:rPr>
        <w:t>第</w:t>
      </w:r>
      <w:r>
        <w:rPr>
          <w:rFonts w:hint="eastAsia" w:ascii="宋体" w:hAnsi="宋体" w:eastAsia="宋体" w:cs="宋体"/>
          <w:b/>
          <w:bCs/>
          <w:spacing w:val="8"/>
          <w:sz w:val="31"/>
          <w:szCs w:val="31"/>
        </w:rPr>
        <w:t>五</w:t>
      </w:r>
      <w:r>
        <w:rPr>
          <w:rFonts w:ascii="宋体" w:hAnsi="宋体" w:eastAsia="宋体" w:cs="宋体"/>
          <w:b/>
          <w:bCs/>
          <w:spacing w:val="8"/>
          <w:sz w:val="31"/>
          <w:szCs w:val="31"/>
        </w:rPr>
        <w:t>部分</w:t>
      </w:r>
      <w:r>
        <w:rPr>
          <w:rFonts w:hint="eastAsia" w:ascii="宋体" w:hAnsi="宋体" w:eastAsia="宋体" w:cs="宋体"/>
          <w:b/>
          <w:bCs/>
          <w:spacing w:val="8"/>
          <w:sz w:val="31"/>
          <w:szCs w:val="31"/>
          <w:lang w:val="en-US" w:eastAsia="zh-CN"/>
        </w:rPr>
        <w:t xml:space="preserve"> </w:t>
      </w:r>
      <w:r>
        <w:rPr>
          <w:rFonts w:ascii="宋体" w:hAnsi="宋体" w:eastAsia="宋体" w:cs="宋体"/>
          <w:b/>
          <w:bCs/>
          <w:spacing w:val="8"/>
          <w:sz w:val="31"/>
          <w:szCs w:val="31"/>
        </w:rPr>
        <w:t>合同格式</w:t>
      </w:r>
      <w:bookmarkEnd w:id="51"/>
    </w:p>
    <w:p>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jc w:val="center"/>
        <w:textAlignment w:val="auto"/>
        <w:rPr>
          <w:rFonts w:hint="eastAsia"/>
          <w:b/>
          <w:sz w:val="32"/>
          <w:szCs w:val="32"/>
        </w:rPr>
      </w:pPr>
      <w:r>
        <w:rPr>
          <w:rFonts w:hint="eastAsia"/>
          <w:b/>
          <w:sz w:val="32"/>
          <w:szCs w:val="32"/>
        </w:rPr>
        <w:t>（仅供参考 以签订正式合同时为准）</w:t>
      </w:r>
    </w:p>
    <w:p>
      <w:pPr>
        <w:widowControl w:val="0"/>
        <w:kinsoku/>
        <w:adjustRightInd/>
        <w:snapToGrid/>
        <w:spacing w:line="360" w:lineRule="auto"/>
        <w:ind w:firstLine="480" w:firstLineChars="200"/>
        <w:jc w:val="both"/>
        <w:textAlignment w:val="auto"/>
        <w:rPr>
          <w:sz w:val="24"/>
        </w:rPr>
      </w:pPr>
      <w:r>
        <w:rPr>
          <w:rFonts w:hint="eastAsia"/>
          <w:sz w:val="24"/>
        </w:rPr>
        <w:t>《中华人民共和国招标投标法》、《中华人民共和国政府采购法》和其他法律、法规的规定，并按照公正、平等、自愿、诚实信用的原则，同意按照以下条款和条件，签署本合同。</w:t>
      </w:r>
    </w:p>
    <w:p>
      <w:pPr>
        <w:widowControl w:val="0"/>
        <w:kinsoku/>
        <w:adjustRightInd/>
        <w:snapToGrid/>
        <w:spacing w:line="360" w:lineRule="auto"/>
        <w:ind w:firstLine="480" w:firstLineChars="200"/>
        <w:jc w:val="both"/>
        <w:textAlignment w:val="auto"/>
        <w:rPr>
          <w:sz w:val="24"/>
        </w:rPr>
      </w:pPr>
      <w:bookmarkStart w:id="52" w:name="_Toc22466_WPSOffice_Level2"/>
      <w:r>
        <w:rPr>
          <w:rFonts w:hint="eastAsia"/>
          <w:sz w:val="24"/>
        </w:rPr>
        <w:t>合同文件</w:t>
      </w:r>
      <w:bookmarkEnd w:id="52"/>
    </w:p>
    <w:p>
      <w:pPr>
        <w:widowControl w:val="0"/>
        <w:kinsoku/>
        <w:adjustRightInd/>
        <w:snapToGrid/>
        <w:spacing w:line="360" w:lineRule="auto"/>
        <w:ind w:firstLine="480" w:firstLineChars="200"/>
        <w:jc w:val="both"/>
        <w:textAlignment w:val="auto"/>
        <w:rPr>
          <w:sz w:val="24"/>
        </w:rPr>
      </w:pPr>
      <w:bookmarkStart w:id="53" w:name="_Toc20611"/>
      <w:bookmarkStart w:id="54" w:name="_Toc25689"/>
      <w:r>
        <w:rPr>
          <w:rFonts w:hint="eastAsia"/>
          <w:sz w:val="24"/>
        </w:rPr>
        <w:t>本合同所附下列文件是构成本合同不可分割的部分：</w:t>
      </w:r>
      <w:bookmarkEnd w:id="53"/>
      <w:bookmarkEnd w:id="54"/>
    </w:p>
    <w:p>
      <w:pPr>
        <w:widowControl w:val="0"/>
        <w:kinsoku/>
        <w:adjustRightInd/>
        <w:snapToGrid/>
        <w:spacing w:line="360" w:lineRule="auto"/>
        <w:ind w:firstLine="480" w:firstLineChars="200"/>
        <w:jc w:val="both"/>
        <w:textAlignment w:val="auto"/>
        <w:rPr>
          <w:sz w:val="24"/>
        </w:rPr>
      </w:pPr>
      <w:bookmarkStart w:id="55" w:name="_Toc12304"/>
      <w:bookmarkStart w:id="56" w:name="_Toc25255"/>
      <w:r>
        <w:rPr>
          <w:rFonts w:hint="eastAsia"/>
          <w:sz w:val="24"/>
        </w:rPr>
        <w:t>（一）本项目招标文件</w:t>
      </w:r>
      <w:bookmarkEnd w:id="55"/>
      <w:bookmarkEnd w:id="56"/>
    </w:p>
    <w:p>
      <w:pPr>
        <w:widowControl w:val="0"/>
        <w:kinsoku/>
        <w:adjustRightInd/>
        <w:snapToGrid/>
        <w:spacing w:line="360" w:lineRule="auto"/>
        <w:ind w:firstLine="480" w:firstLineChars="200"/>
        <w:jc w:val="both"/>
        <w:textAlignment w:val="auto"/>
        <w:rPr>
          <w:sz w:val="24"/>
        </w:rPr>
      </w:pPr>
      <w:bookmarkStart w:id="57" w:name="_Toc8524"/>
      <w:bookmarkStart w:id="58" w:name="_Toc3310"/>
      <w:r>
        <w:rPr>
          <w:rFonts w:hint="eastAsia"/>
          <w:sz w:val="24"/>
        </w:rPr>
        <w:t>（二）供应商的投标文件</w:t>
      </w:r>
      <w:bookmarkEnd w:id="57"/>
      <w:bookmarkEnd w:id="58"/>
    </w:p>
    <w:p>
      <w:pPr>
        <w:widowControl w:val="0"/>
        <w:kinsoku/>
        <w:adjustRightInd/>
        <w:snapToGrid/>
        <w:spacing w:line="360" w:lineRule="auto"/>
        <w:ind w:firstLine="480" w:firstLineChars="200"/>
        <w:jc w:val="both"/>
        <w:textAlignment w:val="auto"/>
        <w:rPr>
          <w:sz w:val="24"/>
        </w:rPr>
      </w:pPr>
      <w:bookmarkStart w:id="59" w:name="_Toc11043"/>
      <w:bookmarkStart w:id="60" w:name="_Toc13552"/>
      <w:r>
        <w:rPr>
          <w:rFonts w:hint="eastAsia"/>
          <w:sz w:val="24"/>
        </w:rPr>
        <w:t>（三）合同格式、合同条款</w:t>
      </w:r>
      <w:bookmarkEnd w:id="59"/>
      <w:bookmarkEnd w:id="60"/>
    </w:p>
    <w:p>
      <w:pPr>
        <w:widowControl w:val="0"/>
        <w:kinsoku/>
        <w:adjustRightInd/>
        <w:snapToGrid/>
        <w:spacing w:line="360" w:lineRule="auto"/>
        <w:ind w:firstLine="480" w:firstLineChars="200"/>
        <w:jc w:val="both"/>
        <w:textAlignment w:val="auto"/>
        <w:rPr>
          <w:sz w:val="24"/>
        </w:rPr>
      </w:pPr>
      <w:bookmarkStart w:id="61" w:name="_Toc3434"/>
      <w:bookmarkStart w:id="62" w:name="_Toc17684"/>
      <w:r>
        <w:rPr>
          <w:rFonts w:hint="eastAsia"/>
          <w:sz w:val="24"/>
        </w:rPr>
        <w:t>（四）中标人在评标过程中做出的有关澄清、说明或者补正文件</w:t>
      </w:r>
      <w:bookmarkEnd w:id="61"/>
      <w:bookmarkEnd w:id="62"/>
    </w:p>
    <w:p>
      <w:pPr>
        <w:widowControl w:val="0"/>
        <w:kinsoku/>
        <w:adjustRightInd/>
        <w:snapToGrid/>
        <w:spacing w:line="360" w:lineRule="auto"/>
        <w:ind w:firstLine="480" w:firstLineChars="200"/>
        <w:jc w:val="both"/>
        <w:textAlignment w:val="auto"/>
        <w:rPr>
          <w:sz w:val="24"/>
        </w:rPr>
      </w:pPr>
      <w:bookmarkStart w:id="63" w:name="_Toc17949"/>
      <w:bookmarkStart w:id="64" w:name="_Toc24029"/>
      <w:r>
        <w:rPr>
          <w:rFonts w:hint="eastAsia"/>
          <w:sz w:val="24"/>
        </w:rPr>
        <w:t>（五）</w:t>
      </w:r>
      <w:r>
        <w:rPr>
          <w:rFonts w:hint="eastAsia" w:ascii="宋体" w:hAnsi="宋体" w:eastAsia="宋体" w:cs="宋体"/>
          <w:sz w:val="24"/>
          <w:szCs w:val="24"/>
        </w:rPr>
        <w:t>中标</w:t>
      </w:r>
      <w:r>
        <w:rPr>
          <w:rFonts w:hint="eastAsia"/>
          <w:sz w:val="24"/>
        </w:rPr>
        <w:t>通知书</w:t>
      </w:r>
      <w:bookmarkEnd w:id="63"/>
      <w:bookmarkEnd w:id="64"/>
    </w:p>
    <w:p>
      <w:pPr>
        <w:widowControl w:val="0"/>
        <w:kinsoku/>
        <w:adjustRightInd/>
        <w:snapToGrid/>
        <w:spacing w:line="360" w:lineRule="auto"/>
        <w:ind w:firstLine="480" w:firstLineChars="200"/>
        <w:jc w:val="both"/>
        <w:textAlignment w:val="auto"/>
        <w:rPr>
          <w:sz w:val="24"/>
        </w:rPr>
      </w:pPr>
      <w:bookmarkStart w:id="65" w:name="_Toc4313"/>
      <w:bookmarkStart w:id="66" w:name="_Toc25248"/>
      <w:r>
        <w:rPr>
          <w:rFonts w:hint="eastAsia"/>
          <w:sz w:val="24"/>
        </w:rPr>
        <w:t>（六）本合同附件</w:t>
      </w:r>
      <w:bookmarkEnd w:id="65"/>
      <w:bookmarkEnd w:id="66"/>
    </w:p>
    <w:p>
      <w:pPr>
        <w:widowControl w:val="0"/>
        <w:kinsoku/>
        <w:adjustRightInd/>
        <w:snapToGrid/>
        <w:spacing w:line="360" w:lineRule="auto"/>
        <w:ind w:firstLine="480" w:firstLineChars="200"/>
        <w:jc w:val="both"/>
        <w:textAlignment w:val="auto"/>
        <w:rPr>
          <w:sz w:val="24"/>
        </w:rPr>
      </w:pPr>
      <w:bookmarkStart w:id="67" w:name="_Toc24717"/>
      <w:bookmarkStart w:id="68" w:name="_Toc7727"/>
      <w:bookmarkStart w:id="69" w:name="_Toc13630_WPSOffice_Level2"/>
      <w:r>
        <w:rPr>
          <w:rFonts w:hint="eastAsia"/>
          <w:sz w:val="24"/>
        </w:rPr>
        <w:t>二、合同的范围和条件</w:t>
      </w:r>
      <w:bookmarkEnd w:id="67"/>
      <w:bookmarkEnd w:id="68"/>
      <w:bookmarkEnd w:id="69"/>
    </w:p>
    <w:p>
      <w:pPr>
        <w:widowControl w:val="0"/>
        <w:kinsoku/>
        <w:adjustRightInd/>
        <w:snapToGrid/>
        <w:spacing w:line="360" w:lineRule="auto"/>
        <w:ind w:firstLine="480" w:firstLineChars="200"/>
        <w:jc w:val="both"/>
        <w:textAlignment w:val="auto"/>
        <w:rPr>
          <w:sz w:val="24"/>
        </w:rPr>
      </w:pPr>
      <w:r>
        <w:rPr>
          <w:rFonts w:hint="eastAsia"/>
          <w:sz w:val="24"/>
        </w:rPr>
        <w:t>本合同的范围和条件应与上述合同文件的规定相一致。</w:t>
      </w:r>
    </w:p>
    <w:p>
      <w:pPr>
        <w:widowControl w:val="0"/>
        <w:kinsoku/>
        <w:adjustRightInd/>
        <w:snapToGrid/>
        <w:spacing w:line="360" w:lineRule="auto"/>
        <w:ind w:firstLine="480" w:firstLineChars="200"/>
        <w:jc w:val="both"/>
        <w:textAlignment w:val="auto"/>
        <w:rPr>
          <w:sz w:val="24"/>
        </w:rPr>
      </w:pPr>
      <w:bookmarkStart w:id="70" w:name="_Toc18794"/>
      <w:bookmarkStart w:id="71" w:name="_Toc15521_WPSOffice_Level2"/>
      <w:bookmarkStart w:id="72" w:name="_Toc21864"/>
      <w:r>
        <w:rPr>
          <w:rFonts w:hint="eastAsia"/>
          <w:sz w:val="24"/>
        </w:rPr>
        <w:t>三、合同金额</w:t>
      </w:r>
      <w:bookmarkEnd w:id="70"/>
      <w:bookmarkEnd w:id="71"/>
      <w:bookmarkEnd w:id="72"/>
    </w:p>
    <w:p>
      <w:pPr>
        <w:widowControl w:val="0"/>
        <w:kinsoku/>
        <w:adjustRightInd/>
        <w:snapToGrid/>
        <w:spacing w:line="360" w:lineRule="auto"/>
        <w:ind w:firstLine="480" w:firstLineChars="200"/>
        <w:jc w:val="both"/>
        <w:textAlignment w:val="auto"/>
        <w:rPr>
          <w:sz w:val="24"/>
        </w:rPr>
      </w:pPr>
      <w:bookmarkStart w:id="73" w:name="_Toc12265"/>
      <w:bookmarkStart w:id="74" w:name="_Toc15284"/>
      <w:r>
        <w:rPr>
          <w:rFonts w:hint="eastAsia"/>
          <w:sz w:val="24"/>
        </w:rPr>
        <w:t xml:space="preserve">合同总金额：人民币： </w:t>
      </w:r>
      <w:r>
        <w:rPr>
          <w:rFonts w:hint="eastAsia"/>
          <w:sz w:val="24"/>
        </w:rPr>
        <w:tab/>
      </w:r>
      <w:r>
        <w:rPr>
          <w:rFonts w:hint="eastAsia"/>
          <w:sz w:val="24"/>
        </w:rPr>
        <w:t xml:space="preserve">元（大写） 人民币： </w:t>
      </w:r>
      <w:r>
        <w:rPr>
          <w:rFonts w:hint="eastAsia"/>
          <w:sz w:val="24"/>
        </w:rPr>
        <w:tab/>
      </w:r>
      <w:r>
        <w:rPr>
          <w:rFonts w:hint="eastAsia"/>
          <w:sz w:val="24"/>
        </w:rPr>
        <w:t>元（小写）</w:t>
      </w:r>
      <w:bookmarkEnd w:id="73"/>
      <w:bookmarkEnd w:id="74"/>
    </w:p>
    <w:p>
      <w:pPr>
        <w:widowControl w:val="0"/>
        <w:kinsoku/>
        <w:adjustRightInd/>
        <w:snapToGrid/>
        <w:spacing w:line="360" w:lineRule="auto"/>
        <w:ind w:firstLine="480" w:firstLineChars="200"/>
        <w:jc w:val="both"/>
        <w:textAlignment w:val="auto"/>
        <w:rPr>
          <w:sz w:val="24"/>
        </w:rPr>
      </w:pPr>
      <w:bookmarkStart w:id="75" w:name="_Toc26017_WPSOffice_Level2"/>
      <w:r>
        <w:rPr>
          <w:rFonts w:hint="eastAsia"/>
          <w:sz w:val="24"/>
        </w:rPr>
        <w:t>质量要求：</w:t>
      </w:r>
      <w:bookmarkEnd w:id="75"/>
    </w:p>
    <w:p>
      <w:pPr>
        <w:widowControl w:val="0"/>
        <w:kinsoku/>
        <w:adjustRightInd/>
        <w:snapToGrid/>
        <w:spacing w:line="360" w:lineRule="auto"/>
        <w:ind w:firstLine="480" w:firstLineChars="200"/>
        <w:jc w:val="both"/>
        <w:textAlignment w:val="auto"/>
        <w:rPr>
          <w:sz w:val="24"/>
        </w:rPr>
      </w:pPr>
      <w:bookmarkStart w:id="76" w:name="_Toc4377_WPSOffice_Level2"/>
      <w:r>
        <w:rPr>
          <w:rFonts w:hint="eastAsia"/>
          <w:sz w:val="24"/>
        </w:rPr>
        <w:t>付款方式</w:t>
      </w:r>
      <w:bookmarkEnd w:id="76"/>
    </w:p>
    <w:p>
      <w:pPr>
        <w:widowControl w:val="0"/>
        <w:kinsoku/>
        <w:adjustRightInd/>
        <w:snapToGrid/>
        <w:spacing w:line="360" w:lineRule="auto"/>
        <w:ind w:firstLine="480" w:firstLineChars="200"/>
        <w:jc w:val="both"/>
        <w:textAlignment w:val="auto"/>
        <w:rPr>
          <w:sz w:val="24"/>
        </w:rPr>
      </w:pPr>
      <w:r>
        <w:rPr>
          <w:rFonts w:hint="eastAsia"/>
          <w:sz w:val="24"/>
        </w:rPr>
        <w:t>付款方式：</w:t>
      </w:r>
    </w:p>
    <w:p>
      <w:pPr>
        <w:widowControl w:val="0"/>
        <w:kinsoku/>
        <w:adjustRightInd/>
        <w:snapToGrid/>
        <w:spacing w:line="360" w:lineRule="auto"/>
        <w:ind w:firstLine="480" w:firstLineChars="200"/>
        <w:jc w:val="both"/>
        <w:textAlignment w:val="auto"/>
        <w:rPr>
          <w:sz w:val="24"/>
        </w:rPr>
      </w:pPr>
      <w:bookmarkStart w:id="77" w:name="_Toc12155_WPSOffice_Level2"/>
      <w:r>
        <w:rPr>
          <w:rFonts w:hint="eastAsia"/>
          <w:sz w:val="24"/>
        </w:rPr>
        <w:t>服务日期、地点</w:t>
      </w:r>
      <w:bookmarkEnd w:id="77"/>
    </w:p>
    <w:p>
      <w:pPr>
        <w:widowControl w:val="0"/>
        <w:kinsoku/>
        <w:adjustRightInd/>
        <w:snapToGrid/>
        <w:spacing w:line="360" w:lineRule="auto"/>
        <w:ind w:firstLine="480" w:firstLineChars="200"/>
        <w:jc w:val="both"/>
        <w:textAlignment w:val="auto"/>
        <w:rPr>
          <w:sz w:val="24"/>
        </w:rPr>
      </w:pPr>
      <w:r>
        <w:rPr>
          <w:rFonts w:hint="eastAsia"/>
          <w:sz w:val="24"/>
        </w:rPr>
        <w:t xml:space="preserve">服务时间：于 </w:t>
      </w:r>
      <w:r>
        <w:rPr>
          <w:rFonts w:hint="eastAsia"/>
          <w:sz w:val="24"/>
        </w:rPr>
        <w:tab/>
      </w:r>
      <w:r>
        <w:rPr>
          <w:rFonts w:hint="eastAsia"/>
          <w:sz w:val="24"/>
        </w:rPr>
        <w:t xml:space="preserve">年 </w:t>
      </w:r>
      <w:r>
        <w:rPr>
          <w:rFonts w:hint="eastAsia"/>
          <w:sz w:val="24"/>
        </w:rPr>
        <w:tab/>
      </w:r>
      <w:r>
        <w:rPr>
          <w:rFonts w:hint="eastAsia"/>
          <w:sz w:val="24"/>
        </w:rPr>
        <w:t xml:space="preserve">月 </w:t>
      </w:r>
      <w:r>
        <w:rPr>
          <w:rFonts w:hint="eastAsia"/>
          <w:sz w:val="24"/>
        </w:rPr>
        <w:tab/>
      </w:r>
      <w:r>
        <w:rPr>
          <w:rFonts w:hint="eastAsia"/>
          <w:sz w:val="24"/>
        </w:rPr>
        <w:t>日以前完成。</w:t>
      </w:r>
    </w:p>
    <w:p>
      <w:pPr>
        <w:widowControl w:val="0"/>
        <w:kinsoku/>
        <w:adjustRightInd/>
        <w:snapToGrid/>
        <w:spacing w:line="360" w:lineRule="auto"/>
        <w:ind w:firstLine="480" w:firstLineChars="200"/>
        <w:jc w:val="both"/>
        <w:textAlignment w:val="auto"/>
        <w:rPr>
          <w:sz w:val="24"/>
        </w:rPr>
      </w:pPr>
      <w:r>
        <w:rPr>
          <w:rFonts w:hint="eastAsia"/>
          <w:sz w:val="24"/>
        </w:rPr>
        <w:t>地点：甲方指定地点。</w:t>
      </w:r>
    </w:p>
    <w:p>
      <w:pPr>
        <w:widowControl w:val="0"/>
        <w:kinsoku/>
        <w:adjustRightInd/>
        <w:snapToGrid/>
        <w:spacing w:line="360" w:lineRule="auto"/>
        <w:ind w:firstLine="480" w:firstLineChars="200"/>
        <w:jc w:val="both"/>
        <w:textAlignment w:val="auto"/>
        <w:rPr>
          <w:sz w:val="24"/>
        </w:rPr>
      </w:pPr>
      <w:bookmarkStart w:id="78" w:name="_Toc30055_WPSOffice_Level2"/>
      <w:r>
        <w:rPr>
          <w:rFonts w:hint="eastAsia"/>
          <w:sz w:val="24"/>
        </w:rPr>
        <w:t>合同保存</w:t>
      </w:r>
      <w:bookmarkEnd w:id="78"/>
    </w:p>
    <w:p>
      <w:pPr>
        <w:widowControl w:val="0"/>
        <w:kinsoku/>
        <w:adjustRightInd/>
        <w:snapToGrid/>
        <w:spacing w:line="360" w:lineRule="auto"/>
        <w:ind w:firstLine="480" w:firstLineChars="200"/>
        <w:jc w:val="both"/>
        <w:textAlignment w:val="auto"/>
        <w:rPr>
          <w:sz w:val="24"/>
        </w:rPr>
      </w:pPr>
      <w:r>
        <w:rPr>
          <w:rFonts w:hint="eastAsia"/>
          <w:sz w:val="24"/>
        </w:rPr>
        <w:t xml:space="preserve">本合同一式 </w:t>
      </w:r>
      <w:r>
        <w:rPr>
          <w:rFonts w:hint="eastAsia"/>
          <w:sz w:val="24"/>
        </w:rPr>
        <w:tab/>
      </w:r>
      <w:r>
        <w:rPr>
          <w:rFonts w:hint="eastAsia"/>
          <w:sz w:val="24"/>
        </w:rPr>
        <w:t xml:space="preserve">份，甲方 </w:t>
      </w:r>
      <w:r>
        <w:rPr>
          <w:rFonts w:hint="eastAsia"/>
          <w:sz w:val="24"/>
        </w:rPr>
        <w:tab/>
      </w:r>
      <w:r>
        <w:rPr>
          <w:rFonts w:hint="eastAsia"/>
          <w:sz w:val="24"/>
        </w:rPr>
        <w:t xml:space="preserve">份，乙方 </w:t>
      </w:r>
      <w:r>
        <w:rPr>
          <w:rFonts w:hint="eastAsia"/>
          <w:sz w:val="24"/>
        </w:rPr>
        <w:tab/>
      </w:r>
      <w:r>
        <w:rPr>
          <w:rFonts w:hint="eastAsia"/>
          <w:sz w:val="24"/>
        </w:rPr>
        <w:t xml:space="preserve">份，采购代理机构 </w:t>
      </w:r>
      <w:r>
        <w:rPr>
          <w:rFonts w:hint="eastAsia"/>
          <w:sz w:val="24"/>
        </w:rPr>
        <w:tab/>
      </w:r>
      <w:r>
        <w:rPr>
          <w:rFonts w:hint="eastAsia"/>
          <w:sz w:val="24"/>
        </w:rPr>
        <w:t>份。</w:t>
      </w:r>
    </w:p>
    <w:p>
      <w:pPr>
        <w:widowControl w:val="0"/>
        <w:kinsoku/>
        <w:adjustRightInd/>
        <w:snapToGrid/>
        <w:spacing w:line="360" w:lineRule="auto"/>
        <w:ind w:firstLine="480" w:firstLineChars="200"/>
        <w:jc w:val="both"/>
        <w:textAlignment w:val="auto"/>
        <w:rPr>
          <w:sz w:val="24"/>
        </w:rPr>
      </w:pPr>
      <w:bookmarkStart w:id="79" w:name="_Toc30238_WPSOffice_Level2"/>
      <w:r>
        <w:rPr>
          <w:rFonts w:hint="eastAsia"/>
          <w:sz w:val="24"/>
        </w:rPr>
        <w:t>违约条款</w:t>
      </w:r>
      <w:bookmarkEnd w:id="79"/>
    </w:p>
    <w:p>
      <w:pPr>
        <w:widowControl w:val="0"/>
        <w:kinsoku/>
        <w:adjustRightInd/>
        <w:snapToGrid/>
        <w:spacing w:line="360" w:lineRule="auto"/>
        <w:ind w:firstLine="480" w:firstLineChars="200"/>
        <w:jc w:val="both"/>
        <w:textAlignment w:val="auto"/>
        <w:rPr>
          <w:sz w:val="24"/>
        </w:rPr>
      </w:pPr>
      <w:r>
        <w:rPr>
          <w:rFonts w:hint="eastAsia"/>
          <w:sz w:val="24"/>
        </w:rPr>
        <w:t>（1）合同一方违约，违约方向对方支付违约金，违约金额为中标金额的 10%。乙方违约， 直接从进度款或履约保金中扣除；甲方违约，从合同款项中扣除。</w:t>
      </w:r>
    </w:p>
    <w:p>
      <w:pPr>
        <w:widowControl w:val="0"/>
        <w:kinsoku/>
        <w:adjustRightInd/>
        <w:snapToGrid/>
        <w:spacing w:line="360" w:lineRule="auto"/>
        <w:ind w:firstLine="480" w:firstLineChars="200"/>
        <w:jc w:val="both"/>
        <w:textAlignment w:val="auto"/>
        <w:rPr>
          <w:sz w:val="24"/>
        </w:rPr>
      </w:pPr>
      <w:bookmarkStart w:id="80" w:name="_Toc8155"/>
      <w:bookmarkStart w:id="81" w:name="_Toc1630"/>
      <w:r>
        <w:rPr>
          <w:rFonts w:hint="eastAsia"/>
          <w:sz w:val="24"/>
        </w:rPr>
        <w:t>（2）乙方给用户造成的实际损失高于违约金的，乙方应给用户对高出违约金的部分予以赔偿。</w:t>
      </w:r>
      <w:bookmarkEnd w:id="80"/>
      <w:bookmarkEnd w:id="81"/>
    </w:p>
    <w:p>
      <w:pPr>
        <w:widowControl w:val="0"/>
        <w:kinsoku/>
        <w:adjustRightInd/>
        <w:snapToGrid/>
        <w:spacing w:line="360" w:lineRule="auto"/>
        <w:ind w:firstLine="480" w:firstLineChars="200"/>
        <w:jc w:val="both"/>
        <w:textAlignment w:val="auto"/>
        <w:rPr>
          <w:sz w:val="24"/>
        </w:rPr>
      </w:pPr>
      <w:bookmarkStart w:id="82" w:name="_Toc15751"/>
      <w:bookmarkStart w:id="83" w:name="_Toc23941"/>
      <w:r>
        <w:rPr>
          <w:rFonts w:hint="eastAsia"/>
          <w:sz w:val="24"/>
        </w:rPr>
        <w:t>（3）乙方迟延履行合同、不完全履行合同或提供的服务不符合招标文件的要求，除支付违约金外，仍应实际履行合同或重新提供符合要求的服务。</w:t>
      </w:r>
      <w:bookmarkEnd w:id="82"/>
      <w:bookmarkEnd w:id="83"/>
    </w:p>
    <w:p>
      <w:pPr>
        <w:widowControl w:val="0"/>
        <w:kinsoku/>
        <w:adjustRightInd/>
        <w:snapToGrid/>
        <w:spacing w:line="360" w:lineRule="auto"/>
        <w:ind w:firstLine="480" w:firstLineChars="200"/>
        <w:jc w:val="both"/>
        <w:textAlignment w:val="auto"/>
        <w:rPr>
          <w:sz w:val="24"/>
        </w:rPr>
      </w:pPr>
      <w:bookmarkStart w:id="84" w:name="_Toc25387"/>
      <w:bookmarkStart w:id="85" w:name="_Toc21648"/>
      <w:r>
        <w:rPr>
          <w:rFonts w:hint="eastAsia"/>
          <w:sz w:val="24"/>
        </w:rPr>
        <w:t>（4）由于乙方原因造成的延期，每延期一天，需支付甲方损失为合同总价款的 1‰。</w:t>
      </w:r>
      <w:bookmarkEnd w:id="84"/>
      <w:bookmarkEnd w:id="85"/>
    </w:p>
    <w:p>
      <w:pPr>
        <w:widowControl w:val="0"/>
        <w:kinsoku/>
        <w:adjustRightInd/>
        <w:snapToGrid/>
        <w:spacing w:line="360" w:lineRule="auto"/>
        <w:ind w:firstLine="480" w:firstLineChars="200"/>
        <w:jc w:val="both"/>
        <w:textAlignment w:val="auto"/>
        <w:rPr>
          <w:sz w:val="24"/>
        </w:rPr>
      </w:pPr>
      <w:bookmarkStart w:id="86" w:name="_Toc8408"/>
      <w:bookmarkStart w:id="87" w:name="_Toc5115"/>
      <w:r>
        <w:rPr>
          <w:rFonts w:hint="eastAsia"/>
          <w:sz w:val="24"/>
        </w:rPr>
        <w:t>（5）甲方和乙方若需签订补充协议，补充协议与该合同具有同等法律效力。</w:t>
      </w:r>
      <w:bookmarkEnd w:id="86"/>
      <w:bookmarkEnd w:id="87"/>
    </w:p>
    <w:p>
      <w:pPr>
        <w:widowControl w:val="0"/>
        <w:kinsoku/>
        <w:adjustRightInd/>
        <w:snapToGrid/>
        <w:spacing w:line="360" w:lineRule="auto"/>
        <w:ind w:firstLine="480" w:firstLineChars="200"/>
        <w:jc w:val="both"/>
        <w:textAlignment w:val="auto"/>
        <w:rPr>
          <w:sz w:val="24"/>
        </w:rPr>
      </w:pPr>
      <w:bookmarkStart w:id="88" w:name="_Toc27685"/>
      <w:bookmarkStart w:id="89" w:name="_Toc2579"/>
      <w:r>
        <w:rPr>
          <w:rFonts w:hint="eastAsia"/>
          <w:sz w:val="24"/>
        </w:rPr>
        <w:t>（6）其它未尽事宜，以《中华人民共和国</w:t>
      </w:r>
      <w:r>
        <w:rPr>
          <w:rFonts w:hint="eastAsia" w:eastAsia="宋体"/>
          <w:sz w:val="24"/>
          <w:lang w:val="en-US" w:eastAsia="zh-CN"/>
        </w:rPr>
        <w:t>民法典</w:t>
      </w:r>
      <w:r>
        <w:rPr>
          <w:rFonts w:hint="eastAsia"/>
          <w:sz w:val="24"/>
        </w:rPr>
        <w:t>》规定为准。 九、合同生效及其它</w:t>
      </w:r>
      <w:bookmarkEnd w:id="88"/>
      <w:bookmarkEnd w:id="89"/>
    </w:p>
    <w:p>
      <w:pPr>
        <w:widowControl w:val="0"/>
        <w:kinsoku/>
        <w:adjustRightInd/>
        <w:snapToGrid/>
        <w:spacing w:line="360" w:lineRule="auto"/>
        <w:ind w:firstLine="480" w:firstLineChars="200"/>
        <w:jc w:val="both"/>
        <w:textAlignment w:val="auto"/>
        <w:rPr>
          <w:sz w:val="24"/>
        </w:rPr>
      </w:pPr>
      <w:bookmarkStart w:id="90" w:name="_Toc1264"/>
      <w:bookmarkStart w:id="91" w:name="_Toc27824"/>
      <w:r>
        <w:rPr>
          <w:rFonts w:hint="eastAsia"/>
          <w:sz w:val="24"/>
        </w:rPr>
        <w:t>（1）合同签订后供需双方即直接产生权利与义务的关系，合同执行过程中出现的问题应按照《合同法》的规定办理；在合同履行过程中，双方如有争议，经协商无效，任何一方可向需方所在地人民法院提起诉讼。</w:t>
      </w:r>
      <w:bookmarkEnd w:id="90"/>
      <w:bookmarkEnd w:id="91"/>
    </w:p>
    <w:p>
      <w:pPr>
        <w:widowControl w:val="0"/>
        <w:kinsoku/>
        <w:adjustRightInd/>
        <w:snapToGrid/>
        <w:spacing w:line="360" w:lineRule="auto"/>
        <w:ind w:firstLine="480" w:firstLineChars="200"/>
        <w:jc w:val="both"/>
        <w:textAlignment w:val="auto"/>
        <w:rPr>
          <w:sz w:val="24"/>
        </w:rPr>
      </w:pPr>
      <w:bookmarkStart w:id="92" w:name="_Toc20058"/>
      <w:bookmarkStart w:id="93" w:name="_Toc13678"/>
      <w:r>
        <w:rPr>
          <w:rFonts w:hint="eastAsia"/>
          <w:sz w:val="24"/>
        </w:rPr>
        <w:t>（2）合同在执行过程中出现的未尽事宜，双方在不违背本合同和招标文件的原则下协商解决，协商结果以书面形式盖章记录在案，作为本合同的附件，与本合同具有同等效力。</w:t>
      </w:r>
      <w:bookmarkEnd w:id="92"/>
      <w:bookmarkEnd w:id="93"/>
    </w:p>
    <w:p>
      <w:pPr>
        <w:spacing w:line="360" w:lineRule="auto"/>
        <w:jc w:val="both"/>
        <w:outlineLvl w:val="9"/>
        <w:rPr>
          <w:sz w:val="24"/>
        </w:rPr>
      </w:pPr>
    </w:p>
    <w:p>
      <w:pPr>
        <w:widowControl w:val="0"/>
        <w:kinsoku/>
        <w:adjustRightInd/>
        <w:snapToGrid/>
        <w:spacing w:line="360" w:lineRule="auto"/>
        <w:jc w:val="both"/>
        <w:textAlignment w:val="auto"/>
        <w:rPr>
          <w:sz w:val="24"/>
        </w:rPr>
      </w:pPr>
      <w:bookmarkStart w:id="94" w:name="_Toc10619_WPSOffice_Level2"/>
      <w:bookmarkStart w:id="95" w:name="_Toc3081_WPSOffice_Level2"/>
      <w:bookmarkStart w:id="96" w:name="_Toc7032_WPSOffice_Level1"/>
      <w:bookmarkStart w:id="97" w:name="_Toc20805_WPSOffice_Level2"/>
      <w:bookmarkStart w:id="98" w:name="_Toc13056_WPSOffice_Level2"/>
      <w:bookmarkStart w:id="99" w:name="_Toc16421_WPSOffice_Level2"/>
      <w:bookmarkStart w:id="100" w:name="_Toc26378"/>
      <w:bookmarkStart w:id="101" w:name="_Toc29610_WPSOffice_Level2"/>
      <w:bookmarkStart w:id="102" w:name="_Toc4045"/>
      <w:r>
        <w:rPr>
          <w:rFonts w:hint="eastAsia"/>
          <w:sz w:val="24"/>
        </w:rPr>
        <w:t>甲</w:t>
      </w:r>
      <w:r>
        <w:rPr>
          <w:rFonts w:hint="eastAsia"/>
          <w:sz w:val="24"/>
        </w:rPr>
        <w:tab/>
      </w:r>
      <w:r>
        <w:rPr>
          <w:rFonts w:hint="eastAsia"/>
          <w:sz w:val="24"/>
        </w:rPr>
        <w:t>方（公章）：</w:t>
      </w:r>
      <w:r>
        <w:rPr>
          <w:rFonts w:hint="eastAsia"/>
          <w:sz w:val="24"/>
        </w:rPr>
        <w:tab/>
      </w:r>
      <w:r>
        <w:rPr>
          <w:rFonts w:hint="eastAsia" w:eastAsia="宋体"/>
          <w:sz w:val="24"/>
          <w:lang w:val="en-US" w:eastAsia="zh-CN"/>
        </w:rPr>
        <w:t xml:space="preserve">                                   </w:t>
      </w:r>
      <w:r>
        <w:rPr>
          <w:rFonts w:hint="eastAsia"/>
          <w:sz w:val="24"/>
        </w:rPr>
        <w:t>乙</w:t>
      </w:r>
      <w:r>
        <w:rPr>
          <w:rFonts w:hint="eastAsia"/>
          <w:sz w:val="24"/>
        </w:rPr>
        <w:tab/>
      </w:r>
      <w:r>
        <w:rPr>
          <w:rFonts w:hint="eastAsia"/>
          <w:sz w:val="24"/>
        </w:rPr>
        <w:t>方（公章）：</w:t>
      </w:r>
      <w:bookmarkEnd w:id="94"/>
      <w:bookmarkEnd w:id="95"/>
      <w:bookmarkEnd w:id="96"/>
      <w:bookmarkEnd w:id="97"/>
      <w:bookmarkEnd w:id="98"/>
      <w:bookmarkEnd w:id="99"/>
      <w:bookmarkEnd w:id="100"/>
      <w:bookmarkEnd w:id="101"/>
      <w:bookmarkEnd w:id="102"/>
    </w:p>
    <w:p>
      <w:pPr>
        <w:widowControl w:val="0"/>
        <w:kinsoku/>
        <w:adjustRightInd/>
        <w:snapToGrid/>
        <w:spacing w:line="360" w:lineRule="auto"/>
        <w:jc w:val="both"/>
        <w:textAlignment w:val="auto"/>
        <w:rPr>
          <w:sz w:val="24"/>
        </w:rPr>
      </w:pPr>
      <w:bookmarkStart w:id="103" w:name="_Toc20300"/>
      <w:bookmarkStart w:id="104" w:name="_Toc11748"/>
      <w:r>
        <w:rPr>
          <w:rFonts w:hint="eastAsia"/>
          <w:sz w:val="24"/>
        </w:rPr>
        <w:t>法定代表人或授权代理人：（签字）</w:t>
      </w:r>
      <w:r>
        <w:rPr>
          <w:rFonts w:hint="eastAsia"/>
          <w:sz w:val="24"/>
        </w:rPr>
        <w:tab/>
      </w:r>
      <w:r>
        <w:rPr>
          <w:rFonts w:hint="eastAsia" w:eastAsia="宋体"/>
          <w:sz w:val="24"/>
          <w:lang w:val="en-US" w:eastAsia="zh-CN"/>
        </w:rPr>
        <w:t xml:space="preserve">    </w:t>
      </w:r>
      <w:r>
        <w:rPr>
          <w:rFonts w:hint="eastAsia"/>
          <w:sz w:val="24"/>
        </w:rPr>
        <w:t>法定代表人或授权代理人：（签字）</w:t>
      </w:r>
      <w:bookmarkEnd w:id="103"/>
      <w:bookmarkEnd w:id="104"/>
    </w:p>
    <w:p>
      <w:pPr>
        <w:widowControl w:val="0"/>
        <w:kinsoku/>
        <w:adjustRightInd/>
        <w:snapToGrid/>
        <w:spacing w:line="360" w:lineRule="auto"/>
        <w:jc w:val="both"/>
        <w:textAlignment w:val="auto"/>
        <w:rPr>
          <w:sz w:val="24"/>
        </w:rPr>
      </w:pPr>
      <w:bookmarkStart w:id="105" w:name="_Toc11893"/>
      <w:bookmarkStart w:id="106" w:name="_Toc2236"/>
      <w:r>
        <w:rPr>
          <w:rFonts w:hint="eastAsia"/>
          <w:sz w:val="24"/>
        </w:rPr>
        <w:t>开户单位：</w:t>
      </w:r>
      <w:r>
        <w:rPr>
          <w:rFonts w:hint="eastAsia" w:eastAsia="宋体"/>
          <w:sz w:val="24"/>
          <w:lang w:val="en-US" w:eastAsia="zh-CN"/>
        </w:rPr>
        <w:t xml:space="preserve">                                                 </w:t>
      </w:r>
      <w:r>
        <w:rPr>
          <w:rFonts w:hint="eastAsia"/>
          <w:sz w:val="24"/>
        </w:rPr>
        <w:t>开户单位：</w:t>
      </w:r>
      <w:bookmarkEnd w:id="105"/>
      <w:bookmarkEnd w:id="106"/>
    </w:p>
    <w:p>
      <w:pPr>
        <w:widowControl w:val="0"/>
        <w:kinsoku/>
        <w:adjustRightInd/>
        <w:snapToGrid/>
        <w:spacing w:line="360" w:lineRule="auto"/>
        <w:jc w:val="both"/>
        <w:textAlignment w:val="auto"/>
        <w:rPr>
          <w:sz w:val="24"/>
        </w:rPr>
      </w:pPr>
      <w:bookmarkStart w:id="107" w:name="_Toc25263"/>
      <w:bookmarkStart w:id="108" w:name="_Toc31863"/>
      <w:r>
        <w:rPr>
          <w:rFonts w:hint="eastAsia"/>
          <w:sz w:val="24"/>
        </w:rPr>
        <w:t>开户银行：</w:t>
      </w:r>
      <w:r>
        <w:rPr>
          <w:rFonts w:hint="eastAsia" w:eastAsia="宋体"/>
          <w:sz w:val="24"/>
          <w:lang w:val="en-US" w:eastAsia="zh-CN"/>
        </w:rPr>
        <w:t xml:space="preserve">                                                 </w:t>
      </w:r>
      <w:r>
        <w:rPr>
          <w:rFonts w:hint="eastAsia"/>
          <w:sz w:val="24"/>
        </w:rPr>
        <w:t>开户银行：</w:t>
      </w:r>
      <w:bookmarkEnd w:id="107"/>
      <w:bookmarkEnd w:id="108"/>
    </w:p>
    <w:p>
      <w:pPr>
        <w:widowControl w:val="0"/>
        <w:kinsoku/>
        <w:adjustRightInd/>
        <w:snapToGrid/>
        <w:spacing w:line="360" w:lineRule="auto"/>
        <w:jc w:val="both"/>
        <w:textAlignment w:val="auto"/>
        <w:rPr>
          <w:sz w:val="24"/>
        </w:rPr>
      </w:pPr>
      <w:bookmarkStart w:id="109" w:name="_Toc17067"/>
      <w:bookmarkStart w:id="110" w:name="_Toc27472"/>
      <w:r>
        <w:rPr>
          <w:rFonts w:hint="eastAsia"/>
          <w:sz w:val="24"/>
        </w:rPr>
        <w:t>帐</w:t>
      </w:r>
      <w:r>
        <w:rPr>
          <w:rFonts w:hint="eastAsia"/>
          <w:sz w:val="24"/>
        </w:rPr>
        <w:tab/>
      </w:r>
      <w:r>
        <w:rPr>
          <w:rFonts w:hint="eastAsia"/>
          <w:sz w:val="24"/>
        </w:rPr>
        <w:t>号：</w:t>
      </w:r>
      <w:r>
        <w:rPr>
          <w:rFonts w:hint="eastAsia"/>
          <w:sz w:val="24"/>
        </w:rPr>
        <w:tab/>
      </w:r>
      <w:r>
        <w:rPr>
          <w:rFonts w:hint="eastAsia" w:eastAsia="宋体"/>
          <w:sz w:val="24"/>
          <w:lang w:val="en-US" w:eastAsia="zh-CN"/>
        </w:rPr>
        <w:t xml:space="preserve">                                                </w:t>
      </w:r>
      <w:r>
        <w:rPr>
          <w:rFonts w:hint="eastAsia"/>
          <w:sz w:val="24"/>
        </w:rPr>
        <w:t>帐</w:t>
      </w:r>
      <w:r>
        <w:rPr>
          <w:rFonts w:hint="eastAsia"/>
          <w:sz w:val="24"/>
        </w:rPr>
        <w:tab/>
      </w:r>
      <w:r>
        <w:rPr>
          <w:rFonts w:hint="eastAsia"/>
          <w:sz w:val="24"/>
        </w:rPr>
        <w:t>号：</w:t>
      </w:r>
      <w:bookmarkEnd w:id="109"/>
      <w:bookmarkEnd w:id="110"/>
    </w:p>
    <w:p>
      <w:pPr>
        <w:widowControl w:val="0"/>
        <w:kinsoku/>
        <w:adjustRightInd/>
        <w:snapToGrid/>
        <w:spacing w:line="360" w:lineRule="auto"/>
        <w:jc w:val="both"/>
        <w:textAlignment w:val="auto"/>
        <w:rPr>
          <w:sz w:val="24"/>
        </w:rPr>
      </w:pPr>
      <w:bookmarkStart w:id="111" w:name="_Toc18260"/>
      <w:bookmarkStart w:id="112" w:name="_Toc19503"/>
      <w:r>
        <w:rPr>
          <w:rFonts w:hint="eastAsia"/>
          <w:sz w:val="24"/>
        </w:rPr>
        <w:t>地</w:t>
      </w:r>
      <w:r>
        <w:rPr>
          <w:rFonts w:hint="eastAsia"/>
          <w:sz w:val="24"/>
        </w:rPr>
        <w:tab/>
      </w:r>
      <w:r>
        <w:rPr>
          <w:rFonts w:hint="eastAsia"/>
          <w:sz w:val="24"/>
        </w:rPr>
        <w:t>址：</w:t>
      </w:r>
      <w:r>
        <w:rPr>
          <w:rFonts w:hint="eastAsia"/>
          <w:sz w:val="24"/>
        </w:rPr>
        <w:tab/>
      </w:r>
      <w:r>
        <w:rPr>
          <w:rFonts w:hint="eastAsia" w:eastAsia="宋体"/>
          <w:sz w:val="24"/>
          <w:lang w:val="en-US" w:eastAsia="zh-CN"/>
        </w:rPr>
        <w:t xml:space="preserve">                                                </w:t>
      </w:r>
      <w:r>
        <w:rPr>
          <w:rFonts w:hint="eastAsia"/>
          <w:sz w:val="24"/>
        </w:rPr>
        <w:t>地</w:t>
      </w:r>
      <w:r>
        <w:rPr>
          <w:rFonts w:hint="eastAsia"/>
          <w:sz w:val="24"/>
        </w:rPr>
        <w:tab/>
      </w:r>
      <w:r>
        <w:rPr>
          <w:rFonts w:hint="eastAsia"/>
          <w:sz w:val="24"/>
        </w:rPr>
        <w:t>址：</w:t>
      </w:r>
      <w:bookmarkEnd w:id="111"/>
      <w:bookmarkEnd w:id="112"/>
    </w:p>
    <w:p>
      <w:pPr>
        <w:widowControl w:val="0"/>
        <w:kinsoku/>
        <w:adjustRightInd/>
        <w:snapToGrid/>
        <w:spacing w:line="360" w:lineRule="auto"/>
        <w:jc w:val="both"/>
        <w:textAlignment w:val="auto"/>
        <w:rPr>
          <w:sz w:val="24"/>
        </w:rPr>
      </w:pPr>
      <w:bookmarkStart w:id="113" w:name="_Toc16058"/>
      <w:bookmarkStart w:id="114" w:name="_Toc15291"/>
      <w:r>
        <w:rPr>
          <w:rFonts w:hint="eastAsia"/>
          <w:sz w:val="24"/>
        </w:rPr>
        <w:t>电</w:t>
      </w:r>
      <w:r>
        <w:rPr>
          <w:rFonts w:hint="eastAsia"/>
          <w:sz w:val="24"/>
        </w:rPr>
        <w:tab/>
      </w:r>
      <w:r>
        <w:rPr>
          <w:rFonts w:hint="eastAsia"/>
          <w:sz w:val="24"/>
        </w:rPr>
        <w:t>话：</w:t>
      </w:r>
      <w:r>
        <w:rPr>
          <w:rFonts w:hint="eastAsia"/>
          <w:sz w:val="24"/>
        </w:rPr>
        <w:tab/>
      </w:r>
      <w:r>
        <w:rPr>
          <w:rFonts w:hint="eastAsia" w:eastAsia="宋体"/>
          <w:sz w:val="24"/>
          <w:lang w:val="en-US" w:eastAsia="zh-CN"/>
        </w:rPr>
        <w:t xml:space="preserve">                                               </w:t>
      </w:r>
      <w:r>
        <w:rPr>
          <w:rFonts w:hint="eastAsia"/>
          <w:sz w:val="24"/>
        </w:rPr>
        <w:t>电</w:t>
      </w:r>
      <w:r>
        <w:rPr>
          <w:rFonts w:hint="eastAsia"/>
          <w:sz w:val="24"/>
        </w:rPr>
        <w:tab/>
      </w:r>
      <w:r>
        <w:rPr>
          <w:rFonts w:hint="eastAsia"/>
          <w:sz w:val="24"/>
        </w:rPr>
        <w:t>话：</w:t>
      </w:r>
      <w:bookmarkEnd w:id="113"/>
      <w:bookmarkEnd w:id="114"/>
    </w:p>
    <w:p>
      <w:pPr>
        <w:widowControl w:val="0"/>
        <w:kinsoku/>
        <w:adjustRightInd/>
        <w:snapToGrid/>
        <w:spacing w:line="360" w:lineRule="auto"/>
        <w:jc w:val="both"/>
        <w:textAlignment w:val="auto"/>
        <w:rPr>
          <w:sz w:val="24"/>
        </w:rPr>
      </w:pPr>
      <w:bookmarkStart w:id="115" w:name="_Toc22352"/>
      <w:bookmarkStart w:id="116" w:name="_Toc32463"/>
      <w:r>
        <w:rPr>
          <w:rFonts w:hint="eastAsia"/>
          <w:sz w:val="24"/>
        </w:rPr>
        <w:t>签订时间：</w:t>
      </w:r>
      <w:r>
        <w:rPr>
          <w:rFonts w:hint="eastAsia" w:eastAsia="宋体"/>
          <w:sz w:val="24"/>
          <w:lang w:val="en-US" w:eastAsia="zh-CN"/>
        </w:rPr>
        <w:t xml:space="preserve">                                                </w:t>
      </w:r>
      <w:r>
        <w:rPr>
          <w:rFonts w:hint="eastAsia"/>
          <w:sz w:val="24"/>
        </w:rPr>
        <w:t>签订时间：</w:t>
      </w:r>
      <w:bookmarkEnd w:id="115"/>
      <w:bookmarkEnd w:id="116"/>
    </w:p>
    <w:p>
      <w:pPr>
        <w:rPr>
          <w:sz w:val="24"/>
        </w:rPr>
      </w:pPr>
      <w:r>
        <w:rPr>
          <w:sz w:val="24"/>
        </w:rPr>
        <w:br w:type="page"/>
      </w:r>
    </w:p>
    <w:p>
      <w:pPr>
        <w:spacing w:before="101" w:line="225" w:lineRule="auto"/>
        <w:jc w:val="center"/>
        <w:outlineLvl w:val="0"/>
        <w:rPr>
          <w:rFonts w:ascii="宋体" w:hAnsi="宋体" w:eastAsia="宋体" w:cs="宋体"/>
          <w:b/>
          <w:bCs/>
          <w:sz w:val="31"/>
          <w:szCs w:val="31"/>
        </w:rPr>
      </w:pPr>
      <w:bookmarkStart w:id="117" w:name="_Toc5387"/>
      <w:r>
        <w:rPr>
          <w:rFonts w:ascii="宋体" w:hAnsi="宋体" w:eastAsia="宋体" w:cs="宋体"/>
          <w:b/>
          <w:bCs/>
          <w:spacing w:val="10"/>
          <w:sz w:val="31"/>
          <w:szCs w:val="31"/>
        </w:rPr>
        <w:t>第</w:t>
      </w:r>
      <w:r>
        <w:rPr>
          <w:rFonts w:hint="eastAsia" w:ascii="宋体" w:hAnsi="宋体" w:eastAsia="宋体" w:cs="宋体"/>
          <w:b/>
          <w:bCs/>
          <w:spacing w:val="9"/>
          <w:sz w:val="31"/>
          <w:szCs w:val="31"/>
        </w:rPr>
        <w:t>六</w:t>
      </w:r>
      <w:r>
        <w:rPr>
          <w:rFonts w:ascii="宋体" w:hAnsi="宋体" w:eastAsia="宋体" w:cs="宋体"/>
          <w:b/>
          <w:bCs/>
          <w:spacing w:val="9"/>
          <w:sz w:val="31"/>
          <w:szCs w:val="31"/>
        </w:rPr>
        <w:t>部分</w:t>
      </w:r>
      <w:r>
        <w:rPr>
          <w:rFonts w:hint="eastAsia" w:ascii="宋体" w:hAnsi="宋体" w:eastAsia="宋体" w:cs="宋体"/>
          <w:b/>
          <w:bCs/>
          <w:spacing w:val="9"/>
          <w:sz w:val="31"/>
          <w:szCs w:val="31"/>
          <w:lang w:val="en-US" w:eastAsia="zh-CN"/>
        </w:rPr>
        <w:t xml:space="preserve"> </w:t>
      </w:r>
      <w:r>
        <w:rPr>
          <w:rFonts w:ascii="宋体" w:hAnsi="宋体" w:eastAsia="宋体" w:cs="宋体"/>
          <w:b/>
          <w:bCs/>
          <w:spacing w:val="9"/>
          <w:sz w:val="31"/>
          <w:szCs w:val="31"/>
        </w:rPr>
        <w:t>投标文件格式</w:t>
      </w:r>
      <w:bookmarkEnd w:id="117"/>
    </w:p>
    <w:p>
      <w:pPr>
        <w:spacing w:line="274" w:lineRule="auto"/>
      </w:pPr>
    </w:p>
    <w:p>
      <w:pPr>
        <w:spacing w:before="78" w:line="220" w:lineRule="auto"/>
        <w:ind w:left="41"/>
        <w:rPr>
          <w:rFonts w:ascii="宋体" w:hAnsi="宋体" w:eastAsia="宋体" w:cs="宋体"/>
          <w:sz w:val="24"/>
          <w:szCs w:val="24"/>
        </w:rPr>
      </w:pPr>
      <w:r>
        <w:rPr>
          <w:rFonts w:ascii="宋体" w:hAnsi="宋体" w:eastAsia="宋体" w:cs="宋体"/>
          <w:spacing w:val="-2"/>
          <w:sz w:val="24"/>
          <w:szCs w:val="24"/>
        </w:rPr>
        <w:t>投标文</w:t>
      </w:r>
      <w:r>
        <w:rPr>
          <w:rFonts w:ascii="宋体" w:hAnsi="宋体" w:eastAsia="宋体" w:cs="宋体"/>
          <w:spacing w:val="-1"/>
          <w:sz w:val="24"/>
          <w:szCs w:val="24"/>
        </w:rPr>
        <w:t>件封面格式</w:t>
      </w:r>
    </w:p>
    <w:p>
      <w:pPr>
        <w:spacing w:line="248" w:lineRule="auto"/>
      </w:pPr>
    </w:p>
    <w:p>
      <w:pPr>
        <w:spacing w:line="248" w:lineRule="auto"/>
      </w:pPr>
    </w:p>
    <w:p>
      <w:pPr>
        <w:spacing w:line="249" w:lineRule="auto"/>
      </w:pPr>
    </w:p>
    <w:p>
      <w:pPr>
        <w:spacing w:line="360" w:lineRule="auto"/>
        <w:jc w:val="center"/>
        <w:rPr>
          <w:rFonts w:hint="eastAsia" w:ascii="Times New Roman" w:hAnsi="Times New Roman"/>
          <w:b/>
          <w:bCs/>
          <w:kern w:val="0"/>
          <w:sz w:val="40"/>
          <w:szCs w:val="24"/>
        </w:rPr>
      </w:pPr>
      <w:r>
        <w:rPr>
          <w:rFonts w:hint="eastAsia" w:ascii="Times New Roman" w:hAnsi="Times New Roman"/>
          <w:b/>
          <w:bCs/>
          <w:kern w:val="0"/>
          <w:sz w:val="40"/>
          <w:szCs w:val="24"/>
          <w:u w:val="single"/>
        </w:rPr>
        <w:t xml:space="preserve">                      </w:t>
      </w:r>
      <w:r>
        <w:rPr>
          <w:rFonts w:hint="eastAsia" w:ascii="Times New Roman" w:hAnsi="Times New Roman"/>
          <w:b/>
          <w:bCs/>
          <w:kern w:val="0"/>
          <w:sz w:val="40"/>
          <w:szCs w:val="24"/>
        </w:rPr>
        <w:t>项目</w:t>
      </w:r>
    </w:p>
    <w:p>
      <w:pPr>
        <w:spacing w:line="360" w:lineRule="auto"/>
        <w:rPr>
          <w:rFonts w:hint="eastAsia" w:ascii="Times New Roman" w:hAnsi="Times New Roman"/>
          <w:b/>
          <w:bCs/>
          <w:kern w:val="0"/>
          <w:sz w:val="40"/>
          <w:szCs w:val="24"/>
          <w:u w:val="single"/>
        </w:rPr>
      </w:pPr>
      <w:r>
        <w:rPr>
          <w:rFonts w:hint="eastAsia" w:ascii="Times New Roman" w:hAnsi="Times New Roman"/>
          <w:b/>
          <w:bCs/>
          <w:kern w:val="0"/>
          <w:sz w:val="40"/>
          <w:szCs w:val="24"/>
        </w:rPr>
        <w:t xml:space="preserve">                 </w:t>
      </w:r>
    </w:p>
    <w:p>
      <w:pPr>
        <w:spacing w:line="360" w:lineRule="auto"/>
        <w:rPr>
          <w:rFonts w:hint="eastAsia" w:ascii="宋体" w:hAnsi="宋体" w:cs="宋体"/>
          <w:b/>
          <w:bCs/>
          <w:color w:val="000000"/>
          <w:kern w:val="0"/>
          <w:sz w:val="36"/>
          <w:szCs w:val="36"/>
          <w:lang w:bidi="ar"/>
        </w:rPr>
      </w:pPr>
      <w:r>
        <w:rPr>
          <w:rFonts w:hint="eastAsia" w:ascii="Times New Roman" w:hAnsi="Times New Roman"/>
          <w:b/>
          <w:bCs/>
          <w:kern w:val="0"/>
          <w:sz w:val="40"/>
          <w:szCs w:val="24"/>
        </w:rPr>
        <w:t xml:space="preserve">             </w:t>
      </w:r>
    </w:p>
    <w:p>
      <w:pPr>
        <w:rPr>
          <w:rFonts w:hint="eastAsia" w:ascii="宋体" w:hAnsi="宋体" w:cs="宋体"/>
          <w:sz w:val="72"/>
          <w:szCs w:val="44"/>
        </w:rPr>
      </w:pPr>
    </w:p>
    <w:p>
      <w:pPr>
        <w:jc w:val="center"/>
        <w:rPr>
          <w:rFonts w:hint="eastAsia" w:ascii="宋体" w:hAnsi="宋体" w:cs="宋体"/>
          <w:sz w:val="72"/>
          <w:szCs w:val="44"/>
        </w:rPr>
      </w:pPr>
      <w:r>
        <w:rPr>
          <w:rFonts w:hint="eastAsia" w:ascii="宋体" w:hAnsi="宋体" w:cs="宋体"/>
          <w:sz w:val="72"/>
          <w:szCs w:val="44"/>
          <w:lang w:bidi="ar"/>
        </w:rPr>
        <w:t>投标文件</w:t>
      </w:r>
    </w:p>
    <w:p>
      <w:pPr>
        <w:spacing w:line="500" w:lineRule="exact"/>
        <w:ind w:firstLine="1680" w:firstLineChars="600"/>
        <w:rPr>
          <w:rFonts w:hint="eastAsia" w:ascii="宋体" w:hAnsi="宋体" w:cs="宋体"/>
          <w:sz w:val="28"/>
          <w:szCs w:val="28"/>
          <w:lang w:bidi="ar"/>
        </w:rPr>
      </w:pPr>
    </w:p>
    <w:p>
      <w:pPr>
        <w:spacing w:line="500" w:lineRule="exact"/>
        <w:ind w:firstLine="1960" w:firstLineChars="700"/>
        <w:rPr>
          <w:rFonts w:hint="eastAsia" w:ascii="宋体" w:hAnsi="宋体" w:cs="宋体"/>
          <w:sz w:val="28"/>
          <w:szCs w:val="28"/>
          <w:lang w:bidi="ar"/>
        </w:rPr>
      </w:pPr>
      <w:r>
        <w:rPr>
          <w:rFonts w:hint="eastAsia" w:ascii="宋体" w:hAnsi="宋体" w:cs="宋体"/>
          <w:sz w:val="28"/>
          <w:szCs w:val="28"/>
          <w:lang w:bidi="ar"/>
        </w:rPr>
        <w:t>项目编号：</w:t>
      </w:r>
    </w:p>
    <w:p>
      <w:pPr>
        <w:spacing w:line="500" w:lineRule="exact"/>
        <w:ind w:firstLine="480" w:firstLineChars="200"/>
        <w:rPr>
          <w:rFonts w:hint="eastAsia" w:ascii="宋体" w:hAnsi="宋体" w:cs="宋体"/>
          <w:sz w:val="24"/>
        </w:rPr>
      </w:pPr>
    </w:p>
    <w:p>
      <w:pPr>
        <w:spacing w:line="500" w:lineRule="exact"/>
        <w:ind w:firstLine="480" w:firstLineChars="200"/>
        <w:rPr>
          <w:rFonts w:hint="eastAsia" w:ascii="宋体" w:hAnsi="宋体" w:cs="宋体"/>
          <w:sz w:val="24"/>
        </w:rPr>
      </w:pPr>
    </w:p>
    <w:p>
      <w:pPr>
        <w:spacing w:line="500" w:lineRule="exact"/>
        <w:rPr>
          <w:rFonts w:hint="eastAsia" w:ascii="宋体" w:hAnsi="宋体" w:cs="宋体"/>
          <w:sz w:val="24"/>
        </w:rPr>
      </w:pPr>
    </w:p>
    <w:p>
      <w:pPr>
        <w:spacing w:line="500" w:lineRule="exact"/>
        <w:rPr>
          <w:rFonts w:hint="eastAsia" w:ascii="宋体" w:hAnsi="宋体" w:cs="宋体"/>
          <w:sz w:val="24"/>
        </w:rPr>
      </w:pPr>
    </w:p>
    <w:p>
      <w:pPr>
        <w:spacing w:line="500" w:lineRule="exact"/>
        <w:rPr>
          <w:rFonts w:hint="eastAsia" w:ascii="宋体" w:hAnsi="宋体" w:cs="宋体"/>
          <w:sz w:val="24"/>
        </w:rPr>
      </w:pPr>
    </w:p>
    <w:p>
      <w:pPr>
        <w:spacing w:line="400" w:lineRule="exact"/>
        <w:ind w:firstLine="1540" w:firstLineChars="550"/>
        <w:rPr>
          <w:rFonts w:hint="eastAsia" w:ascii="宋体" w:hAnsi="宋体" w:cs="宋体"/>
          <w:sz w:val="28"/>
          <w:szCs w:val="28"/>
        </w:rPr>
      </w:pPr>
      <w:r>
        <w:rPr>
          <w:rFonts w:hint="eastAsia" w:ascii="宋体" w:hAnsi="宋体" w:cs="宋体"/>
          <w:sz w:val="28"/>
          <w:szCs w:val="28"/>
          <w:lang w:bidi="ar"/>
        </w:rPr>
        <w:t>供应商名称：（公章）</w:t>
      </w:r>
    </w:p>
    <w:p>
      <w:pPr>
        <w:spacing w:line="400" w:lineRule="exact"/>
        <w:ind w:firstLine="560" w:firstLineChars="200"/>
        <w:rPr>
          <w:rFonts w:hint="eastAsia" w:ascii="宋体" w:hAnsi="宋体" w:cs="宋体"/>
          <w:sz w:val="28"/>
          <w:szCs w:val="28"/>
        </w:rPr>
      </w:pPr>
    </w:p>
    <w:p>
      <w:pPr>
        <w:spacing w:line="400" w:lineRule="exact"/>
        <w:jc w:val="center"/>
        <w:rPr>
          <w:rFonts w:hint="eastAsia" w:ascii="宋体" w:hAnsi="宋体" w:cs="宋体"/>
          <w:sz w:val="28"/>
          <w:szCs w:val="28"/>
          <w:lang w:bidi="ar"/>
        </w:rPr>
      </w:pPr>
      <w:r>
        <w:rPr>
          <w:rFonts w:hint="eastAsia" w:ascii="宋体" w:hAnsi="宋体" w:cs="宋体"/>
          <w:sz w:val="28"/>
          <w:szCs w:val="28"/>
          <w:lang w:bidi="ar"/>
        </w:rPr>
        <w:t>法定代表人或负责人或被授权人签名（或盖章）</w:t>
      </w:r>
    </w:p>
    <w:p>
      <w:pPr>
        <w:spacing w:line="400" w:lineRule="exact"/>
        <w:jc w:val="center"/>
        <w:rPr>
          <w:rFonts w:hint="eastAsia" w:ascii="宋体" w:hAnsi="宋体" w:cs="宋体"/>
          <w:sz w:val="28"/>
          <w:szCs w:val="28"/>
          <w:lang w:bidi="ar"/>
        </w:rPr>
      </w:pPr>
    </w:p>
    <w:p>
      <w:pPr>
        <w:spacing w:line="400" w:lineRule="exact"/>
        <w:jc w:val="center"/>
        <w:rPr>
          <w:rFonts w:hint="eastAsia" w:ascii="宋体" w:hAnsi="宋体" w:cs="宋体"/>
          <w:szCs w:val="21"/>
        </w:rPr>
      </w:pPr>
      <w:r>
        <w:rPr>
          <w:rFonts w:hint="eastAsia" w:ascii="宋体" w:hAnsi="宋体" w:cs="宋体"/>
          <w:sz w:val="28"/>
          <w:szCs w:val="28"/>
          <w:lang w:bidi="ar"/>
        </w:rPr>
        <w:t>年    月    日</w:t>
      </w: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520" w:lineRule="exact"/>
        <w:ind w:firstLine="3962" w:firstLineChars="900"/>
        <w:jc w:val="left"/>
        <w:rPr>
          <w:rFonts w:hint="eastAsia" w:ascii="Times New Roman" w:hAnsi="Times New Roman"/>
          <w:b/>
          <w:sz w:val="44"/>
          <w:szCs w:val="44"/>
        </w:rPr>
      </w:pPr>
    </w:p>
    <w:p>
      <w:pPr>
        <w:spacing w:line="520" w:lineRule="exact"/>
        <w:ind w:firstLine="3962" w:firstLineChars="900"/>
        <w:jc w:val="left"/>
        <w:rPr>
          <w:rFonts w:hint="eastAsia" w:ascii="Times New Roman" w:hAnsi="Times New Roman"/>
          <w:b/>
          <w:sz w:val="44"/>
          <w:szCs w:val="44"/>
        </w:rPr>
      </w:pPr>
    </w:p>
    <w:p>
      <w:pPr>
        <w:spacing w:line="520" w:lineRule="exact"/>
        <w:ind w:firstLine="3962" w:firstLineChars="900"/>
        <w:jc w:val="left"/>
        <w:rPr>
          <w:rFonts w:hint="eastAsia" w:ascii="Times New Roman" w:hAnsi="Times New Roman"/>
          <w:b/>
          <w:sz w:val="44"/>
          <w:szCs w:val="44"/>
        </w:rPr>
      </w:pPr>
      <w:r>
        <w:rPr>
          <w:rFonts w:hint="eastAsia" w:ascii="Times New Roman" w:hAnsi="Times New Roman"/>
          <w:b/>
          <w:sz w:val="44"/>
          <w:szCs w:val="44"/>
        </w:rPr>
        <w:t>目  录</w:t>
      </w:r>
    </w:p>
    <w:p>
      <w:pPr>
        <w:spacing w:line="520" w:lineRule="exact"/>
        <w:ind w:firstLine="880" w:firstLineChars="200"/>
        <w:jc w:val="left"/>
        <w:rPr>
          <w:rFonts w:hint="eastAsia" w:ascii="Times New Roman" w:hAnsi="Times New Roman"/>
          <w:sz w:val="44"/>
          <w:szCs w:val="44"/>
        </w:rPr>
      </w:pPr>
    </w:p>
    <w:p>
      <w:pPr>
        <w:spacing w:line="520" w:lineRule="exact"/>
        <w:ind w:firstLine="1320" w:firstLineChars="300"/>
        <w:jc w:val="left"/>
        <w:rPr>
          <w:rFonts w:hint="eastAsia" w:ascii="Times New Roman" w:hAnsi="Times New Roman"/>
          <w:sz w:val="44"/>
          <w:szCs w:val="44"/>
        </w:rPr>
      </w:pPr>
      <w:r>
        <w:rPr>
          <w:rFonts w:hint="eastAsia" w:ascii="Times New Roman" w:hAnsi="Times New Roman"/>
          <w:sz w:val="44"/>
          <w:szCs w:val="44"/>
        </w:rPr>
        <w:t>（由供应商自行编制并设置页码）</w:t>
      </w: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rPr>
          <w:rFonts w:hint="eastAsia" w:ascii="宋体" w:hAnsi="宋体"/>
          <w:szCs w:val="21"/>
          <w:lang w:bidi="ar"/>
        </w:rPr>
      </w:pPr>
    </w:p>
    <w:p>
      <w:pPr>
        <w:spacing w:line="500" w:lineRule="exact"/>
        <w:jc w:val="left"/>
        <w:rPr>
          <w:rFonts w:ascii="宋体" w:hAnsi="宋体" w:cs="宋体"/>
          <w:b/>
          <w:bCs/>
          <w:spacing w:val="-13"/>
          <w:sz w:val="24"/>
          <w:szCs w:val="24"/>
        </w:rPr>
      </w:pPr>
      <w:r>
        <w:rPr>
          <w:rFonts w:hint="eastAsia" w:ascii="宋体" w:hAnsi="宋体" w:cs="宋体"/>
          <w:b/>
          <w:bCs/>
          <w:spacing w:val="-13"/>
          <w:sz w:val="24"/>
          <w:szCs w:val="24"/>
        </w:rPr>
        <w:t>一、资格证明文件格式</w:t>
      </w:r>
    </w:p>
    <w:p>
      <w:pPr>
        <w:spacing w:line="360" w:lineRule="exact"/>
        <w:jc w:val="left"/>
        <w:rPr>
          <w:rFonts w:ascii="宋体" w:hAnsi="宋体" w:cs="宋体"/>
          <w:b/>
          <w:bCs/>
          <w:snapToGrid w:val="0"/>
          <w:kern w:val="0"/>
          <w:sz w:val="24"/>
          <w:szCs w:val="24"/>
        </w:rPr>
      </w:pPr>
    </w:p>
    <w:p>
      <w:pPr>
        <w:spacing w:line="360" w:lineRule="exact"/>
        <w:jc w:val="left"/>
        <w:rPr>
          <w:rFonts w:ascii="宋体" w:hAnsi="宋体" w:cs="宋体"/>
          <w:b/>
          <w:bCs/>
          <w:snapToGrid w:val="0"/>
          <w:kern w:val="0"/>
          <w:sz w:val="24"/>
          <w:szCs w:val="24"/>
        </w:rPr>
      </w:pPr>
      <w:r>
        <w:rPr>
          <w:rFonts w:hint="eastAsia" w:ascii="宋体" w:hAnsi="宋体" w:cs="宋体"/>
          <w:b/>
          <w:bCs/>
          <w:snapToGrid w:val="0"/>
          <w:kern w:val="0"/>
          <w:sz w:val="24"/>
          <w:szCs w:val="24"/>
        </w:rPr>
        <w:t>1.开标一览表格式</w:t>
      </w:r>
    </w:p>
    <w:p>
      <w:pPr>
        <w:spacing w:line="360" w:lineRule="exact"/>
        <w:jc w:val="center"/>
        <w:rPr>
          <w:rFonts w:hint="eastAsia" w:ascii="宋体" w:hAnsi="宋体" w:cs="宋体"/>
          <w:b/>
          <w:bCs/>
          <w:snapToGrid w:val="0"/>
          <w:kern w:val="0"/>
          <w:sz w:val="24"/>
          <w:szCs w:val="24"/>
        </w:rPr>
      </w:pPr>
    </w:p>
    <w:p>
      <w:pPr>
        <w:spacing w:line="360" w:lineRule="exact"/>
        <w:jc w:val="center"/>
        <w:rPr>
          <w:rFonts w:hint="eastAsia" w:ascii="宋体" w:hAnsi="宋体" w:cs="宋体"/>
          <w:b/>
          <w:bCs/>
          <w:snapToGrid w:val="0"/>
          <w:kern w:val="0"/>
          <w:sz w:val="32"/>
          <w:szCs w:val="24"/>
        </w:rPr>
      </w:pPr>
      <w:r>
        <w:rPr>
          <w:rFonts w:hint="eastAsia" w:ascii="宋体" w:hAnsi="宋体" w:cs="宋体"/>
          <w:b/>
          <w:bCs/>
          <w:snapToGrid w:val="0"/>
          <w:kern w:val="0"/>
          <w:sz w:val="32"/>
          <w:szCs w:val="24"/>
        </w:rPr>
        <w:t>开标一览表</w:t>
      </w:r>
    </w:p>
    <w:p>
      <w:pPr>
        <w:ind w:firstLine="420" w:firstLineChars="200"/>
        <w:rPr>
          <w:rFonts w:ascii="Times New Roman" w:hAnsi="Times New Roman"/>
          <w:szCs w:val="24"/>
        </w:rPr>
      </w:pPr>
    </w:p>
    <w:tbl>
      <w:tblPr>
        <w:tblStyle w:val="28"/>
        <w:tblW w:w="87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69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1"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ascii="宋体" w:hAnsi="宋体" w:cs="宋体"/>
                <w:bCs/>
                <w:snapToGrid w:val="0"/>
                <w:kern w:val="0"/>
                <w:sz w:val="24"/>
                <w:szCs w:val="24"/>
              </w:rPr>
            </w:pPr>
            <w:r>
              <w:rPr>
                <w:rFonts w:hint="eastAsia" w:ascii="宋体" w:hAnsi="宋体" w:cs="宋体"/>
                <w:bCs/>
                <w:snapToGrid w:val="0"/>
                <w:kern w:val="0"/>
                <w:sz w:val="24"/>
                <w:szCs w:val="24"/>
              </w:rPr>
              <w:t>项目名称</w:t>
            </w:r>
          </w:p>
        </w:tc>
        <w:tc>
          <w:tcPr>
            <w:tcW w:w="692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ascii="宋体" w:hAnsi="宋体" w:cs="宋体"/>
                <w:bCs/>
                <w:snapToGrid w:val="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ascii="宋体" w:hAnsi="宋体" w:cs="宋体"/>
                <w:bCs/>
                <w:snapToGrid w:val="0"/>
                <w:kern w:val="0"/>
                <w:sz w:val="24"/>
                <w:szCs w:val="24"/>
              </w:rPr>
            </w:pPr>
            <w:r>
              <w:rPr>
                <w:rFonts w:hint="eastAsia" w:ascii="宋体" w:hAnsi="宋体" w:cs="宋体"/>
                <w:bCs/>
                <w:snapToGrid w:val="0"/>
                <w:kern w:val="0"/>
                <w:sz w:val="24"/>
                <w:szCs w:val="24"/>
              </w:rPr>
              <w:t>项目编号</w:t>
            </w:r>
          </w:p>
        </w:tc>
        <w:tc>
          <w:tcPr>
            <w:tcW w:w="692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ascii="宋体" w:hAnsi="宋体" w:cs="宋体"/>
                <w:bCs/>
                <w:snapToGrid w:val="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ascii="宋体" w:hAnsi="宋体" w:cs="宋体"/>
                <w:bCs/>
                <w:snapToGrid w:val="0"/>
                <w:kern w:val="0"/>
                <w:sz w:val="24"/>
                <w:szCs w:val="24"/>
              </w:rPr>
            </w:pPr>
            <w:r>
              <w:rPr>
                <w:rFonts w:hint="eastAsia" w:ascii="宋体" w:hAnsi="宋体" w:cs="宋体"/>
                <w:bCs/>
                <w:snapToGrid w:val="0"/>
                <w:kern w:val="0"/>
                <w:sz w:val="24"/>
                <w:szCs w:val="24"/>
              </w:rPr>
              <w:t>投标人</w:t>
            </w:r>
          </w:p>
        </w:tc>
        <w:tc>
          <w:tcPr>
            <w:tcW w:w="692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ascii="宋体" w:hAnsi="宋体" w:cs="宋体"/>
                <w:bCs/>
                <w:snapToGrid w:val="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9"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ascii="宋体" w:hAnsi="宋体" w:cs="宋体"/>
                <w:bCs/>
                <w:snapToGrid w:val="0"/>
                <w:kern w:val="0"/>
                <w:sz w:val="24"/>
                <w:szCs w:val="24"/>
              </w:rPr>
            </w:pPr>
            <w:r>
              <w:rPr>
                <w:rFonts w:hint="eastAsia" w:ascii="宋体" w:hAnsi="宋体" w:cs="宋体"/>
                <w:bCs/>
                <w:snapToGrid w:val="0"/>
                <w:kern w:val="0"/>
                <w:sz w:val="24"/>
                <w:szCs w:val="24"/>
              </w:rPr>
              <w:t>投标报价</w:t>
            </w:r>
          </w:p>
        </w:tc>
        <w:tc>
          <w:tcPr>
            <w:tcW w:w="692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ascii="宋体" w:hAnsi="宋体" w:cs="宋体"/>
                <w:bCs/>
                <w:snapToGrid w:val="0"/>
                <w:kern w:val="0"/>
                <w:sz w:val="24"/>
                <w:szCs w:val="24"/>
              </w:rPr>
            </w:pPr>
            <w:r>
              <w:rPr>
                <w:rFonts w:hint="eastAsia" w:ascii="宋体" w:hAnsi="宋体" w:cs="宋体"/>
                <w:bCs/>
                <w:snapToGrid w:val="0"/>
                <w:kern w:val="0"/>
                <w:sz w:val="24"/>
                <w:szCs w:val="24"/>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ascii="宋体" w:hAnsi="宋体" w:cs="宋体"/>
                <w:bCs/>
                <w:snapToGrid w:val="0"/>
                <w:kern w:val="0"/>
                <w:sz w:val="24"/>
                <w:szCs w:val="24"/>
              </w:rPr>
            </w:pPr>
            <w:r>
              <w:rPr>
                <w:rFonts w:hint="eastAsia" w:ascii="宋体" w:hAnsi="宋体" w:cs="宋体"/>
                <w:bCs/>
                <w:snapToGrid w:val="0"/>
                <w:kern w:val="0"/>
                <w:sz w:val="24"/>
                <w:szCs w:val="24"/>
              </w:rPr>
              <w:t>交货时间</w:t>
            </w:r>
          </w:p>
        </w:tc>
        <w:tc>
          <w:tcPr>
            <w:tcW w:w="692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ascii="宋体" w:hAnsi="宋体" w:cs="宋体"/>
                <w:bCs/>
                <w:snapToGrid w:val="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ascii="宋体" w:hAnsi="宋体" w:cs="宋体"/>
                <w:bCs/>
                <w:snapToGrid w:val="0"/>
                <w:kern w:val="0"/>
                <w:sz w:val="24"/>
                <w:szCs w:val="24"/>
              </w:rPr>
            </w:pPr>
            <w:r>
              <w:rPr>
                <w:rFonts w:hint="eastAsia" w:ascii="宋体" w:hAnsi="宋体" w:cs="宋体"/>
                <w:bCs/>
                <w:snapToGrid w:val="0"/>
                <w:kern w:val="0"/>
                <w:sz w:val="24"/>
                <w:szCs w:val="24"/>
              </w:rPr>
              <w:t>质量保证期</w:t>
            </w:r>
          </w:p>
        </w:tc>
        <w:tc>
          <w:tcPr>
            <w:tcW w:w="692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ascii="宋体" w:hAnsi="宋体" w:cs="宋体"/>
                <w:bCs/>
                <w:snapToGrid w:val="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ascii="宋体" w:hAnsi="宋体" w:cs="宋体"/>
                <w:bCs/>
                <w:snapToGrid w:val="0"/>
                <w:kern w:val="0"/>
                <w:sz w:val="24"/>
                <w:szCs w:val="24"/>
              </w:rPr>
            </w:pPr>
            <w:r>
              <w:rPr>
                <w:rFonts w:hint="eastAsia" w:ascii="宋体" w:hAnsi="宋体" w:cs="宋体"/>
                <w:bCs/>
                <w:snapToGrid w:val="0"/>
                <w:kern w:val="0"/>
                <w:sz w:val="24"/>
                <w:szCs w:val="24"/>
              </w:rPr>
              <w:t>备注</w:t>
            </w:r>
          </w:p>
        </w:tc>
        <w:tc>
          <w:tcPr>
            <w:tcW w:w="692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ascii="宋体" w:hAnsi="宋体" w:cs="宋体"/>
                <w:bCs/>
                <w:snapToGrid w:val="0"/>
                <w:kern w:val="0"/>
                <w:sz w:val="24"/>
                <w:szCs w:val="24"/>
              </w:rPr>
            </w:pPr>
          </w:p>
          <w:p>
            <w:pPr>
              <w:spacing w:line="360" w:lineRule="exact"/>
              <w:jc w:val="left"/>
              <w:rPr>
                <w:rFonts w:ascii="宋体" w:hAnsi="宋体" w:cs="宋体"/>
                <w:bCs/>
                <w:snapToGrid w:val="0"/>
                <w:kern w:val="0"/>
                <w:sz w:val="24"/>
                <w:szCs w:val="24"/>
              </w:rPr>
            </w:pPr>
          </w:p>
        </w:tc>
      </w:tr>
    </w:tbl>
    <w:p>
      <w:pPr>
        <w:spacing w:line="360" w:lineRule="exact"/>
        <w:jc w:val="left"/>
        <w:rPr>
          <w:rFonts w:ascii="宋体" w:hAnsi="宋体" w:cs="宋体"/>
          <w:bCs/>
          <w:snapToGrid w:val="0"/>
          <w:kern w:val="0"/>
          <w:sz w:val="24"/>
          <w:szCs w:val="24"/>
        </w:rPr>
      </w:pPr>
    </w:p>
    <w:p>
      <w:pPr>
        <w:spacing w:line="360" w:lineRule="exact"/>
        <w:jc w:val="left"/>
        <w:rPr>
          <w:rFonts w:ascii="宋体" w:hAnsi="宋体" w:cs="宋体"/>
          <w:bCs/>
          <w:snapToGrid w:val="0"/>
          <w:kern w:val="0"/>
          <w:sz w:val="24"/>
          <w:szCs w:val="24"/>
        </w:rPr>
      </w:pPr>
      <w:r>
        <w:rPr>
          <w:rFonts w:hint="eastAsia" w:ascii="宋体" w:hAnsi="宋体" w:cs="宋体"/>
          <w:bCs/>
          <w:snapToGrid w:val="0"/>
          <w:kern w:val="0"/>
          <w:sz w:val="24"/>
          <w:szCs w:val="24"/>
        </w:rPr>
        <w:t>注：“开标一览表”报总价。</w:t>
      </w:r>
    </w:p>
    <w:p>
      <w:pPr>
        <w:spacing w:line="360" w:lineRule="exact"/>
        <w:jc w:val="left"/>
        <w:rPr>
          <w:rFonts w:ascii="宋体" w:hAnsi="宋体" w:cs="宋体"/>
          <w:bCs/>
          <w:snapToGrid w:val="0"/>
          <w:kern w:val="0"/>
          <w:sz w:val="24"/>
          <w:szCs w:val="24"/>
        </w:rPr>
      </w:pPr>
      <w:r>
        <w:rPr>
          <w:rFonts w:hint="eastAsia" w:ascii="宋体" w:hAnsi="宋体" w:cs="宋体"/>
          <w:bCs/>
          <w:snapToGrid w:val="0"/>
          <w:kern w:val="0"/>
          <w:sz w:val="24"/>
          <w:szCs w:val="24"/>
        </w:rPr>
        <w:t>投标人（公章）：</w:t>
      </w:r>
    </w:p>
    <w:p>
      <w:pPr>
        <w:spacing w:line="360" w:lineRule="exact"/>
        <w:jc w:val="left"/>
        <w:rPr>
          <w:rFonts w:ascii="宋体" w:hAnsi="宋体" w:cs="宋体"/>
          <w:bCs/>
          <w:snapToGrid w:val="0"/>
          <w:kern w:val="0"/>
          <w:sz w:val="24"/>
          <w:szCs w:val="24"/>
        </w:rPr>
      </w:pPr>
      <w:r>
        <w:rPr>
          <w:rFonts w:hint="eastAsia" w:ascii="宋体" w:hAnsi="宋体" w:cs="宋体"/>
          <w:bCs/>
          <w:snapToGrid w:val="0"/>
          <w:kern w:val="0"/>
          <w:sz w:val="24"/>
          <w:szCs w:val="24"/>
        </w:rPr>
        <w:t>法定代表人（负责人）或授权代表（签字）：</w:t>
      </w:r>
    </w:p>
    <w:p>
      <w:pPr>
        <w:spacing w:line="360" w:lineRule="exact"/>
        <w:jc w:val="left"/>
        <w:rPr>
          <w:rFonts w:ascii="宋体" w:hAnsi="宋体" w:cs="宋体"/>
          <w:bCs/>
          <w:snapToGrid w:val="0"/>
          <w:kern w:val="0"/>
          <w:sz w:val="24"/>
          <w:szCs w:val="24"/>
        </w:rPr>
      </w:pPr>
      <w:r>
        <w:rPr>
          <w:rFonts w:hint="eastAsia" w:ascii="宋体" w:hAnsi="宋体" w:cs="宋体"/>
          <w:bCs/>
          <w:snapToGrid w:val="0"/>
          <w:kern w:val="0"/>
          <w:sz w:val="24"/>
          <w:szCs w:val="24"/>
        </w:rPr>
        <w:t>日期：年月日</w:t>
      </w:r>
    </w:p>
    <w:p>
      <w:pPr>
        <w:spacing w:line="360" w:lineRule="exact"/>
        <w:jc w:val="left"/>
        <w:rPr>
          <w:rFonts w:ascii="宋体" w:hAnsi="宋体" w:cs="宋体"/>
          <w:bCs/>
          <w:sz w:val="24"/>
          <w:szCs w:val="24"/>
        </w:rPr>
      </w:pPr>
    </w:p>
    <w:p>
      <w:pPr>
        <w:spacing w:line="360" w:lineRule="exact"/>
        <w:jc w:val="left"/>
        <w:rPr>
          <w:rFonts w:ascii="宋体" w:hAnsi="宋体" w:cs="宋体"/>
          <w:bCs/>
          <w:sz w:val="24"/>
          <w:szCs w:val="24"/>
        </w:rPr>
      </w:pPr>
    </w:p>
    <w:p>
      <w:pPr>
        <w:spacing w:line="360" w:lineRule="exact"/>
        <w:jc w:val="left"/>
        <w:rPr>
          <w:rFonts w:ascii="宋体" w:hAnsi="宋体" w:cs="宋体"/>
          <w:bCs/>
          <w:sz w:val="24"/>
          <w:szCs w:val="24"/>
        </w:rPr>
      </w:pPr>
    </w:p>
    <w:p>
      <w:pPr>
        <w:spacing w:line="360" w:lineRule="exact"/>
        <w:jc w:val="left"/>
        <w:rPr>
          <w:rFonts w:ascii="宋体" w:hAnsi="宋体" w:cs="宋体"/>
          <w:bCs/>
          <w:sz w:val="24"/>
          <w:szCs w:val="24"/>
        </w:rPr>
      </w:pPr>
    </w:p>
    <w:p>
      <w:pPr>
        <w:spacing w:line="360" w:lineRule="exact"/>
        <w:jc w:val="left"/>
        <w:rPr>
          <w:rFonts w:ascii="宋体" w:hAnsi="宋体" w:cs="宋体"/>
          <w:bCs/>
          <w:sz w:val="24"/>
          <w:szCs w:val="24"/>
        </w:rPr>
      </w:pPr>
    </w:p>
    <w:p>
      <w:pPr>
        <w:spacing w:line="360" w:lineRule="exact"/>
        <w:jc w:val="left"/>
        <w:rPr>
          <w:rFonts w:ascii="宋体" w:hAnsi="宋体" w:cs="宋体"/>
          <w:bCs/>
          <w:sz w:val="24"/>
          <w:szCs w:val="24"/>
        </w:rPr>
      </w:pPr>
    </w:p>
    <w:p>
      <w:pPr>
        <w:spacing w:line="360" w:lineRule="exact"/>
        <w:jc w:val="left"/>
        <w:rPr>
          <w:rFonts w:ascii="宋体" w:hAnsi="宋体" w:cs="宋体"/>
          <w:bCs/>
          <w:sz w:val="24"/>
          <w:szCs w:val="24"/>
        </w:rPr>
      </w:pPr>
    </w:p>
    <w:p>
      <w:pPr>
        <w:spacing w:line="360" w:lineRule="exact"/>
        <w:jc w:val="left"/>
        <w:rPr>
          <w:rFonts w:ascii="宋体" w:hAnsi="宋体" w:cs="宋体"/>
          <w:b/>
          <w:bCs/>
          <w:sz w:val="24"/>
          <w:szCs w:val="24"/>
        </w:rPr>
      </w:pPr>
      <w:r>
        <w:rPr>
          <w:rFonts w:hint="eastAsia" w:ascii="宋体" w:hAnsi="宋体" w:cs="宋体"/>
          <w:b/>
          <w:bCs/>
          <w:sz w:val="24"/>
          <w:szCs w:val="24"/>
        </w:rPr>
        <w:t>2.授权书格式</w:t>
      </w:r>
    </w:p>
    <w:p>
      <w:pPr>
        <w:spacing w:line="360" w:lineRule="exact"/>
        <w:jc w:val="left"/>
        <w:rPr>
          <w:rFonts w:ascii="宋体" w:hAnsi="宋体" w:cs="宋体"/>
          <w:bCs/>
          <w:sz w:val="24"/>
          <w:szCs w:val="24"/>
        </w:rPr>
      </w:pPr>
    </w:p>
    <w:p>
      <w:pPr>
        <w:spacing w:line="360" w:lineRule="exact"/>
        <w:jc w:val="left"/>
        <w:rPr>
          <w:rFonts w:ascii="宋体" w:hAnsi="宋体" w:cs="宋体"/>
          <w:bCs/>
          <w:sz w:val="24"/>
          <w:szCs w:val="24"/>
        </w:rPr>
      </w:pPr>
    </w:p>
    <w:p>
      <w:pPr>
        <w:spacing w:line="360" w:lineRule="exact"/>
        <w:jc w:val="center"/>
        <w:rPr>
          <w:rFonts w:ascii="宋体" w:hAnsi="宋体" w:cs="宋体"/>
          <w:b/>
          <w:bCs/>
          <w:sz w:val="32"/>
          <w:szCs w:val="24"/>
        </w:rPr>
      </w:pPr>
      <w:r>
        <w:rPr>
          <w:rFonts w:hint="eastAsia" w:ascii="宋体" w:hAnsi="宋体" w:cs="宋体"/>
          <w:b/>
          <w:bCs/>
          <w:sz w:val="32"/>
          <w:szCs w:val="24"/>
        </w:rPr>
        <w:t>法定代表人（负责人）授权委托书</w:t>
      </w:r>
    </w:p>
    <w:p>
      <w:pPr>
        <w:spacing w:line="360" w:lineRule="exact"/>
        <w:jc w:val="left"/>
        <w:rPr>
          <w:rFonts w:ascii="宋体" w:hAnsi="宋体" w:cs="宋体"/>
          <w:bCs/>
          <w:sz w:val="24"/>
          <w:szCs w:val="24"/>
        </w:rPr>
      </w:pPr>
    </w:p>
    <w:p>
      <w:pPr>
        <w:spacing w:line="480" w:lineRule="exact"/>
        <w:jc w:val="left"/>
        <w:rPr>
          <w:rFonts w:ascii="宋体" w:hAnsi="宋体" w:cs="宋体"/>
          <w:bCs/>
          <w:sz w:val="24"/>
          <w:szCs w:val="24"/>
        </w:rPr>
      </w:pPr>
      <w:r>
        <w:rPr>
          <w:rFonts w:hint="eastAsia" w:ascii="宋体" w:hAnsi="宋体" w:cs="宋体"/>
          <w:bCs/>
          <w:sz w:val="24"/>
          <w:szCs w:val="24"/>
        </w:rPr>
        <w:t>委托单位：</w:t>
      </w:r>
    </w:p>
    <w:p>
      <w:pPr>
        <w:spacing w:line="480" w:lineRule="exact"/>
        <w:jc w:val="left"/>
        <w:rPr>
          <w:rFonts w:ascii="宋体" w:hAnsi="宋体" w:cs="宋体"/>
          <w:bCs/>
          <w:sz w:val="24"/>
          <w:szCs w:val="24"/>
        </w:rPr>
      </w:pPr>
      <w:r>
        <w:rPr>
          <w:rFonts w:hint="eastAsia" w:ascii="宋体" w:hAnsi="宋体" w:cs="宋体"/>
          <w:bCs/>
          <w:sz w:val="24"/>
          <w:szCs w:val="24"/>
        </w:rPr>
        <w:t>地址：            法定代表人（负责人）：</w:t>
      </w:r>
    </w:p>
    <w:p>
      <w:pPr>
        <w:spacing w:line="480" w:lineRule="exact"/>
        <w:jc w:val="left"/>
        <w:rPr>
          <w:rFonts w:ascii="宋体" w:hAnsi="宋体" w:cs="宋体"/>
          <w:bCs/>
          <w:sz w:val="24"/>
          <w:szCs w:val="24"/>
        </w:rPr>
      </w:pPr>
      <w:r>
        <w:rPr>
          <w:rFonts w:hint="eastAsia" w:ascii="宋体" w:hAnsi="宋体" w:cs="宋体"/>
          <w:bCs/>
          <w:sz w:val="24"/>
          <w:szCs w:val="24"/>
        </w:rPr>
        <w:t>授权代表姓名：    性别：        出生日期：年月日</w:t>
      </w:r>
    </w:p>
    <w:p>
      <w:pPr>
        <w:spacing w:line="480" w:lineRule="exact"/>
        <w:jc w:val="left"/>
        <w:rPr>
          <w:rFonts w:ascii="宋体" w:hAnsi="宋体" w:cs="宋体"/>
          <w:bCs/>
          <w:sz w:val="24"/>
          <w:szCs w:val="24"/>
        </w:rPr>
      </w:pPr>
      <w:r>
        <w:rPr>
          <w:rFonts w:hint="eastAsia" w:ascii="宋体" w:hAnsi="宋体" w:cs="宋体"/>
          <w:bCs/>
          <w:sz w:val="24"/>
          <w:szCs w:val="24"/>
        </w:rPr>
        <w:t>所在单位：        职务：</w:t>
      </w:r>
    </w:p>
    <w:p>
      <w:pPr>
        <w:spacing w:line="480" w:lineRule="exact"/>
        <w:jc w:val="left"/>
        <w:rPr>
          <w:rFonts w:ascii="宋体" w:hAnsi="宋体" w:cs="宋体"/>
          <w:bCs/>
          <w:sz w:val="24"/>
          <w:szCs w:val="24"/>
        </w:rPr>
      </w:pPr>
      <w:r>
        <w:rPr>
          <w:rFonts w:hint="eastAsia" w:ascii="宋体" w:hAnsi="宋体" w:cs="宋体"/>
          <w:bCs/>
          <w:sz w:val="24"/>
          <w:szCs w:val="24"/>
        </w:rPr>
        <w:t>身份证：          现住：</w:t>
      </w:r>
    </w:p>
    <w:p>
      <w:pPr>
        <w:spacing w:line="480" w:lineRule="exact"/>
        <w:jc w:val="left"/>
        <w:rPr>
          <w:rFonts w:ascii="宋体" w:hAnsi="宋体" w:cs="宋体"/>
          <w:bCs/>
          <w:sz w:val="24"/>
          <w:szCs w:val="24"/>
        </w:rPr>
      </w:pPr>
      <w:r>
        <w:rPr>
          <w:rFonts w:hint="eastAsia" w:ascii="宋体" w:hAnsi="宋体" w:cs="宋体"/>
          <w:bCs/>
          <w:sz w:val="24"/>
          <w:szCs w:val="24"/>
        </w:rPr>
        <w:t>兹委托参加项目事宜，并授权其全权办理以下事宜：</w:t>
      </w:r>
    </w:p>
    <w:p>
      <w:pPr>
        <w:spacing w:line="480" w:lineRule="exact"/>
        <w:jc w:val="left"/>
        <w:rPr>
          <w:rFonts w:ascii="宋体" w:hAnsi="宋体" w:cs="宋体"/>
          <w:bCs/>
          <w:sz w:val="24"/>
          <w:szCs w:val="24"/>
        </w:rPr>
      </w:pPr>
      <w:r>
        <w:rPr>
          <w:rFonts w:hint="eastAsia" w:ascii="宋体" w:hAnsi="宋体" w:cs="宋体"/>
          <w:bCs/>
          <w:sz w:val="24"/>
          <w:szCs w:val="24"/>
        </w:rPr>
        <w:t>1、参加投标活动；</w:t>
      </w:r>
    </w:p>
    <w:p>
      <w:pPr>
        <w:spacing w:line="480" w:lineRule="exact"/>
        <w:jc w:val="left"/>
        <w:rPr>
          <w:rFonts w:ascii="宋体" w:hAnsi="宋体" w:cs="宋体"/>
          <w:bCs/>
          <w:sz w:val="24"/>
          <w:szCs w:val="24"/>
        </w:rPr>
      </w:pPr>
      <w:r>
        <w:rPr>
          <w:rFonts w:hint="eastAsia" w:ascii="宋体" w:hAnsi="宋体" w:cs="宋体"/>
          <w:bCs/>
          <w:sz w:val="24"/>
          <w:szCs w:val="24"/>
        </w:rPr>
        <w:t>2、签订与中标事宜有关的合同。</w:t>
      </w:r>
    </w:p>
    <w:p>
      <w:pPr>
        <w:spacing w:line="480" w:lineRule="exact"/>
        <w:jc w:val="left"/>
        <w:rPr>
          <w:rFonts w:ascii="宋体" w:hAnsi="宋体" w:cs="宋体"/>
          <w:bCs/>
          <w:sz w:val="24"/>
          <w:szCs w:val="24"/>
        </w:rPr>
      </w:pPr>
      <w:r>
        <w:rPr>
          <w:rFonts w:hint="eastAsia" w:ascii="宋体" w:hAnsi="宋体" w:cs="宋体"/>
          <w:bCs/>
          <w:sz w:val="24"/>
          <w:szCs w:val="24"/>
        </w:rPr>
        <w:t>授权代表在办理上述事宜过程中以其自己的名义所签署的所有文件我均予以承认。</w:t>
      </w:r>
    </w:p>
    <w:p>
      <w:pPr>
        <w:spacing w:line="480" w:lineRule="exact"/>
        <w:jc w:val="left"/>
        <w:rPr>
          <w:rFonts w:ascii="宋体" w:hAnsi="宋体" w:cs="宋体"/>
          <w:bCs/>
          <w:sz w:val="24"/>
          <w:szCs w:val="24"/>
        </w:rPr>
      </w:pPr>
      <w:r>
        <w:rPr>
          <w:rFonts w:hint="eastAsia" w:ascii="宋体" w:hAnsi="宋体" w:cs="宋体"/>
          <w:bCs/>
          <w:sz w:val="24"/>
          <w:szCs w:val="24"/>
        </w:rPr>
        <w:t>授权代表无转委权。</w:t>
      </w:r>
    </w:p>
    <w:p>
      <w:pPr>
        <w:spacing w:line="480" w:lineRule="exact"/>
        <w:jc w:val="left"/>
        <w:rPr>
          <w:rFonts w:ascii="宋体" w:hAnsi="宋体" w:cs="宋体"/>
          <w:bCs/>
          <w:sz w:val="24"/>
          <w:szCs w:val="24"/>
        </w:rPr>
      </w:pPr>
      <w:r>
        <w:rPr>
          <w:rFonts w:hint="eastAsia" w:ascii="宋体" w:hAnsi="宋体" w:cs="宋体"/>
          <w:bCs/>
          <w:sz w:val="24"/>
          <w:szCs w:val="24"/>
        </w:rPr>
        <w:t>委托期限：至上述事宜处理完毕止。</w:t>
      </w:r>
    </w:p>
    <w:p>
      <w:pPr>
        <w:spacing w:line="480" w:lineRule="exact"/>
        <w:ind w:left="420" w:leftChars="200" w:firstLine="560" w:firstLineChars="200"/>
        <w:jc w:val="left"/>
        <w:rPr>
          <w:rFonts w:ascii="宋体" w:hAnsi="宋体" w:cs="宋体"/>
          <w:bCs/>
          <w:sz w:val="28"/>
          <w:szCs w:val="24"/>
        </w:rPr>
      </w:pPr>
    </w:p>
    <w:p>
      <w:pPr>
        <w:spacing w:line="480" w:lineRule="exact"/>
        <w:jc w:val="left"/>
        <w:rPr>
          <w:rFonts w:ascii="宋体" w:hAnsi="宋体" w:cs="宋体"/>
          <w:bCs/>
          <w:sz w:val="24"/>
          <w:szCs w:val="24"/>
        </w:rPr>
      </w:pPr>
      <w:r>
        <w:rPr>
          <w:rFonts w:hint="eastAsia" w:ascii="宋体" w:hAnsi="宋体" w:cs="宋体"/>
          <w:bCs/>
          <w:sz w:val="24"/>
          <w:szCs w:val="24"/>
        </w:rPr>
        <w:t>委托单位（公章）：</w:t>
      </w:r>
    </w:p>
    <w:p>
      <w:pPr>
        <w:spacing w:line="480" w:lineRule="exact"/>
        <w:jc w:val="left"/>
        <w:rPr>
          <w:rFonts w:ascii="宋体" w:hAnsi="宋体" w:cs="宋体"/>
          <w:bCs/>
          <w:sz w:val="24"/>
          <w:szCs w:val="24"/>
        </w:rPr>
      </w:pPr>
      <w:r>
        <w:rPr>
          <w:rFonts w:hint="eastAsia" w:ascii="宋体" w:hAnsi="宋体" w:cs="宋体"/>
          <w:bCs/>
          <w:sz w:val="24"/>
          <w:szCs w:val="24"/>
        </w:rPr>
        <w:t>法定代表人（负责人）（签字）：</w:t>
      </w:r>
    </w:p>
    <w:p>
      <w:pPr>
        <w:spacing w:line="480" w:lineRule="exact"/>
        <w:jc w:val="left"/>
        <w:rPr>
          <w:rFonts w:ascii="宋体" w:hAnsi="宋体" w:cs="宋体"/>
          <w:bCs/>
          <w:sz w:val="24"/>
          <w:szCs w:val="24"/>
        </w:rPr>
      </w:pPr>
      <w:r>
        <w:rPr>
          <w:rFonts w:hint="eastAsia" w:ascii="宋体" w:hAnsi="宋体" w:cs="宋体"/>
          <w:bCs/>
          <w:sz w:val="24"/>
          <w:szCs w:val="24"/>
        </w:rPr>
        <w:t>授权代表（签字）：</w:t>
      </w:r>
    </w:p>
    <w:p>
      <w:pPr>
        <w:spacing w:line="480" w:lineRule="exact"/>
        <w:jc w:val="left"/>
        <w:rPr>
          <w:rFonts w:ascii="宋体" w:hAnsi="宋体" w:cs="宋体"/>
          <w:bCs/>
          <w:sz w:val="24"/>
          <w:szCs w:val="24"/>
        </w:rPr>
      </w:pPr>
      <w:r>
        <w:rPr>
          <w:rFonts w:hint="eastAsia" w:ascii="宋体" w:hAnsi="宋体" w:cs="宋体"/>
          <w:bCs/>
          <w:sz w:val="24"/>
          <w:szCs w:val="24"/>
        </w:rPr>
        <w:t>日期：</w:t>
      </w:r>
      <w:r>
        <w:rPr>
          <w:rFonts w:hint="eastAsia" w:ascii="宋体" w:hAnsi="宋体" w:cs="宋体"/>
          <w:bCs/>
          <w:snapToGrid w:val="0"/>
          <w:color w:val="000000"/>
          <w:kern w:val="0"/>
          <w:sz w:val="24"/>
          <w:szCs w:val="24"/>
        </w:rPr>
        <w:t>年月日</w:t>
      </w:r>
    </w:p>
    <w:p>
      <w:pPr>
        <w:spacing w:line="480" w:lineRule="exact"/>
        <w:jc w:val="left"/>
        <w:rPr>
          <w:rFonts w:ascii="宋体" w:hAnsi="宋体" w:cs="宋体"/>
          <w:bCs/>
          <w:sz w:val="24"/>
          <w:szCs w:val="24"/>
        </w:rPr>
      </w:pPr>
    </w:p>
    <w:p>
      <w:pPr>
        <w:spacing w:line="480" w:lineRule="exact"/>
        <w:jc w:val="left"/>
        <w:rPr>
          <w:rFonts w:ascii="宋体" w:hAnsi="宋体" w:cs="宋体"/>
          <w:bCs/>
          <w:sz w:val="24"/>
          <w:szCs w:val="24"/>
        </w:rPr>
      </w:pPr>
      <w:r>
        <w:rPr>
          <w:rFonts w:hint="eastAsia" w:ascii="宋体" w:hAnsi="宋体" w:cs="宋体"/>
          <w:bCs/>
          <w:sz w:val="24"/>
          <w:szCs w:val="24"/>
        </w:rPr>
        <w:t>附：法定代表人（负责人）的身份证及授权代表的身份证</w:t>
      </w:r>
    </w:p>
    <w:p>
      <w:pPr>
        <w:spacing w:line="360" w:lineRule="exact"/>
        <w:jc w:val="left"/>
        <w:rPr>
          <w:rFonts w:ascii="宋体" w:hAnsi="宋体" w:cs="宋体"/>
          <w:bCs/>
          <w:sz w:val="24"/>
          <w:szCs w:val="24"/>
        </w:rPr>
      </w:pPr>
    </w:p>
    <w:p>
      <w:pPr>
        <w:spacing w:line="360" w:lineRule="exact"/>
        <w:jc w:val="left"/>
        <w:rPr>
          <w:rFonts w:ascii="宋体" w:hAnsi="宋体" w:cs="宋体"/>
          <w:bCs/>
          <w:sz w:val="24"/>
          <w:szCs w:val="24"/>
        </w:rPr>
      </w:pPr>
    </w:p>
    <w:p>
      <w:pPr>
        <w:spacing w:line="360" w:lineRule="exact"/>
        <w:jc w:val="left"/>
        <w:rPr>
          <w:rFonts w:ascii="宋体" w:hAnsi="宋体" w:cs="宋体"/>
          <w:bCs/>
          <w:sz w:val="24"/>
          <w:szCs w:val="24"/>
        </w:rPr>
      </w:pPr>
    </w:p>
    <w:p>
      <w:pPr>
        <w:spacing w:line="360" w:lineRule="exact"/>
        <w:jc w:val="left"/>
        <w:rPr>
          <w:rFonts w:ascii="宋体" w:hAnsi="宋体" w:cs="宋体"/>
          <w:bCs/>
          <w:sz w:val="24"/>
          <w:szCs w:val="24"/>
        </w:rPr>
      </w:pPr>
    </w:p>
    <w:p>
      <w:pPr>
        <w:spacing w:line="360" w:lineRule="exact"/>
        <w:jc w:val="left"/>
        <w:rPr>
          <w:rFonts w:ascii="宋体" w:hAnsi="宋体" w:cs="宋体"/>
          <w:bCs/>
          <w:sz w:val="24"/>
          <w:szCs w:val="24"/>
        </w:rPr>
      </w:pPr>
    </w:p>
    <w:p>
      <w:pPr>
        <w:spacing w:line="360" w:lineRule="exact"/>
        <w:jc w:val="left"/>
        <w:rPr>
          <w:rFonts w:ascii="宋体" w:hAnsi="宋体" w:cs="宋体"/>
          <w:bCs/>
          <w:sz w:val="24"/>
          <w:szCs w:val="24"/>
        </w:rPr>
      </w:pPr>
    </w:p>
    <w:p>
      <w:pPr>
        <w:spacing w:line="360" w:lineRule="exact"/>
        <w:jc w:val="left"/>
        <w:rPr>
          <w:rFonts w:ascii="宋体" w:hAnsi="宋体" w:cs="宋体"/>
          <w:bCs/>
          <w:sz w:val="24"/>
          <w:szCs w:val="24"/>
        </w:rPr>
      </w:pPr>
    </w:p>
    <w:p>
      <w:pPr>
        <w:spacing w:line="360" w:lineRule="exact"/>
        <w:jc w:val="left"/>
        <w:rPr>
          <w:rFonts w:ascii="宋体" w:hAnsi="宋体" w:cs="宋体"/>
          <w:bCs/>
          <w:sz w:val="24"/>
          <w:szCs w:val="24"/>
        </w:rPr>
      </w:pPr>
    </w:p>
    <w:p>
      <w:pPr>
        <w:spacing w:line="360" w:lineRule="exact"/>
        <w:jc w:val="left"/>
        <w:rPr>
          <w:rFonts w:ascii="宋体" w:hAnsi="宋体" w:cs="宋体"/>
          <w:bCs/>
          <w:sz w:val="24"/>
          <w:szCs w:val="24"/>
        </w:rPr>
      </w:pPr>
    </w:p>
    <w:p>
      <w:pPr>
        <w:spacing w:line="360" w:lineRule="exact"/>
        <w:jc w:val="left"/>
        <w:rPr>
          <w:rFonts w:ascii="宋体" w:hAnsi="宋体" w:cs="宋体"/>
          <w:bCs/>
          <w:sz w:val="24"/>
          <w:szCs w:val="24"/>
        </w:rPr>
      </w:pPr>
    </w:p>
    <w:p>
      <w:pPr>
        <w:spacing w:line="360" w:lineRule="exact"/>
        <w:jc w:val="left"/>
        <w:rPr>
          <w:rFonts w:ascii="宋体" w:hAnsi="宋体" w:cs="宋体"/>
          <w:bCs/>
          <w:sz w:val="24"/>
          <w:szCs w:val="24"/>
        </w:rPr>
      </w:pPr>
    </w:p>
    <w:p>
      <w:pPr>
        <w:spacing w:line="360" w:lineRule="exact"/>
        <w:jc w:val="left"/>
        <w:rPr>
          <w:rFonts w:ascii="宋体" w:hAnsi="宋体" w:cs="宋体"/>
          <w:b/>
          <w:bCs/>
          <w:sz w:val="24"/>
          <w:szCs w:val="24"/>
        </w:rPr>
      </w:pPr>
      <w:r>
        <w:rPr>
          <w:rFonts w:hint="eastAsia" w:ascii="宋体" w:hAnsi="宋体" w:cs="宋体"/>
          <w:b/>
          <w:bCs/>
          <w:sz w:val="24"/>
          <w:szCs w:val="24"/>
        </w:rPr>
        <w:t>3.资格声明函格式</w:t>
      </w:r>
    </w:p>
    <w:p>
      <w:pPr>
        <w:spacing w:line="360" w:lineRule="exact"/>
        <w:jc w:val="center"/>
        <w:rPr>
          <w:rFonts w:ascii="宋体" w:hAnsi="宋体" w:cs="宋体"/>
          <w:b/>
          <w:bCs/>
          <w:sz w:val="24"/>
          <w:szCs w:val="24"/>
        </w:rPr>
      </w:pPr>
    </w:p>
    <w:p>
      <w:pPr>
        <w:spacing w:line="360" w:lineRule="exact"/>
        <w:jc w:val="center"/>
        <w:rPr>
          <w:rFonts w:ascii="宋体" w:hAnsi="宋体" w:cs="宋体"/>
          <w:b/>
          <w:bCs/>
          <w:sz w:val="32"/>
          <w:szCs w:val="24"/>
        </w:rPr>
      </w:pPr>
      <w:r>
        <w:rPr>
          <w:rFonts w:hint="eastAsia" w:ascii="宋体" w:hAnsi="宋体" w:cs="宋体"/>
          <w:b/>
          <w:bCs/>
          <w:sz w:val="32"/>
          <w:szCs w:val="24"/>
        </w:rPr>
        <w:t>关于资格的声明函</w:t>
      </w:r>
    </w:p>
    <w:p>
      <w:pPr>
        <w:spacing w:line="360" w:lineRule="exact"/>
        <w:jc w:val="left"/>
        <w:rPr>
          <w:rFonts w:ascii="宋体" w:hAnsi="宋体" w:cs="宋体"/>
          <w:bCs/>
          <w:sz w:val="24"/>
          <w:szCs w:val="24"/>
        </w:rPr>
      </w:pPr>
    </w:p>
    <w:p>
      <w:pPr>
        <w:spacing w:line="500" w:lineRule="exact"/>
        <w:jc w:val="left"/>
        <w:rPr>
          <w:rFonts w:ascii="宋体" w:hAnsi="宋体" w:cs="宋体"/>
          <w:bCs/>
          <w:sz w:val="24"/>
          <w:szCs w:val="24"/>
        </w:rPr>
      </w:pPr>
      <w:r>
        <w:rPr>
          <w:rFonts w:hint="eastAsia" w:ascii="宋体" w:hAnsi="宋体" w:cs="宋体"/>
          <w:bCs/>
          <w:sz w:val="24"/>
          <w:szCs w:val="24"/>
        </w:rPr>
        <w:t>采购人或代理机构名称：</w:t>
      </w:r>
    </w:p>
    <w:p>
      <w:pPr>
        <w:spacing w:line="500" w:lineRule="exact"/>
        <w:ind w:firstLine="480" w:firstLineChars="200"/>
        <w:jc w:val="left"/>
        <w:rPr>
          <w:rFonts w:ascii="宋体" w:hAnsi="宋体" w:cs="宋体"/>
          <w:bCs/>
          <w:sz w:val="24"/>
          <w:szCs w:val="24"/>
        </w:rPr>
      </w:pPr>
      <w:r>
        <w:rPr>
          <w:rFonts w:hint="eastAsia" w:ascii="宋体" w:hAnsi="宋体" w:cs="宋体"/>
          <w:bCs/>
          <w:sz w:val="24"/>
          <w:szCs w:val="24"/>
        </w:rPr>
        <w:t>关于贵方编号为     公开招标，本签字人愿意参加投标，提供“采购内容及要求”中规定的服务，并证明提交的下列文件和说明是准确的真实的。</w:t>
      </w:r>
    </w:p>
    <w:p>
      <w:pPr>
        <w:spacing w:line="500" w:lineRule="exact"/>
        <w:ind w:firstLine="480" w:firstLineChars="200"/>
        <w:jc w:val="left"/>
        <w:rPr>
          <w:rFonts w:ascii="宋体" w:hAnsi="宋体" w:cs="宋体"/>
          <w:bCs/>
          <w:sz w:val="24"/>
          <w:szCs w:val="24"/>
        </w:rPr>
      </w:pPr>
      <w:r>
        <w:rPr>
          <w:rFonts w:hint="eastAsia" w:ascii="宋体" w:hAnsi="宋体" w:cs="宋体"/>
          <w:bCs/>
          <w:sz w:val="24"/>
          <w:szCs w:val="24"/>
        </w:rPr>
        <w:t>1、由市场监管局签发的我方工商营业执照副本。</w:t>
      </w:r>
    </w:p>
    <w:p>
      <w:pPr>
        <w:spacing w:line="500" w:lineRule="exact"/>
        <w:ind w:firstLine="480" w:firstLineChars="200"/>
        <w:jc w:val="left"/>
        <w:rPr>
          <w:rFonts w:ascii="宋体" w:hAnsi="宋体" w:cs="宋体"/>
          <w:bCs/>
          <w:sz w:val="24"/>
          <w:szCs w:val="24"/>
        </w:rPr>
      </w:pPr>
      <w:r>
        <w:rPr>
          <w:rFonts w:hint="eastAsia" w:ascii="宋体" w:hAnsi="宋体" w:cs="宋体"/>
          <w:bCs/>
          <w:sz w:val="24"/>
          <w:szCs w:val="24"/>
        </w:rPr>
        <w:t>2、法定代表人（负责人）授权书。</w:t>
      </w:r>
    </w:p>
    <w:p>
      <w:pPr>
        <w:spacing w:line="500" w:lineRule="exact"/>
        <w:ind w:firstLine="480" w:firstLineChars="200"/>
        <w:jc w:val="left"/>
        <w:rPr>
          <w:rFonts w:ascii="宋体" w:hAnsi="宋体" w:cs="宋体"/>
          <w:bCs/>
          <w:sz w:val="24"/>
          <w:szCs w:val="24"/>
        </w:rPr>
      </w:pPr>
      <w:r>
        <w:rPr>
          <w:rFonts w:hint="eastAsia" w:ascii="宋体" w:hAnsi="宋体" w:cs="宋体"/>
          <w:bCs/>
          <w:sz w:val="24"/>
          <w:szCs w:val="24"/>
        </w:rPr>
        <w:t>3、法定代表人（负责人）或授权代表身份证（答疑时出示原件）。</w:t>
      </w:r>
    </w:p>
    <w:p>
      <w:pPr>
        <w:spacing w:line="500" w:lineRule="exact"/>
        <w:ind w:firstLine="480" w:firstLineChars="200"/>
        <w:jc w:val="left"/>
        <w:rPr>
          <w:rFonts w:ascii="宋体" w:hAnsi="宋体" w:cs="宋体"/>
          <w:bCs/>
          <w:sz w:val="24"/>
          <w:szCs w:val="24"/>
        </w:rPr>
      </w:pPr>
      <w:r>
        <w:rPr>
          <w:rFonts w:hint="eastAsia" w:ascii="宋体" w:hAnsi="宋体" w:cs="宋体"/>
          <w:bCs/>
          <w:sz w:val="24"/>
          <w:szCs w:val="24"/>
        </w:rPr>
        <w:t>4、公司地址、联系电话、传真等。</w:t>
      </w:r>
    </w:p>
    <w:p>
      <w:pPr>
        <w:spacing w:line="500" w:lineRule="exact"/>
        <w:ind w:firstLine="480" w:firstLineChars="200"/>
        <w:jc w:val="left"/>
        <w:rPr>
          <w:rFonts w:ascii="宋体" w:hAnsi="宋体" w:cs="宋体"/>
          <w:bCs/>
          <w:sz w:val="24"/>
          <w:szCs w:val="24"/>
        </w:rPr>
      </w:pPr>
      <w:r>
        <w:rPr>
          <w:rFonts w:hint="eastAsia" w:ascii="宋体" w:hAnsi="宋体" w:cs="宋体"/>
          <w:bCs/>
          <w:sz w:val="24"/>
          <w:szCs w:val="24"/>
        </w:rPr>
        <w:t>5、法定代表人（负责人）或授权代表的联系电话。</w:t>
      </w:r>
    </w:p>
    <w:p>
      <w:pPr>
        <w:spacing w:line="500" w:lineRule="exact"/>
        <w:ind w:firstLine="480" w:firstLineChars="200"/>
        <w:jc w:val="left"/>
        <w:rPr>
          <w:rFonts w:ascii="宋体" w:hAnsi="宋体" w:cs="宋体"/>
          <w:bCs/>
          <w:sz w:val="24"/>
          <w:szCs w:val="24"/>
        </w:rPr>
      </w:pPr>
      <w:r>
        <w:rPr>
          <w:rFonts w:hint="eastAsia" w:ascii="宋体" w:hAnsi="宋体" w:cs="宋体"/>
          <w:bCs/>
          <w:sz w:val="24"/>
          <w:szCs w:val="24"/>
        </w:rPr>
        <w:t>6、招标项目要求的其他文件。</w:t>
      </w:r>
    </w:p>
    <w:p>
      <w:pPr>
        <w:spacing w:line="500" w:lineRule="exact"/>
        <w:ind w:firstLine="480" w:firstLineChars="200"/>
        <w:jc w:val="left"/>
        <w:rPr>
          <w:rFonts w:ascii="宋体" w:hAnsi="宋体" w:cs="宋体"/>
          <w:bCs/>
          <w:sz w:val="24"/>
          <w:szCs w:val="24"/>
        </w:rPr>
      </w:pPr>
      <w:r>
        <w:rPr>
          <w:rFonts w:hint="eastAsia" w:ascii="宋体" w:hAnsi="宋体" w:cs="宋体"/>
          <w:bCs/>
          <w:sz w:val="24"/>
          <w:szCs w:val="24"/>
        </w:rPr>
        <w:t>7、本签字人确认资格文件中的说明是真实的、准确的。</w:t>
      </w:r>
    </w:p>
    <w:p>
      <w:pPr>
        <w:spacing w:line="500" w:lineRule="exact"/>
        <w:ind w:firstLine="480" w:firstLineChars="200"/>
        <w:jc w:val="left"/>
        <w:rPr>
          <w:rFonts w:ascii="宋体" w:hAnsi="宋体" w:cs="宋体"/>
          <w:bCs/>
          <w:sz w:val="24"/>
          <w:szCs w:val="24"/>
        </w:rPr>
      </w:pPr>
    </w:p>
    <w:p>
      <w:pPr>
        <w:spacing w:line="500" w:lineRule="exact"/>
        <w:ind w:firstLine="480" w:firstLineChars="200"/>
        <w:jc w:val="left"/>
        <w:rPr>
          <w:rFonts w:ascii="宋体" w:hAnsi="宋体" w:cs="宋体"/>
          <w:bCs/>
          <w:sz w:val="24"/>
          <w:szCs w:val="24"/>
        </w:rPr>
      </w:pPr>
    </w:p>
    <w:p>
      <w:pPr>
        <w:spacing w:line="500" w:lineRule="exact"/>
        <w:ind w:firstLine="480" w:firstLineChars="200"/>
        <w:jc w:val="left"/>
        <w:rPr>
          <w:rFonts w:ascii="宋体" w:hAnsi="宋体" w:cs="宋体"/>
          <w:bCs/>
          <w:sz w:val="24"/>
          <w:szCs w:val="24"/>
        </w:rPr>
      </w:pPr>
      <w:r>
        <w:rPr>
          <w:rFonts w:hint="eastAsia" w:ascii="宋体" w:hAnsi="宋体" w:cs="宋体"/>
          <w:bCs/>
          <w:sz w:val="24"/>
          <w:szCs w:val="24"/>
        </w:rPr>
        <w:t xml:space="preserve">投标人（公章）：                                                  </w:t>
      </w:r>
    </w:p>
    <w:p>
      <w:pPr>
        <w:spacing w:line="500" w:lineRule="exact"/>
        <w:ind w:firstLine="480" w:firstLineChars="200"/>
        <w:jc w:val="left"/>
        <w:rPr>
          <w:rFonts w:ascii="宋体" w:hAnsi="宋体" w:cs="宋体"/>
          <w:bCs/>
          <w:sz w:val="24"/>
          <w:szCs w:val="24"/>
        </w:rPr>
      </w:pPr>
      <w:r>
        <w:rPr>
          <w:rFonts w:hint="eastAsia" w:ascii="宋体" w:hAnsi="宋体" w:cs="宋体"/>
          <w:bCs/>
          <w:sz w:val="24"/>
          <w:szCs w:val="24"/>
        </w:rPr>
        <w:t xml:space="preserve">法定代表人（负责人）或授权代表（签字）：                          </w:t>
      </w:r>
    </w:p>
    <w:p>
      <w:pPr>
        <w:spacing w:line="500" w:lineRule="exact"/>
        <w:ind w:firstLine="480" w:firstLineChars="200"/>
        <w:jc w:val="left"/>
        <w:rPr>
          <w:rFonts w:ascii="宋体" w:hAnsi="宋体" w:cs="宋体"/>
          <w:bCs/>
          <w:sz w:val="24"/>
          <w:szCs w:val="24"/>
        </w:rPr>
      </w:pPr>
      <w:r>
        <w:rPr>
          <w:rFonts w:hint="eastAsia" w:ascii="宋体" w:hAnsi="宋体" w:cs="宋体"/>
          <w:bCs/>
          <w:sz w:val="24"/>
          <w:szCs w:val="24"/>
        </w:rPr>
        <w:t>日期：    年   月    日</w:t>
      </w:r>
    </w:p>
    <w:p>
      <w:pPr>
        <w:spacing w:line="500" w:lineRule="exact"/>
        <w:ind w:firstLine="480" w:firstLineChars="200"/>
        <w:jc w:val="left"/>
        <w:rPr>
          <w:rFonts w:ascii="宋体" w:hAnsi="宋体" w:cs="宋体"/>
          <w:bCs/>
          <w:sz w:val="24"/>
          <w:szCs w:val="24"/>
        </w:rPr>
      </w:pPr>
    </w:p>
    <w:p>
      <w:pPr>
        <w:spacing w:line="500" w:lineRule="exact"/>
        <w:ind w:firstLine="480" w:firstLineChars="200"/>
        <w:jc w:val="left"/>
        <w:rPr>
          <w:rFonts w:ascii="宋体" w:hAnsi="宋体" w:cs="宋体"/>
          <w:bCs/>
          <w:sz w:val="24"/>
          <w:szCs w:val="24"/>
        </w:rPr>
      </w:pPr>
      <w:r>
        <w:rPr>
          <w:rFonts w:hint="eastAsia" w:ascii="宋体" w:hAnsi="宋体" w:cs="宋体"/>
          <w:bCs/>
          <w:sz w:val="24"/>
          <w:szCs w:val="24"/>
        </w:rPr>
        <w:t>说明：供应商承诺不实的，依据《中华人民共和国政府采购法》第七十七条供虚假材料谋取中标、成交的</w:t>
      </w:r>
      <w:r>
        <w:rPr>
          <w:rFonts w:ascii="宋体" w:hAnsi="宋体" w:cs="宋体"/>
          <w:position w:val="11"/>
          <w:sz w:val="24"/>
          <w:szCs w:val="24"/>
        </w:rPr>
        <w:drawing>
          <wp:inline distT="0" distB="0" distL="114300" distR="114300">
            <wp:extent cx="66675" cy="381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stretch>
                      <a:fillRect/>
                    </a:stretch>
                  </pic:blipFill>
                  <pic:spPr>
                    <a:xfrm>
                      <a:off x="0" y="0"/>
                      <a:ext cx="66675" cy="38100"/>
                    </a:xfrm>
                    <a:prstGeom prst="rect">
                      <a:avLst/>
                    </a:prstGeom>
                    <a:noFill/>
                    <a:ln>
                      <a:noFill/>
                    </a:ln>
                  </pic:spPr>
                </pic:pic>
              </a:graphicData>
            </a:graphic>
          </wp:inline>
        </w:drawing>
      </w:r>
      <w:r>
        <w:rPr>
          <w:rFonts w:hint="eastAsia" w:ascii="宋体" w:hAnsi="宋体" w:cs="宋体"/>
          <w:bCs/>
          <w:sz w:val="24"/>
          <w:szCs w:val="24"/>
        </w:rPr>
        <w:t>有关规定予以处理。</w:t>
      </w:r>
    </w:p>
    <w:p>
      <w:pPr>
        <w:spacing w:line="360" w:lineRule="exact"/>
        <w:jc w:val="left"/>
        <w:rPr>
          <w:rFonts w:ascii="宋体" w:hAnsi="宋体" w:cs="宋体"/>
          <w:bCs/>
          <w:sz w:val="24"/>
          <w:szCs w:val="24"/>
        </w:rPr>
      </w:pPr>
    </w:p>
    <w:p>
      <w:pPr>
        <w:spacing w:line="360" w:lineRule="exact"/>
        <w:jc w:val="left"/>
        <w:rPr>
          <w:rFonts w:ascii="宋体" w:hAnsi="宋体" w:cs="宋体"/>
          <w:bCs/>
          <w:sz w:val="24"/>
          <w:szCs w:val="24"/>
        </w:rPr>
      </w:pPr>
    </w:p>
    <w:p>
      <w:pPr>
        <w:spacing w:line="360" w:lineRule="exact"/>
        <w:jc w:val="left"/>
        <w:rPr>
          <w:rFonts w:ascii="宋体" w:hAnsi="宋体" w:cs="宋体"/>
          <w:bCs/>
          <w:sz w:val="24"/>
          <w:szCs w:val="24"/>
        </w:rPr>
      </w:pPr>
    </w:p>
    <w:p>
      <w:pPr>
        <w:spacing w:line="360" w:lineRule="exact"/>
        <w:jc w:val="left"/>
        <w:rPr>
          <w:rFonts w:ascii="宋体" w:hAnsi="宋体" w:cs="宋体"/>
          <w:bCs/>
          <w:sz w:val="24"/>
          <w:szCs w:val="24"/>
        </w:rPr>
      </w:pPr>
    </w:p>
    <w:p>
      <w:pPr>
        <w:spacing w:line="360" w:lineRule="exact"/>
        <w:jc w:val="left"/>
        <w:rPr>
          <w:rFonts w:ascii="宋体" w:hAnsi="宋体" w:cs="宋体"/>
          <w:bCs/>
          <w:sz w:val="24"/>
          <w:szCs w:val="24"/>
        </w:rPr>
      </w:pPr>
    </w:p>
    <w:p>
      <w:pPr>
        <w:spacing w:line="360" w:lineRule="exact"/>
        <w:jc w:val="left"/>
        <w:rPr>
          <w:rFonts w:ascii="宋体" w:hAnsi="宋体" w:cs="宋体"/>
          <w:bCs/>
          <w:sz w:val="24"/>
          <w:szCs w:val="24"/>
        </w:rPr>
      </w:pPr>
    </w:p>
    <w:p>
      <w:pPr>
        <w:spacing w:line="360" w:lineRule="exact"/>
        <w:jc w:val="left"/>
        <w:rPr>
          <w:rFonts w:ascii="宋体" w:hAnsi="宋体" w:cs="宋体"/>
          <w:bCs/>
          <w:sz w:val="24"/>
          <w:szCs w:val="24"/>
        </w:rPr>
      </w:pPr>
    </w:p>
    <w:p>
      <w:pPr>
        <w:spacing w:line="360" w:lineRule="exact"/>
        <w:jc w:val="left"/>
        <w:rPr>
          <w:rFonts w:ascii="宋体" w:hAnsi="宋体" w:cs="宋体"/>
          <w:bCs/>
          <w:sz w:val="24"/>
          <w:szCs w:val="24"/>
        </w:rPr>
      </w:pPr>
    </w:p>
    <w:p>
      <w:pPr>
        <w:spacing w:line="360" w:lineRule="exact"/>
        <w:jc w:val="left"/>
        <w:rPr>
          <w:rFonts w:ascii="宋体" w:hAnsi="宋体" w:cs="宋体"/>
          <w:bCs/>
          <w:sz w:val="24"/>
          <w:szCs w:val="24"/>
        </w:rPr>
      </w:pPr>
    </w:p>
    <w:p>
      <w:pPr>
        <w:spacing w:line="360" w:lineRule="exact"/>
        <w:jc w:val="left"/>
        <w:rPr>
          <w:rFonts w:hint="eastAsia" w:ascii="宋体" w:hAnsi="宋体" w:cs="宋体"/>
          <w:bCs/>
          <w:sz w:val="24"/>
          <w:szCs w:val="24"/>
        </w:rPr>
      </w:pPr>
    </w:p>
    <w:p>
      <w:pPr>
        <w:ind w:firstLine="420" w:firstLineChars="200"/>
        <w:rPr>
          <w:rFonts w:ascii="Times New Roman" w:hAnsi="Times New Roman"/>
          <w:szCs w:val="24"/>
        </w:rPr>
      </w:pPr>
    </w:p>
    <w:p>
      <w:pPr>
        <w:spacing w:line="360" w:lineRule="exact"/>
        <w:jc w:val="left"/>
        <w:rPr>
          <w:rFonts w:ascii="宋体" w:hAnsi="宋体" w:cs="宋体"/>
          <w:b/>
          <w:bCs/>
          <w:sz w:val="24"/>
          <w:szCs w:val="24"/>
        </w:rPr>
      </w:pPr>
      <w:r>
        <w:rPr>
          <w:rFonts w:hint="eastAsia" w:ascii="宋体" w:hAnsi="宋体" w:cs="宋体"/>
          <w:b/>
          <w:bCs/>
          <w:sz w:val="24"/>
          <w:szCs w:val="24"/>
        </w:rPr>
        <w:t>4. 投标人承诺函格式</w:t>
      </w:r>
    </w:p>
    <w:p>
      <w:pPr>
        <w:spacing w:line="360" w:lineRule="exact"/>
        <w:jc w:val="left"/>
        <w:rPr>
          <w:rFonts w:ascii="宋体" w:hAnsi="宋体" w:cs="宋体"/>
          <w:bCs/>
          <w:sz w:val="24"/>
          <w:szCs w:val="24"/>
        </w:rPr>
      </w:pPr>
    </w:p>
    <w:p>
      <w:pPr>
        <w:spacing w:line="360" w:lineRule="exact"/>
        <w:jc w:val="center"/>
        <w:rPr>
          <w:rFonts w:ascii="宋体" w:hAnsi="宋体" w:cs="宋体"/>
          <w:b/>
          <w:bCs/>
          <w:sz w:val="32"/>
          <w:szCs w:val="24"/>
        </w:rPr>
      </w:pPr>
      <w:r>
        <w:rPr>
          <w:rFonts w:hint="eastAsia" w:ascii="宋体" w:hAnsi="宋体" w:cs="宋体"/>
          <w:b/>
          <w:bCs/>
          <w:sz w:val="32"/>
          <w:szCs w:val="24"/>
        </w:rPr>
        <w:t>投标人承诺函</w:t>
      </w:r>
    </w:p>
    <w:p>
      <w:pPr>
        <w:spacing w:line="500" w:lineRule="exact"/>
        <w:ind w:firstLine="428" w:firstLineChars="200"/>
        <w:jc w:val="left"/>
        <w:rPr>
          <w:rFonts w:ascii="宋体" w:hAnsi="宋体" w:cs="宋体"/>
          <w:bCs/>
          <w:spacing w:val="-13"/>
          <w:sz w:val="24"/>
          <w:szCs w:val="24"/>
        </w:rPr>
      </w:pPr>
    </w:p>
    <w:p>
      <w:pPr>
        <w:spacing w:line="480" w:lineRule="exact"/>
        <w:jc w:val="left"/>
        <w:rPr>
          <w:rFonts w:ascii="宋体" w:hAnsi="宋体" w:cs="宋体"/>
          <w:bCs/>
          <w:sz w:val="24"/>
          <w:szCs w:val="24"/>
        </w:rPr>
      </w:pPr>
      <w:r>
        <w:rPr>
          <w:rFonts w:hint="eastAsia" w:ascii="宋体" w:hAnsi="宋体" w:cs="宋体"/>
          <w:bCs/>
          <w:sz w:val="24"/>
          <w:szCs w:val="24"/>
        </w:rPr>
        <w:t>采购人或代理机构名称：</w:t>
      </w:r>
    </w:p>
    <w:p>
      <w:pPr>
        <w:spacing w:line="480" w:lineRule="exact"/>
        <w:ind w:firstLine="480" w:firstLineChars="200"/>
        <w:rPr>
          <w:rFonts w:ascii="宋体" w:hAnsi="宋体" w:cs="宋体"/>
          <w:bCs/>
          <w:sz w:val="24"/>
          <w:szCs w:val="24"/>
        </w:rPr>
      </w:pPr>
      <w:r>
        <w:rPr>
          <w:rFonts w:hint="eastAsia" w:ascii="宋体" w:hAnsi="宋体" w:cs="宋体"/>
          <w:bCs/>
          <w:sz w:val="24"/>
          <w:szCs w:val="24"/>
        </w:rPr>
        <w:t>很荣幸能参与项目编号为     项目的投标。</w:t>
      </w:r>
    </w:p>
    <w:p>
      <w:pPr>
        <w:spacing w:line="480" w:lineRule="exact"/>
        <w:ind w:firstLine="480" w:firstLineChars="200"/>
        <w:rPr>
          <w:rFonts w:ascii="宋体" w:hAnsi="宋体" w:cs="宋体"/>
          <w:bCs/>
          <w:sz w:val="24"/>
          <w:szCs w:val="24"/>
        </w:rPr>
      </w:pPr>
      <w:r>
        <w:rPr>
          <w:rFonts w:hint="eastAsia" w:ascii="宋体" w:hAnsi="宋体" w:cs="宋体"/>
          <w:bCs/>
          <w:sz w:val="24"/>
          <w:szCs w:val="24"/>
        </w:rPr>
        <w:t>我代表（投标人名称），在此作如下承诺：</w:t>
      </w:r>
    </w:p>
    <w:p>
      <w:pPr>
        <w:spacing w:line="480" w:lineRule="exact"/>
        <w:ind w:firstLine="480" w:firstLineChars="200"/>
        <w:rPr>
          <w:rFonts w:ascii="宋体" w:hAnsi="宋体" w:cs="宋体"/>
          <w:bCs/>
          <w:sz w:val="24"/>
          <w:szCs w:val="24"/>
        </w:rPr>
      </w:pPr>
      <w:r>
        <w:rPr>
          <w:rFonts w:hint="eastAsia" w:ascii="宋体" w:hAnsi="宋体" w:cs="宋体"/>
          <w:bCs/>
          <w:sz w:val="24"/>
          <w:szCs w:val="24"/>
        </w:rPr>
        <w:t>1、完全理解和接受本项目招标文件的一切规定和要求；</w:t>
      </w:r>
    </w:p>
    <w:p>
      <w:pPr>
        <w:spacing w:line="480" w:lineRule="exact"/>
        <w:ind w:firstLine="480" w:firstLineChars="200"/>
        <w:rPr>
          <w:rFonts w:ascii="宋体" w:hAnsi="宋体" w:cs="宋体"/>
          <w:bCs/>
          <w:sz w:val="24"/>
          <w:szCs w:val="24"/>
        </w:rPr>
      </w:pPr>
      <w:r>
        <w:rPr>
          <w:rFonts w:hint="eastAsia" w:ascii="宋体" w:hAnsi="宋体" w:cs="宋体"/>
          <w:bCs/>
          <w:sz w:val="24"/>
          <w:szCs w:val="24"/>
        </w:rPr>
        <w:t>2、我方递交的投标文件中所有的资料均为真实的、准确的，无任何虚假内容。若存在有虚假内容，我方愿意承担法律责任。</w:t>
      </w:r>
    </w:p>
    <w:p>
      <w:pPr>
        <w:spacing w:line="480" w:lineRule="exact"/>
        <w:ind w:firstLine="480" w:firstLineChars="200"/>
        <w:rPr>
          <w:rFonts w:ascii="宋体" w:hAnsi="宋体" w:cs="宋体"/>
          <w:bCs/>
          <w:sz w:val="24"/>
          <w:szCs w:val="24"/>
        </w:rPr>
      </w:pPr>
      <w:r>
        <w:rPr>
          <w:rFonts w:hint="eastAsia" w:ascii="宋体" w:hAnsi="宋体" w:cs="宋体"/>
          <w:bCs/>
          <w:sz w:val="24"/>
          <w:szCs w:val="24"/>
        </w:rPr>
        <w:t>3、若中标，我方将按照招标文件的具体规定与采购人签订供货安装调试或服务合同，并且严格按合同履行义务，按时交付使用，保证设备或服务质量符合招标文件要求，并提供优质服务。如果在合同执行过程中，发现问题，我方一定尽快对其进行调整，并承担相应的经济责任；</w:t>
      </w:r>
    </w:p>
    <w:p>
      <w:pPr>
        <w:spacing w:line="480" w:lineRule="exact"/>
        <w:ind w:firstLine="480" w:firstLineChars="200"/>
        <w:rPr>
          <w:rFonts w:ascii="宋体" w:hAnsi="宋体" w:cs="宋体"/>
          <w:bCs/>
          <w:sz w:val="24"/>
          <w:szCs w:val="24"/>
        </w:rPr>
      </w:pPr>
      <w:r>
        <w:rPr>
          <w:rFonts w:hint="eastAsia" w:ascii="宋体" w:hAnsi="宋体" w:cs="宋体"/>
          <w:bCs/>
          <w:sz w:val="24"/>
          <w:szCs w:val="24"/>
        </w:rPr>
        <w:t>4、若中标，本承诺将成为合同不可分割的一部分，与合同具有同等的法律效力。</w:t>
      </w:r>
    </w:p>
    <w:p>
      <w:pPr>
        <w:spacing w:line="480" w:lineRule="exact"/>
        <w:ind w:firstLine="480" w:firstLineChars="200"/>
        <w:rPr>
          <w:rFonts w:ascii="宋体" w:hAnsi="宋体" w:cs="宋体"/>
          <w:bCs/>
          <w:sz w:val="24"/>
          <w:szCs w:val="24"/>
        </w:rPr>
      </w:pPr>
      <w:r>
        <w:rPr>
          <w:rFonts w:hint="eastAsia" w:ascii="宋体" w:hAnsi="宋体" w:cs="宋体"/>
          <w:bCs/>
          <w:sz w:val="24"/>
          <w:szCs w:val="24"/>
        </w:rPr>
        <w:t>5、我方同意招标文件所附的合同文本作为与采购方签约的合同文本，非经双方一致同意，不得改变原合同文本的条款。</w:t>
      </w:r>
    </w:p>
    <w:p>
      <w:pPr>
        <w:spacing w:line="480" w:lineRule="exact"/>
        <w:ind w:firstLine="480" w:firstLineChars="200"/>
        <w:rPr>
          <w:rFonts w:ascii="宋体" w:hAnsi="宋体" w:cs="宋体"/>
          <w:bCs/>
          <w:sz w:val="24"/>
          <w:szCs w:val="24"/>
        </w:rPr>
      </w:pPr>
      <w:r>
        <w:rPr>
          <w:rFonts w:hint="eastAsia" w:ascii="宋体" w:hAnsi="宋体" w:cs="宋体"/>
          <w:bCs/>
          <w:sz w:val="24"/>
          <w:szCs w:val="24"/>
        </w:rPr>
        <w:t>6、我方保证，严格遵守《中华人民共和国政府采购法》《中华人民共和国政府采购法实施条例》《政府采购货物和服务招标投标管理办法》及其他相关法律法规的规定，若有违反上述法律法规的行为，愿意接受处罚并承担相应的法律责任。</w:t>
      </w:r>
    </w:p>
    <w:p>
      <w:pPr>
        <w:spacing w:line="480" w:lineRule="exact"/>
        <w:ind w:firstLine="480" w:firstLineChars="200"/>
        <w:rPr>
          <w:rFonts w:ascii="宋体" w:hAnsi="宋体" w:cs="宋体"/>
          <w:bCs/>
          <w:sz w:val="24"/>
          <w:szCs w:val="24"/>
        </w:rPr>
      </w:pPr>
    </w:p>
    <w:p>
      <w:pPr>
        <w:spacing w:line="480" w:lineRule="exact"/>
        <w:jc w:val="left"/>
        <w:rPr>
          <w:rFonts w:ascii="宋体" w:hAnsi="宋体" w:cs="宋体"/>
          <w:bCs/>
          <w:sz w:val="24"/>
          <w:szCs w:val="24"/>
        </w:rPr>
      </w:pPr>
      <w:r>
        <w:rPr>
          <w:rFonts w:hint="eastAsia" w:ascii="宋体" w:hAnsi="宋体" w:cs="宋体"/>
          <w:bCs/>
          <w:sz w:val="24"/>
          <w:szCs w:val="24"/>
        </w:rPr>
        <w:t>投标人（公章）：</w:t>
      </w:r>
    </w:p>
    <w:p>
      <w:pPr>
        <w:spacing w:line="480" w:lineRule="exact"/>
        <w:jc w:val="left"/>
        <w:rPr>
          <w:rFonts w:ascii="宋体" w:hAnsi="宋体" w:cs="宋体"/>
          <w:bCs/>
          <w:sz w:val="24"/>
          <w:szCs w:val="24"/>
        </w:rPr>
      </w:pPr>
      <w:r>
        <w:rPr>
          <w:rFonts w:hint="eastAsia" w:ascii="宋体" w:hAnsi="宋体" w:cs="宋体"/>
          <w:bCs/>
          <w:sz w:val="24"/>
          <w:szCs w:val="24"/>
        </w:rPr>
        <w:t>法定代表人（负责人）或授权代表（签字）：</w:t>
      </w:r>
    </w:p>
    <w:p>
      <w:pPr>
        <w:spacing w:line="480" w:lineRule="exact"/>
        <w:jc w:val="left"/>
        <w:rPr>
          <w:rFonts w:ascii="宋体" w:hAnsi="宋体" w:cs="宋体"/>
          <w:bCs/>
          <w:sz w:val="24"/>
          <w:szCs w:val="24"/>
        </w:rPr>
      </w:pPr>
      <w:r>
        <w:rPr>
          <w:rFonts w:hint="eastAsia" w:ascii="宋体" w:hAnsi="宋体" w:cs="宋体"/>
          <w:bCs/>
          <w:sz w:val="24"/>
          <w:szCs w:val="24"/>
        </w:rPr>
        <w:t>日期：</w:t>
      </w:r>
      <w:r>
        <w:rPr>
          <w:rFonts w:hint="eastAsia" w:ascii="宋体" w:hAnsi="宋体" w:cs="宋体"/>
          <w:bCs/>
          <w:snapToGrid w:val="0"/>
          <w:color w:val="000000"/>
          <w:kern w:val="0"/>
          <w:sz w:val="24"/>
          <w:szCs w:val="24"/>
        </w:rPr>
        <w:t>年月日</w:t>
      </w:r>
    </w:p>
    <w:p>
      <w:pPr>
        <w:spacing w:line="360" w:lineRule="exact"/>
        <w:jc w:val="left"/>
        <w:rPr>
          <w:rFonts w:ascii="宋体" w:hAnsi="宋体" w:cs="宋体"/>
          <w:bCs/>
          <w:sz w:val="24"/>
          <w:szCs w:val="24"/>
        </w:rPr>
      </w:pPr>
    </w:p>
    <w:p>
      <w:pPr>
        <w:spacing w:line="360" w:lineRule="exact"/>
        <w:jc w:val="left"/>
        <w:rPr>
          <w:rFonts w:ascii="宋体" w:hAnsi="宋体" w:cs="宋体"/>
          <w:bCs/>
          <w:sz w:val="24"/>
          <w:szCs w:val="24"/>
        </w:rPr>
      </w:pPr>
    </w:p>
    <w:p>
      <w:pPr>
        <w:spacing w:line="360" w:lineRule="exact"/>
        <w:jc w:val="left"/>
        <w:rPr>
          <w:rFonts w:ascii="宋体" w:hAnsi="宋体" w:cs="宋体"/>
          <w:bCs/>
          <w:sz w:val="24"/>
          <w:szCs w:val="24"/>
        </w:rPr>
      </w:pPr>
    </w:p>
    <w:p>
      <w:pPr>
        <w:spacing w:line="360" w:lineRule="exact"/>
        <w:jc w:val="left"/>
        <w:rPr>
          <w:rFonts w:ascii="宋体" w:hAnsi="宋体" w:cs="宋体"/>
          <w:bCs/>
          <w:sz w:val="24"/>
          <w:szCs w:val="24"/>
        </w:rPr>
      </w:pPr>
    </w:p>
    <w:p>
      <w:pPr>
        <w:spacing w:line="360" w:lineRule="exact"/>
        <w:jc w:val="left"/>
        <w:rPr>
          <w:rFonts w:ascii="宋体" w:hAnsi="宋体" w:cs="宋体"/>
          <w:bCs/>
          <w:sz w:val="24"/>
          <w:szCs w:val="24"/>
        </w:rPr>
      </w:pPr>
    </w:p>
    <w:p>
      <w:pPr>
        <w:spacing w:line="440" w:lineRule="exact"/>
        <w:jc w:val="left"/>
        <w:rPr>
          <w:rFonts w:ascii="宋体" w:hAnsi="宋体" w:cs="宋体"/>
          <w:bCs/>
          <w:sz w:val="24"/>
          <w:szCs w:val="24"/>
        </w:rPr>
      </w:pPr>
    </w:p>
    <w:p>
      <w:pPr>
        <w:spacing w:line="440" w:lineRule="exact"/>
        <w:jc w:val="left"/>
        <w:rPr>
          <w:rFonts w:ascii="宋体" w:hAnsi="宋体" w:cs="宋体"/>
          <w:bCs/>
          <w:sz w:val="24"/>
          <w:szCs w:val="24"/>
        </w:rPr>
      </w:pPr>
    </w:p>
    <w:p>
      <w:pPr>
        <w:spacing w:line="440" w:lineRule="exact"/>
        <w:jc w:val="left"/>
        <w:rPr>
          <w:rFonts w:ascii="宋体" w:hAnsi="宋体" w:cs="宋体"/>
          <w:bCs/>
          <w:sz w:val="24"/>
          <w:szCs w:val="24"/>
        </w:rPr>
      </w:pPr>
    </w:p>
    <w:p>
      <w:pPr>
        <w:spacing w:line="520" w:lineRule="exact"/>
        <w:rPr>
          <w:rFonts w:ascii="宋体" w:hAnsi="宋体" w:cs="宋体"/>
          <w:sz w:val="24"/>
          <w:szCs w:val="24"/>
        </w:rPr>
      </w:pPr>
      <w:r>
        <w:rPr>
          <w:rFonts w:hint="eastAsia" w:ascii="宋体" w:hAnsi="宋体" w:cs="宋体"/>
          <w:b/>
          <w:sz w:val="24"/>
          <w:szCs w:val="24"/>
        </w:rPr>
        <w:t>5.营业执照副本或其他资格证明文件</w:t>
      </w:r>
      <w:r>
        <w:rPr>
          <w:rFonts w:hint="eastAsia" w:ascii="宋体" w:hAnsi="宋体" w:cs="宋体"/>
          <w:sz w:val="24"/>
          <w:szCs w:val="24"/>
        </w:rPr>
        <w:t>（加盖单位公章）</w:t>
      </w:r>
    </w:p>
    <w:p>
      <w:pPr>
        <w:spacing w:line="520" w:lineRule="exact"/>
        <w:rPr>
          <w:rFonts w:ascii="宋体" w:hAnsi="宋体" w:cs="宋体"/>
          <w:sz w:val="24"/>
          <w:szCs w:val="24"/>
        </w:rPr>
      </w:pPr>
      <w:r>
        <w:rPr>
          <w:rFonts w:hint="eastAsia" w:ascii="宋体" w:hAnsi="宋体" w:cs="宋体"/>
          <w:b/>
          <w:sz w:val="24"/>
          <w:szCs w:val="24"/>
        </w:rPr>
        <w:t>6.具有履行合同所必需的设备和专业技术能力的承诺</w:t>
      </w:r>
      <w:r>
        <w:rPr>
          <w:rFonts w:hint="eastAsia" w:ascii="宋体" w:hAnsi="宋体" w:cs="宋体"/>
          <w:sz w:val="24"/>
          <w:szCs w:val="24"/>
        </w:rPr>
        <w:t>（加盖单位公章）</w:t>
      </w:r>
    </w:p>
    <w:p>
      <w:pPr>
        <w:widowControl/>
        <w:adjustRightInd w:val="0"/>
        <w:snapToGrid w:val="0"/>
        <w:spacing w:line="520" w:lineRule="exact"/>
        <w:rPr>
          <w:rFonts w:ascii="宋体" w:hAnsi="宋体" w:cs="宋体"/>
          <w:sz w:val="24"/>
          <w:szCs w:val="24"/>
        </w:rPr>
      </w:pPr>
      <w:r>
        <w:rPr>
          <w:rFonts w:hint="eastAsia" w:ascii="宋体" w:hAnsi="宋体" w:cs="宋体"/>
          <w:b/>
          <w:sz w:val="24"/>
          <w:szCs w:val="24"/>
        </w:rPr>
        <w:t>7.依法缴纳税收和社会保障资金的缴费凭证(提供近半年内任意三个月的有效凭证)</w:t>
      </w:r>
      <w:r>
        <w:rPr>
          <w:rFonts w:hint="eastAsia" w:ascii="宋体" w:hAnsi="宋体" w:cs="宋体"/>
          <w:sz w:val="24"/>
          <w:szCs w:val="24"/>
        </w:rPr>
        <w:t xml:space="preserve"> （加盖单位公章）</w:t>
      </w:r>
    </w:p>
    <w:p>
      <w:pPr>
        <w:spacing w:line="520" w:lineRule="exact"/>
        <w:rPr>
          <w:rFonts w:ascii="宋体" w:hAnsi="宋体" w:cs="宋体"/>
          <w:sz w:val="24"/>
          <w:szCs w:val="24"/>
        </w:rPr>
      </w:pPr>
      <w:r>
        <w:rPr>
          <w:rFonts w:hint="eastAsia" w:ascii="宋体" w:hAnsi="宋体" w:cs="宋体"/>
          <w:b/>
          <w:sz w:val="24"/>
          <w:szCs w:val="24"/>
        </w:rPr>
        <w:t>8.良好的商业信誉和健全的财务会计制度的证明文件</w:t>
      </w:r>
      <w:r>
        <w:rPr>
          <w:rFonts w:hint="eastAsia" w:ascii="宋体" w:hAnsi="宋体" w:cs="宋体"/>
          <w:sz w:val="24"/>
          <w:szCs w:val="24"/>
        </w:rPr>
        <w:t>（加盖单位公章）</w:t>
      </w:r>
    </w:p>
    <w:p>
      <w:pPr>
        <w:spacing w:line="520" w:lineRule="exact"/>
        <w:rPr>
          <w:rFonts w:hint="eastAsia" w:ascii="宋体" w:hAnsi="宋体" w:cs="宋体"/>
          <w:sz w:val="24"/>
          <w:szCs w:val="24"/>
        </w:rPr>
      </w:pPr>
      <w:r>
        <w:rPr>
          <w:rFonts w:hint="eastAsia" w:ascii="宋体" w:hAnsi="宋体" w:cs="宋体"/>
          <w:sz w:val="24"/>
          <w:szCs w:val="24"/>
        </w:rPr>
        <w:t>说明：（1）提供本单位2023年度经会计师事务所出具的审计报告或本公司出具的财务报表或提供银行出具的证明文件。银行出具的证明文件应能说明该投标人与银行之间业务往来正常，企业信誉良好等。</w:t>
      </w:r>
    </w:p>
    <w:p>
      <w:pPr>
        <w:spacing w:line="520" w:lineRule="exact"/>
        <w:ind w:firstLine="720" w:firstLineChars="300"/>
        <w:rPr>
          <w:rFonts w:ascii="宋体" w:hAnsi="宋体" w:cs="宋体"/>
          <w:sz w:val="24"/>
          <w:szCs w:val="24"/>
        </w:rPr>
      </w:pPr>
      <w:r>
        <w:rPr>
          <w:rFonts w:hint="eastAsia" w:ascii="宋体" w:hAnsi="宋体" w:cs="宋体"/>
          <w:sz w:val="24"/>
          <w:szCs w:val="24"/>
        </w:rPr>
        <w:t>（2）供应商提供企业有关财务会计制度。</w:t>
      </w:r>
    </w:p>
    <w:p>
      <w:pPr>
        <w:spacing w:line="520" w:lineRule="exact"/>
        <w:rPr>
          <w:rFonts w:ascii="宋体" w:hAnsi="宋体" w:cs="宋体"/>
          <w:sz w:val="24"/>
          <w:szCs w:val="24"/>
        </w:rPr>
      </w:pPr>
      <w:r>
        <w:rPr>
          <w:rFonts w:hint="eastAsia" w:ascii="宋体" w:hAnsi="宋体" w:cs="宋体"/>
          <w:b/>
          <w:sz w:val="24"/>
          <w:szCs w:val="24"/>
        </w:rPr>
        <w:t>9.投标人出具参加政府采购活动前三年内，在经营活动中没有重大违法记录的书面声明</w:t>
      </w:r>
      <w:r>
        <w:rPr>
          <w:rFonts w:hint="eastAsia" w:ascii="宋体" w:hAnsi="宋体" w:cs="宋体"/>
          <w:sz w:val="24"/>
          <w:szCs w:val="24"/>
        </w:rPr>
        <w:t>（加盖单位公章）</w:t>
      </w:r>
    </w:p>
    <w:p>
      <w:pPr>
        <w:spacing w:line="360" w:lineRule="auto"/>
        <w:jc w:val="center"/>
        <w:rPr>
          <w:rFonts w:ascii="宋体" w:hAnsi="宋体" w:cs="宋体"/>
          <w:sz w:val="24"/>
          <w:szCs w:val="24"/>
        </w:rPr>
      </w:pPr>
    </w:p>
    <w:p>
      <w:pPr>
        <w:spacing w:line="360" w:lineRule="auto"/>
        <w:jc w:val="center"/>
        <w:rPr>
          <w:rFonts w:ascii="宋体" w:hAnsi="宋体" w:cs="宋体"/>
          <w:b/>
          <w:sz w:val="24"/>
          <w:szCs w:val="24"/>
        </w:rPr>
      </w:pPr>
      <w:r>
        <w:rPr>
          <w:rFonts w:hint="eastAsia" w:ascii="宋体" w:hAnsi="宋体" w:cs="宋体"/>
          <w:b/>
          <w:sz w:val="24"/>
          <w:szCs w:val="24"/>
        </w:rPr>
        <w:t>声明函（格式）</w:t>
      </w:r>
    </w:p>
    <w:p>
      <w:pPr>
        <w:spacing w:line="360" w:lineRule="auto"/>
        <w:ind w:firstLine="604" w:firstLineChars="252"/>
        <w:rPr>
          <w:rFonts w:ascii="宋体" w:hAnsi="宋体" w:cs="宋体"/>
          <w:sz w:val="24"/>
          <w:szCs w:val="24"/>
        </w:rPr>
      </w:pPr>
    </w:p>
    <w:p>
      <w:pPr>
        <w:spacing w:line="360" w:lineRule="auto"/>
        <w:ind w:firstLine="604" w:firstLineChars="252"/>
        <w:rPr>
          <w:rFonts w:ascii="宋体" w:hAnsi="宋体" w:cs="宋体"/>
          <w:sz w:val="24"/>
          <w:szCs w:val="24"/>
        </w:rPr>
      </w:pPr>
      <w:r>
        <w:rPr>
          <w:rFonts w:hint="eastAsia" w:ascii="宋体" w:hAnsi="宋体" w:cs="宋体"/>
          <w:sz w:val="24"/>
          <w:szCs w:val="24"/>
        </w:rPr>
        <w:t>（法定代表人或其授权代表）代表</w:t>
      </w:r>
      <w:r>
        <w:rPr>
          <w:rFonts w:hint="eastAsia" w:ascii="宋体" w:hAnsi="宋体" w:cs="宋体"/>
          <w:sz w:val="24"/>
          <w:szCs w:val="24"/>
          <w:u w:val="single"/>
        </w:rPr>
        <w:t xml:space="preserve">   （</w:t>
      </w:r>
      <w:r>
        <w:rPr>
          <w:rFonts w:hint="eastAsia" w:ascii="宋体" w:hAnsi="宋体" w:cs="宋体"/>
          <w:sz w:val="24"/>
          <w:szCs w:val="24"/>
        </w:rPr>
        <w:t>公司全称） 向本项目的采购人和采购代理机构郑重声明如下：</w:t>
      </w:r>
    </w:p>
    <w:p>
      <w:pPr>
        <w:spacing w:line="360" w:lineRule="auto"/>
        <w:ind w:firstLine="604" w:firstLineChars="252"/>
        <w:rPr>
          <w:rFonts w:ascii="宋体" w:hAnsi="宋体" w:cs="宋体"/>
          <w:sz w:val="24"/>
          <w:szCs w:val="24"/>
        </w:rPr>
      </w:pPr>
      <w:r>
        <w:rPr>
          <w:rFonts w:hint="eastAsia" w:ascii="宋体" w:hAnsi="宋体" w:cs="宋体"/>
          <w:sz w:val="24"/>
          <w:szCs w:val="24"/>
        </w:rPr>
        <w:t>我公司近三年来的经营活动中，未因违法经营受到刑事处罚或者责令停产停业、吊销许可证或者执照、较大数额罚款等行政处罚。</w:t>
      </w:r>
    </w:p>
    <w:p>
      <w:pPr>
        <w:spacing w:line="360" w:lineRule="auto"/>
        <w:ind w:firstLine="604" w:firstLineChars="252"/>
        <w:rPr>
          <w:rFonts w:ascii="宋体" w:hAnsi="宋体" w:cs="宋体"/>
          <w:sz w:val="24"/>
          <w:szCs w:val="24"/>
        </w:rPr>
      </w:pPr>
      <w:r>
        <w:rPr>
          <w:rFonts w:hint="eastAsia" w:ascii="宋体" w:hAnsi="宋体" w:cs="宋体"/>
          <w:sz w:val="24"/>
          <w:szCs w:val="24"/>
        </w:rPr>
        <w:t>特此声明。</w:t>
      </w:r>
    </w:p>
    <w:p>
      <w:pPr>
        <w:spacing w:line="360" w:lineRule="auto"/>
        <w:ind w:firstLine="604" w:firstLineChars="252"/>
        <w:rPr>
          <w:rFonts w:ascii="宋体" w:hAnsi="宋体" w:cs="宋体"/>
          <w:sz w:val="24"/>
          <w:szCs w:val="24"/>
        </w:rPr>
      </w:pPr>
    </w:p>
    <w:p>
      <w:pPr>
        <w:spacing w:line="360" w:lineRule="auto"/>
        <w:ind w:firstLine="604" w:firstLineChars="252"/>
        <w:rPr>
          <w:rFonts w:ascii="宋体" w:hAnsi="宋体" w:cs="宋体"/>
          <w:sz w:val="24"/>
          <w:szCs w:val="24"/>
        </w:rPr>
      </w:pPr>
      <w:r>
        <w:rPr>
          <w:rFonts w:hint="eastAsia" w:ascii="宋体" w:hAnsi="宋体" w:cs="宋体"/>
          <w:sz w:val="24"/>
          <w:szCs w:val="24"/>
        </w:rPr>
        <w:t>供应商（盖章）：</w:t>
      </w:r>
    </w:p>
    <w:p>
      <w:pPr>
        <w:spacing w:line="360" w:lineRule="auto"/>
        <w:ind w:firstLine="600" w:firstLineChars="250"/>
        <w:rPr>
          <w:rFonts w:ascii="宋体" w:hAnsi="宋体" w:cs="宋体"/>
          <w:sz w:val="24"/>
          <w:szCs w:val="24"/>
        </w:rPr>
      </w:pPr>
      <w:r>
        <w:rPr>
          <w:rFonts w:hint="eastAsia" w:ascii="宋体" w:hAnsi="宋体" w:cs="宋体"/>
          <w:sz w:val="24"/>
          <w:szCs w:val="24"/>
        </w:rPr>
        <w:t>法定代表人或其授权代表（签字）：</w:t>
      </w:r>
    </w:p>
    <w:p>
      <w:pPr>
        <w:ind w:firstLine="480" w:firstLineChars="200"/>
        <w:rPr>
          <w:rFonts w:ascii="Times New Roman" w:hAnsi="Times New Roman"/>
          <w:sz w:val="24"/>
          <w:szCs w:val="24"/>
        </w:rPr>
      </w:pPr>
      <w:r>
        <w:rPr>
          <w:rFonts w:hint="eastAsia" w:ascii="Times New Roman" w:hAnsi="Times New Roman"/>
          <w:sz w:val="24"/>
          <w:szCs w:val="24"/>
        </w:rPr>
        <w:t xml:space="preserve"> 日期： 年 月 日</w:t>
      </w:r>
    </w:p>
    <w:p>
      <w:pPr>
        <w:spacing w:line="360" w:lineRule="exact"/>
        <w:jc w:val="left"/>
        <w:rPr>
          <w:rFonts w:ascii="宋体" w:hAnsi="宋体" w:cs="宋体"/>
          <w:bCs/>
          <w:sz w:val="24"/>
          <w:szCs w:val="24"/>
        </w:rPr>
      </w:pPr>
    </w:p>
    <w:p>
      <w:pPr>
        <w:spacing w:line="360" w:lineRule="exact"/>
        <w:jc w:val="left"/>
        <w:rPr>
          <w:rFonts w:ascii="宋体" w:hAnsi="宋体" w:cs="宋体"/>
          <w:bCs/>
          <w:sz w:val="24"/>
          <w:szCs w:val="24"/>
        </w:rPr>
      </w:pPr>
    </w:p>
    <w:p>
      <w:pPr>
        <w:spacing w:line="360" w:lineRule="exact"/>
        <w:jc w:val="left"/>
        <w:rPr>
          <w:rFonts w:ascii="宋体" w:hAnsi="宋体" w:cs="宋体"/>
          <w:bCs/>
          <w:sz w:val="24"/>
          <w:szCs w:val="24"/>
        </w:rPr>
      </w:pPr>
    </w:p>
    <w:p>
      <w:pPr>
        <w:spacing w:line="360" w:lineRule="exact"/>
        <w:jc w:val="left"/>
        <w:rPr>
          <w:rFonts w:ascii="宋体" w:hAnsi="宋体" w:cs="宋体"/>
          <w:bCs/>
          <w:sz w:val="24"/>
          <w:szCs w:val="24"/>
        </w:rPr>
      </w:pPr>
    </w:p>
    <w:p>
      <w:pPr>
        <w:spacing w:line="360" w:lineRule="exact"/>
        <w:jc w:val="left"/>
        <w:rPr>
          <w:rFonts w:ascii="宋体" w:hAnsi="宋体" w:cs="宋体"/>
          <w:bCs/>
          <w:sz w:val="24"/>
          <w:szCs w:val="24"/>
        </w:rPr>
      </w:pPr>
    </w:p>
    <w:p>
      <w:pPr>
        <w:spacing w:line="360" w:lineRule="exact"/>
        <w:jc w:val="left"/>
        <w:rPr>
          <w:rFonts w:ascii="宋体" w:hAnsi="宋体" w:cs="宋体"/>
          <w:bCs/>
          <w:sz w:val="24"/>
          <w:szCs w:val="24"/>
        </w:rPr>
      </w:pPr>
    </w:p>
    <w:p>
      <w:pPr>
        <w:spacing w:line="360" w:lineRule="exact"/>
        <w:jc w:val="left"/>
        <w:rPr>
          <w:rFonts w:ascii="宋体" w:hAnsi="宋体" w:cs="宋体"/>
          <w:bCs/>
          <w:sz w:val="24"/>
          <w:szCs w:val="24"/>
        </w:rPr>
      </w:pPr>
    </w:p>
    <w:p>
      <w:pPr>
        <w:spacing w:line="360" w:lineRule="exact"/>
        <w:jc w:val="left"/>
        <w:rPr>
          <w:rFonts w:ascii="宋体" w:hAnsi="宋体" w:cs="宋体"/>
          <w:bCs/>
          <w:sz w:val="24"/>
          <w:szCs w:val="24"/>
        </w:rPr>
      </w:pPr>
    </w:p>
    <w:p>
      <w:pPr>
        <w:spacing w:line="360" w:lineRule="exact"/>
        <w:jc w:val="left"/>
        <w:rPr>
          <w:rFonts w:ascii="宋体" w:hAnsi="宋体" w:cs="宋体"/>
          <w:bCs/>
          <w:sz w:val="24"/>
          <w:szCs w:val="24"/>
        </w:rPr>
      </w:pPr>
    </w:p>
    <w:p>
      <w:pPr>
        <w:spacing w:line="360" w:lineRule="exact"/>
        <w:jc w:val="left"/>
        <w:rPr>
          <w:rFonts w:ascii="宋体" w:hAnsi="宋体" w:cs="宋体"/>
          <w:b/>
          <w:bCs/>
          <w:sz w:val="24"/>
          <w:szCs w:val="24"/>
        </w:rPr>
      </w:pPr>
      <w:r>
        <w:rPr>
          <w:rFonts w:hint="eastAsia" w:ascii="宋体" w:hAnsi="宋体" w:cs="宋体"/>
          <w:b/>
          <w:bCs/>
          <w:sz w:val="24"/>
          <w:szCs w:val="24"/>
        </w:rPr>
        <w:t>10.投标人诚信承诺书</w:t>
      </w:r>
    </w:p>
    <w:p>
      <w:pPr>
        <w:spacing w:line="360" w:lineRule="exact"/>
        <w:jc w:val="left"/>
        <w:rPr>
          <w:rFonts w:ascii="宋体" w:hAnsi="宋体" w:cs="宋体"/>
          <w:bCs/>
          <w:sz w:val="24"/>
          <w:szCs w:val="24"/>
        </w:rPr>
      </w:pPr>
    </w:p>
    <w:p>
      <w:pPr>
        <w:spacing w:line="360" w:lineRule="exact"/>
        <w:jc w:val="center"/>
        <w:rPr>
          <w:rFonts w:ascii="宋体" w:hAnsi="宋体" w:cs="宋体"/>
          <w:b/>
          <w:bCs/>
          <w:sz w:val="32"/>
          <w:szCs w:val="24"/>
        </w:rPr>
      </w:pPr>
      <w:r>
        <w:rPr>
          <w:rFonts w:hint="eastAsia" w:ascii="宋体" w:hAnsi="宋体" w:cs="宋体"/>
          <w:b/>
          <w:bCs/>
          <w:sz w:val="32"/>
          <w:szCs w:val="24"/>
        </w:rPr>
        <w:t>诚信承诺书</w:t>
      </w:r>
    </w:p>
    <w:p>
      <w:pPr>
        <w:spacing w:line="360" w:lineRule="exact"/>
        <w:jc w:val="left"/>
        <w:rPr>
          <w:rFonts w:ascii="宋体" w:hAnsi="宋体" w:cs="宋体"/>
          <w:bCs/>
          <w:sz w:val="24"/>
          <w:szCs w:val="24"/>
        </w:rPr>
      </w:pPr>
    </w:p>
    <w:p>
      <w:pPr>
        <w:spacing w:line="500" w:lineRule="exact"/>
        <w:ind w:firstLine="480" w:firstLineChars="200"/>
        <w:rPr>
          <w:rFonts w:ascii="宋体" w:hAnsi="宋体" w:cs="宋体"/>
          <w:bCs/>
          <w:sz w:val="24"/>
          <w:szCs w:val="24"/>
        </w:rPr>
      </w:pPr>
      <w:r>
        <w:rPr>
          <w:rFonts w:hint="eastAsia" w:ascii="宋体" w:hAnsi="宋体" w:cs="宋体"/>
          <w:bCs/>
          <w:sz w:val="24"/>
          <w:szCs w:val="24"/>
        </w:rPr>
        <w:t>为维护市场公平竞争，营造诚实守信的公共资源交易环境，本公司郑重承诺：</w:t>
      </w:r>
    </w:p>
    <w:p>
      <w:pPr>
        <w:spacing w:line="500" w:lineRule="exact"/>
        <w:ind w:firstLine="480" w:firstLineChars="200"/>
        <w:rPr>
          <w:rFonts w:ascii="宋体" w:hAnsi="宋体" w:cs="宋体"/>
          <w:bCs/>
          <w:sz w:val="24"/>
          <w:szCs w:val="24"/>
        </w:rPr>
      </w:pPr>
      <w:r>
        <w:rPr>
          <w:rFonts w:hint="eastAsia" w:ascii="宋体" w:hAnsi="宋体" w:cs="宋体"/>
          <w:bCs/>
          <w:sz w:val="24"/>
          <w:szCs w:val="24"/>
        </w:rPr>
        <w:t>1、本次投标在电子投标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pPr>
        <w:spacing w:line="500" w:lineRule="exact"/>
        <w:ind w:firstLine="480" w:firstLineChars="200"/>
        <w:rPr>
          <w:rFonts w:ascii="宋体" w:hAnsi="宋体" w:cs="宋体"/>
          <w:bCs/>
          <w:sz w:val="24"/>
          <w:szCs w:val="24"/>
        </w:rPr>
      </w:pPr>
      <w:r>
        <w:rPr>
          <w:rFonts w:hint="eastAsia" w:ascii="宋体" w:hAnsi="宋体" w:cs="宋体"/>
          <w:bCs/>
          <w:sz w:val="24"/>
          <w:szCs w:val="24"/>
        </w:rPr>
        <w:t>2、本公司在参加本项目过程中严格遵守各项诚信廉洁规定，如有违反，自愿按规定接受处罚。</w:t>
      </w:r>
    </w:p>
    <w:p>
      <w:pPr>
        <w:spacing w:line="500" w:lineRule="exact"/>
        <w:ind w:firstLine="480" w:firstLineChars="200"/>
        <w:rPr>
          <w:rFonts w:ascii="宋体" w:hAnsi="宋体" w:cs="宋体"/>
          <w:bCs/>
          <w:sz w:val="24"/>
          <w:szCs w:val="24"/>
        </w:rPr>
      </w:pPr>
    </w:p>
    <w:p>
      <w:pPr>
        <w:spacing w:line="500" w:lineRule="exact"/>
        <w:ind w:firstLine="480" w:firstLineChars="200"/>
        <w:rPr>
          <w:rFonts w:ascii="宋体" w:hAnsi="宋体" w:cs="宋体"/>
          <w:bCs/>
          <w:sz w:val="24"/>
          <w:szCs w:val="24"/>
        </w:rPr>
      </w:pPr>
      <w:r>
        <w:rPr>
          <w:rFonts w:hint="eastAsia" w:ascii="宋体" w:hAnsi="宋体" w:cs="宋体"/>
          <w:bCs/>
          <w:sz w:val="24"/>
          <w:szCs w:val="24"/>
        </w:rPr>
        <w:t>承诺人法定名称（盖章）：</w:t>
      </w:r>
    </w:p>
    <w:p>
      <w:pPr>
        <w:spacing w:line="500" w:lineRule="exact"/>
        <w:ind w:firstLine="480" w:firstLineChars="200"/>
        <w:rPr>
          <w:rFonts w:ascii="宋体" w:hAnsi="宋体" w:cs="宋体"/>
          <w:bCs/>
          <w:sz w:val="24"/>
          <w:szCs w:val="24"/>
        </w:rPr>
      </w:pPr>
      <w:r>
        <w:rPr>
          <w:rFonts w:hint="eastAsia" w:ascii="宋体" w:hAnsi="宋体" w:cs="宋体"/>
          <w:bCs/>
          <w:sz w:val="24"/>
          <w:szCs w:val="24"/>
        </w:rPr>
        <w:t>承诺人法定地址：</w:t>
      </w:r>
    </w:p>
    <w:p>
      <w:pPr>
        <w:spacing w:line="500" w:lineRule="exact"/>
        <w:ind w:firstLine="480" w:firstLineChars="200"/>
        <w:rPr>
          <w:rFonts w:ascii="宋体" w:hAnsi="宋体" w:cs="宋体"/>
          <w:bCs/>
          <w:sz w:val="24"/>
          <w:szCs w:val="24"/>
        </w:rPr>
      </w:pPr>
      <w:r>
        <w:rPr>
          <w:rFonts w:hint="eastAsia" w:ascii="宋体" w:hAnsi="宋体" w:cs="宋体"/>
          <w:bCs/>
          <w:sz w:val="24"/>
          <w:szCs w:val="24"/>
        </w:rPr>
        <w:t>授权代表（签字或盖章）：</w:t>
      </w:r>
    </w:p>
    <w:p>
      <w:pPr>
        <w:spacing w:line="500" w:lineRule="exact"/>
        <w:ind w:firstLine="480" w:firstLineChars="200"/>
        <w:rPr>
          <w:rFonts w:ascii="宋体" w:hAnsi="宋体" w:cs="宋体"/>
          <w:bCs/>
          <w:sz w:val="24"/>
          <w:szCs w:val="24"/>
        </w:rPr>
      </w:pPr>
      <w:r>
        <w:rPr>
          <w:rFonts w:hint="eastAsia" w:ascii="宋体" w:hAnsi="宋体" w:cs="宋体"/>
          <w:bCs/>
          <w:sz w:val="24"/>
          <w:szCs w:val="24"/>
        </w:rPr>
        <w:t>电话：</w:t>
      </w:r>
    </w:p>
    <w:p>
      <w:pPr>
        <w:spacing w:line="500" w:lineRule="exact"/>
        <w:ind w:firstLine="480" w:firstLineChars="200"/>
        <w:rPr>
          <w:rFonts w:ascii="宋体" w:hAnsi="宋体" w:cs="宋体"/>
          <w:bCs/>
          <w:sz w:val="24"/>
          <w:szCs w:val="24"/>
        </w:rPr>
      </w:pPr>
      <w:r>
        <w:rPr>
          <w:rFonts w:hint="eastAsia" w:ascii="宋体" w:hAnsi="宋体" w:cs="宋体"/>
          <w:bCs/>
          <w:sz w:val="24"/>
          <w:szCs w:val="24"/>
        </w:rPr>
        <w:t>日期：年月日</w:t>
      </w:r>
    </w:p>
    <w:p>
      <w:pPr>
        <w:spacing w:line="500" w:lineRule="exact"/>
        <w:ind w:firstLine="480" w:firstLineChars="200"/>
        <w:rPr>
          <w:rFonts w:ascii="宋体" w:hAnsi="宋体" w:cs="宋体"/>
          <w:bCs/>
          <w:sz w:val="24"/>
          <w:szCs w:val="24"/>
        </w:rPr>
      </w:pPr>
    </w:p>
    <w:p>
      <w:pPr>
        <w:spacing w:line="360" w:lineRule="exact"/>
        <w:jc w:val="left"/>
        <w:rPr>
          <w:rFonts w:hint="eastAsia" w:ascii="宋体" w:hAnsi="宋体" w:cs="宋体"/>
          <w:bCs/>
          <w:sz w:val="24"/>
          <w:szCs w:val="24"/>
        </w:rPr>
      </w:pPr>
    </w:p>
    <w:p>
      <w:pPr>
        <w:spacing w:line="360" w:lineRule="exact"/>
        <w:jc w:val="left"/>
        <w:rPr>
          <w:rFonts w:hint="eastAsia" w:ascii="宋体" w:hAnsi="宋体" w:cs="宋体"/>
          <w:bCs/>
          <w:sz w:val="24"/>
          <w:szCs w:val="24"/>
        </w:rPr>
      </w:pPr>
    </w:p>
    <w:p>
      <w:pPr>
        <w:spacing w:line="360" w:lineRule="exact"/>
        <w:jc w:val="left"/>
        <w:rPr>
          <w:rFonts w:hint="eastAsia" w:ascii="宋体" w:hAnsi="宋体" w:cs="宋体"/>
          <w:bCs/>
          <w:sz w:val="24"/>
          <w:szCs w:val="24"/>
        </w:rPr>
      </w:pPr>
    </w:p>
    <w:p>
      <w:pPr>
        <w:spacing w:line="360" w:lineRule="exact"/>
        <w:jc w:val="left"/>
        <w:rPr>
          <w:rFonts w:hint="eastAsia" w:ascii="宋体" w:hAnsi="宋体" w:cs="宋体"/>
          <w:bCs/>
          <w:sz w:val="24"/>
          <w:szCs w:val="24"/>
        </w:rPr>
      </w:pPr>
    </w:p>
    <w:p>
      <w:pPr>
        <w:spacing w:line="360" w:lineRule="exact"/>
        <w:jc w:val="left"/>
        <w:rPr>
          <w:rFonts w:hint="eastAsia" w:ascii="宋体" w:hAnsi="宋体" w:cs="宋体"/>
          <w:bCs/>
          <w:sz w:val="24"/>
          <w:szCs w:val="24"/>
        </w:rPr>
      </w:pPr>
    </w:p>
    <w:p>
      <w:pPr>
        <w:spacing w:line="360" w:lineRule="exact"/>
        <w:jc w:val="left"/>
        <w:rPr>
          <w:rFonts w:hint="eastAsia" w:ascii="宋体" w:hAnsi="宋体" w:cs="宋体"/>
          <w:bCs/>
          <w:sz w:val="24"/>
          <w:szCs w:val="24"/>
        </w:rPr>
      </w:pPr>
    </w:p>
    <w:p>
      <w:pPr>
        <w:spacing w:line="360" w:lineRule="exact"/>
        <w:jc w:val="left"/>
        <w:rPr>
          <w:rFonts w:hint="eastAsia" w:ascii="宋体" w:hAnsi="宋体" w:cs="宋体"/>
          <w:bCs/>
          <w:sz w:val="24"/>
          <w:szCs w:val="24"/>
        </w:rPr>
      </w:pPr>
    </w:p>
    <w:p>
      <w:pPr>
        <w:spacing w:line="360" w:lineRule="exact"/>
        <w:jc w:val="left"/>
        <w:rPr>
          <w:rFonts w:hint="eastAsia" w:ascii="宋体" w:hAnsi="宋体" w:cs="宋体"/>
          <w:bCs/>
          <w:sz w:val="24"/>
          <w:szCs w:val="24"/>
        </w:rPr>
      </w:pPr>
    </w:p>
    <w:p>
      <w:pPr>
        <w:spacing w:line="360" w:lineRule="exact"/>
        <w:jc w:val="left"/>
        <w:rPr>
          <w:rFonts w:hint="eastAsia" w:ascii="宋体" w:hAnsi="宋体" w:cs="宋体"/>
          <w:bCs/>
          <w:sz w:val="24"/>
          <w:szCs w:val="24"/>
        </w:rPr>
      </w:pPr>
    </w:p>
    <w:p>
      <w:pPr>
        <w:spacing w:line="360" w:lineRule="exact"/>
        <w:jc w:val="left"/>
        <w:rPr>
          <w:rFonts w:hint="eastAsia" w:ascii="宋体" w:hAnsi="宋体" w:cs="宋体"/>
          <w:bCs/>
          <w:sz w:val="24"/>
          <w:szCs w:val="24"/>
        </w:rPr>
      </w:pPr>
    </w:p>
    <w:p>
      <w:pPr>
        <w:spacing w:line="360" w:lineRule="exact"/>
        <w:jc w:val="left"/>
        <w:rPr>
          <w:rFonts w:hint="eastAsia" w:ascii="宋体" w:hAnsi="宋体" w:cs="宋体"/>
          <w:bCs/>
          <w:sz w:val="24"/>
          <w:szCs w:val="24"/>
        </w:rPr>
      </w:pPr>
    </w:p>
    <w:p>
      <w:pPr>
        <w:spacing w:line="360" w:lineRule="exact"/>
        <w:jc w:val="left"/>
        <w:rPr>
          <w:rFonts w:hint="eastAsia" w:ascii="宋体" w:hAnsi="宋体" w:cs="宋体"/>
          <w:bCs/>
          <w:sz w:val="24"/>
          <w:szCs w:val="24"/>
        </w:rPr>
      </w:pPr>
    </w:p>
    <w:p>
      <w:pPr>
        <w:spacing w:line="360" w:lineRule="exact"/>
        <w:jc w:val="left"/>
        <w:rPr>
          <w:rFonts w:hint="eastAsia" w:ascii="宋体" w:hAnsi="宋体" w:cs="宋体"/>
          <w:bCs/>
          <w:sz w:val="24"/>
          <w:szCs w:val="24"/>
        </w:rPr>
      </w:pPr>
    </w:p>
    <w:p>
      <w:pPr>
        <w:spacing w:line="360" w:lineRule="exact"/>
        <w:jc w:val="left"/>
        <w:rPr>
          <w:rFonts w:hint="eastAsia" w:ascii="宋体" w:hAnsi="宋体" w:cs="宋体"/>
          <w:bCs/>
          <w:sz w:val="24"/>
          <w:szCs w:val="24"/>
        </w:rPr>
      </w:pPr>
    </w:p>
    <w:p>
      <w:pPr>
        <w:spacing w:line="360" w:lineRule="exact"/>
        <w:jc w:val="left"/>
        <w:rPr>
          <w:rFonts w:hint="eastAsia" w:ascii="宋体" w:hAnsi="宋体" w:cs="宋体"/>
          <w:bCs/>
          <w:sz w:val="24"/>
          <w:szCs w:val="24"/>
        </w:rPr>
      </w:pPr>
    </w:p>
    <w:p>
      <w:pPr>
        <w:spacing w:line="360" w:lineRule="exact"/>
        <w:jc w:val="left"/>
        <w:rPr>
          <w:rFonts w:ascii="宋体" w:hAnsi="宋体" w:cs="宋体"/>
          <w:bCs/>
          <w:sz w:val="24"/>
          <w:szCs w:val="24"/>
        </w:rPr>
      </w:pPr>
      <w:r>
        <w:rPr>
          <w:rFonts w:hint="eastAsia" w:ascii="宋体" w:hAnsi="宋体" w:cs="宋体"/>
          <w:b/>
          <w:bCs/>
          <w:sz w:val="24"/>
          <w:szCs w:val="24"/>
        </w:rPr>
        <w:t>11.投标人出具信用记录查询结果网页截图</w:t>
      </w:r>
      <w:r>
        <w:rPr>
          <w:rFonts w:hint="eastAsia" w:ascii="宋体" w:hAnsi="宋体" w:cs="宋体"/>
          <w:bCs/>
          <w:sz w:val="24"/>
          <w:szCs w:val="24"/>
        </w:rPr>
        <w:t>（加盖单位公章）</w:t>
      </w:r>
    </w:p>
    <w:p>
      <w:pPr>
        <w:spacing w:line="360" w:lineRule="exact"/>
        <w:jc w:val="left"/>
        <w:rPr>
          <w:rFonts w:ascii="宋体" w:hAnsi="宋体" w:cs="宋体"/>
          <w:b/>
          <w:bCs/>
          <w:sz w:val="24"/>
          <w:szCs w:val="24"/>
        </w:rPr>
      </w:pPr>
      <w:r>
        <w:rPr>
          <w:rFonts w:hint="eastAsia" w:ascii="宋体" w:hAnsi="宋体" w:cs="宋体"/>
          <w:b/>
          <w:bCs/>
          <w:sz w:val="24"/>
          <w:szCs w:val="24"/>
        </w:rPr>
        <w:t>12.信用承诺书</w:t>
      </w:r>
    </w:p>
    <w:p>
      <w:pPr>
        <w:spacing w:line="400" w:lineRule="exact"/>
        <w:jc w:val="center"/>
        <w:rPr>
          <w:rFonts w:hint="eastAsia" w:ascii="宋体" w:hAnsi="宋体"/>
          <w:bCs/>
          <w:sz w:val="24"/>
          <w:szCs w:val="24"/>
        </w:rPr>
      </w:pPr>
    </w:p>
    <w:p>
      <w:pPr>
        <w:spacing w:line="400" w:lineRule="exact"/>
        <w:jc w:val="center"/>
        <w:rPr>
          <w:rFonts w:hint="eastAsia" w:ascii="宋体" w:hAnsi="宋体"/>
          <w:b/>
          <w:bCs/>
          <w:sz w:val="32"/>
          <w:szCs w:val="24"/>
        </w:rPr>
      </w:pPr>
      <w:r>
        <w:rPr>
          <w:rFonts w:hint="eastAsia" w:ascii="宋体" w:hAnsi="宋体"/>
          <w:b/>
          <w:bCs/>
          <w:sz w:val="32"/>
          <w:szCs w:val="24"/>
        </w:rPr>
        <w:t>信用承诺书</w:t>
      </w:r>
    </w:p>
    <w:p>
      <w:pPr>
        <w:ind w:firstLine="420" w:firstLineChars="200"/>
        <w:rPr>
          <w:rFonts w:ascii="Times New Roman" w:hAnsi="Times New Roman"/>
          <w:szCs w:val="24"/>
        </w:rPr>
      </w:pPr>
    </w:p>
    <w:p>
      <w:pPr>
        <w:spacing w:line="400" w:lineRule="exact"/>
        <w:ind w:firstLine="480" w:firstLineChars="200"/>
        <w:rPr>
          <w:rFonts w:ascii="宋体" w:hAnsi="宋体"/>
          <w:sz w:val="24"/>
          <w:szCs w:val="24"/>
        </w:rPr>
      </w:pPr>
      <w:r>
        <w:rPr>
          <w:rFonts w:hint="eastAsia" w:ascii="宋体" w:hAnsi="宋体"/>
          <w:sz w:val="24"/>
          <w:szCs w:val="24"/>
        </w:rPr>
        <w:t>依据宛发改公管【2022】125号文件要求：为营造公开、公平、公正、诚实守信的公共资源交易环境，树立诚信守法的投标人形象，本人代表本单位作出以下承诺;</w:t>
      </w:r>
    </w:p>
    <w:p>
      <w:pPr>
        <w:spacing w:line="400" w:lineRule="exact"/>
        <w:ind w:firstLine="480" w:firstLineChars="200"/>
        <w:rPr>
          <w:rFonts w:ascii="宋体" w:hAnsi="宋体"/>
          <w:sz w:val="24"/>
          <w:szCs w:val="24"/>
        </w:rPr>
      </w:pPr>
      <w:r>
        <w:rPr>
          <w:rFonts w:hint="eastAsia" w:ascii="宋体" w:hAnsi="宋体"/>
          <w:sz w:val="24"/>
          <w:szCs w:val="24"/>
        </w:rPr>
        <w:t>（一）本单位对所提交的企（事）业单位基本信息、企（事）业负责人、项目负责人、技术负责人、从业资质和资格、业绩、财务状况、信誉等所有资料，均合法、真实、准确、有效，无任何伪造、修改、虚假成份，并对所提供资料的真实性负责。</w:t>
      </w:r>
    </w:p>
    <w:p>
      <w:pPr>
        <w:spacing w:line="400" w:lineRule="exact"/>
        <w:ind w:firstLine="480" w:firstLineChars="200"/>
        <w:rPr>
          <w:rFonts w:ascii="宋体" w:hAnsi="宋体"/>
          <w:sz w:val="24"/>
          <w:szCs w:val="24"/>
        </w:rPr>
      </w:pPr>
      <w:r>
        <w:rPr>
          <w:rFonts w:hint="eastAsia" w:ascii="宋体" w:hAnsi="宋体"/>
          <w:sz w:val="24"/>
          <w:szCs w:val="24"/>
        </w:rPr>
        <w:t>（二）严格依照国家和河南省关于招标投标的法律、法规、规章、规范性文件，参加公共资源招标投标活动，不挂靠、借用、出租、出借、转让资质，积极履行社会责任，促进廉政建设。</w:t>
      </w:r>
    </w:p>
    <w:p>
      <w:pPr>
        <w:spacing w:line="400" w:lineRule="exact"/>
        <w:ind w:firstLine="480" w:firstLineChars="200"/>
        <w:rPr>
          <w:rFonts w:ascii="宋体" w:hAnsi="宋体"/>
          <w:sz w:val="24"/>
          <w:szCs w:val="24"/>
        </w:rPr>
      </w:pPr>
      <w:r>
        <w:rPr>
          <w:rFonts w:hint="eastAsia" w:ascii="宋体" w:hAnsi="宋体"/>
          <w:sz w:val="24"/>
          <w:szCs w:val="24"/>
        </w:rPr>
        <w:t>（三）自我约束、自我管理，守合同、重信用，不参与围标串标、弄虚作假、骗取中标、干扰评标、胁迫他人投标（放弃中标）、恶意投诉、违约毁约等行为，自觉维护公共资源招标投标的良好秩序。</w:t>
      </w:r>
    </w:p>
    <w:p>
      <w:pPr>
        <w:spacing w:line="400" w:lineRule="exact"/>
        <w:ind w:firstLine="480" w:firstLineChars="200"/>
        <w:rPr>
          <w:rFonts w:ascii="宋体" w:hAnsi="宋体"/>
          <w:sz w:val="24"/>
          <w:szCs w:val="24"/>
        </w:rPr>
      </w:pPr>
      <w:r>
        <w:rPr>
          <w:rFonts w:hint="eastAsia" w:ascii="宋体" w:hAnsi="宋体"/>
          <w:sz w:val="24"/>
          <w:szCs w:val="24"/>
        </w:rPr>
        <w:t>（四）本单位及项目经办人员信用状况良好，未被列为失信惩戒对象或“老赖”，符合参与公共资源交易活动的相关要求。</w:t>
      </w:r>
    </w:p>
    <w:p>
      <w:pPr>
        <w:spacing w:line="400" w:lineRule="exact"/>
        <w:ind w:firstLine="480" w:firstLineChars="200"/>
        <w:rPr>
          <w:rFonts w:ascii="宋体" w:hAnsi="宋体"/>
          <w:sz w:val="24"/>
          <w:szCs w:val="24"/>
        </w:rPr>
      </w:pPr>
      <w:r>
        <w:rPr>
          <w:rFonts w:hint="eastAsia" w:ascii="宋体" w:hAnsi="宋体"/>
          <w:sz w:val="24"/>
          <w:szCs w:val="24"/>
        </w:rPr>
        <w:t>（五）本单位不存在被人力资源和社会保障部门列入拖欠农民工工资“黑名单”或因拖欠农民工工资被县级及以上有关行政主管部门限制投标资格之情形，若中标，本单位将自觉落实农民工工资保障的有关措施，及时交纳农民工工资保证金，切实维护农民工权益。</w:t>
      </w:r>
    </w:p>
    <w:p>
      <w:pPr>
        <w:spacing w:line="400" w:lineRule="exact"/>
        <w:ind w:firstLine="480" w:firstLineChars="200"/>
        <w:rPr>
          <w:rFonts w:ascii="宋体" w:hAnsi="宋体"/>
          <w:sz w:val="24"/>
          <w:szCs w:val="24"/>
        </w:rPr>
      </w:pPr>
      <w:r>
        <w:rPr>
          <w:rFonts w:hint="eastAsia" w:ascii="宋体" w:hAnsi="宋体"/>
          <w:sz w:val="24"/>
          <w:szCs w:val="24"/>
        </w:rPr>
        <w:t>（六）若中标，本单位将在规定的时间内与招标人签订合同并自觉履行合同义务，不转包或违法分包中标项目。</w:t>
      </w:r>
    </w:p>
    <w:p>
      <w:pPr>
        <w:spacing w:line="400" w:lineRule="exact"/>
        <w:ind w:firstLine="480" w:firstLineChars="200"/>
        <w:rPr>
          <w:rFonts w:ascii="宋体" w:hAnsi="宋体"/>
          <w:sz w:val="24"/>
          <w:szCs w:val="24"/>
        </w:rPr>
      </w:pPr>
      <w:r>
        <w:rPr>
          <w:rFonts w:hint="eastAsia" w:ascii="宋体" w:hAnsi="宋体"/>
          <w:sz w:val="24"/>
          <w:szCs w:val="24"/>
        </w:rPr>
        <w:t>（七）自觉接受政府、行业组织、社会公众、新闻舆论的监督。</w:t>
      </w:r>
    </w:p>
    <w:p>
      <w:pPr>
        <w:spacing w:line="400" w:lineRule="exact"/>
        <w:ind w:firstLine="480" w:firstLineChars="200"/>
        <w:rPr>
          <w:rFonts w:ascii="宋体" w:hAnsi="宋体"/>
          <w:sz w:val="24"/>
          <w:szCs w:val="24"/>
        </w:rPr>
      </w:pPr>
      <w:r>
        <w:rPr>
          <w:rFonts w:hint="eastAsia" w:ascii="宋体" w:hAnsi="宋体"/>
          <w:sz w:val="24"/>
          <w:szCs w:val="24"/>
        </w:rPr>
        <w:t>（八）本单位自愿接受招标投标综合监督管理机构和有关行政监督部门依法开展的监督检查，积极配合行政监督部门的投诉处理；本单位及项目经办人员如发生违法违规或不良行为，自愿接受招标投标综合监督管理机构和有关行政监督部门依法给予的行政处罚（处理），依法承担赔偿责任和刑事责任，并同意按照相关规定记入本单位及项目经办人员诚信档案或不良行为（信用）记录。</w:t>
      </w:r>
    </w:p>
    <w:p>
      <w:pPr>
        <w:spacing w:line="400" w:lineRule="exact"/>
        <w:ind w:firstLine="480" w:firstLineChars="200"/>
        <w:rPr>
          <w:rFonts w:ascii="宋体" w:hAnsi="宋体"/>
          <w:sz w:val="24"/>
          <w:szCs w:val="24"/>
        </w:rPr>
      </w:pPr>
      <w:r>
        <w:rPr>
          <w:rFonts w:hint="eastAsia" w:ascii="宋体" w:hAnsi="宋体"/>
          <w:sz w:val="24"/>
          <w:szCs w:val="24"/>
        </w:rPr>
        <w:t>（九）本人已认真阅读了上述承诺，并向本单位员工作了宣传教育。</w:t>
      </w:r>
    </w:p>
    <w:p>
      <w:pPr>
        <w:spacing w:line="400" w:lineRule="exact"/>
        <w:ind w:firstLine="480" w:firstLineChars="200"/>
        <w:rPr>
          <w:rFonts w:ascii="宋体" w:hAnsi="宋体"/>
          <w:sz w:val="24"/>
          <w:szCs w:val="24"/>
        </w:rPr>
      </w:pPr>
      <w:r>
        <w:rPr>
          <w:rFonts w:hint="eastAsia" w:ascii="宋体" w:hAnsi="宋体" w:cs="宋体"/>
          <w:sz w:val="24"/>
          <w:szCs w:val="24"/>
        </w:rPr>
        <w:t>法定代表人或其授权代表（签字）</w:t>
      </w:r>
      <w:r>
        <w:rPr>
          <w:rFonts w:hint="eastAsia" w:ascii="宋体" w:hAnsi="宋体"/>
          <w:sz w:val="24"/>
          <w:szCs w:val="24"/>
        </w:rPr>
        <w:t>∶</w:t>
      </w:r>
    </w:p>
    <w:p>
      <w:pPr>
        <w:spacing w:line="400" w:lineRule="exact"/>
        <w:ind w:firstLine="480" w:firstLineChars="200"/>
        <w:rPr>
          <w:rFonts w:ascii="宋体" w:hAnsi="宋体"/>
          <w:sz w:val="24"/>
          <w:szCs w:val="24"/>
        </w:rPr>
      </w:pPr>
      <w:r>
        <w:rPr>
          <w:rFonts w:hint="eastAsia" w:ascii="宋体" w:hAnsi="宋体"/>
          <w:sz w:val="24"/>
          <w:szCs w:val="24"/>
        </w:rPr>
        <w:t xml:space="preserve">              企业名称（盖章）∶</w:t>
      </w:r>
    </w:p>
    <w:p>
      <w:pPr>
        <w:spacing w:line="400" w:lineRule="exact"/>
        <w:ind w:firstLine="480" w:firstLineChars="200"/>
        <w:rPr>
          <w:rFonts w:ascii="宋体" w:hAnsi="宋体"/>
          <w:sz w:val="24"/>
          <w:szCs w:val="24"/>
        </w:rPr>
      </w:pPr>
      <w:r>
        <w:rPr>
          <w:rFonts w:hint="eastAsia" w:ascii="宋体" w:hAnsi="宋体"/>
          <w:sz w:val="24"/>
          <w:szCs w:val="24"/>
        </w:rPr>
        <w:t xml:space="preserve">              项目负责人（签字）∶</w:t>
      </w:r>
    </w:p>
    <w:p>
      <w:pPr>
        <w:spacing w:line="400" w:lineRule="exact"/>
        <w:ind w:firstLine="480" w:firstLineChars="200"/>
        <w:rPr>
          <w:rFonts w:ascii="宋体" w:hAnsi="宋体"/>
          <w:sz w:val="24"/>
          <w:szCs w:val="24"/>
        </w:rPr>
      </w:pPr>
      <w:r>
        <w:rPr>
          <w:rFonts w:hint="eastAsia" w:ascii="宋体" w:hAnsi="宋体"/>
          <w:sz w:val="24"/>
          <w:szCs w:val="24"/>
        </w:rPr>
        <w:t xml:space="preserve">                               年   月   日</w:t>
      </w:r>
    </w:p>
    <w:p>
      <w:pPr>
        <w:spacing w:line="360" w:lineRule="exact"/>
        <w:jc w:val="left"/>
        <w:rPr>
          <w:rFonts w:hint="eastAsia" w:ascii="宋体" w:hAnsi="宋体" w:cs="宋体"/>
          <w:bCs/>
          <w:sz w:val="24"/>
          <w:szCs w:val="24"/>
        </w:rPr>
      </w:pPr>
    </w:p>
    <w:p>
      <w:pPr>
        <w:spacing w:line="360" w:lineRule="exact"/>
        <w:jc w:val="left"/>
        <w:rPr>
          <w:rFonts w:hint="eastAsia" w:ascii="宋体" w:hAnsi="宋体" w:cs="宋体"/>
          <w:bCs/>
          <w:sz w:val="24"/>
          <w:szCs w:val="24"/>
        </w:rPr>
      </w:pPr>
    </w:p>
    <w:p>
      <w:pPr>
        <w:spacing w:line="360" w:lineRule="exact"/>
        <w:jc w:val="left"/>
        <w:rPr>
          <w:rFonts w:ascii="宋体" w:hAnsi="宋体" w:cs="宋体"/>
          <w:b/>
          <w:bCs/>
          <w:sz w:val="24"/>
          <w:szCs w:val="24"/>
        </w:rPr>
      </w:pPr>
      <w:r>
        <w:rPr>
          <w:rFonts w:hint="eastAsia" w:ascii="宋体" w:hAnsi="宋体" w:cs="宋体"/>
          <w:b/>
          <w:bCs/>
          <w:sz w:val="24"/>
          <w:szCs w:val="24"/>
        </w:rPr>
        <w:t>13.其他资格证明</w:t>
      </w:r>
    </w:p>
    <w:p>
      <w:pPr>
        <w:widowControl/>
        <w:kinsoku w:val="0"/>
        <w:autoSpaceDE w:val="0"/>
        <w:autoSpaceDN w:val="0"/>
        <w:adjustRightInd w:val="0"/>
        <w:snapToGrid w:val="0"/>
        <w:spacing w:line="360" w:lineRule="auto"/>
        <w:jc w:val="center"/>
        <w:textAlignment w:val="baseline"/>
        <w:rPr>
          <w:rFonts w:hint="eastAsia" w:ascii="宋体" w:hAnsi="宋体" w:cs="Arial"/>
          <w:b/>
          <w:bCs/>
          <w:snapToGrid w:val="0"/>
          <w:color w:val="000000"/>
          <w:kern w:val="0"/>
          <w:sz w:val="28"/>
          <w:szCs w:val="28"/>
        </w:rPr>
      </w:pPr>
    </w:p>
    <w:p>
      <w:pPr>
        <w:widowControl/>
        <w:kinsoku w:val="0"/>
        <w:autoSpaceDE w:val="0"/>
        <w:autoSpaceDN w:val="0"/>
        <w:adjustRightInd w:val="0"/>
        <w:snapToGrid w:val="0"/>
        <w:spacing w:line="360" w:lineRule="auto"/>
        <w:jc w:val="center"/>
        <w:textAlignment w:val="baseline"/>
        <w:rPr>
          <w:rFonts w:hint="eastAsia" w:ascii="宋体" w:hAnsi="宋体" w:cs="Arial"/>
          <w:b/>
          <w:bCs/>
          <w:snapToGrid w:val="0"/>
          <w:color w:val="000000"/>
          <w:kern w:val="0"/>
          <w:sz w:val="36"/>
          <w:szCs w:val="28"/>
        </w:rPr>
      </w:pPr>
      <w:r>
        <w:rPr>
          <w:rFonts w:hint="eastAsia" w:ascii="宋体" w:hAnsi="宋体" w:cs="Arial"/>
          <w:b/>
          <w:bCs/>
          <w:snapToGrid w:val="0"/>
          <w:color w:val="000000"/>
          <w:kern w:val="0"/>
          <w:sz w:val="36"/>
          <w:szCs w:val="28"/>
        </w:rPr>
        <w:t>投标承诺函</w:t>
      </w:r>
    </w:p>
    <w:p>
      <w:pPr>
        <w:ind w:firstLine="420" w:firstLineChars="200"/>
        <w:rPr>
          <w:rFonts w:ascii="Times New Roman" w:hAnsi="Times New Roman"/>
          <w:szCs w:val="24"/>
        </w:rPr>
      </w:pPr>
    </w:p>
    <w:p>
      <w:pPr>
        <w:autoSpaceDE w:val="0"/>
        <w:autoSpaceDN w:val="0"/>
        <w:spacing w:line="480" w:lineRule="exact"/>
        <w:jc w:val="left"/>
        <w:rPr>
          <w:rFonts w:ascii="宋体" w:hAnsi="宋体" w:cs="Arial"/>
          <w:snapToGrid w:val="0"/>
          <w:color w:val="000000"/>
          <w:kern w:val="0"/>
          <w:sz w:val="24"/>
          <w:szCs w:val="24"/>
        </w:rPr>
      </w:pPr>
      <w:r>
        <w:rPr>
          <w:rFonts w:ascii="宋体" w:hAnsi="宋体" w:cs="Arial"/>
          <w:snapToGrid w:val="0"/>
          <w:color w:val="000000"/>
          <w:kern w:val="0"/>
          <w:sz w:val="24"/>
          <w:szCs w:val="24"/>
        </w:rPr>
        <w:t>致（采购人及采购代理机构）：</w:t>
      </w:r>
    </w:p>
    <w:p>
      <w:pPr>
        <w:autoSpaceDE w:val="0"/>
        <w:autoSpaceDN w:val="0"/>
        <w:spacing w:line="480" w:lineRule="exact"/>
        <w:jc w:val="left"/>
        <w:rPr>
          <w:rFonts w:ascii="宋体" w:hAnsi="宋体" w:cs="Arial"/>
          <w:snapToGrid w:val="0"/>
          <w:color w:val="000000"/>
          <w:kern w:val="0"/>
          <w:sz w:val="24"/>
          <w:szCs w:val="24"/>
        </w:rPr>
      </w:pPr>
      <w:r>
        <w:rPr>
          <w:rFonts w:ascii="宋体" w:hAnsi="宋体" w:cs="Arial"/>
          <w:snapToGrid w:val="0"/>
          <w:color w:val="000000"/>
          <w:kern w:val="0"/>
          <w:sz w:val="24"/>
          <w:szCs w:val="24"/>
        </w:rPr>
        <w:t>我公司作为本次采购项目的供应商，根据招标文件要求，现郑重承诺如下：</w:t>
      </w:r>
    </w:p>
    <w:p>
      <w:pPr>
        <w:autoSpaceDE w:val="0"/>
        <w:autoSpaceDN w:val="0"/>
        <w:spacing w:line="480" w:lineRule="exact"/>
        <w:jc w:val="left"/>
        <w:rPr>
          <w:rFonts w:ascii="宋体" w:hAnsi="宋体" w:cs="Arial"/>
          <w:snapToGrid w:val="0"/>
          <w:color w:val="000000"/>
          <w:kern w:val="0"/>
          <w:sz w:val="24"/>
          <w:szCs w:val="24"/>
        </w:rPr>
      </w:pPr>
      <w:r>
        <w:rPr>
          <w:rFonts w:ascii="宋体" w:hAnsi="宋体" w:cs="Arial"/>
          <w:snapToGrid w:val="0"/>
          <w:color w:val="000000"/>
          <w:kern w:val="0"/>
          <w:sz w:val="24"/>
          <w:szCs w:val="24"/>
        </w:rPr>
        <w:t>一、具备《中华人民共和国政府采购法》第二十二条第一款和本项目规定的条件：</w:t>
      </w:r>
    </w:p>
    <w:p>
      <w:pPr>
        <w:autoSpaceDE w:val="0"/>
        <w:autoSpaceDN w:val="0"/>
        <w:spacing w:line="480" w:lineRule="exact"/>
        <w:jc w:val="left"/>
        <w:rPr>
          <w:rFonts w:ascii="宋体" w:hAnsi="宋体" w:cs="Arial"/>
          <w:snapToGrid w:val="0"/>
          <w:color w:val="000000"/>
          <w:kern w:val="0"/>
          <w:sz w:val="24"/>
          <w:szCs w:val="24"/>
        </w:rPr>
      </w:pPr>
      <w:r>
        <w:rPr>
          <w:rFonts w:ascii="宋体" w:hAnsi="宋体" w:cs="Arial"/>
          <w:snapToGrid w:val="0"/>
          <w:color w:val="000000"/>
          <w:kern w:val="0"/>
          <w:sz w:val="24"/>
          <w:szCs w:val="24"/>
        </w:rPr>
        <w:t>（一）具有独立承担民事责任的能力；</w:t>
      </w:r>
    </w:p>
    <w:p>
      <w:pPr>
        <w:autoSpaceDE w:val="0"/>
        <w:autoSpaceDN w:val="0"/>
        <w:spacing w:line="480" w:lineRule="exact"/>
        <w:jc w:val="left"/>
        <w:rPr>
          <w:rFonts w:ascii="宋体" w:hAnsi="宋体" w:cs="Arial"/>
          <w:snapToGrid w:val="0"/>
          <w:color w:val="000000"/>
          <w:kern w:val="0"/>
          <w:sz w:val="24"/>
          <w:szCs w:val="24"/>
        </w:rPr>
      </w:pPr>
      <w:r>
        <w:rPr>
          <w:rFonts w:ascii="宋体" w:hAnsi="宋体" w:cs="Arial"/>
          <w:snapToGrid w:val="0"/>
          <w:color w:val="000000"/>
          <w:kern w:val="0"/>
          <w:sz w:val="24"/>
          <w:szCs w:val="24"/>
        </w:rPr>
        <w:t>（二）具有良好的商业信誉和健全的财务会计制度；</w:t>
      </w:r>
    </w:p>
    <w:p>
      <w:pPr>
        <w:autoSpaceDE w:val="0"/>
        <w:autoSpaceDN w:val="0"/>
        <w:spacing w:line="480" w:lineRule="exact"/>
        <w:jc w:val="left"/>
        <w:rPr>
          <w:rFonts w:ascii="宋体" w:hAnsi="宋体" w:cs="Arial"/>
          <w:snapToGrid w:val="0"/>
          <w:color w:val="000000"/>
          <w:kern w:val="0"/>
          <w:sz w:val="24"/>
          <w:szCs w:val="24"/>
        </w:rPr>
      </w:pPr>
      <w:r>
        <w:rPr>
          <w:rFonts w:ascii="宋体" w:hAnsi="宋体" w:cs="Arial"/>
          <w:snapToGrid w:val="0"/>
          <w:color w:val="000000"/>
          <w:kern w:val="0"/>
          <w:sz w:val="24"/>
          <w:szCs w:val="24"/>
        </w:rPr>
        <w:t>（三）具有履行合同所必需的设备和专业技术能力；</w:t>
      </w:r>
    </w:p>
    <w:p>
      <w:pPr>
        <w:autoSpaceDE w:val="0"/>
        <w:autoSpaceDN w:val="0"/>
        <w:spacing w:line="480" w:lineRule="exact"/>
        <w:jc w:val="left"/>
        <w:rPr>
          <w:rFonts w:ascii="宋体" w:hAnsi="宋体" w:cs="Arial"/>
          <w:snapToGrid w:val="0"/>
          <w:color w:val="000000"/>
          <w:kern w:val="0"/>
          <w:sz w:val="24"/>
          <w:szCs w:val="24"/>
        </w:rPr>
      </w:pPr>
      <w:r>
        <w:rPr>
          <w:rFonts w:ascii="宋体" w:hAnsi="宋体" w:cs="Arial"/>
          <w:snapToGrid w:val="0"/>
          <w:color w:val="000000"/>
          <w:kern w:val="0"/>
          <w:sz w:val="24"/>
          <w:szCs w:val="24"/>
        </w:rPr>
        <w:t>（四）有依法缴纳税收和社会保障资金的良好记录；</w:t>
      </w:r>
    </w:p>
    <w:p>
      <w:pPr>
        <w:autoSpaceDE w:val="0"/>
        <w:autoSpaceDN w:val="0"/>
        <w:spacing w:line="480" w:lineRule="exact"/>
        <w:jc w:val="left"/>
        <w:rPr>
          <w:rFonts w:ascii="宋体" w:hAnsi="宋体" w:cs="Arial"/>
          <w:snapToGrid w:val="0"/>
          <w:color w:val="000000"/>
          <w:kern w:val="0"/>
          <w:sz w:val="24"/>
          <w:szCs w:val="24"/>
        </w:rPr>
      </w:pPr>
      <w:r>
        <w:rPr>
          <w:rFonts w:ascii="宋体" w:hAnsi="宋体" w:cs="Arial"/>
          <w:snapToGrid w:val="0"/>
          <w:color w:val="000000"/>
          <w:kern w:val="0"/>
          <w:sz w:val="24"/>
          <w:szCs w:val="24"/>
        </w:rPr>
        <w:t>（五）参加政府采购活动前三年内，在经营活动中没有重大违法记录；</w:t>
      </w:r>
    </w:p>
    <w:p>
      <w:pPr>
        <w:autoSpaceDE w:val="0"/>
        <w:autoSpaceDN w:val="0"/>
        <w:spacing w:line="480" w:lineRule="exact"/>
        <w:jc w:val="left"/>
        <w:rPr>
          <w:rFonts w:ascii="宋体" w:hAnsi="宋体" w:cs="Arial"/>
          <w:snapToGrid w:val="0"/>
          <w:color w:val="000000"/>
          <w:kern w:val="0"/>
          <w:sz w:val="24"/>
          <w:szCs w:val="24"/>
        </w:rPr>
      </w:pPr>
      <w:r>
        <w:rPr>
          <w:rFonts w:ascii="宋体" w:hAnsi="宋体" w:cs="Arial"/>
          <w:snapToGrid w:val="0"/>
          <w:color w:val="000000"/>
          <w:kern w:val="0"/>
          <w:sz w:val="24"/>
          <w:szCs w:val="24"/>
        </w:rPr>
        <w:t>（六）法律、行政法规规定的其他条件；</w:t>
      </w:r>
    </w:p>
    <w:p>
      <w:pPr>
        <w:autoSpaceDE w:val="0"/>
        <w:autoSpaceDN w:val="0"/>
        <w:spacing w:line="480" w:lineRule="exact"/>
        <w:jc w:val="left"/>
        <w:rPr>
          <w:rFonts w:ascii="宋体" w:hAnsi="宋体" w:cs="Arial"/>
          <w:snapToGrid w:val="0"/>
          <w:color w:val="000000"/>
          <w:kern w:val="0"/>
          <w:sz w:val="24"/>
          <w:szCs w:val="24"/>
        </w:rPr>
      </w:pPr>
      <w:r>
        <w:rPr>
          <w:rFonts w:ascii="宋体" w:hAnsi="宋体" w:cs="Arial"/>
          <w:snapToGrid w:val="0"/>
          <w:color w:val="000000"/>
          <w:kern w:val="0"/>
          <w:sz w:val="24"/>
          <w:szCs w:val="24"/>
        </w:rPr>
        <w:t>（七）根据采购项目提出的特殊条件。</w:t>
      </w:r>
    </w:p>
    <w:p>
      <w:pPr>
        <w:autoSpaceDE w:val="0"/>
        <w:autoSpaceDN w:val="0"/>
        <w:spacing w:line="480" w:lineRule="exact"/>
        <w:jc w:val="left"/>
        <w:rPr>
          <w:rFonts w:ascii="宋体" w:hAnsi="宋体" w:cs="Arial"/>
          <w:snapToGrid w:val="0"/>
          <w:color w:val="000000"/>
          <w:kern w:val="0"/>
          <w:sz w:val="24"/>
          <w:szCs w:val="24"/>
        </w:rPr>
      </w:pPr>
      <w:r>
        <w:rPr>
          <w:rFonts w:ascii="宋体" w:hAnsi="宋体" w:cs="Arial"/>
          <w:snapToGrid w:val="0"/>
          <w:color w:val="000000"/>
          <w:kern w:val="0"/>
          <w:sz w:val="24"/>
          <w:szCs w:val="24"/>
        </w:rPr>
        <w:t>二、完全接受和满足本项目招标文件中规定的实质性要求，如对招标文件有异议，已经在投标截止时间届满前依法进行维权救济，不存在对招标文件有异议的同时又参加投标以求侥幸中标或者为实现其他非法目的的行为。</w:t>
      </w:r>
    </w:p>
    <w:p>
      <w:pPr>
        <w:autoSpaceDE w:val="0"/>
        <w:autoSpaceDN w:val="0"/>
        <w:spacing w:line="480" w:lineRule="exact"/>
        <w:jc w:val="left"/>
        <w:rPr>
          <w:rFonts w:ascii="宋体" w:hAnsi="宋体" w:cs="Arial"/>
          <w:snapToGrid w:val="0"/>
          <w:color w:val="000000"/>
          <w:kern w:val="0"/>
          <w:sz w:val="24"/>
          <w:szCs w:val="24"/>
        </w:rPr>
      </w:pPr>
      <w:r>
        <w:rPr>
          <w:rFonts w:ascii="宋体" w:hAnsi="宋体" w:cs="Arial"/>
          <w:snapToGrid w:val="0"/>
          <w:color w:val="000000"/>
          <w:kern w:val="0"/>
          <w:sz w:val="24"/>
          <w:szCs w:val="24"/>
        </w:rPr>
        <w:t>三、参加本次招标采购活动，不存在与单位负责人为同一人或者存在直接控股、管理关系的其他供应商参与同一合同项下的政府采购活动的行为。</w:t>
      </w:r>
    </w:p>
    <w:p>
      <w:pPr>
        <w:autoSpaceDE w:val="0"/>
        <w:autoSpaceDN w:val="0"/>
        <w:spacing w:line="480" w:lineRule="exact"/>
        <w:jc w:val="left"/>
        <w:rPr>
          <w:rFonts w:ascii="宋体" w:hAnsi="宋体" w:cs="Arial"/>
          <w:snapToGrid w:val="0"/>
          <w:color w:val="000000"/>
          <w:kern w:val="0"/>
          <w:sz w:val="24"/>
          <w:szCs w:val="24"/>
        </w:rPr>
      </w:pPr>
      <w:r>
        <w:rPr>
          <w:rFonts w:ascii="宋体" w:hAnsi="宋体" w:cs="Arial"/>
          <w:snapToGrid w:val="0"/>
          <w:color w:val="000000"/>
          <w:kern w:val="0"/>
          <w:sz w:val="24"/>
          <w:szCs w:val="24"/>
        </w:rPr>
        <w:t>四、参加本次招标采购活动，不存在为采购项目提供整体设计、规范编制或者项目管理、监理、检测等服务的行为。</w:t>
      </w:r>
    </w:p>
    <w:p>
      <w:pPr>
        <w:autoSpaceDE w:val="0"/>
        <w:autoSpaceDN w:val="0"/>
        <w:spacing w:line="480" w:lineRule="exact"/>
        <w:jc w:val="left"/>
        <w:rPr>
          <w:rFonts w:ascii="宋体" w:hAnsi="宋体" w:cs="Arial"/>
          <w:snapToGrid w:val="0"/>
          <w:color w:val="000000"/>
          <w:kern w:val="0"/>
          <w:sz w:val="24"/>
          <w:szCs w:val="24"/>
        </w:rPr>
      </w:pPr>
      <w:r>
        <w:rPr>
          <w:rFonts w:ascii="宋体" w:hAnsi="宋体" w:cs="Arial"/>
          <w:snapToGrid w:val="0"/>
          <w:color w:val="000000"/>
          <w:kern w:val="0"/>
          <w:sz w:val="24"/>
          <w:szCs w:val="24"/>
        </w:rPr>
        <w:t>五、参加本次招标采购活动，不存在和其他供应商在同一合同项下的采购项目中，同时委托同一个自然人、同一家庭的人员、同一单位的人员作为代理人的行为。</w:t>
      </w:r>
    </w:p>
    <w:p>
      <w:pPr>
        <w:autoSpaceDE w:val="0"/>
        <w:autoSpaceDN w:val="0"/>
        <w:spacing w:line="480" w:lineRule="exact"/>
        <w:jc w:val="left"/>
        <w:rPr>
          <w:rFonts w:ascii="宋体" w:hAnsi="宋体" w:cs="Arial"/>
          <w:snapToGrid w:val="0"/>
          <w:color w:val="000000"/>
          <w:kern w:val="0"/>
          <w:sz w:val="24"/>
          <w:szCs w:val="24"/>
        </w:rPr>
      </w:pPr>
      <w:r>
        <w:rPr>
          <w:rFonts w:ascii="宋体" w:hAnsi="宋体" w:cs="Arial"/>
          <w:snapToGrid w:val="0"/>
          <w:color w:val="000000"/>
          <w:kern w:val="0"/>
          <w:sz w:val="24"/>
          <w:szCs w:val="24"/>
        </w:rPr>
        <w:t>六、供应商参加本次政府采购活动要求在近三年内供应商和其法定代表人没有行贿犯罪行为。</w:t>
      </w:r>
    </w:p>
    <w:p>
      <w:pPr>
        <w:autoSpaceDE w:val="0"/>
        <w:autoSpaceDN w:val="0"/>
        <w:spacing w:line="480" w:lineRule="exact"/>
        <w:jc w:val="left"/>
        <w:rPr>
          <w:rFonts w:ascii="宋体" w:hAnsi="宋体" w:cs="Arial"/>
          <w:snapToGrid w:val="0"/>
          <w:color w:val="000000"/>
          <w:kern w:val="0"/>
          <w:sz w:val="24"/>
          <w:szCs w:val="24"/>
        </w:rPr>
      </w:pPr>
      <w:r>
        <w:rPr>
          <w:rFonts w:ascii="宋体" w:hAnsi="宋体" w:cs="Arial"/>
          <w:snapToGrid w:val="0"/>
          <w:color w:val="000000"/>
          <w:kern w:val="0"/>
          <w:sz w:val="24"/>
          <w:szCs w:val="24"/>
        </w:rPr>
        <w:t>七、参加本次招标采购活动，不存在联合体投标。</w:t>
      </w:r>
    </w:p>
    <w:p>
      <w:pPr>
        <w:autoSpaceDE w:val="0"/>
        <w:autoSpaceDN w:val="0"/>
        <w:spacing w:line="480" w:lineRule="exact"/>
        <w:jc w:val="left"/>
        <w:rPr>
          <w:rFonts w:ascii="宋体" w:hAnsi="宋体" w:cs="Arial"/>
          <w:snapToGrid w:val="0"/>
          <w:color w:val="000000"/>
          <w:kern w:val="0"/>
          <w:sz w:val="24"/>
          <w:szCs w:val="24"/>
        </w:rPr>
      </w:pPr>
      <w:r>
        <w:rPr>
          <w:rFonts w:ascii="宋体" w:hAnsi="宋体" w:cs="Arial"/>
          <w:snapToGrid w:val="0"/>
          <w:color w:val="000000"/>
          <w:kern w:val="0"/>
          <w:sz w:val="24"/>
          <w:szCs w:val="24"/>
        </w:rPr>
        <w:t>八、投标文件中提供的能够给予我公司带来优惠、好处的任何材料资料和技术、服务、商务等响应承诺情况都是真实的、有效的、合法的。</w:t>
      </w:r>
    </w:p>
    <w:p>
      <w:pPr>
        <w:autoSpaceDE w:val="0"/>
        <w:autoSpaceDN w:val="0"/>
        <w:spacing w:line="480" w:lineRule="exact"/>
        <w:jc w:val="left"/>
        <w:rPr>
          <w:rFonts w:ascii="宋体" w:hAnsi="宋体" w:cs="Arial"/>
          <w:snapToGrid w:val="0"/>
          <w:color w:val="000000"/>
          <w:kern w:val="0"/>
          <w:sz w:val="24"/>
          <w:szCs w:val="24"/>
        </w:rPr>
      </w:pPr>
      <w:r>
        <w:rPr>
          <w:rFonts w:ascii="宋体" w:hAnsi="宋体" w:cs="Arial"/>
          <w:snapToGrid w:val="0"/>
          <w:color w:val="000000"/>
          <w:kern w:val="0"/>
          <w:sz w:val="24"/>
          <w:szCs w:val="24"/>
        </w:rPr>
        <w:t>九、如本项目评标过程中需要提供样品，则我公司提供的样品即为中标后将要提供的中标产品，我公司对提供样品的性能和质量负责，因样品存在缺陷或者不符合招标文件要求导致未能中标的，我公司愿意承担相应不利后果。（如提供样品）</w:t>
      </w:r>
    </w:p>
    <w:p>
      <w:pPr>
        <w:autoSpaceDE w:val="0"/>
        <w:autoSpaceDN w:val="0"/>
        <w:spacing w:line="480" w:lineRule="exact"/>
        <w:jc w:val="left"/>
        <w:rPr>
          <w:rFonts w:ascii="宋体" w:hAnsi="宋体" w:cs="Arial"/>
          <w:snapToGrid w:val="0"/>
          <w:color w:val="000000"/>
          <w:kern w:val="0"/>
          <w:sz w:val="24"/>
          <w:szCs w:val="24"/>
        </w:rPr>
      </w:pPr>
      <w:r>
        <w:rPr>
          <w:rFonts w:ascii="宋体" w:hAnsi="宋体" w:cs="Arial"/>
          <w:snapToGrid w:val="0"/>
          <w:color w:val="000000"/>
          <w:kern w:val="0"/>
          <w:sz w:val="24"/>
          <w:szCs w:val="24"/>
        </w:rPr>
        <w:t>十、存在以下行为之一的愿意接受相关部门的处理：</w:t>
      </w:r>
    </w:p>
    <w:p>
      <w:pPr>
        <w:autoSpaceDE w:val="0"/>
        <w:autoSpaceDN w:val="0"/>
        <w:spacing w:line="480" w:lineRule="exact"/>
        <w:jc w:val="left"/>
        <w:rPr>
          <w:rFonts w:ascii="宋体" w:hAnsi="宋体" w:cs="Arial"/>
          <w:snapToGrid w:val="0"/>
          <w:color w:val="000000"/>
          <w:kern w:val="0"/>
          <w:sz w:val="24"/>
          <w:szCs w:val="24"/>
        </w:rPr>
      </w:pPr>
      <w:r>
        <w:rPr>
          <w:rFonts w:ascii="宋体" w:hAnsi="宋体" w:cs="Arial"/>
          <w:snapToGrid w:val="0"/>
          <w:color w:val="000000"/>
          <w:kern w:val="0"/>
          <w:sz w:val="24"/>
          <w:szCs w:val="24"/>
        </w:rPr>
        <w:t>（一）投标有效期内撤销投标文件的；</w:t>
      </w:r>
    </w:p>
    <w:p>
      <w:pPr>
        <w:autoSpaceDE w:val="0"/>
        <w:autoSpaceDN w:val="0"/>
        <w:spacing w:line="480" w:lineRule="exact"/>
        <w:jc w:val="left"/>
        <w:rPr>
          <w:rFonts w:ascii="宋体" w:hAnsi="宋体" w:cs="Arial"/>
          <w:snapToGrid w:val="0"/>
          <w:color w:val="000000"/>
          <w:kern w:val="0"/>
          <w:sz w:val="24"/>
          <w:szCs w:val="24"/>
        </w:rPr>
      </w:pPr>
      <w:r>
        <w:rPr>
          <w:rFonts w:ascii="宋体" w:hAnsi="宋体" w:cs="Arial"/>
          <w:snapToGrid w:val="0"/>
          <w:color w:val="000000"/>
          <w:kern w:val="0"/>
          <w:sz w:val="24"/>
          <w:szCs w:val="24"/>
        </w:rPr>
        <w:t>（二）在采购人确定中标人以前放弃中标候选资格的；</w:t>
      </w:r>
    </w:p>
    <w:p>
      <w:pPr>
        <w:autoSpaceDE w:val="0"/>
        <w:autoSpaceDN w:val="0"/>
        <w:spacing w:line="480" w:lineRule="exact"/>
        <w:jc w:val="left"/>
        <w:rPr>
          <w:rFonts w:ascii="宋体" w:hAnsi="宋体" w:cs="Arial"/>
          <w:snapToGrid w:val="0"/>
          <w:color w:val="000000"/>
          <w:kern w:val="0"/>
          <w:sz w:val="24"/>
          <w:szCs w:val="24"/>
        </w:rPr>
      </w:pPr>
      <w:r>
        <w:rPr>
          <w:rFonts w:ascii="宋体" w:hAnsi="宋体" w:cs="Arial"/>
          <w:snapToGrid w:val="0"/>
          <w:color w:val="000000"/>
          <w:kern w:val="0"/>
          <w:sz w:val="24"/>
          <w:szCs w:val="24"/>
        </w:rPr>
        <w:t>（三）由于中标人的原因未能按照招标文件的规定与采购人签订合同；</w:t>
      </w:r>
    </w:p>
    <w:p>
      <w:pPr>
        <w:autoSpaceDE w:val="0"/>
        <w:autoSpaceDN w:val="0"/>
        <w:spacing w:line="480" w:lineRule="exact"/>
        <w:jc w:val="left"/>
        <w:rPr>
          <w:rFonts w:ascii="宋体" w:hAnsi="宋体" w:cs="Arial"/>
          <w:snapToGrid w:val="0"/>
          <w:color w:val="000000"/>
          <w:kern w:val="0"/>
          <w:sz w:val="24"/>
          <w:szCs w:val="24"/>
        </w:rPr>
      </w:pPr>
      <w:r>
        <w:rPr>
          <w:rFonts w:ascii="宋体" w:hAnsi="宋体" w:cs="Arial"/>
          <w:snapToGrid w:val="0"/>
          <w:color w:val="000000"/>
          <w:kern w:val="0"/>
          <w:sz w:val="24"/>
          <w:szCs w:val="24"/>
        </w:rPr>
        <w:t>（四）由于中标人的原因未能按照招标文件的规定交纳履约保证金；</w:t>
      </w:r>
    </w:p>
    <w:p>
      <w:pPr>
        <w:autoSpaceDE w:val="0"/>
        <w:autoSpaceDN w:val="0"/>
        <w:spacing w:line="480" w:lineRule="exact"/>
        <w:jc w:val="left"/>
        <w:rPr>
          <w:rFonts w:ascii="宋体" w:hAnsi="宋体" w:cs="Arial"/>
          <w:snapToGrid w:val="0"/>
          <w:color w:val="000000"/>
          <w:kern w:val="0"/>
          <w:sz w:val="24"/>
          <w:szCs w:val="24"/>
        </w:rPr>
      </w:pPr>
      <w:r>
        <w:rPr>
          <w:rFonts w:ascii="宋体" w:hAnsi="宋体" w:cs="Arial"/>
          <w:snapToGrid w:val="0"/>
          <w:color w:val="000000"/>
          <w:kern w:val="0"/>
          <w:sz w:val="24"/>
          <w:szCs w:val="24"/>
        </w:rPr>
        <w:t>（五）在投标文件中提供虚假材料谋取中标；</w:t>
      </w:r>
    </w:p>
    <w:p>
      <w:pPr>
        <w:autoSpaceDE w:val="0"/>
        <w:autoSpaceDN w:val="0"/>
        <w:spacing w:line="480" w:lineRule="exact"/>
        <w:jc w:val="left"/>
        <w:rPr>
          <w:rFonts w:ascii="宋体" w:hAnsi="宋体" w:cs="Arial"/>
          <w:snapToGrid w:val="0"/>
          <w:color w:val="000000"/>
          <w:kern w:val="0"/>
          <w:sz w:val="24"/>
          <w:szCs w:val="24"/>
        </w:rPr>
      </w:pPr>
      <w:r>
        <w:rPr>
          <w:rFonts w:ascii="宋体" w:hAnsi="宋体" w:cs="Arial"/>
          <w:snapToGrid w:val="0"/>
          <w:color w:val="000000"/>
          <w:kern w:val="0"/>
          <w:sz w:val="24"/>
          <w:szCs w:val="24"/>
        </w:rPr>
        <w:t>（六）与采购人、其他供应商或者采购代理机构恶意串通的；</w:t>
      </w:r>
    </w:p>
    <w:p>
      <w:pPr>
        <w:autoSpaceDE w:val="0"/>
        <w:autoSpaceDN w:val="0"/>
        <w:spacing w:line="480" w:lineRule="exact"/>
        <w:jc w:val="left"/>
        <w:rPr>
          <w:rFonts w:ascii="宋体" w:hAnsi="宋体" w:cs="Arial"/>
          <w:snapToGrid w:val="0"/>
          <w:color w:val="000000"/>
          <w:kern w:val="0"/>
          <w:sz w:val="24"/>
          <w:szCs w:val="24"/>
        </w:rPr>
      </w:pPr>
      <w:r>
        <w:rPr>
          <w:rFonts w:ascii="宋体" w:hAnsi="宋体" w:cs="Arial"/>
          <w:snapToGrid w:val="0"/>
          <w:color w:val="000000"/>
          <w:kern w:val="0"/>
          <w:sz w:val="24"/>
          <w:szCs w:val="24"/>
        </w:rPr>
        <w:t>（七）投标有效期内，供应商在政府采购活动中有违法、违规、违纪行为。</w:t>
      </w:r>
    </w:p>
    <w:p>
      <w:pPr>
        <w:autoSpaceDE w:val="0"/>
        <w:autoSpaceDN w:val="0"/>
        <w:spacing w:line="480" w:lineRule="exact"/>
        <w:jc w:val="left"/>
        <w:rPr>
          <w:rFonts w:ascii="宋体" w:hAnsi="宋体" w:cs="Arial"/>
          <w:snapToGrid w:val="0"/>
          <w:color w:val="000000"/>
          <w:kern w:val="0"/>
          <w:sz w:val="24"/>
          <w:szCs w:val="24"/>
        </w:rPr>
      </w:pPr>
      <w:r>
        <w:rPr>
          <w:rFonts w:ascii="宋体" w:hAnsi="宋体" w:cs="Arial"/>
          <w:snapToGrid w:val="0"/>
          <w:color w:val="000000"/>
          <w:kern w:val="0"/>
          <w:sz w:val="24"/>
          <w:szCs w:val="24"/>
        </w:rPr>
        <w:t>由此产生的一切法律后果和责任由我公司承担。我公司声明放弃对此提出任何异议和追索的权利。</w:t>
      </w:r>
    </w:p>
    <w:p>
      <w:pPr>
        <w:autoSpaceDE w:val="0"/>
        <w:autoSpaceDN w:val="0"/>
        <w:spacing w:line="480" w:lineRule="exact"/>
        <w:ind w:firstLine="480" w:firstLineChars="200"/>
        <w:jc w:val="left"/>
        <w:rPr>
          <w:rFonts w:ascii="宋体" w:hAnsi="宋体" w:cs="Arial"/>
          <w:snapToGrid w:val="0"/>
          <w:color w:val="000000"/>
          <w:kern w:val="0"/>
          <w:sz w:val="24"/>
          <w:szCs w:val="24"/>
        </w:rPr>
      </w:pPr>
      <w:r>
        <w:rPr>
          <w:rFonts w:ascii="宋体" w:hAnsi="宋体" w:cs="Arial"/>
          <w:snapToGrid w:val="0"/>
          <w:color w:val="000000"/>
          <w:kern w:val="0"/>
          <w:sz w:val="24"/>
          <w:szCs w:val="24"/>
        </w:rPr>
        <w:t>本公司对上述承诺的内容事项真实性负责。如经查实上述承诺的内容事项存在虚假，我公司愿意接受以提供虚假材料谋取中标追究法律责任。</w:t>
      </w:r>
    </w:p>
    <w:p>
      <w:pPr>
        <w:spacing w:line="480" w:lineRule="exact"/>
        <w:ind w:firstLine="480" w:firstLineChars="200"/>
        <w:rPr>
          <w:rFonts w:ascii="宋体" w:hAnsi="宋体"/>
          <w:sz w:val="24"/>
          <w:szCs w:val="24"/>
        </w:rPr>
      </w:pPr>
      <w:r>
        <w:rPr>
          <w:rFonts w:hint="eastAsia" w:ascii="宋体" w:hAnsi="宋体"/>
          <w:sz w:val="24"/>
          <w:szCs w:val="24"/>
        </w:rPr>
        <w:t>供应商名称：（盖章）</w:t>
      </w:r>
    </w:p>
    <w:p>
      <w:pPr>
        <w:spacing w:line="480" w:lineRule="exact"/>
        <w:ind w:firstLine="480" w:firstLineChars="200"/>
        <w:rPr>
          <w:rFonts w:ascii="宋体" w:hAnsi="宋体"/>
          <w:sz w:val="24"/>
          <w:szCs w:val="24"/>
        </w:rPr>
      </w:pPr>
      <w:r>
        <w:rPr>
          <w:rFonts w:hint="eastAsia" w:ascii="宋体" w:hAnsi="宋体"/>
          <w:sz w:val="24"/>
          <w:szCs w:val="24"/>
        </w:rPr>
        <w:t>法定代表人或其授权代表：（签字）</w:t>
      </w:r>
    </w:p>
    <w:p>
      <w:pPr>
        <w:spacing w:line="480" w:lineRule="exact"/>
        <w:ind w:firstLine="480" w:firstLineChars="200"/>
        <w:rPr>
          <w:rFonts w:ascii="宋体" w:hAnsi="宋体"/>
          <w:sz w:val="24"/>
          <w:szCs w:val="24"/>
        </w:rPr>
      </w:pPr>
      <w:r>
        <w:rPr>
          <w:rFonts w:hint="eastAsia" w:ascii="宋体" w:hAnsi="宋体"/>
          <w:sz w:val="24"/>
          <w:szCs w:val="24"/>
        </w:rPr>
        <w:t>日期：年月日</w:t>
      </w:r>
    </w:p>
    <w:p>
      <w:pPr>
        <w:spacing w:line="500" w:lineRule="exact"/>
        <w:ind w:firstLine="428" w:firstLineChars="200"/>
        <w:jc w:val="left"/>
        <w:rPr>
          <w:rFonts w:hint="eastAsia" w:ascii="宋体" w:hAnsi="宋体" w:cs="宋体"/>
          <w:b/>
          <w:bCs/>
          <w:spacing w:val="-13"/>
          <w:sz w:val="24"/>
          <w:szCs w:val="24"/>
        </w:rPr>
      </w:pPr>
    </w:p>
    <w:p>
      <w:pPr>
        <w:spacing w:line="500" w:lineRule="exact"/>
        <w:ind w:firstLine="428" w:firstLineChars="200"/>
        <w:jc w:val="left"/>
        <w:rPr>
          <w:rFonts w:hint="eastAsia" w:ascii="宋体" w:hAnsi="宋体" w:cs="宋体"/>
          <w:b/>
          <w:bCs/>
          <w:spacing w:val="-13"/>
          <w:sz w:val="24"/>
          <w:szCs w:val="24"/>
        </w:rPr>
      </w:pPr>
    </w:p>
    <w:p>
      <w:pPr>
        <w:spacing w:line="500" w:lineRule="exact"/>
        <w:ind w:firstLine="428" w:firstLineChars="200"/>
        <w:jc w:val="left"/>
        <w:rPr>
          <w:rFonts w:hint="eastAsia" w:ascii="宋体" w:hAnsi="宋体" w:cs="宋体"/>
          <w:b/>
          <w:bCs/>
          <w:spacing w:val="-13"/>
          <w:sz w:val="24"/>
          <w:szCs w:val="24"/>
        </w:rPr>
      </w:pPr>
    </w:p>
    <w:p>
      <w:pPr>
        <w:spacing w:line="500" w:lineRule="exact"/>
        <w:ind w:firstLine="428" w:firstLineChars="200"/>
        <w:jc w:val="left"/>
        <w:rPr>
          <w:rFonts w:hint="eastAsia" w:ascii="宋体" w:hAnsi="宋体" w:cs="宋体"/>
          <w:b/>
          <w:bCs/>
          <w:spacing w:val="-13"/>
          <w:sz w:val="24"/>
          <w:szCs w:val="24"/>
        </w:rPr>
      </w:pPr>
    </w:p>
    <w:p>
      <w:pPr>
        <w:spacing w:line="500" w:lineRule="exact"/>
        <w:ind w:firstLine="428" w:firstLineChars="200"/>
        <w:jc w:val="left"/>
        <w:rPr>
          <w:rFonts w:hint="eastAsia" w:ascii="宋体" w:hAnsi="宋体" w:cs="宋体"/>
          <w:b/>
          <w:bCs/>
          <w:spacing w:val="-13"/>
          <w:sz w:val="24"/>
          <w:szCs w:val="24"/>
        </w:rPr>
      </w:pPr>
    </w:p>
    <w:p>
      <w:pPr>
        <w:spacing w:line="500" w:lineRule="exact"/>
        <w:ind w:firstLine="428" w:firstLineChars="200"/>
        <w:jc w:val="left"/>
        <w:rPr>
          <w:rFonts w:hint="eastAsia" w:ascii="宋体" w:hAnsi="宋体" w:cs="宋体"/>
          <w:b/>
          <w:bCs/>
          <w:spacing w:val="-13"/>
          <w:sz w:val="24"/>
          <w:szCs w:val="24"/>
        </w:rPr>
      </w:pPr>
    </w:p>
    <w:p>
      <w:pPr>
        <w:spacing w:line="500" w:lineRule="exact"/>
        <w:ind w:firstLine="428" w:firstLineChars="200"/>
        <w:jc w:val="left"/>
        <w:rPr>
          <w:rFonts w:hint="eastAsia" w:ascii="宋体" w:hAnsi="宋体" w:cs="宋体"/>
          <w:b/>
          <w:bCs/>
          <w:spacing w:val="-13"/>
          <w:sz w:val="24"/>
          <w:szCs w:val="24"/>
        </w:rPr>
      </w:pPr>
    </w:p>
    <w:p>
      <w:pPr>
        <w:spacing w:line="500" w:lineRule="exact"/>
        <w:ind w:firstLine="428" w:firstLineChars="200"/>
        <w:jc w:val="left"/>
        <w:rPr>
          <w:rFonts w:hint="eastAsia" w:ascii="宋体" w:hAnsi="宋体" w:cs="宋体"/>
          <w:b/>
          <w:bCs/>
          <w:spacing w:val="-13"/>
          <w:sz w:val="24"/>
          <w:szCs w:val="24"/>
        </w:rPr>
      </w:pPr>
    </w:p>
    <w:p>
      <w:pPr>
        <w:spacing w:line="500" w:lineRule="exact"/>
        <w:ind w:firstLine="428" w:firstLineChars="200"/>
        <w:jc w:val="left"/>
        <w:rPr>
          <w:rFonts w:hint="eastAsia" w:ascii="宋体" w:hAnsi="宋体" w:cs="宋体"/>
          <w:b/>
          <w:bCs/>
          <w:spacing w:val="-13"/>
          <w:sz w:val="24"/>
          <w:szCs w:val="24"/>
        </w:rPr>
      </w:pPr>
    </w:p>
    <w:p>
      <w:pPr>
        <w:spacing w:line="500" w:lineRule="exact"/>
        <w:ind w:firstLine="428" w:firstLineChars="200"/>
        <w:jc w:val="left"/>
        <w:rPr>
          <w:rFonts w:hint="eastAsia" w:ascii="宋体" w:hAnsi="宋体" w:cs="宋体"/>
          <w:b/>
          <w:bCs/>
          <w:spacing w:val="-13"/>
          <w:sz w:val="24"/>
          <w:szCs w:val="24"/>
        </w:rPr>
      </w:pPr>
    </w:p>
    <w:p>
      <w:pPr>
        <w:spacing w:line="500" w:lineRule="exact"/>
        <w:jc w:val="left"/>
        <w:rPr>
          <w:rFonts w:hint="eastAsia" w:ascii="宋体" w:hAnsi="宋体" w:cs="宋体"/>
          <w:b/>
          <w:bCs/>
          <w:spacing w:val="-13"/>
          <w:sz w:val="24"/>
          <w:szCs w:val="24"/>
        </w:rPr>
      </w:pPr>
    </w:p>
    <w:p>
      <w:pPr>
        <w:spacing w:line="500" w:lineRule="exact"/>
        <w:jc w:val="left"/>
        <w:rPr>
          <w:rFonts w:ascii="宋体" w:hAnsi="宋体" w:cs="宋体"/>
          <w:b/>
          <w:bCs/>
          <w:spacing w:val="-13"/>
          <w:sz w:val="24"/>
          <w:szCs w:val="24"/>
        </w:rPr>
      </w:pPr>
      <w:r>
        <w:rPr>
          <w:rFonts w:hint="eastAsia" w:ascii="宋体" w:hAnsi="宋体" w:cs="宋体"/>
          <w:b/>
          <w:bCs/>
          <w:spacing w:val="-13"/>
          <w:sz w:val="24"/>
          <w:szCs w:val="24"/>
        </w:rPr>
        <w:t>二、商务技术文件格式</w:t>
      </w:r>
    </w:p>
    <w:p>
      <w:pPr>
        <w:spacing w:line="460" w:lineRule="exact"/>
        <w:jc w:val="left"/>
        <w:rPr>
          <w:rFonts w:ascii="宋体" w:hAnsi="宋体" w:cs="宋体"/>
          <w:b/>
          <w:bCs/>
          <w:sz w:val="24"/>
          <w:szCs w:val="24"/>
        </w:rPr>
      </w:pPr>
      <w:r>
        <w:rPr>
          <w:rFonts w:hint="eastAsia" w:ascii="宋体" w:hAnsi="宋体" w:cs="宋体"/>
          <w:b/>
          <w:bCs/>
          <w:sz w:val="24"/>
          <w:szCs w:val="24"/>
        </w:rPr>
        <w:t>1.投标书格式</w:t>
      </w:r>
    </w:p>
    <w:p>
      <w:pPr>
        <w:spacing w:line="460" w:lineRule="exact"/>
        <w:jc w:val="center"/>
        <w:rPr>
          <w:rFonts w:hint="eastAsia" w:ascii="宋体" w:hAnsi="宋体" w:cs="宋体"/>
          <w:b/>
          <w:bCs/>
          <w:sz w:val="24"/>
          <w:szCs w:val="24"/>
        </w:rPr>
      </w:pPr>
    </w:p>
    <w:p>
      <w:pPr>
        <w:spacing w:line="460" w:lineRule="exact"/>
        <w:jc w:val="center"/>
        <w:rPr>
          <w:rFonts w:hint="eastAsia" w:ascii="宋体" w:hAnsi="宋体" w:cs="宋体"/>
          <w:b/>
          <w:bCs/>
          <w:sz w:val="32"/>
          <w:szCs w:val="24"/>
        </w:rPr>
      </w:pPr>
      <w:r>
        <w:rPr>
          <w:rFonts w:hint="eastAsia" w:ascii="宋体" w:hAnsi="宋体" w:cs="宋体"/>
          <w:b/>
          <w:bCs/>
          <w:sz w:val="32"/>
          <w:szCs w:val="24"/>
        </w:rPr>
        <w:t>投 标 书</w:t>
      </w:r>
    </w:p>
    <w:p>
      <w:pPr>
        <w:ind w:firstLine="420" w:firstLineChars="200"/>
        <w:rPr>
          <w:rFonts w:ascii="Times New Roman" w:hAnsi="Times New Roman"/>
          <w:szCs w:val="24"/>
        </w:rPr>
      </w:pPr>
    </w:p>
    <w:p>
      <w:pPr>
        <w:spacing w:line="460" w:lineRule="exact"/>
        <w:ind w:firstLine="480" w:firstLineChars="200"/>
        <w:jc w:val="left"/>
        <w:rPr>
          <w:rFonts w:ascii="宋体" w:hAnsi="宋体" w:cs="宋体"/>
          <w:bCs/>
          <w:sz w:val="24"/>
          <w:szCs w:val="24"/>
        </w:rPr>
      </w:pPr>
      <w:r>
        <w:rPr>
          <w:rFonts w:hint="eastAsia" w:ascii="宋体" w:hAnsi="宋体" w:cs="宋体"/>
          <w:bCs/>
          <w:sz w:val="24"/>
          <w:szCs w:val="24"/>
        </w:rPr>
        <w:t>致：采购人或采购代理机构</w:t>
      </w:r>
    </w:p>
    <w:p>
      <w:pPr>
        <w:spacing w:line="460" w:lineRule="exact"/>
        <w:ind w:firstLine="480" w:firstLineChars="200"/>
        <w:jc w:val="left"/>
        <w:rPr>
          <w:rFonts w:ascii="宋体" w:hAnsi="宋体" w:cs="宋体"/>
          <w:bCs/>
          <w:sz w:val="24"/>
          <w:szCs w:val="24"/>
        </w:rPr>
      </w:pPr>
      <w:r>
        <w:rPr>
          <w:rFonts w:hint="eastAsia" w:ascii="宋体" w:hAnsi="宋体" w:cs="宋体"/>
          <w:bCs/>
          <w:sz w:val="24"/>
          <w:szCs w:val="24"/>
        </w:rPr>
        <w:t>根据贵方招标编号为（         ） 的公开招标公告，签字代表（全名、职务）经正式授权并代表投标人（投标人名称、地址）提交电子投标文件一份，并对之负法律责任。</w:t>
      </w:r>
    </w:p>
    <w:p>
      <w:pPr>
        <w:spacing w:line="460" w:lineRule="exact"/>
        <w:ind w:firstLine="480" w:firstLineChars="200"/>
        <w:jc w:val="left"/>
        <w:rPr>
          <w:rFonts w:ascii="宋体" w:hAnsi="宋体" w:cs="宋体"/>
          <w:bCs/>
          <w:sz w:val="24"/>
          <w:szCs w:val="24"/>
        </w:rPr>
      </w:pPr>
      <w:r>
        <w:rPr>
          <w:rFonts w:hint="eastAsia" w:ascii="宋体" w:hAnsi="宋体" w:cs="宋体"/>
          <w:bCs/>
          <w:sz w:val="24"/>
          <w:szCs w:val="24"/>
        </w:rPr>
        <w:t>投标文件组成资格证明文件第1至</w:t>
      </w:r>
      <w:r>
        <w:rPr>
          <w:rFonts w:hint="eastAsia" w:ascii="宋体" w:hAnsi="宋体" w:cs="宋体"/>
          <w:bCs/>
          <w:sz w:val="24"/>
          <w:szCs w:val="24"/>
          <w:u w:val="single"/>
        </w:rPr>
        <w:t xml:space="preserve">  </w:t>
      </w:r>
      <w:r>
        <w:rPr>
          <w:rFonts w:hint="eastAsia" w:ascii="宋体" w:hAnsi="宋体" w:cs="宋体"/>
          <w:bCs/>
          <w:sz w:val="24"/>
          <w:szCs w:val="24"/>
        </w:rPr>
        <w:t>项，商务技术文件第1至</w:t>
      </w:r>
      <w:r>
        <w:rPr>
          <w:rFonts w:hint="eastAsia" w:ascii="宋体" w:hAnsi="宋体" w:cs="宋体"/>
          <w:bCs/>
          <w:sz w:val="24"/>
          <w:szCs w:val="24"/>
          <w:u w:val="single"/>
        </w:rPr>
        <w:t xml:space="preserve">   </w:t>
      </w:r>
      <w:r>
        <w:rPr>
          <w:rFonts w:hint="eastAsia" w:ascii="宋体" w:hAnsi="宋体" w:cs="宋体"/>
          <w:bCs/>
          <w:sz w:val="24"/>
          <w:szCs w:val="24"/>
        </w:rPr>
        <w:t>项。</w:t>
      </w:r>
    </w:p>
    <w:p>
      <w:pPr>
        <w:spacing w:line="460" w:lineRule="exact"/>
        <w:ind w:firstLine="480" w:firstLineChars="200"/>
        <w:jc w:val="left"/>
        <w:rPr>
          <w:rFonts w:ascii="宋体" w:hAnsi="宋体" w:cs="宋体"/>
          <w:bCs/>
          <w:sz w:val="24"/>
          <w:szCs w:val="24"/>
        </w:rPr>
      </w:pPr>
      <w:r>
        <w:rPr>
          <w:rFonts w:hint="eastAsia" w:ascii="宋体" w:hAnsi="宋体" w:cs="宋体"/>
          <w:bCs/>
          <w:sz w:val="24"/>
          <w:szCs w:val="24"/>
        </w:rPr>
        <w:t>据此函，签字代表宣布同意如下：</w:t>
      </w:r>
    </w:p>
    <w:p>
      <w:pPr>
        <w:spacing w:line="460" w:lineRule="exact"/>
        <w:ind w:firstLine="480" w:firstLineChars="200"/>
        <w:jc w:val="left"/>
        <w:rPr>
          <w:rFonts w:ascii="宋体" w:hAnsi="宋体" w:cs="宋体"/>
          <w:bCs/>
          <w:sz w:val="24"/>
          <w:szCs w:val="24"/>
        </w:rPr>
      </w:pPr>
      <w:r>
        <w:rPr>
          <w:rFonts w:hint="eastAsia" w:ascii="宋体" w:hAnsi="宋体" w:cs="宋体"/>
          <w:bCs/>
          <w:sz w:val="24"/>
          <w:szCs w:val="24"/>
        </w:rPr>
        <w:t>1、所附服务报价为以开标一览表为准。</w:t>
      </w:r>
    </w:p>
    <w:p>
      <w:pPr>
        <w:spacing w:line="460" w:lineRule="exact"/>
        <w:ind w:firstLine="480" w:firstLineChars="200"/>
        <w:jc w:val="left"/>
        <w:rPr>
          <w:rFonts w:ascii="宋体" w:hAnsi="宋体" w:cs="宋体"/>
          <w:bCs/>
          <w:sz w:val="24"/>
          <w:szCs w:val="24"/>
        </w:rPr>
      </w:pPr>
      <w:r>
        <w:rPr>
          <w:rFonts w:hint="eastAsia" w:ascii="宋体" w:hAnsi="宋体" w:cs="宋体"/>
          <w:bCs/>
          <w:sz w:val="24"/>
          <w:szCs w:val="24"/>
        </w:rPr>
        <w:t>2、如果我们的投标书被接受，我们将履行招标文件中规定的每一项要求，按期、按质、按量履行合同。</w:t>
      </w:r>
    </w:p>
    <w:p>
      <w:pPr>
        <w:spacing w:line="460" w:lineRule="exact"/>
        <w:ind w:firstLine="480" w:firstLineChars="200"/>
        <w:jc w:val="left"/>
        <w:rPr>
          <w:rFonts w:ascii="宋体" w:hAnsi="宋体" w:cs="宋体"/>
          <w:bCs/>
          <w:sz w:val="24"/>
          <w:szCs w:val="24"/>
        </w:rPr>
      </w:pPr>
      <w:r>
        <w:rPr>
          <w:rFonts w:hint="eastAsia" w:ascii="宋体" w:hAnsi="宋体" w:cs="宋体"/>
          <w:bCs/>
          <w:sz w:val="24"/>
          <w:szCs w:val="24"/>
        </w:rPr>
        <w:t>3、我方愿按《中华人民共和国政府采购法》和《中华人民共和国民法典》履行我方的全部责任。</w:t>
      </w:r>
    </w:p>
    <w:p>
      <w:pPr>
        <w:spacing w:line="460" w:lineRule="exact"/>
        <w:ind w:firstLine="480" w:firstLineChars="200"/>
        <w:jc w:val="left"/>
        <w:rPr>
          <w:rFonts w:ascii="宋体" w:hAnsi="宋体" w:cs="宋体"/>
          <w:bCs/>
          <w:sz w:val="24"/>
          <w:szCs w:val="24"/>
        </w:rPr>
      </w:pPr>
      <w:r>
        <w:rPr>
          <w:rFonts w:hint="eastAsia" w:ascii="宋体" w:hAnsi="宋体" w:cs="宋体"/>
          <w:bCs/>
          <w:sz w:val="24"/>
          <w:szCs w:val="24"/>
        </w:rPr>
        <w:t>4、我方已详细审查全部招标文件，包括修改文件以及全部参考资料和有关附件。我们完全理解并同意放弃对这方面有不明白及误解的权力。</w:t>
      </w:r>
    </w:p>
    <w:p>
      <w:pPr>
        <w:spacing w:line="460" w:lineRule="exact"/>
        <w:ind w:firstLine="480" w:firstLineChars="200"/>
        <w:jc w:val="left"/>
        <w:rPr>
          <w:rFonts w:ascii="宋体" w:hAnsi="宋体" w:cs="宋体"/>
          <w:bCs/>
          <w:sz w:val="24"/>
          <w:szCs w:val="24"/>
        </w:rPr>
      </w:pPr>
      <w:r>
        <w:rPr>
          <w:rFonts w:hint="eastAsia" w:ascii="宋体" w:hAnsi="宋体" w:cs="宋体"/>
          <w:bCs/>
          <w:sz w:val="24"/>
          <w:szCs w:val="24"/>
        </w:rPr>
        <w:t>5、本投标自开标之日起有效期为60天。</w:t>
      </w:r>
    </w:p>
    <w:p>
      <w:pPr>
        <w:spacing w:line="460" w:lineRule="exact"/>
        <w:ind w:firstLine="480" w:firstLineChars="200"/>
        <w:jc w:val="left"/>
        <w:rPr>
          <w:rFonts w:ascii="宋体" w:hAnsi="宋体" w:cs="宋体"/>
          <w:bCs/>
          <w:sz w:val="24"/>
          <w:szCs w:val="24"/>
        </w:rPr>
      </w:pPr>
      <w:r>
        <w:rPr>
          <w:rFonts w:hint="eastAsia" w:ascii="宋体" w:hAnsi="宋体" w:cs="宋体"/>
          <w:bCs/>
          <w:sz w:val="24"/>
          <w:szCs w:val="24"/>
        </w:rPr>
        <w:t xml:space="preserve">地址：                          </w:t>
      </w:r>
    </w:p>
    <w:p>
      <w:pPr>
        <w:spacing w:line="460" w:lineRule="exact"/>
        <w:ind w:firstLine="480" w:firstLineChars="200"/>
        <w:jc w:val="left"/>
        <w:rPr>
          <w:rFonts w:ascii="宋体" w:hAnsi="宋体" w:cs="宋体"/>
          <w:bCs/>
          <w:sz w:val="24"/>
          <w:szCs w:val="24"/>
        </w:rPr>
      </w:pPr>
      <w:r>
        <w:rPr>
          <w:rFonts w:hint="eastAsia" w:ascii="宋体" w:hAnsi="宋体" w:cs="宋体"/>
          <w:bCs/>
          <w:sz w:val="24"/>
          <w:szCs w:val="24"/>
        </w:rPr>
        <w:t xml:space="preserve">电话（传真）：                             </w:t>
      </w:r>
    </w:p>
    <w:p>
      <w:pPr>
        <w:spacing w:line="460" w:lineRule="exact"/>
        <w:ind w:firstLine="480" w:firstLineChars="200"/>
        <w:jc w:val="left"/>
        <w:rPr>
          <w:rFonts w:ascii="宋体" w:hAnsi="宋体" w:cs="宋体"/>
          <w:bCs/>
          <w:sz w:val="24"/>
          <w:szCs w:val="24"/>
        </w:rPr>
      </w:pPr>
      <w:r>
        <w:rPr>
          <w:rFonts w:hint="eastAsia" w:ascii="宋体" w:hAnsi="宋体" w:cs="宋体"/>
          <w:bCs/>
          <w:sz w:val="24"/>
          <w:szCs w:val="24"/>
        </w:rPr>
        <w:t>法定代表人（负责人）或授权代表（签字）：</w:t>
      </w:r>
    </w:p>
    <w:p>
      <w:pPr>
        <w:spacing w:line="460" w:lineRule="exact"/>
        <w:ind w:firstLine="480" w:firstLineChars="200"/>
        <w:jc w:val="left"/>
        <w:rPr>
          <w:rFonts w:ascii="宋体" w:hAnsi="宋体" w:cs="宋体"/>
          <w:bCs/>
          <w:sz w:val="24"/>
          <w:szCs w:val="24"/>
        </w:rPr>
      </w:pPr>
      <w:r>
        <w:rPr>
          <w:rFonts w:hint="eastAsia" w:ascii="宋体" w:hAnsi="宋体" w:cs="宋体"/>
          <w:bCs/>
          <w:sz w:val="24"/>
          <w:szCs w:val="24"/>
        </w:rPr>
        <w:t>投标人名称（公章）：</w:t>
      </w:r>
    </w:p>
    <w:p>
      <w:pPr>
        <w:spacing w:line="460" w:lineRule="exact"/>
        <w:ind w:firstLine="480" w:firstLineChars="200"/>
        <w:jc w:val="left"/>
        <w:rPr>
          <w:rFonts w:ascii="宋体" w:hAnsi="宋体" w:cs="宋体"/>
          <w:bCs/>
          <w:sz w:val="24"/>
          <w:szCs w:val="24"/>
        </w:rPr>
        <w:sectPr>
          <w:footerReference r:id="rId8" w:type="default"/>
          <w:pgSz w:w="11907" w:h="16840"/>
          <w:pgMar w:top="1117" w:right="1077" w:bottom="1060" w:left="1592" w:header="1134" w:footer="1020" w:gutter="0"/>
          <w:pgNumType w:fmt="decimal"/>
          <w:cols w:space="720" w:num="1"/>
        </w:sectPr>
      </w:pPr>
      <w:r>
        <w:rPr>
          <w:rFonts w:hint="eastAsia" w:ascii="宋体" w:hAnsi="宋体" w:cs="宋体"/>
          <w:bCs/>
          <w:sz w:val="24"/>
          <w:szCs w:val="24"/>
        </w:rPr>
        <w:t>日期：</w:t>
      </w:r>
      <w:r>
        <w:rPr>
          <w:rFonts w:hint="eastAsia" w:ascii="宋体" w:hAnsi="宋体" w:cs="宋体"/>
          <w:bCs/>
          <w:spacing w:val="-8"/>
          <w:sz w:val="24"/>
          <w:szCs w:val="24"/>
        </w:rPr>
        <w:t>年月日</w:t>
      </w:r>
    </w:p>
    <w:p>
      <w:pPr>
        <w:spacing w:line="360" w:lineRule="exact"/>
        <w:jc w:val="left"/>
        <w:rPr>
          <w:rFonts w:ascii="宋体" w:hAnsi="宋体" w:cs="宋体"/>
          <w:b/>
          <w:bCs/>
          <w:sz w:val="24"/>
          <w:szCs w:val="24"/>
        </w:rPr>
      </w:pPr>
      <w:r>
        <w:rPr>
          <w:rFonts w:hint="eastAsia" w:ascii="宋体" w:hAnsi="宋体" w:cs="宋体"/>
          <w:b/>
          <w:bCs/>
          <w:sz w:val="24"/>
          <w:szCs w:val="24"/>
        </w:rPr>
        <w:t>2、投标分项报价一览表</w:t>
      </w:r>
    </w:p>
    <w:p>
      <w:pPr>
        <w:spacing w:line="360" w:lineRule="exact"/>
        <w:jc w:val="center"/>
        <w:rPr>
          <w:rFonts w:ascii="宋体" w:hAnsi="宋体" w:cs="宋体"/>
          <w:b/>
          <w:bCs/>
          <w:sz w:val="32"/>
          <w:szCs w:val="24"/>
        </w:rPr>
      </w:pPr>
      <w:r>
        <w:rPr>
          <w:rFonts w:hint="eastAsia" w:ascii="宋体" w:hAnsi="宋体" w:cs="宋体"/>
          <w:b/>
          <w:bCs/>
          <w:sz w:val="32"/>
          <w:szCs w:val="24"/>
        </w:rPr>
        <w:t>投标分项报价一览表</w:t>
      </w:r>
    </w:p>
    <w:tbl>
      <w:tblPr>
        <w:tblStyle w:val="28"/>
        <w:tblpPr w:leftFromText="180" w:rightFromText="180" w:vertAnchor="text" w:horzAnchor="page" w:tblpXSpec="center" w:tblpY="348"/>
        <w:tblOverlap w:val="never"/>
        <w:tblW w:w="13858" w:type="dxa"/>
        <w:jc w:val="center"/>
        <w:tblLayout w:type="fixed"/>
        <w:tblCellMar>
          <w:top w:w="0" w:type="dxa"/>
          <w:left w:w="108" w:type="dxa"/>
          <w:bottom w:w="0" w:type="dxa"/>
          <w:right w:w="108" w:type="dxa"/>
        </w:tblCellMar>
      </w:tblPr>
      <w:tblGrid>
        <w:gridCol w:w="784"/>
        <w:gridCol w:w="1350"/>
        <w:gridCol w:w="1363"/>
        <w:gridCol w:w="864"/>
        <w:gridCol w:w="992"/>
        <w:gridCol w:w="1843"/>
        <w:gridCol w:w="1701"/>
        <w:gridCol w:w="1984"/>
        <w:gridCol w:w="1560"/>
        <w:gridCol w:w="1370"/>
        <w:gridCol w:w="47"/>
      </w:tblGrid>
      <w:tr>
        <w:tblPrEx>
          <w:tblCellMar>
            <w:top w:w="0" w:type="dxa"/>
            <w:left w:w="108" w:type="dxa"/>
            <w:bottom w:w="0" w:type="dxa"/>
            <w:right w:w="108" w:type="dxa"/>
          </w:tblCellMar>
        </w:tblPrEx>
        <w:trPr>
          <w:gridAfter w:val="1"/>
          <w:wAfter w:w="47" w:type="dxa"/>
          <w:trHeight w:val="504" w:hRule="exact"/>
          <w:jc w:val="center"/>
        </w:trPr>
        <w:tc>
          <w:tcPr>
            <w:tcW w:w="3497" w:type="dxa"/>
            <w:gridSpan w:val="3"/>
            <w:tcBorders>
              <w:top w:val="nil"/>
              <w:left w:val="nil"/>
              <w:bottom w:val="single" w:color="auto" w:sz="4" w:space="0"/>
              <w:right w:val="nil"/>
            </w:tcBorders>
            <w:noWrap w:val="0"/>
            <w:vAlign w:val="center"/>
          </w:tcPr>
          <w:p>
            <w:pPr>
              <w:spacing w:line="360" w:lineRule="exact"/>
              <w:jc w:val="left"/>
              <w:rPr>
                <w:rFonts w:ascii="宋体" w:hAnsi="宋体" w:cs="宋体"/>
                <w:bCs/>
                <w:sz w:val="24"/>
                <w:szCs w:val="24"/>
              </w:rPr>
            </w:pPr>
            <w:r>
              <w:rPr>
                <w:rFonts w:hint="eastAsia" w:ascii="宋体" w:hAnsi="宋体" w:cs="宋体"/>
                <w:bCs/>
                <w:sz w:val="24"/>
                <w:szCs w:val="24"/>
              </w:rPr>
              <w:t>投标人名称（公章）：</w:t>
            </w:r>
          </w:p>
        </w:tc>
        <w:tc>
          <w:tcPr>
            <w:tcW w:w="1856" w:type="dxa"/>
            <w:gridSpan w:val="2"/>
            <w:tcBorders>
              <w:top w:val="nil"/>
              <w:left w:val="nil"/>
              <w:bottom w:val="single" w:color="auto" w:sz="4" w:space="0"/>
              <w:right w:val="nil"/>
            </w:tcBorders>
            <w:noWrap w:val="0"/>
            <w:vAlign w:val="center"/>
          </w:tcPr>
          <w:p>
            <w:pPr>
              <w:spacing w:line="360" w:lineRule="exact"/>
              <w:jc w:val="left"/>
              <w:rPr>
                <w:rFonts w:ascii="宋体" w:hAnsi="宋体" w:cs="宋体"/>
                <w:bCs/>
                <w:sz w:val="24"/>
                <w:szCs w:val="24"/>
              </w:rPr>
            </w:pPr>
          </w:p>
        </w:tc>
        <w:tc>
          <w:tcPr>
            <w:tcW w:w="1843" w:type="dxa"/>
            <w:tcBorders>
              <w:top w:val="nil"/>
              <w:left w:val="nil"/>
              <w:bottom w:val="single" w:color="auto" w:sz="4" w:space="0"/>
              <w:right w:val="nil"/>
            </w:tcBorders>
            <w:noWrap w:val="0"/>
            <w:vAlign w:val="center"/>
          </w:tcPr>
          <w:p>
            <w:pPr>
              <w:spacing w:line="360" w:lineRule="exact"/>
              <w:jc w:val="left"/>
              <w:rPr>
                <w:rFonts w:ascii="宋体" w:hAnsi="宋体" w:cs="宋体"/>
                <w:bCs/>
                <w:sz w:val="24"/>
                <w:szCs w:val="24"/>
              </w:rPr>
            </w:pPr>
          </w:p>
        </w:tc>
        <w:tc>
          <w:tcPr>
            <w:tcW w:w="1701" w:type="dxa"/>
            <w:tcBorders>
              <w:top w:val="nil"/>
              <w:left w:val="nil"/>
              <w:bottom w:val="single" w:color="auto" w:sz="4" w:space="0"/>
              <w:right w:val="nil"/>
            </w:tcBorders>
            <w:noWrap w:val="0"/>
            <w:vAlign w:val="center"/>
          </w:tcPr>
          <w:p>
            <w:pPr>
              <w:spacing w:line="360" w:lineRule="exact"/>
              <w:jc w:val="left"/>
              <w:rPr>
                <w:rFonts w:ascii="宋体" w:hAnsi="宋体" w:cs="宋体"/>
                <w:bCs/>
                <w:sz w:val="24"/>
                <w:szCs w:val="24"/>
              </w:rPr>
            </w:pPr>
          </w:p>
        </w:tc>
        <w:tc>
          <w:tcPr>
            <w:tcW w:w="3544" w:type="dxa"/>
            <w:gridSpan w:val="2"/>
            <w:tcBorders>
              <w:top w:val="nil"/>
              <w:left w:val="nil"/>
              <w:bottom w:val="single" w:color="auto" w:sz="4" w:space="0"/>
              <w:right w:val="nil"/>
            </w:tcBorders>
            <w:noWrap w:val="0"/>
            <w:vAlign w:val="center"/>
          </w:tcPr>
          <w:p>
            <w:pPr>
              <w:spacing w:line="360" w:lineRule="exact"/>
              <w:jc w:val="left"/>
              <w:rPr>
                <w:rFonts w:ascii="宋体" w:hAnsi="宋体" w:cs="宋体"/>
                <w:bCs/>
                <w:sz w:val="24"/>
                <w:szCs w:val="24"/>
              </w:rPr>
            </w:pPr>
            <w:r>
              <w:rPr>
                <w:rFonts w:hint="eastAsia" w:ascii="宋体" w:hAnsi="宋体" w:cs="宋体"/>
                <w:bCs/>
                <w:sz w:val="24"/>
                <w:szCs w:val="24"/>
              </w:rPr>
              <w:t>项目编号：</w:t>
            </w:r>
          </w:p>
        </w:tc>
        <w:tc>
          <w:tcPr>
            <w:tcW w:w="1370" w:type="dxa"/>
            <w:tcBorders>
              <w:top w:val="nil"/>
              <w:left w:val="nil"/>
              <w:bottom w:val="single" w:color="auto" w:sz="4" w:space="0"/>
              <w:right w:val="nil"/>
            </w:tcBorders>
            <w:noWrap w:val="0"/>
            <w:vAlign w:val="center"/>
          </w:tcPr>
          <w:p>
            <w:pPr>
              <w:spacing w:line="360" w:lineRule="exact"/>
              <w:jc w:val="left"/>
              <w:rPr>
                <w:rFonts w:ascii="宋体" w:hAnsi="宋体" w:cs="宋体"/>
                <w:bCs/>
                <w:sz w:val="24"/>
                <w:szCs w:val="24"/>
              </w:rPr>
            </w:pPr>
          </w:p>
        </w:tc>
      </w:tr>
      <w:tr>
        <w:tblPrEx>
          <w:tblCellMar>
            <w:top w:w="0" w:type="dxa"/>
            <w:left w:w="108" w:type="dxa"/>
            <w:bottom w:w="0" w:type="dxa"/>
            <w:right w:w="108" w:type="dxa"/>
          </w:tblCellMar>
        </w:tblPrEx>
        <w:trPr>
          <w:trHeight w:val="984" w:hRule="exact"/>
          <w:jc w:val="center"/>
        </w:trPr>
        <w:tc>
          <w:tcPr>
            <w:tcW w:w="78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bCs/>
                <w:sz w:val="24"/>
                <w:szCs w:val="24"/>
              </w:rPr>
            </w:pPr>
            <w:r>
              <w:rPr>
                <w:rFonts w:hint="eastAsia" w:ascii="宋体" w:hAnsi="宋体" w:cs="宋体"/>
                <w:bCs/>
                <w:sz w:val="24"/>
                <w:szCs w:val="24"/>
              </w:rPr>
              <w:t>序号</w:t>
            </w:r>
          </w:p>
        </w:tc>
        <w:tc>
          <w:tcPr>
            <w:tcW w:w="135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bCs/>
                <w:sz w:val="24"/>
                <w:szCs w:val="24"/>
              </w:rPr>
            </w:pPr>
            <w:r>
              <w:rPr>
                <w:rFonts w:hint="eastAsia" w:ascii="宋体" w:hAnsi="宋体" w:cs="宋体"/>
                <w:bCs/>
                <w:sz w:val="24"/>
                <w:szCs w:val="24"/>
              </w:rPr>
              <w:t>设备名称</w:t>
            </w:r>
          </w:p>
        </w:tc>
        <w:tc>
          <w:tcPr>
            <w:tcW w:w="136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bCs/>
                <w:sz w:val="24"/>
                <w:szCs w:val="24"/>
              </w:rPr>
            </w:pPr>
            <w:r>
              <w:rPr>
                <w:rFonts w:hint="eastAsia" w:ascii="宋体" w:hAnsi="宋体" w:cs="宋体"/>
                <w:bCs/>
                <w:sz w:val="24"/>
                <w:szCs w:val="24"/>
              </w:rPr>
              <w:t>品牌型号</w:t>
            </w:r>
          </w:p>
        </w:tc>
        <w:tc>
          <w:tcPr>
            <w:tcW w:w="8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bCs/>
                <w:sz w:val="24"/>
                <w:szCs w:val="24"/>
              </w:rPr>
            </w:pPr>
            <w:r>
              <w:rPr>
                <w:rFonts w:hint="eastAsia" w:ascii="宋体" w:hAnsi="宋体" w:cs="宋体"/>
                <w:bCs/>
                <w:sz w:val="24"/>
                <w:szCs w:val="24"/>
              </w:rPr>
              <w:t>单位</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bCs/>
                <w:sz w:val="24"/>
                <w:szCs w:val="24"/>
              </w:rPr>
            </w:pPr>
            <w:r>
              <w:rPr>
                <w:rFonts w:hint="eastAsia" w:ascii="宋体" w:hAnsi="宋体" w:cs="宋体"/>
                <w:bCs/>
                <w:sz w:val="24"/>
                <w:szCs w:val="24"/>
              </w:rPr>
              <w:t>数量</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bCs/>
                <w:sz w:val="24"/>
                <w:szCs w:val="24"/>
              </w:rPr>
            </w:pPr>
            <w:r>
              <w:rPr>
                <w:rFonts w:hint="eastAsia" w:ascii="宋体" w:hAnsi="宋体" w:cs="宋体"/>
                <w:bCs/>
                <w:sz w:val="24"/>
                <w:szCs w:val="24"/>
              </w:rPr>
              <w:t>投标单价（元）</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bCs/>
                <w:sz w:val="24"/>
                <w:szCs w:val="24"/>
              </w:rPr>
            </w:pPr>
            <w:r>
              <w:rPr>
                <w:rFonts w:hint="eastAsia" w:ascii="宋体" w:hAnsi="宋体" w:cs="宋体"/>
                <w:bCs/>
                <w:sz w:val="24"/>
                <w:szCs w:val="24"/>
              </w:rPr>
              <w:t>小计（元）</w:t>
            </w:r>
          </w:p>
        </w:tc>
        <w:tc>
          <w:tcPr>
            <w:tcW w:w="198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bCs/>
                <w:sz w:val="24"/>
                <w:szCs w:val="24"/>
              </w:rPr>
            </w:pPr>
            <w:r>
              <w:rPr>
                <w:rFonts w:hint="eastAsia" w:ascii="宋体" w:hAnsi="宋体" w:cs="宋体"/>
                <w:bCs/>
                <w:sz w:val="24"/>
                <w:szCs w:val="24"/>
              </w:rPr>
              <w:t>交货时间</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bCs/>
                <w:sz w:val="24"/>
                <w:szCs w:val="24"/>
              </w:rPr>
            </w:pPr>
            <w:r>
              <w:rPr>
                <w:rFonts w:hint="eastAsia" w:ascii="宋体" w:hAnsi="宋体" w:cs="宋体"/>
                <w:bCs/>
                <w:sz w:val="24"/>
                <w:szCs w:val="24"/>
              </w:rPr>
              <w:t>生产厂家</w:t>
            </w:r>
          </w:p>
        </w:tc>
        <w:tc>
          <w:tcPr>
            <w:tcW w:w="1417"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bCs/>
                <w:sz w:val="24"/>
                <w:szCs w:val="24"/>
              </w:rPr>
            </w:pPr>
            <w:r>
              <w:rPr>
                <w:rFonts w:hint="eastAsia" w:ascii="宋体" w:hAnsi="宋体" w:cs="宋体"/>
                <w:bCs/>
                <w:sz w:val="24"/>
                <w:szCs w:val="24"/>
              </w:rPr>
              <w:t>规格、技术指标</w:t>
            </w:r>
          </w:p>
        </w:tc>
      </w:tr>
      <w:tr>
        <w:tblPrEx>
          <w:tblCellMar>
            <w:top w:w="0" w:type="dxa"/>
            <w:left w:w="108" w:type="dxa"/>
            <w:bottom w:w="0" w:type="dxa"/>
            <w:right w:w="108" w:type="dxa"/>
          </w:tblCellMar>
        </w:tblPrEx>
        <w:trPr>
          <w:trHeight w:val="546" w:hRule="exact"/>
          <w:jc w:val="center"/>
        </w:trPr>
        <w:tc>
          <w:tcPr>
            <w:tcW w:w="78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bCs/>
                <w:sz w:val="24"/>
                <w:szCs w:val="24"/>
              </w:rPr>
            </w:pPr>
            <w:r>
              <w:rPr>
                <w:rFonts w:hint="eastAsia" w:ascii="宋体" w:hAnsi="宋体" w:cs="宋体"/>
                <w:bCs/>
                <w:sz w:val="24"/>
                <w:szCs w:val="24"/>
              </w:rPr>
              <w:t>1</w:t>
            </w:r>
          </w:p>
        </w:tc>
        <w:tc>
          <w:tcPr>
            <w:tcW w:w="1350"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p>
        </w:tc>
        <w:tc>
          <w:tcPr>
            <w:tcW w:w="1363"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p>
        </w:tc>
        <w:tc>
          <w:tcPr>
            <w:tcW w:w="864"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p>
        </w:tc>
        <w:tc>
          <w:tcPr>
            <w:tcW w:w="992"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p>
        </w:tc>
        <w:tc>
          <w:tcPr>
            <w:tcW w:w="1984"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p>
        </w:tc>
        <w:tc>
          <w:tcPr>
            <w:tcW w:w="1560"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p>
        </w:tc>
        <w:tc>
          <w:tcPr>
            <w:tcW w:w="1417" w:type="dxa"/>
            <w:gridSpan w:val="2"/>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p>
          <w:p>
            <w:pPr>
              <w:spacing w:line="360" w:lineRule="exact"/>
              <w:jc w:val="left"/>
              <w:rPr>
                <w:rFonts w:ascii="宋体" w:hAnsi="宋体" w:cs="宋体"/>
                <w:bCs/>
                <w:sz w:val="24"/>
                <w:szCs w:val="24"/>
              </w:rPr>
            </w:pPr>
          </w:p>
        </w:tc>
      </w:tr>
      <w:tr>
        <w:tblPrEx>
          <w:tblCellMar>
            <w:top w:w="0" w:type="dxa"/>
            <w:left w:w="108" w:type="dxa"/>
            <w:bottom w:w="0" w:type="dxa"/>
            <w:right w:w="108" w:type="dxa"/>
          </w:tblCellMar>
        </w:tblPrEx>
        <w:trPr>
          <w:trHeight w:val="546" w:hRule="exact"/>
          <w:jc w:val="center"/>
        </w:trPr>
        <w:tc>
          <w:tcPr>
            <w:tcW w:w="78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bCs/>
                <w:sz w:val="24"/>
                <w:szCs w:val="24"/>
              </w:rPr>
            </w:pPr>
            <w:r>
              <w:rPr>
                <w:rFonts w:hint="eastAsia" w:ascii="宋体" w:hAnsi="宋体" w:cs="宋体"/>
                <w:bCs/>
                <w:sz w:val="24"/>
                <w:szCs w:val="24"/>
              </w:rPr>
              <w:t>2</w:t>
            </w:r>
          </w:p>
        </w:tc>
        <w:tc>
          <w:tcPr>
            <w:tcW w:w="1350"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p>
        </w:tc>
        <w:tc>
          <w:tcPr>
            <w:tcW w:w="1363"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p>
        </w:tc>
        <w:tc>
          <w:tcPr>
            <w:tcW w:w="864"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p>
        </w:tc>
        <w:tc>
          <w:tcPr>
            <w:tcW w:w="992"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p>
        </w:tc>
        <w:tc>
          <w:tcPr>
            <w:tcW w:w="1984"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p>
        </w:tc>
        <w:tc>
          <w:tcPr>
            <w:tcW w:w="1560"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p>
        </w:tc>
        <w:tc>
          <w:tcPr>
            <w:tcW w:w="1417" w:type="dxa"/>
            <w:gridSpan w:val="2"/>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p>
          <w:p>
            <w:pPr>
              <w:spacing w:line="360" w:lineRule="exact"/>
              <w:jc w:val="left"/>
              <w:rPr>
                <w:rFonts w:ascii="宋体" w:hAnsi="宋体" w:cs="宋体"/>
                <w:bCs/>
                <w:sz w:val="24"/>
                <w:szCs w:val="24"/>
              </w:rPr>
            </w:pPr>
          </w:p>
        </w:tc>
      </w:tr>
      <w:tr>
        <w:tblPrEx>
          <w:tblCellMar>
            <w:top w:w="0" w:type="dxa"/>
            <w:left w:w="108" w:type="dxa"/>
            <w:bottom w:w="0" w:type="dxa"/>
            <w:right w:w="108" w:type="dxa"/>
          </w:tblCellMar>
        </w:tblPrEx>
        <w:trPr>
          <w:trHeight w:val="546" w:hRule="exact"/>
          <w:jc w:val="center"/>
        </w:trPr>
        <w:tc>
          <w:tcPr>
            <w:tcW w:w="78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bCs/>
                <w:sz w:val="24"/>
                <w:szCs w:val="24"/>
              </w:rPr>
            </w:pPr>
            <w:r>
              <w:rPr>
                <w:rFonts w:hint="eastAsia" w:ascii="宋体" w:hAnsi="宋体" w:cs="宋体"/>
                <w:bCs/>
                <w:sz w:val="24"/>
                <w:szCs w:val="24"/>
              </w:rPr>
              <w:t>3</w:t>
            </w:r>
          </w:p>
        </w:tc>
        <w:tc>
          <w:tcPr>
            <w:tcW w:w="1350"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r>
              <w:rPr>
                <w:rFonts w:hint="eastAsia" w:ascii="宋体" w:hAnsi="宋体" w:cs="宋体"/>
                <w:bCs/>
                <w:sz w:val="24"/>
                <w:szCs w:val="24"/>
              </w:rPr>
              <w:t>　</w:t>
            </w:r>
          </w:p>
        </w:tc>
        <w:tc>
          <w:tcPr>
            <w:tcW w:w="1363"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p>
        </w:tc>
        <w:tc>
          <w:tcPr>
            <w:tcW w:w="864"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r>
              <w:rPr>
                <w:rFonts w:hint="eastAsia" w:ascii="宋体" w:hAnsi="宋体" w:cs="宋体"/>
                <w:bCs/>
                <w:sz w:val="24"/>
                <w:szCs w:val="24"/>
              </w:rPr>
              <w:t>　</w:t>
            </w:r>
          </w:p>
        </w:tc>
        <w:tc>
          <w:tcPr>
            <w:tcW w:w="992"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r>
              <w:rPr>
                <w:rFonts w:hint="eastAsia" w:ascii="宋体" w:hAnsi="宋体" w:cs="宋体"/>
                <w:bCs/>
                <w:sz w:val="24"/>
                <w:szCs w:val="24"/>
              </w:rPr>
              <w:t>　</w:t>
            </w:r>
          </w:p>
        </w:tc>
        <w:tc>
          <w:tcPr>
            <w:tcW w:w="1701"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r>
              <w:rPr>
                <w:rFonts w:hint="eastAsia" w:ascii="宋体" w:hAnsi="宋体" w:cs="宋体"/>
                <w:bCs/>
                <w:sz w:val="24"/>
                <w:szCs w:val="24"/>
              </w:rPr>
              <w:t>　</w:t>
            </w:r>
          </w:p>
        </w:tc>
        <w:tc>
          <w:tcPr>
            <w:tcW w:w="1984"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r>
              <w:rPr>
                <w:rFonts w:hint="eastAsia" w:ascii="宋体" w:hAnsi="宋体" w:cs="宋体"/>
                <w:bCs/>
                <w:sz w:val="24"/>
                <w:szCs w:val="24"/>
              </w:rPr>
              <w:t>　</w:t>
            </w:r>
          </w:p>
        </w:tc>
        <w:tc>
          <w:tcPr>
            <w:tcW w:w="1560"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r>
              <w:rPr>
                <w:rFonts w:hint="eastAsia" w:ascii="宋体" w:hAnsi="宋体" w:cs="宋体"/>
                <w:bCs/>
                <w:sz w:val="24"/>
                <w:szCs w:val="24"/>
              </w:rPr>
              <w:t>　</w:t>
            </w:r>
          </w:p>
        </w:tc>
        <w:tc>
          <w:tcPr>
            <w:tcW w:w="1417" w:type="dxa"/>
            <w:gridSpan w:val="2"/>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r>
              <w:rPr>
                <w:rFonts w:hint="eastAsia" w:ascii="宋体" w:hAnsi="宋体" w:cs="宋体"/>
                <w:bCs/>
                <w:sz w:val="24"/>
                <w:szCs w:val="24"/>
              </w:rPr>
              <w:t>　</w:t>
            </w:r>
          </w:p>
          <w:p>
            <w:pPr>
              <w:spacing w:line="360" w:lineRule="exact"/>
              <w:jc w:val="left"/>
              <w:rPr>
                <w:rFonts w:ascii="宋体" w:hAnsi="宋体" w:cs="宋体"/>
                <w:bCs/>
                <w:sz w:val="24"/>
                <w:szCs w:val="24"/>
              </w:rPr>
            </w:pPr>
            <w:r>
              <w:rPr>
                <w:rFonts w:hint="eastAsia" w:ascii="宋体" w:hAnsi="宋体" w:cs="宋体"/>
                <w:bCs/>
                <w:sz w:val="24"/>
                <w:szCs w:val="24"/>
              </w:rPr>
              <w:t>　</w:t>
            </w:r>
          </w:p>
        </w:tc>
      </w:tr>
      <w:tr>
        <w:tblPrEx>
          <w:tblCellMar>
            <w:top w:w="0" w:type="dxa"/>
            <w:left w:w="108" w:type="dxa"/>
            <w:bottom w:w="0" w:type="dxa"/>
            <w:right w:w="108" w:type="dxa"/>
          </w:tblCellMar>
        </w:tblPrEx>
        <w:trPr>
          <w:trHeight w:val="546" w:hRule="exact"/>
          <w:jc w:val="center"/>
        </w:trPr>
        <w:tc>
          <w:tcPr>
            <w:tcW w:w="78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bCs/>
                <w:sz w:val="24"/>
                <w:szCs w:val="24"/>
              </w:rPr>
            </w:pPr>
            <w:r>
              <w:rPr>
                <w:rFonts w:hint="eastAsia" w:ascii="宋体" w:hAnsi="宋体" w:cs="宋体"/>
                <w:bCs/>
                <w:sz w:val="24"/>
                <w:szCs w:val="24"/>
              </w:rPr>
              <w:t>¦</w:t>
            </w:r>
          </w:p>
        </w:tc>
        <w:tc>
          <w:tcPr>
            <w:tcW w:w="1350"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r>
              <w:rPr>
                <w:rFonts w:hint="eastAsia" w:ascii="宋体" w:hAnsi="宋体" w:cs="宋体"/>
                <w:bCs/>
                <w:sz w:val="24"/>
                <w:szCs w:val="24"/>
              </w:rPr>
              <w:t>　</w:t>
            </w:r>
          </w:p>
        </w:tc>
        <w:tc>
          <w:tcPr>
            <w:tcW w:w="1363"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p>
        </w:tc>
        <w:tc>
          <w:tcPr>
            <w:tcW w:w="864"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r>
              <w:rPr>
                <w:rFonts w:hint="eastAsia" w:ascii="宋体" w:hAnsi="宋体" w:cs="宋体"/>
                <w:bCs/>
                <w:sz w:val="24"/>
                <w:szCs w:val="24"/>
              </w:rPr>
              <w:t>　</w:t>
            </w:r>
          </w:p>
        </w:tc>
        <w:tc>
          <w:tcPr>
            <w:tcW w:w="992"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r>
              <w:rPr>
                <w:rFonts w:hint="eastAsia" w:ascii="宋体" w:hAnsi="宋体" w:cs="宋体"/>
                <w:bCs/>
                <w:sz w:val="24"/>
                <w:szCs w:val="24"/>
              </w:rPr>
              <w:t>　</w:t>
            </w:r>
          </w:p>
        </w:tc>
        <w:tc>
          <w:tcPr>
            <w:tcW w:w="1701"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r>
              <w:rPr>
                <w:rFonts w:hint="eastAsia" w:ascii="宋体" w:hAnsi="宋体" w:cs="宋体"/>
                <w:bCs/>
                <w:sz w:val="24"/>
                <w:szCs w:val="24"/>
              </w:rPr>
              <w:t>　</w:t>
            </w:r>
          </w:p>
        </w:tc>
        <w:tc>
          <w:tcPr>
            <w:tcW w:w="1984"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r>
              <w:rPr>
                <w:rFonts w:hint="eastAsia" w:ascii="宋体" w:hAnsi="宋体" w:cs="宋体"/>
                <w:bCs/>
                <w:sz w:val="24"/>
                <w:szCs w:val="24"/>
              </w:rPr>
              <w:t>　</w:t>
            </w:r>
          </w:p>
        </w:tc>
        <w:tc>
          <w:tcPr>
            <w:tcW w:w="1560"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r>
              <w:rPr>
                <w:rFonts w:hint="eastAsia" w:ascii="宋体" w:hAnsi="宋体" w:cs="宋体"/>
                <w:bCs/>
                <w:sz w:val="24"/>
                <w:szCs w:val="24"/>
              </w:rPr>
              <w:t>　</w:t>
            </w:r>
          </w:p>
        </w:tc>
        <w:tc>
          <w:tcPr>
            <w:tcW w:w="1417" w:type="dxa"/>
            <w:gridSpan w:val="2"/>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r>
              <w:rPr>
                <w:rFonts w:hint="eastAsia" w:ascii="宋体" w:hAnsi="宋体" w:cs="宋体"/>
                <w:bCs/>
                <w:sz w:val="24"/>
                <w:szCs w:val="24"/>
              </w:rPr>
              <w:t>　</w:t>
            </w:r>
          </w:p>
          <w:p>
            <w:pPr>
              <w:spacing w:line="360" w:lineRule="exact"/>
              <w:jc w:val="left"/>
              <w:rPr>
                <w:rFonts w:ascii="宋体" w:hAnsi="宋体" w:cs="宋体"/>
                <w:bCs/>
                <w:sz w:val="24"/>
                <w:szCs w:val="24"/>
              </w:rPr>
            </w:pPr>
            <w:r>
              <w:rPr>
                <w:rFonts w:hint="eastAsia" w:ascii="宋体" w:hAnsi="宋体" w:cs="宋体"/>
                <w:bCs/>
                <w:sz w:val="24"/>
                <w:szCs w:val="24"/>
              </w:rPr>
              <w:t>　</w:t>
            </w:r>
          </w:p>
        </w:tc>
      </w:tr>
      <w:tr>
        <w:tblPrEx>
          <w:tblCellMar>
            <w:top w:w="0" w:type="dxa"/>
            <w:left w:w="108" w:type="dxa"/>
            <w:bottom w:w="0" w:type="dxa"/>
            <w:right w:w="108" w:type="dxa"/>
          </w:tblCellMar>
        </w:tblPrEx>
        <w:trPr>
          <w:trHeight w:val="546" w:hRule="exact"/>
          <w:jc w:val="center"/>
        </w:trPr>
        <w:tc>
          <w:tcPr>
            <w:tcW w:w="78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bCs/>
                <w:sz w:val="24"/>
                <w:szCs w:val="24"/>
              </w:rPr>
            </w:pPr>
            <w:r>
              <w:rPr>
                <w:rFonts w:hint="eastAsia" w:ascii="宋体" w:hAnsi="宋体" w:cs="宋体"/>
                <w:bCs/>
                <w:sz w:val="24"/>
                <w:szCs w:val="24"/>
              </w:rPr>
              <w:t>¦</w:t>
            </w:r>
          </w:p>
        </w:tc>
        <w:tc>
          <w:tcPr>
            <w:tcW w:w="1350"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p>
        </w:tc>
        <w:tc>
          <w:tcPr>
            <w:tcW w:w="1363"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p>
        </w:tc>
        <w:tc>
          <w:tcPr>
            <w:tcW w:w="864"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p>
        </w:tc>
        <w:tc>
          <w:tcPr>
            <w:tcW w:w="992"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p>
        </w:tc>
        <w:tc>
          <w:tcPr>
            <w:tcW w:w="1984"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p>
        </w:tc>
        <w:tc>
          <w:tcPr>
            <w:tcW w:w="1560"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p>
        </w:tc>
        <w:tc>
          <w:tcPr>
            <w:tcW w:w="1417" w:type="dxa"/>
            <w:gridSpan w:val="2"/>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p>
        </w:tc>
      </w:tr>
      <w:tr>
        <w:tblPrEx>
          <w:tblCellMar>
            <w:top w:w="0" w:type="dxa"/>
            <w:left w:w="108" w:type="dxa"/>
            <w:bottom w:w="0" w:type="dxa"/>
            <w:right w:w="108" w:type="dxa"/>
          </w:tblCellMar>
        </w:tblPrEx>
        <w:trPr>
          <w:trHeight w:val="546" w:hRule="exact"/>
          <w:jc w:val="center"/>
        </w:trPr>
        <w:tc>
          <w:tcPr>
            <w:tcW w:w="78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bCs/>
                <w:sz w:val="24"/>
                <w:szCs w:val="24"/>
              </w:rPr>
            </w:pPr>
            <w:r>
              <w:rPr>
                <w:rFonts w:hint="eastAsia" w:ascii="宋体" w:hAnsi="宋体" w:cs="宋体"/>
                <w:bCs/>
                <w:sz w:val="24"/>
                <w:szCs w:val="24"/>
              </w:rPr>
              <w:t>¦</w:t>
            </w:r>
          </w:p>
        </w:tc>
        <w:tc>
          <w:tcPr>
            <w:tcW w:w="1350"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r>
              <w:rPr>
                <w:rFonts w:hint="eastAsia" w:ascii="宋体" w:hAnsi="宋体" w:cs="宋体"/>
                <w:bCs/>
                <w:sz w:val="24"/>
                <w:szCs w:val="24"/>
              </w:rPr>
              <w:t>　</w:t>
            </w:r>
          </w:p>
        </w:tc>
        <w:tc>
          <w:tcPr>
            <w:tcW w:w="1363"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p>
        </w:tc>
        <w:tc>
          <w:tcPr>
            <w:tcW w:w="864"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r>
              <w:rPr>
                <w:rFonts w:hint="eastAsia" w:ascii="宋体" w:hAnsi="宋体" w:cs="宋体"/>
                <w:bCs/>
                <w:sz w:val="24"/>
                <w:szCs w:val="24"/>
              </w:rPr>
              <w:t>　</w:t>
            </w:r>
          </w:p>
        </w:tc>
        <w:tc>
          <w:tcPr>
            <w:tcW w:w="992"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r>
              <w:rPr>
                <w:rFonts w:hint="eastAsia" w:ascii="宋体" w:hAnsi="宋体" w:cs="宋体"/>
                <w:bCs/>
                <w:sz w:val="24"/>
                <w:szCs w:val="24"/>
              </w:rPr>
              <w:t>　</w:t>
            </w:r>
          </w:p>
        </w:tc>
        <w:tc>
          <w:tcPr>
            <w:tcW w:w="1701"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r>
              <w:rPr>
                <w:rFonts w:hint="eastAsia" w:ascii="宋体" w:hAnsi="宋体" w:cs="宋体"/>
                <w:bCs/>
                <w:sz w:val="24"/>
                <w:szCs w:val="24"/>
              </w:rPr>
              <w:t>　</w:t>
            </w:r>
          </w:p>
        </w:tc>
        <w:tc>
          <w:tcPr>
            <w:tcW w:w="1984"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r>
              <w:rPr>
                <w:rFonts w:hint="eastAsia" w:ascii="宋体" w:hAnsi="宋体" w:cs="宋体"/>
                <w:bCs/>
                <w:sz w:val="24"/>
                <w:szCs w:val="24"/>
              </w:rPr>
              <w:t>　</w:t>
            </w:r>
          </w:p>
        </w:tc>
        <w:tc>
          <w:tcPr>
            <w:tcW w:w="1560"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r>
              <w:rPr>
                <w:rFonts w:hint="eastAsia" w:ascii="宋体" w:hAnsi="宋体" w:cs="宋体"/>
                <w:bCs/>
                <w:sz w:val="24"/>
                <w:szCs w:val="24"/>
              </w:rPr>
              <w:t>　</w:t>
            </w:r>
          </w:p>
        </w:tc>
        <w:tc>
          <w:tcPr>
            <w:tcW w:w="1417" w:type="dxa"/>
            <w:gridSpan w:val="2"/>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r>
              <w:rPr>
                <w:rFonts w:hint="eastAsia" w:ascii="宋体" w:hAnsi="宋体" w:cs="宋体"/>
                <w:bCs/>
                <w:sz w:val="24"/>
                <w:szCs w:val="24"/>
              </w:rPr>
              <w:t>　</w:t>
            </w:r>
          </w:p>
          <w:p>
            <w:pPr>
              <w:spacing w:line="360" w:lineRule="exact"/>
              <w:jc w:val="left"/>
              <w:rPr>
                <w:rFonts w:ascii="宋体" w:hAnsi="宋体" w:cs="宋体"/>
                <w:bCs/>
                <w:sz w:val="24"/>
                <w:szCs w:val="24"/>
              </w:rPr>
            </w:pPr>
            <w:r>
              <w:rPr>
                <w:rFonts w:hint="eastAsia" w:ascii="宋体" w:hAnsi="宋体" w:cs="宋体"/>
                <w:bCs/>
                <w:sz w:val="24"/>
                <w:szCs w:val="24"/>
              </w:rPr>
              <w:t>　</w:t>
            </w:r>
          </w:p>
        </w:tc>
      </w:tr>
      <w:tr>
        <w:tblPrEx>
          <w:tblCellMar>
            <w:top w:w="0" w:type="dxa"/>
            <w:left w:w="108" w:type="dxa"/>
            <w:bottom w:w="0" w:type="dxa"/>
            <w:right w:w="108" w:type="dxa"/>
          </w:tblCellMar>
        </w:tblPrEx>
        <w:trPr>
          <w:trHeight w:val="546" w:hRule="exact"/>
          <w:jc w:val="center"/>
        </w:trPr>
        <w:tc>
          <w:tcPr>
            <w:tcW w:w="78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bCs/>
                <w:sz w:val="24"/>
                <w:szCs w:val="24"/>
              </w:rPr>
            </w:pPr>
            <w:r>
              <w:rPr>
                <w:rFonts w:hint="eastAsia" w:ascii="宋体" w:hAnsi="宋体" w:cs="宋体"/>
                <w:bCs/>
                <w:sz w:val="24"/>
                <w:szCs w:val="24"/>
              </w:rPr>
              <w:t>¦</w:t>
            </w:r>
          </w:p>
        </w:tc>
        <w:tc>
          <w:tcPr>
            <w:tcW w:w="1350"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p>
        </w:tc>
        <w:tc>
          <w:tcPr>
            <w:tcW w:w="1363"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p>
        </w:tc>
        <w:tc>
          <w:tcPr>
            <w:tcW w:w="864"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p>
        </w:tc>
        <w:tc>
          <w:tcPr>
            <w:tcW w:w="992"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p>
        </w:tc>
        <w:tc>
          <w:tcPr>
            <w:tcW w:w="1984"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p>
        </w:tc>
        <w:tc>
          <w:tcPr>
            <w:tcW w:w="1560" w:type="dxa"/>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p>
        </w:tc>
        <w:tc>
          <w:tcPr>
            <w:tcW w:w="1417" w:type="dxa"/>
            <w:gridSpan w:val="2"/>
            <w:tcBorders>
              <w:top w:val="single" w:color="auto" w:sz="4" w:space="0"/>
              <w:left w:val="single" w:color="auto" w:sz="4" w:space="0"/>
              <w:bottom w:val="single" w:color="auto" w:sz="4" w:space="0"/>
              <w:right w:val="single" w:color="auto" w:sz="4" w:space="0"/>
            </w:tcBorders>
            <w:noWrap w:val="0"/>
            <w:vAlign w:val="bottom"/>
          </w:tcPr>
          <w:p>
            <w:pPr>
              <w:spacing w:line="360" w:lineRule="exact"/>
              <w:jc w:val="left"/>
              <w:rPr>
                <w:rFonts w:ascii="宋体" w:hAnsi="宋体" w:cs="宋体"/>
                <w:bCs/>
                <w:sz w:val="24"/>
                <w:szCs w:val="24"/>
              </w:rPr>
            </w:pPr>
          </w:p>
        </w:tc>
      </w:tr>
      <w:tr>
        <w:tblPrEx>
          <w:tblCellMar>
            <w:top w:w="0" w:type="dxa"/>
            <w:left w:w="108" w:type="dxa"/>
            <w:bottom w:w="0" w:type="dxa"/>
            <w:right w:w="108" w:type="dxa"/>
          </w:tblCellMar>
        </w:tblPrEx>
        <w:trPr>
          <w:trHeight w:val="736" w:hRule="atLeast"/>
          <w:jc w:val="center"/>
        </w:trPr>
        <w:tc>
          <w:tcPr>
            <w:tcW w:w="13858" w:type="dxa"/>
            <w:gridSpan w:val="11"/>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ascii="宋体" w:hAnsi="宋体" w:cs="宋体"/>
                <w:bCs/>
                <w:sz w:val="24"/>
                <w:szCs w:val="24"/>
              </w:rPr>
            </w:pPr>
            <w:r>
              <w:rPr>
                <w:rFonts w:hint="eastAsia" w:ascii="宋体" w:hAnsi="宋体" w:cs="宋体"/>
                <w:bCs/>
                <w:sz w:val="24"/>
                <w:szCs w:val="24"/>
              </w:rPr>
              <w:t xml:space="preserve">投标报价金额合计（大写）：                                      </w:t>
            </w:r>
            <w:r>
              <w:rPr>
                <w:rFonts w:ascii="宋体" w:hAnsi="宋体" w:cs="宋体"/>
                <w:bCs/>
                <w:sz w:val="24"/>
                <w:szCs w:val="24"/>
              </w:rPr>
              <w:t>人民币（小写）：</w:t>
            </w:r>
          </w:p>
        </w:tc>
      </w:tr>
    </w:tbl>
    <w:p>
      <w:pPr>
        <w:spacing w:line="360" w:lineRule="exact"/>
        <w:jc w:val="left"/>
        <w:rPr>
          <w:rFonts w:hint="eastAsia" w:ascii="宋体" w:hAnsi="宋体" w:cs="宋体"/>
          <w:bCs/>
          <w:sz w:val="24"/>
          <w:szCs w:val="24"/>
        </w:rPr>
      </w:pPr>
    </w:p>
    <w:p>
      <w:pPr>
        <w:spacing w:line="360" w:lineRule="exact"/>
        <w:jc w:val="left"/>
        <w:rPr>
          <w:rFonts w:hint="eastAsia" w:ascii="宋体" w:hAnsi="宋体" w:cs="宋体"/>
          <w:bCs/>
          <w:sz w:val="24"/>
          <w:szCs w:val="24"/>
        </w:rPr>
      </w:pPr>
    </w:p>
    <w:p>
      <w:pPr>
        <w:spacing w:line="360" w:lineRule="exact"/>
        <w:jc w:val="left"/>
        <w:rPr>
          <w:rFonts w:ascii="宋体" w:hAnsi="宋体" w:cs="宋体"/>
          <w:bCs/>
          <w:sz w:val="24"/>
          <w:szCs w:val="24"/>
        </w:rPr>
        <w:sectPr>
          <w:pgSz w:w="16840" w:h="11907" w:orient="landscape"/>
          <w:pgMar w:top="1803" w:right="1440" w:bottom="1803" w:left="1440" w:header="851" w:footer="992" w:gutter="0"/>
          <w:pgNumType w:fmt="decimal"/>
          <w:cols w:space="720" w:num="1"/>
          <w:docGrid w:linePitch="332" w:charSpace="0"/>
        </w:sectPr>
      </w:pPr>
      <w:r>
        <w:rPr>
          <w:rFonts w:hint="eastAsia" w:ascii="宋体" w:hAnsi="宋体" w:cs="宋体"/>
          <w:bCs/>
          <w:sz w:val="24"/>
          <w:szCs w:val="24"/>
        </w:rPr>
        <w:t>法定代表人（负责人）或授权代表（签字）：                                   日期：</w:t>
      </w:r>
      <w:r>
        <w:rPr>
          <w:rFonts w:hint="eastAsia" w:ascii="宋体" w:hAnsi="宋体" w:cs="宋体"/>
          <w:bCs/>
          <w:spacing w:val="-8"/>
          <w:sz w:val="24"/>
          <w:szCs w:val="24"/>
        </w:rPr>
        <w:t>年月日</w:t>
      </w:r>
    </w:p>
    <w:p>
      <w:pPr>
        <w:spacing w:line="520" w:lineRule="exact"/>
        <w:jc w:val="left"/>
        <w:rPr>
          <w:rFonts w:ascii="宋体" w:hAnsi="宋体" w:cs="宋体"/>
          <w:b/>
          <w:bCs/>
          <w:sz w:val="24"/>
          <w:szCs w:val="24"/>
        </w:rPr>
      </w:pPr>
      <w:r>
        <w:rPr>
          <w:rFonts w:hint="eastAsia" w:ascii="宋体" w:hAnsi="宋体" w:cs="宋体"/>
          <w:b/>
          <w:bCs/>
          <w:sz w:val="24"/>
          <w:szCs w:val="24"/>
        </w:rPr>
        <w:t>3.主要设备技术指标及技术性能说明</w:t>
      </w:r>
    </w:p>
    <w:p>
      <w:pPr>
        <w:spacing w:line="520" w:lineRule="exact"/>
        <w:jc w:val="left"/>
        <w:rPr>
          <w:rFonts w:ascii="宋体" w:hAnsi="宋体" w:cs="宋体"/>
          <w:b/>
          <w:bCs/>
          <w:snapToGrid w:val="0"/>
          <w:kern w:val="0"/>
          <w:sz w:val="24"/>
          <w:szCs w:val="24"/>
        </w:rPr>
      </w:pPr>
      <w:r>
        <w:rPr>
          <w:rFonts w:hint="eastAsia" w:ascii="宋体" w:hAnsi="宋体" w:cs="宋体"/>
          <w:b/>
          <w:bCs/>
          <w:sz w:val="24"/>
          <w:szCs w:val="24"/>
        </w:rPr>
        <w:t>4.供应商提供的产品交货方案、技术服务的人员结构情况</w:t>
      </w:r>
      <w:r>
        <w:rPr>
          <w:rFonts w:hint="eastAsia" w:ascii="宋体" w:hAnsi="宋体" w:cs="宋体"/>
          <w:b/>
          <w:bCs/>
          <w:snapToGrid w:val="0"/>
          <w:kern w:val="0"/>
          <w:sz w:val="24"/>
          <w:szCs w:val="24"/>
        </w:rPr>
        <w:t>，产品交货进度安排、安装方案</w:t>
      </w:r>
      <w:r>
        <w:rPr>
          <w:rFonts w:hint="eastAsia" w:ascii="宋体" w:hAnsi="宋体" w:cs="宋体"/>
          <w:bCs/>
          <w:sz w:val="24"/>
          <w:szCs w:val="24"/>
        </w:rPr>
        <w:t>（格式自拟）</w:t>
      </w:r>
    </w:p>
    <w:p>
      <w:pPr>
        <w:spacing w:line="520" w:lineRule="exact"/>
        <w:jc w:val="left"/>
        <w:rPr>
          <w:rFonts w:ascii="宋体" w:hAnsi="宋体" w:cs="宋体"/>
          <w:bCs/>
          <w:sz w:val="24"/>
          <w:szCs w:val="24"/>
        </w:rPr>
      </w:pPr>
      <w:r>
        <w:rPr>
          <w:rFonts w:hint="eastAsia" w:ascii="宋体" w:hAnsi="宋体" w:cs="宋体"/>
          <w:b/>
          <w:bCs/>
          <w:sz w:val="24"/>
          <w:szCs w:val="24"/>
        </w:rPr>
        <w:t>5.售后服务计划</w:t>
      </w:r>
      <w:r>
        <w:rPr>
          <w:rFonts w:hint="eastAsia" w:ascii="宋体" w:hAnsi="宋体" w:cs="宋体"/>
          <w:bCs/>
          <w:sz w:val="24"/>
          <w:szCs w:val="24"/>
        </w:rPr>
        <w:t>（格式自拟）</w:t>
      </w:r>
    </w:p>
    <w:p>
      <w:pPr>
        <w:spacing w:line="520" w:lineRule="exact"/>
        <w:jc w:val="left"/>
        <w:rPr>
          <w:rFonts w:ascii="宋体" w:hAnsi="宋体" w:cs="宋体"/>
          <w:b/>
          <w:bCs/>
          <w:sz w:val="24"/>
          <w:szCs w:val="24"/>
        </w:rPr>
      </w:pPr>
      <w:r>
        <w:rPr>
          <w:rFonts w:hint="eastAsia" w:ascii="宋体" w:hAnsi="宋体" w:cs="宋体"/>
          <w:b/>
          <w:bCs/>
          <w:sz w:val="24"/>
          <w:szCs w:val="24"/>
        </w:rPr>
        <w:t>6.技术规格偏离表格式</w:t>
      </w:r>
    </w:p>
    <w:p>
      <w:pPr>
        <w:spacing w:line="360" w:lineRule="exact"/>
        <w:jc w:val="left"/>
        <w:rPr>
          <w:rFonts w:ascii="宋体" w:hAnsi="宋体" w:cs="宋体"/>
          <w:bCs/>
          <w:sz w:val="24"/>
          <w:szCs w:val="24"/>
        </w:rPr>
      </w:pPr>
    </w:p>
    <w:p>
      <w:pPr>
        <w:spacing w:line="360" w:lineRule="exact"/>
        <w:jc w:val="left"/>
        <w:rPr>
          <w:rFonts w:ascii="宋体" w:hAnsi="宋体" w:cs="宋体"/>
          <w:bCs/>
          <w:sz w:val="24"/>
          <w:szCs w:val="24"/>
        </w:rPr>
      </w:pPr>
    </w:p>
    <w:p>
      <w:pPr>
        <w:spacing w:line="360" w:lineRule="exact"/>
        <w:jc w:val="center"/>
        <w:rPr>
          <w:rFonts w:ascii="宋体" w:hAnsi="宋体" w:cs="宋体"/>
          <w:b/>
          <w:bCs/>
          <w:sz w:val="32"/>
          <w:szCs w:val="24"/>
        </w:rPr>
      </w:pPr>
      <w:r>
        <w:rPr>
          <w:rFonts w:hint="eastAsia" w:ascii="宋体" w:hAnsi="宋体" w:cs="宋体"/>
          <w:b/>
          <w:bCs/>
          <w:sz w:val="32"/>
          <w:szCs w:val="24"/>
        </w:rPr>
        <w:t>技术规格偏离表</w:t>
      </w:r>
    </w:p>
    <w:p>
      <w:pPr>
        <w:spacing w:line="360" w:lineRule="exact"/>
        <w:jc w:val="left"/>
        <w:rPr>
          <w:rFonts w:ascii="宋体" w:hAnsi="宋体" w:cs="宋体"/>
          <w:bCs/>
          <w:sz w:val="24"/>
          <w:szCs w:val="24"/>
        </w:rPr>
      </w:pPr>
    </w:p>
    <w:p>
      <w:pPr>
        <w:spacing w:line="360" w:lineRule="exact"/>
        <w:ind w:firstLine="360" w:firstLineChars="150"/>
        <w:jc w:val="left"/>
        <w:rPr>
          <w:rFonts w:ascii="宋体" w:hAnsi="宋体" w:cs="宋体"/>
          <w:bCs/>
          <w:sz w:val="24"/>
          <w:szCs w:val="24"/>
        </w:rPr>
      </w:pPr>
      <w:r>
        <w:rPr>
          <w:rFonts w:hint="eastAsia" w:ascii="宋体" w:hAnsi="宋体" w:cs="宋体"/>
          <w:bCs/>
          <w:sz w:val="24"/>
          <w:szCs w:val="24"/>
        </w:rPr>
        <w:t xml:space="preserve">项目名称:                      项目编号:    </w:t>
      </w:r>
    </w:p>
    <w:tbl>
      <w:tblPr>
        <w:tblStyle w:val="28"/>
        <w:tblW w:w="88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1589"/>
        <w:gridCol w:w="1559"/>
        <w:gridCol w:w="1701"/>
        <w:gridCol w:w="1701"/>
        <w:gridCol w:w="15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bCs/>
                <w:sz w:val="24"/>
                <w:szCs w:val="24"/>
              </w:rPr>
            </w:pPr>
            <w:r>
              <w:rPr>
                <w:rFonts w:hint="eastAsia" w:ascii="宋体" w:hAnsi="宋体" w:cs="宋体"/>
                <w:bCs/>
                <w:sz w:val="24"/>
                <w:szCs w:val="24"/>
              </w:rPr>
              <w:t>序号</w:t>
            </w:r>
          </w:p>
        </w:tc>
        <w:tc>
          <w:tcPr>
            <w:tcW w:w="1589"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bCs/>
                <w:sz w:val="24"/>
                <w:szCs w:val="24"/>
              </w:rPr>
            </w:pPr>
            <w:r>
              <w:rPr>
                <w:rFonts w:hint="eastAsia" w:ascii="宋体" w:hAnsi="宋体" w:cs="宋体"/>
                <w:bCs/>
                <w:sz w:val="24"/>
                <w:szCs w:val="24"/>
              </w:rPr>
              <w:t>货物名称</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bCs/>
                <w:sz w:val="24"/>
                <w:szCs w:val="24"/>
              </w:rPr>
            </w:pPr>
            <w:r>
              <w:rPr>
                <w:rFonts w:hint="eastAsia" w:ascii="宋体" w:hAnsi="宋体" w:cs="宋体"/>
                <w:bCs/>
                <w:sz w:val="24"/>
                <w:szCs w:val="24"/>
              </w:rPr>
              <w:t>招标规格</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bCs/>
                <w:sz w:val="24"/>
                <w:szCs w:val="24"/>
              </w:rPr>
            </w:pPr>
            <w:r>
              <w:rPr>
                <w:rFonts w:hint="eastAsia" w:ascii="宋体" w:hAnsi="宋体" w:cs="宋体"/>
                <w:bCs/>
                <w:sz w:val="24"/>
                <w:szCs w:val="24"/>
              </w:rPr>
              <w:t>投标规格</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bCs/>
                <w:sz w:val="24"/>
                <w:szCs w:val="24"/>
              </w:rPr>
            </w:pPr>
            <w:r>
              <w:rPr>
                <w:rFonts w:hint="eastAsia" w:ascii="宋体" w:hAnsi="宋体" w:cs="宋体"/>
                <w:bCs/>
                <w:sz w:val="24"/>
                <w:szCs w:val="24"/>
              </w:rPr>
              <w:t>偏离</w:t>
            </w:r>
          </w:p>
        </w:tc>
        <w:tc>
          <w:tcPr>
            <w:tcW w:w="1509"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bCs/>
                <w:sz w:val="24"/>
                <w:szCs w:val="24"/>
              </w:rPr>
            </w:pPr>
            <w:r>
              <w:rPr>
                <w:rFonts w:hint="eastAsia" w:ascii="宋体" w:hAnsi="宋体" w:cs="宋体"/>
                <w:bCs/>
                <w:sz w:val="24"/>
                <w:szCs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58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55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50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58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55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50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58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55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50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58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55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50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58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55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50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58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55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50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58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55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50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58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55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50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58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55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50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58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55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50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58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55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50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58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55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50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58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55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50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58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55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50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r>
    </w:tbl>
    <w:p>
      <w:pPr>
        <w:spacing w:line="360" w:lineRule="exact"/>
        <w:jc w:val="left"/>
        <w:rPr>
          <w:rFonts w:ascii="宋体" w:hAnsi="宋体" w:cs="宋体"/>
          <w:bCs/>
          <w:sz w:val="24"/>
          <w:szCs w:val="24"/>
        </w:rPr>
      </w:pPr>
    </w:p>
    <w:p>
      <w:pPr>
        <w:spacing w:line="360" w:lineRule="exact"/>
        <w:jc w:val="left"/>
        <w:rPr>
          <w:rFonts w:ascii="宋体" w:hAnsi="宋体" w:cs="宋体"/>
          <w:bCs/>
          <w:sz w:val="24"/>
          <w:szCs w:val="24"/>
        </w:rPr>
      </w:pPr>
      <w:r>
        <w:rPr>
          <w:rFonts w:hint="eastAsia" w:ascii="宋体" w:hAnsi="宋体" w:cs="宋体"/>
          <w:bCs/>
          <w:sz w:val="24"/>
          <w:szCs w:val="24"/>
        </w:rPr>
        <w:t xml:space="preserve">投标人（公章）：   </w:t>
      </w:r>
    </w:p>
    <w:p>
      <w:pPr>
        <w:spacing w:line="360" w:lineRule="exact"/>
        <w:jc w:val="left"/>
        <w:rPr>
          <w:rFonts w:ascii="宋体" w:hAnsi="宋体" w:cs="宋体"/>
          <w:bCs/>
          <w:sz w:val="24"/>
          <w:szCs w:val="24"/>
        </w:rPr>
      </w:pPr>
      <w:r>
        <w:rPr>
          <w:rFonts w:hint="eastAsia" w:ascii="宋体" w:hAnsi="宋体" w:cs="宋体"/>
          <w:bCs/>
          <w:sz w:val="24"/>
          <w:szCs w:val="24"/>
        </w:rPr>
        <w:t>法定代表人（负责人）或授权代表（签字）：</w:t>
      </w:r>
    </w:p>
    <w:p>
      <w:pPr>
        <w:spacing w:line="360" w:lineRule="exact"/>
        <w:jc w:val="left"/>
        <w:rPr>
          <w:rFonts w:ascii="宋体" w:hAnsi="宋体" w:cs="宋体"/>
          <w:bCs/>
          <w:sz w:val="24"/>
          <w:szCs w:val="24"/>
        </w:rPr>
      </w:pPr>
      <w:r>
        <w:rPr>
          <w:rFonts w:hint="eastAsia" w:ascii="宋体" w:hAnsi="宋体" w:cs="宋体"/>
          <w:bCs/>
          <w:sz w:val="24"/>
          <w:szCs w:val="24"/>
        </w:rPr>
        <w:t>日期：</w:t>
      </w:r>
      <w:r>
        <w:rPr>
          <w:rFonts w:hint="eastAsia" w:ascii="宋体" w:hAnsi="宋体" w:cs="宋体"/>
          <w:bCs/>
          <w:spacing w:val="-8"/>
          <w:sz w:val="24"/>
          <w:szCs w:val="24"/>
        </w:rPr>
        <w:t>年月日</w:t>
      </w:r>
      <w:r>
        <w:rPr>
          <w:rFonts w:hint="eastAsia" w:ascii="宋体" w:hAnsi="宋体" w:cs="宋体"/>
          <w:bCs/>
          <w:sz w:val="24"/>
          <w:szCs w:val="24"/>
        </w:rPr>
        <w:br w:type="page"/>
      </w:r>
      <w:r>
        <w:rPr>
          <w:rFonts w:hint="eastAsia" w:ascii="宋体" w:hAnsi="宋体" w:cs="宋体"/>
          <w:b/>
          <w:bCs/>
          <w:sz w:val="24"/>
          <w:szCs w:val="24"/>
        </w:rPr>
        <w:t>7.商务偏差表格式</w:t>
      </w:r>
    </w:p>
    <w:p>
      <w:pPr>
        <w:spacing w:line="360" w:lineRule="exact"/>
        <w:jc w:val="center"/>
        <w:rPr>
          <w:rFonts w:ascii="宋体" w:hAnsi="宋体" w:cs="宋体"/>
          <w:b/>
          <w:bCs/>
          <w:sz w:val="24"/>
          <w:szCs w:val="24"/>
        </w:rPr>
      </w:pPr>
    </w:p>
    <w:p>
      <w:pPr>
        <w:spacing w:line="360" w:lineRule="exact"/>
        <w:jc w:val="center"/>
        <w:rPr>
          <w:rFonts w:hint="eastAsia" w:ascii="宋体" w:hAnsi="宋体" w:cs="宋体"/>
          <w:b/>
          <w:bCs/>
          <w:sz w:val="32"/>
          <w:szCs w:val="24"/>
        </w:rPr>
      </w:pPr>
      <w:r>
        <w:rPr>
          <w:rFonts w:hint="eastAsia" w:ascii="宋体" w:hAnsi="宋体" w:cs="宋体"/>
          <w:b/>
          <w:bCs/>
          <w:sz w:val="32"/>
          <w:szCs w:val="24"/>
        </w:rPr>
        <w:t>商务偏差表</w:t>
      </w:r>
    </w:p>
    <w:p>
      <w:pPr>
        <w:ind w:firstLine="420" w:firstLineChars="200"/>
        <w:rPr>
          <w:rFonts w:hint="eastAsia" w:ascii="Times New Roman" w:hAnsi="Times New Roman"/>
          <w:szCs w:val="24"/>
        </w:rPr>
      </w:pPr>
    </w:p>
    <w:p>
      <w:pPr>
        <w:ind w:firstLine="420" w:firstLineChars="200"/>
        <w:rPr>
          <w:rFonts w:ascii="Times New Roman" w:hAnsi="Times New Roman"/>
          <w:szCs w:val="24"/>
        </w:rPr>
      </w:pPr>
    </w:p>
    <w:p>
      <w:pPr>
        <w:spacing w:line="360" w:lineRule="exact"/>
        <w:ind w:firstLine="360" w:firstLineChars="150"/>
        <w:jc w:val="left"/>
        <w:rPr>
          <w:rFonts w:ascii="宋体" w:hAnsi="宋体" w:cs="宋体"/>
          <w:bCs/>
          <w:sz w:val="24"/>
          <w:szCs w:val="24"/>
        </w:rPr>
      </w:pPr>
      <w:r>
        <w:rPr>
          <w:rFonts w:hint="eastAsia" w:ascii="宋体" w:hAnsi="宋体" w:cs="宋体"/>
          <w:bCs/>
          <w:sz w:val="24"/>
          <w:szCs w:val="24"/>
        </w:rPr>
        <w:t xml:space="preserve">项目名称：                        项目编号：  </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2268"/>
        <w:gridCol w:w="2268"/>
        <w:gridCol w:w="1701"/>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exact"/>
          <w:jc w:val="center"/>
        </w:trPr>
        <w:tc>
          <w:tcPr>
            <w:tcW w:w="758"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bCs/>
                <w:sz w:val="24"/>
                <w:szCs w:val="24"/>
              </w:rPr>
            </w:pPr>
            <w:r>
              <w:rPr>
                <w:rFonts w:hint="eastAsia" w:ascii="宋体" w:hAnsi="宋体" w:cs="宋体"/>
                <w:bCs/>
                <w:sz w:val="24"/>
                <w:szCs w:val="24"/>
              </w:rPr>
              <w:t>序号</w:t>
            </w:r>
          </w:p>
        </w:tc>
        <w:tc>
          <w:tcPr>
            <w:tcW w:w="2268"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bCs/>
                <w:sz w:val="24"/>
                <w:szCs w:val="24"/>
              </w:rPr>
            </w:pPr>
            <w:r>
              <w:rPr>
                <w:rFonts w:hint="eastAsia" w:ascii="宋体" w:hAnsi="宋体" w:cs="宋体"/>
                <w:bCs/>
                <w:sz w:val="24"/>
                <w:szCs w:val="24"/>
              </w:rPr>
              <w:t>招标文件商务条款</w:t>
            </w:r>
          </w:p>
        </w:tc>
        <w:tc>
          <w:tcPr>
            <w:tcW w:w="2268"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bCs/>
                <w:sz w:val="24"/>
                <w:szCs w:val="24"/>
              </w:rPr>
            </w:pPr>
            <w:r>
              <w:rPr>
                <w:rFonts w:hint="eastAsia" w:ascii="宋体" w:hAnsi="宋体" w:cs="宋体"/>
                <w:bCs/>
                <w:sz w:val="24"/>
                <w:szCs w:val="24"/>
              </w:rPr>
              <w:t>投标文件商务条款</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bCs/>
                <w:sz w:val="24"/>
                <w:szCs w:val="24"/>
              </w:rPr>
            </w:pPr>
            <w:r>
              <w:rPr>
                <w:rFonts w:hint="eastAsia" w:ascii="宋体" w:hAnsi="宋体" w:cs="宋体"/>
                <w:bCs/>
                <w:sz w:val="24"/>
                <w:szCs w:val="24"/>
              </w:rPr>
              <w:t>偏差描述</w:t>
            </w:r>
          </w:p>
        </w:tc>
        <w:tc>
          <w:tcPr>
            <w:tcW w:w="1409"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bCs/>
                <w:sz w:val="24"/>
                <w:szCs w:val="24"/>
              </w:rPr>
            </w:pPr>
            <w:r>
              <w:rPr>
                <w:rFonts w:hint="eastAsia" w:ascii="宋体" w:hAnsi="宋体" w:cs="宋体"/>
                <w:bCs/>
                <w:sz w:val="24"/>
                <w:szCs w:val="24"/>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58"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2268"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2268"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40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58"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2268"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2268"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40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58"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2268"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2268"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40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58"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2268"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2268"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40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58"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2268"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2268"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40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58"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2268"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2268"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40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58"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2268"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2268"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40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58"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2268"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2268"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40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58"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2268"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2268"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40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58"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2268"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2268"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40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58"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2268"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2268"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40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r>
    </w:tbl>
    <w:p>
      <w:pPr>
        <w:spacing w:line="360" w:lineRule="exact"/>
        <w:jc w:val="left"/>
        <w:rPr>
          <w:rFonts w:ascii="宋体" w:hAnsi="宋体" w:cs="宋体"/>
          <w:bCs/>
          <w:sz w:val="24"/>
          <w:szCs w:val="24"/>
        </w:rPr>
      </w:pPr>
    </w:p>
    <w:p>
      <w:pPr>
        <w:spacing w:line="360" w:lineRule="exact"/>
        <w:jc w:val="left"/>
        <w:rPr>
          <w:rFonts w:ascii="宋体" w:hAnsi="宋体" w:cs="宋体"/>
          <w:bCs/>
          <w:sz w:val="24"/>
          <w:szCs w:val="24"/>
        </w:rPr>
      </w:pPr>
      <w:r>
        <w:rPr>
          <w:rFonts w:hint="eastAsia" w:ascii="宋体" w:hAnsi="宋体" w:cs="宋体"/>
          <w:bCs/>
          <w:sz w:val="24"/>
          <w:szCs w:val="24"/>
        </w:rPr>
        <w:t xml:space="preserve">投标人（公章）：      </w:t>
      </w:r>
    </w:p>
    <w:p>
      <w:pPr>
        <w:spacing w:line="360" w:lineRule="exact"/>
        <w:jc w:val="left"/>
        <w:rPr>
          <w:rFonts w:ascii="宋体" w:hAnsi="宋体" w:cs="宋体"/>
          <w:bCs/>
          <w:sz w:val="24"/>
          <w:szCs w:val="24"/>
        </w:rPr>
      </w:pPr>
      <w:r>
        <w:rPr>
          <w:rFonts w:hint="eastAsia" w:ascii="宋体" w:hAnsi="宋体" w:cs="宋体"/>
          <w:bCs/>
          <w:sz w:val="24"/>
          <w:szCs w:val="24"/>
        </w:rPr>
        <w:t>法定代表人（负责人）或授权代表（签字）：</w:t>
      </w:r>
    </w:p>
    <w:p>
      <w:pPr>
        <w:spacing w:line="360" w:lineRule="exact"/>
        <w:jc w:val="left"/>
        <w:rPr>
          <w:rFonts w:ascii="宋体" w:hAnsi="宋体" w:cs="宋体"/>
          <w:bCs/>
          <w:sz w:val="24"/>
          <w:szCs w:val="24"/>
        </w:rPr>
      </w:pPr>
      <w:r>
        <w:rPr>
          <w:rFonts w:hint="eastAsia" w:ascii="宋体" w:hAnsi="宋体" w:cs="宋体"/>
          <w:bCs/>
          <w:sz w:val="24"/>
          <w:szCs w:val="24"/>
        </w:rPr>
        <w:t>日期：</w:t>
      </w:r>
      <w:r>
        <w:rPr>
          <w:rFonts w:hint="eastAsia" w:ascii="宋体" w:hAnsi="宋体" w:cs="宋体"/>
          <w:bCs/>
          <w:spacing w:val="-8"/>
          <w:sz w:val="24"/>
          <w:szCs w:val="24"/>
        </w:rPr>
        <w:t>年月日</w:t>
      </w:r>
      <w:r>
        <w:rPr>
          <w:rFonts w:hint="eastAsia" w:ascii="宋体" w:hAnsi="宋体" w:cs="宋体"/>
          <w:bCs/>
          <w:sz w:val="24"/>
          <w:szCs w:val="24"/>
        </w:rPr>
        <w:br w:type="page"/>
      </w:r>
      <w:r>
        <w:rPr>
          <w:rFonts w:hint="eastAsia" w:ascii="宋体" w:hAnsi="宋体" w:cs="宋体"/>
          <w:b/>
          <w:bCs/>
          <w:sz w:val="24"/>
          <w:szCs w:val="24"/>
        </w:rPr>
        <w:t>8.节能产品、环境标志产品明细表</w:t>
      </w:r>
    </w:p>
    <w:p>
      <w:pPr>
        <w:spacing w:line="360" w:lineRule="exact"/>
        <w:jc w:val="center"/>
        <w:rPr>
          <w:rFonts w:ascii="宋体" w:hAnsi="宋体" w:cs="宋体"/>
          <w:b/>
          <w:bCs/>
          <w:sz w:val="24"/>
          <w:szCs w:val="24"/>
        </w:rPr>
      </w:pPr>
    </w:p>
    <w:p>
      <w:pPr>
        <w:spacing w:line="360" w:lineRule="exact"/>
        <w:jc w:val="center"/>
        <w:rPr>
          <w:rFonts w:hint="eastAsia" w:ascii="宋体" w:hAnsi="宋体" w:cs="宋体"/>
          <w:b/>
          <w:bCs/>
          <w:sz w:val="32"/>
          <w:szCs w:val="24"/>
        </w:rPr>
      </w:pPr>
      <w:r>
        <w:rPr>
          <w:rFonts w:hint="eastAsia" w:ascii="宋体" w:hAnsi="宋体" w:cs="宋体"/>
          <w:b/>
          <w:bCs/>
          <w:sz w:val="32"/>
          <w:szCs w:val="24"/>
        </w:rPr>
        <w:t>节能产品明细表</w:t>
      </w:r>
    </w:p>
    <w:p>
      <w:pPr>
        <w:ind w:firstLine="420" w:firstLineChars="200"/>
        <w:rPr>
          <w:rFonts w:ascii="Times New Roman" w:hAnsi="Times New Roman"/>
          <w:szCs w:val="24"/>
        </w:rPr>
      </w:pP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851"/>
        <w:gridCol w:w="850"/>
        <w:gridCol w:w="993"/>
        <w:gridCol w:w="1134"/>
        <w:gridCol w:w="1843"/>
        <w:gridCol w:w="780"/>
        <w:gridCol w:w="720"/>
        <w:gridCol w:w="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70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bCs/>
                <w:sz w:val="24"/>
                <w:szCs w:val="24"/>
              </w:rPr>
            </w:pPr>
            <w:r>
              <w:rPr>
                <w:rFonts w:hint="eastAsia" w:ascii="宋体" w:hAnsi="宋体" w:cs="宋体"/>
                <w:bCs/>
                <w:sz w:val="24"/>
                <w:szCs w:val="24"/>
              </w:rPr>
              <w:t>序号</w:t>
            </w: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bCs/>
                <w:sz w:val="24"/>
                <w:szCs w:val="24"/>
              </w:rPr>
            </w:pPr>
            <w:r>
              <w:rPr>
                <w:rFonts w:hint="eastAsia" w:ascii="宋体" w:hAnsi="宋体" w:cs="宋体"/>
                <w:bCs/>
                <w:sz w:val="24"/>
                <w:szCs w:val="24"/>
              </w:rPr>
              <w:t>设备名称</w:t>
            </w:r>
          </w:p>
        </w:tc>
        <w:tc>
          <w:tcPr>
            <w:tcW w:w="85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bCs/>
                <w:sz w:val="24"/>
                <w:szCs w:val="24"/>
              </w:rPr>
            </w:pPr>
            <w:r>
              <w:rPr>
                <w:rFonts w:hint="eastAsia" w:ascii="宋体" w:hAnsi="宋体" w:cs="宋体"/>
                <w:bCs/>
                <w:sz w:val="24"/>
                <w:szCs w:val="24"/>
              </w:rPr>
              <w:t>品牌</w:t>
            </w:r>
          </w:p>
          <w:p>
            <w:pPr>
              <w:spacing w:line="360" w:lineRule="exact"/>
              <w:jc w:val="center"/>
              <w:rPr>
                <w:rFonts w:ascii="宋体" w:hAnsi="宋体" w:cs="宋体"/>
                <w:bCs/>
                <w:sz w:val="24"/>
                <w:szCs w:val="24"/>
              </w:rPr>
            </w:pPr>
            <w:r>
              <w:rPr>
                <w:rFonts w:hint="eastAsia" w:ascii="宋体" w:hAnsi="宋体" w:cs="宋体"/>
                <w:bCs/>
                <w:sz w:val="24"/>
                <w:szCs w:val="24"/>
              </w:rPr>
              <w:t>型号</w:t>
            </w:r>
          </w:p>
        </w:tc>
        <w:tc>
          <w:tcPr>
            <w:tcW w:w="99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bCs/>
                <w:sz w:val="24"/>
                <w:szCs w:val="24"/>
              </w:rPr>
            </w:pPr>
            <w:r>
              <w:rPr>
                <w:rFonts w:hint="eastAsia" w:ascii="宋体" w:hAnsi="宋体" w:cs="宋体"/>
                <w:bCs/>
                <w:sz w:val="24"/>
                <w:szCs w:val="24"/>
              </w:rPr>
              <w:t>制造商</w:t>
            </w:r>
          </w:p>
          <w:p>
            <w:pPr>
              <w:spacing w:line="360" w:lineRule="exact"/>
              <w:jc w:val="center"/>
              <w:rPr>
                <w:rFonts w:ascii="宋体" w:hAnsi="宋体" w:cs="宋体"/>
                <w:bCs/>
                <w:sz w:val="24"/>
                <w:szCs w:val="24"/>
              </w:rPr>
            </w:pPr>
            <w:r>
              <w:rPr>
                <w:rFonts w:hint="eastAsia" w:ascii="宋体" w:hAnsi="宋体" w:cs="宋体"/>
                <w:bCs/>
                <w:sz w:val="24"/>
                <w:szCs w:val="24"/>
              </w:rPr>
              <w:t>名称</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bCs/>
                <w:sz w:val="24"/>
                <w:szCs w:val="24"/>
              </w:rPr>
            </w:pPr>
            <w:r>
              <w:rPr>
                <w:rFonts w:hint="eastAsia" w:ascii="宋体" w:hAnsi="宋体" w:cs="宋体"/>
                <w:bCs/>
                <w:sz w:val="24"/>
                <w:szCs w:val="24"/>
              </w:rPr>
              <w:t>节字标</w:t>
            </w:r>
          </w:p>
          <w:p>
            <w:pPr>
              <w:spacing w:line="360" w:lineRule="exact"/>
              <w:jc w:val="center"/>
              <w:rPr>
                <w:rFonts w:ascii="宋体" w:hAnsi="宋体" w:cs="宋体"/>
                <w:bCs/>
                <w:sz w:val="24"/>
                <w:szCs w:val="24"/>
              </w:rPr>
            </w:pPr>
            <w:r>
              <w:rPr>
                <w:rFonts w:hint="eastAsia" w:ascii="宋体" w:hAnsi="宋体" w:cs="宋体"/>
                <w:bCs/>
                <w:sz w:val="24"/>
                <w:szCs w:val="24"/>
              </w:rPr>
              <w:t>志认证</w:t>
            </w:r>
          </w:p>
          <w:p>
            <w:pPr>
              <w:spacing w:line="360" w:lineRule="exact"/>
              <w:jc w:val="center"/>
              <w:rPr>
                <w:rFonts w:ascii="宋体" w:hAnsi="宋体" w:cs="宋体"/>
                <w:bCs/>
                <w:sz w:val="24"/>
                <w:szCs w:val="24"/>
              </w:rPr>
            </w:pPr>
            <w:r>
              <w:rPr>
                <w:rFonts w:hint="eastAsia" w:ascii="宋体" w:hAnsi="宋体" w:cs="宋体"/>
                <w:bCs/>
                <w:sz w:val="24"/>
                <w:szCs w:val="24"/>
              </w:rPr>
              <w:t>证书号</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bCs/>
                <w:sz w:val="24"/>
                <w:szCs w:val="24"/>
              </w:rPr>
            </w:pPr>
            <w:r>
              <w:rPr>
                <w:rFonts w:hint="eastAsia" w:ascii="宋体" w:hAnsi="宋体" w:cs="宋体"/>
                <w:bCs/>
                <w:sz w:val="24"/>
                <w:szCs w:val="24"/>
              </w:rPr>
              <w:t>国家节能产品认证证书有效截止日期</w:t>
            </w:r>
          </w:p>
        </w:tc>
        <w:tc>
          <w:tcPr>
            <w:tcW w:w="78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bCs/>
                <w:sz w:val="24"/>
                <w:szCs w:val="24"/>
              </w:rPr>
            </w:pPr>
            <w:r>
              <w:rPr>
                <w:rFonts w:hint="eastAsia" w:ascii="宋体" w:hAnsi="宋体" w:cs="宋体"/>
                <w:bCs/>
                <w:sz w:val="24"/>
                <w:szCs w:val="24"/>
              </w:rPr>
              <w:t>数量</w:t>
            </w:r>
          </w:p>
        </w:tc>
        <w:tc>
          <w:tcPr>
            <w:tcW w:w="72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bCs/>
                <w:sz w:val="24"/>
                <w:szCs w:val="24"/>
              </w:rPr>
            </w:pPr>
            <w:r>
              <w:rPr>
                <w:rFonts w:hint="eastAsia" w:ascii="宋体" w:hAnsi="宋体" w:cs="宋体"/>
                <w:bCs/>
                <w:sz w:val="24"/>
                <w:szCs w:val="24"/>
              </w:rPr>
              <w:t>单价</w:t>
            </w:r>
          </w:p>
        </w:tc>
        <w:tc>
          <w:tcPr>
            <w:tcW w:w="705"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bCs/>
                <w:sz w:val="24"/>
                <w:szCs w:val="24"/>
              </w:rPr>
            </w:pPr>
            <w:r>
              <w:rPr>
                <w:rFonts w:hint="eastAsia" w:ascii="宋体" w:hAnsi="宋体" w:cs="宋体"/>
                <w:bCs/>
                <w:sz w:val="24"/>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851"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850"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993"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780"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851"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850"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993"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780"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851"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850"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993"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780"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r>
    </w:tbl>
    <w:p>
      <w:pPr>
        <w:spacing w:line="360" w:lineRule="exact"/>
        <w:jc w:val="left"/>
        <w:rPr>
          <w:rFonts w:ascii="宋体" w:hAnsi="宋体" w:cs="宋体"/>
          <w:bCs/>
          <w:sz w:val="24"/>
          <w:szCs w:val="24"/>
        </w:rPr>
      </w:pPr>
      <w:r>
        <w:rPr>
          <w:rFonts w:hint="eastAsia" w:ascii="宋体" w:hAnsi="宋体" w:cs="宋体"/>
          <w:bCs/>
          <w:sz w:val="24"/>
          <w:szCs w:val="24"/>
        </w:rPr>
        <w:t xml:space="preserve">法定代表人（负责人）或被授权人（签字或盖章）： </w:t>
      </w:r>
    </w:p>
    <w:p>
      <w:pPr>
        <w:spacing w:line="360" w:lineRule="exact"/>
        <w:jc w:val="left"/>
        <w:rPr>
          <w:rFonts w:ascii="宋体" w:hAnsi="宋体" w:cs="宋体"/>
          <w:bCs/>
          <w:sz w:val="24"/>
          <w:szCs w:val="24"/>
        </w:rPr>
      </w:pPr>
      <w:r>
        <w:rPr>
          <w:rFonts w:hint="eastAsia" w:ascii="宋体" w:hAnsi="宋体" w:cs="宋体"/>
          <w:bCs/>
          <w:sz w:val="24"/>
          <w:szCs w:val="24"/>
        </w:rPr>
        <w:t xml:space="preserve">投标人（盖章）： </w:t>
      </w:r>
    </w:p>
    <w:p>
      <w:pPr>
        <w:spacing w:line="360" w:lineRule="exact"/>
        <w:jc w:val="left"/>
        <w:rPr>
          <w:rFonts w:ascii="宋体" w:hAnsi="宋体" w:cs="宋体"/>
          <w:b/>
          <w:bCs/>
          <w:sz w:val="24"/>
          <w:szCs w:val="24"/>
        </w:rPr>
      </w:pPr>
      <w:r>
        <w:rPr>
          <w:rFonts w:hint="eastAsia" w:ascii="宋体" w:hAnsi="宋体" w:cs="宋体"/>
          <w:bCs/>
          <w:sz w:val="24"/>
          <w:szCs w:val="24"/>
        </w:rPr>
        <w:t>日期：</w:t>
      </w:r>
      <w:r>
        <w:rPr>
          <w:rFonts w:hint="eastAsia" w:ascii="宋体" w:hAnsi="宋体" w:cs="宋体"/>
          <w:bCs/>
          <w:spacing w:val="-8"/>
          <w:sz w:val="24"/>
          <w:szCs w:val="24"/>
        </w:rPr>
        <w:t>年月日</w:t>
      </w:r>
    </w:p>
    <w:p>
      <w:pPr>
        <w:spacing w:line="360" w:lineRule="exact"/>
        <w:jc w:val="center"/>
        <w:rPr>
          <w:rFonts w:hint="eastAsia" w:ascii="宋体" w:hAnsi="宋体" w:cs="宋体"/>
          <w:b/>
          <w:bCs/>
          <w:sz w:val="24"/>
          <w:szCs w:val="24"/>
        </w:rPr>
      </w:pPr>
    </w:p>
    <w:p>
      <w:pPr>
        <w:spacing w:line="360" w:lineRule="exact"/>
        <w:jc w:val="center"/>
        <w:rPr>
          <w:rFonts w:ascii="宋体" w:hAnsi="宋体" w:cs="宋体"/>
          <w:b/>
          <w:bCs/>
          <w:sz w:val="32"/>
          <w:szCs w:val="24"/>
        </w:rPr>
      </w:pPr>
      <w:r>
        <w:rPr>
          <w:rFonts w:hint="eastAsia" w:ascii="宋体" w:hAnsi="宋体" w:cs="宋体"/>
          <w:b/>
          <w:bCs/>
          <w:sz w:val="32"/>
          <w:szCs w:val="24"/>
        </w:rPr>
        <w:t>环境标志产品明细表</w:t>
      </w:r>
    </w:p>
    <w:p>
      <w:pPr>
        <w:spacing w:line="360" w:lineRule="exact"/>
        <w:jc w:val="left"/>
        <w:rPr>
          <w:rFonts w:ascii="宋体" w:hAnsi="宋体" w:cs="宋体"/>
          <w:bCs/>
          <w:sz w:val="24"/>
          <w:szCs w:val="24"/>
        </w:rPr>
      </w:pPr>
    </w:p>
    <w:tbl>
      <w:tblPr>
        <w:tblStyle w:val="28"/>
        <w:tblW w:w="92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708"/>
        <w:gridCol w:w="709"/>
        <w:gridCol w:w="992"/>
        <w:gridCol w:w="1843"/>
        <w:gridCol w:w="1680"/>
        <w:gridCol w:w="855"/>
        <w:gridCol w:w="1065"/>
        <w:gridCol w:w="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trPr>
        <w:tc>
          <w:tcPr>
            <w:tcW w:w="53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bCs/>
                <w:sz w:val="24"/>
                <w:szCs w:val="24"/>
              </w:rPr>
            </w:pPr>
            <w:r>
              <w:rPr>
                <w:rFonts w:hint="eastAsia" w:ascii="宋体" w:hAnsi="宋体" w:cs="宋体"/>
                <w:bCs/>
                <w:sz w:val="24"/>
                <w:szCs w:val="24"/>
              </w:rPr>
              <w:t>序号</w:t>
            </w:r>
          </w:p>
        </w:tc>
        <w:tc>
          <w:tcPr>
            <w:tcW w:w="708"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bCs/>
                <w:sz w:val="24"/>
                <w:szCs w:val="24"/>
              </w:rPr>
            </w:pPr>
            <w:r>
              <w:rPr>
                <w:rFonts w:hint="eastAsia" w:ascii="宋体" w:hAnsi="宋体" w:cs="宋体"/>
                <w:bCs/>
                <w:sz w:val="24"/>
                <w:szCs w:val="24"/>
              </w:rPr>
              <w:t>设备名称</w:t>
            </w: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bCs/>
                <w:sz w:val="24"/>
                <w:szCs w:val="24"/>
              </w:rPr>
            </w:pPr>
            <w:r>
              <w:rPr>
                <w:rFonts w:hint="eastAsia" w:ascii="宋体" w:hAnsi="宋体" w:cs="宋体"/>
                <w:bCs/>
                <w:sz w:val="24"/>
                <w:szCs w:val="24"/>
              </w:rPr>
              <w:t>品牌</w:t>
            </w:r>
          </w:p>
          <w:p>
            <w:pPr>
              <w:spacing w:line="360" w:lineRule="exact"/>
              <w:jc w:val="center"/>
              <w:rPr>
                <w:rFonts w:ascii="宋体" w:hAnsi="宋体" w:cs="宋体"/>
                <w:bCs/>
                <w:sz w:val="24"/>
                <w:szCs w:val="24"/>
              </w:rPr>
            </w:pPr>
            <w:r>
              <w:rPr>
                <w:rFonts w:hint="eastAsia" w:ascii="宋体" w:hAnsi="宋体" w:cs="宋体"/>
                <w:bCs/>
                <w:sz w:val="24"/>
                <w:szCs w:val="24"/>
              </w:rPr>
              <w:t>型号</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bCs/>
                <w:sz w:val="24"/>
                <w:szCs w:val="24"/>
              </w:rPr>
            </w:pPr>
            <w:r>
              <w:rPr>
                <w:rFonts w:hint="eastAsia" w:ascii="宋体" w:hAnsi="宋体" w:cs="宋体"/>
                <w:bCs/>
                <w:sz w:val="24"/>
                <w:szCs w:val="24"/>
              </w:rPr>
              <w:t>制造商</w:t>
            </w:r>
          </w:p>
          <w:p>
            <w:pPr>
              <w:spacing w:line="360" w:lineRule="exact"/>
              <w:jc w:val="center"/>
              <w:rPr>
                <w:rFonts w:ascii="宋体" w:hAnsi="宋体" w:cs="宋体"/>
                <w:bCs/>
                <w:sz w:val="24"/>
                <w:szCs w:val="24"/>
              </w:rPr>
            </w:pPr>
            <w:r>
              <w:rPr>
                <w:rFonts w:hint="eastAsia" w:ascii="宋体" w:hAnsi="宋体" w:cs="宋体"/>
                <w:bCs/>
                <w:sz w:val="24"/>
                <w:szCs w:val="24"/>
              </w:rPr>
              <w:t>名称</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bCs/>
                <w:sz w:val="24"/>
                <w:szCs w:val="24"/>
              </w:rPr>
            </w:pPr>
            <w:r>
              <w:rPr>
                <w:rFonts w:hint="eastAsia" w:ascii="宋体" w:hAnsi="宋体" w:cs="宋体"/>
                <w:bCs/>
                <w:sz w:val="24"/>
                <w:szCs w:val="24"/>
              </w:rPr>
              <w:t>中国环境标志认证证书编号</w:t>
            </w:r>
          </w:p>
        </w:tc>
        <w:tc>
          <w:tcPr>
            <w:tcW w:w="168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bCs/>
                <w:sz w:val="24"/>
                <w:szCs w:val="24"/>
              </w:rPr>
            </w:pPr>
            <w:r>
              <w:rPr>
                <w:rFonts w:hint="eastAsia" w:ascii="宋体" w:hAnsi="宋体" w:cs="宋体"/>
                <w:bCs/>
                <w:sz w:val="24"/>
                <w:szCs w:val="24"/>
              </w:rPr>
              <w:t>认证证书有效截止日期</w:t>
            </w:r>
          </w:p>
        </w:tc>
        <w:tc>
          <w:tcPr>
            <w:tcW w:w="855"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bCs/>
                <w:sz w:val="24"/>
                <w:szCs w:val="24"/>
              </w:rPr>
            </w:pPr>
            <w:r>
              <w:rPr>
                <w:rFonts w:hint="eastAsia" w:ascii="宋体" w:hAnsi="宋体" w:cs="宋体"/>
                <w:bCs/>
                <w:sz w:val="24"/>
                <w:szCs w:val="24"/>
              </w:rPr>
              <w:t>数量</w:t>
            </w:r>
          </w:p>
        </w:tc>
        <w:tc>
          <w:tcPr>
            <w:tcW w:w="1065"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bCs/>
                <w:sz w:val="24"/>
                <w:szCs w:val="24"/>
              </w:rPr>
            </w:pPr>
            <w:r>
              <w:rPr>
                <w:rFonts w:hint="eastAsia" w:ascii="宋体" w:hAnsi="宋体" w:cs="宋体"/>
                <w:bCs/>
                <w:sz w:val="24"/>
                <w:szCs w:val="24"/>
              </w:rPr>
              <w:t>单价</w:t>
            </w:r>
          </w:p>
        </w:tc>
        <w:tc>
          <w:tcPr>
            <w:tcW w:w="87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bCs/>
                <w:sz w:val="24"/>
                <w:szCs w:val="24"/>
              </w:rPr>
            </w:pPr>
            <w:r>
              <w:rPr>
                <w:rFonts w:hint="eastAsia" w:ascii="宋体" w:hAnsi="宋体" w:cs="宋体"/>
                <w:bCs/>
                <w:sz w:val="24"/>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708"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70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992"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680"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855"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065"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708"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70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992"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680"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855"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065"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708"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709"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992"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680"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855"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1065"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ascii="宋体" w:hAnsi="宋体" w:cs="宋体"/>
                <w:bCs/>
                <w:sz w:val="24"/>
                <w:szCs w:val="24"/>
              </w:rPr>
            </w:pPr>
          </w:p>
        </w:tc>
      </w:tr>
    </w:tbl>
    <w:p>
      <w:pPr>
        <w:spacing w:line="360" w:lineRule="exact"/>
        <w:jc w:val="left"/>
        <w:rPr>
          <w:rFonts w:ascii="宋体" w:hAnsi="宋体" w:cs="宋体"/>
          <w:bCs/>
          <w:sz w:val="24"/>
          <w:szCs w:val="24"/>
        </w:rPr>
      </w:pPr>
      <w:r>
        <w:rPr>
          <w:rFonts w:hint="eastAsia" w:ascii="宋体" w:hAnsi="宋体" w:cs="宋体"/>
          <w:bCs/>
          <w:sz w:val="24"/>
          <w:szCs w:val="24"/>
        </w:rPr>
        <w:t xml:space="preserve">法定代表人（负责人）或被授权人（签字或盖章）： </w:t>
      </w:r>
    </w:p>
    <w:p>
      <w:pPr>
        <w:spacing w:line="360" w:lineRule="exact"/>
        <w:jc w:val="left"/>
        <w:rPr>
          <w:rFonts w:ascii="宋体" w:hAnsi="宋体" w:cs="宋体"/>
          <w:bCs/>
          <w:sz w:val="24"/>
          <w:szCs w:val="24"/>
        </w:rPr>
      </w:pPr>
      <w:r>
        <w:rPr>
          <w:rFonts w:hint="eastAsia" w:ascii="宋体" w:hAnsi="宋体" w:cs="宋体"/>
          <w:bCs/>
          <w:sz w:val="24"/>
          <w:szCs w:val="24"/>
        </w:rPr>
        <w:t xml:space="preserve">投标人（盖章）： </w:t>
      </w:r>
    </w:p>
    <w:p>
      <w:pPr>
        <w:spacing w:line="360" w:lineRule="exact"/>
        <w:jc w:val="left"/>
        <w:rPr>
          <w:rFonts w:ascii="宋体" w:hAnsi="宋体" w:cs="宋体"/>
          <w:b/>
          <w:bCs/>
          <w:sz w:val="24"/>
          <w:szCs w:val="24"/>
        </w:rPr>
      </w:pPr>
      <w:r>
        <w:rPr>
          <w:rFonts w:hint="eastAsia" w:ascii="宋体" w:hAnsi="宋体" w:cs="宋体"/>
          <w:bCs/>
          <w:sz w:val="24"/>
          <w:szCs w:val="24"/>
        </w:rPr>
        <w:t>日期：</w:t>
      </w:r>
      <w:r>
        <w:rPr>
          <w:rFonts w:hint="eastAsia" w:ascii="宋体" w:hAnsi="宋体" w:cs="宋体"/>
          <w:bCs/>
          <w:spacing w:val="-8"/>
          <w:sz w:val="24"/>
          <w:szCs w:val="24"/>
        </w:rPr>
        <w:t>年月日</w:t>
      </w:r>
    </w:p>
    <w:p>
      <w:pPr>
        <w:spacing w:line="360" w:lineRule="exact"/>
        <w:jc w:val="left"/>
        <w:rPr>
          <w:rFonts w:ascii="宋体" w:hAnsi="宋体" w:cs="宋体"/>
          <w:bCs/>
          <w:sz w:val="24"/>
          <w:szCs w:val="24"/>
        </w:rPr>
      </w:pPr>
    </w:p>
    <w:p>
      <w:pPr>
        <w:spacing w:line="360" w:lineRule="exact"/>
        <w:rPr>
          <w:rFonts w:ascii="宋体" w:hAnsi="宋体" w:cs="宋体"/>
          <w:bCs/>
          <w:sz w:val="24"/>
          <w:szCs w:val="24"/>
        </w:rPr>
      </w:pPr>
      <w:r>
        <w:rPr>
          <w:rFonts w:hint="eastAsia" w:ascii="宋体" w:hAnsi="宋体" w:cs="宋体"/>
          <w:bCs/>
          <w:sz w:val="24"/>
          <w:szCs w:val="24"/>
        </w:rPr>
        <w:t xml:space="preserve">填报要求： </w:t>
      </w:r>
    </w:p>
    <w:p>
      <w:pPr>
        <w:spacing w:line="360" w:lineRule="exact"/>
        <w:rPr>
          <w:rFonts w:ascii="宋体" w:hAnsi="宋体" w:cs="宋体"/>
          <w:bCs/>
          <w:sz w:val="24"/>
          <w:szCs w:val="24"/>
        </w:rPr>
      </w:pPr>
      <w:r>
        <w:rPr>
          <w:rFonts w:hint="eastAsia" w:ascii="宋体" w:hAnsi="宋体" w:cs="宋体"/>
          <w:bCs/>
          <w:sz w:val="24"/>
          <w:szCs w:val="24"/>
        </w:rPr>
        <w:t xml:space="preserve">1. 本表的设备名称、品牌型号、金额应与货物分项报价一览表一致。 </w:t>
      </w:r>
    </w:p>
    <w:p>
      <w:pPr>
        <w:spacing w:line="360" w:lineRule="exact"/>
        <w:rPr>
          <w:rFonts w:ascii="宋体" w:hAnsi="宋体" w:cs="宋体"/>
          <w:bCs/>
          <w:sz w:val="24"/>
          <w:szCs w:val="24"/>
        </w:rPr>
      </w:pPr>
      <w:r>
        <w:rPr>
          <w:rFonts w:hint="eastAsia" w:ascii="宋体" w:hAnsi="宋体" w:cs="宋体"/>
          <w:bCs/>
          <w:sz w:val="24"/>
          <w:szCs w:val="24"/>
        </w:rPr>
        <w:t xml:space="preserve">2. 节能产品是指财政部和国家发展和改革委员会公布的《节能产品政府采购品目清单》中的产品。投标人须在投标文件中附该产品节能证书，否则评标委员会有权不予认可。 </w:t>
      </w:r>
    </w:p>
    <w:p>
      <w:pPr>
        <w:spacing w:line="360" w:lineRule="exact"/>
        <w:rPr>
          <w:rFonts w:ascii="宋体" w:hAnsi="宋体" w:cs="宋体"/>
          <w:bCs/>
          <w:sz w:val="24"/>
          <w:szCs w:val="24"/>
        </w:rPr>
      </w:pPr>
      <w:r>
        <w:rPr>
          <w:rFonts w:hint="eastAsia" w:ascii="宋体" w:hAnsi="宋体" w:cs="宋体"/>
          <w:bCs/>
          <w:sz w:val="24"/>
          <w:szCs w:val="24"/>
        </w:rPr>
        <w:t xml:space="preserve">3. 环境标志产品是指财政部、生态环境部发布的《环境标志产品政府采购品目清单》中的产品。投标人须在投标文件中附该产品环保证书，否则评委委员会有权不予认可。 </w:t>
      </w:r>
    </w:p>
    <w:p>
      <w:pPr>
        <w:spacing w:line="360" w:lineRule="exact"/>
        <w:rPr>
          <w:rFonts w:ascii="宋体" w:hAnsi="宋体" w:cs="宋体"/>
          <w:bCs/>
          <w:sz w:val="24"/>
          <w:szCs w:val="24"/>
        </w:rPr>
      </w:pPr>
      <w:r>
        <w:rPr>
          <w:rFonts w:hint="eastAsia" w:ascii="宋体" w:hAnsi="宋体" w:cs="宋体"/>
          <w:bCs/>
          <w:sz w:val="24"/>
          <w:szCs w:val="24"/>
        </w:rPr>
        <w:t xml:space="preserve">4. 请投标人正确填写本表，所填内容将作为评审的依据。其内容或数据应与对应的证明资料相符。 </w:t>
      </w:r>
    </w:p>
    <w:p>
      <w:pPr>
        <w:spacing w:line="360" w:lineRule="exact"/>
        <w:rPr>
          <w:rFonts w:ascii="宋体" w:hAnsi="宋体" w:cs="宋体"/>
          <w:bCs/>
          <w:spacing w:val="-3"/>
          <w:sz w:val="36"/>
          <w:szCs w:val="36"/>
        </w:rPr>
      </w:pPr>
      <w:r>
        <w:rPr>
          <w:rFonts w:hint="eastAsia" w:ascii="宋体" w:hAnsi="宋体" w:cs="宋体"/>
          <w:bCs/>
          <w:sz w:val="24"/>
          <w:szCs w:val="24"/>
        </w:rPr>
        <w:t>5. 没有相关产品可不提供本表。</w:t>
      </w:r>
    </w:p>
    <w:p>
      <w:pPr>
        <w:spacing w:line="360" w:lineRule="exact"/>
        <w:jc w:val="left"/>
        <w:rPr>
          <w:rFonts w:ascii="宋体" w:hAnsi="宋体" w:cs="宋体"/>
          <w:bCs/>
          <w:sz w:val="24"/>
          <w:szCs w:val="24"/>
        </w:rPr>
      </w:pPr>
      <w:r>
        <w:rPr>
          <w:rFonts w:hint="eastAsia" w:ascii="宋体" w:hAnsi="宋体" w:cs="宋体"/>
          <w:bCs/>
          <w:sz w:val="24"/>
          <w:szCs w:val="24"/>
        </w:rPr>
        <w:br w:type="page"/>
      </w:r>
      <w:r>
        <w:rPr>
          <w:rFonts w:hint="eastAsia" w:ascii="宋体" w:hAnsi="宋体" w:cs="宋体"/>
          <w:b/>
          <w:bCs/>
          <w:sz w:val="24"/>
          <w:szCs w:val="24"/>
        </w:rPr>
        <w:t>9.中小企业、监狱企业或残疾人福利性单位声明函</w:t>
      </w:r>
      <w:r>
        <w:rPr>
          <w:rFonts w:hint="eastAsia" w:ascii="宋体" w:hAnsi="宋体" w:cs="宋体"/>
          <w:bCs/>
          <w:sz w:val="24"/>
          <w:szCs w:val="24"/>
        </w:rPr>
        <w:t>（对于专门面向中小企业采购的项目必须提供，不专门面向的项目可选择提供）</w:t>
      </w:r>
    </w:p>
    <w:p>
      <w:pPr>
        <w:spacing w:line="500" w:lineRule="exact"/>
        <w:ind w:firstLine="428" w:firstLineChars="200"/>
        <w:jc w:val="center"/>
        <w:rPr>
          <w:rFonts w:ascii="宋体" w:hAnsi="宋体" w:cs="宋体"/>
          <w:bCs/>
          <w:spacing w:val="-13"/>
          <w:sz w:val="24"/>
          <w:szCs w:val="24"/>
        </w:rPr>
      </w:pPr>
    </w:p>
    <w:p>
      <w:pPr>
        <w:spacing w:line="500" w:lineRule="exact"/>
        <w:ind w:firstLine="588" w:firstLineChars="200"/>
        <w:jc w:val="center"/>
        <w:rPr>
          <w:rFonts w:ascii="宋体" w:hAnsi="宋体" w:cs="宋体"/>
          <w:b/>
          <w:bCs/>
          <w:spacing w:val="-13"/>
          <w:sz w:val="32"/>
          <w:szCs w:val="24"/>
        </w:rPr>
      </w:pPr>
      <w:r>
        <w:rPr>
          <w:rFonts w:hint="eastAsia" w:ascii="宋体" w:hAnsi="宋体" w:cs="宋体"/>
          <w:b/>
          <w:bCs/>
          <w:spacing w:val="-13"/>
          <w:sz w:val="32"/>
          <w:szCs w:val="24"/>
        </w:rPr>
        <w:t>中小企业声明函（货物）</w:t>
      </w:r>
      <w:r>
        <w:rPr>
          <w:rFonts w:hint="eastAsia" w:ascii="宋体" w:hAnsi="宋体" w:eastAsia="宋体" w:cs="宋体"/>
          <w:b/>
          <w:bCs/>
          <w:spacing w:val="-13"/>
          <w:sz w:val="32"/>
          <w:szCs w:val="24"/>
          <w:lang w:val="en-US" w:eastAsia="zh-CN"/>
        </w:rPr>
        <w:t xml:space="preserve">  </w:t>
      </w:r>
      <w:r>
        <w:rPr>
          <w:rFonts w:hint="eastAsia" w:ascii="宋体" w:hAnsi="宋体" w:cs="宋体"/>
          <w:b/>
          <w:bCs/>
          <w:spacing w:val="-13"/>
          <w:sz w:val="32"/>
          <w:szCs w:val="24"/>
        </w:rPr>
        <w:t>格式</w:t>
      </w:r>
    </w:p>
    <w:p>
      <w:pPr>
        <w:spacing w:line="360" w:lineRule="exact"/>
        <w:jc w:val="left"/>
        <w:rPr>
          <w:rFonts w:ascii="宋体" w:hAnsi="宋体" w:cs="宋体"/>
          <w:bCs/>
          <w:sz w:val="24"/>
          <w:szCs w:val="24"/>
        </w:rPr>
      </w:pPr>
    </w:p>
    <w:p>
      <w:pPr>
        <w:widowControl/>
        <w:kinsoku w:val="0"/>
        <w:autoSpaceDE w:val="0"/>
        <w:autoSpaceDN w:val="0"/>
        <w:adjustRightInd w:val="0"/>
        <w:snapToGrid w:val="0"/>
        <w:spacing w:line="500" w:lineRule="exact"/>
        <w:ind w:firstLine="480" w:firstLineChars="200"/>
        <w:textAlignment w:val="baseline"/>
        <w:rPr>
          <w:rFonts w:ascii="宋体" w:hAnsi="宋体" w:eastAsia="Arial" w:cs="宋体"/>
          <w:snapToGrid w:val="0"/>
          <w:color w:val="000000"/>
          <w:kern w:val="0"/>
          <w:sz w:val="24"/>
          <w:szCs w:val="24"/>
        </w:rPr>
      </w:pPr>
      <w:r>
        <w:rPr>
          <w:rFonts w:hint="eastAsia" w:ascii="宋体" w:hAnsi="宋体" w:cs="宋体"/>
          <w:snapToGrid w:val="0"/>
          <w:color w:val="000000"/>
          <w:kern w:val="0"/>
          <w:sz w:val="24"/>
          <w:szCs w:val="24"/>
        </w:rPr>
        <w:t>本公司（联合体）郑重声明，根据《政府采购促进中小企业发展管理办法》（财库﹝</w:t>
      </w:r>
      <w:r>
        <w:rPr>
          <w:rFonts w:hint="eastAsia" w:ascii="宋体" w:hAnsi="宋体" w:eastAsia="Arial" w:cs="宋体"/>
          <w:snapToGrid w:val="0"/>
          <w:color w:val="000000"/>
          <w:kern w:val="0"/>
          <w:sz w:val="24"/>
          <w:szCs w:val="24"/>
        </w:rPr>
        <w:t>2020</w:t>
      </w:r>
      <w:r>
        <w:rPr>
          <w:rFonts w:hint="eastAsia" w:ascii="宋体" w:hAnsi="宋体" w:cs="宋体"/>
          <w:snapToGrid w:val="0"/>
          <w:color w:val="000000"/>
          <w:kern w:val="0"/>
          <w:sz w:val="24"/>
          <w:szCs w:val="24"/>
        </w:rPr>
        <w:t>﹞</w:t>
      </w:r>
      <w:r>
        <w:rPr>
          <w:rFonts w:hint="eastAsia" w:ascii="宋体" w:hAnsi="宋体" w:eastAsia="Arial" w:cs="宋体"/>
          <w:snapToGrid w:val="0"/>
          <w:color w:val="000000"/>
          <w:kern w:val="0"/>
          <w:sz w:val="24"/>
          <w:szCs w:val="24"/>
        </w:rPr>
        <w:t xml:space="preserve">46 </w:t>
      </w:r>
      <w:r>
        <w:rPr>
          <w:rFonts w:hint="eastAsia" w:ascii="宋体" w:hAnsi="宋体" w:cs="宋体"/>
          <w:snapToGrid w:val="0"/>
          <w:color w:val="000000"/>
          <w:kern w:val="0"/>
          <w:sz w:val="24"/>
          <w:szCs w:val="24"/>
        </w:rPr>
        <w:t>号）的规定，本公司（联合体）参加</w:t>
      </w:r>
      <w:r>
        <w:rPr>
          <w:rFonts w:hint="eastAsia" w:ascii="宋体" w:hAnsi="宋体" w:cs="宋体"/>
          <w:snapToGrid w:val="0"/>
          <w:color w:val="000000"/>
          <w:kern w:val="0"/>
          <w:sz w:val="24"/>
          <w:szCs w:val="24"/>
          <w:u w:val="single"/>
        </w:rPr>
        <w:t>（单位名称）</w:t>
      </w:r>
      <w:r>
        <w:rPr>
          <w:rFonts w:hint="eastAsia" w:ascii="宋体" w:hAnsi="宋体" w:cs="宋体"/>
          <w:snapToGrid w:val="0"/>
          <w:color w:val="000000"/>
          <w:kern w:val="0"/>
          <w:sz w:val="24"/>
          <w:szCs w:val="24"/>
        </w:rPr>
        <w:t>的</w:t>
      </w:r>
      <w:r>
        <w:rPr>
          <w:rFonts w:hint="eastAsia" w:ascii="宋体" w:hAnsi="宋体" w:cs="宋体"/>
          <w:snapToGrid w:val="0"/>
          <w:color w:val="000000"/>
          <w:kern w:val="0"/>
          <w:sz w:val="24"/>
          <w:szCs w:val="24"/>
          <w:u w:val="single"/>
        </w:rPr>
        <w:t>（项目名称）</w:t>
      </w:r>
      <w:r>
        <w:rPr>
          <w:rFonts w:hint="eastAsia" w:ascii="宋体" w:hAnsi="宋体" w:cs="宋体"/>
          <w:snapToGrid w:val="0"/>
          <w:color w:val="000000"/>
          <w:kern w:val="0"/>
          <w:sz w:val="24"/>
          <w:szCs w:val="24"/>
        </w:rPr>
        <w:t>采购活动，提供的货物全部由符合政策要求的中小企业制造。相关企业（含联合体中的中小企业，签订分包意向协议的中小企业）的具体情况如下：</w:t>
      </w:r>
    </w:p>
    <w:p>
      <w:pPr>
        <w:widowControl/>
        <w:numPr>
          <w:ilvl w:val="0"/>
          <w:numId w:val="2"/>
        </w:numPr>
        <w:kinsoku w:val="0"/>
        <w:topLinePunct/>
        <w:autoSpaceDE w:val="0"/>
        <w:autoSpaceDN w:val="0"/>
        <w:adjustRightInd w:val="0"/>
        <w:snapToGrid w:val="0"/>
        <w:spacing w:after="200" w:line="500" w:lineRule="exact"/>
        <w:ind w:firstLine="480" w:firstLineChars="200"/>
        <w:textAlignment w:val="baseline"/>
        <w:rPr>
          <w:rFonts w:ascii="宋体" w:hAnsi="宋体" w:eastAsia="Arial" w:cs="宋体"/>
          <w:snapToGrid w:val="0"/>
          <w:color w:val="000000"/>
          <w:kern w:val="0"/>
          <w:sz w:val="24"/>
          <w:szCs w:val="24"/>
        </w:rPr>
      </w:pPr>
      <w:r>
        <w:rPr>
          <w:rFonts w:hint="eastAsia" w:ascii="宋体" w:hAnsi="宋体" w:cs="宋体"/>
          <w:snapToGrid w:val="0"/>
          <w:color w:val="000000"/>
          <w:kern w:val="0"/>
          <w:sz w:val="24"/>
          <w:szCs w:val="24"/>
          <w:u w:val="single"/>
        </w:rPr>
        <w:t>（标的名称）</w:t>
      </w:r>
      <w:r>
        <w:rPr>
          <w:rFonts w:hint="eastAsia" w:ascii="宋体" w:hAnsi="宋体" w:cs="宋体"/>
          <w:snapToGrid w:val="0"/>
          <w:color w:val="000000"/>
          <w:kern w:val="0"/>
          <w:sz w:val="24"/>
          <w:szCs w:val="24"/>
        </w:rPr>
        <w:t>，属于</w:t>
      </w:r>
      <w:r>
        <w:rPr>
          <w:rFonts w:hint="eastAsia" w:ascii="宋体" w:hAnsi="宋体" w:cs="宋体"/>
          <w:snapToGrid w:val="0"/>
          <w:color w:val="000000"/>
          <w:kern w:val="0"/>
          <w:sz w:val="24"/>
          <w:szCs w:val="24"/>
          <w:u w:val="single"/>
        </w:rPr>
        <w:t>（采购文件中明确的所属行业）行业；</w:t>
      </w:r>
      <w:r>
        <w:rPr>
          <w:rFonts w:hint="eastAsia" w:ascii="宋体" w:hAnsi="宋体" w:cs="宋体"/>
          <w:snapToGrid w:val="0"/>
          <w:color w:val="000000"/>
          <w:kern w:val="0"/>
          <w:sz w:val="24"/>
          <w:szCs w:val="24"/>
        </w:rPr>
        <w:t>制造商为</w:t>
      </w:r>
      <w:r>
        <w:rPr>
          <w:rFonts w:hint="eastAsia" w:ascii="宋体" w:hAnsi="宋体" w:cs="宋体"/>
          <w:snapToGrid w:val="0"/>
          <w:color w:val="000000"/>
          <w:kern w:val="0"/>
          <w:sz w:val="24"/>
          <w:szCs w:val="24"/>
          <w:u w:val="single"/>
        </w:rPr>
        <w:t>（企业名称），</w:t>
      </w:r>
      <w:r>
        <w:rPr>
          <w:rFonts w:hint="eastAsia" w:ascii="宋体" w:hAnsi="宋体" w:cs="宋体"/>
          <w:snapToGrid w:val="0"/>
          <w:color w:val="000000"/>
          <w:kern w:val="0"/>
          <w:sz w:val="24"/>
          <w:szCs w:val="24"/>
        </w:rPr>
        <w:t>从业人员</w:t>
      </w:r>
      <w:r>
        <w:rPr>
          <w:rFonts w:hint="eastAsia" w:ascii="宋体" w:hAnsi="宋体" w:eastAsia="Arial" w:cs="宋体"/>
          <w:snapToGrid w:val="0"/>
          <w:color w:val="000000"/>
          <w:kern w:val="0"/>
          <w:sz w:val="24"/>
          <w:szCs w:val="24"/>
          <w:u w:val="single"/>
        </w:rPr>
        <w:t xml:space="preserve">    </w:t>
      </w:r>
      <w:r>
        <w:rPr>
          <w:rFonts w:hint="eastAsia" w:ascii="宋体" w:hAnsi="宋体" w:cs="宋体"/>
          <w:snapToGrid w:val="0"/>
          <w:color w:val="000000"/>
          <w:kern w:val="0"/>
          <w:sz w:val="24"/>
          <w:szCs w:val="24"/>
        </w:rPr>
        <w:t>人，营业收入为</w:t>
      </w:r>
      <w:r>
        <w:rPr>
          <w:rFonts w:hint="eastAsia" w:ascii="宋体" w:hAnsi="宋体" w:eastAsia="Arial" w:cs="宋体"/>
          <w:snapToGrid w:val="0"/>
          <w:color w:val="000000"/>
          <w:kern w:val="0"/>
          <w:sz w:val="24"/>
          <w:szCs w:val="24"/>
          <w:u w:val="single"/>
        </w:rPr>
        <w:t xml:space="preserve">   </w:t>
      </w:r>
      <w:r>
        <w:rPr>
          <w:rFonts w:hint="eastAsia" w:ascii="宋体" w:hAnsi="宋体" w:cs="宋体"/>
          <w:snapToGrid w:val="0"/>
          <w:color w:val="000000"/>
          <w:kern w:val="0"/>
          <w:sz w:val="24"/>
          <w:szCs w:val="24"/>
        </w:rPr>
        <w:t>万元，资产总额为</w:t>
      </w:r>
      <w:r>
        <w:rPr>
          <w:rFonts w:hint="eastAsia" w:ascii="宋体" w:hAnsi="宋体" w:eastAsia="Arial" w:cs="宋体"/>
          <w:snapToGrid w:val="0"/>
          <w:color w:val="000000"/>
          <w:kern w:val="0"/>
          <w:sz w:val="24"/>
          <w:szCs w:val="24"/>
          <w:u w:val="single"/>
        </w:rPr>
        <w:t xml:space="preserve">    </w:t>
      </w:r>
      <w:r>
        <w:rPr>
          <w:rFonts w:hint="eastAsia" w:ascii="宋体" w:hAnsi="宋体" w:cs="宋体"/>
          <w:snapToGrid w:val="0"/>
          <w:color w:val="000000"/>
          <w:kern w:val="0"/>
          <w:sz w:val="24"/>
          <w:szCs w:val="24"/>
        </w:rPr>
        <w:t>万元，属于（</w:t>
      </w:r>
      <w:r>
        <w:rPr>
          <w:rFonts w:hint="eastAsia" w:ascii="宋体" w:hAnsi="宋体" w:cs="宋体"/>
          <w:snapToGrid w:val="0"/>
          <w:color w:val="000000"/>
          <w:kern w:val="0"/>
          <w:sz w:val="24"/>
          <w:szCs w:val="24"/>
          <w:u w:val="single"/>
        </w:rPr>
        <w:t>中型企业、小型企业、微型企业</w:t>
      </w:r>
      <w:r>
        <w:rPr>
          <w:rFonts w:hint="eastAsia" w:ascii="宋体" w:hAnsi="宋体" w:cs="宋体"/>
          <w:snapToGrid w:val="0"/>
          <w:color w:val="000000"/>
          <w:kern w:val="0"/>
          <w:sz w:val="24"/>
          <w:szCs w:val="24"/>
        </w:rPr>
        <w:t>）；</w:t>
      </w:r>
    </w:p>
    <w:p>
      <w:pPr>
        <w:widowControl/>
        <w:numPr>
          <w:ilvl w:val="0"/>
          <w:numId w:val="2"/>
        </w:numPr>
        <w:kinsoku w:val="0"/>
        <w:topLinePunct/>
        <w:autoSpaceDE w:val="0"/>
        <w:autoSpaceDN w:val="0"/>
        <w:adjustRightInd w:val="0"/>
        <w:snapToGrid w:val="0"/>
        <w:spacing w:after="200" w:line="500" w:lineRule="exact"/>
        <w:ind w:firstLine="480" w:firstLineChars="200"/>
        <w:textAlignment w:val="baseline"/>
        <w:rPr>
          <w:rFonts w:ascii="宋体" w:hAnsi="宋体" w:eastAsia="Arial" w:cs="宋体"/>
          <w:snapToGrid w:val="0"/>
          <w:color w:val="000000"/>
          <w:kern w:val="0"/>
          <w:sz w:val="24"/>
          <w:szCs w:val="24"/>
        </w:rPr>
      </w:pPr>
      <w:r>
        <w:rPr>
          <w:rFonts w:hint="eastAsia" w:ascii="宋体" w:hAnsi="宋体" w:cs="宋体"/>
          <w:snapToGrid w:val="0"/>
          <w:color w:val="000000"/>
          <w:kern w:val="0"/>
          <w:sz w:val="24"/>
          <w:szCs w:val="24"/>
          <w:u w:val="single"/>
        </w:rPr>
        <w:t>（标的名称）</w:t>
      </w:r>
      <w:r>
        <w:rPr>
          <w:rFonts w:hint="eastAsia" w:ascii="宋体" w:hAnsi="宋体" w:cs="宋体"/>
          <w:snapToGrid w:val="0"/>
          <w:color w:val="000000"/>
          <w:kern w:val="0"/>
          <w:sz w:val="24"/>
          <w:szCs w:val="24"/>
        </w:rPr>
        <w:t>，属于</w:t>
      </w:r>
      <w:r>
        <w:rPr>
          <w:rFonts w:hint="eastAsia" w:ascii="宋体" w:hAnsi="宋体" w:cs="宋体"/>
          <w:snapToGrid w:val="0"/>
          <w:color w:val="000000"/>
          <w:kern w:val="0"/>
          <w:sz w:val="24"/>
          <w:szCs w:val="24"/>
          <w:u w:val="single"/>
        </w:rPr>
        <w:t>（采购文件中明确的所属行业）行业；</w:t>
      </w:r>
      <w:r>
        <w:rPr>
          <w:rFonts w:hint="eastAsia" w:ascii="宋体" w:hAnsi="宋体" w:cs="宋体"/>
          <w:snapToGrid w:val="0"/>
          <w:color w:val="000000"/>
          <w:kern w:val="0"/>
          <w:sz w:val="24"/>
          <w:szCs w:val="24"/>
        </w:rPr>
        <w:t>制造商为</w:t>
      </w:r>
      <w:r>
        <w:rPr>
          <w:rFonts w:hint="eastAsia" w:ascii="宋体" w:hAnsi="宋体" w:cs="宋体"/>
          <w:snapToGrid w:val="0"/>
          <w:color w:val="000000"/>
          <w:kern w:val="0"/>
          <w:sz w:val="24"/>
          <w:szCs w:val="24"/>
          <w:u w:val="single"/>
        </w:rPr>
        <w:t>（企业名称），</w:t>
      </w:r>
      <w:r>
        <w:rPr>
          <w:rFonts w:hint="eastAsia" w:ascii="宋体" w:hAnsi="宋体" w:cs="宋体"/>
          <w:snapToGrid w:val="0"/>
          <w:color w:val="000000"/>
          <w:kern w:val="0"/>
          <w:sz w:val="24"/>
          <w:szCs w:val="24"/>
        </w:rPr>
        <w:t>从业人员</w:t>
      </w:r>
      <w:r>
        <w:rPr>
          <w:rFonts w:hint="eastAsia" w:ascii="宋体" w:hAnsi="宋体" w:eastAsia="Arial" w:cs="宋体"/>
          <w:snapToGrid w:val="0"/>
          <w:color w:val="000000"/>
          <w:kern w:val="0"/>
          <w:sz w:val="24"/>
          <w:szCs w:val="24"/>
          <w:u w:val="single"/>
        </w:rPr>
        <w:t xml:space="preserve">    </w:t>
      </w:r>
      <w:r>
        <w:rPr>
          <w:rFonts w:hint="eastAsia" w:ascii="宋体" w:hAnsi="宋体" w:cs="宋体"/>
          <w:snapToGrid w:val="0"/>
          <w:color w:val="000000"/>
          <w:kern w:val="0"/>
          <w:sz w:val="24"/>
          <w:szCs w:val="24"/>
        </w:rPr>
        <w:t>人，营业收入为</w:t>
      </w:r>
      <w:r>
        <w:rPr>
          <w:rFonts w:hint="eastAsia" w:ascii="宋体" w:hAnsi="宋体" w:eastAsia="Arial" w:cs="宋体"/>
          <w:snapToGrid w:val="0"/>
          <w:color w:val="000000"/>
          <w:kern w:val="0"/>
          <w:sz w:val="24"/>
          <w:szCs w:val="24"/>
          <w:u w:val="single"/>
        </w:rPr>
        <w:t xml:space="preserve">   </w:t>
      </w:r>
      <w:r>
        <w:rPr>
          <w:rFonts w:hint="eastAsia" w:ascii="宋体" w:hAnsi="宋体" w:cs="宋体"/>
          <w:snapToGrid w:val="0"/>
          <w:color w:val="000000"/>
          <w:kern w:val="0"/>
          <w:sz w:val="24"/>
          <w:szCs w:val="24"/>
        </w:rPr>
        <w:t>万元，资产总额为</w:t>
      </w:r>
      <w:r>
        <w:rPr>
          <w:rFonts w:hint="eastAsia" w:ascii="宋体" w:hAnsi="宋体" w:eastAsia="Arial" w:cs="宋体"/>
          <w:snapToGrid w:val="0"/>
          <w:color w:val="000000"/>
          <w:kern w:val="0"/>
          <w:sz w:val="24"/>
          <w:szCs w:val="24"/>
          <w:u w:val="single"/>
        </w:rPr>
        <w:t xml:space="preserve">    </w:t>
      </w:r>
      <w:r>
        <w:rPr>
          <w:rFonts w:hint="eastAsia" w:ascii="宋体" w:hAnsi="宋体" w:cs="宋体"/>
          <w:snapToGrid w:val="0"/>
          <w:color w:val="000000"/>
          <w:kern w:val="0"/>
          <w:sz w:val="24"/>
          <w:szCs w:val="24"/>
        </w:rPr>
        <w:t>万元，属于（</w:t>
      </w:r>
      <w:r>
        <w:rPr>
          <w:rFonts w:hint="eastAsia" w:ascii="宋体" w:hAnsi="宋体" w:cs="宋体"/>
          <w:snapToGrid w:val="0"/>
          <w:color w:val="000000"/>
          <w:kern w:val="0"/>
          <w:sz w:val="24"/>
          <w:szCs w:val="24"/>
          <w:u w:val="single"/>
        </w:rPr>
        <w:t>中型企业、小型企业、微型企业</w:t>
      </w:r>
      <w:r>
        <w:rPr>
          <w:rFonts w:hint="eastAsia" w:ascii="宋体" w:hAnsi="宋体" w:cs="宋体"/>
          <w:snapToGrid w:val="0"/>
          <w:color w:val="000000"/>
          <w:kern w:val="0"/>
          <w:sz w:val="24"/>
          <w:szCs w:val="24"/>
        </w:rPr>
        <w:t>）；</w:t>
      </w:r>
    </w:p>
    <w:p>
      <w:pPr>
        <w:widowControl/>
        <w:kinsoku w:val="0"/>
        <w:autoSpaceDE w:val="0"/>
        <w:autoSpaceDN w:val="0"/>
        <w:adjustRightInd w:val="0"/>
        <w:snapToGrid w:val="0"/>
        <w:spacing w:line="400" w:lineRule="exact"/>
        <w:ind w:firstLine="480" w:firstLineChars="200"/>
        <w:jc w:val="left"/>
        <w:textAlignment w:val="baseline"/>
        <w:rPr>
          <w:rFonts w:ascii="Arial" w:hAnsi="Arial" w:eastAsia="Arial" w:cs="Arial"/>
          <w:snapToGrid w:val="0"/>
          <w:color w:val="000000"/>
          <w:kern w:val="0"/>
          <w:sz w:val="24"/>
          <w:szCs w:val="24"/>
        </w:rPr>
      </w:pPr>
      <w:r>
        <w:rPr>
          <w:rFonts w:ascii="宋体" w:hAnsi="宋体" w:eastAsia="Arial" w:cs="宋体"/>
          <w:snapToGrid w:val="0"/>
          <w:color w:val="000000"/>
          <w:kern w:val="0"/>
          <w:sz w:val="24"/>
          <w:szCs w:val="24"/>
        </w:rPr>
        <w:t>……</w:t>
      </w:r>
    </w:p>
    <w:p>
      <w:pPr>
        <w:widowControl/>
        <w:kinsoku w:val="0"/>
        <w:autoSpaceDE w:val="0"/>
        <w:autoSpaceDN w:val="0"/>
        <w:adjustRightInd w:val="0"/>
        <w:snapToGrid w:val="0"/>
        <w:spacing w:line="500" w:lineRule="exact"/>
        <w:ind w:firstLine="480" w:firstLineChars="200"/>
        <w:textAlignment w:val="baseline"/>
        <w:rPr>
          <w:rFonts w:ascii="宋体" w:hAnsi="宋体" w:eastAsia="Arial" w:cs="宋体"/>
          <w:snapToGrid w:val="0"/>
          <w:color w:val="000000"/>
          <w:kern w:val="0"/>
          <w:sz w:val="24"/>
          <w:szCs w:val="24"/>
        </w:rPr>
      </w:pPr>
      <w:r>
        <w:rPr>
          <w:rFonts w:hint="eastAsia" w:ascii="宋体" w:hAnsi="宋体" w:cs="宋体"/>
          <w:snapToGrid w:val="0"/>
          <w:color w:val="000000"/>
          <w:kern w:val="0"/>
          <w:sz w:val="24"/>
          <w:szCs w:val="24"/>
        </w:rPr>
        <w:t>以上企业，不属于大企业的分支机构，不存在控股股东为大企业的情形，也不存在与大企业的负责人为同一人的情形。</w:t>
      </w:r>
    </w:p>
    <w:p>
      <w:pPr>
        <w:widowControl/>
        <w:kinsoku w:val="0"/>
        <w:autoSpaceDE w:val="0"/>
        <w:autoSpaceDN w:val="0"/>
        <w:adjustRightInd w:val="0"/>
        <w:snapToGrid w:val="0"/>
        <w:spacing w:line="500" w:lineRule="exact"/>
        <w:ind w:firstLine="480" w:firstLineChars="200"/>
        <w:textAlignment w:val="baseline"/>
        <w:rPr>
          <w:rFonts w:ascii="宋体" w:hAnsi="宋体" w:eastAsia="Arial" w:cs="宋体"/>
          <w:snapToGrid w:val="0"/>
          <w:color w:val="000000"/>
          <w:kern w:val="0"/>
          <w:sz w:val="24"/>
          <w:szCs w:val="24"/>
        </w:rPr>
      </w:pPr>
      <w:r>
        <w:rPr>
          <w:rFonts w:hint="eastAsia" w:ascii="宋体" w:hAnsi="宋体" w:cs="宋体"/>
          <w:snapToGrid w:val="0"/>
          <w:color w:val="000000"/>
          <w:kern w:val="0"/>
          <w:sz w:val="24"/>
          <w:szCs w:val="24"/>
        </w:rPr>
        <w:t>本企业对上述声明内容的真实性负责。如有虚假，将依法承担相应责任。</w:t>
      </w:r>
    </w:p>
    <w:p>
      <w:pPr>
        <w:spacing w:line="500" w:lineRule="exact"/>
        <w:ind w:firstLine="480" w:firstLineChars="200"/>
        <w:rPr>
          <w:rFonts w:ascii="宋体" w:hAnsi="宋体" w:cs="宋体"/>
          <w:bCs/>
          <w:sz w:val="24"/>
          <w:szCs w:val="24"/>
        </w:rPr>
      </w:pPr>
    </w:p>
    <w:p>
      <w:pPr>
        <w:spacing w:line="360" w:lineRule="exact"/>
        <w:rPr>
          <w:rFonts w:ascii="宋体" w:hAnsi="宋体" w:cs="宋体"/>
          <w:bCs/>
          <w:sz w:val="24"/>
          <w:szCs w:val="24"/>
        </w:rPr>
      </w:pPr>
    </w:p>
    <w:p>
      <w:pPr>
        <w:spacing w:line="500" w:lineRule="exact"/>
        <w:ind w:firstLine="4680" w:firstLineChars="1950"/>
        <w:rPr>
          <w:rFonts w:ascii="宋体" w:hAnsi="宋体" w:cs="宋体"/>
          <w:bCs/>
          <w:sz w:val="24"/>
          <w:szCs w:val="24"/>
        </w:rPr>
      </w:pPr>
      <w:r>
        <w:rPr>
          <w:rFonts w:hint="eastAsia" w:ascii="宋体" w:hAnsi="宋体" w:cs="宋体"/>
          <w:bCs/>
          <w:sz w:val="24"/>
          <w:szCs w:val="24"/>
        </w:rPr>
        <w:t>企业名称（盖章）：</w:t>
      </w:r>
    </w:p>
    <w:p>
      <w:pPr>
        <w:spacing w:line="360" w:lineRule="exact"/>
        <w:ind w:firstLine="4680" w:firstLineChars="1950"/>
        <w:rPr>
          <w:rFonts w:ascii="宋体" w:hAnsi="宋体" w:cs="宋体"/>
          <w:bCs/>
          <w:sz w:val="24"/>
          <w:szCs w:val="24"/>
        </w:rPr>
      </w:pPr>
      <w:r>
        <w:rPr>
          <w:rFonts w:hint="eastAsia" w:ascii="宋体" w:hAnsi="宋体" w:cs="宋体"/>
          <w:bCs/>
          <w:sz w:val="24"/>
          <w:szCs w:val="24"/>
        </w:rPr>
        <w:t>日期：</w:t>
      </w:r>
      <w:r>
        <w:rPr>
          <w:rFonts w:hint="eastAsia" w:ascii="宋体" w:hAnsi="宋体" w:cs="宋体"/>
          <w:bCs/>
          <w:snapToGrid w:val="0"/>
          <w:color w:val="000000"/>
          <w:kern w:val="0"/>
          <w:sz w:val="24"/>
          <w:szCs w:val="24"/>
        </w:rPr>
        <w:t>年月日</w:t>
      </w:r>
    </w:p>
    <w:p>
      <w:pPr>
        <w:spacing w:line="500" w:lineRule="exact"/>
        <w:ind w:firstLine="428" w:firstLineChars="200"/>
        <w:jc w:val="left"/>
        <w:rPr>
          <w:rFonts w:ascii="宋体" w:hAnsi="宋体" w:cs="宋体"/>
          <w:bCs/>
          <w:spacing w:val="-13"/>
          <w:sz w:val="24"/>
          <w:szCs w:val="24"/>
        </w:rPr>
      </w:pPr>
    </w:p>
    <w:p>
      <w:pPr>
        <w:spacing w:line="360" w:lineRule="exact"/>
        <w:jc w:val="left"/>
        <w:rPr>
          <w:rFonts w:ascii="宋体" w:hAnsi="宋体" w:cs="宋体"/>
          <w:bCs/>
          <w:sz w:val="24"/>
          <w:szCs w:val="24"/>
        </w:rPr>
      </w:pPr>
    </w:p>
    <w:p>
      <w:pPr>
        <w:spacing w:line="500" w:lineRule="exact"/>
        <w:ind w:firstLine="480" w:firstLineChars="200"/>
        <w:rPr>
          <w:rFonts w:ascii="宋体" w:hAnsi="宋体" w:cs="宋体"/>
          <w:bCs/>
          <w:sz w:val="24"/>
          <w:szCs w:val="24"/>
        </w:rPr>
      </w:pPr>
      <w:r>
        <w:rPr>
          <w:rFonts w:hint="eastAsia" w:ascii="宋体" w:hAnsi="宋体" w:cs="宋体"/>
          <w:bCs/>
          <w:sz w:val="24"/>
          <w:szCs w:val="24"/>
        </w:rPr>
        <w:t>备注：从业人员、营业收入、资产总额填报上一年度数据，无上一年度数据的新成立企业可不填报。</w:t>
      </w:r>
    </w:p>
    <w:p>
      <w:pPr>
        <w:rPr>
          <w:rFonts w:ascii="宋体" w:hAnsi="宋体" w:cs="宋体"/>
          <w:b/>
          <w:bCs/>
          <w:spacing w:val="9"/>
          <w:sz w:val="24"/>
          <w:szCs w:val="24"/>
        </w:rPr>
        <w:sectPr>
          <w:pgSz w:w="11907" w:h="16840"/>
          <w:pgMar w:top="1440" w:right="1800" w:bottom="1440" w:left="1800" w:header="878" w:footer="886" w:gutter="0"/>
          <w:pgNumType w:fmt="decimal"/>
          <w:cols w:space="720" w:num="1"/>
        </w:sectPr>
      </w:pPr>
    </w:p>
    <w:p>
      <w:pPr>
        <w:spacing w:line="360" w:lineRule="auto"/>
        <w:jc w:val="left"/>
        <w:rPr>
          <w:rFonts w:hint="eastAsia" w:ascii="Times New Roman" w:hAnsi="Times New Roman"/>
          <w:sz w:val="28"/>
          <w:szCs w:val="28"/>
        </w:rPr>
      </w:pPr>
    </w:p>
    <w:p>
      <w:pPr>
        <w:spacing w:after="120" w:line="360" w:lineRule="auto"/>
        <w:jc w:val="center"/>
        <w:rPr>
          <w:rFonts w:ascii="宋体" w:hAnsi="宋体" w:cs="宋体"/>
          <w:b/>
          <w:sz w:val="20"/>
          <w:szCs w:val="24"/>
        </w:rPr>
      </w:pPr>
      <w:r>
        <w:rPr>
          <w:rFonts w:hint="eastAsia" w:ascii="宋体" w:hAnsi="宋体" w:cs="宋体"/>
          <w:b/>
          <w:sz w:val="32"/>
          <w:szCs w:val="36"/>
        </w:rPr>
        <w:t>残疾人福利性单位声明函  格式</w:t>
      </w:r>
    </w:p>
    <w:p>
      <w:pPr>
        <w:spacing w:after="120" w:line="360" w:lineRule="auto"/>
        <w:ind w:firstLine="520" w:firstLineChars="200"/>
        <w:rPr>
          <w:rFonts w:ascii="宋体" w:hAnsi="宋体" w:cs="宋体"/>
          <w:spacing w:val="10"/>
          <w:sz w:val="24"/>
          <w:szCs w:val="28"/>
        </w:rPr>
      </w:pPr>
      <w:r>
        <w:rPr>
          <w:rFonts w:hint="eastAsia" w:ascii="宋体" w:hAnsi="宋体" w:cs="宋体"/>
          <w:spacing w:val="10"/>
          <w:sz w:val="24"/>
          <w:szCs w:val="28"/>
        </w:rPr>
        <w:t>本单位郑重声明，根据《财政部民政部中国残疾人联合会关于促进残疾人就业政府采购政策的通知》（财库〔2017〕 141号）的规定，本单位（请进行选择）：</w:t>
      </w:r>
    </w:p>
    <w:p>
      <w:pPr>
        <w:spacing w:after="120" w:line="360" w:lineRule="auto"/>
        <w:ind w:firstLine="520" w:firstLineChars="200"/>
        <w:rPr>
          <w:rFonts w:ascii="宋体" w:hAnsi="宋体" w:cs="宋体"/>
          <w:spacing w:val="10"/>
          <w:sz w:val="24"/>
          <w:szCs w:val="28"/>
        </w:rPr>
      </w:pPr>
      <w:r>
        <w:rPr>
          <w:rFonts w:hint="eastAsia" w:ascii="宋体" w:hAnsi="宋体" w:cs="宋体"/>
          <w:spacing w:val="10"/>
          <w:sz w:val="24"/>
          <w:szCs w:val="28"/>
        </w:rPr>
        <w:t>□不属于符合条件的残疾人福利性单位。</w:t>
      </w:r>
    </w:p>
    <w:p>
      <w:pPr>
        <w:spacing w:after="120" w:line="360" w:lineRule="auto"/>
        <w:ind w:firstLine="520" w:firstLineChars="200"/>
        <w:rPr>
          <w:rFonts w:ascii="宋体" w:hAnsi="宋体" w:cs="宋体"/>
          <w:spacing w:val="10"/>
          <w:sz w:val="24"/>
          <w:szCs w:val="28"/>
        </w:rPr>
      </w:pPr>
      <w:r>
        <w:rPr>
          <w:rFonts w:hint="eastAsia" w:ascii="宋体" w:hAnsi="宋体" w:cs="宋体"/>
          <w:spacing w:val="10"/>
          <w:sz w:val="24"/>
          <w:szCs w:val="28"/>
        </w:rPr>
        <w:t>□属于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pPr>
        <w:spacing w:after="120" w:line="360" w:lineRule="auto"/>
        <w:ind w:firstLine="520" w:firstLineChars="200"/>
        <w:rPr>
          <w:rFonts w:ascii="宋体" w:hAnsi="宋体" w:cs="宋体"/>
          <w:sz w:val="24"/>
          <w:szCs w:val="28"/>
        </w:rPr>
      </w:pPr>
      <w:r>
        <w:rPr>
          <w:rFonts w:hint="eastAsia" w:ascii="宋体" w:hAnsi="宋体" w:cs="宋体"/>
          <w:spacing w:val="10"/>
          <w:sz w:val="24"/>
          <w:szCs w:val="28"/>
        </w:rPr>
        <w:t>本单位对上述声明的真实性负责。如有虚假，将依法承担相应责任。</w:t>
      </w:r>
    </w:p>
    <w:p>
      <w:pPr>
        <w:spacing w:line="360" w:lineRule="auto"/>
        <w:rPr>
          <w:rFonts w:ascii="宋体" w:hAnsi="宋体" w:cs="宋体"/>
          <w:sz w:val="24"/>
          <w:szCs w:val="28"/>
        </w:rPr>
      </w:pPr>
    </w:p>
    <w:p>
      <w:pPr>
        <w:spacing w:line="360" w:lineRule="auto"/>
        <w:rPr>
          <w:rFonts w:ascii="宋体" w:hAnsi="宋体" w:cs="宋体"/>
          <w:sz w:val="24"/>
          <w:szCs w:val="28"/>
        </w:rPr>
      </w:pPr>
    </w:p>
    <w:p>
      <w:pPr>
        <w:snapToGrid w:val="0"/>
        <w:spacing w:line="460" w:lineRule="atLeast"/>
        <w:ind w:firstLine="4920" w:firstLineChars="2050"/>
        <w:jc w:val="left"/>
        <w:rPr>
          <w:rFonts w:hint="eastAsia" w:ascii="宋体" w:hAnsi="宋体"/>
          <w:sz w:val="24"/>
          <w:szCs w:val="28"/>
        </w:rPr>
      </w:pPr>
      <w:r>
        <w:rPr>
          <w:rFonts w:hint="eastAsia" w:ascii="宋体" w:hAnsi="宋体"/>
          <w:sz w:val="24"/>
          <w:szCs w:val="28"/>
        </w:rPr>
        <w:t>单位名称（</w:t>
      </w:r>
      <w:r>
        <w:rPr>
          <w:rFonts w:hint="eastAsia" w:ascii="宋体" w:hAnsi="宋体" w:cs="宋体"/>
          <w:sz w:val="24"/>
          <w:szCs w:val="28"/>
        </w:rPr>
        <w:t>盖章</w:t>
      </w:r>
      <w:r>
        <w:rPr>
          <w:rFonts w:hint="eastAsia" w:ascii="宋体" w:hAnsi="宋体"/>
          <w:sz w:val="24"/>
          <w:szCs w:val="28"/>
        </w:rPr>
        <w:t>）：</w:t>
      </w:r>
    </w:p>
    <w:p>
      <w:pPr>
        <w:snapToGrid w:val="0"/>
        <w:spacing w:line="460" w:lineRule="atLeast"/>
        <w:ind w:firstLine="480" w:firstLineChars="200"/>
        <w:jc w:val="left"/>
        <w:rPr>
          <w:rFonts w:hint="eastAsia" w:ascii="宋体" w:hAnsi="宋体"/>
          <w:sz w:val="22"/>
          <w:szCs w:val="24"/>
        </w:rPr>
      </w:pPr>
      <w:r>
        <w:rPr>
          <w:rFonts w:hint="eastAsia" w:ascii="宋体" w:hAnsi="宋体"/>
          <w:sz w:val="24"/>
          <w:szCs w:val="28"/>
        </w:rPr>
        <w:t xml:space="preserve">                                     日  期：年月日</w:t>
      </w:r>
    </w:p>
    <w:p>
      <w:pPr>
        <w:ind w:firstLine="7420" w:firstLineChars="2650"/>
        <w:rPr>
          <w:rFonts w:hint="eastAsia" w:ascii="Times New Roman" w:hAnsi="Times New Roman"/>
          <w:sz w:val="28"/>
          <w:szCs w:val="28"/>
        </w:rPr>
      </w:pPr>
    </w:p>
    <w:p>
      <w:pPr>
        <w:rPr>
          <w:rFonts w:hint="eastAsia" w:ascii="Times New Roman" w:hAnsi="Times New Roman"/>
          <w:sz w:val="28"/>
          <w:szCs w:val="28"/>
        </w:rPr>
      </w:pP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360" w:lineRule="auto"/>
        <w:rPr>
          <w:rFonts w:ascii="宋体" w:hAnsi="宋体"/>
          <w:bCs/>
          <w:szCs w:val="21"/>
        </w:rPr>
      </w:pPr>
    </w:p>
    <w:p>
      <w:pPr>
        <w:rPr>
          <w:rFonts w:hint="eastAsia" w:ascii="Times New Roman" w:hAnsi="Times New Roman"/>
          <w:sz w:val="28"/>
          <w:szCs w:val="28"/>
        </w:rPr>
      </w:pPr>
    </w:p>
    <w:p>
      <w:pPr>
        <w:rPr>
          <w:rFonts w:hint="eastAsia" w:ascii="Times New Roman" w:hAnsi="Times New Roman"/>
          <w:sz w:val="28"/>
          <w:szCs w:val="28"/>
        </w:rPr>
      </w:pPr>
    </w:p>
    <w:p>
      <w:pPr>
        <w:rPr>
          <w:rFonts w:hint="eastAsia" w:ascii="Times New Roman" w:hAnsi="Times New Roman"/>
          <w:sz w:val="28"/>
          <w:szCs w:val="28"/>
        </w:rPr>
      </w:pPr>
    </w:p>
    <w:p>
      <w:pPr>
        <w:spacing w:line="360" w:lineRule="auto"/>
        <w:ind w:firstLine="643"/>
        <w:jc w:val="center"/>
        <w:rPr>
          <w:rFonts w:hint="eastAsia" w:ascii="宋体" w:hAnsi="宋体" w:cs="宋体"/>
          <w:b/>
          <w:bCs/>
          <w:sz w:val="24"/>
          <w:szCs w:val="24"/>
        </w:rPr>
      </w:pPr>
    </w:p>
    <w:p>
      <w:pPr>
        <w:spacing w:line="360" w:lineRule="auto"/>
        <w:ind w:firstLine="420"/>
        <w:rPr>
          <w:rFonts w:ascii="宋体" w:hAnsi="宋体"/>
          <w:bCs/>
          <w:sz w:val="24"/>
          <w:szCs w:val="21"/>
        </w:rPr>
      </w:pPr>
      <w:r>
        <w:rPr>
          <w:rFonts w:hint="eastAsia" w:ascii="宋体" w:hAnsi="宋体"/>
          <w:bCs/>
          <w:sz w:val="24"/>
          <w:szCs w:val="21"/>
        </w:rPr>
        <w:t xml:space="preserve">                        </w:t>
      </w:r>
    </w:p>
    <w:p>
      <w:pPr>
        <w:jc w:val="center"/>
        <w:rPr>
          <w:rFonts w:hint="eastAsia" w:ascii="Times New Roman" w:hAnsi="Times New Roman"/>
          <w:szCs w:val="24"/>
        </w:rPr>
      </w:pPr>
      <w:r>
        <w:rPr>
          <w:rFonts w:hint="eastAsia" w:ascii="宋体" w:hAnsi="宋体"/>
          <w:b/>
          <w:szCs w:val="21"/>
        </w:rPr>
        <w:t xml:space="preserve">  </w:t>
      </w: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360" w:lineRule="auto"/>
        <w:jc w:val="center"/>
        <w:rPr>
          <w:rFonts w:ascii="宋体" w:hAnsi="宋体"/>
          <w:b/>
          <w:sz w:val="24"/>
          <w:szCs w:val="28"/>
        </w:rPr>
      </w:pPr>
      <w:r>
        <w:rPr>
          <w:rFonts w:hint="eastAsia" w:ascii="宋体" w:hAnsi="宋体" w:cs="宋体"/>
          <w:b/>
          <w:sz w:val="32"/>
          <w:szCs w:val="36"/>
        </w:rPr>
        <w:t>监狱企业声明函  格式</w:t>
      </w:r>
    </w:p>
    <w:p>
      <w:pPr>
        <w:spacing w:line="360" w:lineRule="auto"/>
        <w:rPr>
          <w:rFonts w:ascii="宋体" w:hAnsi="宋体"/>
          <w:b/>
          <w:sz w:val="28"/>
          <w:szCs w:val="28"/>
        </w:rPr>
      </w:pPr>
    </w:p>
    <w:p>
      <w:pPr>
        <w:spacing w:line="360" w:lineRule="auto"/>
        <w:ind w:firstLine="480" w:firstLineChars="200"/>
        <w:rPr>
          <w:rFonts w:ascii="宋体" w:hAnsi="宋体" w:cs="宋体"/>
          <w:sz w:val="24"/>
          <w:szCs w:val="28"/>
        </w:rPr>
      </w:pPr>
      <w:r>
        <w:rPr>
          <w:rFonts w:hint="eastAsia" w:ascii="宋体" w:hAnsi="宋体" w:cs="宋体"/>
          <w:sz w:val="24"/>
          <w:szCs w:val="28"/>
        </w:rPr>
        <w:t>本企业郑重声明，根据《财政部、司法部关于政府采购支持监狱企业发展有关问题的通知》（财库〔2014〕68号），本企业______（是、不是）监狱企业。后附省级以上监狱管理局、戒毒管理局（含新疆生产建设兵团）出具的属于监狱企业证明文件。</w:t>
      </w:r>
    </w:p>
    <w:p>
      <w:pPr>
        <w:spacing w:line="360" w:lineRule="auto"/>
        <w:ind w:firstLine="480" w:firstLineChars="200"/>
        <w:rPr>
          <w:rFonts w:ascii="宋体" w:hAnsi="宋体" w:cs="宋体"/>
          <w:sz w:val="24"/>
          <w:szCs w:val="28"/>
        </w:rPr>
      </w:pPr>
      <w:r>
        <w:rPr>
          <w:rFonts w:hint="eastAsia" w:ascii="宋体" w:hAnsi="宋体" w:cs="宋体"/>
          <w:sz w:val="24"/>
          <w:szCs w:val="28"/>
        </w:rPr>
        <w:t>本企业对上述声明的真实性负责。如有虚假，将依法承担相应责任。</w:t>
      </w:r>
    </w:p>
    <w:p>
      <w:pPr>
        <w:tabs>
          <w:tab w:val="left" w:pos="4860"/>
        </w:tabs>
        <w:spacing w:line="360" w:lineRule="auto"/>
        <w:ind w:firstLine="508" w:firstLineChars="200"/>
        <w:jc w:val="center"/>
        <w:rPr>
          <w:rFonts w:hint="eastAsia" w:ascii="宋体" w:hAnsi="宋体" w:cs="宋体"/>
          <w:spacing w:val="7"/>
          <w:sz w:val="24"/>
          <w:szCs w:val="28"/>
        </w:rPr>
      </w:pPr>
    </w:p>
    <w:p>
      <w:pPr>
        <w:ind w:firstLine="420" w:firstLineChars="200"/>
        <w:rPr>
          <w:rFonts w:hint="eastAsia" w:ascii="Times New Roman" w:hAnsi="Times New Roman"/>
          <w:szCs w:val="24"/>
        </w:rPr>
      </w:pPr>
    </w:p>
    <w:p>
      <w:pPr>
        <w:ind w:firstLine="420" w:firstLineChars="200"/>
        <w:rPr>
          <w:rFonts w:hint="eastAsia" w:ascii="Times New Roman" w:hAnsi="Times New Roman"/>
          <w:szCs w:val="24"/>
        </w:rPr>
      </w:pPr>
    </w:p>
    <w:p>
      <w:pPr>
        <w:ind w:firstLine="420" w:firstLineChars="200"/>
        <w:rPr>
          <w:rFonts w:hint="eastAsia" w:ascii="Times New Roman" w:hAnsi="Times New Roman"/>
          <w:szCs w:val="24"/>
        </w:rPr>
      </w:pPr>
    </w:p>
    <w:p>
      <w:pPr>
        <w:ind w:firstLine="420" w:firstLineChars="200"/>
        <w:rPr>
          <w:rFonts w:ascii="Times New Roman" w:hAnsi="Times New Roman"/>
          <w:szCs w:val="24"/>
        </w:rPr>
      </w:pPr>
    </w:p>
    <w:p>
      <w:pPr>
        <w:tabs>
          <w:tab w:val="left" w:pos="4860"/>
        </w:tabs>
        <w:spacing w:line="360" w:lineRule="auto"/>
        <w:ind w:firstLine="508" w:firstLineChars="200"/>
        <w:jc w:val="center"/>
        <w:rPr>
          <w:rFonts w:ascii="宋体" w:hAnsi="宋体" w:cs="宋体"/>
          <w:spacing w:val="7"/>
          <w:sz w:val="24"/>
          <w:szCs w:val="28"/>
        </w:rPr>
      </w:pPr>
      <w:r>
        <w:rPr>
          <w:rFonts w:hint="eastAsia" w:ascii="宋体" w:hAnsi="宋体" w:cs="宋体"/>
          <w:spacing w:val="7"/>
          <w:sz w:val="24"/>
          <w:szCs w:val="28"/>
        </w:rPr>
        <w:t xml:space="preserve">                             企业名称（盖章）： </w:t>
      </w:r>
    </w:p>
    <w:p>
      <w:pPr>
        <w:spacing w:line="400" w:lineRule="exact"/>
        <w:rPr>
          <w:rFonts w:hint="eastAsia" w:ascii="Times New Roman" w:hAnsi="Times New Roman"/>
          <w:sz w:val="20"/>
          <w:szCs w:val="24"/>
        </w:rPr>
      </w:pPr>
      <w:r>
        <w:rPr>
          <w:rFonts w:hint="eastAsia" w:ascii="宋体" w:hAnsi="宋体" w:cs="宋体"/>
          <w:spacing w:val="7"/>
          <w:sz w:val="24"/>
          <w:szCs w:val="28"/>
        </w:rPr>
        <w:t xml:space="preserve">                                      日  期：年月日</w:t>
      </w: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400" w:lineRule="exact"/>
        <w:rPr>
          <w:rFonts w:hint="eastAsia" w:ascii="Times New Roman" w:hAnsi="Times New Roman"/>
          <w:szCs w:val="24"/>
        </w:rPr>
      </w:pPr>
    </w:p>
    <w:p>
      <w:pPr>
        <w:spacing w:line="560" w:lineRule="exact"/>
        <w:rPr>
          <w:rFonts w:ascii="宋体" w:hAnsi="宋体" w:cs="宋体"/>
          <w:b/>
          <w:bCs/>
          <w:snapToGrid w:val="0"/>
          <w:kern w:val="0"/>
          <w:sz w:val="24"/>
          <w:szCs w:val="24"/>
          <w:lang w:eastAsia="en-US"/>
        </w:rPr>
      </w:pPr>
      <w:r>
        <w:rPr>
          <w:rFonts w:hint="eastAsia" w:ascii="宋体" w:hAnsi="宋体" w:cs="宋体"/>
          <w:b/>
          <w:bCs/>
          <w:snapToGrid w:val="0"/>
          <w:kern w:val="0"/>
          <w:sz w:val="24"/>
          <w:szCs w:val="24"/>
        </w:rPr>
        <w:t>10.招标文件要求的其它材料及投标人认为有必要提供的材料</w:t>
      </w:r>
    </w:p>
    <w:p>
      <w:pPr>
        <w:outlineLvl w:val="9"/>
        <w:rPr>
          <w:rFonts w:hint="eastAsia"/>
          <w:color w:val="000000"/>
          <w:lang w:eastAsia="zh-CN"/>
        </w:rPr>
      </w:pPr>
    </w:p>
    <w:sectPr>
      <w:headerReference r:id="rId9" w:type="default"/>
      <w:footerReference r:id="rId10" w:type="default"/>
      <w:pgSz w:w="11907" w:h="16839"/>
      <w:pgMar w:top="1476" w:right="980" w:bottom="1114" w:left="1051" w:header="1155" w:footer="845"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Yu Gothic UI Light">
    <w:panose1 w:val="020B0300000000000000"/>
    <w:charset w:val="80"/>
    <w:family w:val="auto"/>
    <w:pitch w:val="default"/>
    <w:sig w:usb0="E00002FF" w:usb1="2AC7FDFF" w:usb2="00000016" w:usb3="00000000" w:csb0="2002009F" w:csb1="00000000"/>
  </w:font>
  <w:font w:name="微软雅黑">
    <w:panose1 w:val="020B0503020204020204"/>
    <w:charset w:val="86"/>
    <w:family w:val="swiss"/>
    <w:pitch w:val="default"/>
    <w:sig w:usb0="80000287" w:usb1="2ACF3C50" w:usb2="00000016" w:usb3="00000000" w:csb0="0004001F" w:csb1="00000000"/>
  </w:font>
  <w:font w:name="MingLiU-ExtB">
    <w:panose1 w:val="02020500000000000000"/>
    <w:charset w:val="88"/>
    <w:family w:val="auto"/>
    <w:pitch w:val="default"/>
    <w:sig w:usb0="8000002F" w:usb1="02000008" w:usb2="00000000" w:usb3="00000000" w:csb0="00100001" w:csb1="00000000"/>
  </w:font>
  <w:font w:name="等线">
    <w:panose1 w:val="02010600030101010101"/>
    <w:charset w:val="86"/>
    <w:family w:val="auto"/>
    <w:pitch w:val="default"/>
    <w:sig w:usb0="A00002BF" w:usb1="38CF7CFA" w:usb2="00000016" w:usb3="00000000" w:csb0="0004000F" w:csb1="00000000"/>
  </w:font>
  <w:font w:name="华文宋体">
    <w:panose1 w:val="02010600040101010101"/>
    <w:charset w:val="86"/>
    <w:family w:val="auto"/>
    <w:pitch w:val="default"/>
    <w:sig w:usb0="00000287" w:usb1="080F0000" w:usb2="00000000" w:usb3="00000000" w:csb0="0004009F" w:csb1="DFD7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ind w:left="4596"/>
      <w:rPr>
        <w:rFonts w:ascii="Times New Roman" w:hAnsi="Times New Roman" w:eastAsia="Times New Roman"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val="en-US" w:eastAsia="zh-CN"/>
      </w:rPr>
      <w:t>唐河县唐兴工程造价咨询有限公司</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rFonts w:eastAsia="Arial"/>
        <w:szCs w:val="18"/>
      </w:rPr>
    </w:pPr>
    <w:r>
      <w:rPr>
        <w:rFonts w:hint="eastAsia"/>
        <w:lang w:val="en-US" w:eastAsia="zh-CN"/>
      </w:rPr>
      <w:t>唐河县唐兴工程造价咨询有限公司</w:t>
    </w: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67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rPr>
        <w:rFonts w:hint="eastAsia" w:asciiTheme="minorEastAsia" w:hAnsiTheme="minorEastAsia" w:eastAsiaTheme="minorEastAsia"/>
        <w:sz w:val="24"/>
        <w:szCs w:val="24"/>
        <w:lang w:val="en-US" w:eastAsia="zh-CN"/>
      </w:rPr>
      <w:t>唐河县老年体育公园暨智慧健身公园建设项目</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20AF93"/>
    <w:multiLevelType w:val="singleLevel"/>
    <w:tmpl w:val="D020AF93"/>
    <w:lvl w:ilvl="0" w:tentative="0">
      <w:start w:val="3"/>
      <w:numFmt w:val="chineseCounting"/>
      <w:suff w:val="space"/>
      <w:lvlText w:val="第%1部分"/>
      <w:lvlJc w:val="left"/>
      <w:rPr>
        <w:rFonts w:hint="eastAsia"/>
      </w:rPr>
    </w:lvl>
  </w:abstractNum>
  <w:abstractNum w:abstractNumId="1">
    <w:nsid w:val="60E696DE"/>
    <w:multiLevelType w:val="singleLevel"/>
    <w:tmpl w:val="60E696DE"/>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hideSpellingErrors/>
  <w:documentProtection w:enforcement="0"/>
  <w:defaultTabStop w:val="420"/>
  <w:displayHorizontalDrawingGridEvery w:val="1"/>
  <w:displayVerticalDrawingGridEvery w:val="1"/>
  <w:noPunctuationKerning w:val="1"/>
  <w:characterSpacingControl w:val="doNotCompress"/>
  <w:hdrShapeDefaults>
    <o:shapelayout v:ext="edit">
      <o:idmap v:ext="edit" data="7"/>
    </o:shapelayout>
  </w:hdrShapeDefaults>
  <w:compat>
    <w:spaceForUL/>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0ZWM3YWZlM2QyY2Y0NWJlODg5YjgxMGQ0MzM5MWQifQ=="/>
  </w:docVars>
  <w:rsids>
    <w:rsidRoot w:val="00D338C7"/>
    <w:rsid w:val="00022BA0"/>
    <w:rsid w:val="0004448B"/>
    <w:rsid w:val="00050194"/>
    <w:rsid w:val="00053090"/>
    <w:rsid w:val="000730AF"/>
    <w:rsid w:val="00092E79"/>
    <w:rsid w:val="000A0550"/>
    <w:rsid w:val="000C1D84"/>
    <w:rsid w:val="00106B90"/>
    <w:rsid w:val="0014157B"/>
    <w:rsid w:val="001B5BD7"/>
    <w:rsid w:val="001D7F67"/>
    <w:rsid w:val="00224DCC"/>
    <w:rsid w:val="002869C7"/>
    <w:rsid w:val="00297E43"/>
    <w:rsid w:val="002E3803"/>
    <w:rsid w:val="00301DA3"/>
    <w:rsid w:val="00303F39"/>
    <w:rsid w:val="0035574D"/>
    <w:rsid w:val="003659BE"/>
    <w:rsid w:val="003D7E65"/>
    <w:rsid w:val="003F33A1"/>
    <w:rsid w:val="004026DC"/>
    <w:rsid w:val="00415731"/>
    <w:rsid w:val="004431E4"/>
    <w:rsid w:val="00452340"/>
    <w:rsid w:val="004B69A7"/>
    <w:rsid w:val="00515C5E"/>
    <w:rsid w:val="005655DE"/>
    <w:rsid w:val="005B4887"/>
    <w:rsid w:val="005C0441"/>
    <w:rsid w:val="005E4DA5"/>
    <w:rsid w:val="006232FE"/>
    <w:rsid w:val="006240E1"/>
    <w:rsid w:val="00656955"/>
    <w:rsid w:val="00663039"/>
    <w:rsid w:val="006F2546"/>
    <w:rsid w:val="007078DD"/>
    <w:rsid w:val="00733264"/>
    <w:rsid w:val="00804B7B"/>
    <w:rsid w:val="00852BA5"/>
    <w:rsid w:val="00862167"/>
    <w:rsid w:val="0086394B"/>
    <w:rsid w:val="00872711"/>
    <w:rsid w:val="00887C76"/>
    <w:rsid w:val="008D0156"/>
    <w:rsid w:val="0094465D"/>
    <w:rsid w:val="00952A4D"/>
    <w:rsid w:val="00963A15"/>
    <w:rsid w:val="00970099"/>
    <w:rsid w:val="0097673D"/>
    <w:rsid w:val="00A07604"/>
    <w:rsid w:val="00A42031"/>
    <w:rsid w:val="00AB05F6"/>
    <w:rsid w:val="00AB589F"/>
    <w:rsid w:val="00B35DE0"/>
    <w:rsid w:val="00B81B4E"/>
    <w:rsid w:val="00C656BD"/>
    <w:rsid w:val="00CC3828"/>
    <w:rsid w:val="00CC5788"/>
    <w:rsid w:val="00CE4BC2"/>
    <w:rsid w:val="00D10B55"/>
    <w:rsid w:val="00D12FA9"/>
    <w:rsid w:val="00D338C7"/>
    <w:rsid w:val="00D670F7"/>
    <w:rsid w:val="00D96AD7"/>
    <w:rsid w:val="00DA246D"/>
    <w:rsid w:val="00E476FC"/>
    <w:rsid w:val="00E64236"/>
    <w:rsid w:val="00E64B6E"/>
    <w:rsid w:val="00E72182"/>
    <w:rsid w:val="00F35AAE"/>
    <w:rsid w:val="00F878FF"/>
    <w:rsid w:val="00FF6ED5"/>
    <w:rsid w:val="013E60BA"/>
    <w:rsid w:val="01E74ACC"/>
    <w:rsid w:val="01EC24EE"/>
    <w:rsid w:val="02217FDE"/>
    <w:rsid w:val="02753E85"/>
    <w:rsid w:val="02BC1AB4"/>
    <w:rsid w:val="02D0730E"/>
    <w:rsid w:val="02EE3C38"/>
    <w:rsid w:val="03391357"/>
    <w:rsid w:val="03B556F1"/>
    <w:rsid w:val="03C447E8"/>
    <w:rsid w:val="03D90444"/>
    <w:rsid w:val="040D66DE"/>
    <w:rsid w:val="049B2465"/>
    <w:rsid w:val="04E9617C"/>
    <w:rsid w:val="051A08DE"/>
    <w:rsid w:val="054F4D36"/>
    <w:rsid w:val="057F6DC9"/>
    <w:rsid w:val="05926AFC"/>
    <w:rsid w:val="05B66197"/>
    <w:rsid w:val="05B94CC6"/>
    <w:rsid w:val="05CA273A"/>
    <w:rsid w:val="060E6ACB"/>
    <w:rsid w:val="06297813"/>
    <w:rsid w:val="064E6EC7"/>
    <w:rsid w:val="06ED0690"/>
    <w:rsid w:val="071F62A0"/>
    <w:rsid w:val="07B264E2"/>
    <w:rsid w:val="07B62F76"/>
    <w:rsid w:val="081E4FBF"/>
    <w:rsid w:val="083456D1"/>
    <w:rsid w:val="08411306"/>
    <w:rsid w:val="08536A17"/>
    <w:rsid w:val="085B3B1D"/>
    <w:rsid w:val="08A13C26"/>
    <w:rsid w:val="08B24B37"/>
    <w:rsid w:val="08D86767"/>
    <w:rsid w:val="08FD2989"/>
    <w:rsid w:val="09931095"/>
    <w:rsid w:val="099611F2"/>
    <w:rsid w:val="09C95A46"/>
    <w:rsid w:val="09DA45B5"/>
    <w:rsid w:val="09FF7D5E"/>
    <w:rsid w:val="0A177DA3"/>
    <w:rsid w:val="0A7D6C81"/>
    <w:rsid w:val="0A9F63AB"/>
    <w:rsid w:val="0AAB25E3"/>
    <w:rsid w:val="0AE2753F"/>
    <w:rsid w:val="0B4329E8"/>
    <w:rsid w:val="0BA25F56"/>
    <w:rsid w:val="0BA80E28"/>
    <w:rsid w:val="0BE81B6C"/>
    <w:rsid w:val="0BEE4152"/>
    <w:rsid w:val="0C1C35C4"/>
    <w:rsid w:val="0C3D1245"/>
    <w:rsid w:val="0C403756"/>
    <w:rsid w:val="0C6F5DE9"/>
    <w:rsid w:val="0C8D626F"/>
    <w:rsid w:val="0CD12600"/>
    <w:rsid w:val="0D101EA1"/>
    <w:rsid w:val="0D416904"/>
    <w:rsid w:val="0E09014F"/>
    <w:rsid w:val="0E465D89"/>
    <w:rsid w:val="0E534525"/>
    <w:rsid w:val="0E851528"/>
    <w:rsid w:val="0EB55CAD"/>
    <w:rsid w:val="0ED91C40"/>
    <w:rsid w:val="0F5341AC"/>
    <w:rsid w:val="0F81030D"/>
    <w:rsid w:val="0F820EF8"/>
    <w:rsid w:val="0F9847C0"/>
    <w:rsid w:val="1053332C"/>
    <w:rsid w:val="105570A4"/>
    <w:rsid w:val="105B2B57"/>
    <w:rsid w:val="1082402E"/>
    <w:rsid w:val="10A65B52"/>
    <w:rsid w:val="10BD35C7"/>
    <w:rsid w:val="10DB00FA"/>
    <w:rsid w:val="10DE5F2D"/>
    <w:rsid w:val="11226326"/>
    <w:rsid w:val="11401CD0"/>
    <w:rsid w:val="11943BFC"/>
    <w:rsid w:val="11AA26F8"/>
    <w:rsid w:val="11EB4A57"/>
    <w:rsid w:val="129C6B7B"/>
    <w:rsid w:val="12B27DE5"/>
    <w:rsid w:val="12D15108"/>
    <w:rsid w:val="12EA4EB3"/>
    <w:rsid w:val="12FA3BCB"/>
    <w:rsid w:val="12FB6B0F"/>
    <w:rsid w:val="139454AD"/>
    <w:rsid w:val="13B77BD4"/>
    <w:rsid w:val="13C9209F"/>
    <w:rsid w:val="13D419F1"/>
    <w:rsid w:val="13D555E0"/>
    <w:rsid w:val="13D749A0"/>
    <w:rsid w:val="13F15AF0"/>
    <w:rsid w:val="143D057B"/>
    <w:rsid w:val="14597A10"/>
    <w:rsid w:val="147974B3"/>
    <w:rsid w:val="148D56A6"/>
    <w:rsid w:val="14B7032D"/>
    <w:rsid w:val="15035D08"/>
    <w:rsid w:val="15527DE0"/>
    <w:rsid w:val="156906A4"/>
    <w:rsid w:val="157136E6"/>
    <w:rsid w:val="15D078F9"/>
    <w:rsid w:val="16166C9E"/>
    <w:rsid w:val="16333219"/>
    <w:rsid w:val="164F240A"/>
    <w:rsid w:val="16A41F61"/>
    <w:rsid w:val="175C2FFC"/>
    <w:rsid w:val="17777A03"/>
    <w:rsid w:val="18391B2C"/>
    <w:rsid w:val="18422604"/>
    <w:rsid w:val="185D2F9A"/>
    <w:rsid w:val="18603BAC"/>
    <w:rsid w:val="18610CDC"/>
    <w:rsid w:val="1880365D"/>
    <w:rsid w:val="189015C1"/>
    <w:rsid w:val="18A51579"/>
    <w:rsid w:val="18AC4C18"/>
    <w:rsid w:val="18BF3C55"/>
    <w:rsid w:val="18C80D5B"/>
    <w:rsid w:val="19241D0A"/>
    <w:rsid w:val="19422A47"/>
    <w:rsid w:val="19606E0E"/>
    <w:rsid w:val="19AE2A71"/>
    <w:rsid w:val="1A5F57B3"/>
    <w:rsid w:val="1A9058A9"/>
    <w:rsid w:val="1B0244A0"/>
    <w:rsid w:val="1B51192B"/>
    <w:rsid w:val="1B740D26"/>
    <w:rsid w:val="1BC74CD4"/>
    <w:rsid w:val="1BF400B9"/>
    <w:rsid w:val="1C161DDD"/>
    <w:rsid w:val="1CC21F65"/>
    <w:rsid w:val="1D9220A3"/>
    <w:rsid w:val="1DAC0C4B"/>
    <w:rsid w:val="1E2C58E8"/>
    <w:rsid w:val="1E343E2C"/>
    <w:rsid w:val="1E3F47A1"/>
    <w:rsid w:val="1E465280"/>
    <w:rsid w:val="1E551145"/>
    <w:rsid w:val="1E5E03A2"/>
    <w:rsid w:val="1E935967"/>
    <w:rsid w:val="1EB853CE"/>
    <w:rsid w:val="1EC00414"/>
    <w:rsid w:val="1ED57D2E"/>
    <w:rsid w:val="1F844BF7"/>
    <w:rsid w:val="1F903C55"/>
    <w:rsid w:val="1FB931AC"/>
    <w:rsid w:val="1FBB131D"/>
    <w:rsid w:val="20102AB4"/>
    <w:rsid w:val="202A0302"/>
    <w:rsid w:val="205E6558"/>
    <w:rsid w:val="20E92118"/>
    <w:rsid w:val="211D59BC"/>
    <w:rsid w:val="218B53BC"/>
    <w:rsid w:val="21D01390"/>
    <w:rsid w:val="2224589A"/>
    <w:rsid w:val="22A06F82"/>
    <w:rsid w:val="22BD1205"/>
    <w:rsid w:val="23722594"/>
    <w:rsid w:val="238166D6"/>
    <w:rsid w:val="23E40A13"/>
    <w:rsid w:val="23E6338E"/>
    <w:rsid w:val="23EE6948"/>
    <w:rsid w:val="23FE3883"/>
    <w:rsid w:val="244871F4"/>
    <w:rsid w:val="25034EC9"/>
    <w:rsid w:val="250E58CE"/>
    <w:rsid w:val="2572620D"/>
    <w:rsid w:val="25BF16E7"/>
    <w:rsid w:val="25FF16E3"/>
    <w:rsid w:val="262B46D7"/>
    <w:rsid w:val="262D66A1"/>
    <w:rsid w:val="264F6618"/>
    <w:rsid w:val="268C3628"/>
    <w:rsid w:val="26B7449F"/>
    <w:rsid w:val="271138CD"/>
    <w:rsid w:val="277C4CD3"/>
    <w:rsid w:val="278C6174"/>
    <w:rsid w:val="281E2746"/>
    <w:rsid w:val="284657F9"/>
    <w:rsid w:val="28596E8D"/>
    <w:rsid w:val="287A7C91"/>
    <w:rsid w:val="289C7B0E"/>
    <w:rsid w:val="292F2E7A"/>
    <w:rsid w:val="297D16EE"/>
    <w:rsid w:val="298E38FB"/>
    <w:rsid w:val="29994F05"/>
    <w:rsid w:val="29A55926"/>
    <w:rsid w:val="29CC61D1"/>
    <w:rsid w:val="29ED3679"/>
    <w:rsid w:val="29F210CD"/>
    <w:rsid w:val="29FC6AB7"/>
    <w:rsid w:val="2A864AC8"/>
    <w:rsid w:val="2AF13FF8"/>
    <w:rsid w:val="2AFC7D87"/>
    <w:rsid w:val="2B541D59"/>
    <w:rsid w:val="2B640F19"/>
    <w:rsid w:val="2BB26D03"/>
    <w:rsid w:val="2BC301B3"/>
    <w:rsid w:val="2BE27F2E"/>
    <w:rsid w:val="2BF47AC9"/>
    <w:rsid w:val="2C5A3F68"/>
    <w:rsid w:val="2C6B3A80"/>
    <w:rsid w:val="2C6F76C7"/>
    <w:rsid w:val="2DD83397"/>
    <w:rsid w:val="2E277E7A"/>
    <w:rsid w:val="2E3F3416"/>
    <w:rsid w:val="2E5D1D7F"/>
    <w:rsid w:val="2E625356"/>
    <w:rsid w:val="2ED81174"/>
    <w:rsid w:val="2F5A7DDB"/>
    <w:rsid w:val="2F857B57"/>
    <w:rsid w:val="2FBC45F2"/>
    <w:rsid w:val="2FC647F3"/>
    <w:rsid w:val="2FCE6659"/>
    <w:rsid w:val="2FEC443F"/>
    <w:rsid w:val="302F442C"/>
    <w:rsid w:val="304C5976"/>
    <w:rsid w:val="30627EB2"/>
    <w:rsid w:val="306727B0"/>
    <w:rsid w:val="30D77936"/>
    <w:rsid w:val="312F769E"/>
    <w:rsid w:val="313E0EC8"/>
    <w:rsid w:val="31B71515"/>
    <w:rsid w:val="32630FC4"/>
    <w:rsid w:val="329734D4"/>
    <w:rsid w:val="32BC7515"/>
    <w:rsid w:val="32D6600F"/>
    <w:rsid w:val="32FA5FAE"/>
    <w:rsid w:val="33092244"/>
    <w:rsid w:val="33884F17"/>
    <w:rsid w:val="33EF4F96"/>
    <w:rsid w:val="341B2AA7"/>
    <w:rsid w:val="341D4E49"/>
    <w:rsid w:val="34401C96"/>
    <w:rsid w:val="346D235F"/>
    <w:rsid w:val="34C04B85"/>
    <w:rsid w:val="34C12802"/>
    <w:rsid w:val="34EC597A"/>
    <w:rsid w:val="351153E0"/>
    <w:rsid w:val="352D68EF"/>
    <w:rsid w:val="353D711A"/>
    <w:rsid w:val="358B0CEF"/>
    <w:rsid w:val="35A66F4F"/>
    <w:rsid w:val="35F165B8"/>
    <w:rsid w:val="361726E3"/>
    <w:rsid w:val="364332E7"/>
    <w:rsid w:val="36C070BE"/>
    <w:rsid w:val="36D44054"/>
    <w:rsid w:val="371B2546"/>
    <w:rsid w:val="3728631E"/>
    <w:rsid w:val="374B4BD9"/>
    <w:rsid w:val="38543F62"/>
    <w:rsid w:val="38983E4E"/>
    <w:rsid w:val="38C8225A"/>
    <w:rsid w:val="398512D2"/>
    <w:rsid w:val="399B7293"/>
    <w:rsid w:val="39B21C33"/>
    <w:rsid w:val="39E6508D"/>
    <w:rsid w:val="39E92488"/>
    <w:rsid w:val="39F91D9D"/>
    <w:rsid w:val="3A1A4D37"/>
    <w:rsid w:val="3AAD56C8"/>
    <w:rsid w:val="3B082DE1"/>
    <w:rsid w:val="3B0D711A"/>
    <w:rsid w:val="3B8A37F6"/>
    <w:rsid w:val="3BDF1D94"/>
    <w:rsid w:val="3C541977"/>
    <w:rsid w:val="3C8D52F9"/>
    <w:rsid w:val="3C8E1FD4"/>
    <w:rsid w:val="3D09675B"/>
    <w:rsid w:val="3D877FA8"/>
    <w:rsid w:val="3DB52E38"/>
    <w:rsid w:val="3DE12581"/>
    <w:rsid w:val="3E004607"/>
    <w:rsid w:val="3E7D3A24"/>
    <w:rsid w:val="3E8F7AA2"/>
    <w:rsid w:val="3EBE0387"/>
    <w:rsid w:val="3EDB4A95"/>
    <w:rsid w:val="3FD724E6"/>
    <w:rsid w:val="3FDF7BBB"/>
    <w:rsid w:val="40583DB1"/>
    <w:rsid w:val="40953369"/>
    <w:rsid w:val="40BE641C"/>
    <w:rsid w:val="40D043A1"/>
    <w:rsid w:val="41072EE9"/>
    <w:rsid w:val="4134048C"/>
    <w:rsid w:val="41686388"/>
    <w:rsid w:val="41EE0F83"/>
    <w:rsid w:val="41F071EA"/>
    <w:rsid w:val="41FE3669"/>
    <w:rsid w:val="42100A2E"/>
    <w:rsid w:val="424D048E"/>
    <w:rsid w:val="425132C0"/>
    <w:rsid w:val="42764AD5"/>
    <w:rsid w:val="42C40215"/>
    <w:rsid w:val="42DD01B9"/>
    <w:rsid w:val="432151A6"/>
    <w:rsid w:val="43244531"/>
    <w:rsid w:val="43331C01"/>
    <w:rsid w:val="436A4639"/>
    <w:rsid w:val="43D917BF"/>
    <w:rsid w:val="44087827"/>
    <w:rsid w:val="44165EB2"/>
    <w:rsid w:val="44A1408B"/>
    <w:rsid w:val="44A27E03"/>
    <w:rsid w:val="44B31C25"/>
    <w:rsid w:val="45146224"/>
    <w:rsid w:val="45356EC9"/>
    <w:rsid w:val="45835E86"/>
    <w:rsid w:val="459040FF"/>
    <w:rsid w:val="45E713DD"/>
    <w:rsid w:val="46051D29"/>
    <w:rsid w:val="465A6BE7"/>
    <w:rsid w:val="46607AB3"/>
    <w:rsid w:val="46D46C6F"/>
    <w:rsid w:val="473A7753"/>
    <w:rsid w:val="473C009B"/>
    <w:rsid w:val="478210C3"/>
    <w:rsid w:val="480449EC"/>
    <w:rsid w:val="482E5B2A"/>
    <w:rsid w:val="488717E9"/>
    <w:rsid w:val="491C4628"/>
    <w:rsid w:val="49CB6F36"/>
    <w:rsid w:val="4A0A4F6C"/>
    <w:rsid w:val="4A3B4613"/>
    <w:rsid w:val="4A5E47CC"/>
    <w:rsid w:val="4A9662D5"/>
    <w:rsid w:val="4AE56CE5"/>
    <w:rsid w:val="4B430C4B"/>
    <w:rsid w:val="4B7818BD"/>
    <w:rsid w:val="4BCB5B62"/>
    <w:rsid w:val="4C212D79"/>
    <w:rsid w:val="4C502C78"/>
    <w:rsid w:val="4C971E6C"/>
    <w:rsid w:val="4CA961D2"/>
    <w:rsid w:val="4E1753BE"/>
    <w:rsid w:val="4EB513C3"/>
    <w:rsid w:val="4ECF2AAF"/>
    <w:rsid w:val="50373AF5"/>
    <w:rsid w:val="50904805"/>
    <w:rsid w:val="51025EB1"/>
    <w:rsid w:val="51620BA4"/>
    <w:rsid w:val="51790966"/>
    <w:rsid w:val="527B23BF"/>
    <w:rsid w:val="527C6137"/>
    <w:rsid w:val="52A55715"/>
    <w:rsid w:val="52BB5860"/>
    <w:rsid w:val="52D71D07"/>
    <w:rsid w:val="52F15371"/>
    <w:rsid w:val="530C74BB"/>
    <w:rsid w:val="530E3233"/>
    <w:rsid w:val="53135EC7"/>
    <w:rsid w:val="53312A7E"/>
    <w:rsid w:val="53473D49"/>
    <w:rsid w:val="53DF072C"/>
    <w:rsid w:val="53E65947"/>
    <w:rsid w:val="542A128E"/>
    <w:rsid w:val="544113E6"/>
    <w:rsid w:val="54954EE5"/>
    <w:rsid w:val="54D04518"/>
    <w:rsid w:val="552C79A0"/>
    <w:rsid w:val="55317208"/>
    <w:rsid w:val="55376425"/>
    <w:rsid w:val="558D768C"/>
    <w:rsid w:val="562260D0"/>
    <w:rsid w:val="56463E1B"/>
    <w:rsid w:val="566E5D97"/>
    <w:rsid w:val="567477CB"/>
    <w:rsid w:val="567C3952"/>
    <w:rsid w:val="568D3B12"/>
    <w:rsid w:val="56921A85"/>
    <w:rsid w:val="574D67C4"/>
    <w:rsid w:val="575024A4"/>
    <w:rsid w:val="57786E78"/>
    <w:rsid w:val="57A4443B"/>
    <w:rsid w:val="57DD31D4"/>
    <w:rsid w:val="57F32908"/>
    <w:rsid w:val="580544D9"/>
    <w:rsid w:val="58AC2BA6"/>
    <w:rsid w:val="58C03626"/>
    <w:rsid w:val="591470C9"/>
    <w:rsid w:val="593E5EF4"/>
    <w:rsid w:val="594D7513"/>
    <w:rsid w:val="595839FA"/>
    <w:rsid w:val="5972081E"/>
    <w:rsid w:val="59C3464B"/>
    <w:rsid w:val="5A6F1F67"/>
    <w:rsid w:val="5A845B89"/>
    <w:rsid w:val="5AD1124F"/>
    <w:rsid w:val="5B0920E0"/>
    <w:rsid w:val="5B501F0F"/>
    <w:rsid w:val="5B8A71CF"/>
    <w:rsid w:val="5CA97F1F"/>
    <w:rsid w:val="5CB169DD"/>
    <w:rsid w:val="5D083198"/>
    <w:rsid w:val="5D1D22C5"/>
    <w:rsid w:val="5D38322E"/>
    <w:rsid w:val="5D3B014C"/>
    <w:rsid w:val="5D5E6B65"/>
    <w:rsid w:val="5D635E8F"/>
    <w:rsid w:val="5D817997"/>
    <w:rsid w:val="5DC67F05"/>
    <w:rsid w:val="5E3D1179"/>
    <w:rsid w:val="5E877A95"/>
    <w:rsid w:val="5E8819C0"/>
    <w:rsid w:val="5EE510C5"/>
    <w:rsid w:val="5F0F007C"/>
    <w:rsid w:val="5F1C0A86"/>
    <w:rsid w:val="5F750196"/>
    <w:rsid w:val="5FB54A36"/>
    <w:rsid w:val="5FC64D0E"/>
    <w:rsid w:val="5FD56505"/>
    <w:rsid w:val="5FD62FDB"/>
    <w:rsid w:val="5FE87890"/>
    <w:rsid w:val="603262EF"/>
    <w:rsid w:val="605C4EB2"/>
    <w:rsid w:val="606D5311"/>
    <w:rsid w:val="60820DBC"/>
    <w:rsid w:val="611E4D98"/>
    <w:rsid w:val="611E5260"/>
    <w:rsid w:val="615009B4"/>
    <w:rsid w:val="61E76E94"/>
    <w:rsid w:val="622D4D58"/>
    <w:rsid w:val="624F1172"/>
    <w:rsid w:val="628D3A49"/>
    <w:rsid w:val="62E9687D"/>
    <w:rsid w:val="63497970"/>
    <w:rsid w:val="63A1155A"/>
    <w:rsid w:val="64041AE8"/>
    <w:rsid w:val="64850E7B"/>
    <w:rsid w:val="648F5856"/>
    <w:rsid w:val="654A5C21"/>
    <w:rsid w:val="65705687"/>
    <w:rsid w:val="657F58CB"/>
    <w:rsid w:val="65911904"/>
    <w:rsid w:val="659A5C5A"/>
    <w:rsid w:val="65AC6993"/>
    <w:rsid w:val="65B776B8"/>
    <w:rsid w:val="65F77B57"/>
    <w:rsid w:val="66652D12"/>
    <w:rsid w:val="66742345"/>
    <w:rsid w:val="66CA0BF5"/>
    <w:rsid w:val="672B53C1"/>
    <w:rsid w:val="67E11B40"/>
    <w:rsid w:val="68647EF3"/>
    <w:rsid w:val="68E5638C"/>
    <w:rsid w:val="68EA39A3"/>
    <w:rsid w:val="69085BD7"/>
    <w:rsid w:val="69801C11"/>
    <w:rsid w:val="69B442F1"/>
    <w:rsid w:val="69ED127A"/>
    <w:rsid w:val="6A01794D"/>
    <w:rsid w:val="6A1F1065"/>
    <w:rsid w:val="6A330664"/>
    <w:rsid w:val="6A492CA3"/>
    <w:rsid w:val="6A6600BF"/>
    <w:rsid w:val="6AF04B38"/>
    <w:rsid w:val="6AFF7221"/>
    <w:rsid w:val="6B3E625B"/>
    <w:rsid w:val="6B403D4E"/>
    <w:rsid w:val="6B480E55"/>
    <w:rsid w:val="6B7E4876"/>
    <w:rsid w:val="6BD247D5"/>
    <w:rsid w:val="6C051B17"/>
    <w:rsid w:val="6C101972"/>
    <w:rsid w:val="6C950E61"/>
    <w:rsid w:val="6C9C6D62"/>
    <w:rsid w:val="6D915A4F"/>
    <w:rsid w:val="6E8159A5"/>
    <w:rsid w:val="6E8E3022"/>
    <w:rsid w:val="6EA463A2"/>
    <w:rsid w:val="6EAC565D"/>
    <w:rsid w:val="6EB0168B"/>
    <w:rsid w:val="6EFE1F56"/>
    <w:rsid w:val="6F0B2A24"/>
    <w:rsid w:val="6F250E1D"/>
    <w:rsid w:val="6F2E3EBD"/>
    <w:rsid w:val="701027E0"/>
    <w:rsid w:val="701557A9"/>
    <w:rsid w:val="701B3393"/>
    <w:rsid w:val="70912956"/>
    <w:rsid w:val="70FF1FB5"/>
    <w:rsid w:val="71225C0C"/>
    <w:rsid w:val="7128150C"/>
    <w:rsid w:val="71297D55"/>
    <w:rsid w:val="71BC3A02"/>
    <w:rsid w:val="71F03DA9"/>
    <w:rsid w:val="72FC7376"/>
    <w:rsid w:val="73246F4A"/>
    <w:rsid w:val="73396F22"/>
    <w:rsid w:val="739E2F69"/>
    <w:rsid w:val="73B221D9"/>
    <w:rsid w:val="73B25680"/>
    <w:rsid w:val="74365CEE"/>
    <w:rsid w:val="74772D35"/>
    <w:rsid w:val="749A44CF"/>
    <w:rsid w:val="74D760B1"/>
    <w:rsid w:val="74EF031B"/>
    <w:rsid w:val="74EF57AE"/>
    <w:rsid w:val="7561323F"/>
    <w:rsid w:val="7581743D"/>
    <w:rsid w:val="75C85EFF"/>
    <w:rsid w:val="75DA6B4D"/>
    <w:rsid w:val="76380237"/>
    <w:rsid w:val="766449C3"/>
    <w:rsid w:val="76B33F67"/>
    <w:rsid w:val="76B84D6D"/>
    <w:rsid w:val="771244D7"/>
    <w:rsid w:val="771E3F3F"/>
    <w:rsid w:val="776203DB"/>
    <w:rsid w:val="77980A6E"/>
    <w:rsid w:val="77B00E21"/>
    <w:rsid w:val="78120744"/>
    <w:rsid w:val="78955EC2"/>
    <w:rsid w:val="78E308D4"/>
    <w:rsid w:val="79134850"/>
    <w:rsid w:val="792A094A"/>
    <w:rsid w:val="79415437"/>
    <w:rsid w:val="797942B0"/>
    <w:rsid w:val="797A1E18"/>
    <w:rsid w:val="799B77D5"/>
    <w:rsid w:val="79A951B4"/>
    <w:rsid w:val="79BC0A44"/>
    <w:rsid w:val="79D264B9"/>
    <w:rsid w:val="79EF706B"/>
    <w:rsid w:val="7A163D77"/>
    <w:rsid w:val="7A330376"/>
    <w:rsid w:val="7A635363"/>
    <w:rsid w:val="7A974B72"/>
    <w:rsid w:val="7A9F42A7"/>
    <w:rsid w:val="7ABC4A73"/>
    <w:rsid w:val="7B6B0973"/>
    <w:rsid w:val="7BB5015A"/>
    <w:rsid w:val="7BCD746B"/>
    <w:rsid w:val="7BCE5364"/>
    <w:rsid w:val="7BD04C7A"/>
    <w:rsid w:val="7C2154D6"/>
    <w:rsid w:val="7C6A0C2B"/>
    <w:rsid w:val="7CA61109"/>
    <w:rsid w:val="7CC86220"/>
    <w:rsid w:val="7CFE1010"/>
    <w:rsid w:val="7D5A0C9F"/>
    <w:rsid w:val="7D602734"/>
    <w:rsid w:val="7D65637E"/>
    <w:rsid w:val="7D933BA1"/>
    <w:rsid w:val="7DBB0938"/>
    <w:rsid w:val="7DF51F7E"/>
    <w:rsid w:val="7E051A7C"/>
    <w:rsid w:val="7E173C3D"/>
    <w:rsid w:val="7EC468CC"/>
    <w:rsid w:val="7EDC55FB"/>
    <w:rsid w:val="7EE66E5D"/>
    <w:rsid w:val="7F0C421B"/>
    <w:rsid w:val="7F4D7BB8"/>
    <w:rsid w:val="7F511C2E"/>
    <w:rsid w:val="7F6556D9"/>
    <w:rsid w:val="7F857B2A"/>
    <w:rsid w:val="B7FA08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9"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1"/>
    <w:pPr>
      <w:spacing w:before="55"/>
      <w:jc w:val="center"/>
      <w:outlineLvl w:val="1"/>
    </w:pPr>
    <w:rPr>
      <w:rFonts w:ascii="宋体" w:hAnsi="宋体" w:eastAsia="宋体" w:cs="宋体"/>
      <w:b/>
      <w:bCs/>
      <w:sz w:val="32"/>
      <w:szCs w:val="32"/>
    </w:rPr>
  </w:style>
  <w:style w:type="paragraph" w:styleId="4">
    <w:name w:val="heading 3"/>
    <w:basedOn w:val="1"/>
    <w:next w:val="1"/>
    <w:autoRedefine/>
    <w:unhideWhenUsed/>
    <w:qFormat/>
    <w:uiPriority w:val="9"/>
    <w:pPr>
      <w:keepNext/>
      <w:keepLines/>
      <w:jc w:val="center"/>
      <w:outlineLvl w:val="2"/>
    </w:pPr>
    <w:rPr>
      <w:b/>
      <w:bCs/>
      <w:szCs w:val="32"/>
    </w:rPr>
  </w:style>
  <w:style w:type="paragraph" w:styleId="5">
    <w:name w:val="heading 4"/>
    <w:basedOn w:val="1"/>
    <w:next w:val="1"/>
    <w:autoRedefine/>
    <w:qFormat/>
    <w:uiPriority w:val="0"/>
    <w:pPr>
      <w:keepNext/>
      <w:keepLines/>
      <w:outlineLvl w:val="3"/>
    </w:pPr>
    <w:rPr>
      <w:rFonts w:ascii="Arial" w:hAnsi="Arial" w:eastAsia="黑体"/>
      <w:bCs/>
      <w:kern w:val="0"/>
      <w:sz w:val="24"/>
      <w:szCs w:val="28"/>
    </w:rPr>
  </w:style>
  <w:style w:type="paragraph" w:styleId="6">
    <w:name w:val="heading 5"/>
    <w:basedOn w:val="1"/>
    <w:next w:val="1"/>
    <w:autoRedefine/>
    <w:qFormat/>
    <w:uiPriority w:val="0"/>
    <w:pPr>
      <w:keepNext/>
      <w:keepLines/>
      <w:spacing w:before="280" w:beforeLines="0" w:after="290" w:afterLines="0" w:line="376" w:lineRule="auto"/>
      <w:outlineLvl w:val="4"/>
    </w:pPr>
    <w:rPr>
      <w:b/>
      <w:bCs/>
      <w:sz w:val="28"/>
      <w:szCs w:val="28"/>
    </w:rPr>
  </w:style>
  <w:style w:type="character" w:default="1" w:styleId="30">
    <w:name w:val="Default Paragraph Font"/>
    <w:autoRedefine/>
    <w:semiHidden/>
    <w:unhideWhenUsed/>
    <w:qFormat/>
    <w:uiPriority w:val="1"/>
  </w:style>
  <w:style w:type="table" w:default="1" w:styleId="28">
    <w:name w:val="Normal Table"/>
    <w:autoRedefine/>
    <w:semiHidden/>
    <w:unhideWhenUsed/>
    <w:qFormat/>
    <w:uiPriority w:val="99"/>
    <w:tblPr>
      <w:tblCellMar>
        <w:top w:w="0" w:type="dxa"/>
        <w:left w:w="108" w:type="dxa"/>
        <w:bottom w:w="0" w:type="dxa"/>
        <w:right w:w="108" w:type="dxa"/>
      </w:tblCellMar>
    </w:tblPr>
  </w:style>
  <w:style w:type="paragraph" w:styleId="7">
    <w:name w:val="table of authorities"/>
    <w:basedOn w:val="1"/>
    <w:next w:val="1"/>
    <w:autoRedefine/>
    <w:qFormat/>
    <w:uiPriority w:val="99"/>
    <w:pPr>
      <w:ind w:left="420" w:leftChars="200"/>
    </w:pPr>
  </w:style>
  <w:style w:type="paragraph" w:styleId="8">
    <w:name w:val="Normal Indent"/>
    <w:basedOn w:val="1"/>
    <w:next w:val="1"/>
    <w:autoRedefine/>
    <w:qFormat/>
    <w:uiPriority w:val="0"/>
    <w:pPr>
      <w:spacing w:line="425" w:lineRule="atLeast"/>
      <w:ind w:firstLine="420" w:firstLineChars="200"/>
    </w:pPr>
    <w:rPr>
      <w:rFonts w:ascii="Times New Roman" w:hAnsi="Times New Roman" w:eastAsia="宋体" w:cs="Times New Roman"/>
      <w:szCs w:val="20"/>
      <w:u w:color="000000"/>
    </w:rPr>
  </w:style>
  <w:style w:type="paragraph" w:styleId="9">
    <w:name w:val="annotation text"/>
    <w:basedOn w:val="1"/>
    <w:autoRedefine/>
    <w:qFormat/>
    <w:uiPriority w:val="0"/>
    <w:pPr>
      <w:jc w:val="left"/>
    </w:pPr>
  </w:style>
  <w:style w:type="paragraph" w:styleId="10">
    <w:name w:val="Body Text"/>
    <w:basedOn w:val="1"/>
    <w:next w:val="11"/>
    <w:autoRedefine/>
    <w:qFormat/>
    <w:uiPriority w:val="1"/>
    <w:rPr>
      <w:rFonts w:ascii="宋体" w:hAnsi="宋体" w:eastAsia="宋体" w:cs="宋体"/>
    </w:rPr>
  </w:style>
  <w:style w:type="paragraph" w:customStyle="1" w:styleId="11">
    <w:name w:val="style4"/>
    <w:basedOn w:val="1"/>
    <w:next w:val="12"/>
    <w:autoRedefine/>
    <w:qFormat/>
    <w:uiPriority w:val="0"/>
    <w:pPr>
      <w:widowControl/>
      <w:spacing w:before="100" w:beforeAutospacing="1" w:after="100" w:afterAutospacing="1"/>
      <w:jc w:val="left"/>
    </w:pPr>
    <w:rPr>
      <w:rFonts w:hint="eastAsia" w:ascii="宋体" w:hAnsi="宋体"/>
      <w:kern w:val="0"/>
      <w:sz w:val="18"/>
    </w:rPr>
  </w:style>
  <w:style w:type="paragraph" w:customStyle="1" w:styleId="12">
    <w:name w:val="2"/>
    <w:next w:val="1"/>
    <w:autoRedefine/>
    <w:qFormat/>
    <w:uiPriority w:val="0"/>
    <w:pPr>
      <w:widowControl w:val="0"/>
      <w:jc w:val="both"/>
    </w:pPr>
    <w:rPr>
      <w:rFonts w:ascii="Times New Roman" w:hAnsi="Times New Roman" w:eastAsia="宋体" w:cs="Times New Roman"/>
      <w:sz w:val="21"/>
      <w:lang w:val="en-US" w:eastAsia="zh-CN" w:bidi="ar-SA"/>
    </w:rPr>
  </w:style>
  <w:style w:type="paragraph" w:styleId="13">
    <w:name w:val="Body Text Indent"/>
    <w:basedOn w:val="1"/>
    <w:link w:val="61"/>
    <w:autoRedefine/>
    <w:qFormat/>
    <w:uiPriority w:val="0"/>
    <w:pPr>
      <w:spacing w:after="120"/>
      <w:ind w:left="420" w:leftChars="200"/>
    </w:pPr>
  </w:style>
  <w:style w:type="paragraph" w:styleId="14">
    <w:name w:val="index 4"/>
    <w:basedOn w:val="1"/>
    <w:next w:val="1"/>
    <w:autoRedefine/>
    <w:qFormat/>
    <w:uiPriority w:val="0"/>
    <w:pPr>
      <w:spacing w:beforeLines="40" w:afterLines="40" w:line="300" w:lineRule="auto"/>
      <w:ind w:left="600" w:leftChars="600"/>
    </w:pPr>
    <w:rPr>
      <w:rFonts w:ascii="Times New Roman" w:hAnsi="Times New Roman"/>
      <w:sz w:val="24"/>
      <w:szCs w:val="24"/>
    </w:rPr>
  </w:style>
  <w:style w:type="paragraph" w:styleId="15">
    <w:name w:val="toc 3"/>
    <w:basedOn w:val="1"/>
    <w:next w:val="1"/>
    <w:autoRedefine/>
    <w:qFormat/>
    <w:uiPriority w:val="0"/>
    <w:pPr>
      <w:ind w:left="840" w:leftChars="400"/>
    </w:pPr>
  </w:style>
  <w:style w:type="paragraph" w:styleId="16">
    <w:name w:val="Plain Text"/>
    <w:basedOn w:val="1"/>
    <w:next w:val="1"/>
    <w:autoRedefine/>
    <w:qFormat/>
    <w:uiPriority w:val="99"/>
    <w:pPr>
      <w:autoSpaceDE w:val="0"/>
      <w:autoSpaceDN w:val="0"/>
      <w:adjustRightInd w:val="0"/>
    </w:pPr>
    <w:rPr>
      <w:rFonts w:ascii="宋体" w:hAnsi="Tms Rmn"/>
      <w:kern w:val="0"/>
      <w:szCs w:val="20"/>
    </w:rPr>
  </w:style>
  <w:style w:type="paragraph" w:styleId="17">
    <w:name w:val="footer"/>
    <w:basedOn w:val="1"/>
    <w:autoRedefine/>
    <w:qFormat/>
    <w:uiPriority w:val="0"/>
    <w:pPr>
      <w:tabs>
        <w:tab w:val="center" w:pos="4153"/>
        <w:tab w:val="right" w:pos="8306"/>
      </w:tabs>
    </w:pPr>
    <w:rPr>
      <w:sz w:val="18"/>
    </w:rPr>
  </w:style>
  <w:style w:type="paragraph" w:styleId="18">
    <w:name w:val="envelope return"/>
    <w:basedOn w:val="1"/>
    <w:autoRedefine/>
    <w:qFormat/>
    <w:uiPriority w:val="0"/>
    <w:pPr>
      <w:snapToGrid w:val="0"/>
    </w:pPr>
    <w:rPr>
      <w:rFonts w:ascii="Arial" w:hAnsi="Arial"/>
    </w:rPr>
  </w:style>
  <w:style w:type="paragraph" w:styleId="1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20">
    <w:name w:val="toc 1"/>
    <w:basedOn w:val="1"/>
    <w:next w:val="1"/>
    <w:autoRedefine/>
    <w:qFormat/>
    <w:uiPriority w:val="0"/>
  </w:style>
  <w:style w:type="paragraph" w:styleId="21">
    <w:name w:val="Subtitle"/>
    <w:basedOn w:val="1"/>
    <w:next w:val="1"/>
    <w:link w:val="63"/>
    <w:autoRedefine/>
    <w:qFormat/>
    <w:uiPriority w:val="0"/>
    <w:pPr>
      <w:widowControl w:val="0"/>
      <w:kinsoku/>
      <w:autoSpaceDE/>
      <w:autoSpaceDN/>
      <w:adjustRightInd/>
      <w:snapToGrid/>
      <w:spacing w:before="240" w:after="60" w:line="312" w:lineRule="auto"/>
      <w:jc w:val="center"/>
      <w:textAlignment w:val="auto"/>
      <w:outlineLvl w:val="1"/>
    </w:pPr>
    <w:rPr>
      <w:rFonts w:ascii="Cambria" w:hAnsi="Cambria" w:eastAsia="宋体" w:cs="Times New Roman"/>
      <w:b/>
      <w:bCs/>
      <w:snapToGrid/>
      <w:color w:val="auto"/>
      <w:kern w:val="28"/>
      <w:sz w:val="32"/>
      <w:szCs w:val="32"/>
    </w:rPr>
  </w:style>
  <w:style w:type="paragraph" w:styleId="22">
    <w:name w:val="footnote text"/>
    <w:basedOn w:val="1"/>
    <w:autoRedefine/>
    <w:unhideWhenUsed/>
    <w:qFormat/>
    <w:uiPriority w:val="99"/>
    <w:pPr>
      <w:tabs>
        <w:tab w:val="left" w:pos="420"/>
      </w:tabs>
      <w:snapToGrid w:val="0"/>
    </w:pPr>
    <w:rPr>
      <w:sz w:val="18"/>
      <w:szCs w:val="18"/>
    </w:rPr>
  </w:style>
  <w:style w:type="paragraph" w:styleId="23">
    <w:name w:val="toc 2"/>
    <w:basedOn w:val="1"/>
    <w:next w:val="1"/>
    <w:autoRedefine/>
    <w:qFormat/>
    <w:uiPriority w:val="0"/>
    <w:pPr>
      <w:ind w:left="420" w:leftChars="200"/>
    </w:pPr>
  </w:style>
  <w:style w:type="paragraph" w:styleId="24">
    <w:name w:val="Body Text 2"/>
    <w:basedOn w:val="1"/>
    <w:autoRedefine/>
    <w:qFormat/>
    <w:uiPriority w:val="0"/>
    <w:pPr>
      <w:suppressAutoHyphens/>
    </w:pPr>
    <w:rPr>
      <w:rFonts w:ascii="Calibri" w:hAnsi="Calibri" w:eastAsia="宋体" w:cs="Times New Roman"/>
      <w:sz w:val="28"/>
      <w:szCs w:val="28"/>
    </w:rPr>
  </w:style>
  <w:style w:type="paragraph" w:styleId="25">
    <w:name w:val="Normal (Web)"/>
    <w:basedOn w:val="1"/>
    <w:autoRedefine/>
    <w:qFormat/>
    <w:uiPriority w:val="0"/>
    <w:pPr>
      <w:spacing w:before="100" w:beforeAutospacing="1" w:after="100" w:afterAutospacing="1"/>
    </w:pPr>
    <w:rPr>
      <w:rFonts w:cs="Times New Roman"/>
      <w:sz w:val="24"/>
    </w:rPr>
  </w:style>
  <w:style w:type="paragraph" w:styleId="26">
    <w:name w:val="Body Text First Indent"/>
    <w:basedOn w:val="10"/>
    <w:next w:val="1"/>
    <w:autoRedefine/>
    <w:qFormat/>
    <w:uiPriority w:val="0"/>
    <w:pPr>
      <w:ind w:firstLine="420" w:firstLineChars="100"/>
    </w:pPr>
  </w:style>
  <w:style w:type="paragraph" w:styleId="27">
    <w:name w:val="Body Text First Indent 2"/>
    <w:basedOn w:val="13"/>
    <w:autoRedefine/>
    <w:unhideWhenUsed/>
    <w:qFormat/>
    <w:uiPriority w:val="99"/>
    <w:pPr>
      <w:ind w:firstLine="420" w:firstLineChars="200"/>
    </w:pPr>
  </w:style>
  <w:style w:type="table" w:styleId="29">
    <w:name w:val="Table Grid"/>
    <w:basedOn w:val="2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Strong"/>
    <w:basedOn w:val="30"/>
    <w:autoRedefine/>
    <w:qFormat/>
    <w:uiPriority w:val="0"/>
  </w:style>
  <w:style w:type="character" w:styleId="32">
    <w:name w:val="FollowedHyperlink"/>
    <w:basedOn w:val="30"/>
    <w:autoRedefine/>
    <w:qFormat/>
    <w:uiPriority w:val="0"/>
    <w:rPr>
      <w:color w:val="333333"/>
      <w:u w:val="none"/>
    </w:rPr>
  </w:style>
  <w:style w:type="character" w:styleId="33">
    <w:name w:val="Emphasis"/>
    <w:basedOn w:val="30"/>
    <w:autoRedefine/>
    <w:qFormat/>
    <w:uiPriority w:val="0"/>
  </w:style>
  <w:style w:type="character" w:styleId="34">
    <w:name w:val="HTML Definition"/>
    <w:basedOn w:val="30"/>
    <w:autoRedefine/>
    <w:qFormat/>
    <w:uiPriority w:val="0"/>
  </w:style>
  <w:style w:type="character" w:styleId="35">
    <w:name w:val="HTML Typewriter"/>
    <w:basedOn w:val="30"/>
    <w:autoRedefine/>
    <w:qFormat/>
    <w:uiPriority w:val="0"/>
    <w:rPr>
      <w:rFonts w:hint="default" w:ascii="monospace" w:hAnsi="monospace" w:eastAsia="monospace" w:cs="monospace"/>
      <w:sz w:val="20"/>
    </w:rPr>
  </w:style>
  <w:style w:type="character" w:styleId="36">
    <w:name w:val="HTML Acronym"/>
    <w:basedOn w:val="30"/>
    <w:autoRedefine/>
    <w:qFormat/>
    <w:uiPriority w:val="0"/>
  </w:style>
  <w:style w:type="character" w:styleId="37">
    <w:name w:val="HTML Variable"/>
    <w:basedOn w:val="30"/>
    <w:autoRedefine/>
    <w:qFormat/>
    <w:uiPriority w:val="0"/>
  </w:style>
  <w:style w:type="character" w:styleId="38">
    <w:name w:val="Hyperlink"/>
    <w:basedOn w:val="30"/>
    <w:autoRedefine/>
    <w:qFormat/>
    <w:uiPriority w:val="0"/>
    <w:rPr>
      <w:color w:val="333333"/>
      <w:u w:val="none"/>
    </w:rPr>
  </w:style>
  <w:style w:type="character" w:styleId="39">
    <w:name w:val="HTML Code"/>
    <w:basedOn w:val="30"/>
    <w:autoRedefine/>
    <w:qFormat/>
    <w:uiPriority w:val="0"/>
    <w:rPr>
      <w:rFonts w:hint="default" w:ascii="monospace" w:hAnsi="monospace" w:eastAsia="monospace" w:cs="monospace"/>
      <w:sz w:val="20"/>
    </w:rPr>
  </w:style>
  <w:style w:type="character" w:styleId="40">
    <w:name w:val="HTML Cite"/>
    <w:basedOn w:val="30"/>
    <w:autoRedefine/>
    <w:qFormat/>
    <w:uiPriority w:val="0"/>
  </w:style>
  <w:style w:type="character" w:styleId="41">
    <w:name w:val="HTML Keyboard"/>
    <w:basedOn w:val="30"/>
    <w:autoRedefine/>
    <w:qFormat/>
    <w:uiPriority w:val="0"/>
    <w:rPr>
      <w:rFonts w:hint="default" w:ascii="monospace" w:hAnsi="monospace" w:eastAsia="monospace" w:cs="monospace"/>
      <w:sz w:val="20"/>
    </w:rPr>
  </w:style>
  <w:style w:type="character" w:styleId="42">
    <w:name w:val="HTML Sample"/>
    <w:basedOn w:val="30"/>
    <w:autoRedefine/>
    <w:qFormat/>
    <w:uiPriority w:val="0"/>
    <w:rPr>
      <w:rFonts w:ascii="monospace" w:hAnsi="monospace" w:eastAsia="monospace" w:cs="monospace"/>
    </w:rPr>
  </w:style>
  <w:style w:type="paragraph" w:customStyle="1" w:styleId="43">
    <w:name w:val="无间隔1"/>
    <w:basedOn w:val="1"/>
    <w:autoRedefine/>
    <w:qFormat/>
    <w:uiPriority w:val="99"/>
    <w:pPr>
      <w:spacing w:line="400" w:lineRule="exact"/>
    </w:pPr>
  </w:style>
  <w:style w:type="paragraph" w:customStyle="1" w:styleId="44">
    <w:name w:val="Default"/>
    <w:next w:val="1"/>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table" w:customStyle="1" w:styleId="45">
    <w:name w:val="Table Normal"/>
    <w:autoRedefine/>
    <w:semiHidden/>
    <w:unhideWhenUsed/>
    <w:qFormat/>
    <w:uiPriority w:val="0"/>
    <w:tblPr>
      <w:tblCellMar>
        <w:top w:w="0" w:type="dxa"/>
        <w:left w:w="0" w:type="dxa"/>
        <w:bottom w:w="0" w:type="dxa"/>
        <w:right w:w="0" w:type="dxa"/>
      </w:tblCellMar>
    </w:tblPr>
  </w:style>
  <w:style w:type="paragraph" w:customStyle="1" w:styleId="46">
    <w:name w:val="Table Paragraph"/>
    <w:basedOn w:val="1"/>
    <w:autoRedefine/>
    <w:qFormat/>
    <w:uiPriority w:val="1"/>
    <w:rPr>
      <w:rFonts w:ascii="宋体" w:hAnsi="宋体" w:eastAsia="宋体" w:cs="宋体"/>
    </w:rPr>
  </w:style>
  <w:style w:type="character" w:customStyle="1" w:styleId="47">
    <w:name w:val="fontstyle01"/>
    <w:basedOn w:val="30"/>
    <w:autoRedefine/>
    <w:qFormat/>
    <w:uiPriority w:val="0"/>
    <w:rPr>
      <w:rFonts w:hint="eastAsia" w:ascii="宋体" w:hAnsi="宋体" w:eastAsia="宋体"/>
      <w:color w:val="000000"/>
      <w:sz w:val="30"/>
      <w:szCs w:val="30"/>
    </w:rPr>
  </w:style>
  <w:style w:type="paragraph" w:customStyle="1" w:styleId="48">
    <w:name w:val="Pa0"/>
    <w:basedOn w:val="1"/>
    <w:next w:val="1"/>
    <w:autoRedefine/>
    <w:qFormat/>
    <w:uiPriority w:val="99"/>
    <w:pPr>
      <w:spacing w:line="241" w:lineRule="atLeast"/>
    </w:pPr>
    <w:rPr>
      <w:rFonts w:ascii="Yu Gothic UI Light" w:hAnsi="Calibri" w:eastAsia="Yu Gothic UI Light" w:cs="Times New Roman"/>
      <w:szCs w:val="24"/>
    </w:rPr>
  </w:style>
  <w:style w:type="paragraph" w:customStyle="1" w:styleId="49">
    <w:name w:val="列出段落1"/>
    <w:basedOn w:val="1"/>
    <w:autoRedefine/>
    <w:qFormat/>
    <w:uiPriority w:val="34"/>
    <w:pPr>
      <w:ind w:firstLine="420" w:firstLineChars="200"/>
    </w:pPr>
  </w:style>
  <w:style w:type="paragraph" w:customStyle="1" w:styleId="50">
    <w:name w:val="列出段落11"/>
    <w:basedOn w:val="1"/>
    <w:autoRedefine/>
    <w:qFormat/>
    <w:uiPriority w:val="0"/>
    <w:pPr>
      <w:ind w:firstLine="420" w:firstLineChars="200"/>
    </w:pPr>
    <w:rPr>
      <w:rFonts w:ascii="Calibri" w:hAnsi="Calibri" w:eastAsia="宋体" w:cs="Times New Roman"/>
    </w:rPr>
  </w:style>
  <w:style w:type="character" w:customStyle="1" w:styleId="51">
    <w:name w:val="font31"/>
    <w:basedOn w:val="30"/>
    <w:autoRedefine/>
    <w:qFormat/>
    <w:uiPriority w:val="0"/>
    <w:rPr>
      <w:rFonts w:hint="eastAsia" w:ascii="微软雅黑" w:hAnsi="微软雅黑" w:eastAsia="微软雅黑" w:cs="微软雅黑"/>
      <w:color w:val="000000"/>
      <w:sz w:val="16"/>
      <w:szCs w:val="16"/>
      <w:u w:val="none"/>
    </w:rPr>
  </w:style>
  <w:style w:type="character" w:customStyle="1" w:styleId="52">
    <w:name w:val="font41"/>
    <w:basedOn w:val="30"/>
    <w:autoRedefine/>
    <w:qFormat/>
    <w:uiPriority w:val="0"/>
    <w:rPr>
      <w:rFonts w:ascii="Arial" w:hAnsi="Arial" w:cs="Arial"/>
      <w:color w:val="000000"/>
      <w:sz w:val="16"/>
      <w:szCs w:val="16"/>
      <w:u w:val="none"/>
    </w:rPr>
  </w:style>
  <w:style w:type="character" w:customStyle="1" w:styleId="53">
    <w:name w:val="font21"/>
    <w:basedOn w:val="30"/>
    <w:autoRedefine/>
    <w:qFormat/>
    <w:uiPriority w:val="0"/>
    <w:rPr>
      <w:rFonts w:hint="eastAsia" w:ascii="宋体" w:hAnsi="宋体" w:eastAsia="宋体" w:cs="宋体"/>
      <w:color w:val="000000"/>
      <w:sz w:val="21"/>
      <w:szCs w:val="21"/>
      <w:u w:val="none"/>
    </w:rPr>
  </w:style>
  <w:style w:type="character" w:customStyle="1" w:styleId="54">
    <w:name w:val="font11"/>
    <w:basedOn w:val="30"/>
    <w:autoRedefine/>
    <w:qFormat/>
    <w:uiPriority w:val="0"/>
    <w:rPr>
      <w:rFonts w:hint="eastAsia" w:ascii="宋体" w:hAnsi="宋体" w:eastAsia="宋体" w:cs="宋体"/>
      <w:color w:val="000000"/>
      <w:sz w:val="24"/>
      <w:szCs w:val="24"/>
      <w:u w:val="none"/>
    </w:rPr>
  </w:style>
  <w:style w:type="character" w:customStyle="1" w:styleId="55">
    <w:name w:val="font61"/>
    <w:basedOn w:val="30"/>
    <w:autoRedefine/>
    <w:qFormat/>
    <w:uiPriority w:val="0"/>
    <w:rPr>
      <w:rFonts w:hint="eastAsia" w:ascii="宋体" w:hAnsi="宋体" w:eastAsia="宋体" w:cs="宋体"/>
      <w:color w:val="000000"/>
      <w:sz w:val="22"/>
      <w:szCs w:val="22"/>
      <w:u w:val="none"/>
    </w:rPr>
  </w:style>
  <w:style w:type="character" w:customStyle="1" w:styleId="56">
    <w:name w:val="font81"/>
    <w:basedOn w:val="30"/>
    <w:autoRedefine/>
    <w:qFormat/>
    <w:uiPriority w:val="0"/>
    <w:rPr>
      <w:rFonts w:ascii="Arial" w:hAnsi="Arial" w:cs="Arial"/>
      <w:color w:val="000000"/>
      <w:sz w:val="22"/>
      <w:szCs w:val="22"/>
      <w:u w:val="none"/>
    </w:rPr>
  </w:style>
  <w:style w:type="character" w:customStyle="1" w:styleId="57">
    <w:name w:val="font91"/>
    <w:basedOn w:val="30"/>
    <w:autoRedefine/>
    <w:qFormat/>
    <w:uiPriority w:val="0"/>
    <w:rPr>
      <w:rFonts w:ascii="宋体" w:hAnsi="宋体" w:eastAsia="宋体" w:cs="宋体"/>
      <w:color w:val="000000"/>
      <w:sz w:val="22"/>
      <w:szCs w:val="22"/>
      <w:u w:val="none"/>
    </w:rPr>
  </w:style>
  <w:style w:type="character" w:customStyle="1" w:styleId="58">
    <w:name w:val="font101"/>
    <w:basedOn w:val="30"/>
    <w:autoRedefine/>
    <w:qFormat/>
    <w:uiPriority w:val="0"/>
    <w:rPr>
      <w:rFonts w:hint="default" w:ascii="Times New Roman" w:hAnsi="Times New Roman" w:cs="Times New Roman"/>
      <w:color w:val="000000"/>
      <w:sz w:val="22"/>
      <w:szCs w:val="22"/>
      <w:u w:val="none"/>
    </w:rPr>
  </w:style>
  <w:style w:type="character" w:customStyle="1" w:styleId="59">
    <w:name w:val="font51"/>
    <w:basedOn w:val="30"/>
    <w:autoRedefine/>
    <w:qFormat/>
    <w:uiPriority w:val="0"/>
    <w:rPr>
      <w:rFonts w:hint="default" w:ascii="Times New Roman" w:hAnsi="Times New Roman" w:cs="Times New Roman"/>
      <w:color w:val="000000"/>
      <w:sz w:val="22"/>
      <w:szCs w:val="22"/>
      <w:u w:val="none"/>
    </w:rPr>
  </w:style>
  <w:style w:type="paragraph" w:customStyle="1" w:styleId="60">
    <w:name w:val="样式"/>
    <w:basedOn w:val="1"/>
    <w:autoRedefine/>
    <w:qFormat/>
    <w:uiPriority w:val="0"/>
    <w:pPr>
      <w:widowControl w:val="0"/>
      <w:kinsoku/>
      <w:snapToGrid/>
      <w:textAlignment w:val="auto"/>
    </w:pPr>
    <w:rPr>
      <w:rFonts w:ascii="宋体" w:hAnsi="宋体" w:eastAsia="宋体" w:cs="宋体"/>
      <w:snapToGrid/>
      <w:color w:val="auto"/>
      <w:sz w:val="24"/>
      <w:szCs w:val="24"/>
    </w:rPr>
  </w:style>
  <w:style w:type="character" w:customStyle="1" w:styleId="61">
    <w:name w:val="正文文本缩进 Char"/>
    <w:basedOn w:val="30"/>
    <w:link w:val="13"/>
    <w:autoRedefine/>
    <w:qFormat/>
    <w:uiPriority w:val="0"/>
    <w:rPr>
      <w:rFonts w:ascii="Arial" w:hAnsi="Arial" w:eastAsia="Arial" w:cs="Arial"/>
      <w:snapToGrid w:val="0"/>
      <w:color w:val="000000"/>
      <w:sz w:val="21"/>
      <w:szCs w:val="21"/>
    </w:rPr>
  </w:style>
  <w:style w:type="paragraph" w:customStyle="1" w:styleId="62">
    <w:name w:val="Body text|2"/>
    <w:basedOn w:val="1"/>
    <w:autoRedefine/>
    <w:qFormat/>
    <w:uiPriority w:val="0"/>
    <w:pPr>
      <w:widowControl w:val="0"/>
      <w:kinsoku/>
      <w:autoSpaceDE/>
      <w:autoSpaceDN/>
      <w:adjustRightInd/>
      <w:snapToGrid/>
      <w:spacing w:after="420" w:line="393" w:lineRule="exact"/>
      <w:jc w:val="center"/>
      <w:textAlignment w:val="auto"/>
    </w:pPr>
    <w:rPr>
      <w:rFonts w:ascii="MingLiU-ExtB" w:hAnsi="MingLiU-ExtB" w:eastAsia="MingLiU-ExtB" w:cs="MingLiU-ExtB"/>
      <w:snapToGrid/>
      <w:color w:val="auto"/>
      <w:kern w:val="2"/>
      <w:lang w:val="zh-TW" w:eastAsia="zh-TW" w:bidi="zh-TW"/>
    </w:rPr>
  </w:style>
  <w:style w:type="character" w:customStyle="1" w:styleId="63">
    <w:name w:val="副标题 Char"/>
    <w:basedOn w:val="30"/>
    <w:link w:val="21"/>
    <w:autoRedefine/>
    <w:qFormat/>
    <w:uiPriority w:val="0"/>
    <w:rPr>
      <w:rFonts w:ascii="Cambria" w:hAnsi="Cambria"/>
      <w:b/>
      <w:bCs/>
      <w:kern w:val="28"/>
      <w:sz w:val="32"/>
      <w:szCs w:val="32"/>
    </w:rPr>
  </w:style>
  <w:style w:type="paragraph" w:customStyle="1" w:styleId="64">
    <w:name w:val="BodyText"/>
    <w:basedOn w:val="1"/>
    <w:autoRedefine/>
    <w:qFormat/>
    <w:uiPriority w:val="0"/>
    <w:pPr>
      <w:widowControl w:val="0"/>
      <w:kinsoku/>
      <w:autoSpaceDE/>
      <w:autoSpaceDN/>
      <w:adjustRightInd/>
      <w:snapToGrid/>
      <w:spacing w:after="120" w:line="360" w:lineRule="auto"/>
      <w:jc w:val="both"/>
    </w:pPr>
    <w:rPr>
      <w:rFonts w:ascii="Times New Roman" w:hAnsi="Times New Roman" w:eastAsia="宋体" w:cs="Times New Roman"/>
      <w:snapToGrid/>
      <w:color w:val="auto"/>
      <w:kern w:val="2"/>
      <w:szCs w:val="22"/>
    </w:rPr>
  </w:style>
  <w:style w:type="paragraph" w:customStyle="1" w:styleId="65">
    <w:name w:val="Body text|1"/>
    <w:basedOn w:val="1"/>
    <w:autoRedefine/>
    <w:qFormat/>
    <w:uiPriority w:val="99"/>
    <w:pPr>
      <w:spacing w:line="466" w:lineRule="exact"/>
      <w:ind w:firstLine="480"/>
      <w:jc w:val="left"/>
    </w:pPr>
    <w:rPr>
      <w:rFonts w:ascii="宋体" w:hAnsi="宋体" w:eastAsia="宋体" w:cs="宋体"/>
      <w:kern w:val="0"/>
      <w:sz w:val="26"/>
      <w:szCs w:val="26"/>
      <w:lang w:val="zh-TW" w:eastAsia="zh-TW"/>
    </w:rPr>
  </w:style>
  <w:style w:type="character" w:customStyle="1" w:styleId="66">
    <w:name w:val="font71"/>
    <w:basedOn w:val="30"/>
    <w:autoRedefine/>
    <w:qFormat/>
    <w:uiPriority w:val="0"/>
    <w:rPr>
      <w:rFonts w:hint="default" w:ascii="Times New Roman" w:hAnsi="Times New Roman" w:cs="Times New Roman"/>
      <w:b/>
      <w:bCs/>
      <w:color w:val="000000"/>
      <w:sz w:val="20"/>
      <w:szCs w:val="20"/>
      <w:u w:val="none"/>
    </w:rPr>
  </w:style>
  <w:style w:type="paragraph" w:customStyle="1" w:styleId="67">
    <w:name w:val="_Style 45"/>
    <w:basedOn w:val="1"/>
    <w:next w:val="1"/>
    <w:autoRedefine/>
    <w:qFormat/>
    <w:uiPriority w:val="0"/>
    <w:pPr>
      <w:pBdr>
        <w:bottom w:val="single" w:color="auto" w:sz="6" w:space="1"/>
      </w:pBdr>
      <w:jc w:val="center"/>
    </w:pPr>
    <w:rPr>
      <w:rFonts w:ascii="Arial" w:eastAsia="宋体"/>
      <w:vanish/>
      <w:sz w:val="16"/>
    </w:rPr>
  </w:style>
  <w:style w:type="paragraph" w:customStyle="1" w:styleId="68">
    <w:name w:val="_Style 46"/>
    <w:basedOn w:val="1"/>
    <w:next w:val="1"/>
    <w:autoRedefine/>
    <w:qFormat/>
    <w:uiPriority w:val="0"/>
    <w:pPr>
      <w:pBdr>
        <w:top w:val="single" w:color="auto" w:sz="6" w:space="1"/>
      </w:pBdr>
      <w:jc w:val="center"/>
    </w:pPr>
    <w:rPr>
      <w:rFonts w:ascii="Arial" w:eastAsia="宋体"/>
      <w:vanish/>
      <w:sz w:val="16"/>
    </w:rPr>
  </w:style>
  <w:style w:type="character" w:customStyle="1" w:styleId="69">
    <w:name w:val="font01"/>
    <w:basedOn w:val="30"/>
    <w:autoRedefine/>
    <w:qFormat/>
    <w:uiPriority w:val="0"/>
    <w:rPr>
      <w:rFonts w:hint="eastAsia" w:ascii="宋体" w:hAnsi="宋体" w:eastAsia="宋体" w:cs="宋体"/>
      <w:color w:val="000000"/>
      <w:sz w:val="24"/>
      <w:szCs w:val="24"/>
      <w:u w:val="none"/>
    </w:rPr>
  </w:style>
  <w:style w:type="character" w:customStyle="1" w:styleId="70">
    <w:name w:val="font111"/>
    <w:basedOn w:val="30"/>
    <w:autoRedefine/>
    <w:qFormat/>
    <w:uiPriority w:val="0"/>
    <w:rPr>
      <w:rFonts w:hint="eastAsia" w:ascii="等线" w:hAnsi="等线" w:eastAsia="等线" w:cs="等线"/>
      <w:b/>
      <w:bCs/>
      <w:color w:val="000000"/>
      <w:sz w:val="21"/>
      <w:szCs w:val="21"/>
      <w:u w:val="none"/>
    </w:rPr>
  </w:style>
  <w:style w:type="character" w:customStyle="1" w:styleId="71">
    <w:name w:val="font171"/>
    <w:basedOn w:val="30"/>
    <w:autoRedefine/>
    <w:qFormat/>
    <w:uiPriority w:val="0"/>
    <w:rPr>
      <w:rFonts w:hint="eastAsia" w:ascii="宋体" w:hAnsi="宋体" w:eastAsia="宋体" w:cs="宋体"/>
      <w:b/>
      <w:bCs/>
      <w:color w:val="000000"/>
      <w:sz w:val="18"/>
      <w:szCs w:val="18"/>
      <w:u w:val="none"/>
    </w:rPr>
  </w:style>
  <w:style w:type="character" w:customStyle="1" w:styleId="72">
    <w:name w:val="font181"/>
    <w:basedOn w:val="30"/>
    <w:autoRedefine/>
    <w:qFormat/>
    <w:uiPriority w:val="0"/>
    <w:rPr>
      <w:rFonts w:hint="eastAsia" w:ascii="宋体" w:hAnsi="宋体" w:eastAsia="宋体" w:cs="宋体"/>
      <w:b/>
      <w:bCs/>
      <w:color w:val="000000"/>
      <w:sz w:val="20"/>
      <w:szCs w:val="20"/>
      <w:u w:val="none"/>
    </w:rPr>
  </w:style>
  <w:style w:type="paragraph" w:customStyle="1" w:styleId="73">
    <w:name w:val="样式 正文首行缩进 2 + Arial"/>
    <w:basedOn w:val="1"/>
    <w:next w:val="1"/>
    <w:autoRedefine/>
    <w:qFormat/>
    <w:uiPriority w:val="0"/>
    <w:pPr>
      <w:spacing w:after="120" w:line="320" w:lineRule="atLeast"/>
      <w:ind w:firstLine="200" w:firstLineChars="200"/>
    </w:pPr>
    <w:rPr>
      <w:rFonts w:ascii="Arial" w:hAnsi="Arial"/>
      <w:kern w:val="0"/>
    </w:rPr>
  </w:style>
  <w:style w:type="paragraph" w:customStyle="1" w:styleId="74">
    <w:name w:val="首行缩进"/>
    <w:basedOn w:val="1"/>
    <w:autoRedefine/>
    <w:qFormat/>
    <w:uiPriority w:val="0"/>
    <w:pPr>
      <w:ind w:firstLine="480" w:firstLineChars="200"/>
    </w:pPr>
    <w:rPr>
      <w:szCs w:val="20"/>
      <w:lang w:val="zh-CN"/>
    </w:rPr>
  </w:style>
  <w:style w:type="paragraph" w:styleId="75">
    <w:name w:val="List Paragraph"/>
    <w:basedOn w:val="1"/>
    <w:autoRedefine/>
    <w:qFormat/>
    <w:uiPriority w:val="34"/>
    <w:pPr>
      <w:ind w:firstLine="420" w:firstLineChars="200"/>
    </w:pPr>
  </w:style>
  <w:style w:type="character" w:customStyle="1" w:styleId="76">
    <w:name w:val="font122"/>
    <w:basedOn w:val="30"/>
    <w:autoRedefine/>
    <w:qFormat/>
    <w:uiPriority w:val="0"/>
    <w:rPr>
      <w:rFonts w:hint="default" w:ascii="Times New Roman" w:hAnsi="Times New Roman" w:cs="Times New Roman"/>
      <w:color w:val="000000"/>
      <w:sz w:val="18"/>
      <w:szCs w:val="18"/>
      <w:u w:val="none"/>
    </w:rPr>
  </w:style>
  <w:style w:type="paragraph" w:customStyle="1" w:styleId="77">
    <w:name w:val="Body Text First Indent 21"/>
    <w:basedOn w:val="78"/>
    <w:autoRedefine/>
    <w:qFormat/>
    <w:uiPriority w:val="0"/>
    <w:pPr>
      <w:ind w:firstLine="420" w:firstLineChars="200"/>
    </w:pPr>
  </w:style>
  <w:style w:type="paragraph" w:customStyle="1" w:styleId="78">
    <w:name w:val="Body Text Indent1"/>
    <w:basedOn w:val="1"/>
    <w:autoRedefine/>
    <w:qFormat/>
    <w:uiPriority w:val="0"/>
    <w:pPr>
      <w:spacing w:after="120"/>
      <w:ind w:left="420" w:left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2.pn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69</Pages>
  <Words>37832</Words>
  <Characters>40868</Characters>
  <Lines>1711</Lines>
  <Paragraphs>481</Paragraphs>
  <TotalTime>5</TotalTime>
  <ScaleCrop>false</ScaleCrop>
  <LinksUpToDate>false</LinksUpToDate>
  <CharactersWithSpaces>42139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2022-02-15T02:48:00Z</dcterms:created>
  <dc:creator>User</dc:creator>
  <cp:lastModifiedBy>NTKO</cp:lastModifiedBy>
  <cp:lastPrinted>2022-09-13T09:34:00Z</cp:lastPrinted>
  <dcterms:modified xsi:type="dcterms:W3CDTF">2024-07-09T02:40:50Z</dcterms:modified>
  <dc:title>第二章  投标人须知</dc:title>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2022-05-09T10:11:19Z</vt:filetime>
  </property>
  <property fmtid="{D5CDD505-2E9C-101B-9397-08002B2CF9AE}" pid="4" name="KSOProductBuildVer">
    <vt:lpwstr>2052-12.1.0.16929</vt:lpwstr>
  </property>
  <property fmtid="{D5CDD505-2E9C-101B-9397-08002B2CF9AE}" pid="5" name="ICV">
    <vt:lpwstr>AEA5A34ADC6A4EECB087D1ED37E56402_13</vt:lpwstr>
  </property>
</Properties>
</file>